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jc w:val="center"/>
        <w:rPr>
          <w:lang w:val="en-US"/>
        </w:rPr>
      </w:pPr>
      <w:r>
        <w:rPr>
          <w:lang w:val="en-US"/>
        </w:rPr>
        <w:t xml:space="preserve">Pathophysiology-based subphenotyping of individuals at elevated risk for type 2 diabetes </w:t>
      </w:r>
    </w:p>
    <w:p>
      <w:pPr>
        <w:pStyle w:val="Normal"/>
        <w:jc w:val="center"/>
        <w:rPr>
          <w:sz w:val="24"/>
          <w:lang w:val="en-US"/>
        </w:rPr>
      </w:pPr>
      <w:r>
        <w:rPr>
          <w:sz w:val="24"/>
          <w:lang w:val="en-US"/>
        </w:rPr>
      </w:r>
    </w:p>
    <w:p>
      <w:pPr>
        <w:pStyle w:val="Normal"/>
        <w:jc w:val="center"/>
        <w:rPr/>
      </w:pPr>
      <w:r>
        <w:rPr>
          <w:sz w:val="24"/>
          <w:lang w:val="en-US"/>
        </w:rPr>
        <w:t>Robert Wagner</w:t>
      </w:r>
      <w:r>
        <w:rPr>
          <w:sz w:val="24"/>
          <w:vertAlign w:val="superscript"/>
          <w:lang w:val="en-US"/>
        </w:rPr>
        <w:t>1,2,3</w:t>
      </w:r>
      <w:r>
        <w:rPr>
          <w:sz w:val="24"/>
          <w:lang w:val="en-US"/>
        </w:rPr>
        <w:t>, Martin Heni</w:t>
      </w:r>
      <w:r>
        <w:rPr>
          <w:sz w:val="24"/>
          <w:vertAlign w:val="superscript"/>
          <w:lang w:val="en-US"/>
        </w:rPr>
        <w:t>1,2,3</w:t>
      </w:r>
      <w:r>
        <w:rPr>
          <w:sz w:val="24"/>
          <w:lang w:val="en-US"/>
        </w:rPr>
        <w:t>, Adam G. Tabak</w:t>
      </w:r>
      <w:r>
        <w:rPr>
          <w:sz w:val="24"/>
          <w:vertAlign w:val="superscript"/>
          <w:lang w:val="en-US"/>
        </w:rPr>
        <w:t>4,5,6</w:t>
      </w:r>
      <w:r>
        <w:rPr>
          <w:sz w:val="24"/>
          <w:lang w:val="en-US"/>
        </w:rPr>
        <w:t>, Jürgen Machann</w:t>
      </w:r>
      <w:r>
        <w:rPr>
          <w:sz w:val="24"/>
          <w:vertAlign w:val="superscript"/>
          <w:lang w:val="en-US"/>
        </w:rPr>
        <w:t>2,7</w:t>
      </w:r>
      <w:r>
        <w:rPr>
          <w:sz w:val="24"/>
          <w:lang w:val="en-US"/>
        </w:rPr>
        <w:t>, Fritz Schick</w:t>
      </w:r>
      <w:r>
        <w:rPr>
          <w:sz w:val="24"/>
          <w:vertAlign w:val="superscript"/>
          <w:lang w:val="en-US"/>
        </w:rPr>
        <w:t>2,7</w:t>
      </w:r>
      <w:r>
        <w:rPr>
          <w:sz w:val="24"/>
          <w:lang w:val="en-US"/>
        </w:rPr>
        <w:t>, Elko Randrianarisoa</w:t>
      </w:r>
      <w:r>
        <w:rPr>
          <w:sz w:val="24"/>
          <w:vertAlign w:val="superscript"/>
          <w:lang w:val="en-US"/>
        </w:rPr>
        <w:t>1,2</w:t>
      </w:r>
      <w:r>
        <w:rPr>
          <w:sz w:val="24"/>
          <w:lang w:val="en-US"/>
        </w:rPr>
        <w:t>, Martin Hrabě de Angelis</w:t>
      </w:r>
      <w:r>
        <w:rPr>
          <w:sz w:val="24"/>
          <w:vertAlign w:val="superscript"/>
          <w:lang w:val="en-US"/>
        </w:rPr>
        <w:t>2,8,9</w:t>
      </w:r>
      <w:r>
        <w:rPr>
          <w:sz w:val="24"/>
          <w:lang w:val="en-US"/>
        </w:rPr>
        <w:t xml:space="preserve">, Andreas </w:t>
      </w:r>
      <w:r>
        <w:rPr>
          <w:sz w:val="24"/>
          <w:szCs w:val="22"/>
          <w:lang w:val="en-US"/>
        </w:rPr>
        <w:t>L. Birkenfeld</w:t>
      </w:r>
      <w:r>
        <w:rPr>
          <w:sz w:val="24"/>
          <w:szCs w:val="22"/>
          <w:vertAlign w:val="superscript"/>
          <w:lang w:val="en-US"/>
        </w:rPr>
        <w:t>1</w:t>
      </w:r>
      <w:r>
        <w:rPr>
          <w:sz w:val="24"/>
          <w:vertAlign w:val="superscript"/>
          <w:lang w:val="en-US"/>
        </w:rPr>
        <w:t>,2,</w:t>
      </w:r>
      <w:r>
        <w:rPr>
          <w:sz w:val="24"/>
          <w:szCs w:val="22"/>
          <w:vertAlign w:val="superscript"/>
          <w:lang w:val="en-US"/>
        </w:rPr>
        <w:t>3</w:t>
      </w:r>
      <w:r>
        <w:rPr>
          <w:sz w:val="24"/>
          <w:lang w:val="en-US"/>
        </w:rPr>
        <w:t>, Norbert Stefan</w:t>
      </w:r>
      <w:r>
        <w:rPr>
          <w:sz w:val="24"/>
          <w:vertAlign w:val="superscript"/>
          <w:lang w:val="en-US"/>
        </w:rPr>
        <w:t>1,2,3</w:t>
      </w:r>
      <w:r>
        <w:rPr>
          <w:sz w:val="24"/>
          <w:szCs w:val="22"/>
          <w:vertAlign w:val="superscript"/>
          <w:lang w:val="en-US"/>
        </w:rPr>
        <w:t>,10</w:t>
      </w:r>
      <w:r>
        <w:rPr>
          <w:sz w:val="24"/>
          <w:szCs w:val="22"/>
          <w:lang w:val="en-US"/>
        </w:rPr>
        <w:t>, Andreas Peter</w:t>
      </w:r>
      <w:r>
        <w:rPr>
          <w:sz w:val="24"/>
          <w:szCs w:val="22"/>
          <w:vertAlign w:val="superscript"/>
          <w:lang w:val="en-US"/>
        </w:rPr>
        <w:t>1,2,11</w:t>
      </w:r>
      <w:r>
        <w:rPr>
          <w:sz w:val="24"/>
          <w:lang w:val="en-US"/>
        </w:rPr>
        <w:t>, Hans-Ulrich Häring</w:t>
      </w:r>
      <w:r>
        <w:rPr>
          <w:sz w:val="24"/>
          <w:vertAlign w:val="superscript"/>
          <w:lang w:val="en-US"/>
        </w:rPr>
        <w:t>1,2</w:t>
      </w:r>
      <w:r>
        <w:rPr>
          <w:sz w:val="24"/>
          <w:lang w:val="en-US"/>
        </w:rPr>
        <w:t xml:space="preserve"> and Andreas Fritsche</w:t>
      </w:r>
      <w:r>
        <w:rPr>
          <w:sz w:val="24"/>
          <w:vertAlign w:val="superscript"/>
          <w:lang w:val="en-US"/>
        </w:rPr>
        <w:t>1,2,3</w:t>
      </w:r>
    </w:p>
    <w:p>
      <w:pPr>
        <w:pStyle w:val="Normal"/>
        <w:rPr>
          <w:sz w:val="22"/>
          <w:lang w:val="en-US"/>
        </w:rPr>
      </w:pPr>
      <w:r>
        <w:rPr>
          <w:sz w:val="22"/>
          <w:lang w:val="en-US"/>
        </w:rPr>
      </w:r>
    </w:p>
    <w:p>
      <w:pPr>
        <w:pStyle w:val="Normal"/>
        <w:rPr>
          <w:sz w:val="22"/>
          <w:lang w:val="en-US"/>
        </w:rPr>
      </w:pPr>
      <w:r>
        <w:rPr>
          <w:sz w:val="22"/>
          <w:lang w:val="en-US"/>
        </w:rPr>
        <w:t>1. Institute for Diabetes Research and Metabolic Diseases of the Helmholtz Center Munich at the University of Tübingen, Germany</w:t>
      </w:r>
    </w:p>
    <w:p>
      <w:pPr>
        <w:pStyle w:val="Normal"/>
        <w:rPr>
          <w:sz w:val="22"/>
          <w:lang w:val="en-US"/>
        </w:rPr>
      </w:pPr>
      <w:r>
        <w:rPr>
          <w:sz w:val="22"/>
          <w:lang w:val="en-US"/>
        </w:rPr>
        <w:t>2. German Center for Diabetes Research (DZD e.V.), Neuherberg, Germany</w:t>
      </w:r>
    </w:p>
    <w:p>
      <w:pPr>
        <w:pStyle w:val="Normal"/>
        <w:rPr/>
      </w:pPr>
      <w:r>
        <w:rPr>
          <w:sz w:val="22"/>
          <w:lang w:val="en-US"/>
        </w:rPr>
        <w:t xml:space="preserve">3. Department of Internal Medicine, </w:t>
      </w:r>
      <w:bookmarkStart w:id="0" w:name="OLE_LINK1"/>
      <w:bookmarkStart w:id="1" w:name="OLE_LINK2"/>
      <w:r>
        <w:rPr>
          <w:sz w:val="22"/>
          <w:lang w:val="en-US"/>
        </w:rPr>
        <w:t xml:space="preserve">Division of Diabetology, Endocrinology and Nephrology, </w:t>
      </w:r>
      <w:bookmarkEnd w:id="0"/>
      <w:bookmarkEnd w:id="1"/>
      <w:r>
        <w:rPr>
          <w:sz w:val="22"/>
          <w:lang w:val="en-US"/>
        </w:rPr>
        <w:t>Eberhard-Karls University Tübingen, Germany</w:t>
      </w:r>
    </w:p>
    <w:p>
      <w:pPr>
        <w:pStyle w:val="Normal"/>
        <w:rPr>
          <w:sz w:val="22"/>
          <w:lang w:val="en-US"/>
        </w:rPr>
      </w:pPr>
      <w:r>
        <w:rPr>
          <w:sz w:val="22"/>
          <w:lang w:val="en-US"/>
        </w:rPr>
        <w:t>4. Department of Epidemiology and Public Health, University College London, London, United Kingdom</w:t>
      </w:r>
    </w:p>
    <w:p>
      <w:pPr>
        <w:pStyle w:val="Normal"/>
        <w:rPr>
          <w:sz w:val="22"/>
          <w:lang w:val="en-US"/>
        </w:rPr>
      </w:pPr>
      <w:r>
        <w:rPr>
          <w:sz w:val="22"/>
          <w:lang w:val="en-US"/>
        </w:rPr>
        <w:t>5. Department of Internal Medicine and Oncology, Semmelweis University Faculty of Medicine, Budapest, Hungary</w:t>
      </w:r>
    </w:p>
    <w:p>
      <w:pPr>
        <w:pStyle w:val="Normal"/>
        <w:rPr>
          <w:sz w:val="22"/>
          <w:lang w:val="en-US"/>
        </w:rPr>
      </w:pPr>
      <w:r>
        <w:rPr>
          <w:sz w:val="22"/>
          <w:lang w:val="en-US"/>
        </w:rPr>
        <w:t>6. Department of Public Health, Semmelweis University Faculty of Medicine, Budapest, Hungary</w:t>
      </w:r>
    </w:p>
    <w:p>
      <w:pPr>
        <w:pStyle w:val="Normal"/>
        <w:rPr>
          <w:sz w:val="22"/>
          <w:lang w:val="en-US"/>
        </w:rPr>
      </w:pPr>
      <w:r>
        <w:rPr>
          <w:sz w:val="22"/>
          <w:lang w:val="en-US"/>
        </w:rPr>
        <w:t>7. University Department of Radiology, Section on Experimental Radiology, Eberhard-Karls University Tübingen, Germany</w:t>
      </w:r>
    </w:p>
    <w:p>
      <w:pPr>
        <w:pStyle w:val="Normal"/>
        <w:rPr>
          <w:sz w:val="22"/>
          <w:lang w:val="en-US"/>
        </w:rPr>
      </w:pPr>
      <w:r>
        <w:rPr>
          <w:sz w:val="22"/>
          <w:lang w:val="en-US"/>
        </w:rPr>
        <w:t>8. Helmholtz Zentrum München, Institute of Experimental Genetics and German Mouse Clinic, Neuherberg, Germany</w:t>
      </w:r>
    </w:p>
    <w:p>
      <w:pPr>
        <w:pStyle w:val="Normal"/>
        <w:rPr>
          <w:sz w:val="22"/>
          <w:lang w:val="en-US"/>
        </w:rPr>
      </w:pPr>
      <w:r>
        <w:rPr>
          <w:sz w:val="22"/>
          <w:lang w:val="en-US"/>
        </w:rPr>
        <w:t>9. Chair of Experimental Genetics, Centre of Life and Food Sciences, Weihenstephan, Technische Universität München, Freising, Germany</w:t>
      </w:r>
    </w:p>
    <w:p>
      <w:pPr>
        <w:pStyle w:val="Normal"/>
        <w:rPr/>
      </w:pPr>
      <w:r>
        <w:rPr>
          <w:sz w:val="22"/>
          <w:lang w:val="en-US"/>
        </w:rPr>
        <w:t xml:space="preserve">10. </w:t>
      </w:r>
      <w:r>
        <w:rPr>
          <w:sz w:val="22"/>
          <w:szCs w:val="21"/>
          <w:lang w:val="en-US"/>
        </w:rPr>
        <w:t>Department of Pediatrics, Harvard Medical School, Boston, MA, USA</w:t>
      </w:r>
    </w:p>
    <w:p>
      <w:pPr>
        <w:pStyle w:val="Normal"/>
        <w:rPr/>
      </w:pPr>
      <w:r>
        <w:rPr>
          <w:sz w:val="22"/>
          <w:szCs w:val="21"/>
          <w:lang w:val="en-US"/>
        </w:rPr>
        <w:t xml:space="preserve">11. </w:t>
      </w:r>
      <w:r>
        <w:rPr>
          <w:sz w:val="22"/>
          <w:lang w:val="en-US"/>
        </w:rPr>
        <w:t>Institute for Clinical Chemistry and Pathobiochemistry, Department for Diagnostic Laboratory Medicine, University Hospital of Tübingen, Germany</w:t>
      </w:r>
    </w:p>
    <w:p>
      <w:pPr>
        <w:pStyle w:val="Normal"/>
        <w:spacing w:lineRule="auto" w:line="240"/>
        <w:rPr>
          <w:lang w:val="en-US"/>
        </w:rPr>
      </w:pPr>
      <w:r>
        <w:rPr>
          <w:lang w:val="en-US"/>
        </w:rPr>
      </w:r>
    </w:p>
    <w:p>
      <w:pPr>
        <w:pStyle w:val="Normal"/>
        <w:spacing w:lineRule="auto" w:line="240"/>
        <w:rPr>
          <w:lang w:val="en-US"/>
        </w:rPr>
      </w:pPr>
      <w:r>
        <w:rPr>
          <w:lang w:val="en-US"/>
        </w:rPr>
        <w:t xml:space="preserve">Present address: </w:t>
      </w:r>
    </w:p>
    <w:p>
      <w:pPr>
        <w:pStyle w:val="Normal"/>
        <w:spacing w:lineRule="auto" w:line="240"/>
        <w:rPr>
          <w:lang w:val="en-US"/>
        </w:rPr>
      </w:pPr>
      <w:r>
        <w:rPr>
          <w:lang w:val="en-US"/>
        </w:rPr>
        <w:t>Robert Wagner, Otfried-Müller-Str 10, 72076 Tübingen, Germany</w:t>
      </w:r>
    </w:p>
    <w:p>
      <w:pPr>
        <w:pStyle w:val="Normal"/>
        <w:rPr/>
      </w:pPr>
      <w:r>
        <w:rPr/>
      </w:r>
    </w:p>
    <w:p>
      <w:pPr>
        <w:pStyle w:val="Normal"/>
        <w:rPr/>
      </w:pPr>
      <w:r>
        <w:rPr/>
        <w:t>Corresponding author: Robert Wagner</w:t>
      </w:r>
    </w:p>
    <w:p>
      <w:pPr>
        <w:pStyle w:val="Normal"/>
        <w:rPr>
          <w:lang w:val="de-DE"/>
        </w:rPr>
      </w:pPr>
      <w:r>
        <w:rPr>
          <w:lang w:val="de-DE"/>
        </w:rPr>
        <w:t>E-mail: robert.wagner@uni-tuebingen.de</w:t>
      </w:r>
    </w:p>
    <w:p>
      <w:pPr>
        <w:pStyle w:val="Normal"/>
        <w:rPr>
          <w:lang w:val="de-DE"/>
        </w:rPr>
      </w:pPr>
      <w:r>
        <w:rPr>
          <w:lang w:val="de-DE"/>
        </w:rPr>
      </w:r>
      <w:r>
        <w:br w:type="page"/>
      </w:r>
    </w:p>
    <w:p>
      <w:pPr>
        <w:pStyle w:val="Heading1"/>
        <w:rPr>
          <w:lang w:val="en-US"/>
        </w:rPr>
      </w:pPr>
      <w:r>
        <w:rPr>
          <w:lang w:val="en-US"/>
        </w:rPr>
        <w:t>Abstract</w:t>
      </w:r>
    </w:p>
    <w:p>
      <w:pPr>
        <w:pStyle w:val="Normal"/>
        <w:rPr/>
      </w:pPr>
      <w:r>
        <w:rPr>
          <w:lang w:val="en-US"/>
        </w:rPr>
        <w:t>The state of intermediate hyperglycemia is indicative of elevated risk of developing type 2 diabetes</w:t>
      </w:r>
      <w:r>
        <w:rPr>
          <w:rFonts w:cs="Times New Roman"/>
          <w:vertAlign w:val="superscript"/>
        </w:rPr>
        <w:t>1</w:t>
      </w:r>
      <w:r>
        <w:rPr>
          <w:lang w:val="en-US"/>
        </w:rPr>
        <w:t>. However, the current definition of prediabetes neither reflects subphenotypes of pathophysiology of type 2 diabetes nor is it predictive of future metabolic trajectories. We used partitioning on variables derived from oral glucose tolerance tests, MRI measured body fat distribution, liver fat content, and genetic risk in a cohort of extensively phenotyped individuals who are at increased risk for type 2 diabetes</w:t>
      </w:r>
      <w:r>
        <w:rPr>
          <w:rFonts w:cs="Times New Roman"/>
          <w:vertAlign w:val="superscript"/>
        </w:rPr>
        <w:t>2,3</w:t>
      </w:r>
      <w:r>
        <w:rPr>
          <w:lang w:val="en-US"/>
        </w:rPr>
        <w:t xml:space="preserve"> to identify six distinct clusters of subphenotypes. Three of the identified subphenotypes have increased glycemia (clusters 3, 5 and 6), but only individuals in clusters 5 and 3 have immanent diabetes risks. By contrast, those in cluster 6 have moderate risk of type 2 diabetes, but an increased risk of kidney disease and all-cause mortality. Findings were replicated in an independent cohort using simple anthropomorphic and glycemic constructs</w:t>
      </w:r>
      <w:r>
        <w:rPr>
          <w:rFonts w:cs="Times New Roman"/>
          <w:vertAlign w:val="superscript"/>
        </w:rPr>
        <w:t>4</w:t>
      </w:r>
      <w:r>
        <w:rPr>
          <w:lang w:val="en-US"/>
        </w:rPr>
        <w:t xml:space="preserve">. This proof-of-concept study demonstrates that pathophysiological heterogeneity exists before diagnosis of type 2 diabetes and highlights a group of individuals who have an increased risk of complications without rapid progression to overt type 2 diabetes. </w:t>
      </w:r>
    </w:p>
    <w:p>
      <w:pPr>
        <w:pStyle w:val="Normal"/>
        <w:rPr>
          <w:lang w:val="en-US"/>
        </w:rPr>
      </w:pPr>
      <w:r>
        <w:rPr>
          <w:lang w:val="en-US"/>
        </w:rPr>
      </w:r>
    </w:p>
    <w:p>
      <w:pPr>
        <w:pStyle w:val="Heading1"/>
        <w:rPr>
          <w:lang w:val="en-US"/>
        </w:rPr>
      </w:pPr>
      <w:r>
        <w:rPr>
          <w:lang w:val="en-US"/>
        </w:rPr>
      </w:r>
    </w:p>
    <w:p>
      <w:pPr>
        <w:pStyle w:val="Normal"/>
        <w:rPr/>
      </w:pPr>
      <w:r>
        <w:rPr/>
      </w:r>
    </w:p>
    <w:sectPr>
      <w:type w:val="nextPage"/>
      <w:pgSz w:w="11906" w:h="16838"/>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55"/>
  <w:defaultTabStop w:val="720"/>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Cs w:val="24"/>
        <w:lang w:val="en-DE" w:eastAsia="en-US"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360" w:before="0" w:after="0"/>
      <w:jc w:val="left"/>
    </w:pPr>
    <w:rPr>
      <w:rFonts w:ascii="Times New Roman" w:hAnsi="Times New Roman" w:eastAsia="Calibri"/>
      <w:color w:val="auto"/>
      <w:kern w:val="0"/>
      <w:sz w:val="26"/>
      <w:szCs w:val="24"/>
      <w:lang w:val="en-GB" w:eastAsia="en-US" w:bidi="ar-SA"/>
    </w:rPr>
  </w:style>
  <w:style w:type="paragraph" w:styleId="Heading1">
    <w:name w:val="Heading 1"/>
    <w:basedOn w:val="Normal"/>
    <w:next w:val="Normal"/>
    <w:qFormat/>
    <w:pPr>
      <w:keepNext w:val="true"/>
      <w:keepLines/>
      <w:numPr>
        <w:ilvl w:val="0"/>
        <w:numId w:val="0"/>
      </w:numPr>
      <w:spacing w:before="240" w:after="0"/>
      <w:outlineLvl w:val="0"/>
    </w:pPr>
    <w:rPr>
      <w:rFonts w:eastAsia="Calibri" w:cs="Tahoma"/>
      <w:color w:val="2F5496"/>
      <w:sz w:val="32"/>
      <w:szCs w:val="32"/>
    </w:rPr>
  </w:style>
  <w:style w:type="character" w:styleId="DefaultParagraphFont">
    <w:name w:val="Default Paragraph Font"/>
    <w:qFormat/>
    <w:rPr/>
  </w:style>
  <w:style w:type="character" w:styleId="Heading1Char">
    <w:name w:val="Heading 1 Char"/>
    <w:basedOn w:val="DefaultParagraphFont"/>
    <w:qFormat/>
    <w:rPr>
      <w:rFonts w:ascii="Times New Roman" w:hAnsi="Times New Roman" w:eastAsia="Calibri" w:cs="Tahoma"/>
      <w:color w:val="2F5496"/>
      <w:sz w:val="32"/>
      <w:szCs w:val="32"/>
      <w:lang w:val="en-GB"/>
    </w:rPr>
  </w:style>
  <w:style w:type="character" w:styleId="TitleChar">
    <w:name w:val="Title Char"/>
    <w:basedOn w:val="DefaultParagraphFont"/>
    <w:qFormat/>
    <w:rPr>
      <w:rFonts w:ascii="Times New Roman" w:hAnsi="Times New Roman" w:eastAsia="Calibri" w:cs="Tahoma"/>
      <w:b/>
      <w:spacing w:val="-10"/>
      <w:kern w:val="2"/>
      <w:sz w:val="44"/>
      <w:szCs w:val="56"/>
      <w:lang w:val="en-GB"/>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itle">
    <w:name w:val="Title"/>
    <w:basedOn w:val="Normal"/>
    <w:next w:val="Normal"/>
    <w:qFormat/>
    <w:pPr>
      <w:spacing w:lineRule="auto" w:line="240" w:before="0" w:after="0"/>
      <w:contextualSpacing/>
    </w:pPr>
    <w:rPr>
      <w:rFonts w:eastAsia="Calibri" w:cs="Tahoma"/>
      <w:b/>
      <w:spacing w:val="-10"/>
      <w:kern w:val="2"/>
      <w:sz w:val="44"/>
      <w:szCs w:val="56"/>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LibreOffice/6.4.6.2$Windows_X86_64 LibreOffice_project/0ce51a4fd21bff07a5c061082cc82c5ed232f115</Application>
  <Pages>2</Pages>
  <Words>389</Words>
  <Characters>2575</Characters>
  <CharactersWithSpaces>2948</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2020-09-21T15:37:00Z</dcterms:created>
  <dc:creator>Rob Wagner</dc:creator>
  <dc:description/>
  <dc:language>de-DE</dc:language>
  <cp:lastModifiedBy>Rob Wagner</cp:lastModifiedBy>
  <dcterms:modified xsi:type="dcterms:W3CDTF">2020-09-21T15:37:00Z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