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left"/>
        <w:rPr/>
      </w:pPr>
      <w:r>
        <w:rPr/>
        <w:t xml:space="preserve">1. Diabetes Care. 2021 Jan 19:dc202023. doi: 10.2337/dc20-2023. Online ahead of </w:t>
      </w:r>
    </w:p>
    <w:p>
      <w:pPr>
        <w:pStyle w:val="PreformattedText"/>
        <w:bidi w:val="0"/>
        <w:spacing w:before="0" w:after="0"/>
        <w:jc w:val="left"/>
        <w:rPr/>
      </w:pPr>
      <w:r>
        <w:rPr/>
        <w:t>print.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Durable Effects of iGlarLixi Up to 52 Weeks in Type 2 Diabetes: The LixiLan-G </w:t>
      </w:r>
    </w:p>
    <w:p>
      <w:pPr>
        <w:pStyle w:val="PreformattedText"/>
        <w:bidi w:val="0"/>
        <w:spacing w:before="0" w:after="0"/>
        <w:jc w:val="left"/>
        <w:rPr/>
      </w:pPr>
      <w:r>
        <w:rPr/>
        <w:t>Extension Study.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Blonde L(1), Rosenstock J(2), Frias J(3), Birkenfeld AL(4)(5), Niemoeller E(6), </w:t>
      </w:r>
    </w:p>
    <w:p>
      <w:pPr>
        <w:pStyle w:val="PreformattedText"/>
        <w:bidi w:val="0"/>
        <w:spacing w:before="0" w:after="0"/>
        <w:jc w:val="left"/>
        <w:rPr/>
      </w:pPr>
      <w:r>
        <w:rPr/>
        <w:t>Souhami E(7), Ji C(8), Del Prato S(9), Aroda VR(10)(11).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Author information: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(1)Department of Endocrinology, Frank Riddick Diabetes Institute, Ochsner </w:t>
      </w:r>
    </w:p>
    <w:p>
      <w:pPr>
        <w:pStyle w:val="PreformattedText"/>
        <w:bidi w:val="0"/>
        <w:spacing w:before="0" w:after="0"/>
        <w:jc w:val="left"/>
        <w:rPr/>
      </w:pPr>
      <w:r>
        <w:rPr/>
        <w:t>Medical Center, New Orleans, LA lblonde@ochsner.org.</w:t>
      </w:r>
    </w:p>
    <w:p>
      <w:pPr>
        <w:pStyle w:val="PreformattedText"/>
        <w:bidi w:val="0"/>
        <w:spacing w:before="0" w:after="0"/>
        <w:jc w:val="left"/>
        <w:rPr/>
      </w:pPr>
      <w:r>
        <w:rPr/>
        <w:t>(2)Dallas Diabetes Research Center, Dallas, TX.</w:t>
      </w:r>
    </w:p>
    <w:p>
      <w:pPr>
        <w:pStyle w:val="PreformattedText"/>
        <w:bidi w:val="0"/>
        <w:spacing w:before="0" w:after="0"/>
        <w:jc w:val="left"/>
        <w:rPr/>
      </w:pPr>
      <w:r>
        <w:rPr/>
        <w:t>(3)National Research Institute, Los Angeles, CA.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(4)Medical Clinic IV, Department of Endocrinology, Diabetology, Angiology and </w:t>
      </w:r>
    </w:p>
    <w:p>
      <w:pPr>
        <w:pStyle w:val="PreformattedText"/>
        <w:bidi w:val="0"/>
        <w:spacing w:before="0" w:after="0"/>
        <w:jc w:val="left"/>
        <w:rPr/>
      </w:pPr>
      <w:r>
        <w:rPr/>
        <w:t>Nephrology, University Hospital TÃ¼bingen, TÃ¼bingen, Germany.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(5)German Center for Diabetes Research and Institute for Diabetes Research and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Metabolic Diseases of the Helmholtz Centre Munich at the University of TÃ¼bingen, </w:t>
      </w:r>
    </w:p>
    <w:p>
      <w:pPr>
        <w:pStyle w:val="PreformattedText"/>
        <w:bidi w:val="0"/>
        <w:spacing w:before="0" w:after="0"/>
        <w:jc w:val="left"/>
        <w:rPr/>
      </w:pPr>
      <w:r>
        <w:rPr/>
        <w:t>TÃ¼bingen, Germany.</w:t>
      </w:r>
    </w:p>
    <w:p>
      <w:pPr>
        <w:pStyle w:val="PreformattedText"/>
        <w:bidi w:val="0"/>
        <w:spacing w:before="0" w:after="0"/>
        <w:jc w:val="left"/>
        <w:rPr/>
      </w:pPr>
      <w:r>
        <w:rPr/>
        <w:t>(6)Sanofi, Frankfurt, Germany.</w:t>
      </w:r>
    </w:p>
    <w:p>
      <w:pPr>
        <w:pStyle w:val="PreformattedText"/>
        <w:bidi w:val="0"/>
        <w:spacing w:before="0" w:after="0"/>
        <w:jc w:val="left"/>
        <w:rPr/>
      </w:pPr>
      <w:r>
        <w:rPr/>
        <w:t>(7)Sanofi, Paris, France.</w:t>
      </w:r>
    </w:p>
    <w:p>
      <w:pPr>
        <w:pStyle w:val="PreformattedText"/>
        <w:bidi w:val="0"/>
        <w:spacing w:before="0" w:after="0"/>
        <w:jc w:val="left"/>
        <w:rPr/>
      </w:pPr>
      <w:r>
        <w:rPr/>
        <w:t>(8)Sanofi, Beijing, China.</w:t>
      </w:r>
    </w:p>
    <w:p>
      <w:pPr>
        <w:pStyle w:val="PreformattedText"/>
        <w:bidi w:val="0"/>
        <w:spacing w:before="0" w:after="0"/>
        <w:jc w:val="left"/>
        <w:rPr/>
      </w:pPr>
      <w:r>
        <w:rPr/>
        <w:t>(9)School of Medicine, University of Pisa, Pisa, Italy.</w:t>
      </w:r>
    </w:p>
    <w:p>
      <w:pPr>
        <w:pStyle w:val="PreformattedText"/>
        <w:bidi w:val="0"/>
        <w:spacing w:before="0" w:after="0"/>
        <w:jc w:val="left"/>
        <w:rPr/>
      </w:pPr>
      <w:r>
        <w:rPr/>
        <w:t>(10)MedStar Health Research Institute, Hyattsville, MD.</w:t>
      </w:r>
    </w:p>
    <w:p>
      <w:pPr>
        <w:pStyle w:val="PreformattedText"/>
        <w:bidi w:val="0"/>
        <w:spacing w:before="0" w:after="0"/>
        <w:jc w:val="left"/>
        <w:rPr/>
      </w:pPr>
      <w:r>
        <w:rPr/>
        <w:t>(11)Brigham and Women's Hospital, Boston, MA.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OBJECTIVE: In the LixiLan-G trial, switching to iGlarLixi, a once-daily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titratable fixed-ratio combination of insulin glargine 100 units/mL and the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glucagon-like peptide 1 receptor agonist (GLP-1 RA) lixisenatide, improved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glucose control in type 2 diabetes uncontrolled with GLP-1 RAs over 26 weeks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versus continuing prior GLP-1 RA. A prespecified, 26-week, single-arm extension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of LixiLan-G aimed to determine the durability of iGlarLixi efficacy and safety </w:t>
      </w:r>
    </w:p>
    <w:p>
      <w:pPr>
        <w:pStyle w:val="PreformattedText"/>
        <w:bidi w:val="0"/>
        <w:spacing w:before="0" w:after="0"/>
        <w:jc w:val="left"/>
        <w:rPr/>
      </w:pPr>
      <w:r>
        <w:rPr/>
        <w:t>over 52 weeks.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RESEARCH DESIGN AND METHODS: Participants with type 2 diabetes uncontrolled by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GLP-1 RAs (glycated hemoglobin [HbA1c] 7-9% [53-75 mmol/mol]) were initially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randomized to switch to iGlarLixi or continue prior GLP-1 RA. Those randomized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to iGlarLixi who completed the 26-week primary end point period could continue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iGlarLixi open-label treatment over a 26-week extension to assess durability of </w:t>
      </w:r>
    </w:p>
    <w:p>
      <w:pPr>
        <w:pStyle w:val="PreformattedText"/>
        <w:bidi w:val="0"/>
        <w:spacing w:before="0" w:after="0"/>
        <w:jc w:val="left"/>
        <w:rPr/>
      </w:pPr>
      <w:r>
        <w:rPr/>
        <w:t>efficacy and safety.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RESULTS: Glycemic control achieved with iGlarLixi at week 26 (mean HbA1c 6.7%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[50 mmol/mol]) was maintained at week 52 (mean HbA1c 6.7% [50 mmol/mol]; mean Â±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SD change from baseline at week 52: -1.0 Â± 0.9% [11 Â± 10 mmol/mol]). Proportions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of participants reaching HbA1c &lt;7% (53 mmol/mol) with iGlarLixi were similar at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week 26 (62%) and 52 (64%), as were those reaching this target without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documented symptomatic (&lt;3.0 mmol/L) hypoglycemia (57% and 58%). Safety of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iGlarLixi was similar at weeks 26 and 52, with low rates of documented </w:t>
      </w:r>
    </w:p>
    <w:p>
      <w:pPr>
        <w:pStyle w:val="PreformattedText"/>
        <w:bidi w:val="0"/>
        <w:spacing w:before="0" w:after="0"/>
        <w:jc w:val="left"/>
        <w:rPr/>
      </w:pPr>
      <w:r>
        <w:rPr/>
        <w:t>symptomatic hypoglycemia and gastrointestinal events.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CONCLUSIONS: The efficacy and safety of iGlarLixi at the end of the 26-week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randomized treatment period was maintained over the 26-week extension period in </w:t>
      </w:r>
    </w:p>
    <w:p>
      <w:pPr>
        <w:pStyle w:val="PreformattedText"/>
        <w:bidi w:val="0"/>
        <w:spacing w:before="0" w:after="0"/>
        <w:jc w:val="left"/>
        <w:rPr/>
      </w:pPr>
      <w:r>
        <w:rPr/>
        <w:t>the LixiLan-G trial.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Â© 2021 by the American Diabetes Association.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DOI: 10.2337/dc20-2023</w:t>
      </w:r>
    </w:p>
    <w:p>
      <w:pPr>
        <w:pStyle w:val="PreformattedText"/>
        <w:bidi w:val="0"/>
        <w:spacing w:before="0" w:after="0"/>
        <w:jc w:val="left"/>
        <w:rPr/>
      </w:pPr>
      <w:r>
        <w:rPr/>
        <w:t>PMID: 33468520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1</Pages>
  <Words>410</Words>
  <Characters>2469</Characters>
  <CharactersWithSpaces>2849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revision>0</cp:revision>
  <dc:subject/>
  <dc:title/>
</cp:coreProperties>
</file>