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SupplementaryMaterial"/>
        <w:rPr>
          <w:b w:val="0"/>
        </w:rPr>
      </w:pPr>
      <w:r>
        <w:t>Supplementary Material</w:t>
      </w:r>
    </w:p>
    <w:p>
      <w:pPr>
        <w:pStyle w:val="berschrift1"/>
      </w:pPr>
      <w:r>
        <w:t>Supplementary Figure</w:t>
      </w:r>
    </w:p>
    <w:p>
      <w:pPr>
        <w:keepNext/>
        <w:rPr>
          <w:rFonts w:cs="Times New Roman"/>
          <w:szCs w:val="24"/>
        </w:rPr>
      </w:pPr>
    </w:p>
    <w:p>
      <w:pPr>
        <w:keepNext/>
        <w:rPr>
          <w:rFonts w:cs="Times New Roman"/>
          <w:szCs w:val="24"/>
        </w:rPr>
      </w:pPr>
      <w:r>
        <w:rPr>
          <w:rFonts w:cs="Times New Roman"/>
          <w:szCs w:val="24"/>
        </w:rPr>
        <w:object w:dxaOrig="42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210.75pt;height:40.5pt" o:ole="">
            <v:imagedata r:id="rId8" o:title=""/>
          </v:shape>
          <o:OLEObject Type="Embed" ProgID="Package" ShapeID="_x0000_i1057" DrawAspect="Content" ObjectID="_1666689767" r:id="rId9"/>
        </w:object>
      </w:r>
      <w:r>
        <w:rPr>
          <w:rFonts w:cs="Times New Roman"/>
          <w:szCs w:val="24"/>
        </w:rPr>
        <w:t xml:space="preserve">              </w:t>
      </w:r>
      <w:r>
        <w:rPr>
          <w:rFonts w:cs="Times New Roman"/>
          <w:szCs w:val="24"/>
        </w:rPr>
        <w:object w:dxaOrig="4365" w:dyaOrig="811">
          <v:shape id="_x0000_i1055" type="#_x0000_t75" style="width:218.25pt;height:40.55pt" o:ole="">
            <v:imagedata r:id="rId10" o:title=""/>
          </v:shape>
          <o:OLEObject Type="Embed" ProgID="Package" ShapeID="_x0000_i1055" DrawAspect="Content" ObjectID="_1666689768" r:id="rId11"/>
        </w:object>
      </w:r>
    </w:p>
    <w:p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Supplementary Figure S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eastAsia="+mn-ea" w:cs="Times New Roman"/>
          <w:b/>
          <w:bCs/>
          <w:color w:val="000000"/>
          <w:kern w:val="24"/>
          <w:szCs w:val="24"/>
        </w:rPr>
        <w:t xml:space="preserve">CTL in lactic acid have reduced motility. </w:t>
      </w:r>
      <w:r>
        <w:rPr>
          <w:rFonts w:eastAsia="+mn-ea" w:cs="Times New Roman"/>
          <w:color w:val="000000"/>
          <w:kern w:val="24"/>
          <w:szCs w:val="24"/>
        </w:rPr>
        <w:t>CTL were cultured with adherent tumor target cells (RCC-26) in medium or medium with 20 mM lactic acid (L). Images were recorded for 3 h with 1 min time interval between frames. Exemplary movies of 7 CTL in M and L.</w:t>
      </w:r>
    </w:p>
    <w:p>
      <w:pPr>
        <w:keepNext/>
        <w:rPr>
          <w:rFonts w:cs="Times New Roman"/>
          <w:b/>
          <w:szCs w:val="24"/>
        </w:rPr>
      </w:pPr>
    </w:p>
    <w:p>
      <w:pPr>
        <w:spacing w:before="240"/>
      </w:pPr>
      <w:r>
        <w:t xml:space="preserve">  </w:t>
      </w:r>
      <w:bookmarkStart w:id="0" w:name="_GoBack"/>
      <w:bookmarkEnd w:id="0"/>
    </w:p>
    <w:sectPr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r>
      <w:rPr>
        <w:b/>
        <w:noProof/>
        <w:color w:val="A6A6A6" w:themeColor="background1" w:themeShade="A6"/>
      </w:rPr>
      <w:drawing>
        <wp:inline distT="0" distB="0" distL="0" distR="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80689AE-E4FC-487F-969B-F548AA60C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Fischbeck, Angelika</cp:lastModifiedBy>
  <cp:revision>3</cp:revision>
  <cp:lastPrinted>2013-10-03T12:51:00Z</cp:lastPrinted>
  <dcterms:created xsi:type="dcterms:W3CDTF">2020-11-12T11:07:00Z</dcterms:created>
  <dcterms:modified xsi:type="dcterms:W3CDTF">2020-11-12T11:36:00Z</dcterms:modified>
</cp:coreProperties>
</file>