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360" w:lineRule="auto"/>
        <w:rPr>
          <w:rFonts w:cs="Times New Roman"/>
          <w:b/>
          <w:lang w:val="en-GB"/>
        </w:rPr>
      </w:pPr>
      <w:r>
        <w:rPr>
          <w:rFonts w:cs="Times New Roman"/>
          <w:b/>
          <w:lang w:val="en-GB"/>
        </w:rPr>
        <w:t xml:space="preserve">Posterior subcapsular cataracts are a late effect after acute exposure to 0.5 </w:t>
      </w:r>
      <w:proofErr w:type="spellStart"/>
      <w:r>
        <w:rPr>
          <w:rFonts w:cs="Times New Roman"/>
          <w:b/>
          <w:lang w:val="en-GB"/>
        </w:rPr>
        <w:t>Gy</w:t>
      </w:r>
      <w:proofErr w:type="spellEnd"/>
      <w:r>
        <w:rPr>
          <w:rFonts w:cs="Times New Roman"/>
          <w:b/>
          <w:lang w:val="en-GB"/>
        </w:rPr>
        <w:t xml:space="preserve"> ionizing radiation in mice</w:t>
      </w:r>
    </w:p>
    <w:p>
      <w:pPr>
        <w:spacing w:line="360" w:lineRule="auto"/>
        <w:rPr>
          <w:rFonts w:cs="Times New Roman"/>
          <w:lang w:val="en-GB"/>
        </w:rPr>
      </w:pPr>
    </w:p>
    <w:p>
      <w:pPr>
        <w:spacing w:after="0" w:line="360" w:lineRule="auto"/>
        <w:rPr>
          <w:rFonts w:cs="Times New Roman"/>
          <w:lang w:val="en-GB"/>
        </w:rPr>
      </w:pPr>
      <w:r>
        <w:rPr>
          <w:rFonts w:cs="Times New Roman"/>
          <w:lang w:val="en-GB"/>
        </w:rPr>
        <w:t>Sarah Kunze</w:t>
      </w:r>
      <w:r>
        <w:rPr>
          <w:rFonts w:cs="Times New Roman"/>
          <w:vertAlign w:val="superscript"/>
          <w:lang w:val="en-GB"/>
        </w:rPr>
        <w:t>1</w:t>
      </w:r>
      <w:r>
        <w:rPr>
          <w:rFonts w:cs="Times New Roman"/>
          <w:lang w:val="en-GB"/>
        </w:rPr>
        <w:t>, Alexander Cecil</w:t>
      </w:r>
      <w:r>
        <w:rPr>
          <w:rFonts w:cs="Times New Roman"/>
          <w:vertAlign w:val="superscript"/>
          <w:lang w:val="en-GB"/>
        </w:rPr>
        <w:t>2</w:t>
      </w:r>
      <w:r>
        <w:rPr>
          <w:rFonts w:cs="Times New Roman"/>
          <w:lang w:val="en-GB"/>
        </w:rPr>
        <w:t>, Cornelia Prehn</w:t>
      </w:r>
      <w:r>
        <w:rPr>
          <w:rFonts w:cs="Times New Roman"/>
          <w:vertAlign w:val="superscript"/>
          <w:lang w:val="en-GB"/>
        </w:rPr>
        <w:t>2</w:t>
      </w:r>
      <w:r>
        <w:rPr>
          <w:rFonts w:cs="Times New Roman"/>
          <w:lang w:val="en-GB"/>
        </w:rPr>
        <w:t>, Gabriele Möller</w:t>
      </w:r>
      <w:r>
        <w:rPr>
          <w:rFonts w:cs="Times New Roman"/>
          <w:vertAlign w:val="superscript"/>
          <w:lang w:val="en-GB"/>
        </w:rPr>
        <w:t>2</w:t>
      </w:r>
      <w:r>
        <w:rPr>
          <w:rFonts w:cs="Times New Roman"/>
          <w:lang w:val="en-GB"/>
        </w:rPr>
        <w:t>, Andreas Ohlmann</w:t>
      </w:r>
      <w:r>
        <w:rPr>
          <w:rFonts w:cs="Times New Roman"/>
          <w:vertAlign w:val="superscript"/>
          <w:lang w:val="en-GB"/>
        </w:rPr>
        <w:t>3</w:t>
      </w:r>
      <w:r>
        <w:rPr>
          <w:rFonts w:cs="Times New Roman"/>
          <w:lang w:val="en-GB"/>
        </w:rPr>
        <w:t>, Gerhild Wildner</w:t>
      </w:r>
      <w:r>
        <w:rPr>
          <w:rFonts w:cs="Times New Roman"/>
          <w:vertAlign w:val="superscript"/>
          <w:lang w:val="en-GB"/>
        </w:rPr>
        <w:t>3</w:t>
      </w:r>
      <w:r>
        <w:rPr>
          <w:rFonts w:cs="Times New Roman"/>
          <w:lang w:val="en-GB"/>
        </w:rPr>
        <w:t>, Stephan Thurau</w:t>
      </w:r>
      <w:r>
        <w:rPr>
          <w:rFonts w:cs="Times New Roman"/>
          <w:vertAlign w:val="superscript"/>
          <w:lang w:val="en-GB"/>
        </w:rPr>
        <w:t>3</w:t>
      </w:r>
      <w:r>
        <w:rPr>
          <w:rFonts w:cs="Times New Roman"/>
          <w:lang w:val="en-GB"/>
        </w:rPr>
        <w:t>, Kristian Unger</w:t>
      </w:r>
      <w:r>
        <w:rPr>
          <w:rFonts w:cs="Times New Roman"/>
          <w:vertAlign w:val="superscript"/>
          <w:lang w:val="en-GB"/>
        </w:rPr>
        <w:t>4</w:t>
      </w:r>
      <w:r>
        <w:rPr>
          <w:rFonts w:cs="Times New Roman"/>
          <w:lang w:val="en-GB"/>
        </w:rPr>
        <w:t>, Ute Roessler</w:t>
      </w:r>
      <w:r>
        <w:rPr>
          <w:rFonts w:cs="Times New Roman"/>
          <w:vertAlign w:val="superscript"/>
          <w:lang w:val="en-GB"/>
        </w:rPr>
        <w:t>5</w:t>
      </w:r>
      <w:r>
        <w:rPr>
          <w:rFonts w:cs="Times New Roman"/>
          <w:lang w:val="en-GB"/>
        </w:rPr>
        <w:t>, Sabine M. Hölter</w:t>
      </w:r>
      <w:r>
        <w:rPr>
          <w:rFonts w:cs="Times New Roman"/>
          <w:vertAlign w:val="superscript"/>
          <w:lang w:val="en-GB"/>
        </w:rPr>
        <w:t>1</w:t>
      </w:r>
      <w:r>
        <w:rPr>
          <w:rFonts w:cs="Times New Roman"/>
          <w:lang w:val="en-GB"/>
        </w:rPr>
        <w:t>, Soile Tapio</w:t>
      </w:r>
      <w:r>
        <w:rPr>
          <w:rFonts w:cs="Times New Roman"/>
          <w:vertAlign w:val="superscript"/>
          <w:lang w:val="en-GB"/>
        </w:rPr>
        <w:t>6,7</w:t>
      </w:r>
      <w:r>
        <w:rPr>
          <w:rFonts w:cs="Times New Roman"/>
          <w:lang w:val="en-GB"/>
        </w:rPr>
        <w:t>, Florian Wagner</w:t>
      </w:r>
      <w:r>
        <w:rPr>
          <w:rFonts w:cs="Times New Roman"/>
          <w:vertAlign w:val="superscript"/>
          <w:lang w:val="en-GB"/>
        </w:rPr>
        <w:t>8</w:t>
      </w:r>
      <w:r>
        <w:rPr>
          <w:rFonts w:cs="Times New Roman"/>
          <w:lang w:val="en-GB"/>
        </w:rPr>
        <w:t>, Andreas Beyerlein</w:t>
      </w:r>
      <w:r>
        <w:rPr>
          <w:rFonts w:cs="Times New Roman"/>
          <w:vertAlign w:val="superscript"/>
          <w:lang w:val="en-GB"/>
        </w:rPr>
        <w:t>9</w:t>
      </w:r>
      <w:r>
        <w:rPr>
          <w:rFonts w:cs="Times New Roman"/>
          <w:lang w:val="en-GB"/>
        </w:rPr>
        <w:t>, Fabian Theis</w:t>
      </w:r>
      <w:r>
        <w:rPr>
          <w:rFonts w:cs="Times New Roman"/>
          <w:vertAlign w:val="superscript"/>
          <w:lang w:val="en-GB"/>
        </w:rPr>
        <w:t>9</w:t>
      </w:r>
      <w:r>
        <w:rPr>
          <w:rFonts w:cs="Times New Roman"/>
          <w:lang w:val="en-GB"/>
        </w:rPr>
        <w:t>, Horst Zitzelsberger</w:t>
      </w:r>
      <w:r>
        <w:rPr>
          <w:rFonts w:cs="Times New Roman"/>
          <w:vertAlign w:val="superscript"/>
          <w:lang w:val="en-GB"/>
        </w:rPr>
        <w:t>4</w:t>
      </w:r>
      <w:r>
        <w:rPr>
          <w:rFonts w:cs="Times New Roman"/>
          <w:lang w:val="en-GB"/>
        </w:rPr>
        <w:t>, Ulrike Kulka</w:t>
      </w:r>
      <w:r>
        <w:rPr>
          <w:rFonts w:cs="Times New Roman"/>
          <w:vertAlign w:val="superscript"/>
          <w:lang w:val="en-GB"/>
        </w:rPr>
        <w:t>5</w:t>
      </w:r>
      <w:r>
        <w:rPr>
          <w:rFonts w:cs="Times New Roman"/>
          <w:lang w:val="en-GB"/>
        </w:rPr>
        <w:t xml:space="preserve">, </w:t>
      </w:r>
      <w:r>
        <w:rPr>
          <w:rStyle w:val="apple-style-span"/>
          <w:lang w:val="en-GB"/>
        </w:rPr>
        <w:t>Jerzy</w:t>
      </w:r>
      <w:r>
        <w:rPr>
          <w:rFonts w:cs="Times New Roman"/>
          <w:lang w:val="en-GB"/>
        </w:rPr>
        <w:t xml:space="preserve"> Adamski</w:t>
      </w:r>
      <w:r>
        <w:rPr>
          <w:rFonts w:cs="Times New Roman"/>
          <w:vertAlign w:val="superscript"/>
          <w:lang w:val="en-GB"/>
        </w:rPr>
        <w:t>2,10,11</w:t>
      </w:r>
      <w:r>
        <w:rPr>
          <w:rFonts w:cs="Times New Roman"/>
          <w:lang w:val="en-GB"/>
        </w:rPr>
        <w:t>, Jochen Graw</w:t>
      </w:r>
      <w:r>
        <w:rPr>
          <w:rFonts w:cs="Times New Roman"/>
          <w:vertAlign w:val="superscript"/>
          <w:lang w:val="en-GB"/>
        </w:rPr>
        <w:t>1#</w:t>
      </w:r>
      <w:r>
        <w:rPr>
          <w:rFonts w:cs="Times New Roman"/>
          <w:lang w:val="en-GB"/>
        </w:rPr>
        <w:t>, Claudia Dalke</w:t>
      </w:r>
      <w:r>
        <w:rPr>
          <w:rFonts w:cs="Times New Roman"/>
          <w:vertAlign w:val="superscript"/>
          <w:lang w:val="en-GB"/>
        </w:rPr>
        <w:t>1</w:t>
      </w:r>
      <w:r>
        <w:rPr>
          <w:rFonts w:cs="Times New Roman"/>
          <w:lang w:val="en-GB"/>
        </w:rPr>
        <w:t>*</w:t>
      </w:r>
    </w:p>
    <w:p>
      <w:pPr>
        <w:spacing w:after="0" w:line="360" w:lineRule="auto"/>
        <w:rPr>
          <w:rFonts w:cs="Times New Roman"/>
          <w:lang w:val="en-GB"/>
        </w:rPr>
      </w:pPr>
    </w:p>
    <w:p>
      <w:pPr>
        <w:spacing w:after="0" w:line="360" w:lineRule="auto"/>
        <w:rPr>
          <w:rFonts w:cs="Times New Roman"/>
          <w:lang w:val="en-GB"/>
        </w:rPr>
      </w:pPr>
      <w:r>
        <w:rPr>
          <w:rFonts w:cs="Times New Roman"/>
          <w:lang w:val="en-GB"/>
        </w:rPr>
        <w:t xml:space="preserve">Helmholtz </w:t>
      </w:r>
      <w:proofErr w:type="spellStart"/>
      <w:r>
        <w:rPr>
          <w:rFonts w:cs="Times New Roman"/>
          <w:lang w:val="en-GB"/>
        </w:rPr>
        <w:t>Zentrum</w:t>
      </w:r>
      <w:proofErr w:type="spellEnd"/>
      <w:r>
        <w:rPr>
          <w:rFonts w:cs="Times New Roman"/>
          <w:lang w:val="en-GB"/>
        </w:rPr>
        <w:t xml:space="preserve"> München GmbH, </w:t>
      </w:r>
      <w:r>
        <w:rPr>
          <w:rFonts w:cs="Times New Roman"/>
          <w:lang w:val="en-GB" w:eastAsia="de-DE"/>
        </w:rPr>
        <w:t xml:space="preserve">German Research </w:t>
      </w:r>
      <w:proofErr w:type="spellStart"/>
      <w:r>
        <w:rPr>
          <w:rFonts w:cs="Times New Roman"/>
          <w:lang w:val="en-GB" w:eastAsia="de-DE"/>
        </w:rPr>
        <w:t>Center</w:t>
      </w:r>
      <w:proofErr w:type="spellEnd"/>
      <w:r>
        <w:rPr>
          <w:rFonts w:cs="Times New Roman"/>
          <w:lang w:val="en-GB" w:eastAsia="de-DE"/>
        </w:rPr>
        <w:t xml:space="preserve"> for Environmental Health,</w:t>
      </w:r>
      <w:r>
        <w:rPr>
          <w:rFonts w:cs="Times New Roman"/>
          <w:lang w:val="en-GB"/>
        </w:rPr>
        <w:t xml:space="preserve"> </w:t>
      </w:r>
      <w:r>
        <w:rPr>
          <w:rFonts w:cs="Times New Roman"/>
          <w:vertAlign w:val="superscript"/>
          <w:lang w:val="en-GB"/>
        </w:rPr>
        <w:t>1</w:t>
      </w:r>
      <w:r>
        <w:rPr>
          <w:rFonts w:cs="Times New Roman"/>
          <w:lang w:val="en-GB"/>
        </w:rPr>
        <w:t xml:space="preserve">Institute of Developmental Genetics, </w:t>
      </w:r>
      <w:r>
        <w:rPr>
          <w:rFonts w:cs="Times New Roman"/>
          <w:vertAlign w:val="superscript"/>
          <w:lang w:val="en-GB"/>
        </w:rPr>
        <w:t>2</w:t>
      </w:r>
      <w:r>
        <w:rPr>
          <w:rFonts w:cs="Times New Roman"/>
          <w:lang w:val="en-GB"/>
        </w:rPr>
        <w:t xml:space="preserve">Research Unit Molecular Endocrinology and Metabolism, Genome Analysis </w:t>
      </w:r>
      <w:proofErr w:type="spellStart"/>
      <w:r>
        <w:rPr>
          <w:rFonts w:cs="Times New Roman"/>
          <w:lang w:val="en-GB"/>
        </w:rPr>
        <w:t>Center</w:t>
      </w:r>
      <w:proofErr w:type="spellEnd"/>
      <w:r>
        <w:rPr>
          <w:rFonts w:cs="Times New Roman"/>
          <w:lang w:val="en-GB"/>
        </w:rPr>
        <w:t xml:space="preserve">, </w:t>
      </w:r>
      <w:r>
        <w:rPr>
          <w:rFonts w:cs="Times New Roman"/>
          <w:vertAlign w:val="superscript"/>
          <w:lang w:val="en-GB"/>
        </w:rPr>
        <w:t xml:space="preserve"> 4</w:t>
      </w:r>
      <w:r>
        <w:rPr>
          <w:rFonts w:cs="Times New Roman"/>
          <w:lang w:val="en-GB"/>
        </w:rPr>
        <w:t xml:space="preserve">Research Unit Radiation Cytogenetics, </w:t>
      </w:r>
      <w:r>
        <w:rPr>
          <w:rFonts w:cs="Times New Roman"/>
          <w:vertAlign w:val="superscript"/>
          <w:lang w:val="en-GB"/>
        </w:rPr>
        <w:t>6</w:t>
      </w:r>
      <w:r>
        <w:rPr>
          <w:rFonts w:cs="Times New Roman"/>
          <w:lang w:val="en-GB"/>
        </w:rPr>
        <w:t xml:space="preserve">Institute of Radiation Biology, </w:t>
      </w:r>
      <w:r>
        <w:rPr>
          <w:rFonts w:cs="Times New Roman"/>
          <w:vertAlign w:val="superscript"/>
          <w:lang w:val="en-GB"/>
        </w:rPr>
        <w:t>8</w:t>
      </w:r>
      <w:r>
        <w:rPr>
          <w:rFonts w:cs="Times New Roman"/>
          <w:lang w:val="en-GB"/>
        </w:rPr>
        <w:t>Institute of Radiation Medicine,</w:t>
      </w:r>
      <w:r>
        <w:rPr>
          <w:rFonts w:cs="Times New Roman"/>
          <w:vertAlign w:val="superscript"/>
          <w:lang w:val="en-GB"/>
        </w:rPr>
        <w:t xml:space="preserve"> 9</w:t>
      </w:r>
      <w:r>
        <w:rPr>
          <w:rStyle w:val="Fett"/>
          <w:b w:val="0"/>
          <w:lang w:val="en-GB"/>
        </w:rPr>
        <w:t>Institute of Computational Biology</w:t>
      </w:r>
      <w:r>
        <w:rPr>
          <w:rStyle w:val="Fett"/>
          <w:lang w:val="en-GB"/>
        </w:rPr>
        <w:t>,</w:t>
      </w:r>
      <w:r>
        <w:rPr>
          <w:rFonts w:cs="Times New Roman"/>
          <w:lang w:val="en-GB"/>
        </w:rPr>
        <w:t xml:space="preserve"> 85764 Neuherberg, Germany;</w:t>
      </w:r>
    </w:p>
    <w:p>
      <w:pPr>
        <w:spacing w:after="0" w:line="360" w:lineRule="auto"/>
        <w:rPr>
          <w:rFonts w:cs="Times New Roman"/>
          <w:lang w:val="en-GB" w:eastAsia="de-DE"/>
        </w:rPr>
      </w:pPr>
      <w:r>
        <w:rPr>
          <w:rFonts w:cs="Times New Roman"/>
          <w:vertAlign w:val="superscript"/>
          <w:lang w:val="en-GB"/>
        </w:rPr>
        <w:t>3</w:t>
      </w:r>
      <w:r>
        <w:rPr>
          <w:rFonts w:cs="Times New Roman"/>
          <w:lang w:val="en-GB"/>
        </w:rPr>
        <w:t>Department of Ophthalmology, University Hospital, Ludwig-</w:t>
      </w:r>
      <w:proofErr w:type="spellStart"/>
      <w:r>
        <w:rPr>
          <w:rFonts w:cs="Times New Roman"/>
          <w:lang w:val="en-GB"/>
        </w:rPr>
        <w:t>Maximilians</w:t>
      </w:r>
      <w:proofErr w:type="spellEnd"/>
      <w:r>
        <w:rPr>
          <w:rFonts w:cs="Times New Roman"/>
          <w:lang w:val="en-GB"/>
        </w:rPr>
        <w:t xml:space="preserve"> University, Munich, Germany;</w:t>
      </w:r>
    </w:p>
    <w:p>
      <w:pPr>
        <w:spacing w:after="0" w:line="360" w:lineRule="auto"/>
        <w:rPr>
          <w:rFonts w:cs="Times New Roman"/>
          <w:lang w:val="en-GB"/>
        </w:rPr>
      </w:pPr>
      <w:r>
        <w:rPr>
          <w:rFonts w:cs="Times New Roman"/>
          <w:vertAlign w:val="superscript"/>
          <w:lang w:val="en-GB"/>
        </w:rPr>
        <w:t>5</w:t>
      </w:r>
      <w:r>
        <w:rPr>
          <w:rFonts w:cs="Times New Roman"/>
          <w:lang w:val="en-GB"/>
        </w:rPr>
        <w:t xml:space="preserve">Federal Office of Radiation Protection, Department Radiation Protection and Health, </w:t>
      </w:r>
      <w:proofErr w:type="spellStart"/>
      <w:r>
        <w:rPr>
          <w:rFonts w:cs="Times New Roman"/>
          <w:lang w:val="en-GB"/>
        </w:rPr>
        <w:t>Oberschleissheim</w:t>
      </w:r>
      <w:proofErr w:type="spellEnd"/>
      <w:r>
        <w:rPr>
          <w:rFonts w:cs="Times New Roman"/>
          <w:lang w:val="en-GB"/>
        </w:rPr>
        <w:t>, Germany;</w:t>
      </w:r>
    </w:p>
    <w:p>
      <w:pPr>
        <w:spacing w:after="0" w:line="360" w:lineRule="auto"/>
        <w:rPr>
          <w:rFonts w:cs="Times New Roman"/>
          <w:lang w:val="en-GB"/>
        </w:rPr>
      </w:pPr>
      <w:r>
        <w:rPr>
          <w:rFonts w:cs="Times New Roman"/>
          <w:vertAlign w:val="superscript"/>
          <w:lang w:val="en-GB"/>
        </w:rPr>
        <w:t>7</w:t>
      </w:r>
      <w:r>
        <w:rPr>
          <w:rFonts w:cs="Times New Roman"/>
          <w:lang w:val="en-GB"/>
        </w:rPr>
        <w:t>Technical University of Munich (TUM), School of Medicine, 80333 Munich, Germany</w:t>
      </w:r>
    </w:p>
    <w:p>
      <w:pPr>
        <w:spacing w:after="0" w:line="360" w:lineRule="auto"/>
        <w:rPr>
          <w:rFonts w:cs="Times New Roman"/>
          <w:lang w:val="en-GB"/>
        </w:rPr>
      </w:pPr>
      <w:r>
        <w:rPr>
          <w:rFonts w:cs="Times New Roman"/>
          <w:vertAlign w:val="superscript"/>
          <w:lang w:val="en-GB"/>
        </w:rPr>
        <w:t>10</w:t>
      </w:r>
      <w:r>
        <w:rPr>
          <w:rFonts w:cs="Times New Roman"/>
          <w:lang w:val="en-GB"/>
        </w:rPr>
        <w:t xml:space="preserve">Lehrstuhl </w:t>
      </w:r>
      <w:proofErr w:type="spellStart"/>
      <w:r>
        <w:rPr>
          <w:rFonts w:cs="Times New Roman"/>
          <w:lang w:val="en-GB"/>
        </w:rPr>
        <w:t>für</w:t>
      </w:r>
      <w:proofErr w:type="spellEnd"/>
      <w:r>
        <w:rPr>
          <w:rFonts w:cs="Times New Roman"/>
          <w:lang w:val="en-GB"/>
        </w:rPr>
        <w:t xml:space="preserve"> </w:t>
      </w:r>
      <w:proofErr w:type="spellStart"/>
      <w:r>
        <w:rPr>
          <w:rFonts w:cs="Times New Roman"/>
          <w:lang w:val="en-GB"/>
        </w:rPr>
        <w:t>Experimentelle</w:t>
      </w:r>
      <w:proofErr w:type="spellEnd"/>
      <w:r>
        <w:rPr>
          <w:rFonts w:cs="Times New Roman"/>
          <w:lang w:val="en-GB"/>
        </w:rPr>
        <w:t xml:space="preserve"> </w:t>
      </w:r>
      <w:proofErr w:type="spellStart"/>
      <w:r>
        <w:rPr>
          <w:rFonts w:cs="Times New Roman"/>
          <w:lang w:val="en-GB"/>
        </w:rPr>
        <w:t>Genetik</w:t>
      </w:r>
      <w:proofErr w:type="spellEnd"/>
      <w:r>
        <w:rPr>
          <w:rFonts w:cs="Times New Roman"/>
          <w:lang w:val="en-GB"/>
        </w:rPr>
        <w:t xml:space="preserve">, Technical University of Munich, 85350 </w:t>
      </w:r>
      <w:proofErr w:type="spellStart"/>
      <w:r>
        <w:rPr>
          <w:rFonts w:cs="Times New Roman"/>
          <w:lang w:val="en-GB"/>
        </w:rPr>
        <w:t>Freising-Weihenstephan</w:t>
      </w:r>
      <w:proofErr w:type="spellEnd"/>
      <w:r>
        <w:rPr>
          <w:rFonts w:cs="Times New Roman"/>
          <w:lang w:val="en-GB"/>
        </w:rPr>
        <w:t>, Germany;</w:t>
      </w:r>
    </w:p>
    <w:p>
      <w:pPr>
        <w:spacing w:after="0" w:line="360" w:lineRule="auto"/>
        <w:rPr>
          <w:rFonts w:cs="Times New Roman"/>
          <w:lang w:val="en-GB"/>
        </w:rPr>
      </w:pPr>
      <w:r>
        <w:rPr>
          <w:rFonts w:cs="Times New Roman"/>
          <w:vertAlign w:val="superscript"/>
          <w:lang w:val="en-GB"/>
        </w:rPr>
        <w:t>11</w:t>
      </w:r>
      <w:r>
        <w:rPr>
          <w:rFonts w:cs="Times New Roman"/>
          <w:lang w:val="en-GB"/>
        </w:rPr>
        <w:t>Department of Biochemistry, Yong Loo Lin School of Medicine, National University of Singapore, 8 Medical Drive, Singapore 117597, Singapore</w:t>
      </w:r>
    </w:p>
    <w:p>
      <w:pPr>
        <w:spacing w:after="0" w:line="360" w:lineRule="auto"/>
        <w:rPr>
          <w:rFonts w:cs="Times New Roman"/>
          <w:lang w:val="en-GB"/>
        </w:rPr>
      </w:pPr>
    </w:p>
    <w:p>
      <w:pPr>
        <w:spacing w:after="0" w:line="360" w:lineRule="auto"/>
        <w:jc w:val="both"/>
        <w:rPr>
          <w:rFonts w:cs="Times New Roman"/>
          <w:lang w:val="en-GB"/>
        </w:rPr>
      </w:pPr>
      <w:r>
        <w:rPr>
          <w:rFonts w:cs="Times New Roman"/>
          <w:vertAlign w:val="superscript"/>
          <w:lang w:val="en-GB"/>
        </w:rPr>
        <w:t>#</w:t>
      </w:r>
      <w:r>
        <w:rPr>
          <w:rFonts w:cs="Times New Roman"/>
          <w:lang w:val="en-GB"/>
        </w:rPr>
        <w:t xml:space="preserve"> retired</w:t>
      </w:r>
    </w:p>
    <w:p>
      <w:pPr>
        <w:spacing w:after="0" w:line="360" w:lineRule="auto"/>
        <w:jc w:val="both"/>
        <w:rPr>
          <w:rFonts w:cs="Times New Roman"/>
          <w:lang w:val="en-GB"/>
        </w:rPr>
      </w:pPr>
    </w:p>
    <w:p>
      <w:pPr>
        <w:spacing w:after="0" w:line="360" w:lineRule="auto"/>
        <w:jc w:val="both"/>
        <w:rPr>
          <w:rFonts w:cs="Times New Roman"/>
          <w:lang w:val="en-GB"/>
        </w:rPr>
      </w:pPr>
    </w:p>
    <w:p>
      <w:pPr>
        <w:spacing w:after="0" w:line="360" w:lineRule="auto"/>
        <w:jc w:val="both"/>
        <w:rPr>
          <w:rFonts w:cs="Times New Roman"/>
          <w:lang w:val="en-GB"/>
        </w:rPr>
      </w:pPr>
    </w:p>
    <w:p>
      <w:pPr>
        <w:spacing w:after="0" w:line="360" w:lineRule="auto"/>
        <w:jc w:val="both"/>
        <w:rPr>
          <w:rFonts w:cs="Times New Roman"/>
          <w:lang w:val="en-GB"/>
        </w:rPr>
      </w:pPr>
    </w:p>
    <w:p>
      <w:pPr>
        <w:spacing w:after="0" w:line="360" w:lineRule="auto"/>
        <w:jc w:val="both"/>
        <w:rPr>
          <w:rFonts w:cs="Times New Roman"/>
          <w:lang w:val="en-GB"/>
        </w:rPr>
      </w:pPr>
    </w:p>
    <w:p>
      <w:pPr>
        <w:spacing w:after="0" w:line="240" w:lineRule="auto"/>
        <w:rPr>
          <w:rFonts w:cs="Times New Roman"/>
          <w:b/>
          <w:u w:val="single"/>
          <w:lang w:val="en-GB"/>
        </w:rPr>
      </w:pPr>
      <w:r>
        <w:rPr>
          <w:rFonts w:cs="Times New Roman"/>
          <w:b/>
          <w:u w:val="single"/>
          <w:lang w:val="en-GB"/>
        </w:rPr>
        <w:t>*Corresponding author:</w:t>
      </w:r>
    </w:p>
    <w:p>
      <w:pPr>
        <w:spacing w:after="0" w:line="240" w:lineRule="auto"/>
        <w:rPr>
          <w:rFonts w:cs="Times New Roman"/>
          <w:lang w:val="en-GB"/>
        </w:rPr>
      </w:pPr>
      <w:r>
        <w:rPr>
          <w:rFonts w:cs="Times New Roman"/>
          <w:lang w:val="en-GB"/>
        </w:rPr>
        <w:t xml:space="preserve">Dr. Claudia Dalke </w:t>
      </w:r>
    </w:p>
    <w:p>
      <w:pPr>
        <w:spacing w:after="0" w:line="240" w:lineRule="auto"/>
        <w:rPr>
          <w:rFonts w:cs="Times New Roman"/>
          <w:lang w:val="en-GB"/>
        </w:rPr>
      </w:pPr>
      <w:r>
        <w:rPr>
          <w:rFonts w:cs="Times New Roman"/>
          <w:lang w:val="en-GB"/>
        </w:rPr>
        <w:t xml:space="preserve">ORCID-ID: </w:t>
      </w:r>
      <w:r>
        <w:rPr>
          <w:rStyle w:val="orcid-id"/>
          <w:lang w:val="en-GB"/>
        </w:rPr>
        <w:t>0000-0002-8040-4464</w:t>
      </w:r>
    </w:p>
    <w:p>
      <w:pPr>
        <w:spacing w:after="0" w:line="240" w:lineRule="auto"/>
        <w:rPr>
          <w:lang w:val="en-GB"/>
        </w:rPr>
      </w:pPr>
      <w:r>
        <w:rPr>
          <w:lang w:val="en-GB"/>
        </w:rPr>
        <w:t xml:space="preserve">Present address: </w:t>
      </w:r>
    </w:p>
    <w:p>
      <w:pPr>
        <w:spacing w:after="0" w:line="240" w:lineRule="auto"/>
        <w:rPr>
          <w:lang w:val="en-GB"/>
        </w:rPr>
      </w:pPr>
      <w:r>
        <w:rPr>
          <w:lang w:val="en-GB"/>
        </w:rPr>
        <w:t xml:space="preserve">Helmholtz </w:t>
      </w:r>
      <w:proofErr w:type="spellStart"/>
      <w:r>
        <w:rPr>
          <w:lang w:val="en-GB"/>
        </w:rPr>
        <w:t>Zentrum</w:t>
      </w:r>
      <w:proofErr w:type="spellEnd"/>
      <w:r>
        <w:rPr>
          <w:lang w:val="en-GB"/>
        </w:rPr>
        <w:t xml:space="preserve"> München </w:t>
      </w:r>
      <w:r>
        <w:rPr>
          <w:bCs/>
          <w:lang w:val="en-GB"/>
        </w:rPr>
        <w:t>GmbH</w:t>
      </w:r>
      <w:r>
        <w:rPr>
          <w:lang w:val="en-GB"/>
        </w:rPr>
        <w:br/>
        <w:t xml:space="preserve">German Research </w:t>
      </w:r>
      <w:proofErr w:type="spellStart"/>
      <w:r>
        <w:rPr>
          <w:lang w:val="en-GB"/>
        </w:rPr>
        <w:t>Center</w:t>
      </w:r>
      <w:proofErr w:type="spellEnd"/>
      <w:r>
        <w:rPr>
          <w:lang w:val="en-GB"/>
        </w:rPr>
        <w:t xml:space="preserve"> for Environmental Health</w:t>
      </w:r>
      <w:r>
        <w:rPr>
          <w:lang w:val="en-GB"/>
        </w:rPr>
        <w:br/>
        <w:t>Institute of Metabolism and Cell Death</w:t>
      </w:r>
      <w:r>
        <w:rPr>
          <w:lang w:val="en-GB"/>
        </w:rPr>
        <w:br/>
      </w:r>
      <w:proofErr w:type="spellStart"/>
      <w:r>
        <w:rPr>
          <w:lang w:val="en-GB"/>
        </w:rPr>
        <w:t>Ingolstädter</w:t>
      </w:r>
      <w:proofErr w:type="spellEnd"/>
      <w:r>
        <w:rPr>
          <w:lang w:val="en-GB"/>
        </w:rPr>
        <w:t xml:space="preserve"> </w:t>
      </w:r>
      <w:proofErr w:type="spellStart"/>
      <w:r>
        <w:rPr>
          <w:lang w:val="en-GB"/>
        </w:rPr>
        <w:t>Landstr</w:t>
      </w:r>
      <w:proofErr w:type="spellEnd"/>
      <w:r>
        <w:rPr>
          <w:lang w:val="en-GB"/>
        </w:rPr>
        <w:t>. 1</w:t>
      </w:r>
      <w:r>
        <w:rPr>
          <w:lang w:val="en-GB"/>
        </w:rPr>
        <w:br/>
        <w:t>85764 Neuherberg</w:t>
      </w:r>
      <w:r>
        <w:rPr>
          <w:lang w:val="en-GB"/>
        </w:rPr>
        <w:br/>
        <w:t>Germany</w:t>
      </w:r>
    </w:p>
    <w:p>
      <w:pPr>
        <w:spacing w:after="0" w:line="240" w:lineRule="auto"/>
        <w:rPr>
          <w:rFonts w:cs="Times New Roman"/>
          <w:color w:val="0000FF"/>
          <w:u w:val="single"/>
        </w:rPr>
      </w:pPr>
      <w:proofErr w:type="spellStart"/>
      <w:r>
        <w:rPr>
          <w:rFonts w:cs="Times New Roman"/>
        </w:rPr>
        <w:t>e-mail</w:t>
      </w:r>
      <w:proofErr w:type="spellEnd"/>
      <w:r>
        <w:rPr>
          <w:rFonts w:cs="Times New Roman"/>
        </w:rPr>
        <w:t xml:space="preserve">: </w:t>
      </w:r>
      <w:hyperlink r:id="rId8">
        <w:r>
          <w:rPr>
            <w:rStyle w:val="InternetLink"/>
          </w:rPr>
          <w:t>dalke@helmholtz-muenchen.de</w:t>
        </w:r>
      </w:hyperlink>
      <w:r>
        <w:br w:type="page"/>
      </w:r>
    </w:p>
    <w:p>
      <w:pPr>
        <w:spacing w:after="0" w:line="360" w:lineRule="auto"/>
        <w:jc w:val="both"/>
        <w:rPr>
          <w:rFonts w:cs="Times New Roman"/>
          <w:b/>
          <w:lang w:val="en-GB"/>
        </w:rPr>
      </w:pPr>
      <w:r>
        <w:rPr>
          <w:rFonts w:cs="Times New Roman"/>
          <w:b/>
          <w:lang w:val="en-GB"/>
        </w:rPr>
        <w:lastRenderedPageBreak/>
        <w:t>Abstract</w:t>
      </w:r>
    </w:p>
    <w:p>
      <w:pPr>
        <w:pStyle w:val="Textkrper-Einzug3"/>
        <w:spacing w:line="360" w:lineRule="auto"/>
        <w:ind w:left="0" w:right="1247" w:firstLine="0"/>
        <w:jc w:val="both"/>
        <w:rPr>
          <w:rFonts w:asciiTheme="minorHAnsi" w:hAnsiTheme="minorHAnsi" w:cs="Times New Roman"/>
          <w:sz w:val="22"/>
          <w:szCs w:val="22"/>
          <w:lang w:val="en-GB"/>
        </w:rPr>
      </w:pPr>
      <w:r>
        <w:rPr>
          <w:rFonts w:asciiTheme="minorHAnsi" w:hAnsiTheme="minorHAnsi" w:cs="Times New Roman"/>
          <w:sz w:val="22"/>
          <w:szCs w:val="22"/>
          <w:lang w:val="en-GB"/>
        </w:rPr>
        <w:t xml:space="preserve">The long-term effect of low and moderate doses of ionizing radiation on the lens is still a matter of debate. Here, we describe the detailed histological analysis of mouse cohorts 4 hours (reference), 12, 18 and 24 months after a single irradiation with doses from 0.063 to 0.5 </w:t>
      </w:r>
      <w:proofErr w:type="spellStart"/>
      <w:r>
        <w:rPr>
          <w:rFonts w:asciiTheme="minorHAnsi" w:hAnsiTheme="minorHAnsi" w:cs="Times New Roman"/>
          <w:sz w:val="22"/>
          <w:szCs w:val="22"/>
          <w:lang w:val="en-GB"/>
        </w:rPr>
        <w:t>Gy</w:t>
      </w:r>
      <w:proofErr w:type="spellEnd"/>
      <w:r>
        <w:rPr>
          <w:rFonts w:asciiTheme="minorHAnsi" w:hAnsiTheme="minorHAnsi" w:cs="Times New Roman"/>
          <w:sz w:val="22"/>
          <w:szCs w:val="22"/>
          <w:lang w:val="en-GB"/>
        </w:rPr>
        <w:t xml:space="preserve">. This analysis revealed changes that rarely </w:t>
      </w:r>
      <w:proofErr w:type="gramStart"/>
      <w:r>
        <w:rPr>
          <w:rFonts w:asciiTheme="minorHAnsi" w:hAnsiTheme="minorHAnsi" w:cs="Times New Roman"/>
          <w:sz w:val="22"/>
          <w:szCs w:val="22"/>
          <w:lang w:val="en-GB"/>
        </w:rPr>
        <w:t>can be observed</w:t>
      </w:r>
      <w:proofErr w:type="gramEnd"/>
      <w:r>
        <w:rPr>
          <w:rFonts w:asciiTheme="minorHAnsi" w:hAnsiTheme="minorHAnsi" w:cs="Times New Roman"/>
          <w:sz w:val="22"/>
          <w:szCs w:val="22"/>
          <w:lang w:val="en-GB"/>
        </w:rPr>
        <w:t xml:space="preserve"> by using Scheimpflug imaging, as we reported previously. We detected a significant increase of posterior subcapsular cataracts 18 and 24 months after irradiation with 0.5 </w:t>
      </w:r>
      <w:proofErr w:type="spellStart"/>
      <w:r>
        <w:rPr>
          <w:rFonts w:asciiTheme="minorHAnsi" w:hAnsiTheme="minorHAnsi" w:cs="Times New Roman"/>
          <w:sz w:val="22"/>
          <w:szCs w:val="22"/>
          <w:lang w:val="en-GB"/>
        </w:rPr>
        <w:t>Gy</w:t>
      </w:r>
      <w:proofErr w:type="spellEnd"/>
      <w:r>
        <w:rPr>
          <w:rFonts w:asciiTheme="minorHAnsi" w:hAnsiTheme="minorHAnsi" w:cs="Times New Roman"/>
          <w:sz w:val="22"/>
          <w:szCs w:val="22"/>
          <w:lang w:val="en-GB"/>
        </w:rPr>
        <w:t xml:space="preserve"> (odds ratio 9.3; </w:t>
      </w:r>
      <w:proofErr w:type="gramStart"/>
      <w:r>
        <w:rPr>
          <w:rFonts w:asciiTheme="minorHAnsi" w:hAnsiTheme="minorHAnsi" w:cs="Times New Roman"/>
          <w:sz w:val="22"/>
          <w:szCs w:val="22"/>
          <w:lang w:val="en-GB"/>
        </w:rPr>
        <w:t>95%-confidence</w:t>
      </w:r>
      <w:proofErr w:type="gramEnd"/>
      <w:r>
        <w:rPr>
          <w:rFonts w:asciiTheme="minorHAnsi" w:hAnsiTheme="minorHAnsi" w:cs="Times New Roman"/>
          <w:sz w:val="22"/>
          <w:szCs w:val="22"/>
          <w:lang w:val="en-GB"/>
        </w:rPr>
        <w:t xml:space="preserve"> interval 2.1 – 41.3) independent of sex and genotype. Doses below 0.5 </w:t>
      </w:r>
      <w:proofErr w:type="spellStart"/>
      <w:r>
        <w:rPr>
          <w:rFonts w:asciiTheme="minorHAnsi" w:hAnsiTheme="minorHAnsi" w:cs="Times New Roman"/>
          <w:sz w:val="22"/>
          <w:szCs w:val="22"/>
          <w:lang w:val="en-GB"/>
        </w:rPr>
        <w:t>Gy</w:t>
      </w:r>
      <w:proofErr w:type="spellEnd"/>
      <w:r>
        <w:rPr>
          <w:rFonts w:asciiTheme="minorHAnsi" w:hAnsiTheme="minorHAnsi" w:cs="Times New Roman"/>
          <w:sz w:val="22"/>
          <w:szCs w:val="22"/>
          <w:lang w:val="en-GB"/>
        </w:rPr>
        <w:t xml:space="preserve"> (i.e. 0.063 and 0.125 </w:t>
      </w:r>
      <w:proofErr w:type="spellStart"/>
      <w:r>
        <w:rPr>
          <w:rFonts w:asciiTheme="minorHAnsi" w:hAnsiTheme="minorHAnsi" w:cs="Times New Roman"/>
          <w:sz w:val="22"/>
          <w:szCs w:val="22"/>
          <w:lang w:val="en-GB"/>
        </w:rPr>
        <w:t>Gy</w:t>
      </w:r>
      <w:proofErr w:type="spellEnd"/>
      <w:r>
        <w:rPr>
          <w:rFonts w:asciiTheme="minorHAnsi" w:hAnsiTheme="minorHAnsi" w:cs="Times New Roman"/>
          <w:sz w:val="22"/>
          <w:szCs w:val="22"/>
          <w:lang w:val="en-GB"/>
        </w:rPr>
        <w:t>) did not significantly increase the frequency of posterior subcapsular cataracts at any time point.</w:t>
      </w:r>
    </w:p>
    <w:p>
      <w:pPr>
        <w:pStyle w:val="Textkrper-Einzug3"/>
        <w:spacing w:line="360" w:lineRule="auto"/>
        <w:ind w:left="0" w:right="1247" w:firstLine="0"/>
        <w:jc w:val="both"/>
        <w:rPr>
          <w:rFonts w:asciiTheme="minorHAnsi" w:hAnsiTheme="minorHAnsi" w:cs="Times New Roman"/>
          <w:sz w:val="22"/>
          <w:szCs w:val="22"/>
          <w:lang w:val="en-GB"/>
        </w:rPr>
      </w:pPr>
      <w:r>
        <w:rPr>
          <w:rFonts w:asciiTheme="minorHAnsi" w:hAnsiTheme="minorHAnsi" w:cs="Times New Roman"/>
          <w:sz w:val="22"/>
          <w:szCs w:val="22"/>
          <w:lang w:val="en-GB"/>
        </w:rPr>
        <w:t xml:space="preserve">For a better understanding of the underlying mechanisms, metabolomics analyses </w:t>
      </w:r>
      <w:proofErr w:type="gramStart"/>
      <w:r>
        <w:rPr>
          <w:rFonts w:asciiTheme="minorHAnsi" w:hAnsiTheme="minorHAnsi" w:cs="Times New Roman"/>
          <w:sz w:val="22"/>
          <w:szCs w:val="22"/>
          <w:lang w:val="en-GB"/>
        </w:rPr>
        <w:t>were performed</w:t>
      </w:r>
      <w:proofErr w:type="gramEnd"/>
      <w:r>
        <w:rPr>
          <w:rFonts w:asciiTheme="minorHAnsi" w:hAnsiTheme="minorHAnsi" w:cs="Times New Roman"/>
          <w:sz w:val="22"/>
          <w:szCs w:val="22"/>
          <w:lang w:val="en-GB"/>
        </w:rPr>
        <w:t xml:space="preserve"> in lenses and plasma samples of these mouse cohorts. In lenses, we observed a clear effect of sex and aging but not of irradiation or genotype. While metabolomics analyses of plasma from the same mice showed only a sex effect.</w:t>
      </w:r>
    </w:p>
    <w:p>
      <w:pPr>
        <w:pStyle w:val="Textkrper-Einzug3"/>
        <w:spacing w:line="360" w:lineRule="auto"/>
        <w:ind w:left="0" w:right="1247" w:firstLine="0"/>
        <w:jc w:val="both"/>
        <w:rPr>
          <w:rFonts w:asciiTheme="minorHAnsi" w:hAnsiTheme="minorHAnsi" w:cs="Times New Roman"/>
          <w:sz w:val="22"/>
          <w:szCs w:val="22"/>
          <w:lang w:val="en-GB"/>
        </w:rPr>
      </w:pPr>
      <w:r>
        <w:rPr>
          <w:rFonts w:asciiTheme="minorHAnsi" w:hAnsiTheme="minorHAnsi" w:cs="Times New Roman"/>
          <w:sz w:val="22"/>
          <w:szCs w:val="22"/>
          <w:lang w:val="en-GB"/>
        </w:rPr>
        <w:t>This paper demonstrates for the first time a histological confirmation of a slight, but significant increase in the incidence of radiation-induced posterior subcapsular cataracts, which could not be identified using Scheimpflug imaging as the only diagnostic tool.</w:t>
      </w:r>
      <w:bookmarkStart w:id="0" w:name="_GoBack"/>
      <w:bookmarkEnd w:id="0"/>
    </w:p>
    <w:p>
      <w:pPr>
        <w:spacing w:line="360" w:lineRule="auto"/>
        <w:rPr>
          <w:rFonts w:cs="Times New Roman"/>
          <w:lang w:val="en-GB"/>
        </w:rPr>
      </w:pPr>
      <w:r>
        <w:rPr>
          <w:lang w:val="en-GB"/>
        </w:rPr>
        <w:br w:type="page"/>
      </w:r>
      <w:r>
        <w:rPr>
          <w:rFonts w:cs="Times New Roman"/>
          <w:b/>
          <w:lang w:val="en-GB"/>
        </w:rPr>
        <w:lastRenderedPageBreak/>
        <w:t>Introduction</w:t>
      </w:r>
    </w:p>
    <w:p>
      <w:pPr>
        <w:spacing w:after="0" w:line="360" w:lineRule="auto"/>
        <w:jc w:val="both"/>
        <w:rPr>
          <w:rFonts w:cs="Times New Roman"/>
          <w:lang w:val="en-GB"/>
        </w:rPr>
      </w:pPr>
      <w:r>
        <w:rPr>
          <w:rFonts w:cs="Times New Roman"/>
          <w:lang w:val="en-GB"/>
        </w:rPr>
        <w:t>Globally, cataract is the most frequent reason for blindness</w:t>
      </w:r>
      <w:r>
        <w:rPr>
          <w:rFonts w:cs="Times New Roman"/>
          <w:b/>
          <w:color w:val="0070C0"/>
          <w:sz w:val="24"/>
          <w:vertAlign w:val="superscript"/>
          <w:lang w:val="en-GB"/>
        </w:rPr>
        <w:t>1</w:t>
      </w:r>
      <w:r>
        <w:rPr>
          <w:rFonts w:cs="Times New Roman"/>
          <w:lang w:val="en-GB"/>
        </w:rPr>
        <w:t xml:space="preserve">, and it </w:t>
      </w:r>
      <w:proofErr w:type="gramStart"/>
      <w:r>
        <w:rPr>
          <w:rFonts w:cs="Times New Roman"/>
          <w:lang w:val="en-GB"/>
        </w:rPr>
        <w:t>is well established</w:t>
      </w:r>
      <w:proofErr w:type="gramEnd"/>
      <w:r>
        <w:rPr>
          <w:rFonts w:cs="Times New Roman"/>
          <w:lang w:val="en-GB"/>
        </w:rPr>
        <w:t xml:space="preserve"> that the risk for cataracts is increased by ionizing radiation</w:t>
      </w:r>
      <w:r>
        <w:rPr>
          <w:rFonts w:cs="Times New Roman"/>
          <w:b/>
          <w:color w:val="0070C0"/>
          <w:sz w:val="24"/>
          <w:vertAlign w:val="superscript"/>
          <w:lang w:val="en-GB"/>
        </w:rPr>
        <w:t>2</w:t>
      </w:r>
      <w:r>
        <w:rPr>
          <w:rFonts w:cs="Times New Roman"/>
          <w:lang w:val="en-GB"/>
        </w:rPr>
        <w:t>, by ultraviolet radiation</w:t>
      </w:r>
      <w:r>
        <w:rPr>
          <w:rFonts w:cs="Times New Roman"/>
          <w:b/>
          <w:color w:val="0070C0"/>
          <w:sz w:val="24"/>
          <w:vertAlign w:val="superscript"/>
          <w:lang w:val="en-GB"/>
        </w:rPr>
        <w:t>3</w:t>
      </w:r>
      <w:r>
        <w:rPr>
          <w:rFonts w:cs="Times New Roman"/>
          <w:lang w:val="en-GB"/>
        </w:rPr>
        <w:t>, by infrared radiation</w:t>
      </w:r>
      <w:r>
        <w:rPr>
          <w:rFonts w:cs="Times New Roman"/>
          <w:b/>
          <w:color w:val="0070C0"/>
          <w:sz w:val="24"/>
          <w:vertAlign w:val="superscript"/>
          <w:lang w:val="en-GB"/>
        </w:rPr>
        <w:t>4</w:t>
      </w:r>
      <w:r>
        <w:rPr>
          <w:rFonts w:cs="Times New Roman"/>
          <w:lang w:val="en-GB"/>
        </w:rPr>
        <w:t xml:space="preserve"> or by steroid intake</w:t>
      </w:r>
      <w:r>
        <w:rPr>
          <w:rFonts w:cs="Times New Roman"/>
          <w:b/>
          <w:color w:val="0070C0"/>
          <w:sz w:val="24"/>
          <w:vertAlign w:val="superscript"/>
          <w:lang w:val="en-GB"/>
        </w:rPr>
        <w:t>5</w:t>
      </w:r>
      <w:r>
        <w:rPr>
          <w:rFonts w:cs="Times New Roman"/>
          <w:lang w:val="en-GB"/>
        </w:rPr>
        <w:t xml:space="preserve">. Here, we focus on the risk of ionizing radiation to enhance the frequency for cataracts in mice as </w:t>
      </w:r>
      <w:r>
        <w:rPr>
          <w:rFonts w:cs="Times New Roman"/>
          <w:i/>
          <w:lang w:val="en-GB"/>
        </w:rPr>
        <w:t>in vivo</w:t>
      </w:r>
      <w:r>
        <w:rPr>
          <w:rFonts w:cs="Times New Roman"/>
          <w:lang w:val="en-GB"/>
        </w:rPr>
        <w:t xml:space="preserve"> mammalian animal model for the human population. Moreover, in humans, a clear dosimetry is often difficult to perform and the various confounding factors </w:t>
      </w:r>
      <w:proofErr w:type="gramStart"/>
      <w:r>
        <w:rPr>
          <w:rFonts w:cs="Times New Roman"/>
          <w:lang w:val="en-GB"/>
        </w:rPr>
        <w:t>cannot be separated</w:t>
      </w:r>
      <w:proofErr w:type="gramEnd"/>
      <w:r>
        <w:rPr>
          <w:rFonts w:cs="Times New Roman"/>
          <w:lang w:val="en-GB"/>
        </w:rPr>
        <w:t xml:space="preserve"> easily.</w:t>
      </w:r>
    </w:p>
    <w:p>
      <w:pPr>
        <w:spacing w:after="0" w:line="360" w:lineRule="auto"/>
        <w:jc w:val="both"/>
        <w:rPr>
          <w:rFonts w:cs="Times New Roman"/>
          <w:lang w:val="en-GB"/>
        </w:rPr>
      </w:pPr>
      <w:r>
        <w:rPr>
          <w:rFonts w:cs="Times New Roman"/>
          <w:lang w:val="en-GB"/>
        </w:rPr>
        <w:t xml:space="preserve">In mice, data on cataracts caused by ionizing radiation have been reported from the 1950s onward, when dot-like vacuoles in the posterior poles of the lenses of whole-body irradiated mice (RF strain) were observed at doses of 33 rep (~0.3 </w:t>
      </w:r>
      <w:proofErr w:type="spellStart"/>
      <w:r>
        <w:rPr>
          <w:rFonts w:cs="Times New Roman"/>
          <w:lang w:val="en-GB"/>
        </w:rPr>
        <w:t>Gy</w:t>
      </w:r>
      <w:proofErr w:type="spellEnd"/>
      <w:r>
        <w:rPr>
          <w:rFonts w:cs="Times New Roman"/>
          <w:lang w:val="en-GB"/>
        </w:rPr>
        <w:t>) earlier than in lenses of the control group. However, these minimal opacities did not advance beyond those developed in the control mice 5 months later</w:t>
      </w:r>
      <w:r>
        <w:rPr>
          <w:rFonts w:cs="Times New Roman"/>
          <w:b/>
          <w:color w:val="0070C0"/>
          <w:sz w:val="24"/>
          <w:vertAlign w:val="superscript"/>
          <w:lang w:val="en-GB"/>
        </w:rPr>
        <w:t>6</w:t>
      </w:r>
      <w:r>
        <w:rPr>
          <w:rFonts w:cs="Times New Roman"/>
          <w:lang w:val="en-GB"/>
        </w:rPr>
        <w:t xml:space="preserve">. Similarly, the occurrence of posterior polar vacuoles in lenses of some albino Swiss mice were observed one year after X-ray irradiation with 100 or 300 r (~960 or ~2850 </w:t>
      </w:r>
      <w:proofErr w:type="spellStart"/>
      <w:r>
        <w:rPr>
          <w:rFonts w:cs="Times New Roman"/>
          <w:lang w:val="en-GB"/>
        </w:rPr>
        <w:t>mGy</w:t>
      </w:r>
      <w:proofErr w:type="spellEnd"/>
      <w:r>
        <w:rPr>
          <w:rFonts w:cs="Times New Roman"/>
          <w:lang w:val="en-GB"/>
        </w:rPr>
        <w:t>)</w:t>
      </w:r>
      <w:r>
        <w:rPr>
          <w:rFonts w:cs="Times New Roman"/>
          <w:b/>
          <w:color w:val="0070C0"/>
          <w:sz w:val="24"/>
          <w:vertAlign w:val="superscript"/>
          <w:lang w:val="en-GB"/>
        </w:rPr>
        <w:t>7</w:t>
      </w:r>
      <w:r>
        <w:rPr>
          <w:rFonts w:cs="Times New Roman"/>
          <w:lang w:val="en-GB"/>
        </w:rPr>
        <w:t xml:space="preserve">. A decade later, data of RF mice exposed to similar doses </w:t>
      </w:r>
      <w:proofErr w:type="gramStart"/>
      <w:r>
        <w:rPr>
          <w:rFonts w:cs="Times New Roman"/>
          <w:lang w:val="en-GB"/>
        </w:rPr>
        <w:t>were published</w:t>
      </w:r>
      <w:proofErr w:type="gramEnd"/>
      <w:r>
        <w:rPr>
          <w:rFonts w:cs="Times New Roman"/>
          <w:lang w:val="en-GB"/>
        </w:rPr>
        <w:t>. The authors expressed their data as “mean observed (lens) opacity”, which reached ~35% in all groups after about 1.5 years of observation; however, in the exposed groups the increase in lens opacity was faster than in the control group</w:t>
      </w:r>
      <w:r>
        <w:rPr>
          <w:rFonts w:cs="Times New Roman"/>
          <w:b/>
          <w:color w:val="0070C0"/>
          <w:sz w:val="24"/>
          <w:vertAlign w:val="superscript"/>
          <w:lang w:val="en-GB"/>
        </w:rPr>
        <w:t>8</w:t>
      </w:r>
      <w:r>
        <w:rPr>
          <w:rFonts w:cs="Times New Roman"/>
          <w:lang w:val="en-GB"/>
        </w:rPr>
        <w:t xml:space="preserve"> (the scoring system was described by </w:t>
      </w:r>
      <w:proofErr w:type="spellStart"/>
      <w:r>
        <w:rPr>
          <w:rFonts w:cs="Times New Roman"/>
          <w:lang w:val="en-GB"/>
        </w:rPr>
        <w:t>Christenberry</w:t>
      </w:r>
      <w:proofErr w:type="spellEnd"/>
      <w:r>
        <w:rPr>
          <w:rFonts w:cs="Times New Roman"/>
          <w:lang w:val="en-GB"/>
        </w:rPr>
        <w:t xml:space="preserve"> </w:t>
      </w:r>
      <w:proofErr w:type="gramStart"/>
      <w:r>
        <w:rPr>
          <w:rFonts w:cs="Times New Roman"/>
          <w:lang w:val="en-GB"/>
        </w:rPr>
        <w:t>et</w:t>
      </w:r>
      <w:proofErr w:type="gramEnd"/>
      <w:r>
        <w:rPr>
          <w:rFonts w:cs="Times New Roman"/>
          <w:lang w:val="en-GB"/>
        </w:rPr>
        <w:t xml:space="preserve"> al.</w:t>
      </w:r>
      <w:r>
        <w:rPr>
          <w:rFonts w:cs="Times New Roman"/>
          <w:b/>
          <w:color w:val="0070C0"/>
          <w:sz w:val="24"/>
          <w:vertAlign w:val="superscript"/>
          <w:lang w:val="en-GB"/>
        </w:rPr>
        <w:t>9</w:t>
      </w:r>
      <w:r>
        <w:rPr>
          <w:rFonts w:cs="Times New Roman"/>
          <w:lang w:val="en-GB"/>
        </w:rPr>
        <w:t>). Later, also heterozygous mouse mutants (</w:t>
      </w:r>
      <w:proofErr w:type="spellStart"/>
      <w:r>
        <w:rPr>
          <w:rFonts w:cs="Times New Roman"/>
          <w:i/>
          <w:lang w:val="en-GB"/>
        </w:rPr>
        <w:t>Atm</w:t>
      </w:r>
      <w:proofErr w:type="spellEnd"/>
      <w:r>
        <w:rPr>
          <w:rFonts w:cs="Times New Roman"/>
          <w:vertAlign w:val="superscript"/>
          <w:lang w:val="en-GB"/>
        </w:rPr>
        <w:t>+/-</w:t>
      </w:r>
      <w:r>
        <w:rPr>
          <w:rFonts w:cs="Times New Roman"/>
          <w:lang w:val="en-GB"/>
        </w:rPr>
        <w:t xml:space="preserve">, </w:t>
      </w:r>
      <w:r>
        <w:rPr>
          <w:rFonts w:cs="Times New Roman"/>
          <w:i/>
          <w:lang w:val="en-GB"/>
        </w:rPr>
        <w:t>Mrad9</w:t>
      </w:r>
      <w:r>
        <w:rPr>
          <w:rFonts w:cs="Times New Roman"/>
          <w:vertAlign w:val="superscript"/>
          <w:lang w:val="en-GB"/>
        </w:rPr>
        <w:t>+/-</w:t>
      </w:r>
      <w:r>
        <w:rPr>
          <w:rFonts w:cs="Times New Roman"/>
          <w:lang w:val="en-GB"/>
        </w:rPr>
        <w:t>) were included into the radiation experiments to find out, whether a partial deficiency in DNA repair processes may increase the sensitivity to ionizing radiation particularly for the induction of cataracts</w:t>
      </w:r>
      <w:r>
        <w:rPr>
          <w:rFonts w:cs="Times New Roman"/>
          <w:b/>
          <w:color w:val="0070C0"/>
          <w:sz w:val="24"/>
          <w:vertAlign w:val="superscript"/>
          <w:lang w:val="en-GB"/>
        </w:rPr>
        <w:t>10</w:t>
      </w:r>
      <w:proofErr w:type="gramStart"/>
      <w:r>
        <w:rPr>
          <w:rFonts w:cs="Times New Roman"/>
          <w:b/>
          <w:color w:val="0070C0"/>
          <w:sz w:val="24"/>
          <w:vertAlign w:val="superscript"/>
          <w:lang w:val="en-GB"/>
        </w:rPr>
        <w:t>,11</w:t>
      </w:r>
      <w:proofErr w:type="gramEnd"/>
      <w:r>
        <w:rPr>
          <w:rFonts w:cs="Times New Roman"/>
          <w:lang w:val="en-GB"/>
        </w:rPr>
        <w:t>. These authors used a slit lamp to detect cataracts together with the grading system developed by Merriam and Focht</w:t>
      </w:r>
      <w:r>
        <w:rPr>
          <w:rFonts w:cs="Times New Roman"/>
          <w:b/>
          <w:color w:val="0070C0"/>
          <w:sz w:val="24"/>
          <w:vertAlign w:val="superscript"/>
          <w:lang w:val="en-GB"/>
        </w:rPr>
        <w:t>12</w:t>
      </w:r>
      <w:r>
        <w:rPr>
          <w:rFonts w:cs="Times New Roman"/>
          <w:lang w:val="en-GB"/>
        </w:rPr>
        <w:t xml:space="preserve"> for scoring. Grade-1 cataracts were observed in all wild-type mice 33 weeks after irradiation (0.5 </w:t>
      </w:r>
      <w:proofErr w:type="spellStart"/>
      <w:r>
        <w:rPr>
          <w:rFonts w:cs="Times New Roman"/>
          <w:lang w:val="en-GB"/>
        </w:rPr>
        <w:t>Gy</w:t>
      </w:r>
      <w:proofErr w:type="spellEnd"/>
      <w:r>
        <w:rPr>
          <w:rFonts w:cs="Times New Roman"/>
          <w:lang w:val="en-GB"/>
        </w:rPr>
        <w:t>, X-ray), but almost none in the untreated controls</w:t>
      </w:r>
      <w:r>
        <w:rPr>
          <w:rFonts w:cs="Times New Roman"/>
          <w:b/>
          <w:color w:val="0070C0"/>
          <w:sz w:val="24"/>
          <w:vertAlign w:val="superscript"/>
          <w:lang w:val="en-GB"/>
        </w:rPr>
        <w:t>10</w:t>
      </w:r>
      <w:r>
        <w:rPr>
          <w:rFonts w:cs="Times New Roman"/>
          <w:lang w:val="en-GB"/>
        </w:rPr>
        <w:t xml:space="preserve">. Moreover, even grade-2 (“vision-impairing”) cataracts appeared in irradiated mice 55 weeks after exposure to 0.5 </w:t>
      </w:r>
      <w:proofErr w:type="spellStart"/>
      <w:r>
        <w:rPr>
          <w:rFonts w:cs="Times New Roman"/>
          <w:lang w:val="en-GB"/>
        </w:rPr>
        <w:t>Gy</w:t>
      </w:r>
      <w:proofErr w:type="spellEnd"/>
      <w:r>
        <w:rPr>
          <w:rFonts w:cs="Times New Roman"/>
          <w:lang w:val="en-GB"/>
        </w:rPr>
        <w:t>; in this cohort, the heterozygous mutants were more radiosensitive than the wild-type mice. Compared to the contralateral, unexposed eyes, the irradiated eyes developed cataracts ~9 weeks earlier and at a higher frequency</w:t>
      </w:r>
      <w:r>
        <w:rPr>
          <w:rFonts w:cs="Times New Roman"/>
          <w:b/>
          <w:color w:val="0070C0"/>
          <w:sz w:val="24"/>
          <w:vertAlign w:val="superscript"/>
          <w:lang w:val="en-GB"/>
        </w:rPr>
        <w:t>11</w:t>
      </w:r>
      <w:r>
        <w:rPr>
          <w:rFonts w:cs="Times New Roman"/>
          <w:lang w:val="en-GB"/>
        </w:rPr>
        <w:t>.</w:t>
      </w:r>
    </w:p>
    <w:p>
      <w:pPr>
        <w:spacing w:after="0" w:line="360" w:lineRule="auto"/>
        <w:jc w:val="both"/>
        <w:rPr>
          <w:rFonts w:cs="Times New Roman"/>
          <w:lang w:val="en-GB"/>
        </w:rPr>
      </w:pPr>
      <w:r>
        <w:rPr>
          <w:rFonts w:cs="Times New Roman"/>
          <w:lang w:val="en-GB"/>
        </w:rPr>
        <w:t>One of the common assumptions in radiation biology is that the eye lens is more radiation sensitive than other organs. Similar statements are found in many papers dealing with this topic</w:t>
      </w:r>
      <w:r>
        <w:rPr>
          <w:rFonts w:cs="Times New Roman"/>
          <w:b/>
          <w:color w:val="0070C0"/>
          <w:sz w:val="24"/>
          <w:vertAlign w:val="superscript"/>
          <w:lang w:val="en-GB"/>
        </w:rPr>
        <w:t>6</w:t>
      </w:r>
      <w:proofErr w:type="gramStart"/>
      <w:r>
        <w:rPr>
          <w:rFonts w:cs="Times New Roman"/>
          <w:b/>
          <w:color w:val="0070C0"/>
          <w:sz w:val="24"/>
          <w:vertAlign w:val="superscript"/>
          <w:lang w:val="en-GB"/>
        </w:rPr>
        <w:t>,13</w:t>
      </w:r>
      <w:proofErr w:type="gramEnd"/>
      <w:r>
        <w:rPr>
          <w:rFonts w:cs="Times New Roman"/>
          <w:lang w:val="en-GB"/>
        </w:rPr>
        <w:t xml:space="preserve">. To test this argument, we established a lifetime study in mice, where we used a single whole-body irradiation at the age of 10 weeks and monitored several organs over a period of 24 months. Two years after irradiation with 0.5 </w:t>
      </w:r>
      <w:proofErr w:type="spellStart"/>
      <w:proofErr w:type="gramStart"/>
      <w:r>
        <w:rPr>
          <w:rFonts w:cs="Times New Roman"/>
          <w:lang w:val="en-GB"/>
        </w:rPr>
        <w:t>Gy</w:t>
      </w:r>
      <w:proofErr w:type="spellEnd"/>
      <w:proofErr w:type="gramEnd"/>
      <w:r>
        <w:rPr>
          <w:rFonts w:cs="Times New Roman"/>
          <w:lang w:val="en-GB"/>
        </w:rPr>
        <w:t xml:space="preserve"> we observed only minor effects on the eye, but roughly half of the cohort had died because of various tumours or age-related disorders</w:t>
      </w:r>
      <w:r>
        <w:rPr>
          <w:rFonts w:cs="Times New Roman"/>
          <w:b/>
          <w:color w:val="0070C0"/>
          <w:sz w:val="24"/>
          <w:vertAlign w:val="superscript"/>
          <w:lang w:val="en-GB"/>
        </w:rPr>
        <w:t>14</w:t>
      </w:r>
      <w:r>
        <w:rPr>
          <w:rFonts w:cs="Times New Roman"/>
          <w:lang w:val="en-GB"/>
        </w:rPr>
        <w:t>, which questions the higher radiation sensitivity of the eye lens compared to other organs.</w:t>
      </w:r>
    </w:p>
    <w:p>
      <w:pPr>
        <w:spacing w:after="0" w:line="360" w:lineRule="auto"/>
        <w:jc w:val="both"/>
        <w:rPr>
          <w:rFonts w:cs="Times New Roman"/>
          <w:lang w:val="en-GB"/>
        </w:rPr>
      </w:pPr>
      <w:r>
        <w:rPr>
          <w:rFonts w:cs="Times New Roman"/>
          <w:lang w:val="en-GB"/>
        </w:rPr>
        <w:t xml:space="preserve">Another concern regards the scoring of the </w:t>
      </w:r>
      <w:proofErr w:type="spellStart"/>
      <w:r>
        <w:rPr>
          <w:rFonts w:cs="Times New Roman"/>
          <w:lang w:val="en-GB"/>
        </w:rPr>
        <w:t>cataractous</w:t>
      </w:r>
      <w:proofErr w:type="spellEnd"/>
      <w:r>
        <w:rPr>
          <w:rFonts w:cs="Times New Roman"/>
          <w:lang w:val="en-GB"/>
        </w:rPr>
        <w:t xml:space="preserve"> stages, since for a long time slit lamp biometry was the only method used to investigate lens cataracts </w:t>
      </w:r>
      <w:r>
        <w:rPr>
          <w:rFonts w:cs="Times New Roman"/>
          <w:i/>
          <w:lang w:val="en-GB"/>
        </w:rPr>
        <w:t>in vivo</w:t>
      </w:r>
      <w:r>
        <w:rPr>
          <w:rFonts w:cs="Times New Roman"/>
          <w:lang w:val="en-GB"/>
        </w:rPr>
        <w:t xml:space="preserve">. These results of the slit lamp examination are usually demonstrated </w:t>
      </w:r>
      <w:proofErr w:type="gramStart"/>
      <w:r>
        <w:rPr>
          <w:rFonts w:cs="Times New Roman"/>
          <w:lang w:val="en-GB"/>
        </w:rPr>
        <w:t>either by a mean of the scores achieved at a given time</w:t>
      </w:r>
      <w:proofErr w:type="gramEnd"/>
      <w:r>
        <w:rPr>
          <w:rFonts w:cs="Times New Roman"/>
          <w:lang w:val="en-GB"/>
        </w:rPr>
        <w:t xml:space="preserve"> after irradiation or by the </w:t>
      </w:r>
      <w:r>
        <w:rPr>
          <w:rFonts w:cs="Times New Roman"/>
          <w:lang w:val="en-GB"/>
        </w:rPr>
        <w:lastRenderedPageBreak/>
        <w:t xml:space="preserve">percentage of mice showing a certain score at a particular time. </w:t>
      </w:r>
      <w:proofErr w:type="gramStart"/>
      <w:r>
        <w:rPr>
          <w:rFonts w:cs="Times New Roman"/>
          <w:lang w:val="en-GB"/>
        </w:rPr>
        <w:t>First</w:t>
      </w:r>
      <w:proofErr w:type="gramEnd"/>
      <w:r>
        <w:rPr>
          <w:rFonts w:cs="Times New Roman"/>
          <w:lang w:val="en-GB"/>
        </w:rPr>
        <w:t xml:space="preserve"> the Scheimpflug imaging method enabled systematic cataract measurements in mouse ophthalmology</w:t>
      </w:r>
      <w:r>
        <w:rPr>
          <w:rFonts w:cs="Times New Roman"/>
          <w:b/>
          <w:color w:val="0070C0"/>
          <w:sz w:val="24"/>
          <w:vertAlign w:val="superscript"/>
          <w:lang w:val="en-GB"/>
        </w:rPr>
        <w:t>15</w:t>
      </w:r>
      <w:r>
        <w:rPr>
          <w:rFonts w:cs="Times New Roman"/>
          <w:lang w:val="en-GB"/>
        </w:rPr>
        <w:t>. Moreover, Scheimpflug imaging is able to determine the overall lens opacity in a quantitative manner, which allows an easy statistical analysis. Using this new technique, we observed a slight, but significant dose-dependent increase of the lens density by just 1% during the 2-years observation period in the above-mentioned lifetime study</w:t>
      </w:r>
      <w:r>
        <w:rPr>
          <w:rFonts w:cs="ClvtsmSTIX-Regular"/>
          <w:lang w:val="en-GB"/>
        </w:rPr>
        <w:t>. In comparison, the effect of age was a 2% increase in lens opacity</w:t>
      </w:r>
      <w:r>
        <w:rPr>
          <w:rFonts w:cs="Times New Roman"/>
          <w:b/>
          <w:color w:val="0070C0"/>
          <w:sz w:val="24"/>
          <w:vertAlign w:val="superscript"/>
          <w:lang w:val="en-GB"/>
        </w:rPr>
        <w:t>14</w:t>
      </w:r>
      <w:r>
        <w:rPr>
          <w:rFonts w:cs="Times New Roman"/>
          <w:lang w:val="en-GB"/>
        </w:rPr>
        <w:t xml:space="preserve">. However, one of the major questions was, whether or not Scheimpflug imaging is able to detect posterior-subcapsular changes in the mouse lenses. To validate the Scheimpflug images, we collected eyes from parallel cohorts and analysed them by histology. Here, we report posterior subcapsular cataracts that </w:t>
      </w:r>
      <w:proofErr w:type="gramStart"/>
      <w:r>
        <w:rPr>
          <w:rFonts w:cs="Times New Roman"/>
          <w:lang w:val="en-GB"/>
        </w:rPr>
        <w:t>could not be detected</w:t>
      </w:r>
      <w:proofErr w:type="gramEnd"/>
      <w:r>
        <w:rPr>
          <w:rFonts w:cs="Times New Roman"/>
          <w:lang w:val="en-GB"/>
        </w:rPr>
        <w:t xml:space="preserve"> by Scheimpflug imaging. Moreover, to get a better understanding of the </w:t>
      </w:r>
      <w:proofErr w:type="gramStart"/>
      <w:r>
        <w:rPr>
          <w:rFonts w:cs="Times New Roman"/>
          <w:lang w:val="en-GB"/>
        </w:rPr>
        <w:t>radiation induced</w:t>
      </w:r>
      <w:proofErr w:type="gramEnd"/>
      <w:r>
        <w:rPr>
          <w:rFonts w:cs="Times New Roman"/>
          <w:lang w:val="en-GB"/>
        </w:rPr>
        <w:t xml:space="preserve"> processes, we performed </w:t>
      </w:r>
      <w:proofErr w:type="spellStart"/>
      <w:r>
        <w:rPr>
          <w:rFonts w:cs="Times New Roman"/>
          <w:lang w:val="en-GB"/>
        </w:rPr>
        <w:t>metabolomic</w:t>
      </w:r>
      <w:proofErr w:type="spellEnd"/>
      <w:r>
        <w:rPr>
          <w:rFonts w:cs="Times New Roman"/>
          <w:lang w:val="en-GB"/>
        </w:rPr>
        <w:t xml:space="preserve"> measurements in eye lenses and plasma. Radiation effects on the metabolome of lenses and plasma </w:t>
      </w:r>
      <w:proofErr w:type="gramStart"/>
      <w:r>
        <w:rPr>
          <w:rFonts w:cs="Times New Roman"/>
          <w:lang w:val="en-GB"/>
        </w:rPr>
        <w:t>could not be observed</w:t>
      </w:r>
      <w:proofErr w:type="gramEnd"/>
      <w:r>
        <w:rPr>
          <w:rFonts w:cs="Times New Roman"/>
          <w:lang w:val="en-GB"/>
        </w:rPr>
        <w:t>, however, age effects in lenses were detectable.</w:t>
      </w:r>
    </w:p>
    <w:p>
      <w:pPr>
        <w:spacing w:after="0" w:line="360" w:lineRule="auto"/>
        <w:jc w:val="both"/>
        <w:rPr>
          <w:lang w:val="en-GB"/>
        </w:rPr>
      </w:pPr>
    </w:p>
    <w:p>
      <w:pPr>
        <w:spacing w:after="0" w:line="360" w:lineRule="auto"/>
        <w:jc w:val="both"/>
        <w:rPr>
          <w:rFonts w:cs="Times New Roman"/>
          <w:lang w:val="en-GB"/>
        </w:rPr>
      </w:pPr>
    </w:p>
    <w:p>
      <w:pPr>
        <w:spacing w:after="0" w:line="360" w:lineRule="auto"/>
        <w:rPr>
          <w:rFonts w:cs="Times New Roman"/>
          <w:lang w:val="en-GB"/>
        </w:rPr>
      </w:pPr>
      <w:r>
        <w:rPr>
          <w:rFonts w:cs="Times New Roman"/>
          <w:b/>
          <w:lang w:val="en-GB"/>
        </w:rPr>
        <w:t>Results</w:t>
      </w:r>
    </w:p>
    <w:p>
      <w:pPr>
        <w:spacing w:after="0" w:line="360" w:lineRule="auto"/>
        <w:jc w:val="both"/>
        <w:rPr>
          <w:rFonts w:cs="Times New Roman"/>
          <w:u w:val="single"/>
          <w:lang w:val="en-GB"/>
        </w:rPr>
      </w:pPr>
      <w:r>
        <w:rPr>
          <w:rFonts w:cs="Times New Roman"/>
          <w:u w:val="single"/>
          <w:lang w:val="en-GB"/>
        </w:rPr>
        <w:t>Histology</w:t>
      </w:r>
    </w:p>
    <w:p>
      <w:pPr>
        <w:spacing w:after="0" w:line="360" w:lineRule="auto"/>
        <w:jc w:val="both"/>
        <w:rPr>
          <w:rFonts w:cs="Times New Roman"/>
          <w:lang w:val="en-GB"/>
        </w:rPr>
      </w:pPr>
      <w:r>
        <w:rPr>
          <w:rFonts w:cs="Times New Roman"/>
          <w:lang w:val="en-GB"/>
        </w:rPr>
        <w:t>Using Scheimpflug imaging, we observed a slight increase in lens density over the observation period of 2 years, which we found to be mainly due to aging</w:t>
      </w:r>
      <w:r>
        <w:rPr>
          <w:rFonts w:cs="Times New Roman"/>
          <w:b/>
          <w:color w:val="0070C0"/>
          <w:sz w:val="24"/>
          <w:vertAlign w:val="superscript"/>
          <w:lang w:val="en-GB"/>
        </w:rPr>
        <w:t>14</w:t>
      </w:r>
      <w:r>
        <w:rPr>
          <w:rFonts w:cs="Times New Roman"/>
          <w:lang w:val="en-GB"/>
        </w:rPr>
        <w:t xml:space="preserve">. In particular, there were no severe anterior or nuclear cataracts in any of the groups, and this finding </w:t>
      </w:r>
      <w:proofErr w:type="gramStart"/>
      <w:r>
        <w:rPr>
          <w:rFonts w:cs="Times New Roman"/>
          <w:lang w:val="en-GB"/>
        </w:rPr>
        <w:t>was validated</w:t>
      </w:r>
      <w:proofErr w:type="gramEnd"/>
      <w:r>
        <w:rPr>
          <w:rFonts w:cs="Times New Roman"/>
          <w:lang w:val="en-GB"/>
        </w:rPr>
        <w:t xml:space="preserve"> by a rough estimation of a few histological sections</w:t>
      </w:r>
      <w:r>
        <w:rPr>
          <w:rFonts w:cs="Times New Roman"/>
          <w:b/>
          <w:color w:val="0070C0"/>
          <w:sz w:val="24"/>
          <w:vertAlign w:val="superscript"/>
          <w:lang w:val="en-GB"/>
        </w:rPr>
        <w:t>14</w:t>
      </w:r>
      <w:r>
        <w:rPr>
          <w:rFonts w:cs="Times New Roman"/>
          <w:lang w:val="en-GB"/>
        </w:rPr>
        <w:t xml:space="preserve">. However, for a more detailed analysis, we systematically investigated all eyes (n=41-44/time point) collected 4 hours, 12, 18 and 24 months after irradiation for aberrations of the lenses in histological sections. While several phenotypical changes </w:t>
      </w:r>
      <w:proofErr w:type="gramStart"/>
      <w:r>
        <w:rPr>
          <w:rFonts w:cs="Times New Roman"/>
          <w:lang w:val="en-GB"/>
        </w:rPr>
        <w:t>were observed</w:t>
      </w:r>
      <w:proofErr w:type="gramEnd"/>
      <w:r>
        <w:rPr>
          <w:rFonts w:cs="Times New Roman"/>
          <w:lang w:val="en-GB"/>
        </w:rPr>
        <w:t xml:space="preserve"> in the old lenses as outlined below, no histological changes could be found at the early time points after irradiation.</w:t>
      </w:r>
    </w:p>
    <w:p>
      <w:pPr>
        <w:spacing w:after="0" w:line="360" w:lineRule="auto"/>
        <w:jc w:val="both"/>
        <w:rPr>
          <w:rFonts w:cs="Times New Roman"/>
          <w:lang w:val="en-GB"/>
        </w:rPr>
      </w:pPr>
      <w:r>
        <w:rPr>
          <w:rFonts w:cs="Times New Roman"/>
          <w:lang w:val="en-GB"/>
        </w:rPr>
        <w:t xml:space="preserve">For the full analysis, we examined the anterior part of the lenses for enlarged and/or swollen fibre cells, detachment between lens epithelial and underlying fibre cells, fissures, mislocated nuclei and anterior subcapsular cataracts (ASC). Similarly, we screened the lens bow region for enlarged and/or swollen fibre cells, fissures and mislocated nuclei. In addition, we inspected the posterior part of the lens with respect to enlarged and/or swollen fibre cells, fissures, the presence of mislocated cell nuclei and posterior subcapsular cataracts (PSC). Examples of the phenotypical categories </w:t>
      </w:r>
      <w:proofErr w:type="gramStart"/>
      <w:r>
        <w:rPr>
          <w:rFonts w:cs="Times New Roman"/>
          <w:lang w:val="en-GB"/>
        </w:rPr>
        <w:t>are given</w:t>
      </w:r>
      <w:proofErr w:type="gramEnd"/>
      <w:r>
        <w:rPr>
          <w:rFonts w:cs="Times New Roman"/>
          <w:lang w:val="en-GB"/>
        </w:rPr>
        <w:t xml:space="preserve"> in Fig. 1, and the frequencies of their appearance in the eye lenses are shown in supplementary Table 1.</w:t>
      </w:r>
      <w:r>
        <w:rPr>
          <w:lang w:val="en-GB"/>
        </w:rPr>
        <w:t xml:space="preserve"> </w:t>
      </w:r>
      <w:r>
        <w:rPr>
          <w:rFonts w:cs="Times New Roman"/>
          <w:lang w:val="en-GB"/>
        </w:rPr>
        <w:t xml:space="preserve">Additional changes, in the lens cortex or the retina, </w:t>
      </w:r>
      <w:proofErr w:type="gramStart"/>
      <w:r>
        <w:rPr>
          <w:rFonts w:cs="Times New Roman"/>
          <w:lang w:val="en-GB"/>
        </w:rPr>
        <w:t>were noticed</w:t>
      </w:r>
      <w:proofErr w:type="gramEnd"/>
      <w:r>
        <w:rPr>
          <w:rFonts w:cs="Times New Roman"/>
          <w:lang w:val="en-GB"/>
        </w:rPr>
        <w:t xml:space="preserve"> if they appeared.</w:t>
      </w:r>
    </w:p>
    <w:p>
      <w:pPr>
        <w:spacing w:after="0" w:line="360" w:lineRule="auto"/>
        <w:jc w:val="both"/>
        <w:rPr>
          <w:rFonts w:cs="Times New Roman"/>
          <w:lang w:val="en-GB"/>
        </w:rPr>
      </w:pPr>
      <w:r>
        <w:rPr>
          <w:rFonts w:cs="Times New Roman"/>
          <w:bCs/>
          <w:lang w:val="en-GB"/>
        </w:rPr>
        <w:t xml:space="preserve">As outlined in supplementary Fig. S1, only the mice from the group terminated 24 months after irradiation were regularly investigated by Scheimpflug imaging. Therefore, results from Scheimpflug imaging and histology </w:t>
      </w:r>
      <w:proofErr w:type="gramStart"/>
      <w:r>
        <w:rPr>
          <w:rFonts w:cs="Times New Roman"/>
          <w:bCs/>
          <w:lang w:val="en-GB"/>
        </w:rPr>
        <w:t>could be compared</w:t>
      </w:r>
      <w:proofErr w:type="gramEnd"/>
      <w:r>
        <w:rPr>
          <w:rFonts w:cs="Times New Roman"/>
          <w:bCs/>
          <w:lang w:val="en-GB"/>
        </w:rPr>
        <w:t xml:space="preserve"> for individual mice from the 24-months group only. The one eye showing an anterior subcapsular cataract in the histologic sections 24 months after irradiation (0.5 </w:t>
      </w:r>
      <w:proofErr w:type="spellStart"/>
      <w:r>
        <w:rPr>
          <w:rFonts w:cs="Times New Roman"/>
          <w:bCs/>
          <w:lang w:val="en-GB"/>
        </w:rPr>
        <w:t>Gy</w:t>
      </w:r>
      <w:proofErr w:type="spellEnd"/>
      <w:r>
        <w:rPr>
          <w:rFonts w:cs="Times New Roman"/>
          <w:bCs/>
          <w:lang w:val="en-GB"/>
        </w:rPr>
        <w:t xml:space="preserve">) indeed showed a </w:t>
      </w:r>
      <w:r>
        <w:rPr>
          <w:rFonts w:cs="Times New Roman"/>
          <w:bCs/>
          <w:lang w:val="en-GB"/>
        </w:rPr>
        <w:lastRenderedPageBreak/>
        <w:t xml:space="preserve">small spot at the anterior part of the lens in the Scheimpflug image (Fig. 2a, c). Interestingly, in this lens also a vague posterior clouding was visible by Scheimpflug imaging, which </w:t>
      </w:r>
      <w:proofErr w:type="gramStart"/>
      <w:r>
        <w:rPr>
          <w:rFonts w:cs="Times New Roman"/>
          <w:bCs/>
          <w:lang w:val="en-GB"/>
        </w:rPr>
        <w:t>was confirmed</w:t>
      </w:r>
      <w:proofErr w:type="gramEnd"/>
      <w:r>
        <w:rPr>
          <w:rFonts w:cs="Times New Roman"/>
          <w:bCs/>
          <w:lang w:val="en-GB"/>
        </w:rPr>
        <w:t xml:space="preserve"> as posterior subcapsular cataract by histology (Fig. 2b, d).</w:t>
      </w:r>
    </w:p>
    <w:p>
      <w:pPr>
        <w:widowControl w:val="0"/>
        <w:spacing w:after="0" w:line="360" w:lineRule="auto"/>
        <w:jc w:val="both"/>
        <w:rPr>
          <w:rFonts w:cs="Times New Roman"/>
          <w:color w:val="5F497A" w:themeColor="accent4" w:themeShade="BF"/>
          <w:lang w:val="en-GB"/>
        </w:rPr>
      </w:pPr>
      <w:r>
        <w:rPr>
          <w:rFonts w:cs="Times New Roman"/>
          <w:lang w:val="en-GB"/>
        </w:rPr>
        <w:t xml:space="preserve">The statistical analysis demonstrated a significant radiation effect only for the phenotypical category “posterior subcapsular cataract (PSC)” at the highest irradiation dose of 0.5 </w:t>
      </w:r>
      <w:proofErr w:type="spellStart"/>
      <w:r>
        <w:rPr>
          <w:rFonts w:cs="Times New Roman"/>
          <w:lang w:val="en-GB"/>
        </w:rPr>
        <w:t>Gy</w:t>
      </w:r>
      <w:proofErr w:type="spellEnd"/>
      <w:r>
        <w:rPr>
          <w:rFonts w:cs="Times New Roman"/>
          <w:lang w:val="en-GB"/>
        </w:rPr>
        <w:t xml:space="preserve"> (odds ratio [OR] 9.3; 95% confidence interval [CI] 2.1-41.3). Three, 7 and 4 posterior subcapsular cataracts respectively were observed at 12, 18 and 24 months after irradiation, compared to not a single one 4 hours after irradiation (reference). Lower doses (0.125 </w:t>
      </w:r>
      <w:proofErr w:type="spellStart"/>
      <w:r>
        <w:rPr>
          <w:rFonts w:cs="Times New Roman"/>
          <w:lang w:val="en-GB"/>
        </w:rPr>
        <w:t>Gy</w:t>
      </w:r>
      <w:proofErr w:type="spellEnd"/>
      <w:r>
        <w:rPr>
          <w:rFonts w:cs="Times New Roman"/>
          <w:lang w:val="en-GB"/>
        </w:rPr>
        <w:t xml:space="preserve"> or 0.063 </w:t>
      </w:r>
      <w:proofErr w:type="spellStart"/>
      <w:r>
        <w:rPr>
          <w:rFonts w:cs="Times New Roman"/>
          <w:lang w:val="en-GB"/>
        </w:rPr>
        <w:t>Gy</w:t>
      </w:r>
      <w:proofErr w:type="spellEnd"/>
      <w:r>
        <w:rPr>
          <w:rFonts w:cs="Times New Roman"/>
          <w:lang w:val="en-GB"/>
        </w:rPr>
        <w:t xml:space="preserve">) did not show any statistically significant differences for posterior subcapsular cataracts compared to the non-irradiated controls. These effects were age-dependent, but were independent of sex and genotype. Posterior subcapsular cataracts </w:t>
      </w:r>
      <w:proofErr w:type="gramStart"/>
      <w:r>
        <w:rPr>
          <w:rFonts w:cs="Times New Roman"/>
          <w:lang w:val="en-GB"/>
        </w:rPr>
        <w:t>were increased</w:t>
      </w:r>
      <w:proofErr w:type="gramEnd"/>
      <w:r>
        <w:rPr>
          <w:rFonts w:cs="Times New Roman"/>
          <w:lang w:val="en-GB"/>
        </w:rPr>
        <w:t xml:space="preserve"> significantly in animals analysed 18 and 24 months after irradiation, while yet below significance level at 12 months after irradiation.</w:t>
      </w:r>
    </w:p>
    <w:p>
      <w:pPr>
        <w:widowControl w:val="0"/>
        <w:spacing w:after="0" w:line="360" w:lineRule="auto"/>
        <w:jc w:val="both"/>
        <w:rPr>
          <w:rFonts w:cs="Times New Roman"/>
          <w:lang w:val="en-GB"/>
        </w:rPr>
      </w:pPr>
      <w:r>
        <w:rPr>
          <w:rFonts w:cs="Times New Roman"/>
          <w:lang w:val="en-GB"/>
        </w:rPr>
        <w:t xml:space="preserve">As for posterior subcapsular cataracts, we observed significant age-dependent effects on the number of anterior and posterior aberrations. In the anterior lens, in comparison to the 4-hour time point, an increased incidence was found at 12, 18 and 24 months after irradiation for enlarged and/or swollen fibre cells and mislocated nuclei, at 12 and 18 months for detachments and 18 and 24 months for fissures. The only significantly increased incidence in for the lens bow region were fissures at 24 months. Whereas in the posterior part of the lens the number of enlarged and/or swollen fibre cells </w:t>
      </w:r>
      <w:proofErr w:type="gramStart"/>
      <w:r>
        <w:rPr>
          <w:rFonts w:cs="Times New Roman"/>
          <w:lang w:val="en-GB"/>
        </w:rPr>
        <w:t>was significantly increased</w:t>
      </w:r>
      <w:proofErr w:type="gramEnd"/>
      <w:r>
        <w:rPr>
          <w:rFonts w:cs="Times New Roman"/>
          <w:lang w:val="en-GB"/>
        </w:rPr>
        <w:t xml:space="preserve"> at 12, 18 and 24 months as well as the number of mislocated micronuclei. The number of subcapsular cataracts was elevated at 18 and 24 months, in comparison to the 4-hour time point. Female mice </w:t>
      </w:r>
      <w:proofErr w:type="gramStart"/>
      <w:r>
        <w:rPr>
          <w:rFonts w:cs="Times New Roman"/>
          <w:lang w:val="en-GB"/>
        </w:rPr>
        <w:t>were significantly more affected</w:t>
      </w:r>
      <w:proofErr w:type="gramEnd"/>
      <w:r>
        <w:rPr>
          <w:rFonts w:cs="Times New Roman"/>
          <w:lang w:val="en-GB"/>
        </w:rPr>
        <w:t xml:space="preserve"> by anterior enlarged and/or swollen fibre cells and mislocated nuclei in the lens cortex. A protective association of the heterozygous </w:t>
      </w:r>
      <w:r>
        <w:rPr>
          <w:rFonts w:cs="Times New Roman"/>
          <w:i/>
          <w:lang w:val="en-GB"/>
        </w:rPr>
        <w:t>Ercc2</w:t>
      </w:r>
      <w:r>
        <w:rPr>
          <w:rFonts w:cs="Times New Roman"/>
          <w:lang w:val="en-GB"/>
        </w:rPr>
        <w:t xml:space="preserve"> mutation </w:t>
      </w:r>
      <w:proofErr w:type="gramStart"/>
      <w:r>
        <w:rPr>
          <w:rFonts w:cs="Times New Roman"/>
          <w:lang w:val="en-GB"/>
        </w:rPr>
        <w:t>was observed</w:t>
      </w:r>
      <w:proofErr w:type="gramEnd"/>
      <w:r>
        <w:rPr>
          <w:rFonts w:cs="Times New Roman"/>
          <w:lang w:val="en-GB"/>
        </w:rPr>
        <w:t xml:space="preserve"> for anterior detachments. The retinae did not show significant changes 4 hours after irradiation or at later time points, independent of sex and genotype. All odds ratios with the corresponding 95% confidence intervals </w:t>
      </w:r>
      <w:proofErr w:type="gramStart"/>
      <w:r>
        <w:rPr>
          <w:rFonts w:cs="Times New Roman"/>
          <w:lang w:val="en-GB"/>
        </w:rPr>
        <w:t>are shown</w:t>
      </w:r>
      <w:proofErr w:type="gramEnd"/>
      <w:r>
        <w:rPr>
          <w:rFonts w:cs="Times New Roman"/>
          <w:lang w:val="en-GB"/>
        </w:rPr>
        <w:t xml:space="preserve"> in Tables 1-4.</w:t>
      </w:r>
    </w:p>
    <w:p>
      <w:pPr>
        <w:spacing w:after="0" w:line="360" w:lineRule="auto"/>
        <w:jc w:val="both"/>
        <w:rPr>
          <w:rFonts w:cs="Times New Roman"/>
          <w:lang w:val="en-GB"/>
        </w:rPr>
      </w:pPr>
    </w:p>
    <w:p>
      <w:pPr>
        <w:spacing w:after="0" w:line="360" w:lineRule="auto"/>
        <w:jc w:val="both"/>
        <w:rPr>
          <w:rFonts w:cs="Times New Roman"/>
          <w:lang w:val="en-GB"/>
        </w:rPr>
      </w:pPr>
      <w:r>
        <w:rPr>
          <w:rFonts w:cs="Times New Roman"/>
          <w:u w:val="single"/>
          <w:lang w:val="en-GB"/>
        </w:rPr>
        <w:t>Metabolomics</w:t>
      </w:r>
    </w:p>
    <w:p>
      <w:pPr>
        <w:spacing w:after="0" w:line="360" w:lineRule="auto"/>
        <w:jc w:val="both"/>
        <w:rPr>
          <w:rFonts w:cs="Times New Roman"/>
          <w:lang w:val="en-GB"/>
        </w:rPr>
      </w:pPr>
      <w:r>
        <w:rPr>
          <w:rFonts w:cs="Times New Roman"/>
          <w:lang w:val="en-GB"/>
        </w:rPr>
        <w:t xml:space="preserve">We were also interested in the influence of low-dose radiation on lens and plasma metabolite levels and performed </w:t>
      </w:r>
      <w:r>
        <w:rPr>
          <w:lang w:val="en-GB"/>
        </w:rPr>
        <w:t>metabolomics analyses on lens and plasma samples of the same mouse cohorts investigated by histology and Scheimpflug imaging.</w:t>
      </w:r>
    </w:p>
    <w:p>
      <w:pPr>
        <w:spacing w:line="360" w:lineRule="auto"/>
        <w:jc w:val="both"/>
        <w:rPr>
          <w:lang w:val="en-GB"/>
        </w:rPr>
      </w:pPr>
      <w:r>
        <w:rPr>
          <w:rFonts w:cs="Times New Roman"/>
          <w:lang w:val="en-GB"/>
        </w:rPr>
        <w:t>As the impact of the gender on metabolite levels is known</w:t>
      </w:r>
      <w:r>
        <w:rPr>
          <w:rFonts w:cs="Times New Roman"/>
          <w:b/>
          <w:color w:val="0070C0"/>
          <w:sz w:val="24"/>
          <w:vertAlign w:val="superscript"/>
          <w:lang w:val="en-GB"/>
        </w:rPr>
        <w:t>16</w:t>
      </w:r>
      <w:r>
        <w:rPr>
          <w:rFonts w:cs="Times New Roman"/>
          <w:lang w:val="en-GB"/>
        </w:rPr>
        <w:t xml:space="preserve">, samples originating from males or females </w:t>
      </w:r>
      <w:proofErr w:type="gramStart"/>
      <w:r>
        <w:rPr>
          <w:rFonts w:cs="Times New Roman"/>
          <w:lang w:val="en-GB"/>
        </w:rPr>
        <w:t>were evaluated</w:t>
      </w:r>
      <w:proofErr w:type="gramEnd"/>
      <w:r>
        <w:rPr>
          <w:rFonts w:cs="Times New Roman"/>
          <w:lang w:val="en-GB"/>
        </w:rPr>
        <w:t xml:space="preserve"> separately. Out of the 188 metabolites measured by the </w:t>
      </w:r>
      <w:proofErr w:type="spellStart"/>
      <w:r>
        <w:rPr>
          <w:rFonts w:cs="Times New Roman"/>
          <w:lang w:val="en-GB"/>
        </w:rPr>
        <w:t>Biocrates</w:t>
      </w:r>
      <w:proofErr w:type="spellEnd"/>
      <w:r>
        <w:rPr>
          <w:rFonts w:cs="Times New Roman"/>
          <w:lang w:val="en-GB"/>
        </w:rPr>
        <w:t xml:space="preserve"> </w:t>
      </w:r>
      <w:proofErr w:type="spellStart"/>
      <w:r>
        <w:rPr>
          <w:rFonts w:cs="Times New Roman"/>
          <w:lang w:val="en-GB"/>
        </w:rPr>
        <w:t>Absolute</w:t>
      </w:r>
      <w:r>
        <w:rPr>
          <w:rFonts w:cs="Times New Roman"/>
          <w:i/>
          <w:lang w:val="en-GB"/>
        </w:rPr>
        <w:t>IDQ</w:t>
      </w:r>
      <w:proofErr w:type="spellEnd"/>
      <w:r>
        <w:rPr>
          <w:rFonts w:cs="Times New Roman"/>
          <w:lang w:val="en-GB"/>
        </w:rPr>
        <w:t xml:space="preserve"> p180 kit 168 and 175 metabolites for lenses and plasma, respectively, could be included in the statistical evaluation. Both mouse genotypes were put together for further statistical analyses (group size n = 3-4) and evaluation was performed with regard to time point after irradiation and irradiation dose.</w:t>
      </w:r>
    </w:p>
    <w:p>
      <w:pPr>
        <w:spacing w:line="360" w:lineRule="auto"/>
        <w:jc w:val="both"/>
        <w:rPr>
          <w:rFonts w:cs="Times New Roman"/>
          <w:lang w:val="en-GB"/>
        </w:rPr>
      </w:pPr>
      <w:r>
        <w:rPr>
          <w:rFonts w:cs="Times New Roman"/>
          <w:lang w:val="en-GB"/>
        </w:rPr>
        <w:t xml:space="preserve">The PCA plots including all lenses show that the samples from young (4 and 24 hours after radiation) and old animals (12, 18 and 24 months after radiation) </w:t>
      </w:r>
      <w:proofErr w:type="gramStart"/>
      <w:r>
        <w:rPr>
          <w:rFonts w:cs="Times New Roman"/>
          <w:lang w:val="en-GB"/>
        </w:rPr>
        <w:t>could be grouped</w:t>
      </w:r>
      <w:proofErr w:type="gramEnd"/>
      <w:r>
        <w:rPr>
          <w:rFonts w:cs="Times New Roman"/>
          <w:lang w:val="en-GB"/>
        </w:rPr>
        <w:t xml:space="preserve"> into two separate clusters (Fig. 3a and b). </w:t>
      </w:r>
      <w:r>
        <w:rPr>
          <w:rFonts w:cs="Times New Roman"/>
          <w:lang w:val="en-GB"/>
        </w:rPr>
        <w:lastRenderedPageBreak/>
        <w:t xml:space="preserve">No clustering based on the radiation dose </w:t>
      </w:r>
      <w:proofErr w:type="gramStart"/>
      <w:r>
        <w:rPr>
          <w:rFonts w:cs="Times New Roman"/>
          <w:lang w:val="en-GB"/>
        </w:rPr>
        <w:t>could be identified</w:t>
      </w:r>
      <w:proofErr w:type="gramEnd"/>
      <w:r>
        <w:rPr>
          <w:rFonts w:cs="Times New Roman"/>
          <w:lang w:val="en-GB"/>
        </w:rPr>
        <w:t>, indicating that the age of the animals had a larger influence on the lens metabolome than the genetic background or the irradiation.</w:t>
      </w:r>
    </w:p>
    <w:p>
      <w:pPr>
        <w:spacing w:line="360" w:lineRule="auto"/>
        <w:jc w:val="both"/>
        <w:rPr>
          <w:rFonts w:cs="Times New Roman"/>
          <w:lang w:val="en-GB"/>
        </w:rPr>
      </w:pPr>
      <w:r>
        <w:rPr>
          <w:rFonts w:cs="Times New Roman"/>
          <w:lang w:val="en-GB"/>
        </w:rPr>
        <w:t xml:space="preserve">Metabolites that mostly contributed to group separation belong to the metabolite classes of carnitines/ </w:t>
      </w:r>
      <w:proofErr w:type="spellStart"/>
      <w:r>
        <w:rPr>
          <w:rFonts w:cs="Times New Roman"/>
          <w:lang w:val="en-GB"/>
        </w:rPr>
        <w:t>acylcarnitines</w:t>
      </w:r>
      <w:proofErr w:type="spellEnd"/>
      <w:r>
        <w:rPr>
          <w:rFonts w:cs="Times New Roman"/>
          <w:lang w:val="en-GB"/>
        </w:rPr>
        <w:t>, amino acids, biogenic amines, as well as sphingolipids and long chain unsaturated phosphatidylcholines (Table 5).</w:t>
      </w:r>
    </w:p>
    <w:p>
      <w:pPr>
        <w:spacing w:line="360" w:lineRule="auto"/>
        <w:jc w:val="both"/>
        <w:rPr>
          <w:rFonts w:cs="Times New Roman"/>
          <w:lang w:val="en-GB"/>
        </w:rPr>
      </w:pPr>
      <w:r>
        <w:rPr>
          <w:rFonts w:cs="Times New Roman"/>
          <w:lang w:val="en-GB"/>
        </w:rPr>
        <w:t xml:space="preserve">To investigate in which pathways the metabolites mostly contributed to group separation in the PCA </w:t>
      </w:r>
      <w:proofErr w:type="gramStart"/>
      <w:r>
        <w:rPr>
          <w:rFonts w:cs="Times New Roman"/>
          <w:lang w:val="en-GB"/>
        </w:rPr>
        <w:t>could be allocated</w:t>
      </w:r>
      <w:proofErr w:type="gramEnd"/>
      <w:r>
        <w:rPr>
          <w:rFonts w:cs="Times New Roman"/>
          <w:lang w:val="en-GB"/>
        </w:rPr>
        <w:t xml:space="preserve"> </w:t>
      </w:r>
      <w:proofErr w:type="spellStart"/>
      <w:r>
        <w:rPr>
          <w:rFonts w:cs="Times New Roman"/>
          <w:lang w:val="en-GB"/>
        </w:rPr>
        <w:t>MetaboAnalyst</w:t>
      </w:r>
      <w:proofErr w:type="spellEnd"/>
      <w:r>
        <w:rPr>
          <w:rFonts w:cs="Times New Roman"/>
          <w:lang w:val="en-GB"/>
        </w:rPr>
        <w:t xml:space="preserve"> Pathway finder was used. The pathways “Oxidation of Branched Chain Fatty Acids” (only females, p = 0.0019692), “Beta Oxidation of Very Long Chain Fatty Acids” (only females, p = 0.011125), and “Mitochondrial Beta-Oxidation of Long Chain Saturated Fatty Acids” (males and females, p = 0.031185 and 0.036322, respectively) were statistically significantly affected. However, after correction for a false discovery rate (FDR) the statistical significance disappeared.</w:t>
      </w:r>
    </w:p>
    <w:p>
      <w:pPr>
        <w:spacing w:after="0" w:line="360" w:lineRule="auto"/>
        <w:jc w:val="both"/>
        <w:rPr>
          <w:rFonts w:cs="Times New Roman"/>
          <w:lang w:val="en-GB"/>
        </w:rPr>
      </w:pPr>
      <w:r>
        <w:rPr>
          <w:rFonts w:cs="Times New Roman"/>
          <w:lang w:val="en-GB"/>
        </w:rPr>
        <w:t>The findings for plasma were different from those for lenses. The PCA, which included all plasma samples, did not show any distinguished clustering (Fig. 4a and b), neither with respect to irradiation nor to aging.</w:t>
      </w:r>
    </w:p>
    <w:p>
      <w:pPr>
        <w:spacing w:after="0" w:line="360" w:lineRule="auto"/>
        <w:jc w:val="both"/>
        <w:rPr>
          <w:lang w:val="en-GB"/>
        </w:rPr>
      </w:pPr>
    </w:p>
    <w:p>
      <w:pPr>
        <w:spacing w:after="0" w:line="360" w:lineRule="auto"/>
        <w:jc w:val="both"/>
        <w:rPr>
          <w:lang w:val="en-GB"/>
        </w:rPr>
      </w:pPr>
    </w:p>
    <w:p>
      <w:pPr>
        <w:spacing w:after="0" w:line="360" w:lineRule="auto"/>
        <w:jc w:val="both"/>
        <w:rPr>
          <w:lang w:val="en-GB"/>
        </w:rPr>
      </w:pPr>
      <w:r>
        <w:rPr>
          <w:rFonts w:cs="Times New Roman"/>
          <w:b/>
          <w:lang w:val="en-GB"/>
        </w:rPr>
        <w:t>Discussion</w:t>
      </w:r>
    </w:p>
    <w:p>
      <w:pPr>
        <w:spacing w:after="0" w:line="360" w:lineRule="auto"/>
        <w:jc w:val="both"/>
        <w:rPr>
          <w:rFonts w:cs="Times New Roman"/>
          <w:bCs/>
          <w:lang w:val="en-GB"/>
        </w:rPr>
      </w:pPr>
      <w:r>
        <w:rPr>
          <w:rFonts w:cs="Times New Roman"/>
          <w:bCs/>
          <w:lang w:val="en-GB"/>
        </w:rPr>
        <w:t xml:space="preserve">Here, we demonstrate a detailed histological analysis of lenses of a lifetime study, where we irradiated mice at the age of ten weeks and monitored the lenses for cataract formation for two more years. At the highest dose of 0.5 </w:t>
      </w:r>
      <w:proofErr w:type="spellStart"/>
      <w:r>
        <w:rPr>
          <w:rFonts w:cs="Times New Roman"/>
          <w:bCs/>
          <w:lang w:val="en-GB"/>
        </w:rPr>
        <w:t>Gy</w:t>
      </w:r>
      <w:proofErr w:type="spellEnd"/>
      <w:r>
        <w:rPr>
          <w:rFonts w:cs="Times New Roman"/>
          <w:bCs/>
          <w:lang w:val="en-GB"/>
        </w:rPr>
        <w:t xml:space="preserve">, almost half of the irradiated mice died during the study period. However, the quantitative Scheimpflug analysis showed a dose-dependent increase of the maximal lens opacity </w:t>
      </w:r>
      <w:r>
        <w:rPr>
          <w:rFonts w:cs="ClvtsmSTIX-Regular"/>
          <w:lang w:val="en-GB"/>
        </w:rPr>
        <w:t>of just 1% of lens opacity (highly statistically significant, p&lt;0.001); the effect of age was 2% of the lens opacity</w:t>
      </w:r>
      <w:r>
        <w:rPr>
          <w:rFonts w:cs="Times New Roman"/>
          <w:b/>
          <w:color w:val="0070C0"/>
          <w:sz w:val="24"/>
          <w:vertAlign w:val="superscript"/>
          <w:lang w:val="en-GB"/>
        </w:rPr>
        <w:t>14</w:t>
      </w:r>
      <w:r>
        <w:rPr>
          <w:rFonts w:cs="Times New Roman"/>
          <w:bCs/>
          <w:lang w:val="en-GB"/>
        </w:rPr>
        <w:t xml:space="preserve">. Since this was the first time that Scheimpflug analysis was used in a screening for radiation-induced cataracts, it was necessary to verify, whether or not the quantitative measurement for lens density would also be able to detect (and quantify) posterior cataracts in mice. The posterior part of the lens </w:t>
      </w:r>
      <w:proofErr w:type="gramStart"/>
      <w:r>
        <w:rPr>
          <w:rFonts w:cs="Times New Roman"/>
          <w:bCs/>
          <w:lang w:val="en-GB"/>
        </w:rPr>
        <w:t>is (at least at low doses) considered</w:t>
      </w:r>
      <w:proofErr w:type="gramEnd"/>
      <w:r>
        <w:rPr>
          <w:rFonts w:cs="Times New Roman"/>
          <w:bCs/>
          <w:lang w:val="en-GB"/>
        </w:rPr>
        <w:t xml:space="preserve"> the most frequently affected area</w:t>
      </w:r>
      <w:r>
        <w:rPr>
          <w:rFonts w:cs="Times New Roman"/>
          <w:b/>
          <w:color w:val="0070C0"/>
          <w:sz w:val="24"/>
          <w:vertAlign w:val="superscript"/>
          <w:lang w:val="en-GB"/>
        </w:rPr>
        <w:t>13</w:t>
      </w:r>
      <w:r>
        <w:rPr>
          <w:rFonts w:cs="Times New Roman"/>
          <w:bCs/>
          <w:lang w:val="en-GB"/>
        </w:rPr>
        <w:t>.</w:t>
      </w:r>
    </w:p>
    <w:p>
      <w:pPr>
        <w:spacing w:after="0" w:line="360" w:lineRule="auto"/>
        <w:jc w:val="both"/>
        <w:rPr>
          <w:rFonts w:cs="Times New Roman"/>
          <w:bCs/>
          <w:lang w:val="en-GB"/>
        </w:rPr>
      </w:pPr>
      <w:r>
        <w:rPr>
          <w:rFonts w:cs="Times New Roman"/>
          <w:bCs/>
          <w:lang w:val="en-GB"/>
        </w:rPr>
        <w:t xml:space="preserve">We chose the sensitive method of histology to validate the efficiency of the Scheimpflug method. The histological results clearly demonstrated that there were mild changes in several parts of the lens observed as increased numbers of enlarged/swollen fibre cells, but also for that of mislocated nuclei, which </w:t>
      </w:r>
      <w:proofErr w:type="gramStart"/>
      <w:r>
        <w:rPr>
          <w:rFonts w:cs="Times New Roman"/>
          <w:bCs/>
          <w:lang w:val="en-GB"/>
        </w:rPr>
        <w:t>were observed</w:t>
      </w:r>
      <w:proofErr w:type="gramEnd"/>
      <w:r>
        <w:rPr>
          <w:rFonts w:cs="Times New Roman"/>
          <w:bCs/>
          <w:lang w:val="en-GB"/>
        </w:rPr>
        <w:t xml:space="preserve"> at a high frequency in older mice. However, these alterations </w:t>
      </w:r>
      <w:proofErr w:type="gramStart"/>
      <w:r>
        <w:rPr>
          <w:rFonts w:cs="Times New Roman"/>
          <w:bCs/>
          <w:lang w:val="en-GB"/>
        </w:rPr>
        <w:t>could not be resolved</w:t>
      </w:r>
      <w:proofErr w:type="gramEnd"/>
      <w:r>
        <w:rPr>
          <w:rFonts w:cs="Times New Roman"/>
          <w:bCs/>
          <w:lang w:val="en-GB"/>
        </w:rPr>
        <w:t xml:space="preserve"> by Scheimpflug imaging. Similarly, the posterior subcapsular cataracts, predominantly found in the 0.5 </w:t>
      </w:r>
      <w:proofErr w:type="spellStart"/>
      <w:r>
        <w:rPr>
          <w:rFonts w:cs="Times New Roman"/>
          <w:bCs/>
          <w:lang w:val="en-GB"/>
        </w:rPr>
        <w:t>Gy</w:t>
      </w:r>
      <w:proofErr w:type="spellEnd"/>
      <w:r>
        <w:rPr>
          <w:rFonts w:cs="Times New Roman"/>
          <w:bCs/>
          <w:lang w:val="en-GB"/>
        </w:rPr>
        <w:t xml:space="preserve"> group 12 to 24 months after irradiation, </w:t>
      </w:r>
      <w:proofErr w:type="gramStart"/>
      <w:r>
        <w:rPr>
          <w:rFonts w:cs="Times New Roman"/>
          <w:bCs/>
          <w:lang w:val="en-GB"/>
        </w:rPr>
        <w:t>were not detected</w:t>
      </w:r>
      <w:proofErr w:type="gramEnd"/>
      <w:r>
        <w:rPr>
          <w:rFonts w:cs="Times New Roman"/>
          <w:bCs/>
          <w:lang w:val="en-GB"/>
        </w:rPr>
        <w:t xml:space="preserve"> by Scheimpflug imaging. This is </w:t>
      </w:r>
      <w:proofErr w:type="gramStart"/>
      <w:r>
        <w:rPr>
          <w:rFonts w:cs="Times New Roman"/>
          <w:bCs/>
          <w:lang w:val="en-GB"/>
        </w:rPr>
        <w:t>due to the fact that</w:t>
      </w:r>
      <w:proofErr w:type="gramEnd"/>
      <w:r>
        <w:rPr>
          <w:rFonts w:cs="Times New Roman"/>
          <w:bCs/>
          <w:lang w:val="en-GB"/>
        </w:rPr>
        <w:t xml:space="preserve"> Scheimpflug imaging uses visible light and the posterior part of the mouse lens lays within the shadow of the iris, even if atropine is applied for dilatation. This is different to the human eye, which is </w:t>
      </w:r>
      <w:proofErr w:type="gramStart"/>
      <w:r>
        <w:rPr>
          <w:rFonts w:cs="Times New Roman"/>
          <w:bCs/>
          <w:lang w:val="en-GB"/>
        </w:rPr>
        <w:t>larger in size</w:t>
      </w:r>
      <w:proofErr w:type="gramEnd"/>
      <w:r>
        <w:rPr>
          <w:rFonts w:cs="Times New Roman"/>
          <w:bCs/>
          <w:lang w:val="en-GB"/>
        </w:rPr>
        <w:t xml:space="preserve"> and has an ellipsoid lens, and therefore can be fully imaged including its posterior pole through the dilated pupil</w:t>
      </w:r>
      <w:r>
        <w:rPr>
          <w:rFonts w:cs="Times New Roman"/>
          <w:b/>
          <w:color w:val="0070C0"/>
          <w:sz w:val="24"/>
          <w:vertAlign w:val="superscript"/>
          <w:lang w:val="en-GB"/>
        </w:rPr>
        <w:t>17</w:t>
      </w:r>
      <w:r>
        <w:rPr>
          <w:rFonts w:cs="Times New Roman"/>
          <w:bCs/>
          <w:lang w:val="en-GB"/>
        </w:rPr>
        <w:t xml:space="preserve">. In conclusion, </w:t>
      </w:r>
      <w:r>
        <w:rPr>
          <w:rFonts w:cs="Times New Roman"/>
          <w:bCs/>
          <w:lang w:val="en-GB"/>
        </w:rPr>
        <w:lastRenderedPageBreak/>
        <w:t xml:space="preserve">our results demonstrate that Scheimpflug imaging is an important technique for quantification of anterior and nuclear lens opacities in the mouse but it is not helpful for the detection of changes at the posterior part of the mouse lens. In mice other methods such as optical coherence tomography (OCT) should be considered for </w:t>
      </w:r>
      <w:r>
        <w:rPr>
          <w:rFonts w:cs="Times New Roman"/>
          <w:bCs/>
          <w:i/>
          <w:lang w:val="en-GB"/>
        </w:rPr>
        <w:t>in vivo</w:t>
      </w:r>
      <w:r>
        <w:rPr>
          <w:rFonts w:cs="Times New Roman"/>
          <w:bCs/>
          <w:lang w:val="en-GB"/>
        </w:rPr>
        <w:t xml:space="preserve"> imaging of the posterior lens</w:t>
      </w:r>
      <w:r>
        <w:rPr>
          <w:rFonts w:cs="Times New Roman"/>
          <w:b/>
          <w:color w:val="0070C0"/>
          <w:sz w:val="24"/>
          <w:vertAlign w:val="superscript"/>
          <w:lang w:val="en-GB"/>
        </w:rPr>
        <w:t>18</w:t>
      </w:r>
      <w:r>
        <w:rPr>
          <w:rFonts w:cs="Times New Roman"/>
          <w:bCs/>
          <w:lang w:val="en-GB"/>
        </w:rPr>
        <w:t>.</w:t>
      </w:r>
    </w:p>
    <w:p>
      <w:pPr>
        <w:spacing w:after="0" w:line="360" w:lineRule="auto"/>
        <w:jc w:val="both"/>
        <w:rPr>
          <w:rFonts w:cs="Times New Roman"/>
          <w:bCs/>
          <w:lang w:val="en-GB"/>
        </w:rPr>
      </w:pPr>
      <w:r>
        <w:rPr>
          <w:rFonts w:cs="Times New Roman"/>
          <w:bCs/>
          <w:lang w:val="en-GB"/>
        </w:rPr>
        <w:t xml:space="preserve">Taking together, using histological analysis we observed a significant increase in posterior subcapsular cataracts at the highest dose of 0.5 </w:t>
      </w:r>
      <w:proofErr w:type="spellStart"/>
      <w:r>
        <w:rPr>
          <w:rFonts w:cs="Times New Roman"/>
          <w:bCs/>
          <w:lang w:val="en-GB"/>
        </w:rPr>
        <w:t>Gy</w:t>
      </w:r>
      <w:proofErr w:type="spellEnd"/>
      <w:r>
        <w:rPr>
          <w:rFonts w:cs="Times New Roman"/>
          <w:bCs/>
          <w:lang w:val="en-GB"/>
        </w:rPr>
        <w:t xml:space="preserve"> (14 posterior subcapsular cataracts), when compared to the non-irradiated controls (2 posterior subcapsular cataracts). This finding is in line with previous reports, that found stage I cataracts in mice following an irradiation of 0.5 </w:t>
      </w:r>
      <w:proofErr w:type="spellStart"/>
      <w:r>
        <w:rPr>
          <w:rFonts w:cs="Times New Roman"/>
          <w:bCs/>
          <w:lang w:val="en-GB"/>
        </w:rPr>
        <w:t>Gy</w:t>
      </w:r>
      <w:proofErr w:type="spellEnd"/>
      <w:r>
        <w:rPr>
          <w:rFonts w:cs="Times New Roman"/>
          <w:bCs/>
          <w:lang w:val="en-GB"/>
        </w:rPr>
        <w:t xml:space="preserve"> (based upon the classification of Merriam and Focht</w:t>
      </w:r>
      <w:r>
        <w:rPr>
          <w:rFonts w:cs="Times New Roman"/>
          <w:b/>
          <w:color w:val="0070C0"/>
          <w:sz w:val="24"/>
          <w:vertAlign w:val="superscript"/>
          <w:lang w:val="en-GB"/>
        </w:rPr>
        <w:t>12</w:t>
      </w:r>
      <w:r>
        <w:rPr>
          <w:rFonts w:cs="Times New Roman"/>
          <w:bCs/>
          <w:lang w:val="en-GB"/>
        </w:rPr>
        <w:t xml:space="preserve">). However, we did not observe any severe forms of cataract such as nuclear cataracts, neither by Scheimpflug imaging nor by histology. In addition to the posterior subcapsular cataracts, just two anterior subcapsular cataracts </w:t>
      </w:r>
      <w:proofErr w:type="gramStart"/>
      <w:r>
        <w:rPr>
          <w:rFonts w:cs="Times New Roman"/>
          <w:bCs/>
          <w:lang w:val="en-GB"/>
        </w:rPr>
        <w:t>were found</w:t>
      </w:r>
      <w:proofErr w:type="gramEnd"/>
      <w:r>
        <w:rPr>
          <w:rFonts w:cs="Times New Roman"/>
          <w:bCs/>
          <w:lang w:val="en-GB"/>
        </w:rPr>
        <w:t xml:space="preserve">, both in the 0.5 </w:t>
      </w:r>
      <w:proofErr w:type="spellStart"/>
      <w:r>
        <w:rPr>
          <w:rFonts w:cs="Times New Roman"/>
          <w:bCs/>
          <w:lang w:val="en-GB"/>
        </w:rPr>
        <w:t>Gy</w:t>
      </w:r>
      <w:proofErr w:type="spellEnd"/>
      <w:r>
        <w:rPr>
          <w:rFonts w:cs="Times New Roman"/>
          <w:bCs/>
          <w:lang w:val="en-GB"/>
        </w:rPr>
        <w:t xml:space="preserve"> group, at 18 and at 24 months after irradiation. Therefore, the question remains open whether the difference between the observations demonstrated here and in our previous paper</w:t>
      </w:r>
      <w:r>
        <w:rPr>
          <w:rFonts w:cs="Times New Roman"/>
          <w:b/>
          <w:color w:val="0070C0"/>
          <w:sz w:val="24"/>
          <w:vertAlign w:val="superscript"/>
          <w:lang w:val="en-GB"/>
        </w:rPr>
        <w:t>14</w:t>
      </w:r>
      <w:r>
        <w:rPr>
          <w:rFonts w:cs="Times New Roman"/>
          <w:bCs/>
          <w:lang w:val="en-GB"/>
        </w:rPr>
        <w:t xml:space="preserve"> and those previously published by others</w:t>
      </w:r>
      <w:r>
        <w:rPr>
          <w:rFonts w:cs="Times New Roman"/>
          <w:b/>
          <w:color w:val="0070C0"/>
          <w:sz w:val="24"/>
          <w:vertAlign w:val="superscript"/>
          <w:lang w:val="en-GB"/>
        </w:rPr>
        <w:t>10,11,19,20</w:t>
      </w:r>
      <w:r>
        <w:rPr>
          <w:rFonts w:cs="Times New Roman"/>
          <w:bCs/>
          <w:lang w:val="en-GB"/>
        </w:rPr>
        <w:t xml:space="preserve"> is due to </w:t>
      </w:r>
      <w:r>
        <w:rPr>
          <w:bCs/>
          <w:lang w:val="en-GB"/>
        </w:rPr>
        <w:t>the use of different mouse strains with perhaps different radiation sensitivity</w:t>
      </w:r>
      <w:r>
        <w:rPr>
          <w:rFonts w:cs="Times New Roman"/>
          <w:bCs/>
          <w:lang w:val="en-GB"/>
        </w:rPr>
        <w:t xml:space="preserve">. It </w:t>
      </w:r>
      <w:proofErr w:type="gramStart"/>
      <w:r>
        <w:rPr>
          <w:rFonts w:cs="Times New Roman"/>
          <w:bCs/>
          <w:lang w:val="en-GB"/>
        </w:rPr>
        <w:t>should be noted</w:t>
      </w:r>
      <w:proofErr w:type="gramEnd"/>
      <w:r>
        <w:rPr>
          <w:rFonts w:cs="Times New Roman"/>
          <w:bCs/>
          <w:lang w:val="en-GB"/>
        </w:rPr>
        <w:t xml:space="preserve"> that our analyses were not corrected for multiple testing, because this was mainly an explorative study with small sample sizes. Hence, some of our findings may be false positive, which might possibly explain why we observed seemingly inconsistent age effects for several outcomes. Therefore, all </w:t>
      </w:r>
      <w:proofErr w:type="gramStart"/>
      <w:r>
        <w:rPr>
          <w:rFonts w:cs="Times New Roman"/>
          <w:bCs/>
          <w:lang w:val="en-GB"/>
        </w:rPr>
        <w:t>findings basically</w:t>
      </w:r>
      <w:proofErr w:type="gramEnd"/>
      <w:r>
        <w:rPr>
          <w:rFonts w:cs="Times New Roman"/>
          <w:bCs/>
          <w:lang w:val="en-GB"/>
        </w:rPr>
        <w:t xml:space="preserve"> require confirmation from validation studies. </w:t>
      </w:r>
    </w:p>
    <w:p>
      <w:pPr>
        <w:spacing w:after="0" w:line="360" w:lineRule="auto"/>
        <w:jc w:val="both"/>
        <w:rPr>
          <w:lang w:val="en-GB"/>
        </w:rPr>
      </w:pPr>
      <w:r>
        <w:rPr>
          <w:rFonts w:cs="Times New Roman"/>
          <w:bCs/>
          <w:lang w:val="en-GB"/>
        </w:rPr>
        <w:t xml:space="preserve">Metabolomics </w:t>
      </w:r>
      <w:proofErr w:type="gramStart"/>
      <w:r>
        <w:rPr>
          <w:rFonts w:cs="Times New Roman"/>
          <w:bCs/>
          <w:lang w:val="en-GB"/>
        </w:rPr>
        <w:t>was undertaken</w:t>
      </w:r>
      <w:proofErr w:type="gramEnd"/>
      <w:r>
        <w:rPr>
          <w:rFonts w:cs="Times New Roman"/>
          <w:bCs/>
          <w:lang w:val="en-GB"/>
        </w:rPr>
        <w:t xml:space="preserve"> to further analyse possible irradiation-induced changes in the lens. However, changes in the lenses due to ionizing radiation </w:t>
      </w:r>
      <w:proofErr w:type="gramStart"/>
      <w:r>
        <w:rPr>
          <w:rFonts w:cs="Times New Roman"/>
          <w:bCs/>
          <w:lang w:val="en-GB"/>
        </w:rPr>
        <w:t>could not be detected</w:t>
      </w:r>
      <w:proofErr w:type="gramEnd"/>
      <w:r>
        <w:rPr>
          <w:rFonts w:cs="Times New Roman"/>
          <w:bCs/>
          <w:lang w:val="en-GB"/>
        </w:rPr>
        <w:t xml:space="preserve">. Instead, the metabolic aging of the lenses </w:t>
      </w:r>
      <w:proofErr w:type="gramStart"/>
      <w:r>
        <w:rPr>
          <w:rFonts w:cs="Times New Roman"/>
          <w:bCs/>
          <w:lang w:val="en-GB"/>
        </w:rPr>
        <w:t>was observed</w:t>
      </w:r>
      <w:proofErr w:type="gramEnd"/>
      <w:r>
        <w:rPr>
          <w:rFonts w:cs="Times New Roman"/>
          <w:bCs/>
          <w:lang w:val="en-GB"/>
        </w:rPr>
        <w:t xml:space="preserve">. Our findings concerning aging are in agreement with a recent report </w:t>
      </w:r>
      <w:r>
        <w:rPr>
          <w:rFonts w:eastAsia="Times New Roman" w:cs="Times New Roman"/>
          <w:lang w:val="en-GB"/>
        </w:rPr>
        <w:t xml:space="preserve">on metabolite levels in lenses of young (6 weeks old) and aged (73 weeks old) </w:t>
      </w:r>
      <w:hyperlink r:id="rId9" w:tgtFrame="Learn more about C57BL 6 Mouse from ScienceDirect's AI-generated Topic Pages">
        <w:r>
          <w:rPr>
            <w:lang w:val="en-GB"/>
          </w:rPr>
          <w:t>C57BL/6J mice</w:t>
        </w:r>
      </w:hyperlink>
      <w:r>
        <w:rPr>
          <w:rFonts w:cs="Times New Roman"/>
          <w:b/>
          <w:color w:val="0070C0"/>
          <w:sz w:val="24"/>
          <w:vertAlign w:val="superscript"/>
          <w:lang w:val="en-GB"/>
        </w:rPr>
        <w:t>21</w:t>
      </w:r>
      <w:r>
        <w:rPr>
          <w:rFonts w:eastAsia="Times New Roman" w:cs="Times New Roman"/>
          <w:lang w:val="en-GB"/>
        </w:rPr>
        <w:t xml:space="preserve">. Using a comparable small group size as in our case </w:t>
      </w:r>
      <w:r>
        <w:rPr>
          <w:rFonts w:cs="Times New Roman"/>
          <w:lang w:val="en-GB"/>
        </w:rPr>
        <w:t>(n=4) and mixed gender groups the authors could demonstrate a clear separation between young and old lenses. T</w:t>
      </w:r>
      <w:r>
        <w:rPr>
          <w:rFonts w:eastAsia="Times New Roman" w:cs="Times New Roman"/>
          <w:lang w:val="en-GB"/>
        </w:rPr>
        <w:t>he metabolites they looked at were, however, mostly different from our study.</w:t>
      </w:r>
    </w:p>
    <w:p>
      <w:pPr>
        <w:spacing w:after="0" w:line="360" w:lineRule="auto"/>
        <w:jc w:val="both"/>
        <w:rPr>
          <w:lang w:val="en-GB"/>
        </w:rPr>
      </w:pPr>
      <w:r>
        <w:rPr>
          <w:rFonts w:cs="Times New Roman"/>
          <w:bCs/>
          <w:lang w:val="en-GB"/>
        </w:rPr>
        <w:t xml:space="preserve">In contrast to lenses, the age effects </w:t>
      </w:r>
      <w:proofErr w:type="gramStart"/>
      <w:r>
        <w:rPr>
          <w:rFonts w:cs="Times New Roman"/>
          <w:bCs/>
          <w:lang w:val="en-GB"/>
        </w:rPr>
        <w:t>could not be observed</w:t>
      </w:r>
      <w:proofErr w:type="gramEnd"/>
      <w:r>
        <w:rPr>
          <w:rFonts w:cs="Times New Roman"/>
          <w:bCs/>
          <w:lang w:val="en-GB"/>
        </w:rPr>
        <w:t xml:space="preserve"> in the plasma samples. This was surprising, since other studies were able to demonstrate such effects in the same strain as used in our study, the </w:t>
      </w:r>
      <w:r>
        <w:rPr>
          <w:rFonts w:eastAsia="Times New Roman" w:cs="Times New Roman"/>
          <w:lang w:val="en-GB"/>
        </w:rPr>
        <w:t>C57BL/6J mouse strain</w:t>
      </w:r>
      <w:r>
        <w:rPr>
          <w:rFonts w:cs="Times New Roman"/>
          <w:b/>
          <w:color w:val="0070C0"/>
          <w:sz w:val="24"/>
          <w:vertAlign w:val="superscript"/>
          <w:lang w:val="en-GB"/>
        </w:rPr>
        <w:t>22</w:t>
      </w:r>
      <w:proofErr w:type="gramStart"/>
      <w:r>
        <w:rPr>
          <w:rFonts w:cs="Times New Roman"/>
          <w:b/>
          <w:color w:val="0070C0"/>
          <w:sz w:val="24"/>
          <w:vertAlign w:val="superscript"/>
          <w:lang w:val="en-GB"/>
        </w:rPr>
        <w:t>,23</w:t>
      </w:r>
      <w:proofErr w:type="gramEnd"/>
      <w:r>
        <w:rPr>
          <w:rFonts w:cs="Times New Roman"/>
          <w:bCs/>
          <w:lang w:val="en-GB"/>
        </w:rPr>
        <w:t>. Houtkooper</w:t>
      </w:r>
      <w:r>
        <w:rPr>
          <w:rFonts w:cs="Times New Roman"/>
          <w:b/>
          <w:color w:val="0070C0"/>
          <w:sz w:val="24"/>
          <w:vertAlign w:val="superscript"/>
          <w:lang w:val="en-GB"/>
        </w:rPr>
        <w:t>22</w:t>
      </w:r>
      <w:r>
        <w:rPr>
          <w:rFonts w:cs="Times New Roman"/>
          <w:bCs/>
          <w:lang w:val="en-GB"/>
        </w:rPr>
        <w:t xml:space="preserve"> </w:t>
      </w:r>
      <w:r>
        <w:rPr>
          <w:rFonts w:eastAsia="Times New Roman" w:cs="Times New Roman"/>
          <w:lang w:val="en-GB"/>
        </w:rPr>
        <w:t xml:space="preserve">observed statistically significant differences in levels of some lipids and amino acids between old (103 weeks old; n=9) and young (24 weeks old; n=9) C57BL/6J mice. In that study, plasma amino acids and </w:t>
      </w:r>
      <w:proofErr w:type="spellStart"/>
      <w:r>
        <w:rPr>
          <w:rFonts w:eastAsia="Times New Roman" w:cs="Times New Roman"/>
          <w:lang w:val="en-GB"/>
        </w:rPr>
        <w:t>acylcarnitines</w:t>
      </w:r>
      <w:proofErr w:type="spellEnd"/>
      <w:r>
        <w:rPr>
          <w:rFonts w:eastAsia="Times New Roman" w:cs="Times New Roman"/>
          <w:lang w:val="en-GB"/>
        </w:rPr>
        <w:t xml:space="preserve"> </w:t>
      </w:r>
      <w:proofErr w:type="gramStart"/>
      <w:r>
        <w:rPr>
          <w:rFonts w:eastAsia="Times New Roman" w:cs="Times New Roman"/>
          <w:lang w:val="en-GB"/>
        </w:rPr>
        <w:t>were measured</w:t>
      </w:r>
      <w:proofErr w:type="gramEnd"/>
      <w:r>
        <w:rPr>
          <w:rFonts w:eastAsia="Times New Roman" w:cs="Times New Roman"/>
          <w:lang w:val="en-GB"/>
        </w:rPr>
        <w:t xml:space="preserve"> by LC-MS/MS as well as fatty acids in erythrocytes by GC-MS. The p180 kit used in our study also includes amino acids and </w:t>
      </w:r>
      <w:proofErr w:type="spellStart"/>
      <w:r>
        <w:rPr>
          <w:rFonts w:eastAsia="Times New Roman" w:cs="Times New Roman"/>
          <w:lang w:val="en-GB"/>
        </w:rPr>
        <w:t>acylcarnitines</w:t>
      </w:r>
      <w:proofErr w:type="spellEnd"/>
      <w:r>
        <w:rPr>
          <w:rFonts w:eastAsia="Times New Roman" w:cs="Times New Roman"/>
          <w:lang w:val="en-GB"/>
        </w:rPr>
        <w:t xml:space="preserve"> but our sample sizes were probably too small to see significant age-related changes.</w:t>
      </w:r>
      <w:r>
        <w:rPr>
          <w:lang w:val="en-GB"/>
        </w:rPr>
        <w:t xml:space="preserve"> In a longitudinal study </w:t>
      </w:r>
      <w:r>
        <w:rPr>
          <w:rFonts w:cs="Times New Roman"/>
          <w:lang w:val="en-GB"/>
        </w:rPr>
        <w:t>Tomás-Loba</w:t>
      </w:r>
      <w:r>
        <w:rPr>
          <w:rFonts w:cs="Times New Roman"/>
          <w:b/>
          <w:color w:val="0070C0"/>
          <w:sz w:val="24"/>
          <w:vertAlign w:val="superscript"/>
          <w:lang w:val="en-GB"/>
        </w:rPr>
        <w:t>23</w:t>
      </w:r>
      <w:r>
        <w:rPr>
          <w:rFonts w:cs="Times New Roman"/>
          <w:lang w:val="en-GB"/>
        </w:rPr>
        <w:t xml:space="preserve"> found a change of phospholipids and phospholipid ratios during aging of </w:t>
      </w:r>
      <w:r>
        <w:rPr>
          <w:rFonts w:eastAsia="Times New Roman" w:cs="Times New Roman"/>
          <w:lang w:val="en-GB"/>
        </w:rPr>
        <w:t xml:space="preserve">C57BL/6J mice from </w:t>
      </w:r>
      <w:proofErr w:type="gramStart"/>
      <w:r>
        <w:rPr>
          <w:rStyle w:val="current-selection"/>
          <w:rFonts w:eastAsia="Times New Roman"/>
          <w:lang w:val="en-GB"/>
        </w:rPr>
        <w:t>8</w:t>
      </w:r>
      <w:proofErr w:type="gramEnd"/>
      <w:r>
        <w:rPr>
          <w:rStyle w:val="current-selection"/>
          <w:rFonts w:eastAsia="Times New Roman"/>
          <w:lang w:val="en-GB"/>
        </w:rPr>
        <w:t xml:space="preserve"> to 129 weeks (n = 18-35). </w:t>
      </w:r>
      <w:r>
        <w:rPr>
          <w:rFonts w:cs="Times New Roman"/>
          <w:lang w:val="en-GB"/>
        </w:rPr>
        <w:t xml:space="preserve">Our analyses include some of the metabolites measured in that study. However, our low sample number </w:t>
      </w:r>
      <w:r>
        <w:rPr>
          <w:rFonts w:cs="Times New Roman"/>
          <w:lang w:val="en-GB"/>
        </w:rPr>
        <w:lastRenderedPageBreak/>
        <w:t xml:space="preserve">per group may explain that small changes during the aging process </w:t>
      </w:r>
      <w:proofErr w:type="gramStart"/>
      <w:r>
        <w:rPr>
          <w:rFonts w:cs="Times New Roman"/>
          <w:lang w:val="en-GB"/>
        </w:rPr>
        <w:t>were missed</w:t>
      </w:r>
      <w:proofErr w:type="gramEnd"/>
      <w:r>
        <w:rPr>
          <w:rFonts w:cs="Times New Roman"/>
          <w:lang w:val="en-GB"/>
        </w:rPr>
        <w:t xml:space="preserve"> in our study, due to the high data variance.</w:t>
      </w:r>
    </w:p>
    <w:p>
      <w:pPr>
        <w:spacing w:after="0" w:line="360" w:lineRule="auto"/>
        <w:jc w:val="both"/>
        <w:rPr>
          <w:lang w:val="en-GB"/>
        </w:rPr>
      </w:pPr>
      <w:r>
        <w:rPr>
          <w:lang w:val="en-GB"/>
        </w:rPr>
        <w:t>Using the p180 Kit from Biocrates</w:t>
      </w:r>
      <w:r>
        <w:rPr>
          <w:rFonts w:cs="Times New Roman"/>
          <w:b/>
          <w:color w:val="0070C0"/>
          <w:sz w:val="24"/>
          <w:vertAlign w:val="superscript"/>
          <w:lang w:val="en-GB"/>
        </w:rPr>
        <w:t>24</w:t>
      </w:r>
      <w:r>
        <w:rPr>
          <w:lang w:val="en-GB"/>
        </w:rPr>
        <w:t xml:space="preserve"> </w:t>
      </w:r>
      <w:r>
        <w:rPr>
          <w:rFonts w:cs="Times New Roman"/>
          <w:lang w:val="en-GB"/>
        </w:rPr>
        <w:t xml:space="preserve">we found a significant change in some </w:t>
      </w:r>
      <w:proofErr w:type="spellStart"/>
      <w:r>
        <w:rPr>
          <w:rFonts w:cs="Times New Roman"/>
          <w:lang w:val="en-GB"/>
        </w:rPr>
        <w:t>glycerophospholipids</w:t>
      </w:r>
      <w:proofErr w:type="spellEnd"/>
      <w:r>
        <w:rPr>
          <w:rFonts w:cs="Times New Roman"/>
          <w:lang w:val="en-GB"/>
        </w:rPr>
        <w:t xml:space="preserve"> during aging in serum of </w:t>
      </w:r>
      <w:r>
        <w:rPr>
          <w:rFonts w:eastAsia="Times New Roman" w:cs="Times New Roman"/>
          <w:lang w:val="en-GB"/>
        </w:rPr>
        <w:t>C57BL/6J mice (4 versus 21 months old mice)</w:t>
      </w:r>
      <w:r>
        <w:rPr>
          <w:rFonts w:cs="Times New Roman"/>
          <w:lang w:val="en-GB"/>
        </w:rPr>
        <w:t xml:space="preserve">. A higher number of animals per group than in our case might have led to their observation of significant differences, but </w:t>
      </w:r>
      <w:proofErr w:type="gramStart"/>
      <w:r>
        <w:rPr>
          <w:rFonts w:cs="Times New Roman"/>
          <w:lang w:val="en-GB"/>
        </w:rPr>
        <w:t>unfortunately</w:t>
      </w:r>
      <w:proofErr w:type="gramEnd"/>
      <w:r>
        <w:rPr>
          <w:rFonts w:cs="Times New Roman"/>
          <w:lang w:val="en-GB"/>
        </w:rPr>
        <w:t xml:space="preserve"> the study design in the cited paper does not reveal any information about the group size.</w:t>
      </w:r>
    </w:p>
    <w:p>
      <w:pPr>
        <w:spacing w:after="0" w:line="360" w:lineRule="auto"/>
        <w:jc w:val="both"/>
        <w:rPr>
          <w:rFonts w:cs="Times New Roman"/>
          <w:bCs/>
          <w:lang w:val="en-GB"/>
        </w:rPr>
      </w:pPr>
      <w:r>
        <w:rPr>
          <w:rFonts w:cs="Times New Roman"/>
          <w:lang w:val="en-GB"/>
        </w:rPr>
        <w:t xml:space="preserve">Further factors could explain the differences in results between the other studies and ours. Metabolite levels can easily be influenced by </w:t>
      </w:r>
      <w:proofErr w:type="gramStart"/>
      <w:r>
        <w:rPr>
          <w:rFonts w:cs="Times New Roman"/>
          <w:lang w:val="en-GB"/>
        </w:rPr>
        <w:t>the way how</w:t>
      </w:r>
      <w:proofErr w:type="gramEnd"/>
      <w:r>
        <w:rPr>
          <w:rFonts w:cs="Times New Roman"/>
          <w:lang w:val="en-GB"/>
        </w:rPr>
        <w:t xml:space="preserve"> blood is taken. The time point of blood taking</w:t>
      </w:r>
      <w:r>
        <w:rPr>
          <w:rFonts w:cs="Times New Roman"/>
          <w:b/>
          <w:color w:val="0070C0"/>
          <w:sz w:val="24"/>
          <w:vertAlign w:val="superscript"/>
          <w:lang w:val="en-GB"/>
        </w:rPr>
        <w:t>25</w:t>
      </w:r>
      <w:r>
        <w:rPr>
          <w:rFonts w:cs="Times New Roman"/>
          <w:lang w:val="en-GB"/>
        </w:rPr>
        <w:t>, the kind of anaesthesia used</w:t>
      </w:r>
      <w:r>
        <w:rPr>
          <w:rFonts w:cs="Times New Roman"/>
          <w:b/>
          <w:color w:val="0070C0"/>
          <w:sz w:val="24"/>
          <w:vertAlign w:val="superscript"/>
          <w:lang w:val="en-GB"/>
        </w:rPr>
        <w:t>26</w:t>
      </w:r>
      <w:r>
        <w:rPr>
          <w:rFonts w:cs="Times New Roman"/>
          <w:lang w:val="en-GB"/>
        </w:rPr>
        <w:t xml:space="preserve">, or the mouse handling and husbandry (influence of import of mice from breeding location to the study location; when </w:t>
      </w:r>
      <w:proofErr w:type="gramStart"/>
      <w:r>
        <w:rPr>
          <w:rFonts w:cs="Times New Roman"/>
          <w:lang w:val="en-GB"/>
        </w:rPr>
        <w:t>mouse husbandry or sample collection is performed by different persons</w:t>
      </w:r>
      <w:proofErr w:type="gramEnd"/>
      <w:r>
        <w:rPr>
          <w:rFonts w:cs="Times New Roman"/>
          <w:lang w:val="en-GB"/>
        </w:rPr>
        <w:t xml:space="preserve">) - to name only some factors - can strongly impact metabolomics results. Thus, in future studies a higher number of animals per group is required to get sufficient statistical power. </w:t>
      </w:r>
    </w:p>
    <w:p>
      <w:pPr>
        <w:spacing w:after="0" w:line="360" w:lineRule="auto"/>
        <w:jc w:val="both"/>
        <w:rPr>
          <w:rFonts w:cs="Times New Roman"/>
          <w:bCs/>
          <w:lang w:val="en-GB"/>
        </w:rPr>
      </w:pPr>
    </w:p>
    <w:p>
      <w:pPr>
        <w:spacing w:after="0" w:line="360" w:lineRule="auto"/>
        <w:jc w:val="both"/>
        <w:rPr>
          <w:rFonts w:cs="Times New Roman"/>
          <w:bCs/>
          <w:lang w:val="en-GB"/>
        </w:rPr>
      </w:pPr>
      <w:r>
        <w:rPr>
          <w:rFonts w:cs="Times New Roman"/>
          <w:bCs/>
          <w:lang w:val="en-GB"/>
        </w:rPr>
        <w:t xml:space="preserve">In conclusion, the histological examinations in our lifetime study of mice confirmed that an irradiation up to 0.5 </w:t>
      </w:r>
      <w:proofErr w:type="spellStart"/>
      <w:r>
        <w:rPr>
          <w:rFonts w:cs="Times New Roman"/>
          <w:bCs/>
          <w:lang w:val="en-GB"/>
        </w:rPr>
        <w:t>Gy</w:t>
      </w:r>
      <w:proofErr w:type="spellEnd"/>
      <w:r>
        <w:rPr>
          <w:rFonts w:cs="Times New Roman"/>
          <w:bCs/>
          <w:lang w:val="en-GB"/>
        </w:rPr>
        <w:t xml:space="preserve"> did not lead to nuclear cataracts (according to stage II of Merriam and Focht</w:t>
      </w:r>
      <w:r>
        <w:rPr>
          <w:rFonts w:cs="Times New Roman"/>
          <w:b/>
          <w:color w:val="0070C0"/>
          <w:sz w:val="24"/>
          <w:vertAlign w:val="superscript"/>
          <w:lang w:val="en-GB"/>
        </w:rPr>
        <w:t>12</w:t>
      </w:r>
      <w:r>
        <w:rPr>
          <w:rFonts w:cs="Times New Roman"/>
          <w:bCs/>
          <w:lang w:val="en-GB"/>
        </w:rPr>
        <w:t>), however, we provided evidence for low radiation-induced posterior subcapsular cataracts that could not be doubtlessly detected by Scheimpflug imaging in our mouse model. Metabolomics is an interesting new tool for the analysis of mouse eye lenses, but probably not sensitive enough to detect barely perceptible changes caused by radiation at least at the low doses used here.</w:t>
      </w:r>
    </w:p>
    <w:p>
      <w:pPr>
        <w:spacing w:after="0" w:line="360" w:lineRule="auto"/>
        <w:jc w:val="both"/>
        <w:rPr>
          <w:rFonts w:cs="Times New Roman"/>
          <w:lang w:val="en-GB"/>
        </w:rPr>
      </w:pPr>
    </w:p>
    <w:p>
      <w:pPr>
        <w:spacing w:after="0" w:line="360" w:lineRule="auto"/>
        <w:jc w:val="both"/>
        <w:rPr>
          <w:rFonts w:cs="Times New Roman"/>
          <w:lang w:val="en-GB"/>
        </w:rPr>
      </w:pPr>
    </w:p>
    <w:p>
      <w:pPr>
        <w:spacing w:after="0" w:line="360" w:lineRule="auto"/>
        <w:jc w:val="both"/>
        <w:rPr>
          <w:rFonts w:cs="Times New Roman"/>
          <w:lang w:val="en-GB"/>
        </w:rPr>
      </w:pPr>
      <w:r>
        <w:rPr>
          <w:rFonts w:cs="Times New Roman"/>
          <w:b/>
          <w:lang w:val="en-GB"/>
        </w:rPr>
        <w:t>Materials and Methods</w:t>
      </w:r>
    </w:p>
    <w:p>
      <w:pPr>
        <w:spacing w:after="0" w:line="360" w:lineRule="auto"/>
        <w:jc w:val="both"/>
        <w:rPr>
          <w:rFonts w:cs="Times New Roman"/>
          <w:u w:val="single"/>
          <w:lang w:val="en-GB"/>
        </w:rPr>
      </w:pPr>
      <w:r>
        <w:rPr>
          <w:rFonts w:cs="Times New Roman"/>
          <w:u w:val="single"/>
          <w:lang w:val="en-GB"/>
        </w:rPr>
        <w:t>Mice</w:t>
      </w:r>
    </w:p>
    <w:p>
      <w:pPr>
        <w:spacing w:after="0" w:line="360" w:lineRule="auto"/>
        <w:jc w:val="both"/>
        <w:rPr>
          <w:rFonts w:cs="Times New Roman"/>
          <w:lang w:val="en-GB"/>
        </w:rPr>
      </w:pPr>
      <w:r>
        <w:rPr>
          <w:rFonts w:cs="Times New Roman"/>
          <w:lang w:val="en-GB"/>
        </w:rPr>
        <w:t xml:space="preserve">Recently, we described the γ-irradiation of mice (wild types or heterozygous </w:t>
      </w:r>
      <w:r>
        <w:rPr>
          <w:rFonts w:cs="Times New Roman"/>
          <w:i/>
          <w:lang w:val="en-GB"/>
        </w:rPr>
        <w:t>Ercc2</w:t>
      </w:r>
      <w:r>
        <w:rPr>
          <w:rFonts w:cs="Times New Roman"/>
          <w:lang w:val="en-GB"/>
        </w:rPr>
        <w:t xml:space="preserve"> mutant mice, both on B6C3F1 strain background; gene symbol </w:t>
      </w:r>
      <w:r>
        <w:rPr>
          <w:rFonts w:cs="Times New Roman"/>
          <w:i/>
          <w:lang w:val="en-GB"/>
        </w:rPr>
        <w:t>Ercc2</w:t>
      </w:r>
      <w:r>
        <w:rPr>
          <w:rFonts w:cs="Times New Roman"/>
          <w:lang w:val="en-GB"/>
        </w:rPr>
        <w:t xml:space="preserve"> means </w:t>
      </w:r>
      <w:r>
        <w:rPr>
          <w:lang w:val="en-GB"/>
        </w:rPr>
        <w:t>excision repair cross-complementing rodent repair deficiency, complementation group 2</w:t>
      </w:r>
      <w:r>
        <w:rPr>
          <w:rFonts w:cs="Times New Roman"/>
          <w:lang w:val="en-GB"/>
        </w:rPr>
        <w:t xml:space="preserve">) at the age of 10 weeks by various doses (0, 0.063, 0.125 or 0.5 </w:t>
      </w:r>
      <w:proofErr w:type="spellStart"/>
      <w:r>
        <w:rPr>
          <w:rFonts w:cs="Times New Roman"/>
          <w:lang w:val="en-GB"/>
        </w:rPr>
        <w:t>Gy</w:t>
      </w:r>
      <w:proofErr w:type="spellEnd"/>
      <w:r>
        <w:rPr>
          <w:rFonts w:cs="Times New Roman"/>
          <w:lang w:val="en-GB"/>
        </w:rPr>
        <w:t xml:space="preserve"> at 0.063 </w:t>
      </w:r>
      <w:proofErr w:type="spellStart"/>
      <w:r>
        <w:rPr>
          <w:rFonts w:cs="Times New Roman"/>
          <w:lang w:val="en-GB"/>
        </w:rPr>
        <w:t>Gy</w:t>
      </w:r>
      <w:proofErr w:type="spellEnd"/>
      <w:r>
        <w:rPr>
          <w:rFonts w:cs="Times New Roman"/>
          <w:lang w:val="en-GB"/>
        </w:rPr>
        <w:t>/min) and their monitoring for 24 months</w:t>
      </w:r>
      <w:r>
        <w:rPr>
          <w:rFonts w:cs="Times New Roman"/>
          <w:b/>
          <w:color w:val="0070C0"/>
          <w:sz w:val="24"/>
          <w:vertAlign w:val="superscript"/>
          <w:lang w:val="en-GB"/>
        </w:rPr>
        <w:t>14</w:t>
      </w:r>
      <w:r>
        <w:rPr>
          <w:rFonts w:cs="Times New Roman"/>
          <w:lang w:val="en-GB"/>
        </w:rPr>
        <w:t xml:space="preserve">. Supplementary Fig. S1 gives an overview of the irradiation scheme. The </w:t>
      </w:r>
      <w:proofErr w:type="gramStart"/>
      <w:r>
        <w:rPr>
          <w:rFonts w:cs="Times New Roman"/>
          <w:lang w:val="en-GB"/>
        </w:rPr>
        <w:t>study was approved by the Government of Upper Bavaria (Az. 55.2-1-54-2532-161-12)</w:t>
      </w:r>
      <w:proofErr w:type="gramEnd"/>
      <w:r>
        <w:rPr>
          <w:rFonts w:cs="Times New Roman"/>
          <w:lang w:val="en-GB"/>
        </w:rPr>
        <w:t>. The use of animals was in strict accordance with the German Law of Animal Protection and the tenets of the Declaration of Helsinki.</w:t>
      </w:r>
    </w:p>
    <w:p>
      <w:pPr>
        <w:spacing w:after="0" w:line="360" w:lineRule="auto"/>
        <w:jc w:val="both"/>
        <w:rPr>
          <w:rFonts w:cs="Times New Roman"/>
          <w:lang w:val="en-GB"/>
        </w:rPr>
      </w:pPr>
    </w:p>
    <w:p>
      <w:pPr>
        <w:spacing w:after="0" w:line="360" w:lineRule="auto"/>
        <w:jc w:val="both"/>
        <w:rPr>
          <w:rFonts w:cs="Times New Roman"/>
          <w:u w:val="single"/>
          <w:lang w:val="en-GB"/>
        </w:rPr>
      </w:pPr>
      <w:r>
        <w:rPr>
          <w:rFonts w:cs="Times New Roman"/>
          <w:u w:val="single"/>
          <w:lang w:val="en-GB"/>
        </w:rPr>
        <w:t>Sample preparation</w:t>
      </w:r>
    </w:p>
    <w:p>
      <w:pPr>
        <w:spacing w:after="0" w:line="360" w:lineRule="auto"/>
        <w:jc w:val="both"/>
        <w:rPr>
          <w:rFonts w:cs="Times New Roman"/>
          <w:lang w:val="en-GB"/>
        </w:rPr>
      </w:pPr>
      <w:r>
        <w:rPr>
          <w:rFonts w:cs="Times New Roman"/>
          <w:lang w:val="en-GB"/>
        </w:rPr>
        <w:t xml:space="preserve">Mice </w:t>
      </w:r>
      <w:proofErr w:type="gramStart"/>
      <w:r>
        <w:rPr>
          <w:rFonts w:cs="Times New Roman"/>
          <w:lang w:val="en-GB"/>
        </w:rPr>
        <w:t>were sacrificed</w:t>
      </w:r>
      <w:proofErr w:type="gramEnd"/>
      <w:r>
        <w:rPr>
          <w:rFonts w:cs="Times New Roman"/>
          <w:lang w:val="en-GB"/>
        </w:rPr>
        <w:t xml:space="preserve"> by CO</w:t>
      </w:r>
      <w:r>
        <w:rPr>
          <w:rFonts w:cs="Times New Roman"/>
          <w:vertAlign w:val="subscript"/>
          <w:lang w:val="en-GB"/>
        </w:rPr>
        <w:t>2</w:t>
      </w:r>
      <w:r>
        <w:rPr>
          <w:rFonts w:cs="Times New Roman"/>
          <w:lang w:val="en-GB"/>
        </w:rPr>
        <w:t xml:space="preserve"> at different time points after irradiation (4 and 24 hours, 12, 18 and 24 months) and eyeballs, lenses and blood were collected. Immediately after death, the mouse body was opened and whole blood was taken from the </w:t>
      </w:r>
      <w:r>
        <w:rPr>
          <w:rFonts w:cs="Times New Roman"/>
          <w:i/>
          <w:lang w:val="en-GB"/>
        </w:rPr>
        <w:t>Vena cava</w:t>
      </w:r>
      <w:r>
        <w:rPr>
          <w:rFonts w:cs="Times New Roman"/>
          <w:lang w:val="en-GB"/>
        </w:rPr>
        <w:t xml:space="preserve"> using </w:t>
      </w:r>
      <w:proofErr w:type="gramStart"/>
      <w:r>
        <w:rPr>
          <w:rFonts w:cs="Times New Roman"/>
          <w:lang w:val="en-GB"/>
        </w:rPr>
        <w:t>a</w:t>
      </w:r>
      <w:proofErr w:type="gramEnd"/>
      <w:r>
        <w:rPr>
          <w:rFonts w:cs="Times New Roman"/>
          <w:lang w:val="en-GB"/>
        </w:rPr>
        <w:t xml:space="preserve"> S-</w:t>
      </w:r>
      <w:proofErr w:type="spellStart"/>
      <w:r>
        <w:rPr>
          <w:rFonts w:cs="Times New Roman"/>
          <w:lang w:val="en-GB"/>
        </w:rPr>
        <w:t>Monovette</w:t>
      </w:r>
      <w:proofErr w:type="spellEnd"/>
      <w:r>
        <w:rPr>
          <w:rFonts w:cs="Times New Roman"/>
          <w:lang w:val="en-GB"/>
        </w:rPr>
        <w:t xml:space="preserve"> (EDTA KE/1.2 ml; </w:t>
      </w:r>
      <w:proofErr w:type="spellStart"/>
      <w:r>
        <w:rPr>
          <w:rFonts w:cs="Times New Roman"/>
          <w:lang w:val="en-GB"/>
        </w:rPr>
        <w:t>Sarstedt</w:t>
      </w:r>
      <w:proofErr w:type="spellEnd"/>
      <w:r>
        <w:rPr>
          <w:rFonts w:cs="Times New Roman"/>
          <w:lang w:val="en-GB"/>
        </w:rPr>
        <w:t xml:space="preserve">, </w:t>
      </w:r>
      <w:proofErr w:type="spellStart"/>
      <w:r>
        <w:rPr>
          <w:rFonts w:cs="Times New Roman"/>
          <w:lang w:val="en-GB"/>
        </w:rPr>
        <w:t>Nümbrecht</w:t>
      </w:r>
      <w:proofErr w:type="spellEnd"/>
      <w:r>
        <w:rPr>
          <w:rFonts w:cs="Times New Roman"/>
          <w:lang w:val="en-GB"/>
        </w:rPr>
        <w:t xml:space="preserve">, </w:t>
      </w:r>
      <w:r>
        <w:rPr>
          <w:rFonts w:cs="Times New Roman"/>
          <w:lang w:val="en-GB"/>
        </w:rPr>
        <w:lastRenderedPageBreak/>
        <w:t xml:space="preserve">Germany). After gentle mixing, tubes were centrifuged for 10 min and 4500 x </w:t>
      </w:r>
      <w:r>
        <w:rPr>
          <w:rFonts w:cs="Times New Roman"/>
          <w:i/>
          <w:lang w:val="en-GB"/>
        </w:rPr>
        <w:t>g</w:t>
      </w:r>
      <w:r>
        <w:rPr>
          <w:rFonts w:cs="Times New Roman"/>
          <w:lang w:val="en-GB"/>
        </w:rPr>
        <w:t xml:space="preserve"> at 20-24</w:t>
      </w:r>
      <w:r>
        <w:rPr>
          <w:rFonts w:cs="Times New Roman"/>
          <w:vertAlign w:val="superscript"/>
          <w:lang w:val="en-GB"/>
        </w:rPr>
        <w:t>o</w:t>
      </w:r>
      <w:r>
        <w:rPr>
          <w:rFonts w:cs="Times New Roman"/>
          <w:lang w:val="en-GB"/>
        </w:rPr>
        <w:t xml:space="preserve">C. Plasma was transferred to precooled </w:t>
      </w:r>
      <w:proofErr w:type="spellStart"/>
      <w:r>
        <w:rPr>
          <w:rFonts w:cs="Times New Roman"/>
          <w:lang w:val="en-GB"/>
        </w:rPr>
        <w:t>cryo</w:t>
      </w:r>
      <w:proofErr w:type="spellEnd"/>
      <w:r>
        <w:rPr>
          <w:rFonts w:cs="Times New Roman"/>
          <w:lang w:val="en-GB"/>
        </w:rPr>
        <w:t xml:space="preserve"> tubes (1 ml; Greiner Bio-One, </w:t>
      </w:r>
      <w:proofErr w:type="spellStart"/>
      <w:r>
        <w:rPr>
          <w:rFonts w:cs="Times New Roman"/>
          <w:lang w:val="en-GB"/>
        </w:rPr>
        <w:t>Frickenhausen</w:t>
      </w:r>
      <w:proofErr w:type="spellEnd"/>
      <w:r>
        <w:rPr>
          <w:rFonts w:cs="Times New Roman"/>
          <w:lang w:val="en-GB"/>
        </w:rPr>
        <w:t>, Germany), snap frozen in liquid nitrogen and stored at -80</w:t>
      </w:r>
      <w:r>
        <w:rPr>
          <w:rFonts w:cs="Times New Roman"/>
          <w:vertAlign w:val="superscript"/>
          <w:lang w:val="en-GB"/>
        </w:rPr>
        <w:t>o</w:t>
      </w:r>
      <w:r>
        <w:rPr>
          <w:rFonts w:cs="Times New Roman"/>
          <w:lang w:val="en-GB"/>
        </w:rPr>
        <w:t xml:space="preserve">C until use. </w:t>
      </w:r>
    </w:p>
    <w:p>
      <w:pPr>
        <w:spacing w:after="0" w:line="360" w:lineRule="auto"/>
        <w:jc w:val="both"/>
        <w:rPr>
          <w:rFonts w:cs="Times New Roman"/>
          <w:lang w:val="en-GB"/>
        </w:rPr>
      </w:pPr>
      <w:r>
        <w:rPr>
          <w:rFonts w:cs="Times New Roman"/>
          <w:lang w:val="en-GB"/>
        </w:rPr>
        <w:t xml:space="preserve">Whole eyes from </w:t>
      </w:r>
      <w:proofErr w:type="gramStart"/>
      <w:r>
        <w:rPr>
          <w:rFonts w:cs="Times New Roman"/>
          <w:lang w:val="en-GB"/>
        </w:rPr>
        <w:t>3</w:t>
      </w:r>
      <w:proofErr w:type="gramEnd"/>
      <w:r>
        <w:rPr>
          <w:rFonts w:cs="Times New Roman"/>
          <w:lang w:val="en-GB"/>
        </w:rPr>
        <w:t xml:space="preserve"> different individuals (only right eyes) per time point after radiation, genotype and radiation dose were fixed in Davidson solution (</w:t>
      </w:r>
      <w:r>
        <w:rPr>
          <w:lang w:val="en-GB"/>
        </w:rPr>
        <w:t>95% ethyl alcohol [30ml]; 10% neutral buffered formalin [20ml]; glacial acetic acid [10ml]; distilled water [30ml]</w:t>
      </w:r>
      <w:r>
        <w:rPr>
          <w:rFonts w:cs="Times New Roman"/>
          <w:lang w:val="en-GB"/>
        </w:rPr>
        <w:t>). After 3 days, the samples were washed twice with 70% ethanol and kept in infiltration liquid (</w:t>
      </w:r>
      <w:proofErr w:type="spellStart"/>
      <w:r>
        <w:rPr>
          <w:rFonts w:cs="Times New Roman"/>
          <w:lang w:val="en-GB"/>
        </w:rPr>
        <w:t>Technovit</w:t>
      </w:r>
      <w:proofErr w:type="spellEnd"/>
      <w:r>
        <w:rPr>
          <w:rFonts w:cs="Times New Roman"/>
          <w:lang w:val="en-GB"/>
        </w:rPr>
        <w:t xml:space="preserve"> 8100, </w:t>
      </w:r>
      <w:proofErr w:type="spellStart"/>
      <w:r>
        <w:rPr>
          <w:rFonts w:cs="Times New Roman"/>
          <w:lang w:val="en-GB"/>
        </w:rPr>
        <w:t>Heraeus-Kulzer</w:t>
      </w:r>
      <w:proofErr w:type="spellEnd"/>
      <w:r>
        <w:rPr>
          <w:rFonts w:cs="Times New Roman"/>
          <w:lang w:val="en-GB"/>
        </w:rPr>
        <w:t xml:space="preserve">, </w:t>
      </w:r>
      <w:proofErr w:type="spellStart"/>
      <w:proofErr w:type="gramStart"/>
      <w:r>
        <w:rPr>
          <w:rFonts w:cs="Times New Roman"/>
          <w:lang w:val="en-GB"/>
        </w:rPr>
        <w:t>Wehrheim</w:t>
      </w:r>
      <w:proofErr w:type="spellEnd"/>
      <w:proofErr w:type="gramEnd"/>
      <w:r>
        <w:rPr>
          <w:rFonts w:cs="Times New Roman"/>
          <w:lang w:val="en-GB"/>
        </w:rPr>
        <w:t>, Germany) over night. The next day, eyes were embedded in plastic (</w:t>
      </w:r>
      <w:proofErr w:type="spellStart"/>
      <w:r>
        <w:rPr>
          <w:rFonts w:cs="Times New Roman"/>
          <w:lang w:val="en-GB"/>
        </w:rPr>
        <w:t>Technovit</w:t>
      </w:r>
      <w:proofErr w:type="spellEnd"/>
      <w:r>
        <w:rPr>
          <w:rFonts w:cs="Times New Roman"/>
          <w:lang w:val="en-GB"/>
        </w:rPr>
        <w:t xml:space="preserve"> 8100) and stored at 4</w:t>
      </w:r>
      <w:r>
        <w:rPr>
          <w:rFonts w:cs="Times New Roman"/>
          <w:vertAlign w:val="superscript"/>
          <w:lang w:val="en-GB"/>
        </w:rPr>
        <w:t>o</w:t>
      </w:r>
      <w:r>
        <w:rPr>
          <w:rFonts w:cs="Times New Roman"/>
          <w:lang w:val="en-GB"/>
        </w:rPr>
        <w:t>C until use.</w:t>
      </w:r>
    </w:p>
    <w:p>
      <w:pPr>
        <w:spacing w:after="0" w:line="360" w:lineRule="auto"/>
        <w:jc w:val="both"/>
        <w:rPr>
          <w:rFonts w:cs="Times New Roman"/>
          <w:lang w:val="en-GB"/>
        </w:rPr>
      </w:pPr>
      <w:r>
        <w:rPr>
          <w:rFonts w:cs="Times New Roman"/>
          <w:lang w:val="en-GB"/>
        </w:rPr>
        <w:t xml:space="preserve">Two lenses per time point after radiation, genotype and radiation dose were carefully dissected from left eyeballs, washed in PBS, and individually snap frozen and stored at -80°C in 1.5 ml Safe-Lock Tubes (Eppendorf, </w:t>
      </w:r>
      <w:proofErr w:type="spellStart"/>
      <w:r>
        <w:rPr>
          <w:rFonts w:cs="Times New Roman"/>
          <w:lang w:val="en-GB"/>
        </w:rPr>
        <w:t>Wesseling-Berzdorf</w:t>
      </w:r>
      <w:proofErr w:type="spellEnd"/>
      <w:r>
        <w:rPr>
          <w:rFonts w:cs="Times New Roman"/>
          <w:lang w:val="en-GB"/>
        </w:rPr>
        <w:t>, Germany) until use.</w:t>
      </w:r>
    </w:p>
    <w:p>
      <w:pPr>
        <w:spacing w:after="0" w:line="360" w:lineRule="auto"/>
        <w:jc w:val="both"/>
        <w:rPr>
          <w:rFonts w:cs="Times New Roman"/>
          <w:lang w:val="en-GB"/>
        </w:rPr>
      </w:pPr>
    </w:p>
    <w:p>
      <w:pPr>
        <w:spacing w:after="0" w:line="360" w:lineRule="auto"/>
        <w:jc w:val="both"/>
        <w:rPr>
          <w:rFonts w:cs="Times New Roman"/>
          <w:u w:val="single"/>
          <w:lang w:val="en-GB"/>
        </w:rPr>
      </w:pPr>
      <w:r>
        <w:rPr>
          <w:rFonts w:cs="Times New Roman"/>
          <w:u w:val="single"/>
          <w:lang w:val="en-GB"/>
        </w:rPr>
        <w:t>Eye histology</w:t>
      </w:r>
    </w:p>
    <w:p>
      <w:pPr>
        <w:pStyle w:val="HTMLVorformatiert"/>
        <w:spacing w:line="360" w:lineRule="auto"/>
        <w:jc w:val="both"/>
        <w:rPr>
          <w:rFonts w:asciiTheme="minorHAnsi" w:hAnsiTheme="minorHAnsi"/>
          <w:sz w:val="22"/>
          <w:szCs w:val="22"/>
          <w:lang w:val="en-GB"/>
        </w:rPr>
      </w:pPr>
      <w:r>
        <w:rPr>
          <w:rFonts w:asciiTheme="minorHAnsi" w:hAnsiTheme="minorHAnsi" w:cs="Times New Roman"/>
          <w:sz w:val="22"/>
          <w:szCs w:val="22"/>
          <w:lang w:val="en-GB"/>
        </w:rPr>
        <w:t xml:space="preserve">Plastic-embedded eyes were cut in sections of </w:t>
      </w:r>
      <w:proofErr w:type="gramStart"/>
      <w:r>
        <w:rPr>
          <w:rFonts w:asciiTheme="minorHAnsi" w:hAnsiTheme="minorHAnsi" w:cs="Times New Roman"/>
          <w:sz w:val="22"/>
          <w:szCs w:val="22"/>
          <w:lang w:val="en-GB"/>
        </w:rPr>
        <w:t>2 µm</w:t>
      </w:r>
      <w:proofErr w:type="gramEnd"/>
      <w:r>
        <w:rPr>
          <w:rFonts w:asciiTheme="minorHAnsi" w:hAnsiTheme="minorHAnsi" w:cs="Times New Roman"/>
          <w:sz w:val="22"/>
          <w:szCs w:val="22"/>
          <w:lang w:val="en-GB"/>
        </w:rPr>
        <w:t xml:space="preserve"> thickness with a glass knife (</w:t>
      </w:r>
      <w:proofErr w:type="spellStart"/>
      <w:r>
        <w:rPr>
          <w:rFonts w:asciiTheme="minorHAnsi" w:hAnsiTheme="minorHAnsi" w:cs="Times New Roman"/>
          <w:sz w:val="22"/>
          <w:szCs w:val="22"/>
          <w:lang w:val="en-GB"/>
        </w:rPr>
        <w:t>Ultramicrotome</w:t>
      </w:r>
      <w:proofErr w:type="spellEnd"/>
      <w:r>
        <w:rPr>
          <w:rFonts w:asciiTheme="minorHAnsi" w:hAnsiTheme="minorHAnsi" w:cs="Times New Roman"/>
          <w:sz w:val="22"/>
          <w:szCs w:val="22"/>
          <w:lang w:val="en-GB"/>
        </w:rPr>
        <w:t xml:space="preserve"> OmU3, Reichert, Vienna, Austria). A full histological analysis </w:t>
      </w:r>
      <w:proofErr w:type="gramStart"/>
      <w:r>
        <w:rPr>
          <w:rFonts w:asciiTheme="minorHAnsi" w:hAnsiTheme="minorHAnsi" w:cs="Times New Roman"/>
          <w:sz w:val="22"/>
          <w:szCs w:val="22"/>
          <w:lang w:val="en-GB"/>
        </w:rPr>
        <w:t>was made</w:t>
      </w:r>
      <w:proofErr w:type="gramEnd"/>
      <w:r>
        <w:rPr>
          <w:rFonts w:asciiTheme="minorHAnsi" w:hAnsiTheme="minorHAnsi" w:cs="Times New Roman"/>
          <w:sz w:val="22"/>
          <w:szCs w:val="22"/>
          <w:lang w:val="en-GB"/>
        </w:rPr>
        <w:t xml:space="preserve"> for all samples collected at 4 hours, 12, 18, and 24 months after irradiation.</w:t>
      </w:r>
    </w:p>
    <w:p>
      <w:pPr>
        <w:spacing w:after="0" w:line="360" w:lineRule="auto"/>
        <w:jc w:val="both"/>
        <w:rPr>
          <w:rFonts w:cs="Times New Roman"/>
          <w:lang w:val="en-GB"/>
        </w:rPr>
      </w:pPr>
      <w:r>
        <w:rPr>
          <w:rFonts w:cs="Times New Roman"/>
          <w:lang w:val="en-GB"/>
        </w:rPr>
        <w:t xml:space="preserve">Eye sections </w:t>
      </w:r>
      <w:proofErr w:type="gramStart"/>
      <w:r>
        <w:rPr>
          <w:rFonts w:cs="Times New Roman"/>
          <w:lang w:val="en-GB"/>
        </w:rPr>
        <w:t>were stained</w:t>
      </w:r>
      <w:proofErr w:type="gramEnd"/>
      <w:r>
        <w:rPr>
          <w:rFonts w:cs="Times New Roman"/>
          <w:lang w:val="en-GB"/>
        </w:rPr>
        <w:t xml:space="preserve"> with methylene blue and basic fuchsin</w:t>
      </w:r>
      <w:r>
        <w:rPr>
          <w:rFonts w:cs="Times New Roman"/>
          <w:b/>
          <w:color w:val="0070C0"/>
          <w:sz w:val="24"/>
          <w:vertAlign w:val="superscript"/>
          <w:lang w:val="en-GB"/>
        </w:rPr>
        <w:t>27</w:t>
      </w:r>
      <w:r>
        <w:rPr>
          <w:rFonts w:cs="Times New Roman"/>
          <w:lang w:val="en-GB"/>
        </w:rPr>
        <w:t xml:space="preserve">. Per eye, 6-8 </w:t>
      </w:r>
      <w:proofErr w:type="spellStart"/>
      <w:r>
        <w:rPr>
          <w:rFonts w:cs="Times New Roman"/>
          <w:lang w:val="en-GB"/>
        </w:rPr>
        <w:t>sagital</w:t>
      </w:r>
      <w:proofErr w:type="spellEnd"/>
      <w:r>
        <w:rPr>
          <w:rFonts w:cs="Times New Roman"/>
          <w:lang w:val="en-GB"/>
        </w:rPr>
        <w:t xml:space="preserve"> sections through the central eye plane with the optic nerve were analysed (</w:t>
      </w:r>
      <w:proofErr w:type="spellStart"/>
      <w:r>
        <w:rPr>
          <w:rFonts w:cs="Times New Roman"/>
          <w:lang w:val="en-GB"/>
        </w:rPr>
        <w:t>Axioplan</w:t>
      </w:r>
      <w:proofErr w:type="spellEnd"/>
      <w:r>
        <w:rPr>
          <w:rFonts w:cs="Times New Roman"/>
          <w:lang w:val="en-GB"/>
        </w:rPr>
        <w:t xml:space="preserve">, Zeiss, </w:t>
      </w:r>
      <w:proofErr w:type="spellStart"/>
      <w:r>
        <w:rPr>
          <w:rFonts w:cs="Times New Roman"/>
          <w:lang w:val="en-GB"/>
        </w:rPr>
        <w:t>Oberkochen</w:t>
      </w:r>
      <w:proofErr w:type="spellEnd"/>
      <w:r>
        <w:rPr>
          <w:rFonts w:cs="Times New Roman"/>
          <w:lang w:val="en-GB"/>
        </w:rPr>
        <w:t xml:space="preserve">, Germany). GIMP software was used for image processing (www.gimp.org; </w:t>
      </w:r>
      <w:r>
        <w:rPr>
          <w:lang w:val="en-GB"/>
        </w:rPr>
        <w:t>2.8 (2012-05-03) and 2.10.8 (2018-11-08))</w:t>
      </w:r>
      <w:r>
        <w:rPr>
          <w:rFonts w:cs="Times New Roman"/>
          <w:lang w:val="en-GB"/>
        </w:rPr>
        <w:t xml:space="preserve">. Alterations in the lens </w:t>
      </w:r>
      <w:proofErr w:type="gramStart"/>
      <w:r>
        <w:rPr>
          <w:rFonts w:cs="Times New Roman"/>
          <w:lang w:val="en-GB"/>
        </w:rPr>
        <w:t>were categorized</w:t>
      </w:r>
      <w:proofErr w:type="gramEnd"/>
      <w:r>
        <w:rPr>
          <w:rFonts w:cs="Times New Roman"/>
          <w:lang w:val="en-GB"/>
        </w:rPr>
        <w:t>, and these categories were used for statistical analyses: enlarged/swollen fibre cells, detachments, fissures, mislocated nuclei, cataract in the anterior, posterior part and the lens bow region (Tab. 1-4).</w:t>
      </w:r>
    </w:p>
    <w:p>
      <w:pPr>
        <w:spacing w:after="0" w:line="360" w:lineRule="auto"/>
        <w:jc w:val="both"/>
        <w:rPr>
          <w:rFonts w:cs="Times New Roman"/>
          <w:lang w:val="en-GB"/>
        </w:rPr>
      </w:pPr>
      <w:r>
        <w:rPr>
          <w:rFonts w:cs="Times New Roman"/>
          <w:lang w:val="en-GB"/>
        </w:rPr>
        <w:t xml:space="preserve"> </w:t>
      </w:r>
    </w:p>
    <w:p>
      <w:pPr>
        <w:spacing w:after="0" w:line="360" w:lineRule="auto"/>
        <w:jc w:val="both"/>
        <w:rPr>
          <w:lang w:val="en-GB"/>
        </w:rPr>
      </w:pPr>
      <w:r>
        <w:rPr>
          <w:rFonts w:cs="Times New Roman"/>
          <w:lang w:val="en-GB"/>
        </w:rPr>
        <w:t xml:space="preserve">Odds ratios with corresponding 95% confidence intervals </w:t>
      </w:r>
      <w:proofErr w:type="gramStart"/>
      <w:r>
        <w:rPr>
          <w:rFonts w:cs="Times New Roman"/>
          <w:lang w:val="en-GB"/>
        </w:rPr>
        <w:t>were calculated</w:t>
      </w:r>
      <w:proofErr w:type="gramEnd"/>
      <w:r>
        <w:rPr>
          <w:rFonts w:cs="Times New Roman"/>
          <w:lang w:val="en-GB"/>
        </w:rPr>
        <w:t xml:space="preserve"> separately for each of the phenotypical categories/ outcomes using logistic regression with Firth’s correction method</w:t>
      </w:r>
      <w:r>
        <w:rPr>
          <w:rFonts w:cs="Times New Roman"/>
          <w:b/>
          <w:color w:val="0070C0"/>
          <w:sz w:val="24"/>
          <w:vertAlign w:val="superscript"/>
          <w:lang w:val="en-GB"/>
        </w:rPr>
        <w:t>28</w:t>
      </w:r>
      <w:r>
        <w:rPr>
          <w:rFonts w:cs="Times New Roman"/>
          <w:lang w:val="en-GB"/>
        </w:rPr>
        <w:t xml:space="preserve">. Radiation (categorical variable; 0 </w:t>
      </w:r>
      <w:proofErr w:type="spellStart"/>
      <w:r>
        <w:rPr>
          <w:rFonts w:cs="Times New Roman"/>
          <w:lang w:val="en-GB"/>
        </w:rPr>
        <w:t>Gy</w:t>
      </w:r>
      <w:proofErr w:type="spellEnd"/>
      <w:r>
        <w:rPr>
          <w:rFonts w:cs="Times New Roman"/>
          <w:lang w:val="en-GB"/>
        </w:rPr>
        <w:t xml:space="preserve"> was used as reference category), time after irradiation (4 hours, 12, 18 or 24 months; 4 hours was used as reference category), sex and genotype were used as predictors for each outcome, thus mutually adjusted for each other. The level of significance was set to 5% without correction for multiple testing due to the explorative nature of this study. All analyses </w:t>
      </w:r>
      <w:proofErr w:type="gramStart"/>
      <w:r>
        <w:rPr>
          <w:rFonts w:cs="Times New Roman"/>
          <w:lang w:val="en-GB"/>
        </w:rPr>
        <w:t>were carried</w:t>
      </w:r>
      <w:proofErr w:type="gramEnd"/>
      <w:r>
        <w:rPr>
          <w:rFonts w:cs="Times New Roman"/>
          <w:lang w:val="en-GB"/>
        </w:rPr>
        <w:t xml:space="preserve"> out using SAS 9.4 (SAS Institute, Cary, NC, USA). The analysis code is available at </w:t>
      </w:r>
      <w:r>
        <w:rPr>
          <w:lang w:val="en-GB"/>
        </w:rPr>
        <w:t>https://osf.io/6pmyj/</w:t>
      </w:r>
      <w:r>
        <w:rPr>
          <w:rFonts w:cs="Times New Roman"/>
          <w:lang w:val="en-GB"/>
        </w:rPr>
        <w:t xml:space="preserve">. The raw data </w:t>
      </w:r>
      <w:proofErr w:type="gramStart"/>
      <w:r>
        <w:rPr>
          <w:rFonts w:cs="Times New Roman"/>
          <w:lang w:val="en-GB"/>
        </w:rPr>
        <w:t>will be added</w:t>
      </w:r>
      <w:proofErr w:type="gramEnd"/>
      <w:r>
        <w:rPr>
          <w:rFonts w:cs="Times New Roman"/>
          <w:lang w:val="en-GB"/>
        </w:rPr>
        <w:t xml:space="preserve"> after journal acceptance.</w:t>
      </w:r>
    </w:p>
    <w:p>
      <w:pPr>
        <w:spacing w:after="0" w:line="360" w:lineRule="auto"/>
        <w:jc w:val="both"/>
        <w:rPr>
          <w:rFonts w:cs="Times New Roman"/>
          <w:lang w:val="en-GB"/>
        </w:rPr>
      </w:pPr>
    </w:p>
    <w:p>
      <w:pPr>
        <w:spacing w:after="0" w:line="360" w:lineRule="auto"/>
        <w:jc w:val="both"/>
        <w:rPr>
          <w:rFonts w:cs="Times New Roman"/>
          <w:u w:val="single"/>
          <w:lang w:val="en-GB"/>
        </w:rPr>
      </w:pPr>
      <w:r>
        <w:rPr>
          <w:rFonts w:cs="Times New Roman"/>
          <w:u w:val="single"/>
          <w:lang w:val="en-GB"/>
        </w:rPr>
        <w:t>Metabolomics</w:t>
      </w:r>
    </w:p>
    <w:p>
      <w:pPr>
        <w:spacing w:after="0" w:line="360" w:lineRule="auto"/>
        <w:jc w:val="both"/>
        <w:rPr>
          <w:rFonts w:cs="Times New Roman"/>
          <w:lang w:val="en-GB"/>
        </w:rPr>
      </w:pPr>
      <w:r>
        <w:rPr>
          <w:lang w:val="en-GB"/>
        </w:rPr>
        <w:t xml:space="preserve">Plasma and lens samples of all time points </w:t>
      </w:r>
      <w:r>
        <w:rPr>
          <w:rFonts w:cs="Times New Roman"/>
          <w:lang w:val="en-GB"/>
        </w:rPr>
        <w:t>(4 and 24 hours as well as 12, 18 and 24 months)</w:t>
      </w:r>
      <w:r>
        <w:rPr>
          <w:lang w:val="en-GB"/>
        </w:rPr>
        <w:t xml:space="preserve"> were analysed by targeted metabolomics measurements. In case of </w:t>
      </w:r>
      <w:r>
        <w:rPr>
          <w:rFonts w:cs="Times New Roman"/>
          <w:lang w:val="en-GB"/>
        </w:rPr>
        <w:t xml:space="preserve">plasma, 10 µl </w:t>
      </w:r>
      <w:proofErr w:type="gramStart"/>
      <w:r>
        <w:rPr>
          <w:rFonts w:cs="Times New Roman"/>
          <w:lang w:val="en-GB"/>
        </w:rPr>
        <w:t>were used</w:t>
      </w:r>
      <w:proofErr w:type="gramEnd"/>
      <w:r>
        <w:rPr>
          <w:rFonts w:cs="Times New Roman"/>
          <w:lang w:val="en-GB"/>
        </w:rPr>
        <w:t xml:space="preserve"> without any pre-processing. </w:t>
      </w:r>
      <w:r>
        <w:rPr>
          <w:rFonts w:cs="Times New Roman"/>
          <w:lang w:val="en-GB"/>
        </w:rPr>
        <w:lastRenderedPageBreak/>
        <w:t xml:space="preserve">The preparation of the lens tissues </w:t>
      </w:r>
      <w:proofErr w:type="gramStart"/>
      <w:r>
        <w:rPr>
          <w:rFonts w:cs="Times New Roman"/>
          <w:lang w:val="en-GB"/>
        </w:rPr>
        <w:t>was carried out</w:t>
      </w:r>
      <w:proofErr w:type="gramEnd"/>
      <w:r>
        <w:rPr>
          <w:rFonts w:cs="Times New Roman"/>
          <w:lang w:val="en-GB"/>
        </w:rPr>
        <w:t xml:space="preserve"> based on a procedure described earlier</w:t>
      </w:r>
      <w:r>
        <w:rPr>
          <w:rFonts w:cs="Times New Roman"/>
          <w:b/>
          <w:color w:val="0070C0"/>
          <w:sz w:val="24"/>
          <w:vertAlign w:val="superscript"/>
          <w:lang w:val="en-GB"/>
        </w:rPr>
        <w:t>29</w:t>
      </w:r>
      <w:r>
        <w:rPr>
          <w:rFonts w:cs="Times New Roman"/>
          <w:lang w:val="en-GB"/>
        </w:rPr>
        <w:t xml:space="preserve">, however with the necessary adaptations. Briefly, each frozen lens </w:t>
      </w:r>
      <w:proofErr w:type="gramStart"/>
      <w:r>
        <w:rPr>
          <w:rFonts w:cs="Times New Roman"/>
          <w:lang w:val="en-GB"/>
        </w:rPr>
        <w:t>was weighed and transferred into a dry ice-precooled 0.5 ml homogenization tube containing ceramic beads of 1.4 mm diameter (PEQLAB Biotechnology GmbH, Erlangen, Germany)</w:t>
      </w:r>
      <w:proofErr w:type="gramEnd"/>
      <w:r>
        <w:rPr>
          <w:rFonts w:cs="Times New Roman"/>
          <w:lang w:val="en-GB"/>
        </w:rPr>
        <w:t xml:space="preserve">. </w:t>
      </w:r>
      <w:proofErr w:type="gramStart"/>
      <w:r>
        <w:rPr>
          <w:rFonts w:cs="Times New Roman"/>
          <w:lang w:val="en-GB"/>
        </w:rPr>
        <w:t>8</w:t>
      </w:r>
      <w:proofErr w:type="gramEnd"/>
      <w:r>
        <w:rPr>
          <w:rFonts w:cs="Times New Roman"/>
          <w:lang w:val="en-GB"/>
        </w:rPr>
        <w:t xml:space="preserve"> µl of ethanol/phosphate buffer (85/15 v/v; precooled on dry ice) per mg tissue were added to the frozen lenses. Lenses </w:t>
      </w:r>
      <w:proofErr w:type="gramStart"/>
      <w:r>
        <w:rPr>
          <w:rFonts w:cs="Times New Roman"/>
          <w:lang w:val="en-GB"/>
        </w:rPr>
        <w:t>were homogenized</w:t>
      </w:r>
      <w:proofErr w:type="gramEnd"/>
      <w:r>
        <w:rPr>
          <w:rFonts w:cs="Times New Roman"/>
          <w:lang w:val="en-GB"/>
        </w:rPr>
        <w:t xml:space="preserve"> at -4°C using a </w:t>
      </w:r>
      <w:proofErr w:type="spellStart"/>
      <w:r>
        <w:rPr>
          <w:rFonts w:cs="Times New Roman"/>
          <w:lang w:val="en-GB"/>
        </w:rPr>
        <w:t>Precellys</w:t>
      </w:r>
      <w:proofErr w:type="spellEnd"/>
      <w:r>
        <w:rPr>
          <w:rFonts w:cs="Times New Roman"/>
          <w:lang w:val="en-GB"/>
        </w:rPr>
        <w:t xml:space="preserve"> 24 homogenizer with an integrated cooling unit (PEQLAB Biotechnology GmbH, Erlangen, Germany) for three times over 30 seconds at 5500 rpm with 25 seconds pause intervals to ensure constant temperatures during homogenization. The homogenates were centrifuged for five minutes at </w:t>
      </w:r>
      <w:proofErr w:type="gramStart"/>
      <w:r>
        <w:rPr>
          <w:rFonts w:cs="Times New Roman"/>
          <w:lang w:val="en-GB"/>
        </w:rPr>
        <w:t>10000 x</w:t>
      </w:r>
      <w:proofErr w:type="gramEnd"/>
      <w:r>
        <w:rPr>
          <w:rFonts w:cs="Times New Roman"/>
          <w:lang w:val="en-GB"/>
        </w:rPr>
        <w:t xml:space="preserve"> </w:t>
      </w:r>
      <w:r>
        <w:rPr>
          <w:rFonts w:cs="Times New Roman"/>
          <w:i/>
          <w:lang w:val="en-GB"/>
        </w:rPr>
        <w:t>g</w:t>
      </w:r>
      <w:r>
        <w:rPr>
          <w:rFonts w:cs="Times New Roman"/>
          <w:lang w:val="en-GB"/>
        </w:rPr>
        <w:t>, and 10 µl of the supernatants (extracts) were used for the metabolomics measurement.</w:t>
      </w:r>
    </w:p>
    <w:p>
      <w:pPr>
        <w:pStyle w:val="Kommentartext"/>
        <w:spacing w:after="0" w:line="360" w:lineRule="auto"/>
        <w:jc w:val="both"/>
        <w:rPr>
          <w:sz w:val="22"/>
          <w:szCs w:val="22"/>
          <w:lang w:val="en-GB"/>
        </w:rPr>
      </w:pPr>
      <w:r>
        <w:rPr>
          <w:sz w:val="22"/>
          <w:szCs w:val="22"/>
          <w:lang w:val="en-GB"/>
        </w:rPr>
        <w:t xml:space="preserve">Metabolite quantification was performed using liquid chromatography-electrospray ionization-tandem mass spectrometry (LC-ESI-MS/MS) and flow injection-electrospray ionization-tandem mass spectrometry (FIA-ESI-MS/MS) measurements and the </w:t>
      </w:r>
      <w:proofErr w:type="spellStart"/>
      <w:r>
        <w:rPr>
          <w:sz w:val="22"/>
          <w:szCs w:val="22"/>
          <w:lang w:val="en-GB"/>
        </w:rPr>
        <w:t>Absolute</w:t>
      </w:r>
      <w:r>
        <w:rPr>
          <w:i/>
          <w:sz w:val="22"/>
          <w:szCs w:val="22"/>
          <w:lang w:val="en-GB"/>
        </w:rPr>
        <w:t>IDQ</w:t>
      </w:r>
      <w:r>
        <w:rPr>
          <w:sz w:val="22"/>
          <w:szCs w:val="22"/>
          <w:vertAlign w:val="superscript"/>
          <w:lang w:val="en-GB"/>
        </w:rPr>
        <w:t>TM</w:t>
      </w:r>
      <w:proofErr w:type="spellEnd"/>
      <w:r>
        <w:rPr>
          <w:sz w:val="22"/>
          <w:szCs w:val="22"/>
          <w:lang w:val="en-GB"/>
        </w:rPr>
        <w:t xml:space="preserve"> p180 Kit (</w:t>
      </w:r>
      <w:proofErr w:type="spellStart"/>
      <w:r>
        <w:rPr>
          <w:sz w:val="22"/>
          <w:szCs w:val="22"/>
          <w:lang w:val="en-GB"/>
        </w:rPr>
        <w:t>Biocrates</w:t>
      </w:r>
      <w:proofErr w:type="spellEnd"/>
      <w:r>
        <w:rPr>
          <w:sz w:val="22"/>
          <w:szCs w:val="22"/>
          <w:lang w:val="en-GB"/>
        </w:rPr>
        <w:t xml:space="preserve"> Life Sciences AG, Innsbruck, Austria). The assay allows simultaneous quantification of 188 metabolites and includes free carnitine, 39 </w:t>
      </w:r>
      <w:proofErr w:type="spellStart"/>
      <w:r>
        <w:rPr>
          <w:sz w:val="22"/>
          <w:szCs w:val="22"/>
          <w:lang w:val="en-GB"/>
        </w:rPr>
        <w:t>acylcarnitines</w:t>
      </w:r>
      <w:proofErr w:type="spellEnd"/>
      <w:r>
        <w:rPr>
          <w:sz w:val="22"/>
          <w:szCs w:val="22"/>
          <w:lang w:val="en-GB"/>
        </w:rPr>
        <w:t xml:space="preserve"> (</w:t>
      </w:r>
      <w:proofErr w:type="spellStart"/>
      <w:r>
        <w:rPr>
          <w:sz w:val="22"/>
          <w:szCs w:val="22"/>
          <w:lang w:val="en-GB"/>
        </w:rPr>
        <w:t>Cx</w:t>
      </w:r>
      <w:proofErr w:type="gramStart"/>
      <w:r>
        <w:rPr>
          <w:sz w:val="22"/>
          <w:szCs w:val="22"/>
          <w:lang w:val="en-GB"/>
        </w:rPr>
        <w:t>:y</w:t>
      </w:r>
      <w:proofErr w:type="spellEnd"/>
      <w:proofErr w:type="gramEnd"/>
      <w:r>
        <w:rPr>
          <w:sz w:val="22"/>
          <w:szCs w:val="22"/>
          <w:lang w:val="en-GB"/>
        </w:rPr>
        <w:t xml:space="preserve">), 21 amino acids (19 </w:t>
      </w:r>
      <w:proofErr w:type="spellStart"/>
      <w:r>
        <w:rPr>
          <w:sz w:val="22"/>
          <w:szCs w:val="22"/>
          <w:lang w:val="en-GB"/>
        </w:rPr>
        <w:t>proteinogenic</w:t>
      </w:r>
      <w:proofErr w:type="spellEnd"/>
      <w:r>
        <w:rPr>
          <w:sz w:val="22"/>
          <w:szCs w:val="22"/>
          <w:lang w:val="en-GB"/>
        </w:rPr>
        <w:t xml:space="preserve"> + </w:t>
      </w:r>
      <w:proofErr w:type="spellStart"/>
      <w:r>
        <w:rPr>
          <w:sz w:val="22"/>
          <w:szCs w:val="22"/>
          <w:lang w:val="en-GB"/>
        </w:rPr>
        <w:t>citrulline</w:t>
      </w:r>
      <w:proofErr w:type="spellEnd"/>
      <w:r>
        <w:rPr>
          <w:sz w:val="22"/>
          <w:szCs w:val="22"/>
          <w:lang w:val="en-GB"/>
        </w:rPr>
        <w:t xml:space="preserve"> + ornithine), 21 biogenic amines, hexoses (sum of hexoses – about 90-95 % glucose), 90 </w:t>
      </w:r>
      <w:proofErr w:type="spellStart"/>
      <w:r>
        <w:rPr>
          <w:sz w:val="22"/>
          <w:szCs w:val="22"/>
          <w:lang w:val="en-GB"/>
        </w:rPr>
        <w:t>glycerophospholipids</w:t>
      </w:r>
      <w:proofErr w:type="spellEnd"/>
      <w:r>
        <w:rPr>
          <w:sz w:val="22"/>
          <w:szCs w:val="22"/>
          <w:lang w:val="en-GB"/>
        </w:rPr>
        <w:t xml:space="preserve"> (14 </w:t>
      </w:r>
      <w:proofErr w:type="spellStart"/>
      <w:r>
        <w:rPr>
          <w:sz w:val="22"/>
          <w:szCs w:val="22"/>
          <w:lang w:val="en-GB"/>
        </w:rPr>
        <w:t>lysophosphatidylcholines</w:t>
      </w:r>
      <w:proofErr w:type="spellEnd"/>
      <w:r>
        <w:rPr>
          <w:sz w:val="22"/>
          <w:szCs w:val="22"/>
          <w:lang w:val="en-GB"/>
        </w:rPr>
        <w:t xml:space="preserve"> (</w:t>
      </w:r>
      <w:proofErr w:type="spellStart"/>
      <w:r>
        <w:rPr>
          <w:sz w:val="22"/>
          <w:szCs w:val="22"/>
          <w:lang w:val="en-GB"/>
        </w:rPr>
        <w:t>lysoPC</w:t>
      </w:r>
      <w:proofErr w:type="spellEnd"/>
      <w:r>
        <w:rPr>
          <w:sz w:val="22"/>
          <w:szCs w:val="22"/>
          <w:lang w:val="en-GB"/>
        </w:rPr>
        <w:t>) and 76 phosphatidylcholines (PC)), and 15 sphingolipids (</w:t>
      </w:r>
      <w:proofErr w:type="spellStart"/>
      <w:r>
        <w:rPr>
          <w:sz w:val="22"/>
          <w:szCs w:val="22"/>
          <w:lang w:val="en-GB"/>
        </w:rPr>
        <w:t>SMx:y</w:t>
      </w:r>
      <w:proofErr w:type="spellEnd"/>
      <w:r>
        <w:rPr>
          <w:sz w:val="22"/>
          <w:szCs w:val="22"/>
          <w:lang w:val="en-GB"/>
        </w:rPr>
        <w:t xml:space="preserve">). The abbreviations </w:t>
      </w:r>
      <w:proofErr w:type="spellStart"/>
      <w:r>
        <w:rPr>
          <w:sz w:val="22"/>
          <w:szCs w:val="22"/>
          <w:lang w:val="en-GB"/>
        </w:rPr>
        <w:t>Cx</w:t>
      </w:r>
      <w:proofErr w:type="gramStart"/>
      <w:r>
        <w:rPr>
          <w:sz w:val="22"/>
          <w:szCs w:val="22"/>
          <w:lang w:val="en-GB"/>
        </w:rPr>
        <w:t>:y</w:t>
      </w:r>
      <w:proofErr w:type="spellEnd"/>
      <w:proofErr w:type="gramEnd"/>
      <w:r>
        <w:rPr>
          <w:sz w:val="22"/>
          <w:szCs w:val="22"/>
          <w:lang w:val="en-GB"/>
        </w:rPr>
        <w:t xml:space="preserve"> are used to describe the total number of carbons and double bonds of all chains, respectively</w:t>
      </w:r>
      <w:r>
        <w:rPr>
          <w:b/>
          <w:color w:val="0070C0"/>
          <w:vertAlign w:val="superscript"/>
          <w:lang w:val="en-GB"/>
        </w:rPr>
        <w:t>30</w:t>
      </w:r>
      <w:r>
        <w:rPr>
          <w:sz w:val="22"/>
          <w:szCs w:val="22"/>
          <w:lang w:val="en-GB"/>
        </w:rPr>
        <w:t>. For the LC-part, compound identification and quantification were based on scheduled multiple reaction monitoring measurements (</w:t>
      </w:r>
      <w:proofErr w:type="spellStart"/>
      <w:r>
        <w:rPr>
          <w:sz w:val="22"/>
          <w:szCs w:val="22"/>
          <w:lang w:val="en-GB"/>
        </w:rPr>
        <w:t>sMRM</w:t>
      </w:r>
      <w:proofErr w:type="spellEnd"/>
      <w:r>
        <w:rPr>
          <w:sz w:val="22"/>
          <w:szCs w:val="22"/>
          <w:lang w:val="en-GB"/>
        </w:rPr>
        <w:t xml:space="preserve">). The method of </w:t>
      </w:r>
      <w:proofErr w:type="spellStart"/>
      <w:r>
        <w:rPr>
          <w:sz w:val="22"/>
          <w:szCs w:val="22"/>
          <w:lang w:val="en-GB"/>
        </w:rPr>
        <w:t>Absolute</w:t>
      </w:r>
      <w:r>
        <w:rPr>
          <w:i/>
          <w:sz w:val="22"/>
          <w:szCs w:val="22"/>
          <w:lang w:val="en-GB"/>
        </w:rPr>
        <w:t>IDQ</w:t>
      </w:r>
      <w:r>
        <w:rPr>
          <w:sz w:val="22"/>
          <w:szCs w:val="22"/>
          <w:vertAlign w:val="superscript"/>
          <w:lang w:val="en-GB"/>
        </w:rPr>
        <w:t>TM</w:t>
      </w:r>
      <w:proofErr w:type="spellEnd"/>
      <w:r>
        <w:rPr>
          <w:sz w:val="22"/>
          <w:szCs w:val="22"/>
          <w:lang w:val="en-GB"/>
        </w:rPr>
        <w:t xml:space="preserve"> p180 Kit has been proven to be in conformance with the EMEA-Guideline "Guideline on bioanalytical method validation (July 21st 2011)”</w:t>
      </w:r>
      <w:r>
        <w:rPr>
          <w:b/>
          <w:color w:val="0070C0"/>
          <w:vertAlign w:val="superscript"/>
          <w:lang w:val="en-GB"/>
        </w:rPr>
        <w:t xml:space="preserve"> 31</w:t>
      </w:r>
      <w:r>
        <w:rPr>
          <w:sz w:val="22"/>
          <w:szCs w:val="22"/>
          <w:lang w:val="en-GB"/>
        </w:rPr>
        <w:t xml:space="preserve">, which implies proof of reproducibility within a given error range. Sample preparation and LC-MS/MS measurements </w:t>
      </w:r>
      <w:proofErr w:type="gramStart"/>
      <w:r>
        <w:rPr>
          <w:sz w:val="22"/>
          <w:szCs w:val="22"/>
          <w:lang w:val="en-GB"/>
        </w:rPr>
        <w:t>were performed</w:t>
      </w:r>
      <w:proofErr w:type="gramEnd"/>
      <w:r>
        <w:rPr>
          <w:sz w:val="22"/>
          <w:szCs w:val="22"/>
          <w:lang w:val="en-GB"/>
        </w:rPr>
        <w:t xml:space="preserve"> as described in the manufacturer manual UM-P180 (</w:t>
      </w:r>
      <w:proofErr w:type="spellStart"/>
      <w:r>
        <w:rPr>
          <w:sz w:val="22"/>
          <w:szCs w:val="22"/>
          <w:lang w:val="en-GB"/>
        </w:rPr>
        <w:t>Biocrates</w:t>
      </w:r>
      <w:proofErr w:type="spellEnd"/>
      <w:r>
        <w:rPr>
          <w:sz w:val="22"/>
          <w:szCs w:val="22"/>
          <w:lang w:val="en-GB"/>
        </w:rPr>
        <w:t xml:space="preserve">). The limits of detection (LOD) were set to three times the values of the zero samples (PBS for plasma and ethanol/phosphate buffer (85/15 v/v) for lens tissue). The assay procedures of the </w:t>
      </w:r>
      <w:proofErr w:type="spellStart"/>
      <w:r>
        <w:rPr>
          <w:sz w:val="22"/>
          <w:szCs w:val="22"/>
          <w:lang w:val="en-GB"/>
        </w:rPr>
        <w:t>Absolute</w:t>
      </w:r>
      <w:r>
        <w:rPr>
          <w:i/>
          <w:sz w:val="22"/>
          <w:szCs w:val="22"/>
          <w:lang w:val="en-GB"/>
        </w:rPr>
        <w:t>IDQ</w:t>
      </w:r>
      <w:r>
        <w:rPr>
          <w:sz w:val="22"/>
          <w:szCs w:val="22"/>
          <w:vertAlign w:val="superscript"/>
          <w:lang w:val="en-GB"/>
        </w:rPr>
        <w:t>TM</w:t>
      </w:r>
      <w:proofErr w:type="spellEnd"/>
      <w:r>
        <w:rPr>
          <w:sz w:val="22"/>
          <w:szCs w:val="22"/>
          <w:lang w:val="en-GB"/>
        </w:rPr>
        <w:t xml:space="preserve"> p180 Kit as well as the metabolite nomenclature </w:t>
      </w:r>
      <w:proofErr w:type="gramStart"/>
      <w:r>
        <w:rPr>
          <w:sz w:val="22"/>
          <w:szCs w:val="22"/>
          <w:lang w:val="en-GB"/>
        </w:rPr>
        <w:t>have been described</w:t>
      </w:r>
      <w:proofErr w:type="gramEnd"/>
      <w:r>
        <w:rPr>
          <w:sz w:val="22"/>
          <w:szCs w:val="22"/>
          <w:lang w:val="en-GB"/>
        </w:rPr>
        <w:t xml:space="preserve"> in detail previously</w:t>
      </w:r>
      <w:r>
        <w:rPr>
          <w:b/>
          <w:color w:val="0070C0"/>
          <w:vertAlign w:val="superscript"/>
          <w:lang w:val="en-GB"/>
        </w:rPr>
        <w:t>32</w:t>
      </w:r>
      <w:r>
        <w:rPr>
          <w:sz w:val="22"/>
          <w:szCs w:val="22"/>
          <w:lang w:val="en-GB"/>
        </w:rPr>
        <w:t>.</w:t>
      </w:r>
    </w:p>
    <w:p>
      <w:pPr>
        <w:spacing w:after="0" w:line="360" w:lineRule="auto"/>
        <w:jc w:val="both"/>
        <w:rPr>
          <w:rFonts w:cs="Times New Roman"/>
          <w:lang w:val="en-GB"/>
        </w:rPr>
      </w:pPr>
      <w:r>
        <w:rPr>
          <w:rFonts w:cs="Times New Roman"/>
          <w:lang w:val="en-GB"/>
        </w:rPr>
        <w:t xml:space="preserve">Sample handling was performed by a Hamilton </w:t>
      </w:r>
      <w:proofErr w:type="spellStart"/>
      <w:r>
        <w:rPr>
          <w:rFonts w:cs="Times New Roman"/>
          <w:lang w:val="en-GB"/>
        </w:rPr>
        <w:t>Microlab</w:t>
      </w:r>
      <w:proofErr w:type="spellEnd"/>
      <w:r>
        <w:rPr>
          <w:rFonts w:cs="Times New Roman"/>
          <w:lang w:val="en-GB"/>
        </w:rPr>
        <w:t xml:space="preserve"> STAR</w:t>
      </w:r>
      <w:r>
        <w:rPr>
          <w:rFonts w:cs="Times New Roman"/>
          <w:vertAlign w:val="superscript"/>
          <w:lang w:val="en-GB"/>
        </w:rPr>
        <w:t>TM</w:t>
      </w:r>
      <w:r>
        <w:rPr>
          <w:rFonts w:cs="Times New Roman"/>
          <w:lang w:val="en-GB"/>
        </w:rPr>
        <w:t xml:space="preserve"> robot (Hamilton </w:t>
      </w:r>
      <w:proofErr w:type="spellStart"/>
      <w:r>
        <w:rPr>
          <w:rFonts w:cs="Times New Roman"/>
          <w:lang w:val="en-GB"/>
        </w:rPr>
        <w:t>Bonaduz</w:t>
      </w:r>
      <w:proofErr w:type="spellEnd"/>
      <w:r>
        <w:rPr>
          <w:rFonts w:cs="Times New Roman"/>
          <w:lang w:val="en-GB"/>
        </w:rPr>
        <w:t xml:space="preserve"> AG, </w:t>
      </w:r>
      <w:proofErr w:type="spellStart"/>
      <w:r>
        <w:rPr>
          <w:rFonts w:cs="Times New Roman"/>
          <w:lang w:val="en-GB"/>
        </w:rPr>
        <w:t>Bonaduz</w:t>
      </w:r>
      <w:proofErr w:type="spellEnd"/>
      <w:r>
        <w:rPr>
          <w:rFonts w:cs="Times New Roman"/>
          <w:lang w:val="en-GB"/>
        </w:rPr>
        <w:t xml:space="preserve">, Switzerland) and </w:t>
      </w:r>
      <w:proofErr w:type="gramStart"/>
      <w:r>
        <w:rPr>
          <w:rFonts w:cs="Times New Roman"/>
          <w:lang w:val="en-GB"/>
        </w:rPr>
        <w:t>a</w:t>
      </w:r>
      <w:proofErr w:type="gramEnd"/>
      <w:r>
        <w:rPr>
          <w:rFonts w:cs="Times New Roman"/>
          <w:lang w:val="en-GB"/>
        </w:rPr>
        <w:t xml:space="preserve"> </w:t>
      </w:r>
      <w:proofErr w:type="spellStart"/>
      <w:r>
        <w:rPr>
          <w:rFonts w:cs="Times New Roman"/>
          <w:lang w:val="en-GB"/>
        </w:rPr>
        <w:t>Ultravap</w:t>
      </w:r>
      <w:proofErr w:type="spellEnd"/>
      <w:r>
        <w:rPr>
          <w:rFonts w:cs="Times New Roman"/>
          <w:lang w:val="en-GB"/>
        </w:rPr>
        <w:t xml:space="preserve"> nitrogen evaporator (</w:t>
      </w:r>
      <w:proofErr w:type="spellStart"/>
      <w:r>
        <w:rPr>
          <w:rFonts w:cs="Times New Roman"/>
          <w:lang w:val="en-GB"/>
        </w:rPr>
        <w:t>Porvair</w:t>
      </w:r>
      <w:proofErr w:type="spellEnd"/>
      <w:r>
        <w:rPr>
          <w:rFonts w:cs="Times New Roman"/>
          <w:lang w:val="en-GB"/>
        </w:rPr>
        <w:t xml:space="preserve"> Sciences, Leatherhead, UK) beside standard laboratory equipment. Mass spectrometric analyses were done on an API 4000 triple quadrupole system (AB SCIEX Deutschland GmbH, Darmstadt, Germany) equipped with a 1200 Series HPLC (Agilent Technologies Deutschland GmbH, </w:t>
      </w:r>
      <w:proofErr w:type="spellStart"/>
      <w:r>
        <w:rPr>
          <w:rFonts w:cs="Times New Roman"/>
          <w:lang w:val="en-GB"/>
        </w:rPr>
        <w:t>Böblingen</w:t>
      </w:r>
      <w:proofErr w:type="spellEnd"/>
      <w:r>
        <w:rPr>
          <w:rFonts w:cs="Times New Roman"/>
          <w:lang w:val="en-GB"/>
        </w:rPr>
        <w:t xml:space="preserve">, Germany) and a HTC PAL auto sampler (CTC Analytics, </w:t>
      </w:r>
      <w:proofErr w:type="spellStart"/>
      <w:r>
        <w:rPr>
          <w:rFonts w:cs="Times New Roman"/>
          <w:lang w:val="en-GB"/>
        </w:rPr>
        <w:t>Zwingen</w:t>
      </w:r>
      <w:proofErr w:type="spellEnd"/>
      <w:r>
        <w:rPr>
          <w:rFonts w:cs="Times New Roman"/>
          <w:lang w:val="en-GB"/>
        </w:rPr>
        <w:t xml:space="preserve">, Switzerland) controlled by the software Analyst 1.6. Data evaluation for quantification of metabolite concentrations and quality assessment </w:t>
      </w:r>
      <w:proofErr w:type="gramStart"/>
      <w:r>
        <w:rPr>
          <w:rFonts w:cs="Times New Roman"/>
          <w:lang w:val="en-GB"/>
        </w:rPr>
        <w:t>was performed</w:t>
      </w:r>
      <w:proofErr w:type="gramEnd"/>
      <w:r>
        <w:rPr>
          <w:rFonts w:cs="Times New Roman"/>
          <w:lang w:val="en-GB"/>
        </w:rPr>
        <w:t xml:space="preserve"> with the software </w:t>
      </w:r>
      <w:proofErr w:type="spellStart"/>
      <w:r>
        <w:rPr>
          <w:rFonts w:cs="Times New Roman"/>
          <w:lang w:val="en-GB"/>
        </w:rPr>
        <w:t>MultiQuant</w:t>
      </w:r>
      <w:proofErr w:type="spellEnd"/>
      <w:r>
        <w:rPr>
          <w:rFonts w:cs="Times New Roman"/>
          <w:lang w:val="en-GB"/>
        </w:rPr>
        <w:t xml:space="preserve"> 3.0 (AB SCIEX, Framingham, MA, USA) and the </w:t>
      </w:r>
      <w:proofErr w:type="spellStart"/>
      <w:r>
        <w:rPr>
          <w:rFonts w:cs="Times New Roman"/>
          <w:lang w:val="en-GB"/>
        </w:rPr>
        <w:t>Met</w:t>
      </w:r>
      <w:r>
        <w:rPr>
          <w:rFonts w:cs="Times New Roman"/>
          <w:i/>
          <w:lang w:val="en-GB"/>
        </w:rPr>
        <w:t>IDQ</w:t>
      </w:r>
      <w:proofErr w:type="spellEnd"/>
      <w:r>
        <w:rPr>
          <w:rFonts w:cs="Times New Roman"/>
          <w:lang w:val="en-GB"/>
        </w:rPr>
        <w:t xml:space="preserve">™ software package, which is an integral part of the </w:t>
      </w:r>
      <w:proofErr w:type="spellStart"/>
      <w:r>
        <w:rPr>
          <w:rFonts w:cs="Times New Roman"/>
          <w:lang w:val="en-GB"/>
        </w:rPr>
        <w:t>Absolute</w:t>
      </w:r>
      <w:r>
        <w:rPr>
          <w:rFonts w:cs="Times New Roman"/>
          <w:i/>
          <w:lang w:val="en-GB"/>
        </w:rPr>
        <w:t>IDQ</w:t>
      </w:r>
      <w:proofErr w:type="spellEnd"/>
      <w:r>
        <w:rPr>
          <w:rFonts w:cs="Times New Roman"/>
          <w:lang w:val="en-GB"/>
        </w:rPr>
        <w:t xml:space="preserve">™ Kit. Metabolite concentrations were calculated using internal standards and </w:t>
      </w:r>
      <w:proofErr w:type="gramStart"/>
      <w:r>
        <w:rPr>
          <w:rFonts w:cs="Times New Roman"/>
          <w:lang w:val="en-GB"/>
        </w:rPr>
        <w:t>are reported</w:t>
      </w:r>
      <w:proofErr w:type="gramEnd"/>
      <w:r>
        <w:rPr>
          <w:rFonts w:cs="Times New Roman"/>
          <w:lang w:val="en-GB"/>
        </w:rPr>
        <w:t xml:space="preserve"> in µM. Each study sample </w:t>
      </w:r>
      <w:proofErr w:type="gramStart"/>
      <w:r>
        <w:rPr>
          <w:rFonts w:cs="Times New Roman"/>
          <w:lang w:val="en-GB"/>
        </w:rPr>
        <w:t>was measured</w:t>
      </w:r>
      <w:proofErr w:type="gramEnd"/>
      <w:r>
        <w:rPr>
          <w:rFonts w:cs="Times New Roman"/>
          <w:lang w:val="en-GB"/>
        </w:rPr>
        <w:t xml:space="preserve"> once. </w:t>
      </w:r>
      <w:r>
        <w:rPr>
          <w:rFonts w:cs="Times New Roman"/>
          <w:lang w:val="en-GB"/>
        </w:rPr>
        <w:lastRenderedPageBreak/>
        <w:t xml:space="preserve">Samples of lenses and plasma </w:t>
      </w:r>
      <w:proofErr w:type="gramStart"/>
      <w:r>
        <w:rPr>
          <w:rFonts w:cs="Times New Roman"/>
          <w:lang w:val="en-GB"/>
        </w:rPr>
        <w:t>were measured</w:t>
      </w:r>
      <w:proofErr w:type="gramEnd"/>
      <w:r>
        <w:rPr>
          <w:rFonts w:cs="Times New Roman"/>
          <w:lang w:val="en-GB"/>
        </w:rPr>
        <w:t xml:space="preserve"> on separate kit plates, with the samples randomly distributed on the plates.</w:t>
      </w:r>
    </w:p>
    <w:p>
      <w:pPr>
        <w:spacing w:after="0" w:line="360" w:lineRule="auto"/>
        <w:jc w:val="both"/>
        <w:rPr>
          <w:rFonts w:cs="Times New Roman"/>
          <w:lang w:val="en-GB"/>
        </w:rPr>
      </w:pPr>
    </w:p>
    <w:p>
      <w:pPr>
        <w:spacing w:after="0" w:line="360" w:lineRule="auto"/>
        <w:jc w:val="both"/>
        <w:rPr>
          <w:rFonts w:cs="Times New Roman"/>
          <w:lang w:val="en-GB"/>
        </w:rPr>
      </w:pPr>
      <w:r>
        <w:rPr>
          <w:rFonts w:cs="Times New Roman"/>
          <w:lang w:val="en-GB"/>
        </w:rPr>
        <w:t xml:space="preserve">Data pre-processing and statistical analysis </w:t>
      </w:r>
      <w:proofErr w:type="gramStart"/>
      <w:r>
        <w:rPr>
          <w:rFonts w:cs="Times New Roman"/>
          <w:lang w:val="en-GB"/>
        </w:rPr>
        <w:t>were performed</w:t>
      </w:r>
      <w:proofErr w:type="gramEnd"/>
      <w:r>
        <w:rPr>
          <w:rFonts w:cs="Times New Roman"/>
          <w:lang w:val="en-GB"/>
        </w:rPr>
        <w:t xml:space="preserve"> using the software R v3.4.4</w:t>
      </w:r>
      <w:r>
        <w:rPr>
          <w:rFonts w:cs="Times New Roman"/>
          <w:b/>
          <w:color w:val="0070C0"/>
          <w:sz w:val="24"/>
          <w:vertAlign w:val="superscript"/>
          <w:lang w:val="en-GB"/>
        </w:rPr>
        <w:t>33</w:t>
      </w:r>
      <w:r>
        <w:rPr>
          <w:rFonts w:cs="Times New Roman"/>
          <w:lang w:val="en-GB"/>
        </w:rPr>
        <w:t>.</w:t>
      </w:r>
    </w:p>
    <w:p>
      <w:pPr>
        <w:spacing w:after="0" w:line="360" w:lineRule="auto"/>
        <w:jc w:val="both"/>
        <w:rPr>
          <w:lang w:val="en-GB"/>
        </w:rPr>
      </w:pPr>
      <w:r>
        <w:rPr>
          <w:rFonts w:cs="Times New Roman"/>
          <w:lang w:val="en-GB"/>
        </w:rPr>
        <w:t xml:space="preserve">Prior to statistical calculations raw metabolite concentration data were pre-processed. In case of lenses, the imputed data had additionally to pass through the step of plate </w:t>
      </w:r>
      <w:r>
        <w:rPr>
          <w:rFonts w:eastAsia="Times New Roman" w:cs="Times New Roman"/>
          <w:lang w:val="en-GB"/>
        </w:rPr>
        <w:t xml:space="preserve">normalization, in which metabolite concentrations were normalized to the </w:t>
      </w:r>
      <w:r>
        <w:rPr>
          <w:rFonts w:cs="Times New Roman"/>
          <w:lang w:val="en-GB"/>
        </w:rPr>
        <w:t xml:space="preserve">mean metabolite concentrations of control plasma samples (human plasma samples; run on each plate in parallel to study samples) of all respective plates. Metabolites showing a coefficient of variation (CV) &gt; 25% in the control samples were removed from the data set as were metabolites with NA values in more than 40% of the study samples (NA: not available; values measured, but well below LOD, so that no peak for integration was detectable). Remaining NA values </w:t>
      </w:r>
      <w:proofErr w:type="gramStart"/>
      <w:r>
        <w:rPr>
          <w:rFonts w:cs="Times New Roman"/>
          <w:lang w:val="en-GB"/>
        </w:rPr>
        <w:t>were replaced</w:t>
      </w:r>
      <w:proofErr w:type="gramEnd"/>
      <w:r>
        <w:rPr>
          <w:rFonts w:cs="Times New Roman"/>
          <w:lang w:val="en-GB"/>
        </w:rPr>
        <w:t xml:space="preserve"> by values calculated as follows: the lowest value measured of the respective metabolite was divided by </w:t>
      </w:r>
      <w:r>
        <w:rPr>
          <w:rFonts w:ascii="Liberation Sans" w:eastAsia="Liberation Sans" w:hAnsi="Liberation Sans" w:cs="Liberation Sans"/>
          <w:lang w:val="en-GB"/>
        </w:rPr>
        <w:t>√</w:t>
      </w:r>
      <w:r>
        <w:rPr>
          <w:rFonts w:cs="Times New Roman"/>
          <w:lang w:val="en-GB"/>
        </w:rPr>
        <w:t xml:space="preserve">2 and multiplied by a randomly chosen factor between 0.75 and 1.25. </w:t>
      </w:r>
    </w:p>
    <w:p>
      <w:pPr>
        <w:spacing w:after="0" w:line="360" w:lineRule="auto"/>
        <w:jc w:val="both"/>
        <w:rPr>
          <w:rFonts w:cs="Times New Roman"/>
          <w:lang w:val="en-GB"/>
        </w:rPr>
      </w:pPr>
      <w:r>
        <w:rPr>
          <w:rFonts w:cs="Times New Roman"/>
          <w:lang w:val="en-GB"/>
        </w:rPr>
        <w:t>Principal Component Analyses (PCA</w:t>
      </w:r>
      <w:proofErr w:type="gramStart"/>
      <w:r>
        <w:rPr>
          <w:rFonts w:cs="Times New Roman"/>
          <w:lang w:val="en-GB"/>
        </w:rPr>
        <w:t>)</w:t>
      </w:r>
      <w:r>
        <w:rPr>
          <w:rFonts w:cs="Times New Roman"/>
          <w:b/>
          <w:color w:val="0070C0"/>
          <w:sz w:val="24"/>
          <w:vertAlign w:val="superscript"/>
          <w:lang w:val="en-GB"/>
        </w:rPr>
        <w:t>34</w:t>
      </w:r>
      <w:proofErr w:type="gramEnd"/>
      <w:r>
        <w:rPr>
          <w:rFonts w:cs="Times New Roman"/>
          <w:lang w:val="en-GB"/>
        </w:rPr>
        <w:t xml:space="preserve"> was conducted to find possible radiation effects. </w:t>
      </w:r>
      <w:r>
        <w:rPr>
          <w:rFonts w:eastAsia="Times New Roman" w:cs="Times New Roman"/>
          <w:lang w:val="en-GB"/>
        </w:rPr>
        <w:t xml:space="preserve">Metabolites, mostly </w:t>
      </w:r>
      <w:r>
        <w:rPr>
          <w:rFonts w:cs="Times New Roman"/>
          <w:lang w:val="en-GB"/>
        </w:rPr>
        <w:t xml:space="preserve">contributing to group separations in the PCA were further analysed by the Pathway finder of </w:t>
      </w:r>
      <w:proofErr w:type="spellStart"/>
      <w:r>
        <w:rPr>
          <w:rFonts w:cs="Times New Roman"/>
          <w:lang w:val="en-GB"/>
        </w:rPr>
        <w:t>Metaboanalyst</w:t>
      </w:r>
      <w:proofErr w:type="spellEnd"/>
      <w:r>
        <w:rPr>
          <w:rFonts w:cs="Times New Roman"/>
          <w:lang w:val="en-GB"/>
        </w:rPr>
        <w:t xml:space="preserve"> 4.0</w:t>
      </w:r>
      <w:r>
        <w:rPr>
          <w:rFonts w:cs="Times New Roman"/>
          <w:b/>
          <w:color w:val="0070C0"/>
          <w:sz w:val="24"/>
          <w:vertAlign w:val="superscript"/>
          <w:lang w:val="en-GB"/>
        </w:rPr>
        <w:t>35</w:t>
      </w:r>
      <w:r>
        <w:rPr>
          <w:rFonts w:cs="Times New Roman"/>
          <w:lang w:val="en-GB"/>
        </w:rPr>
        <w:t xml:space="preserve"> using HMDB IDs and pathway library Mus </w:t>
      </w:r>
      <w:proofErr w:type="spellStart"/>
      <w:r>
        <w:rPr>
          <w:rFonts w:cs="Times New Roman"/>
          <w:lang w:val="en-GB"/>
        </w:rPr>
        <w:t>musculus</w:t>
      </w:r>
      <w:proofErr w:type="spellEnd"/>
      <w:r>
        <w:rPr>
          <w:rFonts w:cs="Times New Roman"/>
          <w:lang w:val="en-GB"/>
        </w:rPr>
        <w:t xml:space="preserve"> (SMPDB (The Small Molecule Pathway Database)). Significance level was set to p &lt;0.05. The comparison of means of the multiple groups </w:t>
      </w:r>
      <w:proofErr w:type="gramStart"/>
      <w:r>
        <w:rPr>
          <w:rFonts w:cs="Times New Roman"/>
          <w:lang w:val="en-GB"/>
        </w:rPr>
        <w:t>was carried</w:t>
      </w:r>
      <w:proofErr w:type="gramEnd"/>
      <w:r>
        <w:rPr>
          <w:rFonts w:eastAsia="Times New Roman" w:cs="Times New Roman"/>
          <w:lang w:val="en-GB"/>
        </w:rPr>
        <w:t xml:space="preserve"> out using the non-parametric Mann-Whitney U test</w:t>
      </w:r>
      <w:r>
        <w:rPr>
          <w:rFonts w:cs="Times New Roman"/>
          <w:b/>
          <w:color w:val="0070C0"/>
          <w:sz w:val="24"/>
          <w:vertAlign w:val="superscript"/>
          <w:lang w:val="en-GB"/>
        </w:rPr>
        <w:t>36</w:t>
      </w:r>
      <w:r>
        <w:rPr>
          <w:rFonts w:eastAsia="Times New Roman" w:cs="Times New Roman"/>
          <w:lang w:val="en-GB"/>
        </w:rPr>
        <w:t xml:space="preserve"> with </w:t>
      </w:r>
      <w:proofErr w:type="spellStart"/>
      <w:r>
        <w:rPr>
          <w:rFonts w:eastAsia="Times New Roman" w:cs="Times New Roman"/>
          <w:lang w:val="en-GB"/>
        </w:rPr>
        <w:t>Bonferroni</w:t>
      </w:r>
      <w:proofErr w:type="spellEnd"/>
      <w:r>
        <w:rPr>
          <w:rFonts w:eastAsia="Times New Roman" w:cs="Times New Roman"/>
          <w:lang w:val="en-GB"/>
        </w:rPr>
        <w:t xml:space="preserve"> correction</w:t>
      </w:r>
      <w:r>
        <w:rPr>
          <w:rFonts w:cs="Times New Roman"/>
          <w:b/>
          <w:color w:val="0070C0"/>
          <w:sz w:val="24"/>
          <w:vertAlign w:val="superscript"/>
          <w:lang w:val="en-GB"/>
        </w:rPr>
        <w:t>37</w:t>
      </w:r>
      <w:r>
        <w:rPr>
          <w:rFonts w:cs="Times New Roman"/>
          <w:lang w:val="en-GB"/>
        </w:rPr>
        <w:t>.</w:t>
      </w:r>
    </w:p>
    <w:p>
      <w:pPr>
        <w:spacing w:after="0" w:line="360" w:lineRule="auto"/>
        <w:jc w:val="both"/>
        <w:rPr>
          <w:rFonts w:cs="Times New Roman"/>
          <w:bCs/>
          <w:lang w:val="en-GB"/>
        </w:rPr>
      </w:pPr>
    </w:p>
    <w:p>
      <w:pPr>
        <w:spacing w:after="0" w:line="360" w:lineRule="auto"/>
        <w:jc w:val="both"/>
        <w:rPr>
          <w:rFonts w:cs="Times New Roman"/>
          <w:b/>
          <w:lang w:val="en-GB"/>
        </w:rPr>
      </w:pPr>
    </w:p>
    <w:p>
      <w:pPr>
        <w:spacing w:after="0" w:line="360" w:lineRule="auto"/>
        <w:jc w:val="both"/>
        <w:rPr>
          <w:rFonts w:cs="Times New Roman"/>
          <w:bCs/>
          <w:lang w:val="en-GB"/>
        </w:rPr>
      </w:pPr>
      <w:r>
        <w:rPr>
          <w:rFonts w:cs="Times New Roman"/>
          <w:b/>
          <w:lang w:val="en-GB"/>
        </w:rPr>
        <w:t>Acknowledgements</w:t>
      </w:r>
    </w:p>
    <w:p>
      <w:pPr>
        <w:spacing w:after="0" w:line="360" w:lineRule="auto"/>
        <w:jc w:val="both"/>
        <w:rPr>
          <w:rFonts w:cs="Times New Roman"/>
          <w:color w:val="000000"/>
          <w:lang w:val="en-GB" w:eastAsia="ja-JP"/>
        </w:rPr>
      </w:pPr>
      <w:r>
        <w:rPr>
          <w:rFonts w:cs="Times New Roman"/>
          <w:lang w:val="en-GB" w:eastAsia="de-DE"/>
        </w:rPr>
        <w:t>The authors thank Silke Becker, Erika Bürkle, Monika Stadler and Andreas Schirmer for expert technical assistance</w:t>
      </w:r>
      <w:r>
        <w:rPr>
          <w:rFonts w:cs="Times New Roman"/>
          <w:lang w:val="en-GB"/>
        </w:rPr>
        <w:t xml:space="preserve">. We would like to thank all partners of the INSTRA project. The </w:t>
      </w:r>
      <w:proofErr w:type="gramStart"/>
      <w:r>
        <w:rPr>
          <w:rFonts w:cs="Times New Roman"/>
          <w:lang w:val="en-GB"/>
        </w:rPr>
        <w:t xml:space="preserve">work was supported by the German </w:t>
      </w:r>
      <w:r>
        <w:rPr>
          <w:rStyle w:val="st"/>
          <w:rFonts w:cs="Times New Roman"/>
          <w:lang w:val="en-GB"/>
        </w:rPr>
        <w:t>Federal Ministry of Education and Research (</w:t>
      </w:r>
      <w:r>
        <w:rPr>
          <w:rFonts w:cs="Times New Roman"/>
          <w:color w:val="000000"/>
          <w:lang w:val="en-GB" w:eastAsia="ja-JP"/>
        </w:rPr>
        <w:t>02NUK045A, B, C)</w:t>
      </w:r>
      <w:proofErr w:type="gramEnd"/>
      <w:r>
        <w:rPr>
          <w:rFonts w:cs="Times New Roman"/>
          <w:color w:val="000000"/>
          <w:lang w:val="en-GB" w:eastAsia="ja-JP"/>
        </w:rPr>
        <w:t xml:space="preserve">. </w:t>
      </w:r>
      <w:proofErr w:type="gramStart"/>
      <w:r>
        <w:rPr>
          <w:rFonts w:cs="Times New Roman"/>
          <w:color w:val="000000"/>
          <w:lang w:val="en-GB" w:eastAsia="ja-JP"/>
        </w:rPr>
        <w:t>and</w:t>
      </w:r>
      <w:proofErr w:type="gramEnd"/>
      <w:r>
        <w:rPr>
          <w:rFonts w:cs="Times New Roman"/>
          <w:color w:val="000000"/>
          <w:lang w:val="en-GB" w:eastAsia="ja-JP"/>
        </w:rPr>
        <w:t xml:space="preserve"> at least in part by </w:t>
      </w:r>
      <w:r>
        <w:rPr>
          <w:lang w:val="en-GB"/>
        </w:rPr>
        <w:t xml:space="preserve">the </w:t>
      </w:r>
      <w:proofErr w:type="spellStart"/>
      <w:r>
        <w:rPr>
          <w:lang w:val="en-GB"/>
        </w:rPr>
        <w:t>LDLensRad</w:t>
      </w:r>
      <w:proofErr w:type="spellEnd"/>
      <w:r>
        <w:rPr>
          <w:lang w:val="en-GB"/>
        </w:rPr>
        <w:t xml:space="preserve"> consortium that has received funding from the </w:t>
      </w:r>
      <w:proofErr w:type="spellStart"/>
      <w:r>
        <w:rPr>
          <w:lang w:val="en-GB"/>
        </w:rPr>
        <w:t>Euratom</w:t>
      </w:r>
      <w:proofErr w:type="spellEnd"/>
      <w:r>
        <w:rPr>
          <w:lang w:val="en-GB"/>
        </w:rPr>
        <w:t xml:space="preserve"> research and training programme 2014-2018 in the framework of CONCERT [grant agreement No 662287]. This publication reflects only the authors' view. Responsibility for the information and views expressed therein lies entirely with the authors. The European Commission is not responsible for any use that may be made of the information it contains.</w:t>
      </w:r>
    </w:p>
    <w:p>
      <w:pPr>
        <w:spacing w:after="0" w:line="360" w:lineRule="auto"/>
        <w:jc w:val="both"/>
        <w:rPr>
          <w:rFonts w:cs="Times New Roman"/>
          <w:b/>
          <w:lang w:val="en-GB"/>
        </w:rPr>
      </w:pPr>
    </w:p>
    <w:p>
      <w:pPr>
        <w:spacing w:after="0" w:line="360" w:lineRule="auto"/>
        <w:jc w:val="both"/>
        <w:rPr>
          <w:rFonts w:cs="Times New Roman"/>
          <w:b/>
          <w:lang w:val="en-GB"/>
        </w:rPr>
      </w:pPr>
    </w:p>
    <w:p>
      <w:pPr>
        <w:spacing w:after="0" w:line="360" w:lineRule="auto"/>
        <w:jc w:val="both"/>
        <w:rPr>
          <w:rFonts w:cs="Times New Roman"/>
          <w:b/>
          <w:lang w:val="en-GB"/>
        </w:rPr>
      </w:pPr>
      <w:r>
        <w:rPr>
          <w:rFonts w:cs="Times New Roman"/>
          <w:b/>
          <w:lang w:val="en-GB"/>
        </w:rPr>
        <w:t>Competing Interests</w:t>
      </w:r>
    </w:p>
    <w:p>
      <w:pPr>
        <w:spacing w:after="0" w:line="360" w:lineRule="auto"/>
        <w:jc w:val="both"/>
        <w:rPr>
          <w:rFonts w:cs="Times New Roman"/>
          <w:lang w:val="en-GB"/>
        </w:rPr>
      </w:pPr>
      <w:r>
        <w:rPr>
          <w:rFonts w:cs="Times New Roman"/>
          <w:lang w:val="en-GB"/>
        </w:rPr>
        <w:t>The authors declare no competing interests.</w:t>
      </w:r>
    </w:p>
    <w:p>
      <w:pPr>
        <w:spacing w:after="0" w:line="360" w:lineRule="auto"/>
        <w:jc w:val="both"/>
        <w:rPr>
          <w:rFonts w:cs="Times New Roman"/>
          <w:lang w:val="en-GB"/>
        </w:rPr>
      </w:pPr>
      <w:r>
        <w:rPr>
          <w:lang w:val="en-GB"/>
        </w:rPr>
        <w:br w:type="page"/>
      </w:r>
    </w:p>
    <w:p>
      <w:pPr>
        <w:spacing w:after="0" w:line="360" w:lineRule="auto"/>
        <w:ind w:left="284" w:hanging="284"/>
        <w:jc w:val="both"/>
        <w:rPr>
          <w:rFonts w:cs="Times New Roman"/>
          <w:b/>
          <w:lang w:val="en-GB"/>
        </w:rPr>
      </w:pPr>
      <w:r>
        <w:rPr>
          <w:rFonts w:cs="Times New Roman"/>
          <w:b/>
          <w:lang w:val="en-GB"/>
        </w:rPr>
        <w:lastRenderedPageBreak/>
        <w:t>References</w:t>
      </w:r>
    </w:p>
    <w:p>
      <w:pPr>
        <w:pStyle w:val="Listenabsatz"/>
        <w:numPr>
          <w:ilvl w:val="0"/>
          <w:numId w:val="11"/>
        </w:numPr>
        <w:spacing w:line="360" w:lineRule="auto"/>
        <w:ind w:left="567" w:hanging="425"/>
        <w:jc w:val="both"/>
        <w:rPr>
          <w:rFonts w:asciiTheme="minorHAnsi" w:hAnsiTheme="minorHAnsi"/>
          <w:sz w:val="22"/>
          <w:szCs w:val="22"/>
          <w:lang w:val="en-GB"/>
        </w:rPr>
      </w:pPr>
      <w:hyperlink r:id="rId10">
        <w:r>
          <w:rPr>
            <w:rStyle w:val="highlight"/>
            <w:rFonts w:asciiTheme="minorHAnsi" w:hAnsiTheme="minorHAnsi"/>
            <w:sz w:val="22"/>
            <w:szCs w:val="22"/>
            <w:lang w:val="en-GB"/>
          </w:rPr>
          <w:t>Lee C. M</w:t>
        </w:r>
      </w:hyperlink>
      <w:r>
        <w:rPr>
          <w:rStyle w:val="highlight"/>
          <w:rFonts w:asciiTheme="minorHAnsi" w:hAnsiTheme="minorHAnsi"/>
          <w:sz w:val="22"/>
          <w:szCs w:val="22"/>
          <w:lang w:val="en-GB"/>
        </w:rPr>
        <w:t>.</w:t>
      </w:r>
      <w:r>
        <w:rPr>
          <w:rFonts w:asciiTheme="minorHAnsi" w:hAnsiTheme="minorHAnsi"/>
          <w:sz w:val="22"/>
          <w:szCs w:val="22"/>
          <w:lang w:val="en-GB"/>
        </w:rPr>
        <w:t xml:space="preserve"> &amp; </w:t>
      </w:r>
      <w:hyperlink r:id="rId11">
        <w:r>
          <w:rPr>
            <w:rStyle w:val="InternetLink"/>
            <w:rFonts w:asciiTheme="minorHAnsi" w:hAnsiTheme="minorHAnsi"/>
            <w:color w:val="auto"/>
            <w:sz w:val="22"/>
            <w:szCs w:val="22"/>
            <w:u w:val="none"/>
            <w:lang w:val="en-GB"/>
          </w:rPr>
          <w:t>Afshari N. A</w:t>
        </w:r>
      </w:hyperlink>
      <w:r>
        <w:rPr>
          <w:rStyle w:val="InternetLink"/>
          <w:rFonts w:asciiTheme="minorHAnsi" w:hAnsiTheme="minorHAnsi"/>
          <w:color w:val="auto"/>
          <w:sz w:val="22"/>
          <w:szCs w:val="22"/>
          <w:u w:val="none"/>
          <w:lang w:val="en-GB"/>
        </w:rPr>
        <w:t>.</w:t>
      </w:r>
      <w:r>
        <w:rPr>
          <w:rFonts w:asciiTheme="minorHAnsi" w:hAnsiTheme="minorHAnsi"/>
          <w:sz w:val="22"/>
          <w:szCs w:val="22"/>
          <w:lang w:val="en-GB"/>
        </w:rPr>
        <w:t xml:space="preserve"> The global state of </w:t>
      </w:r>
      <w:r>
        <w:rPr>
          <w:rStyle w:val="highlight"/>
          <w:rFonts w:asciiTheme="minorHAnsi" w:hAnsiTheme="minorHAnsi"/>
          <w:sz w:val="22"/>
          <w:szCs w:val="22"/>
          <w:lang w:val="en-GB"/>
        </w:rPr>
        <w:t>cataract</w:t>
      </w:r>
      <w:r>
        <w:rPr>
          <w:rFonts w:asciiTheme="minorHAnsi" w:hAnsiTheme="minorHAnsi"/>
          <w:sz w:val="22"/>
          <w:szCs w:val="22"/>
          <w:lang w:val="en-GB"/>
        </w:rPr>
        <w:t xml:space="preserve"> blindness. </w:t>
      </w:r>
      <w:hyperlink r:id="rId12" w:tgtFrame="Current opinion in ophthalmology.">
        <w:r>
          <w:rPr>
            <w:rStyle w:val="InternetLink"/>
            <w:rFonts w:asciiTheme="minorHAnsi" w:hAnsiTheme="minorHAnsi"/>
            <w:i/>
            <w:color w:val="auto"/>
            <w:sz w:val="22"/>
            <w:szCs w:val="22"/>
            <w:u w:val="none"/>
            <w:lang w:val="en-GB"/>
          </w:rPr>
          <w:t>Curr. Opin. Ophthalmol</w:t>
        </w:r>
      </w:hyperlink>
      <w:r>
        <w:rPr>
          <w:rStyle w:val="InternetLink"/>
          <w:rFonts w:asciiTheme="minorHAnsi" w:hAnsiTheme="minorHAnsi"/>
          <w:i/>
          <w:color w:val="auto"/>
          <w:sz w:val="22"/>
          <w:szCs w:val="22"/>
          <w:u w:val="none"/>
          <w:lang w:val="en-GB"/>
        </w:rPr>
        <w:t>.</w:t>
      </w:r>
      <w:r>
        <w:rPr>
          <w:rFonts w:asciiTheme="minorHAnsi" w:hAnsiTheme="minorHAnsi"/>
          <w:sz w:val="22"/>
          <w:szCs w:val="22"/>
          <w:lang w:val="en-GB"/>
        </w:rPr>
        <w:t xml:space="preserve"> </w:t>
      </w:r>
      <w:proofErr w:type="gramStart"/>
      <w:r>
        <w:rPr>
          <w:rFonts w:asciiTheme="minorHAnsi" w:hAnsiTheme="minorHAnsi"/>
          <w:b/>
          <w:sz w:val="22"/>
          <w:szCs w:val="22"/>
          <w:lang w:val="en-GB"/>
        </w:rPr>
        <w:t>28</w:t>
      </w:r>
      <w:proofErr w:type="gramEnd"/>
      <w:r>
        <w:rPr>
          <w:rFonts w:asciiTheme="minorHAnsi" w:hAnsiTheme="minorHAnsi"/>
          <w:b/>
          <w:sz w:val="22"/>
          <w:szCs w:val="22"/>
          <w:lang w:val="en-GB"/>
        </w:rPr>
        <w:t>,</w:t>
      </w:r>
      <w:r>
        <w:rPr>
          <w:rFonts w:asciiTheme="minorHAnsi" w:hAnsiTheme="minorHAnsi"/>
          <w:sz w:val="22"/>
          <w:szCs w:val="22"/>
          <w:lang w:val="en-GB"/>
        </w:rPr>
        <w:t xml:space="preserve"> 98-103, </w:t>
      </w:r>
      <w:hyperlink r:id="rId13" w:history="1">
        <w:r>
          <w:rPr>
            <w:rStyle w:val="Hyperlink"/>
            <w:rFonts w:asciiTheme="minorHAnsi" w:hAnsiTheme="minorHAnsi"/>
            <w:sz w:val="22"/>
            <w:szCs w:val="22"/>
            <w:lang w:val="en-GB"/>
          </w:rPr>
          <w:t>https://doi.org/10.1097/ICU.0000000000000340</w:t>
        </w:r>
      </w:hyperlink>
      <w:r>
        <w:rPr>
          <w:rFonts w:asciiTheme="minorHAnsi" w:hAnsiTheme="minorHAnsi"/>
          <w:sz w:val="22"/>
          <w:szCs w:val="22"/>
          <w:lang w:val="en-GB"/>
        </w:rPr>
        <w:t xml:space="preserve"> (2017).</w:t>
      </w:r>
    </w:p>
    <w:p>
      <w:pPr>
        <w:pStyle w:val="Listenabsatz"/>
        <w:numPr>
          <w:ilvl w:val="0"/>
          <w:numId w:val="11"/>
        </w:numPr>
        <w:spacing w:line="360" w:lineRule="auto"/>
        <w:ind w:left="567" w:hanging="425"/>
        <w:jc w:val="both"/>
        <w:rPr>
          <w:rFonts w:asciiTheme="minorHAnsi" w:hAnsiTheme="minorHAnsi"/>
          <w:sz w:val="22"/>
          <w:szCs w:val="22"/>
          <w:lang w:val="en-GB"/>
        </w:rPr>
      </w:pPr>
      <w:proofErr w:type="spellStart"/>
      <w:r>
        <w:rPr>
          <w:rFonts w:asciiTheme="minorHAnsi" w:hAnsiTheme="minorHAnsi"/>
          <w:bCs/>
          <w:sz w:val="22"/>
          <w:szCs w:val="22"/>
          <w:lang w:val="en-GB"/>
        </w:rPr>
        <w:t>Otake</w:t>
      </w:r>
      <w:proofErr w:type="spellEnd"/>
      <w:r>
        <w:rPr>
          <w:rFonts w:asciiTheme="minorHAnsi" w:hAnsiTheme="minorHAnsi"/>
          <w:sz w:val="22"/>
          <w:szCs w:val="22"/>
          <w:lang w:val="en-GB"/>
        </w:rPr>
        <w:t xml:space="preserve"> M. &amp; </w:t>
      </w:r>
      <w:r>
        <w:rPr>
          <w:rFonts w:asciiTheme="minorHAnsi" w:hAnsiTheme="minorHAnsi"/>
          <w:bCs/>
          <w:sz w:val="22"/>
          <w:szCs w:val="22"/>
          <w:lang w:val="en-GB"/>
        </w:rPr>
        <w:t>Schull</w:t>
      </w:r>
      <w:r>
        <w:rPr>
          <w:rFonts w:asciiTheme="minorHAnsi" w:hAnsiTheme="minorHAnsi"/>
          <w:sz w:val="22"/>
          <w:szCs w:val="22"/>
          <w:lang w:val="en-GB"/>
        </w:rPr>
        <w:t xml:space="preserve"> W. J. </w:t>
      </w:r>
      <w:hyperlink r:id="rId14">
        <w:r>
          <w:rPr>
            <w:rStyle w:val="InternetLink"/>
            <w:rFonts w:asciiTheme="minorHAnsi" w:hAnsiTheme="minorHAnsi"/>
            <w:color w:val="auto"/>
            <w:sz w:val="22"/>
            <w:szCs w:val="22"/>
            <w:u w:val="none"/>
            <w:lang w:val="en-GB"/>
          </w:rPr>
          <w:t>A review of forty-five years study of Hiroshima and Nagasaki atomic bomb survivors. Radiation cataract.</w:t>
        </w:r>
      </w:hyperlink>
      <w:r>
        <w:rPr>
          <w:rFonts w:asciiTheme="minorHAnsi" w:hAnsiTheme="minorHAnsi"/>
          <w:sz w:val="22"/>
          <w:szCs w:val="22"/>
          <w:lang w:val="en-GB"/>
        </w:rPr>
        <w:t xml:space="preserve"> </w:t>
      </w:r>
      <w:r>
        <w:rPr>
          <w:rFonts w:asciiTheme="minorHAnsi" w:hAnsiTheme="minorHAnsi"/>
          <w:i/>
          <w:sz w:val="22"/>
          <w:szCs w:val="22"/>
          <w:lang w:val="en-GB"/>
        </w:rPr>
        <w:t xml:space="preserve">J. </w:t>
      </w:r>
      <w:proofErr w:type="spellStart"/>
      <w:r>
        <w:rPr>
          <w:rFonts w:asciiTheme="minorHAnsi" w:hAnsiTheme="minorHAnsi"/>
          <w:i/>
          <w:sz w:val="22"/>
          <w:szCs w:val="22"/>
          <w:lang w:val="en-GB"/>
        </w:rPr>
        <w:t>Radiat</w:t>
      </w:r>
      <w:proofErr w:type="spellEnd"/>
      <w:r>
        <w:rPr>
          <w:rFonts w:asciiTheme="minorHAnsi" w:hAnsiTheme="minorHAnsi"/>
          <w:i/>
          <w:sz w:val="22"/>
          <w:szCs w:val="22"/>
          <w:lang w:val="en-GB"/>
        </w:rPr>
        <w:t>. Res.</w:t>
      </w:r>
      <w:r>
        <w:rPr>
          <w:rFonts w:asciiTheme="minorHAnsi" w:hAnsiTheme="minorHAnsi"/>
          <w:sz w:val="22"/>
          <w:szCs w:val="22"/>
          <w:lang w:val="en-GB"/>
        </w:rPr>
        <w:t xml:space="preserve"> </w:t>
      </w:r>
      <w:r>
        <w:rPr>
          <w:rFonts w:asciiTheme="minorHAnsi" w:hAnsiTheme="minorHAnsi"/>
          <w:b/>
          <w:sz w:val="22"/>
          <w:szCs w:val="22"/>
          <w:lang w:val="en-GB"/>
        </w:rPr>
        <w:t>32 (</w:t>
      </w:r>
      <w:proofErr w:type="spellStart"/>
      <w:r>
        <w:rPr>
          <w:rFonts w:asciiTheme="minorHAnsi" w:hAnsiTheme="minorHAnsi"/>
          <w:b/>
          <w:sz w:val="22"/>
          <w:szCs w:val="22"/>
          <w:lang w:val="en-GB"/>
        </w:rPr>
        <w:t>Suppl</w:t>
      </w:r>
      <w:proofErr w:type="spellEnd"/>
      <w:r>
        <w:rPr>
          <w:rFonts w:asciiTheme="minorHAnsi" w:hAnsiTheme="minorHAnsi"/>
          <w:b/>
          <w:sz w:val="22"/>
          <w:szCs w:val="22"/>
          <w:lang w:val="en-GB"/>
        </w:rPr>
        <w:t>),</w:t>
      </w:r>
      <w:r>
        <w:rPr>
          <w:rFonts w:asciiTheme="minorHAnsi" w:hAnsiTheme="minorHAnsi"/>
          <w:sz w:val="22"/>
          <w:szCs w:val="22"/>
          <w:lang w:val="en-GB"/>
        </w:rPr>
        <w:t xml:space="preserve"> 283-293, </w:t>
      </w:r>
      <w:hyperlink r:id="rId15" w:history="1">
        <w:r>
          <w:rPr>
            <w:rStyle w:val="Hyperlink"/>
            <w:rFonts w:asciiTheme="minorHAnsi" w:hAnsiTheme="minorHAnsi"/>
            <w:sz w:val="22"/>
            <w:szCs w:val="22"/>
            <w:lang w:val="en-GB"/>
          </w:rPr>
          <w:t>https://doi.org/10.1269/jrr.32.Suppl_1.283</w:t>
        </w:r>
      </w:hyperlink>
      <w:r>
        <w:rPr>
          <w:rFonts w:asciiTheme="minorHAnsi" w:hAnsiTheme="minorHAnsi"/>
          <w:sz w:val="22"/>
          <w:szCs w:val="22"/>
          <w:lang w:val="en-GB"/>
        </w:rPr>
        <w:t xml:space="preserve"> (1991).</w:t>
      </w:r>
    </w:p>
    <w:p>
      <w:pPr>
        <w:pStyle w:val="Listenabsatz"/>
        <w:numPr>
          <w:ilvl w:val="0"/>
          <w:numId w:val="11"/>
        </w:numPr>
        <w:spacing w:line="360" w:lineRule="auto"/>
        <w:ind w:left="567" w:hanging="425"/>
        <w:jc w:val="both"/>
        <w:rPr>
          <w:rStyle w:val="highwire-cite-metadata-journal"/>
          <w:rFonts w:asciiTheme="minorHAnsi" w:hAnsiTheme="minorHAnsi"/>
          <w:sz w:val="22"/>
          <w:szCs w:val="22"/>
          <w:lang w:val="en-GB"/>
        </w:rPr>
      </w:pPr>
      <w:r>
        <w:rPr>
          <w:rFonts w:asciiTheme="minorHAnsi" w:hAnsiTheme="minorHAnsi"/>
          <w:bCs/>
          <w:sz w:val="22"/>
          <w:szCs w:val="22"/>
          <w:lang w:val="en-GB"/>
        </w:rPr>
        <w:t xml:space="preserve">Dolin P. J. Ultraviolet radiation and cataract: a review of the epidemiological evidence. </w:t>
      </w:r>
      <w:r>
        <w:rPr>
          <w:rFonts w:asciiTheme="minorHAnsi" w:hAnsiTheme="minorHAnsi"/>
          <w:bCs/>
          <w:i/>
          <w:sz w:val="22"/>
          <w:szCs w:val="22"/>
          <w:lang w:val="en-GB"/>
        </w:rPr>
        <w:t>Br.</w:t>
      </w:r>
      <w:r>
        <w:rPr>
          <w:rStyle w:val="highwire-cite-metadata-journal"/>
          <w:rFonts w:asciiTheme="minorHAnsi" w:hAnsiTheme="minorHAnsi"/>
          <w:i/>
          <w:sz w:val="22"/>
          <w:szCs w:val="22"/>
          <w:lang w:val="en-US"/>
        </w:rPr>
        <w:t xml:space="preserve"> J. Ophthalmology</w:t>
      </w:r>
      <w:r>
        <w:rPr>
          <w:rStyle w:val="highwire-cite-metadata-journal"/>
          <w:rFonts w:asciiTheme="minorHAnsi" w:hAnsiTheme="minorHAnsi"/>
          <w:sz w:val="22"/>
          <w:szCs w:val="22"/>
          <w:lang w:val="en-US"/>
        </w:rPr>
        <w:t xml:space="preserve"> </w:t>
      </w:r>
      <w:r>
        <w:rPr>
          <w:rStyle w:val="highwire-cite-metadata-journal"/>
          <w:rFonts w:asciiTheme="minorHAnsi" w:hAnsiTheme="minorHAnsi"/>
          <w:b/>
          <w:sz w:val="22"/>
          <w:szCs w:val="22"/>
          <w:lang w:val="en-US"/>
        </w:rPr>
        <w:t>78,</w:t>
      </w:r>
      <w:r>
        <w:rPr>
          <w:rStyle w:val="highwire-cite-metadata-journal"/>
          <w:rFonts w:asciiTheme="minorHAnsi" w:hAnsiTheme="minorHAnsi"/>
          <w:sz w:val="22"/>
          <w:szCs w:val="22"/>
          <w:lang w:val="en-US"/>
        </w:rPr>
        <w:t xml:space="preserve"> 478-482, </w:t>
      </w:r>
      <w:hyperlink r:id="rId16" w:history="1">
        <w:r>
          <w:rPr>
            <w:rStyle w:val="Hyperlink"/>
            <w:rFonts w:asciiTheme="minorHAnsi" w:hAnsiTheme="minorHAnsi"/>
            <w:sz w:val="22"/>
            <w:szCs w:val="22"/>
            <w:lang w:val="en-US"/>
          </w:rPr>
          <w:t>http://dx.doi.org/10.1136/bjo.78.6.478</w:t>
        </w:r>
      </w:hyperlink>
      <w:r>
        <w:rPr>
          <w:rStyle w:val="highwire-cite-metadata-journal"/>
          <w:rFonts w:asciiTheme="minorHAnsi" w:hAnsiTheme="minorHAnsi"/>
          <w:sz w:val="22"/>
          <w:szCs w:val="22"/>
          <w:lang w:val="en-US"/>
        </w:rPr>
        <w:t xml:space="preserve"> (1994)</w:t>
      </w:r>
    </w:p>
    <w:p>
      <w:pPr>
        <w:pStyle w:val="details1"/>
        <w:numPr>
          <w:ilvl w:val="0"/>
          <w:numId w:val="11"/>
        </w:numPr>
        <w:spacing w:line="360" w:lineRule="auto"/>
        <w:ind w:left="567" w:hanging="425"/>
        <w:jc w:val="both"/>
        <w:rPr>
          <w:rFonts w:asciiTheme="minorHAnsi" w:hAnsiTheme="minorHAnsi"/>
          <w:lang w:val="en-GB"/>
        </w:rPr>
      </w:pPr>
      <w:hyperlink r:id="rId17">
        <w:r>
          <w:rPr>
            <w:rStyle w:val="highlight"/>
            <w:rFonts w:asciiTheme="minorHAnsi" w:hAnsiTheme="minorHAnsi"/>
            <w:lang w:val="en-GB"/>
          </w:rPr>
          <w:t>Vos</w:t>
        </w:r>
        <w:r>
          <w:rPr>
            <w:rStyle w:val="InternetLink"/>
            <w:rFonts w:asciiTheme="minorHAnsi" w:hAnsiTheme="minorHAnsi"/>
            <w:color w:val="auto"/>
            <w:u w:val="none"/>
            <w:lang w:val="en-GB"/>
          </w:rPr>
          <w:t xml:space="preserve"> J. J</w:t>
        </w:r>
      </w:hyperlink>
      <w:r>
        <w:rPr>
          <w:rStyle w:val="InternetLink"/>
          <w:rFonts w:asciiTheme="minorHAnsi" w:hAnsiTheme="minorHAnsi"/>
          <w:color w:val="auto"/>
          <w:u w:val="none"/>
          <w:lang w:val="en-GB"/>
        </w:rPr>
        <w:t>.</w:t>
      </w:r>
      <w:r>
        <w:rPr>
          <w:rFonts w:asciiTheme="minorHAnsi" w:hAnsiTheme="minorHAnsi"/>
          <w:lang w:val="en-GB"/>
        </w:rPr>
        <w:t xml:space="preserve"> &amp; </w:t>
      </w:r>
      <w:hyperlink r:id="rId18">
        <w:r>
          <w:rPr>
            <w:rStyle w:val="InternetLink"/>
            <w:rFonts w:asciiTheme="minorHAnsi" w:hAnsiTheme="minorHAnsi"/>
            <w:color w:val="auto"/>
            <w:u w:val="none"/>
            <w:lang w:val="en-GB"/>
          </w:rPr>
          <w:t xml:space="preserve">van </w:t>
        </w:r>
        <w:r>
          <w:rPr>
            <w:rStyle w:val="highlight"/>
            <w:rFonts w:asciiTheme="minorHAnsi" w:hAnsiTheme="minorHAnsi"/>
            <w:lang w:val="en-GB"/>
          </w:rPr>
          <w:t>Norren</w:t>
        </w:r>
        <w:r>
          <w:rPr>
            <w:rStyle w:val="InternetLink"/>
            <w:rFonts w:asciiTheme="minorHAnsi" w:hAnsiTheme="minorHAnsi"/>
            <w:color w:val="auto"/>
            <w:u w:val="none"/>
            <w:lang w:val="en-GB"/>
          </w:rPr>
          <w:t xml:space="preserve"> D</w:t>
        </w:r>
      </w:hyperlink>
      <w:r>
        <w:rPr>
          <w:rStyle w:val="InternetLink"/>
          <w:rFonts w:asciiTheme="minorHAnsi" w:hAnsiTheme="minorHAnsi"/>
          <w:color w:val="auto"/>
          <w:u w:val="none"/>
          <w:lang w:val="en-GB"/>
        </w:rPr>
        <w:t>.</w:t>
      </w:r>
      <w:r>
        <w:rPr>
          <w:rFonts w:asciiTheme="minorHAnsi" w:hAnsiTheme="minorHAnsi"/>
          <w:lang w:val="en-GB"/>
        </w:rPr>
        <w:t xml:space="preserve"> Thermal cataract, from furnaces to lasers. </w:t>
      </w:r>
      <w:hyperlink r:id="rId19" w:tgtFrame="Clinical &amp; experimental optometry.">
        <w:r>
          <w:rPr>
            <w:rStyle w:val="InternetLink"/>
            <w:rFonts w:asciiTheme="minorHAnsi" w:hAnsiTheme="minorHAnsi"/>
            <w:i/>
            <w:color w:val="auto"/>
            <w:u w:val="none"/>
            <w:lang w:val="en-GB"/>
          </w:rPr>
          <w:t>Clin. Exp. Optom</w:t>
        </w:r>
      </w:hyperlink>
      <w:r>
        <w:rPr>
          <w:rStyle w:val="InternetLink"/>
          <w:rFonts w:asciiTheme="minorHAnsi" w:hAnsiTheme="minorHAnsi"/>
          <w:color w:val="auto"/>
          <w:u w:val="none"/>
          <w:lang w:val="en-GB"/>
        </w:rPr>
        <w:t>.</w:t>
      </w:r>
      <w:r>
        <w:rPr>
          <w:rFonts w:asciiTheme="minorHAnsi" w:hAnsiTheme="minorHAnsi"/>
          <w:lang w:val="en-GB"/>
        </w:rPr>
        <w:t xml:space="preserve"> </w:t>
      </w:r>
      <w:proofErr w:type="gramStart"/>
      <w:r>
        <w:rPr>
          <w:rFonts w:asciiTheme="minorHAnsi" w:hAnsiTheme="minorHAnsi"/>
          <w:b/>
          <w:lang w:val="en-GB"/>
        </w:rPr>
        <w:t>87</w:t>
      </w:r>
      <w:proofErr w:type="gramEnd"/>
      <w:r>
        <w:rPr>
          <w:rFonts w:asciiTheme="minorHAnsi" w:hAnsiTheme="minorHAnsi"/>
          <w:b/>
          <w:lang w:val="en-GB"/>
        </w:rPr>
        <w:t>,</w:t>
      </w:r>
      <w:r>
        <w:rPr>
          <w:rFonts w:asciiTheme="minorHAnsi" w:hAnsiTheme="minorHAnsi"/>
          <w:lang w:val="en-GB"/>
        </w:rPr>
        <w:t xml:space="preserve"> 372-376, </w:t>
      </w:r>
      <w:hyperlink r:id="rId20" w:history="1">
        <w:r>
          <w:rPr>
            <w:rStyle w:val="Hyperlink"/>
            <w:rFonts w:asciiTheme="minorHAnsi" w:hAnsiTheme="minorHAnsi"/>
            <w:lang w:val="en-GB"/>
          </w:rPr>
          <w:t>https://doi.org/10.1111/j.1444-0938.2004.tb03097.x</w:t>
        </w:r>
      </w:hyperlink>
      <w:r>
        <w:rPr>
          <w:rFonts w:asciiTheme="minorHAnsi" w:hAnsiTheme="minorHAnsi"/>
          <w:lang w:val="en-GB"/>
        </w:rPr>
        <w:t xml:space="preserve"> (2004).</w:t>
      </w:r>
    </w:p>
    <w:p>
      <w:pPr>
        <w:pStyle w:val="Listenabsatz"/>
        <w:numPr>
          <w:ilvl w:val="0"/>
          <w:numId w:val="11"/>
        </w:numPr>
        <w:spacing w:line="360" w:lineRule="auto"/>
        <w:ind w:left="567" w:hanging="425"/>
        <w:jc w:val="both"/>
        <w:rPr>
          <w:rFonts w:asciiTheme="minorHAnsi" w:hAnsiTheme="minorHAnsi"/>
          <w:sz w:val="22"/>
          <w:szCs w:val="22"/>
        </w:rPr>
      </w:pPr>
      <w:hyperlink r:id="rId21">
        <w:r>
          <w:rPr>
            <w:rStyle w:val="highlight"/>
            <w:rFonts w:asciiTheme="minorHAnsi" w:hAnsiTheme="minorHAnsi"/>
            <w:sz w:val="22"/>
            <w:szCs w:val="22"/>
            <w:lang w:val="en-GB"/>
          </w:rPr>
          <w:t>Jobling</w:t>
        </w:r>
        <w:r>
          <w:rPr>
            <w:rStyle w:val="InternetLink"/>
            <w:rFonts w:asciiTheme="minorHAnsi" w:hAnsiTheme="minorHAnsi"/>
            <w:color w:val="auto"/>
            <w:sz w:val="22"/>
            <w:szCs w:val="22"/>
            <w:u w:val="none"/>
            <w:lang w:val="en-GB"/>
          </w:rPr>
          <w:t xml:space="preserve"> A. I</w:t>
        </w:r>
      </w:hyperlink>
      <w:r>
        <w:rPr>
          <w:rStyle w:val="InternetLink"/>
          <w:rFonts w:asciiTheme="minorHAnsi" w:hAnsiTheme="minorHAnsi"/>
          <w:color w:val="auto"/>
          <w:sz w:val="22"/>
          <w:szCs w:val="22"/>
          <w:u w:val="none"/>
          <w:lang w:val="en-GB"/>
        </w:rPr>
        <w:t>.</w:t>
      </w:r>
      <w:r>
        <w:rPr>
          <w:rFonts w:asciiTheme="minorHAnsi" w:hAnsiTheme="minorHAnsi"/>
          <w:sz w:val="22"/>
          <w:szCs w:val="22"/>
          <w:lang w:val="en-GB"/>
        </w:rPr>
        <w:t xml:space="preserve"> &amp; </w:t>
      </w:r>
      <w:hyperlink r:id="rId22">
        <w:r>
          <w:rPr>
            <w:rStyle w:val="highlight"/>
            <w:rFonts w:asciiTheme="minorHAnsi" w:hAnsiTheme="minorHAnsi"/>
            <w:sz w:val="22"/>
            <w:szCs w:val="22"/>
            <w:lang w:val="en-GB"/>
          </w:rPr>
          <w:t>Augusteyn</w:t>
        </w:r>
        <w:r>
          <w:rPr>
            <w:rStyle w:val="InternetLink"/>
            <w:rFonts w:asciiTheme="minorHAnsi" w:hAnsiTheme="minorHAnsi"/>
            <w:color w:val="auto"/>
            <w:sz w:val="22"/>
            <w:szCs w:val="22"/>
            <w:u w:val="none"/>
            <w:lang w:val="en-GB"/>
          </w:rPr>
          <w:t xml:space="preserve"> R. C</w:t>
        </w:r>
      </w:hyperlink>
      <w:r>
        <w:rPr>
          <w:rStyle w:val="InternetLink"/>
          <w:rFonts w:asciiTheme="minorHAnsi" w:hAnsiTheme="minorHAnsi"/>
          <w:color w:val="auto"/>
          <w:sz w:val="22"/>
          <w:szCs w:val="22"/>
          <w:u w:val="none"/>
          <w:lang w:val="en-GB"/>
        </w:rPr>
        <w:t>.</w:t>
      </w:r>
      <w:r>
        <w:rPr>
          <w:rFonts w:asciiTheme="minorHAnsi" w:hAnsiTheme="minorHAnsi"/>
          <w:sz w:val="22"/>
          <w:szCs w:val="22"/>
          <w:lang w:val="en-GB"/>
        </w:rPr>
        <w:t xml:space="preserve"> What causes steroid cataracts? A review of steroid-induced posterior subcapsular cataracts. </w:t>
      </w:r>
      <w:hyperlink r:id="rId23" w:tgtFrame="Clinical &amp; experimental optometry.">
        <w:r>
          <w:rPr>
            <w:rStyle w:val="InternetLink"/>
            <w:rFonts w:asciiTheme="minorHAnsi" w:hAnsiTheme="minorHAnsi"/>
            <w:i/>
            <w:color w:val="auto"/>
            <w:sz w:val="22"/>
            <w:szCs w:val="22"/>
            <w:u w:val="none"/>
            <w:lang w:val="en-GB"/>
          </w:rPr>
          <w:t>Clin. Exp. Optom</w:t>
        </w:r>
      </w:hyperlink>
      <w:r>
        <w:rPr>
          <w:rStyle w:val="InternetLink"/>
          <w:rFonts w:asciiTheme="minorHAnsi" w:hAnsiTheme="minorHAnsi"/>
          <w:i/>
          <w:color w:val="auto"/>
          <w:sz w:val="22"/>
          <w:szCs w:val="22"/>
          <w:u w:val="none"/>
          <w:lang w:val="en-GB"/>
        </w:rPr>
        <w:t>.</w:t>
      </w:r>
      <w:r>
        <w:rPr>
          <w:rFonts w:asciiTheme="minorHAnsi" w:hAnsiTheme="minorHAnsi"/>
          <w:sz w:val="22"/>
          <w:szCs w:val="22"/>
          <w:lang w:val="en-GB"/>
        </w:rPr>
        <w:t xml:space="preserve"> </w:t>
      </w:r>
      <w:r>
        <w:rPr>
          <w:rFonts w:asciiTheme="minorHAnsi" w:hAnsiTheme="minorHAnsi"/>
          <w:b/>
          <w:sz w:val="22"/>
          <w:szCs w:val="22"/>
        </w:rPr>
        <w:t>85,</w:t>
      </w:r>
      <w:r>
        <w:rPr>
          <w:rFonts w:asciiTheme="minorHAnsi" w:hAnsiTheme="minorHAnsi"/>
          <w:sz w:val="22"/>
          <w:szCs w:val="22"/>
        </w:rPr>
        <w:t xml:space="preserve"> 61-75, </w:t>
      </w:r>
      <w:hyperlink r:id="rId24" w:history="1">
        <w:r>
          <w:rPr>
            <w:rStyle w:val="Hyperlink"/>
            <w:rFonts w:asciiTheme="minorHAnsi" w:hAnsiTheme="minorHAnsi"/>
            <w:sz w:val="22"/>
            <w:szCs w:val="22"/>
          </w:rPr>
          <w:t>https://doi.org/10.1111/j.1444-0938.2002.tb03011.x</w:t>
        </w:r>
      </w:hyperlink>
      <w:r>
        <w:rPr>
          <w:rFonts w:asciiTheme="minorHAnsi" w:hAnsiTheme="minorHAnsi"/>
          <w:sz w:val="22"/>
          <w:szCs w:val="22"/>
        </w:rPr>
        <w:t xml:space="preserve"> (2002).</w:t>
      </w:r>
    </w:p>
    <w:p>
      <w:pPr>
        <w:pStyle w:val="details1"/>
        <w:numPr>
          <w:ilvl w:val="0"/>
          <w:numId w:val="11"/>
        </w:numPr>
        <w:spacing w:line="360" w:lineRule="auto"/>
        <w:ind w:left="567" w:hanging="425"/>
        <w:jc w:val="both"/>
        <w:rPr>
          <w:rFonts w:asciiTheme="minorHAnsi" w:hAnsiTheme="minorHAnsi" w:cs="Arial"/>
          <w:lang w:val="en-GB"/>
        </w:rPr>
      </w:pPr>
      <w:r>
        <w:rPr>
          <w:rFonts w:asciiTheme="minorHAnsi" w:hAnsiTheme="minorHAnsi" w:cs="Arial"/>
          <w:lang w:val="en-GB"/>
        </w:rPr>
        <w:t xml:space="preserve">Upton A. C., </w:t>
      </w:r>
      <w:proofErr w:type="spellStart"/>
      <w:r>
        <w:rPr>
          <w:rFonts w:asciiTheme="minorHAnsi" w:hAnsiTheme="minorHAnsi" w:cs="Arial"/>
          <w:lang w:val="en-GB"/>
        </w:rPr>
        <w:t>Christenberry</w:t>
      </w:r>
      <w:proofErr w:type="spellEnd"/>
      <w:r>
        <w:rPr>
          <w:rFonts w:asciiTheme="minorHAnsi" w:hAnsiTheme="minorHAnsi" w:cs="Arial"/>
          <w:lang w:val="en-GB"/>
        </w:rPr>
        <w:t xml:space="preserve"> K. W., Melville G. S., Furth J. &amp; Hurst G. S. The relative biological</w:t>
      </w:r>
      <w:r>
        <w:rPr>
          <w:rFonts w:asciiTheme="minorHAnsi" w:hAnsiTheme="minorHAnsi" w:cs="Arial"/>
          <w:szCs w:val="24"/>
          <w:lang w:val="en-GB"/>
        </w:rPr>
        <w:t xml:space="preserve"> </w:t>
      </w:r>
      <w:r>
        <w:rPr>
          <w:rFonts w:asciiTheme="minorHAnsi" w:hAnsiTheme="minorHAnsi" w:cs="Arial"/>
          <w:lang w:val="en-GB"/>
        </w:rPr>
        <w:t xml:space="preserve">effectiveness of neutrons, x-rays, and gamma rays for the production of lens opacities: observations on mice, rats, </w:t>
      </w:r>
      <w:proofErr w:type="gramStart"/>
      <w:r>
        <w:rPr>
          <w:rFonts w:asciiTheme="minorHAnsi" w:hAnsiTheme="minorHAnsi" w:cs="Arial"/>
          <w:lang w:val="en-GB"/>
        </w:rPr>
        <w:t>guinea-pigs</w:t>
      </w:r>
      <w:proofErr w:type="gramEnd"/>
      <w:r>
        <w:rPr>
          <w:rFonts w:asciiTheme="minorHAnsi" w:hAnsiTheme="minorHAnsi" w:cs="Arial"/>
          <w:lang w:val="en-GB"/>
        </w:rPr>
        <w:t xml:space="preserve">, and rabbits. </w:t>
      </w:r>
      <w:r>
        <w:rPr>
          <w:rFonts w:asciiTheme="minorHAnsi" w:hAnsiTheme="minorHAnsi" w:cs="Arial"/>
          <w:i/>
          <w:lang w:val="en-GB"/>
        </w:rPr>
        <w:t>Radiology</w:t>
      </w:r>
      <w:r>
        <w:rPr>
          <w:rFonts w:asciiTheme="minorHAnsi" w:hAnsiTheme="minorHAnsi" w:cs="Arial"/>
          <w:lang w:val="en-GB"/>
        </w:rPr>
        <w:t xml:space="preserve"> </w:t>
      </w:r>
      <w:r>
        <w:rPr>
          <w:rFonts w:asciiTheme="minorHAnsi" w:hAnsiTheme="minorHAnsi" w:cs="Arial"/>
          <w:b/>
          <w:lang w:val="en-GB"/>
        </w:rPr>
        <w:t>67,</w:t>
      </w:r>
      <w:r>
        <w:rPr>
          <w:rFonts w:asciiTheme="minorHAnsi" w:hAnsiTheme="minorHAnsi" w:cs="Arial"/>
          <w:lang w:val="en-GB"/>
        </w:rPr>
        <w:t xml:space="preserve"> 686–696, </w:t>
      </w:r>
      <w:hyperlink r:id="rId25" w:history="1">
        <w:r>
          <w:rPr>
            <w:rStyle w:val="Hyperlink"/>
            <w:rFonts w:asciiTheme="minorHAnsi" w:hAnsiTheme="minorHAnsi" w:cs="Arial"/>
            <w:lang w:val="en-GB"/>
          </w:rPr>
          <w:t>https://doi.org/10.1148/67.5.686</w:t>
        </w:r>
      </w:hyperlink>
      <w:r>
        <w:rPr>
          <w:rFonts w:asciiTheme="minorHAnsi" w:hAnsiTheme="minorHAnsi" w:cs="Arial"/>
          <w:lang w:val="en-GB"/>
        </w:rPr>
        <w:t xml:space="preserve"> (1956).</w:t>
      </w:r>
    </w:p>
    <w:p>
      <w:pPr>
        <w:pStyle w:val="Listenabsatz"/>
        <w:numPr>
          <w:ilvl w:val="0"/>
          <w:numId w:val="11"/>
        </w:numPr>
        <w:spacing w:line="360" w:lineRule="auto"/>
        <w:ind w:left="567" w:hanging="425"/>
        <w:jc w:val="both"/>
        <w:rPr>
          <w:rFonts w:asciiTheme="minorHAnsi" w:hAnsiTheme="minorHAnsi" w:cs="Arial"/>
          <w:sz w:val="22"/>
          <w:szCs w:val="22"/>
          <w:lang w:val="en-GB"/>
        </w:rPr>
      </w:pPr>
      <w:r>
        <w:rPr>
          <w:rFonts w:asciiTheme="minorHAnsi" w:hAnsiTheme="minorHAnsi" w:cs="Arial"/>
          <w:sz w:val="22"/>
          <w:szCs w:val="22"/>
          <w:lang w:val="en-GB"/>
        </w:rPr>
        <w:t xml:space="preserve">Riley E. F., Evans T. C., </w:t>
      </w:r>
      <w:proofErr w:type="spellStart"/>
      <w:r>
        <w:rPr>
          <w:rFonts w:asciiTheme="minorHAnsi" w:hAnsiTheme="minorHAnsi" w:cs="Arial"/>
          <w:sz w:val="22"/>
          <w:szCs w:val="22"/>
          <w:lang w:val="en-GB"/>
        </w:rPr>
        <w:t>Rhody</w:t>
      </w:r>
      <w:proofErr w:type="spellEnd"/>
      <w:r>
        <w:rPr>
          <w:rFonts w:asciiTheme="minorHAnsi" w:hAnsiTheme="minorHAnsi" w:cs="Arial"/>
          <w:sz w:val="22"/>
          <w:szCs w:val="22"/>
          <w:lang w:val="en-GB"/>
        </w:rPr>
        <w:t xml:space="preserve"> R. B., </w:t>
      </w:r>
      <w:proofErr w:type="spellStart"/>
      <w:r>
        <w:rPr>
          <w:rFonts w:asciiTheme="minorHAnsi" w:hAnsiTheme="minorHAnsi" w:cs="Arial"/>
          <w:sz w:val="22"/>
          <w:szCs w:val="22"/>
          <w:lang w:val="en-GB"/>
        </w:rPr>
        <w:t>Leinfelder</w:t>
      </w:r>
      <w:proofErr w:type="spellEnd"/>
      <w:r>
        <w:rPr>
          <w:rFonts w:asciiTheme="minorHAnsi" w:hAnsiTheme="minorHAnsi" w:cs="Arial"/>
          <w:sz w:val="22"/>
          <w:szCs w:val="22"/>
          <w:lang w:val="en-GB"/>
        </w:rPr>
        <w:t xml:space="preserve"> P. J. &amp; Richards R. D. </w:t>
      </w:r>
      <w:r>
        <w:rPr>
          <w:rFonts w:asciiTheme="minorHAnsi" w:hAnsiTheme="minorHAnsi"/>
          <w:sz w:val="22"/>
          <w:szCs w:val="22"/>
          <w:lang w:val="en-GB"/>
        </w:rPr>
        <w:t xml:space="preserve">The relative biological effectiveness of fast-neutron and x-radiation; survival and </w:t>
      </w:r>
      <w:r>
        <w:rPr>
          <w:rStyle w:val="highlight"/>
          <w:rFonts w:asciiTheme="minorHAnsi" w:hAnsiTheme="minorHAnsi"/>
          <w:sz w:val="22"/>
          <w:szCs w:val="22"/>
          <w:lang w:val="en-GB"/>
        </w:rPr>
        <w:t>cataract</w:t>
      </w:r>
      <w:r>
        <w:rPr>
          <w:rFonts w:asciiTheme="minorHAnsi" w:hAnsiTheme="minorHAnsi"/>
          <w:sz w:val="22"/>
          <w:szCs w:val="22"/>
          <w:lang w:val="en-GB"/>
        </w:rPr>
        <w:t xml:space="preserve"> studies of Swiss mice. </w:t>
      </w:r>
      <w:r>
        <w:rPr>
          <w:rFonts w:asciiTheme="minorHAnsi" w:hAnsiTheme="minorHAnsi"/>
          <w:i/>
          <w:sz w:val="22"/>
          <w:szCs w:val="22"/>
          <w:lang w:val="en-GB"/>
        </w:rPr>
        <w:t>Radiology</w:t>
      </w:r>
      <w:r>
        <w:rPr>
          <w:rFonts w:asciiTheme="minorHAnsi" w:hAnsiTheme="minorHAnsi"/>
          <w:sz w:val="22"/>
          <w:szCs w:val="22"/>
          <w:lang w:val="en-GB"/>
        </w:rPr>
        <w:t xml:space="preserve"> </w:t>
      </w:r>
      <w:r>
        <w:rPr>
          <w:rFonts w:asciiTheme="minorHAnsi" w:hAnsiTheme="minorHAnsi"/>
          <w:b/>
          <w:sz w:val="22"/>
          <w:szCs w:val="22"/>
          <w:lang w:val="en-GB"/>
        </w:rPr>
        <w:t>67,</w:t>
      </w:r>
      <w:r>
        <w:rPr>
          <w:rFonts w:asciiTheme="minorHAnsi" w:hAnsiTheme="minorHAnsi"/>
          <w:sz w:val="22"/>
          <w:szCs w:val="22"/>
          <w:lang w:val="en-GB"/>
        </w:rPr>
        <w:t xml:space="preserve"> 673-685, </w:t>
      </w:r>
      <w:hyperlink r:id="rId26" w:history="1">
        <w:r>
          <w:rPr>
            <w:rStyle w:val="Hyperlink"/>
            <w:rFonts w:asciiTheme="minorHAnsi" w:hAnsiTheme="minorHAnsi"/>
            <w:sz w:val="22"/>
            <w:szCs w:val="22"/>
            <w:lang w:val="en-GB"/>
          </w:rPr>
          <w:t>https://doi.org/10.1148/67.5.673</w:t>
        </w:r>
      </w:hyperlink>
      <w:r>
        <w:rPr>
          <w:rFonts w:asciiTheme="minorHAnsi" w:hAnsiTheme="minorHAnsi"/>
          <w:sz w:val="22"/>
          <w:szCs w:val="22"/>
          <w:lang w:val="en-GB"/>
        </w:rPr>
        <w:t xml:space="preserve"> (1956).</w:t>
      </w:r>
    </w:p>
    <w:p>
      <w:pPr>
        <w:pStyle w:val="Listenabsatz"/>
        <w:numPr>
          <w:ilvl w:val="0"/>
          <w:numId w:val="11"/>
        </w:numPr>
        <w:spacing w:line="360" w:lineRule="auto"/>
        <w:ind w:left="567" w:hanging="425"/>
        <w:jc w:val="both"/>
        <w:rPr>
          <w:rFonts w:asciiTheme="minorHAnsi" w:hAnsiTheme="minorHAnsi"/>
          <w:sz w:val="22"/>
          <w:szCs w:val="22"/>
          <w:lang w:val="en-GB"/>
        </w:rPr>
      </w:pPr>
      <w:hyperlink r:id="rId27">
        <w:r>
          <w:rPr>
            <w:rStyle w:val="highlight"/>
            <w:rFonts w:asciiTheme="minorHAnsi" w:hAnsiTheme="minorHAnsi"/>
            <w:sz w:val="22"/>
            <w:szCs w:val="22"/>
          </w:rPr>
          <w:t>Darden</w:t>
        </w:r>
        <w:r>
          <w:rPr>
            <w:rStyle w:val="InternetLink"/>
            <w:rFonts w:asciiTheme="minorHAnsi" w:hAnsiTheme="minorHAnsi"/>
            <w:color w:val="auto"/>
            <w:sz w:val="22"/>
            <w:szCs w:val="22"/>
            <w:u w:val="none"/>
          </w:rPr>
          <w:t xml:space="preserve"> E. B. Jr</w:t>
        </w:r>
      </w:hyperlink>
      <w:r>
        <w:rPr>
          <w:rStyle w:val="InternetLink"/>
          <w:rFonts w:asciiTheme="minorHAnsi" w:hAnsiTheme="minorHAnsi"/>
          <w:color w:val="auto"/>
          <w:sz w:val="22"/>
          <w:szCs w:val="22"/>
          <w:u w:val="none"/>
        </w:rPr>
        <w:t>.</w:t>
      </w:r>
      <w:r>
        <w:rPr>
          <w:rFonts w:asciiTheme="minorHAnsi" w:hAnsiTheme="minorHAnsi"/>
          <w:sz w:val="22"/>
          <w:szCs w:val="22"/>
        </w:rPr>
        <w:t xml:space="preserve"> </w:t>
      </w:r>
      <w:r>
        <w:rPr>
          <w:rStyle w:val="InternetLink"/>
          <w:rFonts w:asciiTheme="minorHAnsi" w:hAnsiTheme="minorHAnsi"/>
          <w:i/>
          <w:color w:val="auto"/>
          <w:sz w:val="22"/>
          <w:szCs w:val="22"/>
          <w:u w:val="none"/>
        </w:rPr>
        <w:t>et al.</w:t>
      </w:r>
      <w:r>
        <w:rPr>
          <w:rFonts w:asciiTheme="minorHAnsi" w:hAnsiTheme="minorHAnsi"/>
          <w:sz w:val="22"/>
          <w:szCs w:val="22"/>
        </w:rPr>
        <w:t xml:space="preserve"> </w:t>
      </w:r>
      <w:r>
        <w:rPr>
          <w:rFonts w:asciiTheme="minorHAnsi" w:hAnsiTheme="minorHAnsi"/>
          <w:sz w:val="22"/>
          <w:szCs w:val="22"/>
          <w:lang w:val="en-GB"/>
        </w:rPr>
        <w:t xml:space="preserve">Comparison of 60-MeV protons and 300-kVp x-rays for induction of lens opacities in RF mice. </w:t>
      </w:r>
      <w:hyperlink r:id="rId28" w:tgtFrame="Radiation research.">
        <w:r>
          <w:rPr>
            <w:rStyle w:val="InternetLink"/>
            <w:rFonts w:asciiTheme="minorHAnsi" w:hAnsiTheme="minorHAnsi"/>
            <w:i/>
            <w:color w:val="auto"/>
            <w:sz w:val="22"/>
            <w:szCs w:val="22"/>
            <w:u w:val="none"/>
            <w:lang w:val="en-GB"/>
          </w:rPr>
          <w:t>Radiat. Res</w:t>
        </w:r>
      </w:hyperlink>
      <w:r>
        <w:rPr>
          <w:rStyle w:val="InternetLink"/>
          <w:rFonts w:asciiTheme="minorHAnsi" w:hAnsiTheme="minorHAnsi"/>
          <w:i/>
          <w:color w:val="auto"/>
          <w:sz w:val="22"/>
          <w:szCs w:val="22"/>
          <w:u w:val="none"/>
          <w:lang w:val="en-GB"/>
        </w:rPr>
        <w:t>.</w:t>
      </w:r>
      <w:r>
        <w:rPr>
          <w:rFonts w:asciiTheme="minorHAnsi" w:hAnsiTheme="minorHAnsi"/>
          <w:sz w:val="22"/>
          <w:szCs w:val="22"/>
          <w:lang w:val="en-GB"/>
        </w:rPr>
        <w:t xml:space="preserve"> </w:t>
      </w:r>
      <w:proofErr w:type="gramStart"/>
      <w:r>
        <w:rPr>
          <w:rFonts w:asciiTheme="minorHAnsi" w:hAnsiTheme="minorHAnsi"/>
          <w:b/>
          <w:sz w:val="22"/>
          <w:szCs w:val="22"/>
          <w:lang w:val="en-GB"/>
        </w:rPr>
        <w:t>43</w:t>
      </w:r>
      <w:proofErr w:type="gramEnd"/>
      <w:r>
        <w:rPr>
          <w:rFonts w:asciiTheme="minorHAnsi" w:hAnsiTheme="minorHAnsi"/>
          <w:b/>
          <w:sz w:val="22"/>
          <w:szCs w:val="22"/>
          <w:lang w:val="en-GB"/>
        </w:rPr>
        <w:t>,</w:t>
      </w:r>
      <w:r>
        <w:rPr>
          <w:rFonts w:asciiTheme="minorHAnsi" w:hAnsiTheme="minorHAnsi"/>
          <w:sz w:val="22"/>
          <w:szCs w:val="22"/>
          <w:lang w:val="en-GB"/>
        </w:rPr>
        <w:t xml:space="preserve"> 598-612, </w:t>
      </w:r>
      <w:hyperlink r:id="rId29" w:history="1">
        <w:r>
          <w:rPr>
            <w:rStyle w:val="Hyperlink"/>
            <w:rFonts w:asciiTheme="minorHAnsi" w:hAnsiTheme="minorHAnsi"/>
            <w:sz w:val="22"/>
            <w:szCs w:val="22"/>
            <w:lang w:val="en-GB"/>
          </w:rPr>
          <w:t>https://doi.org/10.2307/3573232</w:t>
        </w:r>
      </w:hyperlink>
      <w:r>
        <w:rPr>
          <w:rFonts w:asciiTheme="minorHAnsi" w:hAnsiTheme="minorHAnsi"/>
          <w:sz w:val="22"/>
          <w:szCs w:val="22"/>
          <w:lang w:val="en-GB"/>
        </w:rPr>
        <w:t xml:space="preserve"> (1970).</w:t>
      </w:r>
    </w:p>
    <w:p>
      <w:pPr>
        <w:pStyle w:val="Listenabsatz"/>
        <w:numPr>
          <w:ilvl w:val="0"/>
          <w:numId w:val="11"/>
        </w:numPr>
        <w:spacing w:line="360" w:lineRule="auto"/>
        <w:ind w:left="567" w:hanging="425"/>
        <w:jc w:val="both"/>
        <w:rPr>
          <w:rFonts w:asciiTheme="minorHAnsi" w:hAnsiTheme="minorHAnsi"/>
          <w:sz w:val="22"/>
          <w:szCs w:val="22"/>
          <w:lang w:val="en-GB"/>
        </w:rPr>
      </w:pPr>
      <w:proofErr w:type="spellStart"/>
      <w:r>
        <w:rPr>
          <w:rFonts w:asciiTheme="minorHAnsi" w:hAnsiTheme="minorHAnsi"/>
          <w:sz w:val="22"/>
          <w:szCs w:val="22"/>
          <w:lang w:val="en-GB"/>
        </w:rPr>
        <w:t>Christenberry</w:t>
      </w:r>
      <w:proofErr w:type="spellEnd"/>
      <w:r>
        <w:rPr>
          <w:rFonts w:asciiTheme="minorHAnsi" w:hAnsiTheme="minorHAnsi"/>
          <w:sz w:val="22"/>
          <w:szCs w:val="22"/>
          <w:lang w:val="en-GB"/>
        </w:rPr>
        <w:t xml:space="preserve"> K.W., Upton A.C. &amp; Conklin J.W. Recording lens opacities. </w:t>
      </w:r>
      <w:r>
        <w:rPr>
          <w:rFonts w:asciiTheme="minorHAnsi" w:hAnsiTheme="minorHAnsi"/>
          <w:i/>
          <w:sz w:val="22"/>
          <w:szCs w:val="22"/>
          <w:lang w:val="en-GB"/>
        </w:rPr>
        <w:t xml:space="preserve">Arch. </w:t>
      </w:r>
      <w:proofErr w:type="spellStart"/>
      <w:r>
        <w:rPr>
          <w:rFonts w:asciiTheme="minorHAnsi" w:hAnsiTheme="minorHAnsi"/>
          <w:i/>
          <w:sz w:val="22"/>
          <w:szCs w:val="22"/>
          <w:lang w:val="en-GB"/>
        </w:rPr>
        <w:t>Ophthalmol</w:t>
      </w:r>
      <w:proofErr w:type="spellEnd"/>
      <w:r>
        <w:rPr>
          <w:rFonts w:asciiTheme="minorHAnsi" w:hAnsiTheme="minorHAnsi"/>
          <w:i/>
          <w:sz w:val="22"/>
          <w:szCs w:val="22"/>
          <w:lang w:val="en-GB"/>
        </w:rPr>
        <w:t>.</w:t>
      </w:r>
      <w:r>
        <w:rPr>
          <w:rFonts w:asciiTheme="minorHAnsi" w:hAnsiTheme="minorHAnsi"/>
          <w:sz w:val="22"/>
          <w:szCs w:val="22"/>
          <w:lang w:val="en-GB"/>
        </w:rPr>
        <w:t xml:space="preserve"> </w:t>
      </w:r>
      <w:proofErr w:type="gramStart"/>
      <w:r>
        <w:rPr>
          <w:rFonts w:asciiTheme="minorHAnsi" w:hAnsiTheme="minorHAnsi"/>
          <w:b/>
          <w:sz w:val="22"/>
          <w:szCs w:val="22"/>
          <w:lang w:val="en-GB"/>
        </w:rPr>
        <w:t>72</w:t>
      </w:r>
      <w:proofErr w:type="gramEnd"/>
      <w:r>
        <w:rPr>
          <w:rFonts w:asciiTheme="minorHAnsi" w:hAnsiTheme="minorHAnsi"/>
          <w:b/>
          <w:sz w:val="22"/>
          <w:szCs w:val="22"/>
          <w:lang w:val="en-GB"/>
        </w:rPr>
        <w:t>,</w:t>
      </w:r>
      <w:r>
        <w:rPr>
          <w:rFonts w:asciiTheme="minorHAnsi" w:hAnsiTheme="minorHAnsi"/>
          <w:sz w:val="22"/>
          <w:szCs w:val="22"/>
          <w:lang w:val="en-GB"/>
        </w:rPr>
        <w:t xml:space="preserve"> 667-669, </w:t>
      </w:r>
      <w:r>
        <w:rPr>
          <w:rStyle w:val="meta-citation"/>
          <w:rFonts w:asciiTheme="minorHAnsi" w:hAnsiTheme="minorHAnsi"/>
          <w:sz w:val="22"/>
          <w:szCs w:val="22"/>
          <w:lang w:val="en-GB"/>
        </w:rPr>
        <w:t xml:space="preserve">doi:10.1001/archopht.1964.00970020667016 </w:t>
      </w:r>
      <w:r>
        <w:rPr>
          <w:rFonts w:asciiTheme="minorHAnsi" w:hAnsiTheme="minorHAnsi"/>
          <w:sz w:val="22"/>
          <w:szCs w:val="22"/>
          <w:lang w:val="en-GB"/>
        </w:rPr>
        <w:t>(1964).</w:t>
      </w:r>
    </w:p>
    <w:p>
      <w:pPr>
        <w:pStyle w:val="Listenabsatz"/>
        <w:numPr>
          <w:ilvl w:val="0"/>
          <w:numId w:val="11"/>
        </w:numPr>
        <w:spacing w:line="360" w:lineRule="auto"/>
        <w:ind w:left="567" w:hanging="425"/>
        <w:jc w:val="both"/>
        <w:rPr>
          <w:rFonts w:asciiTheme="minorHAnsi" w:hAnsiTheme="minorHAnsi" w:cs="Arial"/>
          <w:sz w:val="22"/>
          <w:szCs w:val="22"/>
          <w:lang w:val="en-GB"/>
        </w:rPr>
      </w:pPr>
      <w:hyperlink r:id="rId30">
        <w:r>
          <w:rPr>
            <w:rStyle w:val="InternetLink"/>
            <w:rFonts w:asciiTheme="minorHAnsi" w:hAnsiTheme="minorHAnsi" w:cs="Arial"/>
            <w:color w:val="auto"/>
            <w:sz w:val="22"/>
            <w:szCs w:val="22"/>
            <w:u w:val="none"/>
            <w:lang w:val="en-GB"/>
          </w:rPr>
          <w:t>Hall E. J</w:t>
        </w:r>
      </w:hyperlink>
      <w:r>
        <w:rPr>
          <w:rStyle w:val="InternetLink"/>
          <w:rFonts w:asciiTheme="minorHAnsi" w:hAnsiTheme="minorHAnsi" w:cs="Arial"/>
          <w:color w:val="auto"/>
          <w:sz w:val="22"/>
          <w:szCs w:val="22"/>
          <w:u w:val="none"/>
          <w:lang w:val="en-GB"/>
        </w:rPr>
        <w:t>.</w:t>
      </w:r>
      <w:r>
        <w:rPr>
          <w:rFonts w:asciiTheme="minorHAnsi" w:hAnsiTheme="minorHAnsi" w:cs="Arial"/>
          <w:sz w:val="22"/>
          <w:szCs w:val="22"/>
          <w:lang w:val="en-GB"/>
        </w:rPr>
        <w:t xml:space="preserve">, </w:t>
      </w:r>
      <w:hyperlink r:id="rId31">
        <w:r>
          <w:rPr>
            <w:rStyle w:val="InternetLink"/>
            <w:rFonts w:asciiTheme="minorHAnsi" w:hAnsiTheme="minorHAnsi" w:cs="Arial"/>
            <w:color w:val="auto"/>
            <w:sz w:val="22"/>
            <w:szCs w:val="22"/>
            <w:u w:val="none"/>
            <w:lang w:val="en-GB"/>
          </w:rPr>
          <w:t>Worgul B. V</w:t>
        </w:r>
      </w:hyperlink>
      <w:r>
        <w:rPr>
          <w:rStyle w:val="InternetLink"/>
          <w:rFonts w:asciiTheme="minorHAnsi" w:hAnsiTheme="minorHAnsi" w:cs="Arial"/>
          <w:color w:val="auto"/>
          <w:sz w:val="22"/>
          <w:szCs w:val="22"/>
          <w:u w:val="none"/>
          <w:lang w:val="en-GB"/>
        </w:rPr>
        <w:t>.</w:t>
      </w:r>
      <w:r>
        <w:rPr>
          <w:rFonts w:asciiTheme="minorHAnsi" w:hAnsiTheme="minorHAnsi" w:cs="Arial"/>
          <w:sz w:val="22"/>
          <w:szCs w:val="22"/>
          <w:lang w:val="en-GB"/>
        </w:rPr>
        <w:t xml:space="preserve">, </w:t>
      </w:r>
      <w:hyperlink r:id="rId32">
        <w:r>
          <w:rPr>
            <w:rStyle w:val="InternetLink"/>
            <w:rFonts w:asciiTheme="minorHAnsi" w:hAnsiTheme="minorHAnsi" w:cs="Arial"/>
            <w:color w:val="auto"/>
            <w:sz w:val="22"/>
            <w:szCs w:val="22"/>
            <w:u w:val="none"/>
            <w:lang w:val="en-GB"/>
          </w:rPr>
          <w:t>Smilenov L</w:t>
        </w:r>
      </w:hyperlink>
      <w:r>
        <w:rPr>
          <w:rStyle w:val="InternetLink"/>
          <w:rFonts w:asciiTheme="minorHAnsi" w:hAnsiTheme="minorHAnsi" w:cs="Arial"/>
          <w:color w:val="auto"/>
          <w:sz w:val="22"/>
          <w:szCs w:val="22"/>
          <w:u w:val="none"/>
          <w:lang w:val="en-GB"/>
        </w:rPr>
        <w:t>.</w:t>
      </w:r>
      <w:r>
        <w:rPr>
          <w:rFonts w:asciiTheme="minorHAnsi" w:hAnsiTheme="minorHAnsi" w:cs="Arial"/>
          <w:sz w:val="22"/>
          <w:szCs w:val="22"/>
          <w:lang w:val="en-GB"/>
        </w:rPr>
        <w:t xml:space="preserve">, </w:t>
      </w:r>
      <w:hyperlink r:id="rId33">
        <w:r>
          <w:rPr>
            <w:rStyle w:val="InternetLink"/>
            <w:rFonts w:asciiTheme="minorHAnsi" w:hAnsiTheme="minorHAnsi" w:cs="Arial"/>
            <w:color w:val="auto"/>
            <w:sz w:val="22"/>
            <w:szCs w:val="22"/>
            <w:u w:val="none"/>
            <w:lang w:val="en-GB"/>
          </w:rPr>
          <w:t>Elliston C. D</w:t>
        </w:r>
      </w:hyperlink>
      <w:r>
        <w:rPr>
          <w:rStyle w:val="InternetLink"/>
          <w:rFonts w:asciiTheme="minorHAnsi" w:hAnsiTheme="minorHAnsi" w:cs="Arial"/>
          <w:color w:val="auto"/>
          <w:sz w:val="22"/>
          <w:szCs w:val="22"/>
          <w:u w:val="none"/>
          <w:lang w:val="en-GB"/>
        </w:rPr>
        <w:t>.</w:t>
      </w:r>
      <w:r>
        <w:rPr>
          <w:rFonts w:asciiTheme="minorHAnsi" w:hAnsiTheme="minorHAnsi" w:cs="Arial"/>
          <w:sz w:val="22"/>
          <w:szCs w:val="22"/>
          <w:lang w:val="en-GB"/>
        </w:rPr>
        <w:t xml:space="preserve"> &amp; </w:t>
      </w:r>
      <w:hyperlink r:id="rId34">
        <w:r>
          <w:rPr>
            <w:rStyle w:val="InternetLink"/>
            <w:rFonts w:asciiTheme="minorHAnsi" w:hAnsiTheme="minorHAnsi" w:cs="Arial"/>
            <w:color w:val="auto"/>
            <w:sz w:val="22"/>
            <w:szCs w:val="22"/>
            <w:u w:val="none"/>
            <w:lang w:val="en-GB"/>
          </w:rPr>
          <w:t>Brenner D. J</w:t>
        </w:r>
      </w:hyperlink>
      <w:r>
        <w:rPr>
          <w:rStyle w:val="InternetLink"/>
          <w:rFonts w:asciiTheme="minorHAnsi" w:hAnsiTheme="minorHAnsi" w:cs="Arial"/>
          <w:color w:val="auto"/>
          <w:sz w:val="22"/>
          <w:szCs w:val="22"/>
          <w:u w:val="none"/>
          <w:lang w:val="en-GB"/>
        </w:rPr>
        <w:t>.</w:t>
      </w:r>
      <w:r>
        <w:rPr>
          <w:rFonts w:asciiTheme="minorHAnsi" w:hAnsiTheme="minorHAnsi" w:cs="Arial"/>
          <w:sz w:val="22"/>
          <w:szCs w:val="22"/>
          <w:lang w:val="en-GB"/>
        </w:rPr>
        <w:t xml:space="preserve"> The relative biological effectiveness of densely ionizing heavy-ion radiation for inducing ocular cataracts in wild type versus mice heterozygous for the </w:t>
      </w:r>
      <w:r>
        <w:rPr>
          <w:rFonts w:asciiTheme="minorHAnsi" w:hAnsiTheme="minorHAnsi" w:cs="Arial"/>
          <w:i/>
          <w:sz w:val="22"/>
          <w:szCs w:val="22"/>
          <w:lang w:val="en-GB"/>
        </w:rPr>
        <w:t>ATM</w:t>
      </w:r>
      <w:r>
        <w:rPr>
          <w:rFonts w:asciiTheme="minorHAnsi" w:hAnsiTheme="minorHAnsi" w:cs="Arial"/>
          <w:sz w:val="22"/>
          <w:szCs w:val="22"/>
          <w:lang w:val="en-GB"/>
        </w:rPr>
        <w:t xml:space="preserve"> gene. </w:t>
      </w:r>
      <w:hyperlink r:id="rId35" w:tgtFrame="Radiation and environmental biophysics.">
        <w:r>
          <w:rPr>
            <w:rStyle w:val="InternetLink"/>
            <w:rFonts w:asciiTheme="minorHAnsi" w:hAnsiTheme="minorHAnsi" w:cs="Arial"/>
            <w:i/>
            <w:color w:val="auto"/>
            <w:sz w:val="22"/>
            <w:szCs w:val="22"/>
            <w:u w:val="none"/>
            <w:lang w:val="en-GB"/>
          </w:rPr>
          <w:t>Radiat. Environ. Biophys</w:t>
        </w:r>
      </w:hyperlink>
      <w:r>
        <w:rPr>
          <w:rStyle w:val="InternetLink"/>
          <w:rFonts w:asciiTheme="minorHAnsi" w:hAnsiTheme="minorHAnsi" w:cs="Arial"/>
          <w:color w:val="auto"/>
          <w:sz w:val="22"/>
          <w:szCs w:val="22"/>
          <w:u w:val="none"/>
          <w:lang w:val="en-GB"/>
        </w:rPr>
        <w:t>.</w:t>
      </w:r>
      <w:r>
        <w:rPr>
          <w:rFonts w:asciiTheme="minorHAnsi" w:hAnsiTheme="minorHAnsi" w:cs="Arial"/>
          <w:sz w:val="22"/>
          <w:szCs w:val="22"/>
          <w:lang w:val="en-GB"/>
        </w:rPr>
        <w:t xml:space="preserve"> </w:t>
      </w:r>
      <w:proofErr w:type="gramStart"/>
      <w:r>
        <w:rPr>
          <w:rFonts w:asciiTheme="minorHAnsi" w:hAnsiTheme="minorHAnsi" w:cs="Arial"/>
          <w:b/>
          <w:sz w:val="22"/>
          <w:szCs w:val="22"/>
          <w:lang w:val="en-GB"/>
        </w:rPr>
        <w:t>45</w:t>
      </w:r>
      <w:proofErr w:type="gramEnd"/>
      <w:r>
        <w:rPr>
          <w:rFonts w:asciiTheme="minorHAnsi" w:hAnsiTheme="minorHAnsi" w:cs="Arial"/>
          <w:b/>
          <w:sz w:val="22"/>
          <w:szCs w:val="22"/>
          <w:lang w:val="en-GB"/>
        </w:rPr>
        <w:t>,</w:t>
      </w:r>
      <w:r>
        <w:rPr>
          <w:rFonts w:asciiTheme="minorHAnsi" w:hAnsiTheme="minorHAnsi" w:cs="Arial"/>
          <w:sz w:val="22"/>
          <w:szCs w:val="22"/>
          <w:lang w:val="en-GB"/>
        </w:rPr>
        <w:t xml:space="preserve"> 99-104, </w:t>
      </w:r>
      <w:hyperlink r:id="rId36" w:history="1">
        <w:r>
          <w:rPr>
            <w:rStyle w:val="Hyperlink"/>
            <w:rFonts w:asciiTheme="minorHAnsi" w:hAnsiTheme="minorHAnsi"/>
            <w:sz w:val="22"/>
            <w:szCs w:val="22"/>
            <w:lang w:val="en-GB"/>
          </w:rPr>
          <w:t>https://doi.org/10.1007/s00411-006-0052-5</w:t>
        </w:r>
      </w:hyperlink>
      <w:r>
        <w:rPr>
          <w:rStyle w:val="bibliographic-informationvalue"/>
          <w:rFonts w:asciiTheme="minorHAnsi" w:hAnsiTheme="minorHAnsi"/>
          <w:sz w:val="22"/>
          <w:szCs w:val="22"/>
          <w:lang w:val="en-GB"/>
        </w:rPr>
        <w:t xml:space="preserve"> </w:t>
      </w:r>
      <w:r>
        <w:rPr>
          <w:rFonts w:asciiTheme="minorHAnsi" w:hAnsiTheme="minorHAnsi" w:cs="Arial"/>
          <w:sz w:val="22"/>
          <w:szCs w:val="22"/>
          <w:lang w:val="en-GB"/>
        </w:rPr>
        <w:t>(2006).</w:t>
      </w:r>
    </w:p>
    <w:p>
      <w:pPr>
        <w:pStyle w:val="Listenabsatz"/>
        <w:numPr>
          <w:ilvl w:val="0"/>
          <w:numId w:val="11"/>
        </w:numPr>
        <w:spacing w:line="360" w:lineRule="auto"/>
        <w:ind w:left="567" w:hanging="425"/>
        <w:jc w:val="both"/>
        <w:rPr>
          <w:rFonts w:asciiTheme="minorHAnsi" w:hAnsiTheme="minorHAnsi"/>
          <w:sz w:val="22"/>
          <w:szCs w:val="22"/>
          <w:lang w:val="en-GB"/>
        </w:rPr>
      </w:pPr>
      <w:hyperlink r:id="rId37">
        <w:r>
          <w:rPr>
            <w:rStyle w:val="InternetLink"/>
            <w:rFonts w:asciiTheme="minorHAnsi" w:hAnsiTheme="minorHAnsi" w:cs="Arial"/>
            <w:color w:val="auto"/>
            <w:sz w:val="22"/>
            <w:szCs w:val="22"/>
            <w:u w:val="none"/>
          </w:rPr>
          <w:t>Kleiman N. J</w:t>
        </w:r>
      </w:hyperlink>
      <w:r>
        <w:rPr>
          <w:rStyle w:val="InternetLink"/>
          <w:rFonts w:asciiTheme="minorHAnsi" w:hAnsiTheme="minorHAnsi" w:cs="Arial"/>
          <w:color w:val="auto"/>
          <w:sz w:val="22"/>
          <w:szCs w:val="22"/>
          <w:u w:val="none"/>
        </w:rPr>
        <w:t>.</w:t>
      </w:r>
      <w:r>
        <w:rPr>
          <w:rFonts w:asciiTheme="minorHAnsi" w:hAnsiTheme="minorHAnsi" w:cs="Arial"/>
          <w:sz w:val="22"/>
          <w:szCs w:val="22"/>
        </w:rPr>
        <w:t xml:space="preserve"> </w:t>
      </w:r>
      <w:r>
        <w:rPr>
          <w:rStyle w:val="InternetLink"/>
          <w:rFonts w:asciiTheme="minorHAnsi" w:hAnsiTheme="minorHAnsi"/>
          <w:i/>
          <w:color w:val="auto"/>
          <w:sz w:val="22"/>
          <w:szCs w:val="22"/>
          <w:u w:val="none"/>
        </w:rPr>
        <w:t>et al.</w:t>
      </w:r>
      <w:r>
        <w:rPr>
          <w:rFonts w:asciiTheme="minorHAnsi" w:hAnsiTheme="minorHAnsi" w:cs="Arial"/>
          <w:sz w:val="22"/>
          <w:szCs w:val="22"/>
        </w:rPr>
        <w:t xml:space="preserve"> </w:t>
      </w:r>
      <w:r>
        <w:rPr>
          <w:rFonts w:asciiTheme="minorHAnsi" w:hAnsiTheme="minorHAnsi" w:cs="Arial"/>
          <w:sz w:val="22"/>
          <w:szCs w:val="22"/>
          <w:lang w:val="en-GB"/>
        </w:rPr>
        <w:t xml:space="preserve">Mrad9 and </w:t>
      </w:r>
      <w:proofErr w:type="spellStart"/>
      <w:r>
        <w:rPr>
          <w:rFonts w:asciiTheme="minorHAnsi" w:hAnsiTheme="minorHAnsi" w:cs="Arial"/>
          <w:sz w:val="22"/>
          <w:szCs w:val="22"/>
          <w:lang w:val="en-GB"/>
        </w:rPr>
        <w:t>Atm</w:t>
      </w:r>
      <w:proofErr w:type="spellEnd"/>
      <w:r>
        <w:rPr>
          <w:rFonts w:asciiTheme="minorHAnsi" w:hAnsiTheme="minorHAnsi" w:cs="Arial"/>
          <w:sz w:val="22"/>
          <w:szCs w:val="22"/>
          <w:lang w:val="en-GB"/>
        </w:rPr>
        <w:t xml:space="preserve"> </w:t>
      </w:r>
      <w:proofErr w:type="spellStart"/>
      <w:r>
        <w:rPr>
          <w:rFonts w:asciiTheme="minorHAnsi" w:hAnsiTheme="minorHAnsi" w:cs="Arial"/>
          <w:sz w:val="22"/>
          <w:szCs w:val="22"/>
          <w:lang w:val="en-GB"/>
        </w:rPr>
        <w:t>haploinsufficiency</w:t>
      </w:r>
      <w:proofErr w:type="spellEnd"/>
      <w:r>
        <w:rPr>
          <w:rFonts w:asciiTheme="minorHAnsi" w:hAnsiTheme="minorHAnsi" w:cs="Arial"/>
          <w:sz w:val="22"/>
          <w:szCs w:val="22"/>
          <w:lang w:val="en-GB"/>
        </w:rPr>
        <w:t xml:space="preserve"> enhance spontaneous and X-ray-induced </w:t>
      </w:r>
      <w:proofErr w:type="spellStart"/>
      <w:r>
        <w:rPr>
          <w:rFonts w:asciiTheme="minorHAnsi" w:hAnsiTheme="minorHAnsi" w:cs="Arial"/>
          <w:sz w:val="22"/>
          <w:szCs w:val="22"/>
          <w:lang w:val="en-GB"/>
        </w:rPr>
        <w:t>cataractogenesis</w:t>
      </w:r>
      <w:proofErr w:type="spellEnd"/>
      <w:r>
        <w:rPr>
          <w:rFonts w:asciiTheme="minorHAnsi" w:hAnsiTheme="minorHAnsi" w:cs="Arial"/>
          <w:sz w:val="22"/>
          <w:szCs w:val="22"/>
          <w:lang w:val="en-GB"/>
        </w:rPr>
        <w:t xml:space="preserve"> in mice. </w:t>
      </w:r>
      <w:proofErr w:type="spellStart"/>
      <w:r>
        <w:rPr>
          <w:rStyle w:val="InternetLink"/>
          <w:rFonts w:asciiTheme="minorHAnsi" w:hAnsiTheme="minorHAnsi" w:cs="Arial"/>
          <w:i/>
          <w:color w:val="auto"/>
          <w:sz w:val="22"/>
          <w:szCs w:val="22"/>
          <w:u w:val="none"/>
          <w:lang w:val="en-GB"/>
        </w:rPr>
        <w:t>Radiat</w:t>
      </w:r>
      <w:proofErr w:type="spellEnd"/>
      <w:r>
        <w:rPr>
          <w:rStyle w:val="InternetLink"/>
          <w:rFonts w:asciiTheme="minorHAnsi" w:hAnsiTheme="minorHAnsi" w:cs="Arial"/>
          <w:i/>
          <w:color w:val="auto"/>
          <w:sz w:val="22"/>
          <w:szCs w:val="22"/>
          <w:u w:val="none"/>
          <w:lang w:val="en-GB"/>
        </w:rPr>
        <w:t>. Res.</w:t>
      </w:r>
      <w:r>
        <w:rPr>
          <w:rStyle w:val="InternetLink"/>
          <w:rFonts w:asciiTheme="minorHAnsi" w:hAnsiTheme="minorHAnsi" w:cs="Arial"/>
          <w:color w:val="auto"/>
          <w:sz w:val="22"/>
          <w:szCs w:val="22"/>
          <w:u w:val="none"/>
          <w:lang w:val="en-GB"/>
        </w:rPr>
        <w:t xml:space="preserve"> </w:t>
      </w:r>
      <w:r>
        <w:rPr>
          <w:rStyle w:val="ListLabel110"/>
          <w:rFonts w:asciiTheme="minorHAnsi" w:hAnsiTheme="minorHAnsi"/>
          <w:b/>
          <w:sz w:val="22"/>
          <w:szCs w:val="22"/>
          <w:lang w:val="en-GB"/>
        </w:rPr>
        <w:t>168,</w:t>
      </w:r>
      <w:r>
        <w:rPr>
          <w:rStyle w:val="ListLabel110"/>
          <w:rFonts w:asciiTheme="minorHAnsi" w:hAnsiTheme="minorHAnsi"/>
          <w:sz w:val="22"/>
          <w:szCs w:val="22"/>
          <w:lang w:val="en-GB"/>
        </w:rPr>
        <w:t xml:space="preserve"> 567-573, </w:t>
      </w:r>
      <w:hyperlink r:id="rId38" w:history="1">
        <w:r>
          <w:rPr>
            <w:rStyle w:val="Hyperlink"/>
            <w:rFonts w:asciiTheme="minorHAnsi" w:hAnsiTheme="minorHAnsi"/>
            <w:sz w:val="22"/>
            <w:szCs w:val="22"/>
            <w:lang w:val="en-GB"/>
          </w:rPr>
          <w:t>https://doi.org/10.1667/rr1122.1</w:t>
        </w:r>
      </w:hyperlink>
      <w:r>
        <w:rPr>
          <w:rFonts w:asciiTheme="minorHAnsi" w:hAnsiTheme="minorHAnsi"/>
          <w:sz w:val="22"/>
          <w:szCs w:val="22"/>
          <w:lang w:val="en-GB"/>
        </w:rPr>
        <w:t xml:space="preserve"> </w:t>
      </w:r>
      <w:r>
        <w:rPr>
          <w:rFonts w:asciiTheme="minorHAnsi" w:hAnsiTheme="minorHAnsi" w:cs="Arial"/>
          <w:sz w:val="22"/>
          <w:szCs w:val="22"/>
          <w:lang w:val="en-GB"/>
        </w:rPr>
        <w:t>(2007)</w:t>
      </w:r>
      <w:r>
        <w:rPr>
          <w:rStyle w:val="InternetLink"/>
          <w:rFonts w:asciiTheme="minorHAnsi" w:hAnsiTheme="minorHAnsi" w:cs="Arial"/>
          <w:color w:val="auto"/>
          <w:sz w:val="22"/>
          <w:szCs w:val="22"/>
          <w:u w:val="none"/>
          <w:lang w:val="en-GB"/>
        </w:rPr>
        <w:t>.</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sz w:val="22"/>
          <w:szCs w:val="22"/>
          <w:lang w:val="en-GB"/>
        </w:rPr>
        <w:t xml:space="preserve">Merriam G. R. </w:t>
      </w:r>
      <w:proofErr w:type="spellStart"/>
      <w:r>
        <w:rPr>
          <w:rFonts w:asciiTheme="minorHAnsi" w:hAnsiTheme="minorHAnsi"/>
          <w:sz w:val="22"/>
          <w:szCs w:val="22"/>
          <w:lang w:val="en-GB"/>
        </w:rPr>
        <w:t>jr.</w:t>
      </w:r>
      <w:proofErr w:type="spellEnd"/>
      <w:r>
        <w:rPr>
          <w:rFonts w:asciiTheme="minorHAnsi" w:hAnsiTheme="minorHAnsi"/>
          <w:sz w:val="22"/>
          <w:szCs w:val="22"/>
          <w:lang w:val="en-GB"/>
        </w:rPr>
        <w:t xml:space="preserve"> &amp; </w:t>
      </w:r>
      <w:proofErr w:type="spellStart"/>
      <w:r>
        <w:rPr>
          <w:rFonts w:asciiTheme="minorHAnsi" w:hAnsiTheme="minorHAnsi"/>
          <w:sz w:val="22"/>
          <w:szCs w:val="22"/>
          <w:lang w:val="en-GB"/>
        </w:rPr>
        <w:t>Focht</w:t>
      </w:r>
      <w:proofErr w:type="spellEnd"/>
      <w:r>
        <w:rPr>
          <w:rFonts w:asciiTheme="minorHAnsi" w:hAnsiTheme="minorHAnsi"/>
          <w:sz w:val="22"/>
          <w:szCs w:val="22"/>
          <w:lang w:val="en-GB"/>
        </w:rPr>
        <w:t xml:space="preserve"> E. F. A clinical and experimental study of the effect of single and divided doses of radiation on cataract production. </w:t>
      </w:r>
      <w:hyperlink r:id="rId39" w:tgtFrame="Transactions of the American Ophthalmological Society.">
        <w:r>
          <w:rPr>
            <w:rStyle w:val="InternetLink"/>
            <w:rFonts w:asciiTheme="minorHAnsi" w:hAnsiTheme="minorHAnsi"/>
            <w:i/>
            <w:color w:val="auto"/>
            <w:sz w:val="22"/>
            <w:szCs w:val="22"/>
            <w:u w:val="none"/>
            <w:lang w:val="en-GB"/>
          </w:rPr>
          <w:t xml:space="preserve">Trans. Am. </w:t>
        </w:r>
        <w:proofErr w:type="spellStart"/>
        <w:r>
          <w:rPr>
            <w:rStyle w:val="InternetLink"/>
            <w:rFonts w:asciiTheme="minorHAnsi" w:hAnsiTheme="minorHAnsi"/>
            <w:i/>
            <w:color w:val="auto"/>
            <w:sz w:val="22"/>
            <w:szCs w:val="22"/>
            <w:u w:val="none"/>
            <w:lang w:val="en-GB"/>
          </w:rPr>
          <w:t>Ophthalmol</w:t>
        </w:r>
        <w:proofErr w:type="spellEnd"/>
        <w:r>
          <w:rPr>
            <w:rStyle w:val="InternetLink"/>
            <w:rFonts w:asciiTheme="minorHAnsi" w:hAnsiTheme="minorHAnsi"/>
            <w:i/>
            <w:color w:val="auto"/>
            <w:sz w:val="22"/>
            <w:szCs w:val="22"/>
            <w:u w:val="none"/>
            <w:lang w:val="en-GB"/>
          </w:rPr>
          <w:t>. Soc</w:t>
        </w:r>
      </w:hyperlink>
      <w:r>
        <w:rPr>
          <w:rStyle w:val="InternetLink"/>
          <w:rFonts w:asciiTheme="minorHAnsi" w:hAnsiTheme="minorHAnsi"/>
          <w:i/>
          <w:color w:val="auto"/>
          <w:sz w:val="22"/>
          <w:szCs w:val="22"/>
          <w:u w:val="none"/>
          <w:lang w:val="en-GB"/>
        </w:rPr>
        <w:t>.</w:t>
      </w:r>
      <w:r>
        <w:rPr>
          <w:rFonts w:asciiTheme="minorHAnsi" w:hAnsiTheme="minorHAnsi"/>
          <w:sz w:val="22"/>
          <w:szCs w:val="22"/>
          <w:lang w:val="en-GB"/>
        </w:rPr>
        <w:t xml:space="preserve"> </w:t>
      </w:r>
      <w:proofErr w:type="gramStart"/>
      <w:r>
        <w:rPr>
          <w:rFonts w:asciiTheme="minorHAnsi" w:hAnsiTheme="minorHAnsi"/>
          <w:b/>
          <w:sz w:val="22"/>
          <w:szCs w:val="22"/>
          <w:lang w:val="en-GB"/>
        </w:rPr>
        <w:t>60</w:t>
      </w:r>
      <w:proofErr w:type="gramEnd"/>
      <w:r>
        <w:rPr>
          <w:rFonts w:asciiTheme="minorHAnsi" w:hAnsiTheme="minorHAnsi"/>
          <w:b/>
          <w:sz w:val="22"/>
          <w:szCs w:val="22"/>
          <w:lang w:val="en-GB"/>
        </w:rPr>
        <w:t>,</w:t>
      </w:r>
      <w:r>
        <w:rPr>
          <w:rFonts w:asciiTheme="minorHAnsi" w:hAnsiTheme="minorHAnsi"/>
          <w:sz w:val="22"/>
          <w:szCs w:val="22"/>
          <w:lang w:val="en-GB"/>
        </w:rPr>
        <w:t xml:space="preserve"> 35-52 (1962).</w:t>
      </w:r>
    </w:p>
    <w:p>
      <w:pPr>
        <w:pStyle w:val="Listenabsatz"/>
        <w:numPr>
          <w:ilvl w:val="0"/>
          <w:numId w:val="11"/>
        </w:numPr>
        <w:spacing w:line="360" w:lineRule="auto"/>
        <w:ind w:left="567" w:hanging="425"/>
        <w:jc w:val="both"/>
        <w:rPr>
          <w:rFonts w:asciiTheme="minorHAnsi" w:hAnsiTheme="minorHAnsi"/>
          <w:sz w:val="22"/>
          <w:szCs w:val="22"/>
          <w:lang w:val="en-GB"/>
        </w:rPr>
      </w:pPr>
      <w:hyperlink r:id="rId40">
        <w:r>
          <w:rPr>
            <w:rStyle w:val="InternetLink"/>
            <w:rFonts w:asciiTheme="minorHAnsi" w:hAnsiTheme="minorHAnsi"/>
            <w:color w:val="auto"/>
            <w:sz w:val="22"/>
            <w:szCs w:val="22"/>
            <w:u w:val="none"/>
            <w:lang w:val="en-GB"/>
          </w:rPr>
          <w:t>Ainsbury E. A</w:t>
        </w:r>
      </w:hyperlink>
      <w:r>
        <w:rPr>
          <w:rStyle w:val="InternetLink"/>
          <w:rFonts w:asciiTheme="minorHAnsi" w:hAnsiTheme="minorHAnsi"/>
          <w:color w:val="auto"/>
          <w:sz w:val="22"/>
          <w:szCs w:val="22"/>
          <w:u w:val="none"/>
          <w:lang w:val="en-GB"/>
        </w:rPr>
        <w:t xml:space="preserve">. </w:t>
      </w:r>
      <w:proofErr w:type="gramStart"/>
      <w:r>
        <w:rPr>
          <w:rStyle w:val="InternetLink"/>
          <w:rFonts w:asciiTheme="minorHAnsi" w:hAnsiTheme="minorHAnsi"/>
          <w:i/>
          <w:color w:val="auto"/>
          <w:sz w:val="22"/>
          <w:szCs w:val="22"/>
          <w:u w:val="none"/>
          <w:lang w:val="en-GB"/>
        </w:rPr>
        <w:t>et</w:t>
      </w:r>
      <w:proofErr w:type="gramEnd"/>
      <w:r>
        <w:rPr>
          <w:rStyle w:val="InternetLink"/>
          <w:rFonts w:asciiTheme="minorHAnsi" w:hAnsiTheme="minorHAnsi"/>
          <w:i/>
          <w:color w:val="auto"/>
          <w:sz w:val="22"/>
          <w:szCs w:val="22"/>
          <w:u w:val="none"/>
          <w:lang w:val="en-GB"/>
        </w:rPr>
        <w:t xml:space="preserve"> al.</w:t>
      </w:r>
      <w:r>
        <w:rPr>
          <w:rFonts w:asciiTheme="minorHAnsi" w:hAnsiTheme="minorHAnsi"/>
          <w:sz w:val="22"/>
          <w:szCs w:val="22"/>
          <w:lang w:val="en-GB"/>
        </w:rPr>
        <w:t xml:space="preserve"> Ionizing radiation induced cataracts: Recent biological and mechanistic developments and perspectives for future research. </w:t>
      </w:r>
      <w:hyperlink r:id="rId41" w:tgtFrame="Mutation research.">
        <w:r>
          <w:rPr>
            <w:rStyle w:val="InternetLink"/>
            <w:rFonts w:asciiTheme="minorHAnsi" w:hAnsiTheme="minorHAnsi"/>
            <w:i/>
            <w:color w:val="auto"/>
            <w:sz w:val="22"/>
            <w:szCs w:val="22"/>
            <w:u w:val="none"/>
            <w:lang w:val="en-GB"/>
          </w:rPr>
          <w:t>Mutat. Res</w:t>
        </w:r>
      </w:hyperlink>
      <w:r>
        <w:rPr>
          <w:rStyle w:val="InternetLink"/>
          <w:rFonts w:asciiTheme="minorHAnsi" w:hAnsiTheme="minorHAnsi"/>
          <w:i/>
          <w:color w:val="auto"/>
          <w:sz w:val="22"/>
          <w:szCs w:val="22"/>
          <w:u w:val="none"/>
          <w:lang w:val="en-GB"/>
        </w:rPr>
        <w:t>.</w:t>
      </w:r>
      <w:r>
        <w:rPr>
          <w:rFonts w:asciiTheme="minorHAnsi" w:hAnsiTheme="minorHAnsi"/>
          <w:sz w:val="22"/>
          <w:szCs w:val="22"/>
          <w:lang w:val="en-GB"/>
        </w:rPr>
        <w:t xml:space="preserve"> </w:t>
      </w:r>
      <w:proofErr w:type="gramStart"/>
      <w:r>
        <w:rPr>
          <w:rFonts w:asciiTheme="minorHAnsi" w:hAnsiTheme="minorHAnsi"/>
          <w:b/>
          <w:sz w:val="22"/>
          <w:szCs w:val="22"/>
          <w:lang w:val="en-GB"/>
        </w:rPr>
        <w:t>770</w:t>
      </w:r>
      <w:proofErr w:type="gramEnd"/>
      <w:r>
        <w:rPr>
          <w:rFonts w:asciiTheme="minorHAnsi" w:hAnsiTheme="minorHAnsi"/>
          <w:b/>
          <w:sz w:val="22"/>
          <w:szCs w:val="22"/>
          <w:lang w:val="en-GB"/>
        </w:rPr>
        <w:t>,</w:t>
      </w:r>
      <w:r>
        <w:rPr>
          <w:rFonts w:asciiTheme="minorHAnsi" w:hAnsiTheme="minorHAnsi"/>
          <w:sz w:val="22"/>
          <w:szCs w:val="22"/>
          <w:lang w:val="en-GB"/>
        </w:rPr>
        <w:t xml:space="preserve"> 238-261, </w:t>
      </w:r>
      <w:hyperlink r:id="rId42" w:history="1">
        <w:r>
          <w:rPr>
            <w:rStyle w:val="Hyperlink"/>
            <w:rFonts w:asciiTheme="minorHAnsi" w:hAnsiTheme="minorHAnsi"/>
            <w:sz w:val="22"/>
            <w:szCs w:val="22"/>
            <w:lang w:val="en-GB"/>
          </w:rPr>
          <w:t>https://doi.org/10.1016/j.mrrev.2016.07.010</w:t>
        </w:r>
      </w:hyperlink>
      <w:r>
        <w:rPr>
          <w:rFonts w:asciiTheme="minorHAnsi" w:hAnsiTheme="minorHAnsi"/>
          <w:sz w:val="22"/>
          <w:szCs w:val="22"/>
          <w:lang w:val="en-GB"/>
        </w:rPr>
        <w:t xml:space="preserve"> (2016).</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bCs/>
          <w:sz w:val="22"/>
          <w:szCs w:val="22"/>
          <w:lang w:val="en-GB"/>
        </w:rPr>
        <w:lastRenderedPageBreak/>
        <w:t>Dalke C.</w:t>
      </w:r>
      <w:r>
        <w:rPr>
          <w:rStyle w:val="InternetLink"/>
          <w:rFonts w:asciiTheme="minorHAnsi" w:hAnsiTheme="minorHAnsi"/>
          <w:i/>
          <w:color w:val="auto"/>
          <w:sz w:val="22"/>
          <w:szCs w:val="22"/>
          <w:u w:val="none"/>
          <w:lang w:val="en-GB"/>
        </w:rPr>
        <w:t xml:space="preserve"> et al.</w:t>
      </w:r>
      <w:r>
        <w:rPr>
          <w:rFonts w:asciiTheme="minorHAnsi" w:hAnsiTheme="minorHAnsi"/>
          <w:sz w:val="22"/>
          <w:szCs w:val="22"/>
          <w:lang w:val="en-GB"/>
        </w:rPr>
        <w:t xml:space="preserve"> </w:t>
      </w:r>
      <w:hyperlink r:id="rId43">
        <w:r>
          <w:rPr>
            <w:rStyle w:val="InternetLink"/>
            <w:rFonts w:asciiTheme="minorHAnsi" w:hAnsiTheme="minorHAnsi"/>
            <w:color w:val="auto"/>
            <w:sz w:val="22"/>
            <w:szCs w:val="22"/>
            <w:u w:val="none"/>
            <w:lang w:val="en-GB"/>
          </w:rPr>
          <w:t>Lifetime study in mice after acute low-dose ionizing radiation: a multifactorial study with special focus on cataract risk.</w:t>
        </w:r>
      </w:hyperlink>
      <w:r>
        <w:rPr>
          <w:rFonts w:asciiTheme="minorHAnsi" w:hAnsiTheme="minorHAnsi"/>
          <w:sz w:val="22"/>
          <w:szCs w:val="22"/>
          <w:lang w:val="en-GB"/>
        </w:rPr>
        <w:t xml:space="preserve"> </w:t>
      </w:r>
      <w:proofErr w:type="spellStart"/>
      <w:r>
        <w:rPr>
          <w:rFonts w:asciiTheme="minorHAnsi" w:hAnsiTheme="minorHAnsi"/>
          <w:i/>
          <w:sz w:val="22"/>
          <w:szCs w:val="22"/>
          <w:lang w:val="en-GB"/>
        </w:rPr>
        <w:t>Radiat</w:t>
      </w:r>
      <w:proofErr w:type="spellEnd"/>
      <w:r>
        <w:rPr>
          <w:rFonts w:asciiTheme="minorHAnsi" w:hAnsiTheme="minorHAnsi"/>
          <w:i/>
          <w:sz w:val="22"/>
          <w:szCs w:val="22"/>
          <w:lang w:val="en-GB"/>
        </w:rPr>
        <w:t xml:space="preserve">. Environ. </w:t>
      </w:r>
      <w:proofErr w:type="spellStart"/>
      <w:r>
        <w:rPr>
          <w:rFonts w:asciiTheme="minorHAnsi" w:hAnsiTheme="minorHAnsi"/>
          <w:i/>
          <w:sz w:val="22"/>
          <w:szCs w:val="22"/>
          <w:lang w:val="en-GB"/>
        </w:rPr>
        <w:t>Biophys</w:t>
      </w:r>
      <w:proofErr w:type="spellEnd"/>
      <w:r>
        <w:rPr>
          <w:rFonts w:asciiTheme="minorHAnsi" w:hAnsiTheme="minorHAnsi"/>
          <w:i/>
          <w:sz w:val="22"/>
          <w:szCs w:val="22"/>
          <w:lang w:val="en-GB"/>
        </w:rPr>
        <w:t>.</w:t>
      </w:r>
      <w:r>
        <w:rPr>
          <w:rFonts w:asciiTheme="minorHAnsi" w:hAnsiTheme="minorHAnsi"/>
          <w:sz w:val="22"/>
          <w:szCs w:val="22"/>
          <w:lang w:val="en-GB"/>
        </w:rPr>
        <w:t xml:space="preserve"> </w:t>
      </w:r>
      <w:proofErr w:type="gramStart"/>
      <w:r>
        <w:rPr>
          <w:rFonts w:asciiTheme="minorHAnsi" w:hAnsiTheme="minorHAnsi"/>
          <w:b/>
          <w:sz w:val="22"/>
          <w:szCs w:val="22"/>
          <w:lang w:val="en-GB"/>
        </w:rPr>
        <w:t>57</w:t>
      </w:r>
      <w:proofErr w:type="gramEnd"/>
      <w:r>
        <w:rPr>
          <w:rFonts w:asciiTheme="minorHAnsi" w:hAnsiTheme="minorHAnsi"/>
          <w:b/>
          <w:sz w:val="22"/>
          <w:szCs w:val="22"/>
          <w:lang w:val="en-GB"/>
        </w:rPr>
        <w:t>,</w:t>
      </w:r>
      <w:r>
        <w:rPr>
          <w:rFonts w:asciiTheme="minorHAnsi" w:hAnsiTheme="minorHAnsi"/>
          <w:sz w:val="22"/>
          <w:szCs w:val="22"/>
          <w:lang w:val="en-GB"/>
        </w:rPr>
        <w:t xml:space="preserve"> 99-113, </w:t>
      </w:r>
      <w:hyperlink r:id="rId44" w:history="1">
        <w:r>
          <w:rPr>
            <w:rStyle w:val="Hyperlink"/>
            <w:rFonts w:asciiTheme="minorHAnsi" w:hAnsiTheme="minorHAnsi"/>
            <w:sz w:val="22"/>
            <w:szCs w:val="22"/>
            <w:lang w:val="en-GB"/>
          </w:rPr>
          <w:t>https://doi.org/10.1007/s00411-017-0728-z</w:t>
        </w:r>
      </w:hyperlink>
      <w:r>
        <w:rPr>
          <w:rStyle w:val="bibliographic-informationvalue"/>
          <w:rFonts w:asciiTheme="minorHAnsi" w:hAnsiTheme="minorHAnsi"/>
          <w:sz w:val="22"/>
          <w:szCs w:val="22"/>
          <w:lang w:val="en-GB"/>
        </w:rPr>
        <w:t xml:space="preserve"> </w:t>
      </w:r>
      <w:r>
        <w:rPr>
          <w:rFonts w:asciiTheme="minorHAnsi" w:hAnsiTheme="minorHAnsi"/>
          <w:sz w:val="22"/>
          <w:szCs w:val="22"/>
          <w:lang w:val="en-GB"/>
        </w:rPr>
        <w:t>(2018).</w:t>
      </w:r>
    </w:p>
    <w:p>
      <w:pPr>
        <w:pStyle w:val="Listenabsatz"/>
        <w:numPr>
          <w:ilvl w:val="0"/>
          <w:numId w:val="11"/>
        </w:numPr>
        <w:spacing w:line="360" w:lineRule="auto"/>
        <w:ind w:left="567" w:hanging="425"/>
        <w:jc w:val="both"/>
        <w:rPr>
          <w:rFonts w:asciiTheme="minorHAnsi" w:hAnsiTheme="minorHAnsi" w:cs="Arial"/>
          <w:sz w:val="22"/>
          <w:szCs w:val="22"/>
          <w:lang w:val="en-GB"/>
        </w:rPr>
      </w:pPr>
      <w:r>
        <w:rPr>
          <w:rFonts w:asciiTheme="minorHAnsi" w:hAnsiTheme="minorHAnsi" w:cs="Arial"/>
          <w:sz w:val="22"/>
          <w:szCs w:val="22"/>
          <w:lang w:val="en-GB"/>
        </w:rPr>
        <w:t>Puk O</w:t>
      </w:r>
      <w:proofErr w:type="gramStart"/>
      <w:r>
        <w:rPr>
          <w:rFonts w:asciiTheme="minorHAnsi" w:hAnsiTheme="minorHAnsi" w:cs="Arial"/>
          <w:sz w:val="22"/>
          <w:szCs w:val="22"/>
          <w:lang w:val="en-GB"/>
        </w:rPr>
        <w:t>. ,</w:t>
      </w:r>
      <w:proofErr w:type="gramEnd"/>
      <w:r>
        <w:rPr>
          <w:rFonts w:asciiTheme="minorHAnsi" w:hAnsiTheme="minorHAnsi" w:cs="Arial"/>
          <w:sz w:val="22"/>
          <w:szCs w:val="22"/>
          <w:lang w:val="en-GB"/>
        </w:rPr>
        <w:t xml:space="preserve"> </w:t>
      </w:r>
      <w:proofErr w:type="spellStart"/>
      <w:r>
        <w:rPr>
          <w:rFonts w:asciiTheme="minorHAnsi" w:hAnsiTheme="minorHAnsi" w:cs="Arial"/>
          <w:sz w:val="22"/>
          <w:szCs w:val="22"/>
          <w:lang w:val="en-GB"/>
        </w:rPr>
        <w:t>Hrabé</w:t>
      </w:r>
      <w:proofErr w:type="spellEnd"/>
      <w:r>
        <w:rPr>
          <w:rFonts w:asciiTheme="minorHAnsi" w:hAnsiTheme="minorHAnsi" w:cs="Arial"/>
          <w:sz w:val="22"/>
          <w:szCs w:val="22"/>
          <w:lang w:val="en-GB"/>
        </w:rPr>
        <w:t xml:space="preserve"> de Angelis M. &amp; </w:t>
      </w:r>
      <w:r>
        <w:rPr>
          <w:rFonts w:asciiTheme="minorHAnsi" w:hAnsiTheme="minorHAnsi" w:cs="Arial"/>
          <w:bCs/>
          <w:sz w:val="22"/>
          <w:szCs w:val="22"/>
          <w:lang w:val="en-GB"/>
        </w:rPr>
        <w:t>Graw J.</w:t>
      </w:r>
      <w:r>
        <w:rPr>
          <w:rFonts w:asciiTheme="minorHAnsi" w:hAnsiTheme="minorHAnsi" w:cs="Arial"/>
          <w:sz w:val="22"/>
          <w:szCs w:val="22"/>
          <w:lang w:val="en-GB"/>
        </w:rPr>
        <w:t xml:space="preserve"> Lens density tracking in mice by Scheimpflug imaging.</w:t>
      </w:r>
      <w:r>
        <w:rPr>
          <w:rStyle w:val="jrnl"/>
          <w:rFonts w:asciiTheme="minorHAnsi" w:hAnsiTheme="minorHAnsi" w:cs="Arial"/>
          <w:sz w:val="22"/>
          <w:szCs w:val="22"/>
          <w:lang w:val="en-GB"/>
        </w:rPr>
        <w:t xml:space="preserve"> </w:t>
      </w:r>
      <w:proofErr w:type="spellStart"/>
      <w:r>
        <w:rPr>
          <w:rStyle w:val="jrnl"/>
          <w:rFonts w:asciiTheme="minorHAnsi" w:hAnsiTheme="minorHAnsi" w:cs="Arial"/>
          <w:i/>
          <w:sz w:val="22"/>
          <w:szCs w:val="22"/>
          <w:lang w:val="en-GB"/>
        </w:rPr>
        <w:t>Mamm</w:t>
      </w:r>
      <w:proofErr w:type="spellEnd"/>
      <w:r>
        <w:rPr>
          <w:rStyle w:val="jrnl"/>
          <w:rFonts w:asciiTheme="minorHAnsi" w:hAnsiTheme="minorHAnsi" w:cs="Arial"/>
          <w:i/>
          <w:sz w:val="22"/>
          <w:szCs w:val="22"/>
          <w:lang w:val="en-GB"/>
        </w:rPr>
        <w:t>. Genome</w:t>
      </w:r>
      <w:r>
        <w:rPr>
          <w:rFonts w:asciiTheme="minorHAnsi" w:hAnsiTheme="minorHAnsi" w:cs="Arial"/>
          <w:sz w:val="22"/>
          <w:szCs w:val="22"/>
          <w:lang w:val="en-GB"/>
        </w:rPr>
        <w:t xml:space="preserve"> </w:t>
      </w:r>
      <w:r>
        <w:rPr>
          <w:rFonts w:asciiTheme="minorHAnsi" w:hAnsiTheme="minorHAnsi" w:cs="Arial"/>
          <w:b/>
          <w:sz w:val="22"/>
          <w:szCs w:val="22"/>
          <w:lang w:val="en-GB"/>
        </w:rPr>
        <w:t>24,</w:t>
      </w:r>
      <w:r>
        <w:rPr>
          <w:rFonts w:asciiTheme="minorHAnsi" w:hAnsiTheme="minorHAnsi" w:cs="Arial"/>
          <w:sz w:val="22"/>
          <w:szCs w:val="22"/>
          <w:lang w:val="en-GB"/>
        </w:rPr>
        <w:t xml:space="preserve"> 295-302, </w:t>
      </w:r>
      <w:hyperlink r:id="rId45" w:history="1">
        <w:r>
          <w:rPr>
            <w:rStyle w:val="Hyperlink"/>
            <w:rFonts w:asciiTheme="minorHAnsi" w:hAnsiTheme="minorHAnsi"/>
            <w:sz w:val="22"/>
            <w:szCs w:val="22"/>
            <w:lang w:val="en-GB"/>
          </w:rPr>
          <w:t>https://doi.org/10.1007/s00335-013-9470-2</w:t>
        </w:r>
      </w:hyperlink>
      <w:r>
        <w:rPr>
          <w:rFonts w:asciiTheme="minorHAnsi" w:hAnsiTheme="minorHAnsi"/>
          <w:sz w:val="22"/>
          <w:szCs w:val="22"/>
          <w:lang w:val="en-GB"/>
        </w:rPr>
        <w:t xml:space="preserve"> </w:t>
      </w:r>
      <w:r>
        <w:rPr>
          <w:rFonts w:asciiTheme="minorHAnsi" w:hAnsiTheme="minorHAnsi" w:cs="Arial"/>
          <w:sz w:val="22"/>
          <w:szCs w:val="22"/>
          <w:lang w:val="en-GB"/>
        </w:rPr>
        <w:t>(2013).</w:t>
      </w:r>
    </w:p>
    <w:p>
      <w:pPr>
        <w:pStyle w:val="details1"/>
        <w:numPr>
          <w:ilvl w:val="0"/>
          <w:numId w:val="11"/>
        </w:numPr>
        <w:spacing w:line="360" w:lineRule="auto"/>
        <w:ind w:left="567" w:hanging="425"/>
        <w:jc w:val="both"/>
        <w:rPr>
          <w:rFonts w:asciiTheme="minorHAnsi" w:hAnsiTheme="minorHAnsi" w:cs="Arial"/>
          <w:lang w:val="en-GB"/>
        </w:rPr>
      </w:pPr>
      <w:proofErr w:type="spellStart"/>
      <w:r>
        <w:rPr>
          <w:rFonts w:asciiTheme="minorHAnsi" w:hAnsiTheme="minorHAnsi" w:cs="Arial"/>
          <w:lang w:val="en-GB"/>
        </w:rPr>
        <w:t>Soares</w:t>
      </w:r>
      <w:proofErr w:type="spellEnd"/>
      <w:r>
        <w:rPr>
          <w:rFonts w:asciiTheme="minorHAnsi" w:hAnsiTheme="minorHAnsi" w:cs="Arial"/>
          <w:lang w:val="en-GB"/>
        </w:rPr>
        <w:t xml:space="preserve"> A. F., Paz-Montoya J., Lei H., </w:t>
      </w:r>
      <w:proofErr w:type="spellStart"/>
      <w:r>
        <w:rPr>
          <w:rFonts w:asciiTheme="minorHAnsi" w:hAnsiTheme="minorHAnsi" w:cs="Arial"/>
          <w:lang w:val="en-GB"/>
        </w:rPr>
        <w:t>Moniatte</w:t>
      </w:r>
      <w:proofErr w:type="spellEnd"/>
      <w:r>
        <w:rPr>
          <w:rFonts w:asciiTheme="minorHAnsi" w:hAnsiTheme="minorHAnsi" w:cs="Arial"/>
          <w:lang w:val="en-GB"/>
        </w:rPr>
        <w:t xml:space="preserve"> M. &amp; </w:t>
      </w:r>
      <w:proofErr w:type="spellStart"/>
      <w:r>
        <w:rPr>
          <w:rFonts w:asciiTheme="minorHAnsi" w:hAnsiTheme="minorHAnsi" w:cs="Arial"/>
          <w:lang w:val="en-GB"/>
        </w:rPr>
        <w:t>Gruetter</w:t>
      </w:r>
      <w:proofErr w:type="spellEnd"/>
      <w:r>
        <w:rPr>
          <w:rFonts w:asciiTheme="minorHAnsi" w:hAnsiTheme="minorHAnsi" w:cs="Arial"/>
          <w:lang w:val="en-GB"/>
        </w:rPr>
        <w:t xml:space="preserve"> R. Sexual dimorphism in hepatic lipids is associated with the evolution of metabolic status in mice. </w:t>
      </w:r>
      <w:r>
        <w:rPr>
          <w:rFonts w:asciiTheme="minorHAnsi" w:hAnsiTheme="minorHAnsi" w:cs="Arial"/>
          <w:i/>
          <w:lang w:val="en-GB"/>
        </w:rPr>
        <w:t>NMR Biomed</w:t>
      </w:r>
      <w:r>
        <w:rPr>
          <w:rFonts w:asciiTheme="minorHAnsi" w:hAnsiTheme="minorHAnsi" w:cs="Arial"/>
          <w:lang w:val="en-GB"/>
        </w:rPr>
        <w:t xml:space="preserve"> 30(10), </w:t>
      </w:r>
      <w:hyperlink r:id="rId46" w:history="1">
        <w:r>
          <w:rPr>
            <w:rStyle w:val="Hyperlink"/>
            <w:rFonts w:asciiTheme="minorHAnsi" w:hAnsiTheme="minorHAnsi" w:cs="Arial"/>
            <w:lang w:val="en-GB"/>
          </w:rPr>
          <w:t>https://doi.org/10.1002/nbm.3761</w:t>
        </w:r>
      </w:hyperlink>
      <w:r>
        <w:rPr>
          <w:rFonts w:asciiTheme="minorHAnsi" w:hAnsiTheme="minorHAnsi" w:cs="Arial"/>
          <w:lang w:val="en-GB"/>
        </w:rPr>
        <w:t xml:space="preserve"> (2017).</w:t>
      </w:r>
    </w:p>
    <w:p>
      <w:pPr>
        <w:pStyle w:val="Listenabsatz"/>
        <w:numPr>
          <w:ilvl w:val="0"/>
          <w:numId w:val="11"/>
        </w:numPr>
        <w:spacing w:line="360" w:lineRule="auto"/>
        <w:ind w:left="567" w:hanging="425"/>
        <w:jc w:val="both"/>
        <w:rPr>
          <w:rStyle w:val="InternetLink"/>
          <w:rFonts w:asciiTheme="minorHAnsi" w:hAnsiTheme="minorHAnsi" w:cs="Arial"/>
          <w:color w:val="auto"/>
          <w:sz w:val="22"/>
          <w:szCs w:val="22"/>
          <w:u w:val="none"/>
          <w:lang w:val="en-GB"/>
        </w:rPr>
      </w:pPr>
      <w:r>
        <w:rPr>
          <w:rStyle w:val="InternetLink"/>
          <w:rFonts w:asciiTheme="minorHAnsi" w:hAnsiTheme="minorHAnsi" w:cs="Arial"/>
          <w:color w:val="auto"/>
          <w:sz w:val="22"/>
          <w:szCs w:val="22"/>
          <w:u w:val="none"/>
          <w:lang w:val="en-GB"/>
        </w:rPr>
        <w:t xml:space="preserve">Jain R. &amp; Grewal S. P. S. </w:t>
      </w:r>
      <w:proofErr w:type="spellStart"/>
      <w:r>
        <w:rPr>
          <w:rStyle w:val="InternetLink"/>
          <w:rFonts w:asciiTheme="minorHAnsi" w:hAnsiTheme="minorHAnsi" w:cs="Arial"/>
          <w:color w:val="auto"/>
          <w:sz w:val="22"/>
          <w:szCs w:val="22"/>
          <w:u w:val="none"/>
          <w:lang w:val="en-GB"/>
        </w:rPr>
        <w:t>Pentacam</w:t>
      </w:r>
      <w:proofErr w:type="spellEnd"/>
      <w:r>
        <w:rPr>
          <w:rStyle w:val="InternetLink"/>
          <w:rFonts w:asciiTheme="minorHAnsi" w:hAnsiTheme="minorHAnsi" w:cs="Arial"/>
          <w:color w:val="auto"/>
          <w:sz w:val="22"/>
          <w:szCs w:val="22"/>
          <w:u w:val="none"/>
          <w:lang w:val="en-GB"/>
        </w:rPr>
        <w:t xml:space="preserve">: Principle and clinical applications. </w:t>
      </w:r>
      <w:r>
        <w:rPr>
          <w:rStyle w:val="InternetLink"/>
          <w:rFonts w:asciiTheme="minorHAnsi" w:hAnsiTheme="minorHAnsi" w:cs="Arial"/>
          <w:i/>
          <w:color w:val="auto"/>
          <w:sz w:val="22"/>
          <w:szCs w:val="22"/>
          <w:u w:val="none"/>
          <w:lang w:val="en-GB"/>
        </w:rPr>
        <w:t xml:space="preserve">J. </w:t>
      </w:r>
      <w:proofErr w:type="spellStart"/>
      <w:r>
        <w:rPr>
          <w:rStyle w:val="InternetLink"/>
          <w:rFonts w:asciiTheme="minorHAnsi" w:hAnsiTheme="minorHAnsi" w:cs="Arial"/>
          <w:i/>
          <w:color w:val="auto"/>
          <w:sz w:val="22"/>
          <w:szCs w:val="22"/>
          <w:u w:val="none"/>
          <w:lang w:val="en-GB"/>
        </w:rPr>
        <w:t>Curr</w:t>
      </w:r>
      <w:proofErr w:type="spellEnd"/>
      <w:r>
        <w:rPr>
          <w:rStyle w:val="InternetLink"/>
          <w:rFonts w:asciiTheme="minorHAnsi" w:hAnsiTheme="minorHAnsi" w:cs="Arial"/>
          <w:i/>
          <w:color w:val="auto"/>
          <w:sz w:val="22"/>
          <w:szCs w:val="22"/>
          <w:u w:val="none"/>
          <w:lang w:val="en-GB"/>
        </w:rPr>
        <w:t xml:space="preserve">. Glaucoma </w:t>
      </w:r>
      <w:proofErr w:type="spellStart"/>
      <w:r>
        <w:rPr>
          <w:rStyle w:val="InternetLink"/>
          <w:rFonts w:asciiTheme="minorHAnsi" w:hAnsiTheme="minorHAnsi" w:cs="Arial"/>
          <w:i/>
          <w:color w:val="auto"/>
          <w:sz w:val="22"/>
          <w:szCs w:val="22"/>
          <w:u w:val="none"/>
          <w:lang w:val="en-GB"/>
        </w:rPr>
        <w:t>Pract</w:t>
      </w:r>
      <w:proofErr w:type="spellEnd"/>
      <w:r>
        <w:rPr>
          <w:rStyle w:val="InternetLink"/>
          <w:rFonts w:asciiTheme="minorHAnsi" w:hAnsiTheme="minorHAnsi" w:cs="Arial"/>
          <w:i/>
          <w:color w:val="auto"/>
          <w:sz w:val="22"/>
          <w:szCs w:val="22"/>
          <w:u w:val="none"/>
          <w:lang w:val="en-GB"/>
        </w:rPr>
        <w:t>.</w:t>
      </w:r>
      <w:r>
        <w:rPr>
          <w:rStyle w:val="InternetLink"/>
          <w:rFonts w:asciiTheme="minorHAnsi" w:hAnsiTheme="minorHAnsi" w:cs="Arial"/>
          <w:color w:val="auto"/>
          <w:sz w:val="22"/>
          <w:szCs w:val="22"/>
          <w:u w:val="none"/>
          <w:lang w:val="en-GB"/>
        </w:rPr>
        <w:t xml:space="preserve"> </w:t>
      </w:r>
      <w:proofErr w:type="gramStart"/>
      <w:r>
        <w:rPr>
          <w:rStyle w:val="InternetLink"/>
          <w:rFonts w:asciiTheme="minorHAnsi" w:hAnsiTheme="minorHAnsi" w:cs="Arial"/>
          <w:b/>
          <w:color w:val="auto"/>
          <w:sz w:val="22"/>
          <w:szCs w:val="22"/>
          <w:u w:val="none"/>
          <w:lang w:val="en-GB"/>
        </w:rPr>
        <w:t>3</w:t>
      </w:r>
      <w:proofErr w:type="gramEnd"/>
      <w:r>
        <w:rPr>
          <w:rStyle w:val="InternetLink"/>
          <w:rFonts w:asciiTheme="minorHAnsi" w:hAnsiTheme="minorHAnsi" w:cs="Arial"/>
          <w:b/>
          <w:color w:val="auto"/>
          <w:sz w:val="22"/>
          <w:szCs w:val="22"/>
          <w:u w:val="none"/>
          <w:lang w:val="en-GB"/>
        </w:rPr>
        <w:t>,</w:t>
      </w:r>
      <w:r>
        <w:rPr>
          <w:rStyle w:val="InternetLink"/>
          <w:rFonts w:asciiTheme="minorHAnsi" w:hAnsiTheme="minorHAnsi" w:cs="Arial"/>
          <w:color w:val="auto"/>
          <w:sz w:val="22"/>
          <w:szCs w:val="22"/>
          <w:u w:val="none"/>
          <w:lang w:val="en-GB"/>
        </w:rPr>
        <w:t xml:space="preserve"> 20-32, </w:t>
      </w:r>
      <w:hyperlink r:id="rId47" w:history="1">
        <w:r>
          <w:rPr>
            <w:rStyle w:val="Hyperlink"/>
            <w:rFonts w:asciiTheme="minorHAnsi" w:hAnsiTheme="minorHAnsi" w:cs="Arial"/>
            <w:sz w:val="22"/>
            <w:szCs w:val="22"/>
            <w:lang w:val="en-GB"/>
          </w:rPr>
          <w:t>https://pdfs.semanticscholar.org/8128/2705de4ad8c7b8cf13f9bd219917120a2b63.pdf</w:t>
        </w:r>
      </w:hyperlink>
      <w:r>
        <w:rPr>
          <w:rStyle w:val="InternetLink"/>
          <w:rFonts w:asciiTheme="minorHAnsi" w:hAnsiTheme="minorHAnsi" w:cs="Arial"/>
          <w:color w:val="auto"/>
          <w:sz w:val="22"/>
          <w:szCs w:val="22"/>
          <w:u w:val="none"/>
          <w:lang w:val="en-GB"/>
        </w:rPr>
        <w:t xml:space="preserve"> (2009).</w:t>
      </w:r>
    </w:p>
    <w:p>
      <w:pPr>
        <w:pStyle w:val="Listenabsatz"/>
        <w:numPr>
          <w:ilvl w:val="0"/>
          <w:numId w:val="11"/>
        </w:numPr>
        <w:spacing w:line="360" w:lineRule="auto"/>
        <w:ind w:left="567" w:hanging="425"/>
        <w:jc w:val="both"/>
        <w:rPr>
          <w:rStyle w:val="InternetLink"/>
          <w:rFonts w:asciiTheme="minorHAnsi" w:hAnsiTheme="minorHAnsi" w:cs="Arial"/>
          <w:color w:val="auto"/>
          <w:sz w:val="22"/>
          <w:szCs w:val="22"/>
          <w:u w:val="none"/>
          <w:lang w:val="en-GB"/>
        </w:rPr>
      </w:pPr>
      <w:r>
        <w:rPr>
          <w:rStyle w:val="InternetLink"/>
          <w:rFonts w:asciiTheme="minorHAnsi" w:hAnsiTheme="minorHAnsi" w:cs="Arial"/>
          <w:color w:val="auto"/>
          <w:sz w:val="22"/>
          <w:szCs w:val="22"/>
          <w:u w:val="none"/>
          <w:lang w:val="en-GB"/>
        </w:rPr>
        <w:t xml:space="preserve">Pawliczek </w:t>
      </w:r>
      <w:r>
        <w:rPr>
          <w:rStyle w:val="InternetLink"/>
          <w:rFonts w:asciiTheme="minorHAnsi" w:hAnsiTheme="minorHAnsi" w:cs="Arial"/>
          <w:i/>
          <w:color w:val="auto"/>
          <w:sz w:val="22"/>
          <w:szCs w:val="22"/>
          <w:u w:val="none"/>
          <w:lang w:val="en-GB"/>
        </w:rPr>
        <w:t>et al.</w:t>
      </w:r>
      <w:r>
        <w:rPr>
          <w:rStyle w:val="InternetLink"/>
          <w:rFonts w:asciiTheme="minorHAnsi" w:hAnsiTheme="minorHAnsi" w:cs="Arial"/>
          <w:color w:val="auto"/>
          <w:sz w:val="22"/>
          <w:szCs w:val="22"/>
          <w:u w:val="none"/>
          <w:lang w:val="en-GB"/>
        </w:rPr>
        <w:t xml:space="preserve"> Spectral domain - Optical coherence tomography (SD-OCT) as a monitoring tool for alterations in mouse lenses. </w:t>
      </w:r>
      <w:r>
        <w:rPr>
          <w:rStyle w:val="InternetLink"/>
          <w:rFonts w:asciiTheme="minorHAnsi" w:hAnsiTheme="minorHAnsi" w:cs="Arial"/>
          <w:i/>
          <w:color w:val="auto"/>
          <w:sz w:val="22"/>
          <w:szCs w:val="22"/>
          <w:u w:val="none"/>
          <w:lang w:val="en-GB"/>
        </w:rPr>
        <w:t>Exp. Eye Res</w:t>
      </w:r>
      <w:r>
        <w:rPr>
          <w:rStyle w:val="InternetLink"/>
          <w:rFonts w:asciiTheme="minorHAnsi" w:hAnsiTheme="minorHAnsi" w:cs="Arial"/>
          <w:color w:val="auto"/>
          <w:sz w:val="22"/>
          <w:szCs w:val="22"/>
          <w:u w:val="none"/>
          <w:lang w:val="en-GB"/>
        </w:rPr>
        <w:t xml:space="preserve">. 190:107871, </w:t>
      </w:r>
      <w:hyperlink r:id="rId48" w:tgtFrame="_blank" w:tooltip="Persistent link using digital object identifier" w:history="1">
        <w:r>
          <w:rPr>
            <w:rStyle w:val="Hyperlink"/>
            <w:rFonts w:asciiTheme="minorHAnsi" w:hAnsiTheme="minorHAnsi" w:cs="Arial"/>
            <w:sz w:val="22"/>
            <w:szCs w:val="22"/>
          </w:rPr>
          <w:t>https://doi.org/10.1016/j.exer.2019.107871</w:t>
        </w:r>
      </w:hyperlink>
      <w:r>
        <w:rPr>
          <w:rFonts w:asciiTheme="minorHAnsi" w:hAnsiTheme="minorHAnsi" w:cs="Arial"/>
          <w:sz w:val="22"/>
          <w:szCs w:val="22"/>
          <w:lang w:val="en-GB"/>
        </w:rPr>
        <w:t xml:space="preserve"> (2020)</w:t>
      </w:r>
      <w:r>
        <w:rPr>
          <w:rStyle w:val="InternetLink"/>
          <w:rFonts w:asciiTheme="minorHAnsi" w:hAnsiTheme="minorHAnsi" w:cs="Arial"/>
          <w:color w:val="auto"/>
          <w:sz w:val="22"/>
          <w:szCs w:val="22"/>
          <w:u w:val="none"/>
          <w:lang w:val="en-GB"/>
        </w:rPr>
        <w:t>.</w:t>
      </w:r>
    </w:p>
    <w:p>
      <w:pPr>
        <w:pStyle w:val="details1"/>
        <w:numPr>
          <w:ilvl w:val="0"/>
          <w:numId w:val="11"/>
        </w:numPr>
        <w:spacing w:line="360" w:lineRule="auto"/>
        <w:ind w:left="567" w:hanging="425"/>
        <w:jc w:val="both"/>
        <w:rPr>
          <w:rFonts w:asciiTheme="minorHAnsi" w:hAnsiTheme="minorHAnsi"/>
          <w:lang w:val="en-GB"/>
        </w:rPr>
      </w:pPr>
      <w:hyperlink r:id="rId49">
        <w:r>
          <w:rPr>
            <w:rStyle w:val="InternetLink"/>
            <w:rFonts w:asciiTheme="minorHAnsi" w:hAnsiTheme="minorHAnsi" w:cs="Arial"/>
            <w:color w:val="auto"/>
            <w:u w:val="none"/>
            <w:lang w:val="en-GB"/>
          </w:rPr>
          <w:t>Worgul B. V</w:t>
        </w:r>
      </w:hyperlink>
      <w:r>
        <w:rPr>
          <w:rStyle w:val="InternetLink"/>
          <w:rFonts w:asciiTheme="minorHAnsi" w:hAnsiTheme="minorHAnsi" w:cs="Arial"/>
          <w:color w:val="auto"/>
          <w:u w:val="none"/>
          <w:lang w:val="en-GB"/>
        </w:rPr>
        <w:t>.</w:t>
      </w:r>
      <w:r>
        <w:rPr>
          <w:rStyle w:val="InternetLink"/>
          <w:rFonts w:asciiTheme="minorHAnsi" w:hAnsiTheme="minorHAnsi"/>
          <w:i/>
          <w:color w:val="auto"/>
          <w:u w:val="none"/>
          <w:lang w:val="en-GB"/>
        </w:rPr>
        <w:t xml:space="preserve"> </w:t>
      </w:r>
      <w:proofErr w:type="gramStart"/>
      <w:r>
        <w:rPr>
          <w:rStyle w:val="InternetLink"/>
          <w:rFonts w:asciiTheme="minorHAnsi" w:hAnsiTheme="minorHAnsi"/>
          <w:i/>
          <w:color w:val="auto"/>
          <w:u w:val="none"/>
          <w:lang w:val="en-GB"/>
        </w:rPr>
        <w:t>et</w:t>
      </w:r>
      <w:proofErr w:type="gramEnd"/>
      <w:r>
        <w:rPr>
          <w:rStyle w:val="InternetLink"/>
          <w:rFonts w:asciiTheme="minorHAnsi" w:hAnsiTheme="minorHAnsi"/>
          <w:i/>
          <w:color w:val="auto"/>
          <w:u w:val="none"/>
          <w:lang w:val="en-GB"/>
        </w:rPr>
        <w:t xml:space="preserve"> al.</w:t>
      </w:r>
      <w:r>
        <w:rPr>
          <w:rFonts w:asciiTheme="minorHAnsi" w:hAnsiTheme="minorHAnsi" w:cs="Arial"/>
          <w:lang w:val="en-GB"/>
        </w:rPr>
        <w:t xml:space="preserve"> </w:t>
      </w:r>
      <w:proofErr w:type="spellStart"/>
      <w:r>
        <w:rPr>
          <w:rFonts w:asciiTheme="minorHAnsi" w:hAnsiTheme="minorHAnsi" w:cs="Arial"/>
          <w:i/>
          <w:lang w:val="en-GB"/>
        </w:rPr>
        <w:t>Atm</w:t>
      </w:r>
      <w:proofErr w:type="spellEnd"/>
      <w:r>
        <w:rPr>
          <w:rFonts w:asciiTheme="minorHAnsi" w:hAnsiTheme="minorHAnsi" w:cs="Arial"/>
          <w:lang w:val="en-GB"/>
        </w:rPr>
        <w:t xml:space="preserve"> heterozygous mice are more sensitive to radiation-induced cataracts than are their wild-type counterparts. </w:t>
      </w:r>
      <w:hyperlink r:id="rId50" w:tgtFrame="Proceedings of the National Academy of Sciences of the United States of America.">
        <w:r>
          <w:rPr>
            <w:rStyle w:val="InternetLink"/>
            <w:rFonts w:asciiTheme="minorHAnsi" w:hAnsiTheme="minorHAnsi" w:cs="Arial"/>
            <w:i/>
            <w:color w:val="auto"/>
            <w:u w:val="none"/>
            <w:lang w:val="en-GB"/>
          </w:rPr>
          <w:t>Proc. Natl. Acad. Sci. USA</w:t>
        </w:r>
      </w:hyperlink>
      <w:r>
        <w:rPr>
          <w:rFonts w:asciiTheme="minorHAnsi" w:hAnsiTheme="minorHAnsi" w:cs="Arial"/>
          <w:lang w:val="en-GB"/>
        </w:rPr>
        <w:t xml:space="preserve"> </w:t>
      </w:r>
      <w:r>
        <w:rPr>
          <w:rFonts w:asciiTheme="minorHAnsi" w:hAnsiTheme="minorHAnsi" w:cs="Arial"/>
          <w:b/>
          <w:lang w:val="en-GB"/>
        </w:rPr>
        <w:t>99,</w:t>
      </w:r>
      <w:r>
        <w:rPr>
          <w:rFonts w:asciiTheme="minorHAnsi" w:hAnsiTheme="minorHAnsi" w:cs="Arial"/>
          <w:lang w:val="en-GB"/>
        </w:rPr>
        <w:t xml:space="preserve"> 9836-9, </w:t>
      </w:r>
      <w:hyperlink r:id="rId51" w:history="1">
        <w:r>
          <w:rPr>
            <w:rStyle w:val="Hyperlink"/>
            <w:rFonts w:asciiTheme="minorHAnsi" w:hAnsiTheme="minorHAnsi" w:cs="Arial"/>
            <w:lang w:val="en-GB"/>
          </w:rPr>
          <w:t>https://doi.org/10.1073/pnas.162349699</w:t>
        </w:r>
      </w:hyperlink>
      <w:r>
        <w:rPr>
          <w:rFonts w:asciiTheme="minorHAnsi" w:hAnsiTheme="minorHAnsi" w:cs="Arial"/>
          <w:lang w:val="en-GB"/>
        </w:rPr>
        <w:t xml:space="preserve"> (2002).</w:t>
      </w:r>
    </w:p>
    <w:p>
      <w:pPr>
        <w:pStyle w:val="details1"/>
        <w:numPr>
          <w:ilvl w:val="0"/>
          <w:numId w:val="11"/>
        </w:numPr>
        <w:spacing w:line="360" w:lineRule="auto"/>
        <w:ind w:left="567" w:hanging="425"/>
        <w:jc w:val="both"/>
        <w:rPr>
          <w:rFonts w:asciiTheme="minorHAnsi" w:hAnsiTheme="minorHAnsi"/>
          <w:lang w:val="en-GB"/>
        </w:rPr>
      </w:pPr>
      <w:proofErr w:type="spellStart"/>
      <w:r>
        <w:rPr>
          <w:rFonts w:asciiTheme="minorHAnsi" w:hAnsiTheme="minorHAnsi" w:cs="Arial"/>
          <w:lang w:val="de-DE"/>
        </w:rPr>
        <w:t>Worgul</w:t>
      </w:r>
      <w:proofErr w:type="spellEnd"/>
      <w:r>
        <w:rPr>
          <w:rFonts w:asciiTheme="minorHAnsi" w:hAnsiTheme="minorHAnsi" w:cs="Arial"/>
          <w:lang w:val="de-DE"/>
        </w:rPr>
        <w:t xml:space="preserve"> B.V., </w:t>
      </w:r>
      <w:proofErr w:type="spellStart"/>
      <w:r>
        <w:rPr>
          <w:rFonts w:asciiTheme="minorHAnsi" w:hAnsiTheme="minorHAnsi" w:cs="Arial"/>
          <w:lang w:val="de-DE"/>
        </w:rPr>
        <w:t>Smilenov</w:t>
      </w:r>
      <w:proofErr w:type="spellEnd"/>
      <w:r>
        <w:rPr>
          <w:rFonts w:asciiTheme="minorHAnsi" w:hAnsiTheme="minorHAnsi" w:cs="Arial"/>
          <w:lang w:val="de-DE"/>
        </w:rPr>
        <w:t xml:space="preserve"> L., Brenner D. J., Vazquez M. &amp; Hall E. J. </w:t>
      </w:r>
      <w:hyperlink r:id="rId52">
        <w:r>
          <w:rPr>
            <w:rStyle w:val="ListLabel115"/>
            <w:lang w:val="en-GB"/>
          </w:rPr>
          <w:t>Mice heterozygous for the ATM gene are more sensitive to both X-ray and heavy ion exposure than are wildtypes.</w:t>
        </w:r>
      </w:hyperlink>
      <w:r>
        <w:rPr>
          <w:rFonts w:asciiTheme="minorHAnsi" w:hAnsiTheme="minorHAnsi" w:cs="Arial"/>
          <w:lang w:val="en-GB"/>
        </w:rPr>
        <w:t xml:space="preserve"> </w:t>
      </w:r>
      <w:r>
        <w:rPr>
          <w:rStyle w:val="jrnl"/>
          <w:rFonts w:asciiTheme="minorHAnsi" w:hAnsiTheme="minorHAnsi" w:cs="Arial"/>
          <w:i/>
          <w:lang w:val="en-GB"/>
        </w:rPr>
        <w:t>Adv. Space Res.</w:t>
      </w:r>
      <w:r>
        <w:rPr>
          <w:rStyle w:val="jrnl"/>
          <w:rFonts w:asciiTheme="minorHAnsi" w:hAnsiTheme="minorHAnsi" w:cs="Arial"/>
          <w:lang w:val="en-GB"/>
        </w:rPr>
        <w:t xml:space="preserve"> </w:t>
      </w:r>
      <w:proofErr w:type="gramStart"/>
      <w:r>
        <w:rPr>
          <w:rFonts w:asciiTheme="minorHAnsi" w:hAnsiTheme="minorHAnsi" w:cs="Arial"/>
          <w:b/>
          <w:lang w:val="en-GB"/>
        </w:rPr>
        <w:t>35</w:t>
      </w:r>
      <w:proofErr w:type="gramEnd"/>
      <w:r>
        <w:rPr>
          <w:rFonts w:asciiTheme="minorHAnsi" w:hAnsiTheme="minorHAnsi" w:cs="Arial"/>
          <w:b/>
          <w:lang w:val="en-GB"/>
        </w:rPr>
        <w:t>,</w:t>
      </w:r>
      <w:r>
        <w:rPr>
          <w:rFonts w:asciiTheme="minorHAnsi" w:hAnsiTheme="minorHAnsi" w:cs="Arial"/>
          <w:lang w:val="en-GB"/>
        </w:rPr>
        <w:t xml:space="preserve"> 254-259, </w:t>
      </w:r>
      <w:hyperlink r:id="rId53" w:history="1">
        <w:r>
          <w:rPr>
            <w:rStyle w:val="Hyperlink"/>
            <w:rFonts w:asciiTheme="minorHAnsi" w:hAnsiTheme="minorHAnsi" w:cs="Arial"/>
            <w:lang w:val="en-GB"/>
          </w:rPr>
          <w:t>https://doi.org/10.1016/j.asr.2005.01.030</w:t>
        </w:r>
      </w:hyperlink>
      <w:r>
        <w:rPr>
          <w:rFonts w:asciiTheme="minorHAnsi" w:hAnsiTheme="minorHAnsi" w:cs="Arial"/>
          <w:lang w:val="en-GB"/>
        </w:rPr>
        <w:t xml:space="preserve"> (2005).</w:t>
      </w:r>
    </w:p>
    <w:p>
      <w:pPr>
        <w:pStyle w:val="details1"/>
        <w:numPr>
          <w:ilvl w:val="0"/>
          <w:numId w:val="11"/>
        </w:numPr>
        <w:spacing w:line="360" w:lineRule="auto"/>
        <w:ind w:left="567" w:hanging="425"/>
        <w:jc w:val="both"/>
        <w:rPr>
          <w:rFonts w:asciiTheme="minorHAnsi" w:hAnsiTheme="minorHAnsi"/>
          <w:lang w:val="en-GB"/>
        </w:rPr>
      </w:pPr>
      <w:r>
        <w:rPr>
          <w:rFonts w:asciiTheme="minorHAnsi" w:hAnsiTheme="minorHAnsi"/>
          <w:lang w:val="en-GB"/>
        </w:rPr>
        <w:t xml:space="preserve">Wang Y. </w:t>
      </w:r>
      <w:r>
        <w:rPr>
          <w:rStyle w:val="InternetLink"/>
          <w:rFonts w:asciiTheme="minorHAnsi" w:hAnsiTheme="minorHAnsi"/>
          <w:i/>
          <w:color w:val="auto"/>
          <w:u w:val="none"/>
          <w:lang w:val="en-GB"/>
        </w:rPr>
        <w:t>et al.</w:t>
      </w:r>
      <w:r>
        <w:rPr>
          <w:rFonts w:asciiTheme="minorHAnsi" w:hAnsiTheme="minorHAnsi"/>
          <w:lang w:val="en-GB"/>
        </w:rPr>
        <w:t xml:space="preserve"> Metabolic signature of the aging eye in mice. </w:t>
      </w:r>
      <w:proofErr w:type="spellStart"/>
      <w:r>
        <w:rPr>
          <w:rFonts w:asciiTheme="minorHAnsi" w:hAnsiTheme="minorHAnsi"/>
          <w:i/>
          <w:lang w:val="en-GB"/>
        </w:rPr>
        <w:t>Neurobiol</w:t>
      </w:r>
      <w:proofErr w:type="spellEnd"/>
      <w:r>
        <w:rPr>
          <w:rFonts w:asciiTheme="minorHAnsi" w:hAnsiTheme="minorHAnsi"/>
          <w:i/>
          <w:lang w:val="en-GB"/>
        </w:rPr>
        <w:t>. Aging</w:t>
      </w:r>
      <w:r>
        <w:rPr>
          <w:rFonts w:asciiTheme="minorHAnsi" w:hAnsiTheme="minorHAnsi"/>
          <w:lang w:val="en-GB"/>
        </w:rPr>
        <w:t xml:space="preserve"> </w:t>
      </w:r>
      <w:r>
        <w:rPr>
          <w:rFonts w:asciiTheme="minorHAnsi" w:hAnsiTheme="minorHAnsi"/>
          <w:b/>
          <w:lang w:val="en-GB"/>
        </w:rPr>
        <w:t>71,</w:t>
      </w:r>
      <w:r>
        <w:rPr>
          <w:rFonts w:asciiTheme="minorHAnsi" w:hAnsiTheme="minorHAnsi"/>
          <w:lang w:val="en-GB"/>
        </w:rPr>
        <w:t xml:space="preserve"> 223-233, </w:t>
      </w:r>
      <w:hyperlink r:id="rId54" w:history="1">
        <w:r>
          <w:rPr>
            <w:rStyle w:val="Hyperlink"/>
            <w:rFonts w:asciiTheme="minorHAnsi" w:hAnsiTheme="minorHAnsi"/>
            <w:lang w:val="en-GB"/>
          </w:rPr>
          <w:t>https://doi.org/10.1016/j.neurobiolaging.2018.07.024</w:t>
        </w:r>
      </w:hyperlink>
      <w:r>
        <w:rPr>
          <w:rFonts w:asciiTheme="minorHAnsi" w:hAnsiTheme="minorHAnsi"/>
          <w:lang w:val="en-GB"/>
        </w:rPr>
        <w:t xml:space="preserve"> (2018).</w:t>
      </w:r>
    </w:p>
    <w:p>
      <w:pPr>
        <w:pStyle w:val="Listenabsatz"/>
        <w:numPr>
          <w:ilvl w:val="0"/>
          <w:numId w:val="11"/>
        </w:numPr>
        <w:spacing w:line="360" w:lineRule="auto"/>
        <w:ind w:left="567" w:hanging="425"/>
        <w:jc w:val="both"/>
        <w:rPr>
          <w:rFonts w:asciiTheme="minorHAnsi" w:hAnsiTheme="minorHAnsi"/>
          <w:sz w:val="22"/>
          <w:szCs w:val="22"/>
          <w:lang w:val="en-GB"/>
        </w:rPr>
      </w:pPr>
      <w:proofErr w:type="spellStart"/>
      <w:r>
        <w:rPr>
          <w:rFonts w:asciiTheme="minorHAnsi" w:hAnsiTheme="minorHAnsi"/>
          <w:sz w:val="22"/>
          <w:szCs w:val="22"/>
          <w:lang w:val="en-GB"/>
        </w:rPr>
        <w:t>Houtkooper</w:t>
      </w:r>
      <w:proofErr w:type="spellEnd"/>
      <w:r>
        <w:rPr>
          <w:rFonts w:asciiTheme="minorHAnsi" w:hAnsiTheme="minorHAnsi"/>
          <w:sz w:val="22"/>
          <w:szCs w:val="22"/>
          <w:lang w:val="en-GB"/>
        </w:rPr>
        <w:t xml:space="preserve"> R. H</w:t>
      </w:r>
      <w:r>
        <w:rPr>
          <w:rStyle w:val="InternetLink"/>
          <w:rFonts w:asciiTheme="minorHAnsi" w:hAnsiTheme="minorHAnsi"/>
          <w:i/>
          <w:color w:val="auto"/>
          <w:sz w:val="22"/>
          <w:szCs w:val="22"/>
          <w:u w:val="none"/>
          <w:lang w:val="en-GB"/>
        </w:rPr>
        <w:t xml:space="preserve"> et al.</w:t>
      </w:r>
      <w:r>
        <w:rPr>
          <w:rFonts w:asciiTheme="minorHAnsi" w:hAnsiTheme="minorHAnsi"/>
          <w:sz w:val="22"/>
          <w:szCs w:val="22"/>
          <w:lang w:val="en-GB"/>
        </w:rPr>
        <w:t xml:space="preserve"> The metabolic footprint of aging in mice. </w:t>
      </w:r>
      <w:r>
        <w:rPr>
          <w:rFonts w:asciiTheme="minorHAnsi" w:hAnsiTheme="minorHAnsi"/>
          <w:i/>
          <w:sz w:val="22"/>
          <w:szCs w:val="22"/>
          <w:lang w:val="en-GB"/>
        </w:rPr>
        <w:t>Sci. Rep.</w:t>
      </w:r>
      <w:r>
        <w:rPr>
          <w:rFonts w:asciiTheme="minorHAnsi" w:hAnsiTheme="minorHAnsi"/>
          <w:sz w:val="22"/>
          <w:szCs w:val="22"/>
          <w:lang w:val="en-GB"/>
        </w:rPr>
        <w:t xml:space="preserve"> </w:t>
      </w:r>
      <w:r>
        <w:rPr>
          <w:rFonts w:asciiTheme="minorHAnsi" w:hAnsiTheme="minorHAnsi"/>
          <w:b/>
          <w:sz w:val="22"/>
          <w:szCs w:val="22"/>
          <w:lang w:val="en-GB"/>
        </w:rPr>
        <w:t>1,</w:t>
      </w:r>
      <w:r>
        <w:rPr>
          <w:rFonts w:asciiTheme="minorHAnsi" w:hAnsiTheme="minorHAnsi"/>
          <w:sz w:val="22"/>
          <w:szCs w:val="22"/>
          <w:lang w:val="en-GB"/>
        </w:rPr>
        <w:t xml:space="preserve"> 134, </w:t>
      </w:r>
      <w:hyperlink r:id="rId55" w:history="1">
        <w:r>
          <w:rPr>
            <w:rStyle w:val="Hyperlink"/>
            <w:rFonts w:asciiTheme="minorHAnsi" w:hAnsiTheme="minorHAnsi"/>
            <w:sz w:val="22"/>
            <w:szCs w:val="22"/>
            <w:lang w:val="en-GB"/>
          </w:rPr>
          <w:t>https://doi.org/10.1038/srep00134</w:t>
        </w:r>
      </w:hyperlink>
      <w:r>
        <w:rPr>
          <w:rFonts w:asciiTheme="minorHAnsi" w:hAnsiTheme="minorHAnsi"/>
          <w:sz w:val="22"/>
          <w:szCs w:val="22"/>
          <w:lang w:val="en-GB"/>
        </w:rPr>
        <w:t xml:space="preserve"> (2011).</w:t>
      </w:r>
    </w:p>
    <w:p>
      <w:pPr>
        <w:pStyle w:val="details1"/>
        <w:numPr>
          <w:ilvl w:val="0"/>
          <w:numId w:val="11"/>
        </w:numPr>
        <w:spacing w:line="360" w:lineRule="auto"/>
        <w:ind w:left="567" w:hanging="425"/>
        <w:jc w:val="both"/>
        <w:rPr>
          <w:rFonts w:asciiTheme="minorHAnsi" w:hAnsiTheme="minorHAnsi" w:cs="Arial"/>
          <w:lang w:val="en-GB"/>
        </w:rPr>
      </w:pPr>
      <w:proofErr w:type="spellStart"/>
      <w:r>
        <w:rPr>
          <w:rFonts w:asciiTheme="minorHAnsi" w:hAnsiTheme="minorHAnsi" w:cs="Arial"/>
          <w:lang w:val="en-GB"/>
        </w:rPr>
        <w:t>Tomás-Loba</w:t>
      </w:r>
      <w:proofErr w:type="spellEnd"/>
      <w:r>
        <w:rPr>
          <w:rFonts w:asciiTheme="minorHAnsi" w:hAnsiTheme="minorHAnsi" w:cs="Arial"/>
          <w:lang w:val="en-GB"/>
        </w:rPr>
        <w:t xml:space="preserve"> A., </w:t>
      </w:r>
      <w:proofErr w:type="spellStart"/>
      <w:r>
        <w:rPr>
          <w:rFonts w:asciiTheme="minorHAnsi" w:hAnsiTheme="minorHAnsi" w:cs="Arial"/>
          <w:lang w:val="en-GB"/>
        </w:rPr>
        <w:t>Bernardes</w:t>
      </w:r>
      <w:proofErr w:type="spellEnd"/>
      <w:r>
        <w:rPr>
          <w:rFonts w:asciiTheme="minorHAnsi" w:hAnsiTheme="minorHAnsi" w:cs="Arial"/>
          <w:lang w:val="en-GB"/>
        </w:rPr>
        <w:t xml:space="preserve"> de Jesus B., </w:t>
      </w:r>
      <w:proofErr w:type="spellStart"/>
      <w:r>
        <w:rPr>
          <w:rFonts w:asciiTheme="minorHAnsi" w:hAnsiTheme="minorHAnsi" w:cs="Arial"/>
          <w:lang w:val="en-GB"/>
        </w:rPr>
        <w:t>Mato</w:t>
      </w:r>
      <w:proofErr w:type="spellEnd"/>
      <w:r>
        <w:rPr>
          <w:rFonts w:asciiTheme="minorHAnsi" w:hAnsiTheme="minorHAnsi" w:cs="Arial"/>
          <w:lang w:val="en-GB"/>
        </w:rPr>
        <w:t xml:space="preserve"> J. M. &amp; </w:t>
      </w:r>
      <w:proofErr w:type="spellStart"/>
      <w:r>
        <w:rPr>
          <w:rFonts w:asciiTheme="minorHAnsi" w:hAnsiTheme="minorHAnsi" w:cs="Arial"/>
          <w:lang w:val="en-GB"/>
        </w:rPr>
        <w:t>Blasco</w:t>
      </w:r>
      <w:proofErr w:type="spellEnd"/>
      <w:r>
        <w:rPr>
          <w:rFonts w:asciiTheme="minorHAnsi" w:hAnsiTheme="minorHAnsi" w:cs="Arial"/>
          <w:lang w:val="en-GB"/>
        </w:rPr>
        <w:t xml:space="preserve"> M. A. A metabolic signature predicts biological age in mice. </w:t>
      </w:r>
      <w:r>
        <w:rPr>
          <w:rFonts w:asciiTheme="minorHAnsi" w:hAnsiTheme="minorHAnsi" w:cs="Arial"/>
          <w:i/>
          <w:lang w:val="en-GB"/>
        </w:rPr>
        <w:t>Aging Cell</w:t>
      </w:r>
      <w:r>
        <w:rPr>
          <w:rFonts w:asciiTheme="minorHAnsi" w:hAnsiTheme="minorHAnsi" w:cs="Arial"/>
          <w:lang w:val="en-GB"/>
        </w:rPr>
        <w:t xml:space="preserve"> </w:t>
      </w:r>
      <w:r>
        <w:rPr>
          <w:rFonts w:asciiTheme="minorHAnsi" w:hAnsiTheme="minorHAnsi" w:cs="Arial"/>
          <w:b/>
          <w:lang w:val="en-GB"/>
        </w:rPr>
        <w:t>12,</w:t>
      </w:r>
      <w:r>
        <w:rPr>
          <w:rFonts w:asciiTheme="minorHAnsi" w:hAnsiTheme="minorHAnsi" w:cs="Arial"/>
          <w:lang w:val="en-GB"/>
        </w:rPr>
        <w:t xml:space="preserve"> 93-101, </w:t>
      </w:r>
      <w:hyperlink r:id="rId56" w:history="1">
        <w:r>
          <w:rPr>
            <w:rStyle w:val="Hyperlink"/>
            <w:rFonts w:asciiTheme="minorHAnsi" w:hAnsiTheme="minorHAnsi" w:cs="Arial"/>
            <w:lang w:val="en-GB"/>
          </w:rPr>
          <w:t>https://doi.org/10.1111/acel.12025</w:t>
        </w:r>
      </w:hyperlink>
      <w:r>
        <w:rPr>
          <w:rFonts w:asciiTheme="minorHAnsi" w:hAnsiTheme="minorHAnsi" w:cs="Arial"/>
          <w:lang w:val="en-GB"/>
        </w:rPr>
        <w:t xml:space="preserve"> (2013).</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sz w:val="22"/>
          <w:szCs w:val="22"/>
          <w:lang w:val="en-GB"/>
        </w:rPr>
        <w:t xml:space="preserve">Kim S. </w:t>
      </w:r>
      <w:r>
        <w:rPr>
          <w:rStyle w:val="InternetLink"/>
          <w:rFonts w:asciiTheme="minorHAnsi" w:hAnsiTheme="minorHAnsi"/>
          <w:i/>
          <w:color w:val="auto"/>
          <w:sz w:val="22"/>
          <w:szCs w:val="22"/>
          <w:u w:val="none"/>
          <w:lang w:val="en-GB"/>
        </w:rPr>
        <w:t>et al.</w:t>
      </w:r>
      <w:r>
        <w:rPr>
          <w:rFonts w:asciiTheme="minorHAnsi" w:hAnsiTheme="minorHAnsi"/>
          <w:sz w:val="22"/>
          <w:szCs w:val="22"/>
          <w:lang w:val="en-GB"/>
        </w:rPr>
        <w:t xml:space="preserve"> Aging-related Changes in Mouse Serum </w:t>
      </w:r>
      <w:proofErr w:type="spellStart"/>
      <w:r>
        <w:rPr>
          <w:rFonts w:asciiTheme="minorHAnsi" w:hAnsiTheme="minorHAnsi"/>
          <w:sz w:val="22"/>
          <w:szCs w:val="22"/>
          <w:lang w:val="en-GB"/>
        </w:rPr>
        <w:t>Glycerophospholipid</w:t>
      </w:r>
      <w:proofErr w:type="spellEnd"/>
      <w:r>
        <w:rPr>
          <w:rFonts w:asciiTheme="minorHAnsi" w:hAnsiTheme="minorHAnsi"/>
          <w:sz w:val="22"/>
          <w:szCs w:val="22"/>
          <w:lang w:val="en-GB"/>
        </w:rPr>
        <w:t xml:space="preserve"> Profiles. </w:t>
      </w:r>
      <w:proofErr w:type="spellStart"/>
      <w:r>
        <w:rPr>
          <w:rFonts w:asciiTheme="minorHAnsi" w:hAnsiTheme="minorHAnsi"/>
          <w:i/>
          <w:sz w:val="22"/>
          <w:szCs w:val="22"/>
          <w:lang w:val="en-GB"/>
        </w:rPr>
        <w:t>Osong</w:t>
      </w:r>
      <w:proofErr w:type="spellEnd"/>
      <w:r>
        <w:rPr>
          <w:rFonts w:asciiTheme="minorHAnsi" w:hAnsiTheme="minorHAnsi"/>
          <w:i/>
          <w:sz w:val="22"/>
          <w:szCs w:val="22"/>
          <w:lang w:val="en-GB"/>
        </w:rPr>
        <w:t xml:space="preserve"> Public Health Res. </w:t>
      </w:r>
      <w:proofErr w:type="spellStart"/>
      <w:r>
        <w:rPr>
          <w:rFonts w:asciiTheme="minorHAnsi" w:hAnsiTheme="minorHAnsi"/>
          <w:i/>
          <w:sz w:val="22"/>
          <w:szCs w:val="22"/>
          <w:lang w:val="en-GB"/>
        </w:rPr>
        <w:t>Perspect</w:t>
      </w:r>
      <w:proofErr w:type="spellEnd"/>
      <w:r>
        <w:rPr>
          <w:rFonts w:asciiTheme="minorHAnsi" w:hAnsiTheme="minorHAnsi"/>
          <w:sz w:val="22"/>
          <w:szCs w:val="22"/>
          <w:lang w:val="en-GB"/>
        </w:rPr>
        <w:t xml:space="preserve">. </w:t>
      </w:r>
      <w:r>
        <w:rPr>
          <w:rFonts w:asciiTheme="minorHAnsi" w:hAnsiTheme="minorHAnsi"/>
          <w:b/>
          <w:sz w:val="22"/>
          <w:szCs w:val="22"/>
          <w:lang w:val="en-GB"/>
        </w:rPr>
        <w:t>5,</w:t>
      </w:r>
      <w:r>
        <w:rPr>
          <w:rFonts w:asciiTheme="minorHAnsi" w:hAnsiTheme="minorHAnsi"/>
          <w:sz w:val="22"/>
          <w:szCs w:val="22"/>
          <w:lang w:val="en-GB"/>
        </w:rPr>
        <w:t xml:space="preserve"> 345-50, </w:t>
      </w:r>
      <w:hyperlink r:id="rId57" w:history="1">
        <w:r>
          <w:rPr>
            <w:rStyle w:val="Hyperlink"/>
            <w:rFonts w:asciiTheme="minorHAnsi" w:hAnsiTheme="minorHAnsi"/>
            <w:sz w:val="22"/>
            <w:szCs w:val="22"/>
            <w:lang w:val="en-GB"/>
          </w:rPr>
          <w:t>https://doi.org/10.1016/j.phrp.2014.10.002</w:t>
        </w:r>
      </w:hyperlink>
      <w:r>
        <w:rPr>
          <w:rFonts w:asciiTheme="minorHAnsi" w:hAnsiTheme="minorHAnsi"/>
          <w:sz w:val="22"/>
          <w:szCs w:val="22"/>
          <w:lang w:val="en-GB"/>
        </w:rPr>
        <w:t xml:space="preserve"> (2014).</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sz w:val="22"/>
          <w:szCs w:val="22"/>
          <w:lang w:val="en-GB"/>
        </w:rPr>
        <w:t xml:space="preserve">Minami Y. </w:t>
      </w:r>
      <w:r>
        <w:rPr>
          <w:rStyle w:val="InternetLink"/>
          <w:rFonts w:asciiTheme="minorHAnsi" w:hAnsiTheme="minorHAnsi"/>
          <w:i/>
          <w:color w:val="auto"/>
          <w:sz w:val="22"/>
          <w:szCs w:val="22"/>
          <w:u w:val="none"/>
          <w:lang w:val="en-GB"/>
        </w:rPr>
        <w:t>et al.</w:t>
      </w:r>
      <w:r>
        <w:rPr>
          <w:rFonts w:asciiTheme="minorHAnsi" w:hAnsiTheme="minorHAnsi"/>
          <w:sz w:val="22"/>
          <w:szCs w:val="22"/>
          <w:lang w:val="en-GB"/>
        </w:rPr>
        <w:t xml:space="preserve"> Measurement of internal body time by blood metabolomics. </w:t>
      </w:r>
      <w:r>
        <w:rPr>
          <w:rFonts w:asciiTheme="minorHAnsi" w:hAnsiTheme="minorHAnsi"/>
          <w:i/>
          <w:sz w:val="22"/>
          <w:szCs w:val="22"/>
          <w:lang w:val="en-GB"/>
        </w:rPr>
        <w:t xml:space="preserve">Proc. Natl. Acad. Sci. U S </w:t>
      </w:r>
      <w:proofErr w:type="gramStart"/>
      <w:r>
        <w:rPr>
          <w:rFonts w:asciiTheme="minorHAnsi" w:hAnsiTheme="minorHAnsi"/>
          <w:i/>
          <w:sz w:val="22"/>
          <w:szCs w:val="22"/>
          <w:lang w:val="en-GB"/>
        </w:rPr>
        <w:t>A</w:t>
      </w:r>
      <w:proofErr w:type="gramEnd"/>
      <w:r>
        <w:rPr>
          <w:rFonts w:asciiTheme="minorHAnsi" w:hAnsiTheme="minorHAnsi"/>
          <w:sz w:val="22"/>
          <w:szCs w:val="22"/>
          <w:lang w:val="en-GB"/>
        </w:rPr>
        <w:t xml:space="preserve"> </w:t>
      </w:r>
      <w:r>
        <w:rPr>
          <w:rFonts w:asciiTheme="minorHAnsi" w:hAnsiTheme="minorHAnsi"/>
          <w:b/>
          <w:sz w:val="22"/>
          <w:szCs w:val="22"/>
          <w:lang w:val="en-GB"/>
        </w:rPr>
        <w:t>106,</w:t>
      </w:r>
      <w:r>
        <w:rPr>
          <w:rFonts w:asciiTheme="minorHAnsi" w:hAnsiTheme="minorHAnsi"/>
          <w:sz w:val="22"/>
          <w:szCs w:val="22"/>
          <w:lang w:val="en-GB"/>
        </w:rPr>
        <w:t xml:space="preserve"> 9890-5, </w:t>
      </w:r>
      <w:hyperlink r:id="rId58" w:history="1">
        <w:r>
          <w:rPr>
            <w:rStyle w:val="Hyperlink"/>
            <w:rFonts w:asciiTheme="minorHAnsi" w:hAnsiTheme="minorHAnsi"/>
            <w:sz w:val="22"/>
            <w:szCs w:val="22"/>
            <w:lang w:val="en-GB"/>
          </w:rPr>
          <w:t>https://doi.org/10.1073/pnas.0900617106</w:t>
        </w:r>
      </w:hyperlink>
      <w:r>
        <w:rPr>
          <w:rFonts w:asciiTheme="minorHAnsi" w:hAnsiTheme="minorHAnsi"/>
          <w:sz w:val="22"/>
          <w:szCs w:val="22"/>
          <w:lang w:val="en-GB"/>
        </w:rPr>
        <w:t xml:space="preserve"> (2009).</w:t>
      </w:r>
    </w:p>
    <w:p>
      <w:pPr>
        <w:pStyle w:val="Listenabsatz"/>
        <w:numPr>
          <w:ilvl w:val="0"/>
          <w:numId w:val="11"/>
        </w:numPr>
        <w:spacing w:line="360" w:lineRule="auto"/>
        <w:ind w:left="567" w:hanging="425"/>
        <w:jc w:val="both"/>
        <w:rPr>
          <w:rFonts w:asciiTheme="minorHAnsi" w:hAnsiTheme="minorHAnsi"/>
          <w:sz w:val="22"/>
          <w:szCs w:val="22"/>
          <w:lang w:val="en-GB"/>
        </w:rPr>
      </w:pPr>
      <w:proofErr w:type="spellStart"/>
      <w:r>
        <w:rPr>
          <w:rFonts w:asciiTheme="minorHAnsi" w:hAnsiTheme="minorHAnsi"/>
          <w:sz w:val="22"/>
          <w:szCs w:val="22"/>
          <w:lang w:val="en-GB"/>
        </w:rPr>
        <w:t>Overmyer</w:t>
      </w:r>
      <w:proofErr w:type="spellEnd"/>
      <w:r>
        <w:rPr>
          <w:rFonts w:asciiTheme="minorHAnsi" w:hAnsiTheme="minorHAnsi"/>
          <w:sz w:val="22"/>
          <w:szCs w:val="22"/>
          <w:lang w:val="en-GB"/>
        </w:rPr>
        <w:t xml:space="preserve"> K. A., </w:t>
      </w:r>
      <w:proofErr w:type="spellStart"/>
      <w:r>
        <w:rPr>
          <w:rFonts w:asciiTheme="minorHAnsi" w:hAnsiTheme="minorHAnsi"/>
          <w:sz w:val="22"/>
          <w:szCs w:val="22"/>
          <w:lang w:val="en-GB"/>
        </w:rPr>
        <w:t>Thonusin</w:t>
      </w:r>
      <w:proofErr w:type="spellEnd"/>
      <w:r>
        <w:rPr>
          <w:rFonts w:asciiTheme="minorHAnsi" w:hAnsiTheme="minorHAnsi"/>
          <w:sz w:val="22"/>
          <w:szCs w:val="22"/>
          <w:lang w:val="en-GB"/>
        </w:rPr>
        <w:t xml:space="preserve"> C., Qi N. R., </w:t>
      </w:r>
      <w:proofErr w:type="spellStart"/>
      <w:r>
        <w:rPr>
          <w:rFonts w:asciiTheme="minorHAnsi" w:hAnsiTheme="minorHAnsi"/>
          <w:sz w:val="22"/>
          <w:szCs w:val="22"/>
          <w:lang w:val="en-GB"/>
        </w:rPr>
        <w:t>Burant</w:t>
      </w:r>
      <w:proofErr w:type="spellEnd"/>
      <w:r>
        <w:rPr>
          <w:rFonts w:asciiTheme="minorHAnsi" w:hAnsiTheme="minorHAnsi"/>
          <w:sz w:val="22"/>
          <w:szCs w:val="22"/>
          <w:lang w:val="en-GB"/>
        </w:rPr>
        <w:t xml:space="preserve"> C. F. &amp; Evans C. R. Impact of </w:t>
      </w:r>
      <w:proofErr w:type="spellStart"/>
      <w:r>
        <w:rPr>
          <w:rFonts w:asciiTheme="minorHAnsi" w:hAnsiTheme="minorHAnsi"/>
          <w:sz w:val="22"/>
          <w:szCs w:val="22"/>
          <w:lang w:val="en-GB"/>
        </w:rPr>
        <w:t>anesthesia</w:t>
      </w:r>
      <w:proofErr w:type="spellEnd"/>
      <w:r>
        <w:rPr>
          <w:rFonts w:asciiTheme="minorHAnsi" w:hAnsiTheme="minorHAnsi"/>
          <w:sz w:val="22"/>
          <w:szCs w:val="22"/>
          <w:lang w:val="en-GB"/>
        </w:rPr>
        <w:t xml:space="preserve"> and euthanasia on metabolomics of mammalian tissues: studies in a C57BL/6J mouse model. </w:t>
      </w:r>
      <w:proofErr w:type="spellStart"/>
      <w:r>
        <w:rPr>
          <w:rFonts w:asciiTheme="minorHAnsi" w:hAnsiTheme="minorHAnsi"/>
          <w:i/>
          <w:sz w:val="22"/>
          <w:szCs w:val="22"/>
          <w:lang w:val="en-GB"/>
        </w:rPr>
        <w:t>PLoS</w:t>
      </w:r>
      <w:proofErr w:type="spellEnd"/>
      <w:r>
        <w:rPr>
          <w:rFonts w:asciiTheme="minorHAnsi" w:hAnsiTheme="minorHAnsi"/>
          <w:i/>
          <w:sz w:val="22"/>
          <w:szCs w:val="22"/>
          <w:lang w:val="en-GB"/>
        </w:rPr>
        <w:t xml:space="preserve"> One</w:t>
      </w:r>
      <w:r>
        <w:rPr>
          <w:rFonts w:asciiTheme="minorHAnsi" w:hAnsiTheme="minorHAnsi"/>
          <w:sz w:val="22"/>
          <w:szCs w:val="22"/>
          <w:lang w:val="en-GB"/>
        </w:rPr>
        <w:t xml:space="preserve"> 10:e0117232, </w:t>
      </w:r>
      <w:hyperlink r:id="rId59" w:history="1">
        <w:r>
          <w:rPr>
            <w:rStyle w:val="Hyperlink"/>
            <w:rFonts w:asciiTheme="minorHAnsi" w:hAnsiTheme="minorHAnsi"/>
            <w:sz w:val="22"/>
            <w:szCs w:val="22"/>
            <w:lang w:val="en-GB"/>
          </w:rPr>
          <w:t>https://doi.org/10.1371/journal.pone.0117232</w:t>
        </w:r>
      </w:hyperlink>
      <w:r>
        <w:rPr>
          <w:rFonts w:asciiTheme="minorHAnsi" w:hAnsiTheme="minorHAnsi"/>
          <w:sz w:val="22"/>
          <w:szCs w:val="22"/>
          <w:lang w:val="en-GB"/>
        </w:rPr>
        <w:t xml:space="preserve"> (2015).</w:t>
      </w:r>
    </w:p>
    <w:p>
      <w:pPr>
        <w:pStyle w:val="Listenabsatz"/>
        <w:numPr>
          <w:ilvl w:val="0"/>
          <w:numId w:val="11"/>
        </w:numPr>
        <w:spacing w:line="360" w:lineRule="auto"/>
        <w:ind w:left="567" w:hanging="425"/>
        <w:jc w:val="both"/>
        <w:rPr>
          <w:rFonts w:asciiTheme="minorHAnsi" w:hAnsiTheme="minorHAnsi"/>
          <w:sz w:val="22"/>
          <w:szCs w:val="22"/>
        </w:rPr>
      </w:pPr>
      <w:r>
        <w:rPr>
          <w:rFonts w:asciiTheme="minorHAnsi" w:hAnsiTheme="minorHAnsi"/>
          <w:sz w:val="22"/>
          <w:szCs w:val="22"/>
        </w:rPr>
        <w:t xml:space="preserve">Böck P. Schnellfärbung mit Methylenblau-Azur II und Methylenblau-basisches Fuchsin. In: </w:t>
      </w:r>
      <w:r>
        <w:rPr>
          <w:rFonts w:asciiTheme="minorHAnsi" w:hAnsiTheme="minorHAnsi"/>
          <w:i/>
          <w:iCs/>
          <w:sz w:val="22"/>
          <w:szCs w:val="22"/>
        </w:rPr>
        <w:t>Der Semidünnschnitt</w:t>
      </w:r>
      <w:r>
        <w:rPr>
          <w:rFonts w:asciiTheme="minorHAnsi" w:hAnsiTheme="minorHAnsi"/>
          <w:i/>
          <w:sz w:val="22"/>
          <w:szCs w:val="22"/>
        </w:rPr>
        <w:t>.</w:t>
      </w:r>
      <w:r>
        <w:rPr>
          <w:rFonts w:asciiTheme="minorHAnsi" w:hAnsiTheme="minorHAnsi"/>
          <w:sz w:val="22"/>
          <w:szCs w:val="22"/>
        </w:rPr>
        <w:t xml:space="preserve"> J.F. Bergmann-Verlag (München, Germany), p 56-57, </w:t>
      </w:r>
      <w:hyperlink r:id="rId60" w:history="1">
        <w:r>
          <w:rPr>
            <w:rStyle w:val="Hyperlink"/>
            <w:rFonts w:asciiTheme="minorHAnsi" w:hAnsiTheme="minorHAnsi"/>
            <w:sz w:val="22"/>
            <w:szCs w:val="22"/>
          </w:rPr>
          <w:t>https://doi.org/10.1007/978-3-642-80506-6_18</w:t>
        </w:r>
      </w:hyperlink>
      <w:r>
        <w:rPr>
          <w:rStyle w:val="bibliographic-informationvalue"/>
          <w:rFonts w:asciiTheme="minorHAnsi" w:hAnsiTheme="minorHAnsi"/>
          <w:sz w:val="22"/>
          <w:szCs w:val="22"/>
        </w:rPr>
        <w:t xml:space="preserve"> </w:t>
      </w:r>
      <w:r>
        <w:rPr>
          <w:rFonts w:asciiTheme="minorHAnsi" w:hAnsiTheme="minorHAnsi"/>
          <w:sz w:val="22"/>
          <w:szCs w:val="22"/>
        </w:rPr>
        <w:t>(1984).</w:t>
      </w:r>
    </w:p>
    <w:p>
      <w:pPr>
        <w:pStyle w:val="Listenabsatz"/>
        <w:numPr>
          <w:ilvl w:val="0"/>
          <w:numId w:val="11"/>
        </w:numPr>
        <w:spacing w:line="360" w:lineRule="auto"/>
        <w:ind w:left="567" w:hanging="425"/>
        <w:jc w:val="both"/>
        <w:rPr>
          <w:rFonts w:asciiTheme="minorHAnsi" w:hAnsiTheme="minorHAnsi"/>
          <w:sz w:val="22"/>
          <w:szCs w:val="22"/>
        </w:rPr>
      </w:pPr>
      <w:r>
        <w:rPr>
          <w:rFonts w:asciiTheme="minorHAnsi" w:hAnsiTheme="minorHAnsi"/>
          <w:sz w:val="22"/>
          <w:szCs w:val="22"/>
          <w:lang w:val="en-GB"/>
        </w:rPr>
        <w:lastRenderedPageBreak/>
        <w:t xml:space="preserve">Firth D. Bias reduction of maximum likelihood estimates. </w:t>
      </w:r>
      <w:proofErr w:type="spellStart"/>
      <w:r>
        <w:rPr>
          <w:rFonts w:asciiTheme="minorHAnsi" w:hAnsiTheme="minorHAnsi"/>
          <w:i/>
          <w:sz w:val="22"/>
          <w:szCs w:val="22"/>
        </w:rPr>
        <w:t>Biometrika</w:t>
      </w:r>
      <w:proofErr w:type="spellEnd"/>
      <w:r>
        <w:rPr>
          <w:rFonts w:asciiTheme="minorHAnsi" w:hAnsiTheme="minorHAnsi"/>
          <w:sz w:val="22"/>
          <w:szCs w:val="22"/>
        </w:rPr>
        <w:t xml:space="preserve"> </w:t>
      </w:r>
      <w:r>
        <w:rPr>
          <w:rFonts w:asciiTheme="minorHAnsi" w:hAnsiTheme="minorHAnsi"/>
          <w:b/>
          <w:sz w:val="22"/>
          <w:szCs w:val="22"/>
        </w:rPr>
        <w:t>80,</w:t>
      </w:r>
      <w:r>
        <w:rPr>
          <w:rFonts w:asciiTheme="minorHAnsi" w:hAnsiTheme="minorHAnsi"/>
          <w:sz w:val="22"/>
          <w:szCs w:val="22"/>
        </w:rPr>
        <w:t xml:space="preserve"> 27-38, </w:t>
      </w:r>
      <w:hyperlink r:id="rId61" w:history="1">
        <w:r>
          <w:rPr>
            <w:rStyle w:val="Hyperlink"/>
            <w:rFonts w:asciiTheme="minorHAnsi" w:hAnsiTheme="minorHAnsi"/>
            <w:sz w:val="22"/>
            <w:szCs w:val="22"/>
          </w:rPr>
          <w:t>https://doi.org/10.1093/biomet/80.1.27</w:t>
        </w:r>
      </w:hyperlink>
      <w:r>
        <w:rPr>
          <w:rFonts w:asciiTheme="minorHAnsi" w:hAnsiTheme="minorHAnsi"/>
          <w:sz w:val="22"/>
          <w:szCs w:val="22"/>
        </w:rPr>
        <w:t xml:space="preserve"> (1993).</w:t>
      </w:r>
    </w:p>
    <w:p>
      <w:pPr>
        <w:pStyle w:val="Listenabsatz"/>
        <w:numPr>
          <w:ilvl w:val="0"/>
          <w:numId w:val="11"/>
        </w:numPr>
        <w:spacing w:line="360" w:lineRule="auto"/>
        <w:ind w:left="567" w:hanging="425"/>
        <w:jc w:val="both"/>
        <w:rPr>
          <w:rFonts w:asciiTheme="minorHAnsi" w:hAnsiTheme="minorHAnsi"/>
          <w:sz w:val="22"/>
          <w:szCs w:val="22"/>
          <w:lang w:val="en-GB"/>
        </w:rPr>
      </w:pPr>
      <w:proofErr w:type="spellStart"/>
      <w:r>
        <w:rPr>
          <w:rFonts w:asciiTheme="minorHAnsi" w:hAnsiTheme="minorHAnsi" w:cs="Segoe UI"/>
          <w:color w:val="000000"/>
          <w:sz w:val="22"/>
          <w:szCs w:val="22"/>
          <w:lang w:val="en-GB"/>
        </w:rPr>
        <w:t>Zukunft</w:t>
      </w:r>
      <w:proofErr w:type="spellEnd"/>
      <w:r>
        <w:rPr>
          <w:rFonts w:asciiTheme="minorHAnsi" w:hAnsiTheme="minorHAnsi" w:cs="Segoe UI"/>
          <w:sz w:val="22"/>
          <w:szCs w:val="22"/>
          <w:lang w:val="en-GB"/>
        </w:rPr>
        <w:t xml:space="preserve"> S. </w:t>
      </w:r>
      <w:r>
        <w:rPr>
          <w:rStyle w:val="InternetLink"/>
          <w:rFonts w:asciiTheme="minorHAnsi" w:hAnsiTheme="minorHAnsi"/>
          <w:i/>
          <w:color w:val="auto"/>
          <w:sz w:val="22"/>
          <w:szCs w:val="22"/>
          <w:u w:val="none"/>
          <w:lang w:val="en-GB"/>
        </w:rPr>
        <w:t>et al.</w:t>
      </w:r>
      <w:r>
        <w:rPr>
          <w:rFonts w:asciiTheme="minorHAnsi" w:hAnsiTheme="minorHAnsi" w:cs="Segoe UI"/>
          <w:sz w:val="22"/>
          <w:szCs w:val="22"/>
          <w:lang w:val="en-GB"/>
        </w:rPr>
        <w:t xml:space="preserve"> High-throughput extraction and quantification method for targeted metabolomics in murine tissues. </w:t>
      </w:r>
      <w:r>
        <w:rPr>
          <w:rFonts w:asciiTheme="minorHAnsi" w:hAnsiTheme="minorHAnsi" w:cs="Segoe UI"/>
          <w:i/>
          <w:iCs/>
          <w:sz w:val="22"/>
          <w:szCs w:val="22"/>
          <w:lang w:val="en-GB"/>
        </w:rPr>
        <w:t>Metabolomics</w:t>
      </w:r>
      <w:r>
        <w:rPr>
          <w:rFonts w:asciiTheme="minorHAnsi" w:hAnsiTheme="minorHAnsi" w:cs="Segoe UI"/>
          <w:sz w:val="22"/>
          <w:szCs w:val="22"/>
          <w:lang w:val="en-GB"/>
        </w:rPr>
        <w:t xml:space="preserve"> </w:t>
      </w:r>
      <w:r>
        <w:rPr>
          <w:rFonts w:asciiTheme="minorHAnsi" w:hAnsiTheme="minorHAnsi" w:cs="Segoe UI"/>
          <w:b/>
          <w:sz w:val="22"/>
          <w:szCs w:val="22"/>
          <w:lang w:val="en-GB"/>
        </w:rPr>
        <w:t>14,</w:t>
      </w:r>
      <w:r>
        <w:rPr>
          <w:rFonts w:asciiTheme="minorHAnsi" w:hAnsiTheme="minorHAnsi" w:cs="Segoe UI"/>
          <w:sz w:val="22"/>
          <w:szCs w:val="22"/>
          <w:lang w:val="en-GB"/>
        </w:rPr>
        <w:t xml:space="preserve"> 18, </w:t>
      </w:r>
      <w:hyperlink r:id="rId62" w:history="1">
        <w:r>
          <w:rPr>
            <w:rStyle w:val="Hyperlink"/>
            <w:rFonts w:asciiTheme="minorHAnsi" w:hAnsiTheme="minorHAnsi"/>
            <w:sz w:val="22"/>
            <w:szCs w:val="22"/>
            <w:lang w:val="en-GB"/>
          </w:rPr>
          <w:t>https://doi.org/10.1007/s11306-017-1312-x</w:t>
        </w:r>
      </w:hyperlink>
      <w:r>
        <w:rPr>
          <w:rFonts w:asciiTheme="minorHAnsi" w:hAnsiTheme="minorHAnsi"/>
          <w:sz w:val="22"/>
          <w:szCs w:val="22"/>
          <w:lang w:val="en-GB"/>
        </w:rPr>
        <w:t xml:space="preserve"> </w:t>
      </w:r>
      <w:r>
        <w:rPr>
          <w:rFonts w:asciiTheme="minorHAnsi" w:hAnsiTheme="minorHAnsi" w:cs="Segoe UI"/>
          <w:sz w:val="22"/>
          <w:szCs w:val="22"/>
          <w:lang w:val="en-GB"/>
        </w:rPr>
        <w:t>(2018).</w:t>
      </w:r>
    </w:p>
    <w:p>
      <w:pPr>
        <w:pStyle w:val="details1"/>
        <w:numPr>
          <w:ilvl w:val="0"/>
          <w:numId w:val="11"/>
        </w:numPr>
        <w:spacing w:line="360" w:lineRule="auto"/>
        <w:ind w:left="567" w:hanging="425"/>
        <w:jc w:val="both"/>
        <w:rPr>
          <w:rFonts w:asciiTheme="minorHAnsi" w:hAnsiTheme="minorHAnsi" w:cs="Arial"/>
          <w:lang w:val="en-GB"/>
        </w:rPr>
      </w:pPr>
      <w:proofErr w:type="spellStart"/>
      <w:r>
        <w:rPr>
          <w:rFonts w:asciiTheme="minorHAnsi" w:hAnsiTheme="minorHAnsi"/>
          <w:lang w:val="en-GB"/>
        </w:rPr>
        <w:t>Römisch-Margl</w:t>
      </w:r>
      <w:proofErr w:type="spellEnd"/>
      <w:r>
        <w:rPr>
          <w:rFonts w:asciiTheme="minorHAnsi" w:hAnsiTheme="minorHAnsi"/>
          <w:lang w:val="en-GB"/>
        </w:rPr>
        <w:t xml:space="preserve"> W., Prehn C., </w:t>
      </w:r>
      <w:proofErr w:type="spellStart"/>
      <w:r>
        <w:rPr>
          <w:rFonts w:asciiTheme="minorHAnsi" w:hAnsiTheme="minorHAnsi"/>
          <w:lang w:val="en-GB"/>
        </w:rPr>
        <w:t>Bogumil</w:t>
      </w:r>
      <w:proofErr w:type="spellEnd"/>
      <w:r>
        <w:rPr>
          <w:rFonts w:asciiTheme="minorHAnsi" w:hAnsiTheme="minorHAnsi"/>
          <w:lang w:val="en-GB"/>
        </w:rPr>
        <w:t xml:space="preserve"> R., </w:t>
      </w:r>
      <w:proofErr w:type="spellStart"/>
      <w:r>
        <w:rPr>
          <w:rFonts w:asciiTheme="minorHAnsi" w:hAnsiTheme="minorHAnsi"/>
          <w:lang w:val="en-GB"/>
        </w:rPr>
        <w:t>Röhring</w:t>
      </w:r>
      <w:proofErr w:type="spellEnd"/>
      <w:r>
        <w:rPr>
          <w:rFonts w:asciiTheme="minorHAnsi" w:hAnsiTheme="minorHAnsi"/>
          <w:lang w:val="en-GB"/>
        </w:rPr>
        <w:t xml:space="preserve"> C., </w:t>
      </w:r>
      <w:proofErr w:type="spellStart"/>
      <w:r>
        <w:rPr>
          <w:rFonts w:asciiTheme="minorHAnsi" w:hAnsiTheme="minorHAnsi"/>
          <w:lang w:val="en-GB"/>
        </w:rPr>
        <w:t>Suhre</w:t>
      </w:r>
      <w:proofErr w:type="spellEnd"/>
      <w:r>
        <w:rPr>
          <w:rFonts w:asciiTheme="minorHAnsi" w:hAnsiTheme="minorHAnsi"/>
          <w:lang w:val="en-GB"/>
        </w:rPr>
        <w:t xml:space="preserve"> K. &amp; Adamski J. Procedure for tissue sample preparation and metabolite extraction for high-throughput targeted metabolomics. </w:t>
      </w:r>
      <w:r>
        <w:rPr>
          <w:rFonts w:asciiTheme="minorHAnsi" w:hAnsiTheme="minorHAnsi"/>
          <w:i/>
          <w:iCs/>
          <w:lang w:val="en-GB"/>
        </w:rPr>
        <w:t xml:space="preserve">Metabolomics. </w:t>
      </w:r>
      <w:proofErr w:type="gramStart"/>
      <w:r>
        <w:rPr>
          <w:rFonts w:asciiTheme="minorHAnsi" w:hAnsiTheme="minorHAnsi"/>
          <w:b/>
          <w:bCs/>
          <w:lang w:val="en-GB"/>
        </w:rPr>
        <w:t>8</w:t>
      </w:r>
      <w:proofErr w:type="gramEnd"/>
      <w:r>
        <w:rPr>
          <w:rFonts w:asciiTheme="minorHAnsi" w:hAnsiTheme="minorHAnsi"/>
          <w:b/>
          <w:bCs/>
          <w:lang w:val="en-GB"/>
        </w:rPr>
        <w:t>,</w:t>
      </w:r>
      <w:r>
        <w:rPr>
          <w:rFonts w:asciiTheme="minorHAnsi" w:hAnsiTheme="minorHAnsi"/>
          <w:bCs/>
          <w:lang w:val="en-GB"/>
        </w:rPr>
        <w:t xml:space="preserve"> </w:t>
      </w:r>
      <w:r>
        <w:rPr>
          <w:rFonts w:asciiTheme="minorHAnsi" w:hAnsiTheme="minorHAnsi"/>
          <w:lang w:val="en-GB"/>
        </w:rPr>
        <w:t xml:space="preserve">133-142, </w:t>
      </w:r>
      <w:hyperlink r:id="rId63" w:history="1">
        <w:r>
          <w:rPr>
            <w:rStyle w:val="Hyperlink"/>
            <w:rFonts w:asciiTheme="minorHAnsi" w:hAnsiTheme="minorHAnsi"/>
            <w:lang w:val="en-GB"/>
          </w:rPr>
          <w:t>https://doi.org/10.1007/s11306-011-0293-4</w:t>
        </w:r>
      </w:hyperlink>
      <w:r>
        <w:rPr>
          <w:rFonts w:asciiTheme="minorHAnsi" w:hAnsiTheme="minorHAnsi"/>
          <w:lang w:val="en-GB"/>
        </w:rPr>
        <w:t xml:space="preserve"> (2012).</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sz w:val="22"/>
          <w:szCs w:val="22"/>
          <w:lang w:val="en-GB"/>
        </w:rPr>
        <w:t xml:space="preserve">European Medicines Agency. Committee for Medicinal Products for Human Use (CHMP). Guideline on bioanalytical method validation. EMEA/CHMP/EWP/192217/2009 Rev. 1 Corr. 2, 21 July 2011, </w:t>
      </w:r>
      <w:hyperlink r:id="rId64" w:history="1">
        <w:r>
          <w:rPr>
            <w:rStyle w:val="Hyperlink"/>
            <w:rFonts w:asciiTheme="minorHAnsi" w:hAnsiTheme="minorHAnsi"/>
            <w:sz w:val="22"/>
            <w:szCs w:val="22"/>
            <w:lang w:val="en-GB"/>
          </w:rPr>
          <w:t>https://www.ema.europa.eu/en/documents/scientific-guideline/guideline-bioanalytical-method-validation_en.pdf</w:t>
        </w:r>
      </w:hyperlink>
      <w:r>
        <w:rPr>
          <w:rFonts w:asciiTheme="minorHAnsi" w:hAnsiTheme="minorHAnsi"/>
          <w:sz w:val="22"/>
          <w:szCs w:val="22"/>
          <w:lang w:val="en-GB"/>
        </w:rPr>
        <w:t xml:space="preserve"> (2009).</w:t>
      </w:r>
    </w:p>
    <w:p>
      <w:pPr>
        <w:pStyle w:val="details1"/>
        <w:numPr>
          <w:ilvl w:val="0"/>
          <w:numId w:val="11"/>
        </w:numPr>
        <w:spacing w:line="360" w:lineRule="auto"/>
        <w:ind w:left="567" w:hanging="425"/>
        <w:jc w:val="both"/>
        <w:rPr>
          <w:rFonts w:asciiTheme="minorHAnsi" w:hAnsiTheme="minorHAnsi" w:cs="Arial"/>
          <w:lang w:val="en-GB"/>
        </w:rPr>
      </w:pPr>
      <w:proofErr w:type="spellStart"/>
      <w:r>
        <w:rPr>
          <w:rFonts w:asciiTheme="minorHAnsi" w:hAnsiTheme="minorHAnsi"/>
          <w:lang w:val="en-GB"/>
        </w:rPr>
        <w:t>Zukunft</w:t>
      </w:r>
      <w:proofErr w:type="spellEnd"/>
      <w:r>
        <w:rPr>
          <w:rFonts w:asciiTheme="minorHAnsi" w:hAnsiTheme="minorHAnsi"/>
          <w:lang w:val="en-GB"/>
        </w:rPr>
        <w:t xml:space="preserve"> S., </w:t>
      </w:r>
      <w:proofErr w:type="spellStart"/>
      <w:r>
        <w:rPr>
          <w:rFonts w:asciiTheme="minorHAnsi" w:hAnsiTheme="minorHAnsi"/>
          <w:lang w:val="en-GB"/>
        </w:rPr>
        <w:t>Sorgenfrei</w:t>
      </w:r>
      <w:proofErr w:type="spellEnd"/>
      <w:r>
        <w:rPr>
          <w:rFonts w:asciiTheme="minorHAnsi" w:hAnsiTheme="minorHAnsi"/>
          <w:lang w:val="en-GB"/>
        </w:rPr>
        <w:t xml:space="preserve"> M., Prehn C., Möller G. &amp; Adamski J. Targeted metabolomics of dried blood spot extracts. </w:t>
      </w:r>
      <w:proofErr w:type="spellStart"/>
      <w:r>
        <w:rPr>
          <w:rFonts w:asciiTheme="minorHAnsi" w:hAnsiTheme="minorHAnsi"/>
          <w:i/>
          <w:lang w:val="en-GB"/>
        </w:rPr>
        <w:t>Chromatographia</w:t>
      </w:r>
      <w:proofErr w:type="spellEnd"/>
      <w:r>
        <w:rPr>
          <w:rFonts w:asciiTheme="minorHAnsi" w:hAnsiTheme="minorHAnsi"/>
          <w:lang w:val="en-GB"/>
        </w:rPr>
        <w:t xml:space="preserve"> </w:t>
      </w:r>
      <w:r>
        <w:rPr>
          <w:rFonts w:asciiTheme="minorHAnsi" w:hAnsiTheme="minorHAnsi"/>
          <w:b/>
          <w:lang w:val="en-GB"/>
        </w:rPr>
        <w:t>76,</w:t>
      </w:r>
      <w:r>
        <w:rPr>
          <w:rFonts w:asciiTheme="minorHAnsi" w:hAnsiTheme="minorHAnsi"/>
          <w:lang w:val="en-GB"/>
        </w:rPr>
        <w:t xml:space="preserve"> 1295, </w:t>
      </w:r>
      <w:hyperlink r:id="rId65" w:history="1">
        <w:r>
          <w:rPr>
            <w:rStyle w:val="Hyperlink"/>
            <w:rFonts w:asciiTheme="minorHAnsi" w:hAnsiTheme="minorHAnsi"/>
            <w:lang w:val="en-GB"/>
          </w:rPr>
          <w:t>https://doi.org/10.1007/s10337-013-2429-3</w:t>
        </w:r>
      </w:hyperlink>
      <w:r>
        <w:rPr>
          <w:rFonts w:asciiTheme="minorHAnsi" w:hAnsiTheme="minorHAnsi"/>
          <w:lang w:val="en-GB"/>
        </w:rPr>
        <w:t xml:space="preserve"> (2013)</w:t>
      </w:r>
    </w:p>
    <w:p>
      <w:pPr>
        <w:pStyle w:val="Listenabsatz"/>
        <w:numPr>
          <w:ilvl w:val="0"/>
          <w:numId w:val="11"/>
        </w:numPr>
        <w:spacing w:line="360" w:lineRule="auto"/>
        <w:ind w:left="567" w:hanging="425"/>
        <w:jc w:val="both"/>
        <w:rPr>
          <w:rFonts w:asciiTheme="minorHAnsi" w:hAnsiTheme="minorHAnsi" w:cs="Arial"/>
          <w:sz w:val="22"/>
          <w:szCs w:val="22"/>
          <w:lang w:val="en-GB"/>
        </w:rPr>
      </w:pPr>
      <w:r>
        <w:rPr>
          <w:rFonts w:asciiTheme="minorHAnsi" w:hAnsiTheme="minorHAnsi" w:cs="Arial"/>
          <w:sz w:val="22"/>
          <w:szCs w:val="22"/>
          <w:lang w:val="en-GB" w:bidi="en-US"/>
        </w:rPr>
        <w:t xml:space="preserve">R Core Team. R: A Language and Environment for Statistical Computing. R Foundation for Statistical Computing, Vienna </w:t>
      </w:r>
      <w:hyperlink r:id="rId66" w:history="1">
        <w:r>
          <w:rPr>
            <w:rStyle w:val="Hyperlink"/>
            <w:rFonts w:asciiTheme="minorHAnsi" w:hAnsiTheme="minorHAnsi"/>
            <w:sz w:val="22"/>
            <w:szCs w:val="22"/>
            <w:lang w:val="en-GB"/>
          </w:rPr>
          <w:t>https://www.R-project.org</w:t>
        </w:r>
      </w:hyperlink>
      <w:r>
        <w:rPr>
          <w:rFonts w:asciiTheme="minorHAnsi" w:hAnsiTheme="minorHAnsi"/>
          <w:sz w:val="22"/>
          <w:szCs w:val="22"/>
          <w:lang w:val="en-GB"/>
        </w:rPr>
        <w:t xml:space="preserve"> </w:t>
      </w:r>
      <w:r>
        <w:rPr>
          <w:rFonts w:asciiTheme="minorHAnsi" w:hAnsiTheme="minorHAnsi" w:cs="Arial"/>
          <w:sz w:val="22"/>
          <w:szCs w:val="22"/>
          <w:lang w:val="en-GB" w:bidi="en-US"/>
        </w:rPr>
        <w:t>(2018).</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sz w:val="22"/>
          <w:szCs w:val="22"/>
          <w:lang w:val="en-GB"/>
        </w:rPr>
        <w:t xml:space="preserve">Abdi H. &amp; Williams L. J. Principal component analysis. </w:t>
      </w:r>
      <w:r>
        <w:rPr>
          <w:rFonts w:asciiTheme="minorHAnsi" w:hAnsiTheme="minorHAnsi"/>
          <w:i/>
          <w:sz w:val="22"/>
          <w:szCs w:val="22"/>
          <w:lang w:val="en-GB"/>
        </w:rPr>
        <w:t>WIREs Computational Statistics</w:t>
      </w:r>
      <w:r>
        <w:rPr>
          <w:rFonts w:asciiTheme="minorHAnsi" w:hAnsiTheme="minorHAnsi"/>
          <w:sz w:val="22"/>
          <w:szCs w:val="22"/>
          <w:lang w:val="en-GB"/>
        </w:rPr>
        <w:t xml:space="preserve"> </w:t>
      </w:r>
      <w:r>
        <w:rPr>
          <w:rFonts w:asciiTheme="minorHAnsi" w:hAnsiTheme="minorHAnsi"/>
          <w:b/>
          <w:sz w:val="22"/>
          <w:szCs w:val="22"/>
          <w:lang w:val="en-GB"/>
        </w:rPr>
        <w:t>2,</w:t>
      </w:r>
      <w:r>
        <w:rPr>
          <w:rFonts w:asciiTheme="minorHAnsi" w:hAnsiTheme="minorHAnsi"/>
          <w:sz w:val="22"/>
          <w:szCs w:val="22"/>
          <w:lang w:val="en-GB"/>
        </w:rPr>
        <w:t xml:space="preserve"> 433-459, </w:t>
      </w:r>
      <w:hyperlink r:id="rId67" w:history="1">
        <w:r>
          <w:rPr>
            <w:rStyle w:val="Hyperlink"/>
            <w:rFonts w:asciiTheme="minorHAnsi" w:hAnsiTheme="minorHAnsi"/>
            <w:sz w:val="22"/>
            <w:szCs w:val="22"/>
            <w:lang w:val="en-GB"/>
          </w:rPr>
          <w:t>https://doi.org/10.1002/wics.101</w:t>
        </w:r>
      </w:hyperlink>
      <w:r>
        <w:rPr>
          <w:rFonts w:asciiTheme="minorHAnsi" w:hAnsiTheme="minorHAnsi"/>
          <w:sz w:val="22"/>
          <w:szCs w:val="22"/>
          <w:lang w:val="en-GB"/>
        </w:rPr>
        <w:t xml:space="preserve"> (2010).</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sz w:val="22"/>
          <w:szCs w:val="22"/>
          <w:lang w:val="en-GB"/>
        </w:rPr>
        <w:t xml:space="preserve">Chong J. </w:t>
      </w:r>
      <w:r>
        <w:rPr>
          <w:rStyle w:val="InternetLink"/>
          <w:rFonts w:asciiTheme="minorHAnsi" w:hAnsiTheme="minorHAnsi"/>
          <w:i/>
          <w:color w:val="auto"/>
          <w:sz w:val="22"/>
          <w:szCs w:val="22"/>
          <w:u w:val="none"/>
          <w:lang w:val="en-GB"/>
        </w:rPr>
        <w:t>et al.</w:t>
      </w:r>
      <w:r>
        <w:rPr>
          <w:rFonts w:asciiTheme="minorHAnsi" w:hAnsiTheme="minorHAnsi"/>
          <w:sz w:val="22"/>
          <w:szCs w:val="22"/>
          <w:lang w:val="en-GB"/>
        </w:rPr>
        <w:t xml:space="preserve"> </w:t>
      </w:r>
      <w:proofErr w:type="spellStart"/>
      <w:r>
        <w:rPr>
          <w:rFonts w:asciiTheme="minorHAnsi" w:hAnsiTheme="minorHAnsi"/>
          <w:sz w:val="22"/>
          <w:szCs w:val="22"/>
          <w:lang w:val="en-GB"/>
        </w:rPr>
        <w:t>MetaboAnalyst</w:t>
      </w:r>
      <w:proofErr w:type="spellEnd"/>
      <w:r>
        <w:rPr>
          <w:rFonts w:asciiTheme="minorHAnsi" w:hAnsiTheme="minorHAnsi"/>
          <w:sz w:val="22"/>
          <w:szCs w:val="22"/>
          <w:lang w:val="en-GB"/>
        </w:rPr>
        <w:t xml:space="preserve"> 4.0: towards more transparent and integrative metabolomics analysis. </w:t>
      </w:r>
      <w:r>
        <w:rPr>
          <w:rFonts w:asciiTheme="minorHAnsi" w:hAnsiTheme="minorHAnsi"/>
          <w:i/>
          <w:sz w:val="22"/>
          <w:szCs w:val="22"/>
          <w:lang w:val="en-GB"/>
        </w:rPr>
        <w:t>Nucleic Acids Res.</w:t>
      </w:r>
      <w:r>
        <w:rPr>
          <w:rFonts w:asciiTheme="minorHAnsi" w:hAnsiTheme="minorHAnsi"/>
          <w:sz w:val="22"/>
          <w:szCs w:val="22"/>
          <w:lang w:val="en-GB"/>
        </w:rPr>
        <w:t xml:space="preserve"> </w:t>
      </w:r>
      <w:r>
        <w:rPr>
          <w:rFonts w:asciiTheme="minorHAnsi" w:hAnsiTheme="minorHAnsi"/>
          <w:b/>
          <w:sz w:val="22"/>
          <w:szCs w:val="22"/>
          <w:lang w:val="en-GB"/>
        </w:rPr>
        <w:t>46,</w:t>
      </w:r>
      <w:r>
        <w:rPr>
          <w:rFonts w:asciiTheme="minorHAnsi" w:hAnsiTheme="minorHAnsi"/>
          <w:sz w:val="22"/>
          <w:szCs w:val="22"/>
          <w:lang w:val="en-GB"/>
        </w:rPr>
        <w:t xml:space="preserve"> W486-W494, </w:t>
      </w:r>
      <w:hyperlink r:id="rId68" w:history="1">
        <w:r>
          <w:rPr>
            <w:rStyle w:val="Hyperlink"/>
            <w:rFonts w:asciiTheme="minorHAnsi" w:hAnsiTheme="minorHAnsi"/>
            <w:sz w:val="22"/>
            <w:szCs w:val="22"/>
            <w:lang w:val="en-GB"/>
          </w:rPr>
          <w:t>https://doi.org/10.1093/nar/gky310</w:t>
        </w:r>
      </w:hyperlink>
      <w:r>
        <w:rPr>
          <w:rFonts w:asciiTheme="minorHAnsi" w:hAnsiTheme="minorHAnsi"/>
          <w:sz w:val="22"/>
          <w:szCs w:val="22"/>
          <w:lang w:val="en-GB"/>
        </w:rPr>
        <w:t xml:space="preserve"> (2018).</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sz w:val="22"/>
          <w:szCs w:val="22"/>
          <w:lang w:val="en-GB"/>
        </w:rPr>
        <w:t xml:space="preserve">Hollander M., Wolfe D.A. &amp; Chicken E. Nonparametric Statistical Methods, </w:t>
      </w:r>
      <w:proofErr w:type="gramStart"/>
      <w:r>
        <w:rPr>
          <w:rFonts w:asciiTheme="minorHAnsi" w:hAnsiTheme="minorHAnsi"/>
          <w:sz w:val="22"/>
          <w:szCs w:val="22"/>
          <w:lang w:val="en-GB"/>
        </w:rPr>
        <w:t>3rd</w:t>
      </w:r>
      <w:proofErr w:type="gramEnd"/>
      <w:r>
        <w:rPr>
          <w:rFonts w:asciiTheme="minorHAnsi" w:hAnsiTheme="minorHAnsi"/>
          <w:sz w:val="22"/>
          <w:szCs w:val="22"/>
          <w:lang w:val="en-GB"/>
        </w:rPr>
        <w:t xml:space="preserve"> Edition, Wiley, p115-136, ISBN: 978-0-470-38737-5 (2013).</w:t>
      </w:r>
    </w:p>
    <w:p>
      <w:pPr>
        <w:pStyle w:val="Listenabsatz"/>
        <w:numPr>
          <w:ilvl w:val="0"/>
          <w:numId w:val="11"/>
        </w:numPr>
        <w:spacing w:line="360" w:lineRule="auto"/>
        <w:ind w:left="567" w:hanging="425"/>
        <w:jc w:val="both"/>
        <w:rPr>
          <w:rFonts w:asciiTheme="minorHAnsi" w:hAnsiTheme="minorHAnsi"/>
          <w:sz w:val="22"/>
          <w:szCs w:val="22"/>
          <w:lang w:val="en-GB"/>
        </w:rPr>
      </w:pPr>
      <w:r>
        <w:rPr>
          <w:rFonts w:asciiTheme="minorHAnsi" w:hAnsiTheme="minorHAnsi"/>
          <w:sz w:val="22"/>
          <w:szCs w:val="22"/>
          <w:lang w:val="en-GB"/>
        </w:rPr>
        <w:t xml:space="preserve">Abdi H. </w:t>
      </w:r>
      <w:proofErr w:type="spellStart"/>
      <w:r>
        <w:rPr>
          <w:rFonts w:asciiTheme="minorHAnsi" w:hAnsiTheme="minorHAnsi"/>
          <w:sz w:val="22"/>
          <w:szCs w:val="22"/>
          <w:lang w:val="en-GB"/>
        </w:rPr>
        <w:t>Bonferroni</w:t>
      </w:r>
      <w:proofErr w:type="spellEnd"/>
      <w:r>
        <w:rPr>
          <w:rFonts w:asciiTheme="minorHAnsi" w:hAnsiTheme="minorHAnsi"/>
          <w:sz w:val="22"/>
          <w:szCs w:val="22"/>
          <w:lang w:val="en-GB"/>
        </w:rPr>
        <w:t xml:space="preserve"> and </w:t>
      </w:r>
      <w:proofErr w:type="spellStart"/>
      <w:r>
        <w:rPr>
          <w:rFonts w:asciiTheme="minorHAnsi" w:hAnsiTheme="minorHAnsi"/>
          <w:sz w:val="22"/>
          <w:szCs w:val="22"/>
          <w:lang w:val="en-GB"/>
        </w:rPr>
        <w:t>Šidák</w:t>
      </w:r>
      <w:proofErr w:type="spellEnd"/>
      <w:r>
        <w:rPr>
          <w:rFonts w:asciiTheme="minorHAnsi" w:hAnsiTheme="minorHAnsi"/>
          <w:sz w:val="22"/>
          <w:szCs w:val="22"/>
          <w:lang w:val="en-GB"/>
        </w:rPr>
        <w:t xml:space="preserve"> corrections for multiple comparisons. In: </w:t>
      </w:r>
      <w:proofErr w:type="spellStart"/>
      <w:r>
        <w:rPr>
          <w:rFonts w:asciiTheme="minorHAnsi" w:hAnsiTheme="minorHAnsi"/>
          <w:sz w:val="22"/>
          <w:szCs w:val="22"/>
          <w:lang w:val="en-GB"/>
        </w:rPr>
        <w:t>Salkind</w:t>
      </w:r>
      <w:proofErr w:type="spellEnd"/>
      <w:r>
        <w:rPr>
          <w:rFonts w:asciiTheme="minorHAnsi" w:hAnsiTheme="minorHAnsi"/>
          <w:sz w:val="22"/>
          <w:szCs w:val="22"/>
          <w:lang w:val="en-GB"/>
        </w:rPr>
        <w:t xml:space="preserve"> NJ (</w:t>
      </w:r>
      <w:proofErr w:type="spellStart"/>
      <w:r>
        <w:rPr>
          <w:rFonts w:asciiTheme="minorHAnsi" w:hAnsiTheme="minorHAnsi"/>
          <w:sz w:val="22"/>
          <w:szCs w:val="22"/>
          <w:lang w:val="en-GB"/>
        </w:rPr>
        <w:t>ed</w:t>
      </w:r>
      <w:proofErr w:type="spellEnd"/>
      <w:r>
        <w:rPr>
          <w:rFonts w:asciiTheme="minorHAnsi" w:hAnsiTheme="minorHAnsi"/>
          <w:sz w:val="22"/>
          <w:szCs w:val="22"/>
          <w:lang w:val="en-GB"/>
        </w:rPr>
        <w:t xml:space="preserve">) </w:t>
      </w:r>
      <w:proofErr w:type="spellStart"/>
      <w:r>
        <w:rPr>
          <w:rFonts w:asciiTheme="minorHAnsi" w:hAnsiTheme="minorHAnsi"/>
          <w:i/>
          <w:sz w:val="22"/>
          <w:szCs w:val="22"/>
          <w:lang w:val="en-GB"/>
        </w:rPr>
        <w:t>Encyclopedia</w:t>
      </w:r>
      <w:proofErr w:type="spellEnd"/>
      <w:r>
        <w:rPr>
          <w:rFonts w:asciiTheme="minorHAnsi" w:hAnsiTheme="minorHAnsi"/>
          <w:i/>
          <w:sz w:val="22"/>
          <w:szCs w:val="22"/>
          <w:lang w:val="en-GB"/>
        </w:rPr>
        <w:t xml:space="preserve"> of Measurement and Statistics</w:t>
      </w:r>
      <w:r>
        <w:rPr>
          <w:rFonts w:asciiTheme="minorHAnsi" w:hAnsiTheme="minorHAnsi"/>
          <w:sz w:val="22"/>
          <w:szCs w:val="22"/>
          <w:lang w:val="en-GB"/>
        </w:rPr>
        <w:t xml:space="preserve">, vol. 1, Sage, Thousand Oaks (CA), pp. 103–107, </w:t>
      </w:r>
      <w:hyperlink r:id="rId69" w:history="1">
        <w:r>
          <w:rPr>
            <w:rStyle w:val="Hyperlink"/>
            <w:rFonts w:asciiTheme="minorHAnsi" w:hAnsiTheme="minorHAnsi"/>
            <w:sz w:val="22"/>
            <w:szCs w:val="22"/>
            <w:lang w:val="en-GB"/>
          </w:rPr>
          <w:t>https://wwwpub.utdallas.edu/~herve/Abdi-Bonferroni2007-pretty.pdf</w:t>
        </w:r>
      </w:hyperlink>
      <w:r>
        <w:rPr>
          <w:rFonts w:asciiTheme="minorHAnsi" w:hAnsiTheme="minorHAnsi"/>
          <w:sz w:val="22"/>
          <w:szCs w:val="22"/>
          <w:lang w:val="en-GB"/>
        </w:rPr>
        <w:t xml:space="preserve"> (2007).</w:t>
      </w:r>
    </w:p>
    <w:p>
      <w:pPr>
        <w:spacing w:line="360" w:lineRule="auto"/>
        <w:jc w:val="both"/>
        <w:rPr>
          <w:lang w:val="en-GB"/>
        </w:rPr>
      </w:pPr>
    </w:p>
    <w:p>
      <w:pPr>
        <w:spacing w:line="360" w:lineRule="auto"/>
        <w:jc w:val="both"/>
        <w:rPr>
          <w:lang w:val="en-GB"/>
        </w:rPr>
      </w:pPr>
    </w:p>
    <w:p>
      <w:pPr>
        <w:spacing w:after="0" w:line="360" w:lineRule="auto"/>
        <w:jc w:val="both"/>
        <w:rPr>
          <w:rFonts w:cs="Times New Roman"/>
          <w:b/>
          <w:lang w:val="en-US"/>
        </w:rPr>
      </w:pPr>
      <w:r>
        <w:rPr>
          <w:rFonts w:cs="Times New Roman"/>
          <w:b/>
          <w:lang w:val="en-GB"/>
        </w:rPr>
        <w:t>Author contribution</w:t>
      </w:r>
    </w:p>
    <w:p>
      <w:pPr>
        <w:spacing w:after="0" w:line="360" w:lineRule="auto"/>
        <w:jc w:val="both"/>
        <w:rPr>
          <w:rFonts w:cs="Times New Roman"/>
          <w:b/>
          <w:lang w:val="en-US"/>
        </w:rPr>
      </w:pPr>
      <w:proofErr w:type="gramStart"/>
      <w:r>
        <w:rPr>
          <w:rFonts w:cs="Times New Roman"/>
          <w:lang w:val="en-US"/>
        </w:rPr>
        <w:t xml:space="preserve">JG and CD wrote the manuscript; SK, </w:t>
      </w:r>
      <w:r>
        <w:rPr>
          <w:rFonts w:cs="Times New Roman"/>
          <w:lang w:val="en-GB"/>
        </w:rPr>
        <w:t xml:space="preserve">performed and evaluated experiments and analysed the data; </w:t>
      </w:r>
      <w:r>
        <w:rPr>
          <w:rFonts w:cs="Times New Roman"/>
          <w:lang w:val="en-US"/>
        </w:rPr>
        <w:t xml:space="preserve">JG, UK, SMH, </w:t>
      </w:r>
      <w:proofErr w:type="spellStart"/>
      <w:r>
        <w:rPr>
          <w:rFonts w:cs="Times New Roman"/>
          <w:lang w:val="en-US"/>
        </w:rPr>
        <w:t>STa</w:t>
      </w:r>
      <w:proofErr w:type="spellEnd"/>
      <w:r>
        <w:rPr>
          <w:rFonts w:cs="Times New Roman"/>
          <w:lang w:val="en-US"/>
        </w:rPr>
        <w:t xml:space="preserve">, FT and HZ designed the study concept and applied for funding; CD, UR and KU designed and coordinated experiments and assisted in organ collection; </w:t>
      </w:r>
      <w:r>
        <w:rPr>
          <w:rFonts w:cs="Times New Roman"/>
          <w:lang w:val="en-GB"/>
        </w:rPr>
        <w:t xml:space="preserve">FW assisted with irradiations; AO, GW and </w:t>
      </w:r>
      <w:proofErr w:type="spellStart"/>
      <w:r>
        <w:rPr>
          <w:rFonts w:cs="Times New Roman"/>
          <w:lang w:val="en-GB"/>
        </w:rPr>
        <w:t>STh</w:t>
      </w:r>
      <w:proofErr w:type="spellEnd"/>
      <w:r>
        <w:rPr>
          <w:rFonts w:cs="Times New Roman"/>
          <w:lang w:val="en-GB"/>
        </w:rPr>
        <w:t xml:space="preserve"> assisted in histological evaluation; CP, GM, AC and JA assisted in performance and analysis of metabolomics; AC and AB assisted in statistical analysis;</w:t>
      </w:r>
      <w:proofErr w:type="gramEnd"/>
      <w:r>
        <w:rPr>
          <w:rFonts w:cs="Times New Roman"/>
          <w:lang w:val="en-GB"/>
        </w:rPr>
        <w:t xml:space="preserve"> </w:t>
      </w:r>
    </w:p>
    <w:p>
      <w:pPr>
        <w:spacing w:after="0" w:line="240" w:lineRule="auto"/>
        <w:jc w:val="both"/>
        <w:rPr>
          <w:rFonts w:cs="Times New Roman"/>
          <w:b/>
          <w:sz w:val="20"/>
          <w:lang w:val="en-US"/>
        </w:rPr>
        <w:sectPr>
          <w:headerReference w:type="default" r:id="rId70"/>
          <w:pgSz w:w="11906" w:h="16838"/>
          <w:pgMar w:top="1134" w:right="1134" w:bottom="1134" w:left="1134" w:header="709" w:footer="0" w:gutter="0"/>
          <w:cols w:space="720"/>
          <w:formProt w:val="0"/>
          <w:titlePg/>
          <w:docGrid w:linePitch="360" w:charSpace="4096"/>
        </w:sectPr>
      </w:pPr>
      <w:r>
        <w:rPr>
          <w:lang w:val="en-US"/>
        </w:rPr>
        <w:br w:type="page"/>
      </w:r>
    </w:p>
    <w:p>
      <w:pPr>
        <w:rPr>
          <w:lang w:val="en-US"/>
        </w:rPr>
      </w:pPr>
    </w:p>
    <w:p>
      <w:pPr>
        <w:rPr>
          <w:lang w:val="en-GB"/>
        </w:rPr>
      </w:pPr>
      <w:r>
        <w:rPr>
          <w:b/>
          <w:lang w:val="en-GB"/>
        </w:rPr>
        <w:t xml:space="preserve">Table 1. </w:t>
      </w:r>
      <w:r>
        <w:rPr>
          <w:lang w:val="en-GB"/>
        </w:rPr>
        <w:t xml:space="preserve">Odds Ratios [95% confidence intervals] of outcomes from the </w:t>
      </w:r>
      <w:r>
        <w:rPr>
          <w:u w:val="single"/>
          <w:lang w:val="en-GB"/>
        </w:rPr>
        <w:t>anterior part</w:t>
      </w:r>
      <w:r>
        <w:rPr>
          <w:lang w:val="en-GB"/>
        </w:rPr>
        <w:t xml:space="preserve"> of the lenses. </w:t>
      </w:r>
      <w:proofErr w:type="gramStart"/>
      <w:r>
        <w:rPr>
          <w:lang w:val="en-GB"/>
        </w:rPr>
        <w:t>Associations which are statistically significant at a level of 5%</w:t>
      </w:r>
      <w:proofErr w:type="gramEnd"/>
      <w:r>
        <w:rPr>
          <w:lang w:val="en-GB"/>
        </w:rPr>
        <w:t xml:space="preserve"> are shown in bold face.</w:t>
      </w:r>
    </w:p>
    <w:tbl>
      <w:tblPr>
        <w:tblStyle w:val="Tabellenraster"/>
        <w:tblW w:w="0" w:type="auto"/>
        <w:tblLook w:val="04A0" w:firstRow="1" w:lastRow="0" w:firstColumn="1" w:lastColumn="0" w:noHBand="0" w:noVBand="1"/>
      </w:tblPr>
      <w:tblGrid>
        <w:gridCol w:w="2093"/>
        <w:gridCol w:w="1984"/>
        <w:gridCol w:w="1843"/>
        <w:gridCol w:w="2149"/>
        <w:gridCol w:w="2002"/>
        <w:gridCol w:w="2260"/>
      </w:tblGrid>
      <w:tr>
        <w:tc>
          <w:tcPr>
            <w:tcW w:w="2093" w:type="dxa"/>
          </w:tcPr>
          <w:p>
            <w:pPr>
              <w:rPr>
                <w:lang w:val="en-GB"/>
              </w:rPr>
            </w:pPr>
          </w:p>
        </w:tc>
        <w:tc>
          <w:tcPr>
            <w:tcW w:w="1984" w:type="dxa"/>
          </w:tcPr>
          <w:p>
            <w:pPr>
              <w:rPr>
                <w:b/>
                <w:lang w:val="en-GB"/>
              </w:rPr>
            </w:pPr>
            <w:r>
              <w:rPr>
                <w:b/>
                <w:lang w:val="en-GB"/>
              </w:rPr>
              <w:t>Enlarged/swollen fibre cells</w:t>
            </w:r>
          </w:p>
        </w:tc>
        <w:tc>
          <w:tcPr>
            <w:tcW w:w="1843" w:type="dxa"/>
          </w:tcPr>
          <w:p>
            <w:pPr>
              <w:rPr>
                <w:b/>
                <w:lang w:val="en-GB"/>
              </w:rPr>
            </w:pPr>
            <w:r>
              <w:rPr>
                <w:b/>
                <w:lang w:val="en-GB"/>
              </w:rPr>
              <w:t>Detachments</w:t>
            </w:r>
          </w:p>
        </w:tc>
        <w:tc>
          <w:tcPr>
            <w:tcW w:w="2149" w:type="dxa"/>
          </w:tcPr>
          <w:p>
            <w:pPr>
              <w:rPr>
                <w:b/>
                <w:lang w:val="en-GB"/>
              </w:rPr>
            </w:pPr>
            <w:r>
              <w:rPr>
                <w:b/>
                <w:lang w:val="en-GB"/>
              </w:rPr>
              <w:t>Fissures</w:t>
            </w:r>
          </w:p>
        </w:tc>
        <w:tc>
          <w:tcPr>
            <w:tcW w:w="2002" w:type="dxa"/>
          </w:tcPr>
          <w:p>
            <w:pPr>
              <w:rPr>
                <w:b/>
                <w:lang w:val="en-GB"/>
              </w:rPr>
            </w:pPr>
            <w:r>
              <w:rPr>
                <w:b/>
                <w:lang w:val="en-GB"/>
              </w:rPr>
              <w:t>Mislocated nuclei</w:t>
            </w:r>
          </w:p>
        </w:tc>
        <w:tc>
          <w:tcPr>
            <w:tcW w:w="2260" w:type="dxa"/>
          </w:tcPr>
          <w:p>
            <w:pPr>
              <w:rPr>
                <w:b/>
                <w:lang w:val="en-GB"/>
              </w:rPr>
            </w:pPr>
            <w:r>
              <w:rPr>
                <w:b/>
                <w:lang w:val="en-GB"/>
              </w:rPr>
              <w:t>Subcapsular cataracts</w:t>
            </w:r>
          </w:p>
        </w:tc>
      </w:tr>
      <w:tr>
        <w:tc>
          <w:tcPr>
            <w:tcW w:w="2093" w:type="dxa"/>
          </w:tcPr>
          <w:p>
            <w:pPr>
              <w:rPr>
                <w:lang w:val="en-GB"/>
              </w:rPr>
            </w:pPr>
            <w:r>
              <w:rPr>
                <w:lang w:val="en-GB"/>
              </w:rPr>
              <w:t>Radiation (reference: no radiation)</w:t>
            </w:r>
          </w:p>
        </w:tc>
        <w:tc>
          <w:tcPr>
            <w:tcW w:w="1984" w:type="dxa"/>
          </w:tcPr>
          <w:p>
            <w:pPr>
              <w:rPr>
                <w:lang w:val="en-GB"/>
              </w:rPr>
            </w:pPr>
          </w:p>
        </w:tc>
        <w:tc>
          <w:tcPr>
            <w:tcW w:w="1843" w:type="dxa"/>
          </w:tcPr>
          <w:p>
            <w:pPr>
              <w:rPr>
                <w:lang w:val="en-GB"/>
              </w:rPr>
            </w:pPr>
          </w:p>
        </w:tc>
        <w:tc>
          <w:tcPr>
            <w:tcW w:w="2149" w:type="dxa"/>
          </w:tcPr>
          <w:p>
            <w:pPr>
              <w:rPr>
                <w:lang w:val="en-GB"/>
              </w:rPr>
            </w:pPr>
          </w:p>
        </w:tc>
        <w:tc>
          <w:tcPr>
            <w:tcW w:w="2002" w:type="dxa"/>
          </w:tcPr>
          <w:p>
            <w:pPr>
              <w:jc w:val="both"/>
              <w:rPr>
                <w:lang w:val="en-GB"/>
              </w:rPr>
            </w:pPr>
          </w:p>
        </w:tc>
        <w:tc>
          <w:tcPr>
            <w:tcW w:w="2260" w:type="dxa"/>
          </w:tcPr>
          <w:p>
            <w:pPr>
              <w:jc w:val="both"/>
              <w:rPr>
                <w:lang w:val="en-GB"/>
              </w:rPr>
            </w:pPr>
          </w:p>
        </w:tc>
      </w:tr>
      <w:tr>
        <w:tc>
          <w:tcPr>
            <w:tcW w:w="2093" w:type="dxa"/>
          </w:tcPr>
          <w:p>
            <w:pPr>
              <w:rPr>
                <w:lang w:val="en-GB"/>
              </w:rPr>
            </w:pPr>
            <w:r>
              <w:rPr>
                <w:lang w:val="en-GB"/>
              </w:rPr>
              <w:t xml:space="preserve">   0.063 </w:t>
            </w:r>
            <w:proofErr w:type="spellStart"/>
            <w:r>
              <w:rPr>
                <w:lang w:val="en-GB"/>
              </w:rPr>
              <w:t>Gy</w:t>
            </w:r>
            <w:proofErr w:type="spellEnd"/>
          </w:p>
        </w:tc>
        <w:tc>
          <w:tcPr>
            <w:tcW w:w="1984" w:type="dxa"/>
          </w:tcPr>
          <w:p>
            <w:pPr>
              <w:rPr>
                <w:lang w:val="en-GB"/>
              </w:rPr>
            </w:pPr>
            <w:r>
              <w:rPr>
                <w:lang w:val="en-GB"/>
              </w:rPr>
              <w:t>1.41 [0.50, 3.97]</w:t>
            </w:r>
          </w:p>
        </w:tc>
        <w:tc>
          <w:tcPr>
            <w:tcW w:w="1843" w:type="dxa"/>
          </w:tcPr>
          <w:p>
            <w:pPr>
              <w:rPr>
                <w:lang w:val="en-GB"/>
              </w:rPr>
            </w:pPr>
            <w:r>
              <w:rPr>
                <w:lang w:val="en-GB"/>
              </w:rPr>
              <w:t>2.10 [0.79, 5.55]</w:t>
            </w:r>
          </w:p>
        </w:tc>
        <w:tc>
          <w:tcPr>
            <w:tcW w:w="2149" w:type="dxa"/>
          </w:tcPr>
          <w:p>
            <w:pPr>
              <w:rPr>
                <w:lang w:val="en-GB"/>
              </w:rPr>
            </w:pPr>
            <w:r>
              <w:rPr>
                <w:lang w:val="en-GB"/>
              </w:rPr>
              <w:t>0.87 [0.24, 3.17]</w:t>
            </w:r>
          </w:p>
        </w:tc>
        <w:tc>
          <w:tcPr>
            <w:tcW w:w="2002" w:type="dxa"/>
          </w:tcPr>
          <w:p>
            <w:pPr>
              <w:jc w:val="both"/>
              <w:rPr>
                <w:lang w:val="en-GB"/>
              </w:rPr>
            </w:pPr>
            <w:r>
              <w:rPr>
                <w:lang w:val="en-GB"/>
              </w:rPr>
              <w:t>1.61 [0.58, 4.48]</w:t>
            </w:r>
          </w:p>
        </w:tc>
        <w:tc>
          <w:tcPr>
            <w:tcW w:w="2260" w:type="dxa"/>
          </w:tcPr>
          <w:p>
            <w:pPr>
              <w:jc w:val="both"/>
              <w:rPr>
                <w:lang w:val="en-GB"/>
              </w:rPr>
            </w:pPr>
            <w:r>
              <w:rPr>
                <w:lang w:val="en-GB"/>
              </w:rPr>
              <w:t>1.00 [0.04, 24.11]</w:t>
            </w:r>
          </w:p>
        </w:tc>
      </w:tr>
      <w:tr>
        <w:tc>
          <w:tcPr>
            <w:tcW w:w="2093" w:type="dxa"/>
          </w:tcPr>
          <w:p>
            <w:pPr>
              <w:rPr>
                <w:lang w:val="en-GB"/>
              </w:rPr>
            </w:pPr>
            <w:r>
              <w:rPr>
                <w:lang w:val="en-GB"/>
              </w:rPr>
              <w:t xml:space="preserve">   0.125 </w:t>
            </w:r>
            <w:proofErr w:type="spellStart"/>
            <w:r>
              <w:rPr>
                <w:lang w:val="en-GB"/>
              </w:rPr>
              <w:t>Gy</w:t>
            </w:r>
            <w:proofErr w:type="spellEnd"/>
          </w:p>
        </w:tc>
        <w:tc>
          <w:tcPr>
            <w:tcW w:w="1984" w:type="dxa"/>
          </w:tcPr>
          <w:p>
            <w:pPr>
              <w:rPr>
                <w:lang w:val="en-GB"/>
              </w:rPr>
            </w:pPr>
            <w:r>
              <w:rPr>
                <w:lang w:val="en-GB"/>
              </w:rPr>
              <w:t>0.72 [0.26, 2.01]</w:t>
            </w:r>
          </w:p>
        </w:tc>
        <w:tc>
          <w:tcPr>
            <w:tcW w:w="1843" w:type="dxa"/>
          </w:tcPr>
          <w:p>
            <w:pPr>
              <w:rPr>
                <w:lang w:val="en-GB"/>
              </w:rPr>
            </w:pPr>
            <w:r>
              <w:rPr>
                <w:lang w:val="en-GB"/>
              </w:rPr>
              <w:t>1.13 [0.42, 3.08]</w:t>
            </w:r>
          </w:p>
        </w:tc>
        <w:tc>
          <w:tcPr>
            <w:tcW w:w="2149" w:type="dxa"/>
          </w:tcPr>
          <w:p>
            <w:pPr>
              <w:rPr>
                <w:lang w:val="en-GB"/>
              </w:rPr>
            </w:pPr>
            <w:r>
              <w:rPr>
                <w:lang w:val="en-GB"/>
              </w:rPr>
              <w:t>0.54 [0.13, 2.25]</w:t>
            </w:r>
          </w:p>
        </w:tc>
        <w:tc>
          <w:tcPr>
            <w:tcW w:w="2002" w:type="dxa"/>
          </w:tcPr>
          <w:p>
            <w:pPr>
              <w:jc w:val="both"/>
              <w:rPr>
                <w:lang w:val="en-GB"/>
              </w:rPr>
            </w:pPr>
            <w:r>
              <w:rPr>
                <w:lang w:val="en-GB"/>
              </w:rPr>
              <w:t>1.60 [0.57, 4.51]</w:t>
            </w:r>
          </w:p>
        </w:tc>
        <w:tc>
          <w:tcPr>
            <w:tcW w:w="2260" w:type="dxa"/>
          </w:tcPr>
          <w:p>
            <w:pPr>
              <w:jc w:val="both"/>
              <w:rPr>
                <w:lang w:val="en-GB"/>
              </w:rPr>
            </w:pPr>
            <w:r>
              <w:rPr>
                <w:lang w:val="en-GB"/>
              </w:rPr>
              <w:t>0.98 [0.04, 23.86]</w:t>
            </w:r>
          </w:p>
        </w:tc>
      </w:tr>
      <w:tr>
        <w:tc>
          <w:tcPr>
            <w:tcW w:w="2093" w:type="dxa"/>
          </w:tcPr>
          <w:p>
            <w:pPr>
              <w:rPr>
                <w:lang w:val="en-GB"/>
              </w:rPr>
            </w:pPr>
            <w:r>
              <w:rPr>
                <w:lang w:val="en-GB"/>
              </w:rPr>
              <w:t xml:space="preserve">   0.5 </w:t>
            </w:r>
            <w:proofErr w:type="spellStart"/>
            <w:r>
              <w:rPr>
                <w:lang w:val="en-GB"/>
              </w:rPr>
              <w:t>Gy</w:t>
            </w:r>
            <w:proofErr w:type="spellEnd"/>
          </w:p>
        </w:tc>
        <w:tc>
          <w:tcPr>
            <w:tcW w:w="1984" w:type="dxa"/>
          </w:tcPr>
          <w:p>
            <w:pPr>
              <w:rPr>
                <w:lang w:val="en-GB"/>
              </w:rPr>
            </w:pPr>
            <w:r>
              <w:rPr>
                <w:lang w:val="en-GB"/>
              </w:rPr>
              <w:t>1.02 [0.36, 2.87]</w:t>
            </w:r>
          </w:p>
        </w:tc>
        <w:tc>
          <w:tcPr>
            <w:tcW w:w="1843" w:type="dxa"/>
          </w:tcPr>
          <w:p>
            <w:pPr>
              <w:rPr>
                <w:lang w:val="en-GB"/>
              </w:rPr>
            </w:pPr>
            <w:r>
              <w:rPr>
                <w:lang w:val="en-GB"/>
              </w:rPr>
              <w:t>1.49 [0.55, 4.04]</w:t>
            </w:r>
          </w:p>
        </w:tc>
        <w:tc>
          <w:tcPr>
            <w:tcW w:w="2149" w:type="dxa"/>
          </w:tcPr>
          <w:p>
            <w:pPr>
              <w:rPr>
                <w:lang w:val="en-GB"/>
              </w:rPr>
            </w:pPr>
            <w:r>
              <w:rPr>
                <w:lang w:val="en-GB"/>
              </w:rPr>
              <w:t>1.31 [0.38, 4.48]</w:t>
            </w:r>
          </w:p>
        </w:tc>
        <w:tc>
          <w:tcPr>
            <w:tcW w:w="2002" w:type="dxa"/>
          </w:tcPr>
          <w:p>
            <w:pPr>
              <w:jc w:val="both"/>
              <w:rPr>
                <w:lang w:val="en-GB"/>
              </w:rPr>
            </w:pPr>
            <w:r>
              <w:rPr>
                <w:lang w:val="en-GB"/>
              </w:rPr>
              <w:t>0.73 [0.25, 2.12]</w:t>
            </w:r>
          </w:p>
        </w:tc>
        <w:tc>
          <w:tcPr>
            <w:tcW w:w="2260" w:type="dxa"/>
          </w:tcPr>
          <w:p>
            <w:pPr>
              <w:jc w:val="both"/>
              <w:rPr>
                <w:lang w:val="en-GB"/>
              </w:rPr>
            </w:pPr>
            <w:r>
              <w:rPr>
                <w:lang w:val="en-GB"/>
              </w:rPr>
              <w:t>4.74 [0.36, 61.68]</w:t>
            </w:r>
          </w:p>
        </w:tc>
      </w:tr>
      <w:tr>
        <w:tc>
          <w:tcPr>
            <w:tcW w:w="2093" w:type="dxa"/>
          </w:tcPr>
          <w:p>
            <w:pPr>
              <w:rPr>
                <w:lang w:val="en-GB"/>
              </w:rPr>
            </w:pPr>
            <w:r>
              <w:rPr>
                <w:lang w:val="en-GB"/>
              </w:rPr>
              <w:t xml:space="preserve">Age </w:t>
            </w:r>
            <w:r>
              <w:rPr>
                <w:lang w:val="en-GB"/>
              </w:rPr>
              <w:br/>
              <w:t>(reference: 4 hours)</w:t>
            </w:r>
          </w:p>
        </w:tc>
        <w:tc>
          <w:tcPr>
            <w:tcW w:w="1984" w:type="dxa"/>
          </w:tcPr>
          <w:p>
            <w:pPr>
              <w:rPr>
                <w:lang w:val="en-GB"/>
              </w:rPr>
            </w:pPr>
          </w:p>
        </w:tc>
        <w:tc>
          <w:tcPr>
            <w:tcW w:w="1843" w:type="dxa"/>
          </w:tcPr>
          <w:p>
            <w:pPr>
              <w:rPr>
                <w:lang w:val="en-GB"/>
              </w:rPr>
            </w:pPr>
          </w:p>
        </w:tc>
        <w:tc>
          <w:tcPr>
            <w:tcW w:w="2149" w:type="dxa"/>
          </w:tcPr>
          <w:p>
            <w:pPr>
              <w:rPr>
                <w:lang w:val="en-GB"/>
              </w:rPr>
            </w:pPr>
          </w:p>
        </w:tc>
        <w:tc>
          <w:tcPr>
            <w:tcW w:w="2002" w:type="dxa"/>
          </w:tcPr>
          <w:p>
            <w:pPr>
              <w:jc w:val="both"/>
              <w:rPr>
                <w:lang w:val="en-GB"/>
              </w:rPr>
            </w:pPr>
          </w:p>
        </w:tc>
        <w:tc>
          <w:tcPr>
            <w:tcW w:w="2260" w:type="dxa"/>
          </w:tcPr>
          <w:p>
            <w:pPr>
              <w:jc w:val="both"/>
              <w:rPr>
                <w:lang w:val="en-GB"/>
              </w:rPr>
            </w:pPr>
          </w:p>
        </w:tc>
      </w:tr>
      <w:tr>
        <w:tc>
          <w:tcPr>
            <w:tcW w:w="2093" w:type="dxa"/>
          </w:tcPr>
          <w:p>
            <w:pPr>
              <w:rPr>
                <w:lang w:val="en-GB"/>
              </w:rPr>
            </w:pPr>
            <w:r>
              <w:rPr>
                <w:lang w:val="en-GB"/>
              </w:rPr>
              <w:t xml:space="preserve">   12 months</w:t>
            </w:r>
          </w:p>
        </w:tc>
        <w:tc>
          <w:tcPr>
            <w:tcW w:w="1984" w:type="dxa"/>
          </w:tcPr>
          <w:p>
            <w:pPr>
              <w:rPr>
                <w:b/>
                <w:lang w:val="en-GB"/>
              </w:rPr>
            </w:pPr>
            <w:r>
              <w:rPr>
                <w:b/>
                <w:lang w:val="en-GB"/>
              </w:rPr>
              <w:t>14.82 [5.06, 43.46]</w:t>
            </w:r>
          </w:p>
        </w:tc>
        <w:tc>
          <w:tcPr>
            <w:tcW w:w="1843" w:type="dxa"/>
          </w:tcPr>
          <w:p>
            <w:pPr>
              <w:rPr>
                <w:b/>
                <w:lang w:val="en-GB"/>
              </w:rPr>
            </w:pPr>
            <w:r>
              <w:rPr>
                <w:b/>
                <w:lang w:val="en-GB"/>
              </w:rPr>
              <w:t>3.79 [1.38, 10.43]</w:t>
            </w:r>
          </w:p>
        </w:tc>
        <w:tc>
          <w:tcPr>
            <w:tcW w:w="2149" w:type="dxa"/>
          </w:tcPr>
          <w:p>
            <w:pPr>
              <w:rPr>
                <w:lang w:val="en-GB"/>
              </w:rPr>
            </w:pPr>
            <w:r>
              <w:rPr>
                <w:lang w:val="en-GB"/>
              </w:rPr>
              <w:t>9.92 [0.60, 164.89]</w:t>
            </w:r>
          </w:p>
        </w:tc>
        <w:tc>
          <w:tcPr>
            <w:tcW w:w="2002" w:type="dxa"/>
          </w:tcPr>
          <w:p>
            <w:pPr>
              <w:jc w:val="both"/>
              <w:rPr>
                <w:b/>
                <w:lang w:val="en-GB"/>
              </w:rPr>
            </w:pPr>
            <w:r>
              <w:rPr>
                <w:b/>
                <w:lang w:val="en-GB"/>
              </w:rPr>
              <w:t>4.84 [1.13, 20.70]</w:t>
            </w:r>
          </w:p>
        </w:tc>
        <w:tc>
          <w:tcPr>
            <w:tcW w:w="2260" w:type="dxa"/>
          </w:tcPr>
          <w:p>
            <w:pPr>
              <w:jc w:val="both"/>
              <w:rPr>
                <w:lang w:val="en-GB"/>
              </w:rPr>
            </w:pPr>
            <w:r>
              <w:rPr>
                <w:lang w:val="en-GB"/>
              </w:rPr>
              <w:t>1.26 [0.05, 31.96]</w:t>
            </w:r>
          </w:p>
        </w:tc>
      </w:tr>
      <w:tr>
        <w:tc>
          <w:tcPr>
            <w:tcW w:w="2093" w:type="dxa"/>
          </w:tcPr>
          <w:p>
            <w:pPr>
              <w:rPr>
                <w:lang w:val="en-GB"/>
              </w:rPr>
            </w:pPr>
            <w:r>
              <w:rPr>
                <w:lang w:val="en-GB"/>
              </w:rPr>
              <w:t xml:space="preserve">   18 months</w:t>
            </w:r>
          </w:p>
        </w:tc>
        <w:tc>
          <w:tcPr>
            <w:tcW w:w="1984" w:type="dxa"/>
          </w:tcPr>
          <w:p>
            <w:pPr>
              <w:rPr>
                <w:b/>
                <w:lang w:val="en-GB"/>
              </w:rPr>
            </w:pPr>
            <w:r>
              <w:rPr>
                <w:b/>
                <w:lang w:val="en-GB"/>
              </w:rPr>
              <w:t>14.82 [5.05, 43.45]</w:t>
            </w:r>
          </w:p>
        </w:tc>
        <w:tc>
          <w:tcPr>
            <w:tcW w:w="1843" w:type="dxa"/>
          </w:tcPr>
          <w:p>
            <w:pPr>
              <w:rPr>
                <w:b/>
                <w:lang w:val="en-GB"/>
              </w:rPr>
            </w:pPr>
            <w:r>
              <w:rPr>
                <w:b/>
                <w:lang w:val="en-GB"/>
              </w:rPr>
              <w:t>9.54 [3.41, 26.71]</w:t>
            </w:r>
          </w:p>
        </w:tc>
        <w:tc>
          <w:tcPr>
            <w:tcW w:w="2149" w:type="dxa"/>
          </w:tcPr>
          <w:p>
            <w:pPr>
              <w:rPr>
                <w:b/>
                <w:lang w:val="en-GB"/>
              </w:rPr>
            </w:pPr>
            <w:r>
              <w:rPr>
                <w:b/>
                <w:lang w:val="en-GB"/>
              </w:rPr>
              <w:t>17.44 [1.11, 274.80]</w:t>
            </w:r>
          </w:p>
        </w:tc>
        <w:tc>
          <w:tcPr>
            <w:tcW w:w="2002" w:type="dxa"/>
          </w:tcPr>
          <w:p>
            <w:pPr>
              <w:jc w:val="both"/>
              <w:rPr>
                <w:b/>
                <w:lang w:val="en-GB"/>
              </w:rPr>
            </w:pPr>
            <w:r>
              <w:rPr>
                <w:b/>
                <w:lang w:val="en-GB"/>
              </w:rPr>
              <w:t>18.59 [4.56, 75.82]</w:t>
            </w:r>
          </w:p>
        </w:tc>
        <w:tc>
          <w:tcPr>
            <w:tcW w:w="2260" w:type="dxa"/>
          </w:tcPr>
          <w:p>
            <w:pPr>
              <w:jc w:val="both"/>
              <w:rPr>
                <w:lang w:val="en-GB"/>
              </w:rPr>
            </w:pPr>
            <w:r>
              <w:rPr>
                <w:lang w:val="en-GB"/>
              </w:rPr>
              <w:t>3.20 [0.21, 49.22]</w:t>
            </w:r>
          </w:p>
        </w:tc>
      </w:tr>
      <w:tr>
        <w:tc>
          <w:tcPr>
            <w:tcW w:w="2093" w:type="dxa"/>
          </w:tcPr>
          <w:p>
            <w:pPr>
              <w:rPr>
                <w:lang w:val="en-GB"/>
              </w:rPr>
            </w:pPr>
            <w:r>
              <w:rPr>
                <w:lang w:val="en-GB"/>
              </w:rPr>
              <w:t xml:space="preserve">   24 months</w:t>
            </w:r>
          </w:p>
        </w:tc>
        <w:tc>
          <w:tcPr>
            <w:tcW w:w="1984" w:type="dxa"/>
          </w:tcPr>
          <w:p>
            <w:pPr>
              <w:rPr>
                <w:b/>
                <w:lang w:val="en-GB"/>
              </w:rPr>
            </w:pPr>
            <w:r>
              <w:rPr>
                <w:b/>
                <w:lang w:val="en-GB"/>
              </w:rPr>
              <w:t>7.92 [2.84, 22.12]</w:t>
            </w:r>
          </w:p>
        </w:tc>
        <w:tc>
          <w:tcPr>
            <w:tcW w:w="1843" w:type="dxa"/>
          </w:tcPr>
          <w:p>
            <w:pPr>
              <w:rPr>
                <w:lang w:val="en-GB"/>
              </w:rPr>
            </w:pPr>
            <w:r>
              <w:rPr>
                <w:lang w:val="en-GB"/>
              </w:rPr>
              <w:t>2.48 [0.88, 7.05]</w:t>
            </w:r>
          </w:p>
        </w:tc>
        <w:tc>
          <w:tcPr>
            <w:tcW w:w="2149" w:type="dxa"/>
          </w:tcPr>
          <w:p>
            <w:pPr>
              <w:rPr>
                <w:b/>
                <w:lang w:val="en-GB"/>
              </w:rPr>
            </w:pPr>
            <w:r>
              <w:rPr>
                <w:b/>
                <w:lang w:val="en-GB"/>
              </w:rPr>
              <w:t>24.41 [1.57, 379.562]</w:t>
            </w:r>
          </w:p>
        </w:tc>
        <w:tc>
          <w:tcPr>
            <w:tcW w:w="2002" w:type="dxa"/>
          </w:tcPr>
          <w:p>
            <w:pPr>
              <w:jc w:val="both"/>
              <w:rPr>
                <w:b/>
                <w:lang w:val="en-GB"/>
              </w:rPr>
            </w:pPr>
            <w:r>
              <w:rPr>
                <w:b/>
                <w:lang w:val="en-GB"/>
              </w:rPr>
              <w:t>19.12 [4.64, 78.80]</w:t>
            </w:r>
          </w:p>
        </w:tc>
        <w:tc>
          <w:tcPr>
            <w:tcW w:w="2260" w:type="dxa"/>
          </w:tcPr>
          <w:p>
            <w:pPr>
              <w:jc w:val="both"/>
              <w:rPr>
                <w:lang w:val="en-GB"/>
              </w:rPr>
            </w:pPr>
            <w:r>
              <w:rPr>
                <w:lang w:val="en-GB"/>
              </w:rPr>
              <w:t>3.40 [0.22, 53.27]</w:t>
            </w:r>
          </w:p>
        </w:tc>
      </w:tr>
      <w:tr>
        <w:tc>
          <w:tcPr>
            <w:tcW w:w="2093" w:type="dxa"/>
          </w:tcPr>
          <w:p>
            <w:pPr>
              <w:rPr>
                <w:lang w:val="en-GB"/>
              </w:rPr>
            </w:pPr>
            <w:r>
              <w:rPr>
                <w:lang w:val="en-GB"/>
              </w:rPr>
              <w:t>Male mouse</w:t>
            </w:r>
          </w:p>
        </w:tc>
        <w:tc>
          <w:tcPr>
            <w:tcW w:w="1984" w:type="dxa"/>
          </w:tcPr>
          <w:p>
            <w:pPr>
              <w:rPr>
                <w:b/>
                <w:lang w:val="en-GB"/>
              </w:rPr>
            </w:pPr>
            <w:r>
              <w:rPr>
                <w:b/>
                <w:lang w:val="en-GB"/>
              </w:rPr>
              <w:t>0.29 [0.14, 0.61]</w:t>
            </w:r>
          </w:p>
        </w:tc>
        <w:tc>
          <w:tcPr>
            <w:tcW w:w="1843" w:type="dxa"/>
          </w:tcPr>
          <w:p>
            <w:pPr>
              <w:rPr>
                <w:lang w:val="en-GB"/>
              </w:rPr>
            </w:pPr>
            <w:r>
              <w:rPr>
                <w:lang w:val="en-GB"/>
              </w:rPr>
              <w:t>0.91 [0.46, 1.79]</w:t>
            </w:r>
          </w:p>
        </w:tc>
        <w:tc>
          <w:tcPr>
            <w:tcW w:w="2149" w:type="dxa"/>
          </w:tcPr>
          <w:p>
            <w:pPr>
              <w:rPr>
                <w:lang w:val="en-GB"/>
              </w:rPr>
            </w:pPr>
            <w:r>
              <w:rPr>
                <w:lang w:val="en-GB"/>
              </w:rPr>
              <w:t>0.79 [0.31, 1.98]</w:t>
            </w:r>
          </w:p>
        </w:tc>
        <w:tc>
          <w:tcPr>
            <w:tcW w:w="2002" w:type="dxa"/>
          </w:tcPr>
          <w:p>
            <w:pPr>
              <w:jc w:val="both"/>
              <w:rPr>
                <w:lang w:val="en-GB"/>
              </w:rPr>
            </w:pPr>
            <w:r>
              <w:rPr>
                <w:lang w:val="en-GB"/>
              </w:rPr>
              <w:t>0.80 [0.39, 1.64]</w:t>
            </w:r>
          </w:p>
        </w:tc>
        <w:tc>
          <w:tcPr>
            <w:tcW w:w="2260" w:type="dxa"/>
          </w:tcPr>
          <w:p>
            <w:pPr>
              <w:jc w:val="both"/>
              <w:rPr>
                <w:lang w:val="en-GB"/>
              </w:rPr>
            </w:pPr>
            <w:r>
              <w:rPr>
                <w:lang w:val="en-GB"/>
              </w:rPr>
              <w:t>0.20 [0.02, 1.72]</w:t>
            </w:r>
          </w:p>
        </w:tc>
      </w:tr>
      <w:tr>
        <w:tc>
          <w:tcPr>
            <w:tcW w:w="2093" w:type="dxa"/>
          </w:tcPr>
          <w:p>
            <w:pPr>
              <w:rPr>
                <w:lang w:val="en-GB"/>
              </w:rPr>
            </w:pPr>
            <w:r>
              <w:rPr>
                <w:lang w:val="en-GB"/>
              </w:rPr>
              <w:t>Mutant mouse</w:t>
            </w:r>
          </w:p>
        </w:tc>
        <w:tc>
          <w:tcPr>
            <w:tcW w:w="1984" w:type="dxa"/>
          </w:tcPr>
          <w:p>
            <w:pPr>
              <w:rPr>
                <w:lang w:val="en-GB"/>
              </w:rPr>
            </w:pPr>
            <w:r>
              <w:rPr>
                <w:lang w:val="en-GB"/>
              </w:rPr>
              <w:t>0.99 [0.48, 2.01]</w:t>
            </w:r>
          </w:p>
        </w:tc>
        <w:tc>
          <w:tcPr>
            <w:tcW w:w="1843" w:type="dxa"/>
          </w:tcPr>
          <w:p>
            <w:pPr>
              <w:rPr>
                <w:b/>
                <w:lang w:val="en-GB"/>
              </w:rPr>
            </w:pPr>
            <w:r>
              <w:rPr>
                <w:b/>
                <w:lang w:val="en-GB"/>
              </w:rPr>
              <w:t>0.46 [0.24, 0.92]</w:t>
            </w:r>
          </w:p>
        </w:tc>
        <w:tc>
          <w:tcPr>
            <w:tcW w:w="2149" w:type="dxa"/>
          </w:tcPr>
          <w:p>
            <w:pPr>
              <w:rPr>
                <w:lang w:val="en-GB"/>
              </w:rPr>
            </w:pPr>
            <w:r>
              <w:rPr>
                <w:lang w:val="en-GB"/>
              </w:rPr>
              <w:t>0.87 [0.35, 2.19]</w:t>
            </w:r>
          </w:p>
        </w:tc>
        <w:tc>
          <w:tcPr>
            <w:tcW w:w="2002" w:type="dxa"/>
          </w:tcPr>
          <w:p>
            <w:pPr>
              <w:jc w:val="both"/>
              <w:rPr>
                <w:lang w:val="en-GB"/>
              </w:rPr>
            </w:pPr>
            <w:r>
              <w:rPr>
                <w:lang w:val="en-GB"/>
              </w:rPr>
              <w:t>1.29 [0.63, 2.64]</w:t>
            </w:r>
          </w:p>
        </w:tc>
        <w:tc>
          <w:tcPr>
            <w:tcW w:w="2260" w:type="dxa"/>
          </w:tcPr>
          <w:p>
            <w:pPr>
              <w:jc w:val="both"/>
              <w:rPr>
                <w:lang w:val="en-GB"/>
              </w:rPr>
            </w:pPr>
            <w:r>
              <w:rPr>
                <w:lang w:val="en-GB"/>
              </w:rPr>
              <w:t>0.24 [0.03, 1.93]</w:t>
            </w:r>
          </w:p>
        </w:tc>
      </w:tr>
    </w:tbl>
    <w:p>
      <w:pPr>
        <w:rPr>
          <w:lang w:val="en-GB"/>
        </w:rPr>
      </w:pPr>
    </w:p>
    <w:p>
      <w:pPr>
        <w:spacing w:after="0" w:line="360" w:lineRule="auto"/>
        <w:jc w:val="both"/>
        <w:rPr>
          <w:lang w:val="en-GB"/>
        </w:rPr>
      </w:pPr>
      <w:r>
        <w:rPr>
          <w:lang w:val="en-GB"/>
        </w:rPr>
        <w:br w:type="page"/>
      </w:r>
    </w:p>
    <w:p>
      <w:pPr>
        <w:rPr>
          <w:lang w:val="en-GB"/>
        </w:rPr>
      </w:pPr>
      <w:r>
        <w:rPr>
          <w:b/>
          <w:lang w:val="en-GB"/>
        </w:rPr>
        <w:lastRenderedPageBreak/>
        <w:t xml:space="preserve">Table 2. </w:t>
      </w:r>
      <w:r>
        <w:rPr>
          <w:lang w:val="en-GB"/>
        </w:rPr>
        <w:t xml:space="preserve">Odds Ratios [95% confidence intervals] of outcomes from the </w:t>
      </w:r>
      <w:r>
        <w:rPr>
          <w:u w:val="single"/>
          <w:lang w:val="en-GB"/>
        </w:rPr>
        <w:t>lens bow region</w:t>
      </w:r>
      <w:r>
        <w:rPr>
          <w:lang w:val="en-GB"/>
        </w:rPr>
        <w:t xml:space="preserve">. </w:t>
      </w:r>
      <w:proofErr w:type="gramStart"/>
      <w:r>
        <w:rPr>
          <w:lang w:val="en-GB"/>
        </w:rPr>
        <w:t>Associations which are statistically significant at a level of 5%</w:t>
      </w:r>
      <w:proofErr w:type="gramEnd"/>
      <w:r>
        <w:rPr>
          <w:lang w:val="en-GB"/>
        </w:rPr>
        <w:t xml:space="preserve"> are shown in bold face.</w:t>
      </w:r>
    </w:p>
    <w:tbl>
      <w:tblPr>
        <w:tblStyle w:val="Tabellenraster"/>
        <w:tblW w:w="0" w:type="auto"/>
        <w:tblInd w:w="-3" w:type="dxa"/>
        <w:tblLook w:val="04A0" w:firstRow="1" w:lastRow="0" w:firstColumn="1" w:lastColumn="0" w:noHBand="0" w:noVBand="1"/>
      </w:tblPr>
      <w:tblGrid>
        <w:gridCol w:w="2263"/>
        <w:gridCol w:w="1814"/>
        <w:gridCol w:w="2127"/>
        <w:gridCol w:w="1842"/>
      </w:tblGrid>
      <w:tr>
        <w:tc>
          <w:tcPr>
            <w:tcW w:w="2263" w:type="dxa"/>
          </w:tcPr>
          <w:p>
            <w:pPr>
              <w:rPr>
                <w:lang w:val="en-GB"/>
              </w:rPr>
            </w:pPr>
          </w:p>
        </w:tc>
        <w:tc>
          <w:tcPr>
            <w:tcW w:w="1814" w:type="dxa"/>
          </w:tcPr>
          <w:p>
            <w:pPr>
              <w:rPr>
                <w:b/>
                <w:lang w:val="en-GB"/>
              </w:rPr>
            </w:pPr>
            <w:r>
              <w:rPr>
                <w:b/>
                <w:lang w:val="en-GB"/>
              </w:rPr>
              <w:t>Enlarged/swollen fibre cells</w:t>
            </w:r>
          </w:p>
        </w:tc>
        <w:tc>
          <w:tcPr>
            <w:tcW w:w="2127" w:type="dxa"/>
          </w:tcPr>
          <w:p>
            <w:pPr>
              <w:rPr>
                <w:b/>
                <w:lang w:val="en-GB"/>
              </w:rPr>
            </w:pPr>
            <w:r>
              <w:rPr>
                <w:b/>
                <w:lang w:val="en-GB"/>
              </w:rPr>
              <w:t>Fissures</w:t>
            </w:r>
          </w:p>
        </w:tc>
        <w:tc>
          <w:tcPr>
            <w:tcW w:w="1842" w:type="dxa"/>
          </w:tcPr>
          <w:p>
            <w:pPr>
              <w:rPr>
                <w:b/>
                <w:lang w:val="en-GB"/>
              </w:rPr>
            </w:pPr>
            <w:r>
              <w:rPr>
                <w:b/>
                <w:lang w:val="en-GB"/>
              </w:rPr>
              <w:t>Mislocated nuclei</w:t>
            </w:r>
          </w:p>
        </w:tc>
      </w:tr>
      <w:tr>
        <w:tc>
          <w:tcPr>
            <w:tcW w:w="2263" w:type="dxa"/>
          </w:tcPr>
          <w:p>
            <w:pPr>
              <w:rPr>
                <w:lang w:val="en-GB"/>
              </w:rPr>
            </w:pPr>
            <w:r>
              <w:rPr>
                <w:lang w:val="en-GB"/>
              </w:rPr>
              <w:t xml:space="preserve">Radiation </w:t>
            </w:r>
            <w:r>
              <w:rPr>
                <w:lang w:val="en-GB"/>
              </w:rPr>
              <w:br/>
              <w:t>(reference: no radiation)</w:t>
            </w:r>
          </w:p>
        </w:tc>
        <w:tc>
          <w:tcPr>
            <w:tcW w:w="1814" w:type="dxa"/>
          </w:tcPr>
          <w:p>
            <w:pPr>
              <w:rPr>
                <w:lang w:val="en-GB"/>
              </w:rPr>
            </w:pPr>
          </w:p>
        </w:tc>
        <w:tc>
          <w:tcPr>
            <w:tcW w:w="2127" w:type="dxa"/>
          </w:tcPr>
          <w:p>
            <w:pPr>
              <w:rPr>
                <w:lang w:val="en-GB"/>
              </w:rPr>
            </w:pPr>
          </w:p>
        </w:tc>
        <w:tc>
          <w:tcPr>
            <w:tcW w:w="1842" w:type="dxa"/>
          </w:tcPr>
          <w:p>
            <w:pPr>
              <w:jc w:val="both"/>
              <w:rPr>
                <w:lang w:val="en-GB"/>
              </w:rPr>
            </w:pPr>
          </w:p>
        </w:tc>
      </w:tr>
      <w:tr>
        <w:tc>
          <w:tcPr>
            <w:tcW w:w="2263" w:type="dxa"/>
          </w:tcPr>
          <w:p>
            <w:pPr>
              <w:rPr>
                <w:lang w:val="en-GB"/>
              </w:rPr>
            </w:pPr>
            <w:r>
              <w:rPr>
                <w:lang w:val="en-GB"/>
              </w:rPr>
              <w:t xml:space="preserve">   0.063 </w:t>
            </w:r>
            <w:proofErr w:type="spellStart"/>
            <w:r>
              <w:rPr>
                <w:lang w:val="en-GB"/>
              </w:rPr>
              <w:t>Gy</w:t>
            </w:r>
            <w:proofErr w:type="spellEnd"/>
          </w:p>
        </w:tc>
        <w:tc>
          <w:tcPr>
            <w:tcW w:w="1814" w:type="dxa"/>
          </w:tcPr>
          <w:p>
            <w:pPr>
              <w:rPr>
                <w:lang w:val="en-GB"/>
              </w:rPr>
            </w:pPr>
            <w:r>
              <w:rPr>
                <w:lang w:val="en-GB"/>
              </w:rPr>
              <w:t>0.70 [0.15, 3.21]</w:t>
            </w:r>
          </w:p>
        </w:tc>
        <w:tc>
          <w:tcPr>
            <w:tcW w:w="2127" w:type="dxa"/>
          </w:tcPr>
          <w:p>
            <w:pPr>
              <w:rPr>
                <w:lang w:val="en-GB"/>
              </w:rPr>
            </w:pPr>
            <w:r>
              <w:rPr>
                <w:lang w:val="en-GB"/>
              </w:rPr>
              <w:t>5.70 [0.31, 105.95]</w:t>
            </w:r>
          </w:p>
        </w:tc>
        <w:tc>
          <w:tcPr>
            <w:tcW w:w="1842" w:type="dxa"/>
          </w:tcPr>
          <w:p>
            <w:pPr>
              <w:jc w:val="both"/>
              <w:rPr>
                <w:lang w:val="en-GB"/>
              </w:rPr>
            </w:pPr>
            <w:r>
              <w:rPr>
                <w:lang w:val="en-GB"/>
              </w:rPr>
              <w:t>0.81 [0.15, 4.51]</w:t>
            </w:r>
          </w:p>
        </w:tc>
      </w:tr>
      <w:tr>
        <w:tc>
          <w:tcPr>
            <w:tcW w:w="2263" w:type="dxa"/>
          </w:tcPr>
          <w:p>
            <w:pPr>
              <w:rPr>
                <w:lang w:val="en-GB"/>
              </w:rPr>
            </w:pPr>
            <w:r>
              <w:rPr>
                <w:lang w:val="en-GB"/>
              </w:rPr>
              <w:t xml:space="preserve">   0.125 </w:t>
            </w:r>
            <w:proofErr w:type="spellStart"/>
            <w:r>
              <w:rPr>
                <w:lang w:val="en-GB"/>
              </w:rPr>
              <w:t>Gy</w:t>
            </w:r>
            <w:proofErr w:type="spellEnd"/>
          </w:p>
        </w:tc>
        <w:tc>
          <w:tcPr>
            <w:tcW w:w="1814" w:type="dxa"/>
          </w:tcPr>
          <w:p>
            <w:pPr>
              <w:rPr>
                <w:lang w:val="en-GB"/>
              </w:rPr>
            </w:pPr>
            <w:r>
              <w:rPr>
                <w:lang w:val="en-GB"/>
              </w:rPr>
              <w:t>0.34 [0.05, 2.23]</w:t>
            </w:r>
          </w:p>
        </w:tc>
        <w:tc>
          <w:tcPr>
            <w:tcW w:w="2127" w:type="dxa"/>
          </w:tcPr>
          <w:p>
            <w:pPr>
              <w:rPr>
                <w:lang w:val="en-GB"/>
              </w:rPr>
            </w:pPr>
            <w:r>
              <w:rPr>
                <w:lang w:val="en-GB"/>
              </w:rPr>
              <w:t>5.58 [0.30, 103.66]</w:t>
            </w:r>
          </w:p>
        </w:tc>
        <w:tc>
          <w:tcPr>
            <w:tcW w:w="1842" w:type="dxa"/>
          </w:tcPr>
          <w:p>
            <w:pPr>
              <w:jc w:val="both"/>
              <w:rPr>
                <w:lang w:val="en-GB"/>
              </w:rPr>
            </w:pPr>
            <w:r>
              <w:rPr>
                <w:lang w:val="en-GB"/>
              </w:rPr>
              <w:t>0.50 [0.07, 3.50]</w:t>
            </w:r>
          </w:p>
        </w:tc>
      </w:tr>
      <w:tr>
        <w:tc>
          <w:tcPr>
            <w:tcW w:w="2263" w:type="dxa"/>
          </w:tcPr>
          <w:p>
            <w:pPr>
              <w:rPr>
                <w:lang w:val="en-GB"/>
              </w:rPr>
            </w:pPr>
            <w:r>
              <w:rPr>
                <w:lang w:val="en-GB"/>
              </w:rPr>
              <w:t xml:space="preserve">   0.5 </w:t>
            </w:r>
            <w:proofErr w:type="spellStart"/>
            <w:r>
              <w:rPr>
                <w:lang w:val="en-GB"/>
              </w:rPr>
              <w:t>Gy</w:t>
            </w:r>
            <w:proofErr w:type="spellEnd"/>
          </w:p>
        </w:tc>
        <w:tc>
          <w:tcPr>
            <w:tcW w:w="1814" w:type="dxa"/>
          </w:tcPr>
          <w:p>
            <w:pPr>
              <w:rPr>
                <w:lang w:val="en-GB"/>
              </w:rPr>
            </w:pPr>
            <w:r>
              <w:rPr>
                <w:lang w:val="en-GB"/>
              </w:rPr>
              <w:t>0.56 [0.11, 2.91]</w:t>
            </w:r>
          </w:p>
        </w:tc>
        <w:tc>
          <w:tcPr>
            <w:tcW w:w="2127" w:type="dxa"/>
          </w:tcPr>
          <w:p>
            <w:pPr>
              <w:rPr>
                <w:lang w:val="en-GB"/>
              </w:rPr>
            </w:pPr>
            <w:r>
              <w:rPr>
                <w:lang w:val="en-GB"/>
              </w:rPr>
              <w:t>14.64 [0.88, 244.03]</w:t>
            </w:r>
          </w:p>
        </w:tc>
        <w:tc>
          <w:tcPr>
            <w:tcW w:w="1842" w:type="dxa"/>
          </w:tcPr>
          <w:p>
            <w:pPr>
              <w:jc w:val="both"/>
              <w:rPr>
                <w:lang w:val="en-GB"/>
              </w:rPr>
            </w:pPr>
            <w:r>
              <w:rPr>
                <w:lang w:val="en-GB"/>
              </w:rPr>
              <w:t>0.90 [0.16, 5.04]</w:t>
            </w:r>
          </w:p>
        </w:tc>
      </w:tr>
      <w:tr>
        <w:tc>
          <w:tcPr>
            <w:tcW w:w="2263" w:type="dxa"/>
          </w:tcPr>
          <w:p>
            <w:pPr>
              <w:rPr>
                <w:lang w:val="en-GB"/>
              </w:rPr>
            </w:pPr>
            <w:r>
              <w:rPr>
                <w:lang w:val="en-GB"/>
              </w:rPr>
              <w:t xml:space="preserve">Age </w:t>
            </w:r>
            <w:r>
              <w:rPr>
                <w:lang w:val="en-GB"/>
              </w:rPr>
              <w:br/>
              <w:t>(reference: 4 hours)</w:t>
            </w:r>
          </w:p>
        </w:tc>
        <w:tc>
          <w:tcPr>
            <w:tcW w:w="1814" w:type="dxa"/>
          </w:tcPr>
          <w:p>
            <w:pPr>
              <w:rPr>
                <w:lang w:val="en-GB"/>
              </w:rPr>
            </w:pPr>
          </w:p>
        </w:tc>
        <w:tc>
          <w:tcPr>
            <w:tcW w:w="2127" w:type="dxa"/>
          </w:tcPr>
          <w:p>
            <w:pPr>
              <w:rPr>
                <w:lang w:val="en-GB"/>
              </w:rPr>
            </w:pPr>
          </w:p>
        </w:tc>
        <w:tc>
          <w:tcPr>
            <w:tcW w:w="1842" w:type="dxa"/>
          </w:tcPr>
          <w:p>
            <w:pPr>
              <w:jc w:val="both"/>
              <w:rPr>
                <w:lang w:val="en-GB"/>
              </w:rPr>
            </w:pPr>
          </w:p>
        </w:tc>
      </w:tr>
      <w:tr>
        <w:tc>
          <w:tcPr>
            <w:tcW w:w="2263" w:type="dxa"/>
          </w:tcPr>
          <w:p>
            <w:pPr>
              <w:rPr>
                <w:lang w:val="en-GB"/>
              </w:rPr>
            </w:pPr>
            <w:r>
              <w:rPr>
                <w:lang w:val="en-GB"/>
              </w:rPr>
              <w:t xml:space="preserve">   12 months</w:t>
            </w:r>
          </w:p>
        </w:tc>
        <w:tc>
          <w:tcPr>
            <w:tcW w:w="1814" w:type="dxa"/>
          </w:tcPr>
          <w:p>
            <w:pPr>
              <w:rPr>
                <w:lang w:val="en-GB"/>
              </w:rPr>
            </w:pPr>
            <w:r>
              <w:rPr>
                <w:lang w:val="en-GB"/>
              </w:rPr>
              <w:t>0.95 [0.11, 8.19]</w:t>
            </w:r>
          </w:p>
        </w:tc>
        <w:tc>
          <w:tcPr>
            <w:tcW w:w="2127" w:type="dxa"/>
          </w:tcPr>
          <w:p>
            <w:pPr>
              <w:rPr>
                <w:lang w:val="en-GB"/>
              </w:rPr>
            </w:pPr>
            <w:r>
              <w:rPr>
                <w:lang w:val="en-GB"/>
              </w:rPr>
              <w:t>1.98 [0.28, 14.02]</w:t>
            </w:r>
          </w:p>
        </w:tc>
        <w:tc>
          <w:tcPr>
            <w:tcW w:w="1842" w:type="dxa"/>
          </w:tcPr>
          <w:p>
            <w:pPr>
              <w:jc w:val="both"/>
              <w:rPr>
                <w:lang w:val="en-GB"/>
              </w:rPr>
            </w:pPr>
            <w:r>
              <w:rPr>
                <w:lang w:val="en-GB"/>
              </w:rPr>
              <w:t>3.07 [0.54, 17.51]</w:t>
            </w:r>
          </w:p>
        </w:tc>
      </w:tr>
      <w:tr>
        <w:tc>
          <w:tcPr>
            <w:tcW w:w="2263" w:type="dxa"/>
          </w:tcPr>
          <w:p>
            <w:pPr>
              <w:rPr>
                <w:lang w:val="en-GB"/>
              </w:rPr>
            </w:pPr>
            <w:r>
              <w:rPr>
                <w:lang w:val="en-GB"/>
              </w:rPr>
              <w:t xml:space="preserve">   18 months</w:t>
            </w:r>
          </w:p>
        </w:tc>
        <w:tc>
          <w:tcPr>
            <w:tcW w:w="1814" w:type="dxa"/>
          </w:tcPr>
          <w:p>
            <w:pPr>
              <w:rPr>
                <w:lang w:val="en-GB"/>
              </w:rPr>
            </w:pPr>
            <w:r>
              <w:rPr>
                <w:lang w:val="en-GB"/>
              </w:rPr>
              <w:t>3.16 [0.52, 19.13]</w:t>
            </w:r>
          </w:p>
        </w:tc>
        <w:tc>
          <w:tcPr>
            <w:tcW w:w="2127" w:type="dxa"/>
          </w:tcPr>
          <w:p>
            <w:pPr>
              <w:rPr>
                <w:lang w:val="en-GB"/>
              </w:rPr>
            </w:pPr>
            <w:r>
              <w:rPr>
                <w:lang w:val="en-GB"/>
              </w:rPr>
              <w:t>0.33 [0.02, 6.62]</w:t>
            </w:r>
          </w:p>
        </w:tc>
        <w:tc>
          <w:tcPr>
            <w:tcW w:w="1842" w:type="dxa"/>
          </w:tcPr>
          <w:p>
            <w:pPr>
              <w:jc w:val="both"/>
              <w:rPr>
                <w:lang w:val="en-GB"/>
              </w:rPr>
            </w:pPr>
            <w:r>
              <w:rPr>
                <w:lang w:val="en-GB"/>
              </w:rPr>
              <w:t>0.32 [0.02, 5.72]</w:t>
            </w:r>
          </w:p>
        </w:tc>
      </w:tr>
      <w:tr>
        <w:tc>
          <w:tcPr>
            <w:tcW w:w="2263" w:type="dxa"/>
          </w:tcPr>
          <w:p>
            <w:pPr>
              <w:rPr>
                <w:lang w:val="en-GB"/>
              </w:rPr>
            </w:pPr>
            <w:r>
              <w:rPr>
                <w:lang w:val="en-GB"/>
              </w:rPr>
              <w:t xml:space="preserve">   24 months</w:t>
            </w:r>
          </w:p>
        </w:tc>
        <w:tc>
          <w:tcPr>
            <w:tcW w:w="1814" w:type="dxa"/>
          </w:tcPr>
          <w:p>
            <w:pPr>
              <w:rPr>
                <w:lang w:val="en-GB"/>
              </w:rPr>
            </w:pPr>
            <w:r>
              <w:rPr>
                <w:lang w:val="en-GB"/>
              </w:rPr>
              <w:t>2.38 [0.37, 15.30]</w:t>
            </w:r>
          </w:p>
        </w:tc>
        <w:tc>
          <w:tcPr>
            <w:tcW w:w="2127" w:type="dxa"/>
          </w:tcPr>
          <w:p>
            <w:pPr>
              <w:rPr>
                <w:b/>
                <w:lang w:val="en-GB"/>
              </w:rPr>
            </w:pPr>
            <w:r>
              <w:rPr>
                <w:b/>
                <w:lang w:val="en-GB"/>
              </w:rPr>
              <w:t>6.06 [1.04, 35.46]</w:t>
            </w:r>
          </w:p>
        </w:tc>
        <w:tc>
          <w:tcPr>
            <w:tcW w:w="1842" w:type="dxa"/>
          </w:tcPr>
          <w:p>
            <w:pPr>
              <w:jc w:val="both"/>
              <w:rPr>
                <w:lang w:val="en-GB"/>
              </w:rPr>
            </w:pPr>
            <w:r>
              <w:rPr>
                <w:lang w:val="en-GB"/>
              </w:rPr>
              <w:t>1.70 [0.26, 11.31]</w:t>
            </w:r>
          </w:p>
        </w:tc>
      </w:tr>
      <w:tr>
        <w:tc>
          <w:tcPr>
            <w:tcW w:w="2263" w:type="dxa"/>
          </w:tcPr>
          <w:p>
            <w:pPr>
              <w:rPr>
                <w:lang w:val="en-GB"/>
              </w:rPr>
            </w:pPr>
            <w:r>
              <w:rPr>
                <w:lang w:val="en-GB"/>
              </w:rPr>
              <w:t>Male mouse</w:t>
            </w:r>
          </w:p>
        </w:tc>
        <w:tc>
          <w:tcPr>
            <w:tcW w:w="1814" w:type="dxa"/>
          </w:tcPr>
          <w:p>
            <w:pPr>
              <w:rPr>
                <w:lang w:val="en-GB"/>
              </w:rPr>
            </w:pPr>
            <w:r>
              <w:rPr>
                <w:lang w:val="en-GB"/>
              </w:rPr>
              <w:t>3.31 [0.88, 12.34]</w:t>
            </w:r>
          </w:p>
        </w:tc>
        <w:tc>
          <w:tcPr>
            <w:tcW w:w="2127" w:type="dxa"/>
          </w:tcPr>
          <w:p>
            <w:pPr>
              <w:rPr>
                <w:lang w:val="en-GB"/>
              </w:rPr>
            </w:pPr>
            <w:r>
              <w:rPr>
                <w:lang w:val="en-GB"/>
              </w:rPr>
              <w:t>0.42 [0.12, 1.54]</w:t>
            </w:r>
          </w:p>
        </w:tc>
        <w:tc>
          <w:tcPr>
            <w:tcW w:w="1842" w:type="dxa"/>
          </w:tcPr>
          <w:p>
            <w:pPr>
              <w:jc w:val="both"/>
              <w:rPr>
                <w:lang w:val="en-GB"/>
              </w:rPr>
            </w:pPr>
            <w:r>
              <w:rPr>
                <w:lang w:val="en-GB"/>
              </w:rPr>
              <w:t>1.35 [0.38, 4.83]</w:t>
            </w:r>
          </w:p>
        </w:tc>
      </w:tr>
      <w:tr>
        <w:tc>
          <w:tcPr>
            <w:tcW w:w="2263" w:type="dxa"/>
          </w:tcPr>
          <w:p>
            <w:pPr>
              <w:rPr>
                <w:lang w:val="en-GB"/>
              </w:rPr>
            </w:pPr>
            <w:r>
              <w:rPr>
                <w:lang w:val="en-GB"/>
              </w:rPr>
              <w:t>Mutant mouse</w:t>
            </w:r>
          </w:p>
        </w:tc>
        <w:tc>
          <w:tcPr>
            <w:tcW w:w="1814" w:type="dxa"/>
          </w:tcPr>
          <w:p>
            <w:pPr>
              <w:rPr>
                <w:lang w:val="en-GB"/>
              </w:rPr>
            </w:pPr>
            <w:r>
              <w:rPr>
                <w:lang w:val="en-GB"/>
              </w:rPr>
              <w:t>2.17 [0.63, 7.42]</w:t>
            </w:r>
          </w:p>
        </w:tc>
        <w:tc>
          <w:tcPr>
            <w:tcW w:w="2127" w:type="dxa"/>
          </w:tcPr>
          <w:p>
            <w:pPr>
              <w:rPr>
                <w:lang w:val="en-GB"/>
              </w:rPr>
            </w:pPr>
            <w:r>
              <w:rPr>
                <w:lang w:val="en-GB"/>
              </w:rPr>
              <w:t>1.35 [0.39, 4.66]</w:t>
            </w:r>
          </w:p>
        </w:tc>
        <w:tc>
          <w:tcPr>
            <w:tcW w:w="1842" w:type="dxa"/>
          </w:tcPr>
          <w:p>
            <w:pPr>
              <w:jc w:val="both"/>
              <w:rPr>
                <w:lang w:val="en-GB"/>
              </w:rPr>
            </w:pPr>
            <w:r>
              <w:rPr>
                <w:lang w:val="en-GB"/>
              </w:rPr>
              <w:t>0.47 [0.12, 1.78]</w:t>
            </w:r>
          </w:p>
        </w:tc>
      </w:tr>
    </w:tbl>
    <w:p>
      <w:pPr>
        <w:rPr>
          <w:lang w:val="en-GB"/>
        </w:rPr>
      </w:pPr>
    </w:p>
    <w:p>
      <w:pPr>
        <w:rPr>
          <w:lang w:val="en-GB"/>
        </w:rPr>
      </w:pPr>
      <w:r>
        <w:rPr>
          <w:lang w:val="en-GB"/>
        </w:rPr>
        <w:br w:type="page"/>
      </w:r>
    </w:p>
    <w:p>
      <w:pPr>
        <w:rPr>
          <w:lang w:val="en-GB"/>
        </w:rPr>
      </w:pPr>
      <w:r>
        <w:rPr>
          <w:b/>
          <w:lang w:val="en-GB"/>
        </w:rPr>
        <w:lastRenderedPageBreak/>
        <w:t xml:space="preserve">Table 3. </w:t>
      </w:r>
      <w:r>
        <w:rPr>
          <w:lang w:val="en-GB"/>
        </w:rPr>
        <w:t xml:space="preserve">Odds Ratios [95% confidence intervals] of outcomes from the </w:t>
      </w:r>
      <w:r>
        <w:rPr>
          <w:u w:val="single"/>
          <w:lang w:val="en-GB"/>
        </w:rPr>
        <w:t>posterior part</w:t>
      </w:r>
      <w:r>
        <w:rPr>
          <w:lang w:val="en-GB"/>
        </w:rPr>
        <w:t xml:space="preserve"> of the lenses. </w:t>
      </w:r>
      <w:proofErr w:type="gramStart"/>
      <w:r>
        <w:rPr>
          <w:lang w:val="en-GB"/>
        </w:rPr>
        <w:t>Associations which are statistically significant at a level of 5%</w:t>
      </w:r>
      <w:proofErr w:type="gramEnd"/>
      <w:r>
        <w:rPr>
          <w:lang w:val="en-GB"/>
        </w:rPr>
        <w:t xml:space="preserve"> are shown in bold face.</w:t>
      </w:r>
    </w:p>
    <w:tbl>
      <w:tblPr>
        <w:tblStyle w:val="Tabellenraster"/>
        <w:tblW w:w="0" w:type="auto"/>
        <w:tblInd w:w="-3" w:type="dxa"/>
        <w:tblLook w:val="04A0" w:firstRow="1" w:lastRow="0" w:firstColumn="1" w:lastColumn="0" w:noHBand="0" w:noVBand="1"/>
      </w:tblPr>
      <w:tblGrid>
        <w:gridCol w:w="2263"/>
        <w:gridCol w:w="1672"/>
        <w:gridCol w:w="2126"/>
        <w:gridCol w:w="2126"/>
        <w:gridCol w:w="2126"/>
      </w:tblGrid>
      <w:tr>
        <w:tc>
          <w:tcPr>
            <w:tcW w:w="2263" w:type="dxa"/>
          </w:tcPr>
          <w:p>
            <w:pPr>
              <w:rPr>
                <w:lang w:val="en-GB"/>
              </w:rPr>
            </w:pPr>
          </w:p>
        </w:tc>
        <w:tc>
          <w:tcPr>
            <w:tcW w:w="1669" w:type="dxa"/>
          </w:tcPr>
          <w:p>
            <w:pPr>
              <w:rPr>
                <w:b/>
                <w:lang w:val="en-GB"/>
              </w:rPr>
            </w:pPr>
            <w:r>
              <w:rPr>
                <w:b/>
                <w:lang w:val="en-GB"/>
              </w:rPr>
              <w:t>Enlarged/swollen fibre cells</w:t>
            </w:r>
          </w:p>
        </w:tc>
        <w:tc>
          <w:tcPr>
            <w:tcW w:w="2126" w:type="dxa"/>
          </w:tcPr>
          <w:p>
            <w:pPr>
              <w:rPr>
                <w:b/>
                <w:lang w:val="en-GB"/>
              </w:rPr>
            </w:pPr>
            <w:r>
              <w:rPr>
                <w:b/>
                <w:lang w:val="en-GB"/>
              </w:rPr>
              <w:t>Fissures</w:t>
            </w:r>
          </w:p>
        </w:tc>
        <w:tc>
          <w:tcPr>
            <w:tcW w:w="2126" w:type="dxa"/>
          </w:tcPr>
          <w:p>
            <w:pPr>
              <w:rPr>
                <w:b/>
                <w:lang w:val="en-GB"/>
              </w:rPr>
            </w:pPr>
            <w:r>
              <w:rPr>
                <w:b/>
                <w:lang w:val="en-GB"/>
              </w:rPr>
              <w:t>Mislocated nuclei</w:t>
            </w:r>
          </w:p>
        </w:tc>
        <w:tc>
          <w:tcPr>
            <w:tcW w:w="2126" w:type="dxa"/>
          </w:tcPr>
          <w:p>
            <w:pPr>
              <w:rPr>
                <w:b/>
                <w:lang w:val="en-GB"/>
              </w:rPr>
            </w:pPr>
            <w:r>
              <w:rPr>
                <w:b/>
                <w:lang w:val="en-GB"/>
              </w:rPr>
              <w:t>Subcapsular cataracts</w:t>
            </w:r>
          </w:p>
        </w:tc>
      </w:tr>
      <w:tr>
        <w:tc>
          <w:tcPr>
            <w:tcW w:w="2263" w:type="dxa"/>
          </w:tcPr>
          <w:p>
            <w:pPr>
              <w:rPr>
                <w:lang w:val="en-GB"/>
              </w:rPr>
            </w:pPr>
            <w:r>
              <w:rPr>
                <w:lang w:val="en-GB"/>
              </w:rPr>
              <w:t xml:space="preserve">Radiation </w:t>
            </w:r>
            <w:r>
              <w:rPr>
                <w:lang w:val="en-GB"/>
              </w:rPr>
              <w:br/>
              <w:t>(reference: no radiation)</w:t>
            </w:r>
          </w:p>
        </w:tc>
        <w:tc>
          <w:tcPr>
            <w:tcW w:w="1669" w:type="dxa"/>
          </w:tcPr>
          <w:p>
            <w:pPr>
              <w:rPr>
                <w:lang w:val="en-GB"/>
              </w:rPr>
            </w:pPr>
          </w:p>
        </w:tc>
        <w:tc>
          <w:tcPr>
            <w:tcW w:w="2126" w:type="dxa"/>
          </w:tcPr>
          <w:p>
            <w:pPr>
              <w:rPr>
                <w:lang w:val="en-GB"/>
              </w:rPr>
            </w:pPr>
          </w:p>
        </w:tc>
        <w:tc>
          <w:tcPr>
            <w:tcW w:w="2126" w:type="dxa"/>
          </w:tcPr>
          <w:p>
            <w:pPr>
              <w:jc w:val="both"/>
              <w:rPr>
                <w:lang w:val="en-GB"/>
              </w:rPr>
            </w:pPr>
          </w:p>
        </w:tc>
        <w:tc>
          <w:tcPr>
            <w:tcW w:w="2126" w:type="dxa"/>
          </w:tcPr>
          <w:p>
            <w:pPr>
              <w:jc w:val="both"/>
              <w:rPr>
                <w:lang w:val="en-GB"/>
              </w:rPr>
            </w:pPr>
          </w:p>
        </w:tc>
      </w:tr>
      <w:tr>
        <w:tc>
          <w:tcPr>
            <w:tcW w:w="2263" w:type="dxa"/>
          </w:tcPr>
          <w:p>
            <w:pPr>
              <w:rPr>
                <w:lang w:val="en-GB"/>
              </w:rPr>
            </w:pPr>
            <w:r>
              <w:rPr>
                <w:lang w:val="en-GB"/>
              </w:rPr>
              <w:t xml:space="preserve">   0.063 </w:t>
            </w:r>
            <w:proofErr w:type="spellStart"/>
            <w:r>
              <w:rPr>
                <w:lang w:val="en-GB"/>
              </w:rPr>
              <w:t>Gy</w:t>
            </w:r>
            <w:proofErr w:type="spellEnd"/>
          </w:p>
        </w:tc>
        <w:tc>
          <w:tcPr>
            <w:tcW w:w="1669" w:type="dxa"/>
          </w:tcPr>
          <w:p>
            <w:pPr>
              <w:rPr>
                <w:lang w:val="en-GB"/>
              </w:rPr>
            </w:pPr>
            <w:r>
              <w:rPr>
                <w:lang w:val="en-GB"/>
              </w:rPr>
              <w:t>0.89 [0.35, 2.28]</w:t>
            </w:r>
          </w:p>
        </w:tc>
        <w:tc>
          <w:tcPr>
            <w:tcW w:w="2126" w:type="dxa"/>
          </w:tcPr>
          <w:p>
            <w:pPr>
              <w:rPr>
                <w:lang w:val="en-GB"/>
              </w:rPr>
            </w:pPr>
            <w:r>
              <w:rPr>
                <w:lang w:val="en-GB"/>
              </w:rPr>
              <w:t>1.47 [0.20, 10.87]</w:t>
            </w:r>
          </w:p>
        </w:tc>
        <w:tc>
          <w:tcPr>
            <w:tcW w:w="2126" w:type="dxa"/>
          </w:tcPr>
          <w:p>
            <w:pPr>
              <w:jc w:val="both"/>
              <w:rPr>
                <w:lang w:val="en-GB"/>
              </w:rPr>
            </w:pPr>
            <w:r>
              <w:rPr>
                <w:lang w:val="en-GB"/>
              </w:rPr>
              <w:t>0.97 [0.36, 2.65]</w:t>
            </w:r>
          </w:p>
        </w:tc>
        <w:tc>
          <w:tcPr>
            <w:tcW w:w="2126" w:type="dxa"/>
          </w:tcPr>
          <w:p>
            <w:pPr>
              <w:jc w:val="both"/>
              <w:rPr>
                <w:lang w:val="en-GB"/>
              </w:rPr>
            </w:pPr>
            <w:r>
              <w:rPr>
                <w:lang w:val="en-GB"/>
              </w:rPr>
              <w:t>0.82 [0.14, 5.00]</w:t>
            </w:r>
          </w:p>
        </w:tc>
      </w:tr>
      <w:tr>
        <w:tc>
          <w:tcPr>
            <w:tcW w:w="2263" w:type="dxa"/>
          </w:tcPr>
          <w:p>
            <w:pPr>
              <w:rPr>
                <w:lang w:val="en-GB"/>
              </w:rPr>
            </w:pPr>
            <w:r>
              <w:rPr>
                <w:lang w:val="en-GB"/>
              </w:rPr>
              <w:t xml:space="preserve">   0.125 </w:t>
            </w:r>
            <w:proofErr w:type="spellStart"/>
            <w:r>
              <w:rPr>
                <w:lang w:val="en-GB"/>
              </w:rPr>
              <w:t>Gy</w:t>
            </w:r>
            <w:proofErr w:type="spellEnd"/>
          </w:p>
        </w:tc>
        <w:tc>
          <w:tcPr>
            <w:tcW w:w="1669" w:type="dxa"/>
          </w:tcPr>
          <w:p>
            <w:pPr>
              <w:rPr>
                <w:lang w:val="en-GB"/>
              </w:rPr>
            </w:pPr>
            <w:r>
              <w:rPr>
                <w:lang w:val="en-GB"/>
              </w:rPr>
              <w:t>0.64 [0.24, 1.71]</w:t>
            </w:r>
          </w:p>
        </w:tc>
        <w:tc>
          <w:tcPr>
            <w:tcW w:w="2126" w:type="dxa"/>
          </w:tcPr>
          <w:p>
            <w:pPr>
              <w:rPr>
                <w:lang w:val="en-GB"/>
              </w:rPr>
            </w:pPr>
            <w:r>
              <w:rPr>
                <w:lang w:val="en-GB"/>
              </w:rPr>
              <w:t>0.93 [0.11, 8.19]</w:t>
            </w:r>
          </w:p>
        </w:tc>
        <w:tc>
          <w:tcPr>
            <w:tcW w:w="2126" w:type="dxa"/>
          </w:tcPr>
          <w:p>
            <w:pPr>
              <w:jc w:val="both"/>
              <w:rPr>
                <w:lang w:val="en-GB"/>
              </w:rPr>
            </w:pPr>
            <w:r>
              <w:rPr>
                <w:lang w:val="en-GB"/>
              </w:rPr>
              <w:t>0.95 [0.34, 2.62]</w:t>
            </w:r>
          </w:p>
        </w:tc>
        <w:tc>
          <w:tcPr>
            <w:tcW w:w="2126" w:type="dxa"/>
          </w:tcPr>
          <w:p>
            <w:pPr>
              <w:jc w:val="both"/>
              <w:rPr>
                <w:lang w:val="en-GB"/>
              </w:rPr>
            </w:pPr>
            <w:r>
              <w:rPr>
                <w:lang w:val="en-GB"/>
              </w:rPr>
              <w:t>0.85 [0.14, 5.21]</w:t>
            </w:r>
          </w:p>
        </w:tc>
      </w:tr>
      <w:tr>
        <w:tc>
          <w:tcPr>
            <w:tcW w:w="2263" w:type="dxa"/>
          </w:tcPr>
          <w:p>
            <w:pPr>
              <w:rPr>
                <w:lang w:val="en-GB"/>
              </w:rPr>
            </w:pPr>
            <w:r>
              <w:rPr>
                <w:lang w:val="en-GB"/>
              </w:rPr>
              <w:t xml:space="preserve">   0.5 </w:t>
            </w:r>
            <w:proofErr w:type="spellStart"/>
            <w:r>
              <w:rPr>
                <w:lang w:val="en-GB"/>
              </w:rPr>
              <w:t>Gy</w:t>
            </w:r>
            <w:proofErr w:type="spellEnd"/>
          </w:p>
        </w:tc>
        <w:tc>
          <w:tcPr>
            <w:tcW w:w="1669" w:type="dxa"/>
          </w:tcPr>
          <w:p>
            <w:pPr>
              <w:rPr>
                <w:lang w:val="en-GB"/>
              </w:rPr>
            </w:pPr>
            <w:r>
              <w:rPr>
                <w:lang w:val="en-GB"/>
              </w:rPr>
              <w:t>0.44 [0.16, 1.22]</w:t>
            </w:r>
          </w:p>
        </w:tc>
        <w:tc>
          <w:tcPr>
            <w:tcW w:w="2126" w:type="dxa"/>
          </w:tcPr>
          <w:p>
            <w:pPr>
              <w:rPr>
                <w:lang w:val="en-GB"/>
              </w:rPr>
            </w:pPr>
            <w:r>
              <w:rPr>
                <w:lang w:val="en-GB"/>
              </w:rPr>
              <w:t>0.25 [0.01, 4.88]</w:t>
            </w:r>
          </w:p>
        </w:tc>
        <w:tc>
          <w:tcPr>
            <w:tcW w:w="2126" w:type="dxa"/>
          </w:tcPr>
          <w:p>
            <w:pPr>
              <w:jc w:val="both"/>
              <w:rPr>
                <w:lang w:val="en-GB"/>
              </w:rPr>
            </w:pPr>
            <w:r>
              <w:rPr>
                <w:lang w:val="en-GB"/>
              </w:rPr>
              <w:t>1.22 [0.44, 3.34]</w:t>
            </w:r>
          </w:p>
        </w:tc>
        <w:tc>
          <w:tcPr>
            <w:tcW w:w="2126" w:type="dxa"/>
          </w:tcPr>
          <w:p>
            <w:pPr>
              <w:jc w:val="both"/>
              <w:rPr>
                <w:b/>
                <w:lang w:val="en-GB"/>
              </w:rPr>
            </w:pPr>
            <w:r>
              <w:rPr>
                <w:b/>
                <w:lang w:val="en-GB"/>
              </w:rPr>
              <w:t>9.28 [2.08, 41.31]</w:t>
            </w:r>
          </w:p>
        </w:tc>
      </w:tr>
      <w:tr>
        <w:tc>
          <w:tcPr>
            <w:tcW w:w="2263" w:type="dxa"/>
          </w:tcPr>
          <w:p>
            <w:pPr>
              <w:rPr>
                <w:lang w:val="en-GB"/>
              </w:rPr>
            </w:pPr>
            <w:r>
              <w:rPr>
                <w:lang w:val="en-GB"/>
              </w:rPr>
              <w:t xml:space="preserve">Age </w:t>
            </w:r>
            <w:r>
              <w:rPr>
                <w:lang w:val="en-GB"/>
              </w:rPr>
              <w:br/>
              <w:t>(reference: 4 hours)</w:t>
            </w:r>
          </w:p>
        </w:tc>
        <w:tc>
          <w:tcPr>
            <w:tcW w:w="1669" w:type="dxa"/>
          </w:tcPr>
          <w:p>
            <w:pPr>
              <w:rPr>
                <w:lang w:val="en-GB"/>
              </w:rPr>
            </w:pPr>
          </w:p>
        </w:tc>
        <w:tc>
          <w:tcPr>
            <w:tcW w:w="2126" w:type="dxa"/>
          </w:tcPr>
          <w:p>
            <w:pPr>
              <w:rPr>
                <w:lang w:val="en-GB"/>
              </w:rPr>
            </w:pPr>
          </w:p>
        </w:tc>
        <w:tc>
          <w:tcPr>
            <w:tcW w:w="2126" w:type="dxa"/>
          </w:tcPr>
          <w:p>
            <w:pPr>
              <w:jc w:val="both"/>
              <w:rPr>
                <w:lang w:val="en-GB"/>
              </w:rPr>
            </w:pPr>
          </w:p>
        </w:tc>
        <w:tc>
          <w:tcPr>
            <w:tcW w:w="2126" w:type="dxa"/>
          </w:tcPr>
          <w:p>
            <w:pPr>
              <w:jc w:val="both"/>
              <w:rPr>
                <w:lang w:val="en-GB"/>
              </w:rPr>
            </w:pPr>
          </w:p>
        </w:tc>
      </w:tr>
      <w:tr>
        <w:tc>
          <w:tcPr>
            <w:tcW w:w="2263" w:type="dxa"/>
          </w:tcPr>
          <w:p>
            <w:pPr>
              <w:rPr>
                <w:lang w:val="en-GB"/>
              </w:rPr>
            </w:pPr>
            <w:r>
              <w:rPr>
                <w:lang w:val="en-GB"/>
              </w:rPr>
              <w:t xml:space="preserve">   12 months</w:t>
            </w:r>
          </w:p>
        </w:tc>
        <w:tc>
          <w:tcPr>
            <w:tcW w:w="1669" w:type="dxa"/>
          </w:tcPr>
          <w:p>
            <w:pPr>
              <w:rPr>
                <w:b/>
                <w:lang w:val="en-GB"/>
              </w:rPr>
            </w:pPr>
            <w:r>
              <w:rPr>
                <w:b/>
                <w:lang w:val="en-GB"/>
              </w:rPr>
              <w:t>5.87 [1.85, 18.68]</w:t>
            </w:r>
          </w:p>
        </w:tc>
        <w:tc>
          <w:tcPr>
            <w:tcW w:w="2126" w:type="dxa"/>
          </w:tcPr>
          <w:p>
            <w:pPr>
              <w:rPr>
                <w:lang w:val="en-GB"/>
              </w:rPr>
            </w:pPr>
            <w:r>
              <w:rPr>
                <w:lang w:val="en-GB"/>
              </w:rPr>
              <w:t>1.11 [0.04, 31.72]</w:t>
            </w:r>
          </w:p>
        </w:tc>
        <w:tc>
          <w:tcPr>
            <w:tcW w:w="2126" w:type="dxa"/>
          </w:tcPr>
          <w:p>
            <w:pPr>
              <w:jc w:val="both"/>
              <w:rPr>
                <w:b/>
                <w:lang w:val="en-GB"/>
              </w:rPr>
            </w:pPr>
            <w:r>
              <w:rPr>
                <w:b/>
                <w:lang w:val="en-GB"/>
              </w:rPr>
              <w:t>13.75 [2.48, 76.38]</w:t>
            </w:r>
          </w:p>
        </w:tc>
        <w:tc>
          <w:tcPr>
            <w:tcW w:w="2126" w:type="dxa"/>
          </w:tcPr>
          <w:p>
            <w:pPr>
              <w:jc w:val="both"/>
              <w:rPr>
                <w:lang w:val="en-GB"/>
              </w:rPr>
            </w:pPr>
            <w:r>
              <w:rPr>
                <w:lang w:val="en-GB"/>
              </w:rPr>
              <w:t>9.30 [0.47, 182.33]</w:t>
            </w:r>
          </w:p>
        </w:tc>
      </w:tr>
      <w:tr>
        <w:tc>
          <w:tcPr>
            <w:tcW w:w="2263" w:type="dxa"/>
          </w:tcPr>
          <w:p>
            <w:pPr>
              <w:rPr>
                <w:lang w:val="en-GB"/>
              </w:rPr>
            </w:pPr>
            <w:r>
              <w:rPr>
                <w:lang w:val="en-GB"/>
              </w:rPr>
              <w:t xml:space="preserve">   18 months</w:t>
            </w:r>
          </w:p>
        </w:tc>
        <w:tc>
          <w:tcPr>
            <w:tcW w:w="1669" w:type="dxa"/>
          </w:tcPr>
          <w:p>
            <w:pPr>
              <w:rPr>
                <w:b/>
                <w:lang w:val="en-GB"/>
              </w:rPr>
            </w:pPr>
            <w:r>
              <w:rPr>
                <w:b/>
                <w:lang w:val="en-GB"/>
              </w:rPr>
              <w:t>4.85 [1.51, 15.55]</w:t>
            </w:r>
          </w:p>
        </w:tc>
        <w:tc>
          <w:tcPr>
            <w:tcW w:w="2126" w:type="dxa"/>
          </w:tcPr>
          <w:p>
            <w:pPr>
              <w:rPr>
                <w:lang w:val="en-GB"/>
              </w:rPr>
            </w:pPr>
            <w:r>
              <w:rPr>
                <w:lang w:val="en-GB"/>
              </w:rPr>
              <w:t>1.12 [0.04, 32.22]</w:t>
            </w:r>
          </w:p>
        </w:tc>
        <w:tc>
          <w:tcPr>
            <w:tcW w:w="2126" w:type="dxa"/>
          </w:tcPr>
          <w:p>
            <w:pPr>
              <w:jc w:val="both"/>
              <w:rPr>
                <w:b/>
                <w:lang w:val="en-GB"/>
              </w:rPr>
            </w:pPr>
            <w:r>
              <w:rPr>
                <w:b/>
                <w:lang w:val="en-GB"/>
              </w:rPr>
              <w:t>31.10 [5.67, 170.71]</w:t>
            </w:r>
          </w:p>
        </w:tc>
        <w:tc>
          <w:tcPr>
            <w:tcW w:w="2126" w:type="dxa"/>
          </w:tcPr>
          <w:p>
            <w:pPr>
              <w:jc w:val="both"/>
              <w:rPr>
                <w:b/>
                <w:lang w:val="en-GB"/>
              </w:rPr>
            </w:pPr>
            <w:r>
              <w:rPr>
                <w:b/>
                <w:lang w:val="en-GB"/>
              </w:rPr>
              <w:t>46.52 [2.61, 829.14]</w:t>
            </w:r>
          </w:p>
        </w:tc>
      </w:tr>
      <w:tr>
        <w:tc>
          <w:tcPr>
            <w:tcW w:w="2263" w:type="dxa"/>
          </w:tcPr>
          <w:p>
            <w:pPr>
              <w:rPr>
                <w:lang w:val="en-GB"/>
              </w:rPr>
            </w:pPr>
            <w:r>
              <w:rPr>
                <w:lang w:val="en-GB"/>
              </w:rPr>
              <w:t xml:space="preserve">   24 months</w:t>
            </w:r>
          </w:p>
        </w:tc>
        <w:tc>
          <w:tcPr>
            <w:tcW w:w="1669" w:type="dxa"/>
          </w:tcPr>
          <w:p>
            <w:pPr>
              <w:rPr>
                <w:b/>
                <w:lang w:val="en-GB"/>
              </w:rPr>
            </w:pPr>
            <w:r>
              <w:rPr>
                <w:b/>
                <w:lang w:val="en-GB"/>
              </w:rPr>
              <w:t>5.23 [1.62, 16.90]</w:t>
            </w:r>
          </w:p>
        </w:tc>
        <w:tc>
          <w:tcPr>
            <w:tcW w:w="2126" w:type="dxa"/>
          </w:tcPr>
          <w:p>
            <w:pPr>
              <w:rPr>
                <w:lang w:val="en-GB"/>
              </w:rPr>
            </w:pPr>
            <w:r>
              <w:rPr>
                <w:lang w:val="en-GB"/>
              </w:rPr>
              <w:t>11.20 [0.85, 148.12]</w:t>
            </w:r>
          </w:p>
        </w:tc>
        <w:tc>
          <w:tcPr>
            <w:tcW w:w="2126" w:type="dxa"/>
          </w:tcPr>
          <w:p>
            <w:pPr>
              <w:jc w:val="both"/>
              <w:rPr>
                <w:b/>
                <w:lang w:val="en-GB"/>
              </w:rPr>
            </w:pPr>
            <w:r>
              <w:rPr>
                <w:b/>
                <w:lang w:val="en-GB"/>
              </w:rPr>
              <w:t>17.88 [3.22, 99.21]</w:t>
            </w:r>
          </w:p>
        </w:tc>
        <w:tc>
          <w:tcPr>
            <w:tcW w:w="2126" w:type="dxa"/>
          </w:tcPr>
          <w:p>
            <w:pPr>
              <w:jc w:val="both"/>
              <w:rPr>
                <w:b/>
                <w:lang w:val="en-GB"/>
              </w:rPr>
            </w:pPr>
            <w:r>
              <w:rPr>
                <w:b/>
                <w:lang w:val="en-GB"/>
              </w:rPr>
              <w:t>19.62 [1.08, 357.87]</w:t>
            </w:r>
          </w:p>
        </w:tc>
      </w:tr>
      <w:tr>
        <w:tc>
          <w:tcPr>
            <w:tcW w:w="2263" w:type="dxa"/>
          </w:tcPr>
          <w:p>
            <w:pPr>
              <w:rPr>
                <w:lang w:val="en-GB"/>
              </w:rPr>
            </w:pPr>
            <w:r>
              <w:rPr>
                <w:lang w:val="en-GB"/>
              </w:rPr>
              <w:t>Male mouse</w:t>
            </w:r>
          </w:p>
        </w:tc>
        <w:tc>
          <w:tcPr>
            <w:tcW w:w="1669" w:type="dxa"/>
          </w:tcPr>
          <w:p>
            <w:pPr>
              <w:rPr>
                <w:lang w:val="en-GB"/>
              </w:rPr>
            </w:pPr>
            <w:r>
              <w:rPr>
                <w:lang w:val="en-GB"/>
              </w:rPr>
              <w:t>1.58 [0.79, 3.16]</w:t>
            </w:r>
          </w:p>
        </w:tc>
        <w:tc>
          <w:tcPr>
            <w:tcW w:w="2126" w:type="dxa"/>
          </w:tcPr>
          <w:p>
            <w:pPr>
              <w:rPr>
                <w:lang w:val="en-GB"/>
              </w:rPr>
            </w:pPr>
            <w:r>
              <w:rPr>
                <w:lang w:val="en-GB"/>
              </w:rPr>
              <w:t>2.43 [0.47, 12.54]</w:t>
            </w:r>
          </w:p>
        </w:tc>
        <w:tc>
          <w:tcPr>
            <w:tcW w:w="2126" w:type="dxa"/>
          </w:tcPr>
          <w:p>
            <w:pPr>
              <w:jc w:val="both"/>
              <w:rPr>
                <w:lang w:val="en-GB"/>
              </w:rPr>
            </w:pPr>
            <w:r>
              <w:rPr>
                <w:lang w:val="en-GB"/>
              </w:rPr>
              <w:t>0.81 [0.40, 1.63]</w:t>
            </w:r>
          </w:p>
        </w:tc>
        <w:tc>
          <w:tcPr>
            <w:tcW w:w="2126" w:type="dxa"/>
          </w:tcPr>
          <w:p>
            <w:pPr>
              <w:jc w:val="both"/>
              <w:rPr>
                <w:lang w:val="en-GB"/>
              </w:rPr>
            </w:pPr>
            <w:r>
              <w:rPr>
                <w:lang w:val="en-GB"/>
              </w:rPr>
              <w:t>0.55 [0.19, 1.57]</w:t>
            </w:r>
          </w:p>
        </w:tc>
      </w:tr>
      <w:tr>
        <w:trPr>
          <w:trHeight w:val="58"/>
        </w:trPr>
        <w:tc>
          <w:tcPr>
            <w:tcW w:w="2263" w:type="dxa"/>
          </w:tcPr>
          <w:p>
            <w:pPr>
              <w:rPr>
                <w:lang w:val="en-GB"/>
              </w:rPr>
            </w:pPr>
            <w:r>
              <w:rPr>
                <w:lang w:val="en-GB"/>
              </w:rPr>
              <w:t>Mutant mouse</w:t>
            </w:r>
          </w:p>
        </w:tc>
        <w:tc>
          <w:tcPr>
            <w:tcW w:w="1669" w:type="dxa"/>
          </w:tcPr>
          <w:p>
            <w:pPr>
              <w:rPr>
                <w:lang w:val="en-GB"/>
              </w:rPr>
            </w:pPr>
            <w:r>
              <w:rPr>
                <w:lang w:val="en-GB"/>
              </w:rPr>
              <w:t>0.66 [0.33, 1.31]</w:t>
            </w:r>
          </w:p>
        </w:tc>
        <w:tc>
          <w:tcPr>
            <w:tcW w:w="2126" w:type="dxa"/>
          </w:tcPr>
          <w:p>
            <w:pPr>
              <w:rPr>
                <w:lang w:val="en-GB"/>
              </w:rPr>
            </w:pPr>
            <w:r>
              <w:rPr>
                <w:lang w:val="en-GB"/>
              </w:rPr>
              <w:t>2.57 [0.50, 13.20]</w:t>
            </w:r>
          </w:p>
        </w:tc>
        <w:tc>
          <w:tcPr>
            <w:tcW w:w="2126" w:type="dxa"/>
          </w:tcPr>
          <w:p>
            <w:pPr>
              <w:jc w:val="both"/>
              <w:rPr>
                <w:lang w:val="en-GB"/>
              </w:rPr>
            </w:pPr>
            <w:r>
              <w:rPr>
                <w:lang w:val="en-GB"/>
              </w:rPr>
              <w:t>1.01 [0.50, 2.04]</w:t>
            </w:r>
          </w:p>
        </w:tc>
        <w:tc>
          <w:tcPr>
            <w:tcW w:w="2126" w:type="dxa"/>
          </w:tcPr>
          <w:p>
            <w:pPr>
              <w:jc w:val="both"/>
              <w:rPr>
                <w:lang w:val="en-GB"/>
              </w:rPr>
            </w:pPr>
            <w:r>
              <w:rPr>
                <w:lang w:val="en-GB"/>
              </w:rPr>
              <w:t>1.20 [0.43, 3.37]</w:t>
            </w:r>
          </w:p>
        </w:tc>
      </w:tr>
    </w:tbl>
    <w:p>
      <w:pPr>
        <w:rPr>
          <w:lang w:val="en-GB"/>
        </w:rPr>
      </w:pPr>
    </w:p>
    <w:p>
      <w:pPr>
        <w:rPr>
          <w:lang w:val="en-GB"/>
        </w:rPr>
      </w:pPr>
      <w:r>
        <w:rPr>
          <w:lang w:val="en-GB"/>
        </w:rPr>
        <w:br w:type="page"/>
      </w:r>
    </w:p>
    <w:p>
      <w:pPr>
        <w:rPr>
          <w:lang w:val="en-GB"/>
        </w:rPr>
      </w:pPr>
      <w:r>
        <w:rPr>
          <w:b/>
          <w:lang w:val="en-GB"/>
        </w:rPr>
        <w:lastRenderedPageBreak/>
        <w:t xml:space="preserve">Table 4. </w:t>
      </w:r>
      <w:r>
        <w:rPr>
          <w:lang w:val="en-GB"/>
        </w:rPr>
        <w:t xml:space="preserve">Odds Ratios [95% confidence intervals] of other outcomes. </w:t>
      </w:r>
      <w:proofErr w:type="gramStart"/>
      <w:r>
        <w:rPr>
          <w:lang w:val="en-GB"/>
        </w:rPr>
        <w:t>Associations which are statistically significant at a level of 5%</w:t>
      </w:r>
      <w:proofErr w:type="gramEnd"/>
      <w:r>
        <w:rPr>
          <w:lang w:val="en-GB"/>
        </w:rPr>
        <w:t xml:space="preserve"> are shown in bold face.</w:t>
      </w:r>
    </w:p>
    <w:tbl>
      <w:tblPr>
        <w:tblStyle w:val="Tabellenraster"/>
        <w:tblW w:w="0" w:type="auto"/>
        <w:tblLook w:val="04A0" w:firstRow="1" w:lastRow="0" w:firstColumn="1" w:lastColumn="0" w:noHBand="0" w:noVBand="1"/>
      </w:tblPr>
      <w:tblGrid>
        <w:gridCol w:w="2235"/>
        <w:gridCol w:w="2551"/>
        <w:gridCol w:w="2552"/>
      </w:tblGrid>
      <w:tr>
        <w:tc>
          <w:tcPr>
            <w:tcW w:w="2235" w:type="dxa"/>
          </w:tcPr>
          <w:p>
            <w:pPr>
              <w:rPr>
                <w:lang w:val="en-GB"/>
              </w:rPr>
            </w:pPr>
          </w:p>
        </w:tc>
        <w:tc>
          <w:tcPr>
            <w:tcW w:w="2551" w:type="dxa"/>
          </w:tcPr>
          <w:p>
            <w:pPr>
              <w:rPr>
                <w:b/>
                <w:lang w:val="en-GB"/>
              </w:rPr>
            </w:pPr>
            <w:r>
              <w:rPr>
                <w:b/>
                <w:lang w:val="en-GB"/>
              </w:rPr>
              <w:t>Retina</w:t>
            </w:r>
          </w:p>
        </w:tc>
        <w:tc>
          <w:tcPr>
            <w:tcW w:w="2552" w:type="dxa"/>
          </w:tcPr>
          <w:p>
            <w:pPr>
              <w:rPr>
                <w:b/>
                <w:lang w:val="en-GB"/>
              </w:rPr>
            </w:pPr>
            <w:r>
              <w:rPr>
                <w:b/>
                <w:lang w:val="en-GB"/>
              </w:rPr>
              <w:t>Cortex: Mislocated nuclei</w:t>
            </w:r>
          </w:p>
        </w:tc>
      </w:tr>
      <w:tr>
        <w:tc>
          <w:tcPr>
            <w:tcW w:w="2235" w:type="dxa"/>
          </w:tcPr>
          <w:p>
            <w:pPr>
              <w:rPr>
                <w:lang w:val="en-GB"/>
              </w:rPr>
            </w:pPr>
            <w:r>
              <w:rPr>
                <w:lang w:val="en-GB"/>
              </w:rPr>
              <w:t xml:space="preserve">Radiation </w:t>
            </w:r>
            <w:r>
              <w:rPr>
                <w:lang w:val="en-GB"/>
              </w:rPr>
              <w:br/>
              <w:t>(reference: no radiation)</w:t>
            </w:r>
          </w:p>
        </w:tc>
        <w:tc>
          <w:tcPr>
            <w:tcW w:w="2551" w:type="dxa"/>
          </w:tcPr>
          <w:p>
            <w:pPr>
              <w:rPr>
                <w:lang w:val="en-GB"/>
              </w:rPr>
            </w:pPr>
          </w:p>
        </w:tc>
        <w:tc>
          <w:tcPr>
            <w:tcW w:w="2552" w:type="dxa"/>
          </w:tcPr>
          <w:p>
            <w:pPr>
              <w:jc w:val="both"/>
              <w:rPr>
                <w:lang w:val="en-GB"/>
              </w:rPr>
            </w:pPr>
          </w:p>
        </w:tc>
      </w:tr>
      <w:tr>
        <w:tc>
          <w:tcPr>
            <w:tcW w:w="2235" w:type="dxa"/>
          </w:tcPr>
          <w:p>
            <w:pPr>
              <w:rPr>
                <w:lang w:val="en-GB"/>
              </w:rPr>
            </w:pPr>
            <w:r>
              <w:rPr>
                <w:lang w:val="en-GB"/>
              </w:rPr>
              <w:t xml:space="preserve">   0.063 </w:t>
            </w:r>
            <w:proofErr w:type="spellStart"/>
            <w:r>
              <w:rPr>
                <w:lang w:val="en-GB"/>
              </w:rPr>
              <w:t>Gy</w:t>
            </w:r>
            <w:proofErr w:type="spellEnd"/>
          </w:p>
        </w:tc>
        <w:tc>
          <w:tcPr>
            <w:tcW w:w="2551" w:type="dxa"/>
          </w:tcPr>
          <w:p>
            <w:pPr>
              <w:rPr>
                <w:lang w:val="en-GB"/>
              </w:rPr>
            </w:pPr>
            <w:r>
              <w:rPr>
                <w:lang w:val="en-GB"/>
              </w:rPr>
              <w:t>0.54 [0.08, 3.62]</w:t>
            </w:r>
          </w:p>
        </w:tc>
        <w:tc>
          <w:tcPr>
            <w:tcW w:w="2552" w:type="dxa"/>
          </w:tcPr>
          <w:p>
            <w:pPr>
              <w:jc w:val="both"/>
              <w:rPr>
                <w:lang w:val="en-GB"/>
              </w:rPr>
            </w:pPr>
            <w:r>
              <w:rPr>
                <w:lang w:val="en-GB"/>
              </w:rPr>
              <w:t>4.17 [0.20, 85.19]</w:t>
            </w:r>
          </w:p>
        </w:tc>
      </w:tr>
      <w:tr>
        <w:tc>
          <w:tcPr>
            <w:tcW w:w="2235" w:type="dxa"/>
          </w:tcPr>
          <w:p>
            <w:pPr>
              <w:rPr>
                <w:lang w:val="en-GB"/>
              </w:rPr>
            </w:pPr>
            <w:r>
              <w:rPr>
                <w:lang w:val="en-GB"/>
              </w:rPr>
              <w:t xml:space="preserve">   0.125 </w:t>
            </w:r>
            <w:proofErr w:type="spellStart"/>
            <w:r>
              <w:rPr>
                <w:lang w:val="en-GB"/>
              </w:rPr>
              <w:t>Gy</w:t>
            </w:r>
            <w:proofErr w:type="spellEnd"/>
          </w:p>
        </w:tc>
        <w:tc>
          <w:tcPr>
            <w:tcW w:w="2551" w:type="dxa"/>
          </w:tcPr>
          <w:p>
            <w:pPr>
              <w:rPr>
                <w:lang w:val="en-GB"/>
              </w:rPr>
            </w:pPr>
            <w:r>
              <w:rPr>
                <w:lang w:val="en-GB"/>
              </w:rPr>
              <w:t>0.94 [0.17, 5.09]</w:t>
            </w:r>
          </w:p>
        </w:tc>
        <w:tc>
          <w:tcPr>
            <w:tcW w:w="2552" w:type="dxa"/>
          </w:tcPr>
          <w:p>
            <w:pPr>
              <w:jc w:val="both"/>
              <w:rPr>
                <w:lang w:val="en-GB"/>
              </w:rPr>
            </w:pPr>
            <w:r>
              <w:rPr>
                <w:lang w:val="en-GB"/>
              </w:rPr>
              <w:t>7.06 [0.39, 127.70]</w:t>
            </w:r>
          </w:p>
        </w:tc>
      </w:tr>
      <w:tr>
        <w:tc>
          <w:tcPr>
            <w:tcW w:w="2235" w:type="dxa"/>
          </w:tcPr>
          <w:p>
            <w:pPr>
              <w:rPr>
                <w:lang w:val="en-GB"/>
              </w:rPr>
            </w:pPr>
            <w:r>
              <w:rPr>
                <w:lang w:val="en-GB"/>
              </w:rPr>
              <w:t xml:space="preserve">   0.5 </w:t>
            </w:r>
            <w:proofErr w:type="spellStart"/>
            <w:r>
              <w:rPr>
                <w:lang w:val="en-GB"/>
              </w:rPr>
              <w:t>Gy</w:t>
            </w:r>
            <w:proofErr w:type="spellEnd"/>
          </w:p>
        </w:tc>
        <w:tc>
          <w:tcPr>
            <w:tcW w:w="2551" w:type="dxa"/>
          </w:tcPr>
          <w:p>
            <w:pPr>
              <w:rPr>
                <w:lang w:val="en-GB"/>
              </w:rPr>
            </w:pPr>
            <w:r>
              <w:rPr>
                <w:lang w:val="en-GB"/>
              </w:rPr>
              <w:t>0.58 [0.09, 3.92]</w:t>
            </w:r>
          </w:p>
        </w:tc>
        <w:tc>
          <w:tcPr>
            <w:tcW w:w="2552" w:type="dxa"/>
          </w:tcPr>
          <w:p>
            <w:pPr>
              <w:jc w:val="both"/>
              <w:rPr>
                <w:lang w:val="en-GB"/>
              </w:rPr>
            </w:pPr>
            <w:r>
              <w:rPr>
                <w:lang w:val="en-GB"/>
              </w:rPr>
              <w:t>3.48 [0.17, 72.05]</w:t>
            </w:r>
          </w:p>
        </w:tc>
      </w:tr>
      <w:tr>
        <w:tc>
          <w:tcPr>
            <w:tcW w:w="2235" w:type="dxa"/>
          </w:tcPr>
          <w:p>
            <w:pPr>
              <w:rPr>
                <w:lang w:val="en-GB"/>
              </w:rPr>
            </w:pPr>
            <w:r>
              <w:rPr>
                <w:lang w:val="en-GB"/>
              </w:rPr>
              <w:t xml:space="preserve">Age </w:t>
            </w:r>
            <w:r>
              <w:rPr>
                <w:lang w:val="en-GB"/>
              </w:rPr>
              <w:br/>
              <w:t>(reference: 4 hours)</w:t>
            </w:r>
          </w:p>
        </w:tc>
        <w:tc>
          <w:tcPr>
            <w:tcW w:w="2551" w:type="dxa"/>
          </w:tcPr>
          <w:p>
            <w:pPr>
              <w:rPr>
                <w:lang w:val="en-GB"/>
              </w:rPr>
            </w:pPr>
          </w:p>
        </w:tc>
        <w:tc>
          <w:tcPr>
            <w:tcW w:w="2552" w:type="dxa"/>
          </w:tcPr>
          <w:p>
            <w:pPr>
              <w:jc w:val="both"/>
              <w:rPr>
                <w:lang w:val="en-GB"/>
              </w:rPr>
            </w:pPr>
          </w:p>
        </w:tc>
      </w:tr>
      <w:tr>
        <w:tc>
          <w:tcPr>
            <w:tcW w:w="2235" w:type="dxa"/>
          </w:tcPr>
          <w:p>
            <w:pPr>
              <w:rPr>
                <w:lang w:val="en-GB"/>
              </w:rPr>
            </w:pPr>
            <w:r>
              <w:rPr>
                <w:lang w:val="en-GB"/>
              </w:rPr>
              <w:t xml:space="preserve">   12 months</w:t>
            </w:r>
          </w:p>
        </w:tc>
        <w:tc>
          <w:tcPr>
            <w:tcW w:w="2551" w:type="dxa"/>
          </w:tcPr>
          <w:p>
            <w:pPr>
              <w:rPr>
                <w:lang w:val="en-GB"/>
              </w:rPr>
            </w:pPr>
            <w:r>
              <w:rPr>
                <w:lang w:val="en-GB"/>
              </w:rPr>
              <w:t>1.69 [0.26, 10.94]</w:t>
            </w:r>
          </w:p>
        </w:tc>
        <w:tc>
          <w:tcPr>
            <w:tcW w:w="2552" w:type="dxa"/>
          </w:tcPr>
          <w:p>
            <w:pPr>
              <w:jc w:val="both"/>
              <w:rPr>
                <w:lang w:val="en-GB"/>
              </w:rPr>
            </w:pPr>
            <w:r>
              <w:rPr>
                <w:lang w:val="en-GB"/>
              </w:rPr>
              <w:t>0.35 [0.02, 6.10]</w:t>
            </w:r>
          </w:p>
        </w:tc>
      </w:tr>
      <w:tr>
        <w:tc>
          <w:tcPr>
            <w:tcW w:w="2235" w:type="dxa"/>
          </w:tcPr>
          <w:p>
            <w:pPr>
              <w:rPr>
                <w:lang w:val="en-GB"/>
              </w:rPr>
            </w:pPr>
            <w:r>
              <w:rPr>
                <w:lang w:val="en-GB"/>
              </w:rPr>
              <w:t xml:space="preserve">   18 months</w:t>
            </w:r>
          </w:p>
        </w:tc>
        <w:tc>
          <w:tcPr>
            <w:tcW w:w="2551" w:type="dxa"/>
          </w:tcPr>
          <w:p>
            <w:pPr>
              <w:rPr>
                <w:lang w:val="en-GB"/>
              </w:rPr>
            </w:pPr>
            <w:r>
              <w:rPr>
                <w:lang w:val="en-GB"/>
              </w:rPr>
              <w:t>0.35 [0.02, 5.91]</w:t>
            </w:r>
          </w:p>
        </w:tc>
        <w:tc>
          <w:tcPr>
            <w:tcW w:w="2552" w:type="dxa"/>
          </w:tcPr>
          <w:p>
            <w:pPr>
              <w:jc w:val="both"/>
              <w:rPr>
                <w:lang w:val="en-GB"/>
              </w:rPr>
            </w:pPr>
            <w:r>
              <w:rPr>
                <w:lang w:val="en-GB"/>
              </w:rPr>
              <w:t>0.33 [0.02, 5.76]</w:t>
            </w:r>
          </w:p>
        </w:tc>
      </w:tr>
      <w:tr>
        <w:tc>
          <w:tcPr>
            <w:tcW w:w="2235" w:type="dxa"/>
          </w:tcPr>
          <w:p>
            <w:pPr>
              <w:rPr>
                <w:lang w:val="en-GB"/>
              </w:rPr>
            </w:pPr>
            <w:r>
              <w:rPr>
                <w:lang w:val="en-GB"/>
              </w:rPr>
              <w:t xml:space="preserve">   24 months</w:t>
            </w:r>
          </w:p>
        </w:tc>
        <w:tc>
          <w:tcPr>
            <w:tcW w:w="2551" w:type="dxa"/>
          </w:tcPr>
          <w:p>
            <w:pPr>
              <w:rPr>
                <w:lang w:val="en-GB"/>
              </w:rPr>
            </w:pPr>
            <w:r>
              <w:rPr>
                <w:lang w:val="en-GB"/>
              </w:rPr>
              <w:t>2.53 [0.43, 15.05]</w:t>
            </w:r>
          </w:p>
        </w:tc>
        <w:tc>
          <w:tcPr>
            <w:tcW w:w="2552" w:type="dxa"/>
          </w:tcPr>
          <w:p>
            <w:pPr>
              <w:jc w:val="both"/>
              <w:rPr>
                <w:lang w:val="en-GB"/>
              </w:rPr>
            </w:pPr>
            <w:r>
              <w:rPr>
                <w:lang w:val="en-GB"/>
              </w:rPr>
              <w:t>3.34 [0.53, 21.17]</w:t>
            </w:r>
          </w:p>
        </w:tc>
      </w:tr>
      <w:tr>
        <w:tc>
          <w:tcPr>
            <w:tcW w:w="2235" w:type="dxa"/>
          </w:tcPr>
          <w:p>
            <w:pPr>
              <w:rPr>
                <w:lang w:val="en-GB"/>
              </w:rPr>
            </w:pPr>
            <w:r>
              <w:rPr>
                <w:lang w:val="en-GB"/>
              </w:rPr>
              <w:t>Male mouse</w:t>
            </w:r>
          </w:p>
        </w:tc>
        <w:tc>
          <w:tcPr>
            <w:tcW w:w="2551" w:type="dxa"/>
          </w:tcPr>
          <w:p>
            <w:pPr>
              <w:rPr>
                <w:lang w:val="en-GB"/>
              </w:rPr>
            </w:pPr>
            <w:r>
              <w:rPr>
                <w:lang w:val="en-GB"/>
              </w:rPr>
              <w:t>0.61 [0.16, 2.35]</w:t>
            </w:r>
          </w:p>
        </w:tc>
        <w:tc>
          <w:tcPr>
            <w:tcW w:w="2552" w:type="dxa"/>
          </w:tcPr>
          <w:p>
            <w:pPr>
              <w:jc w:val="both"/>
              <w:rPr>
                <w:b/>
                <w:lang w:val="en-GB"/>
              </w:rPr>
            </w:pPr>
            <w:r>
              <w:rPr>
                <w:b/>
                <w:lang w:val="en-GB"/>
              </w:rPr>
              <w:t>0.09 [0.01, 0.98]</w:t>
            </w:r>
          </w:p>
        </w:tc>
      </w:tr>
      <w:tr>
        <w:tc>
          <w:tcPr>
            <w:tcW w:w="2235" w:type="dxa"/>
          </w:tcPr>
          <w:p>
            <w:pPr>
              <w:rPr>
                <w:lang w:val="en-GB"/>
              </w:rPr>
            </w:pPr>
            <w:r>
              <w:rPr>
                <w:lang w:val="en-GB"/>
              </w:rPr>
              <w:t>Mutant mouse</w:t>
            </w:r>
          </w:p>
        </w:tc>
        <w:tc>
          <w:tcPr>
            <w:tcW w:w="2551" w:type="dxa"/>
          </w:tcPr>
          <w:p>
            <w:pPr>
              <w:rPr>
                <w:b/>
                <w:lang w:val="en-GB"/>
              </w:rPr>
            </w:pPr>
            <w:r>
              <w:rPr>
                <w:lang w:val="en-GB"/>
              </w:rPr>
              <w:t>1.03 [0.28, 3.81]</w:t>
            </w:r>
          </w:p>
        </w:tc>
        <w:tc>
          <w:tcPr>
            <w:tcW w:w="2552" w:type="dxa"/>
          </w:tcPr>
          <w:p>
            <w:pPr>
              <w:jc w:val="both"/>
              <w:rPr>
                <w:lang w:val="en-GB"/>
              </w:rPr>
            </w:pPr>
            <w:r>
              <w:rPr>
                <w:lang w:val="en-GB"/>
              </w:rPr>
              <w:t>0.37 [0.07, 1.98]</w:t>
            </w:r>
          </w:p>
        </w:tc>
      </w:tr>
    </w:tbl>
    <w:p>
      <w:pPr>
        <w:rPr>
          <w:lang w:val="en-GB"/>
        </w:rPr>
      </w:pPr>
    </w:p>
    <w:p>
      <w:pPr>
        <w:rPr>
          <w:rFonts w:cs="Times New Roman"/>
          <w:lang w:val="en-GB"/>
        </w:rPr>
      </w:pPr>
    </w:p>
    <w:p>
      <w:pPr>
        <w:spacing w:after="0" w:line="240" w:lineRule="auto"/>
        <w:rPr>
          <w:lang w:val="en-GB"/>
        </w:rPr>
        <w:sectPr>
          <w:pgSz w:w="16838" w:h="11906" w:orient="landscape"/>
          <w:pgMar w:top="1134" w:right="1134" w:bottom="1134" w:left="1134" w:header="709" w:footer="0" w:gutter="0"/>
          <w:cols w:space="720"/>
          <w:formProt w:val="0"/>
          <w:titlePg/>
          <w:docGrid w:linePitch="360" w:charSpace="4096"/>
        </w:sectPr>
      </w:pPr>
      <w:r>
        <w:rPr>
          <w:lang w:val="en-GB"/>
        </w:rPr>
        <w:br w:type="page"/>
      </w:r>
    </w:p>
    <w:p>
      <w:pPr>
        <w:spacing w:after="0" w:line="240" w:lineRule="auto"/>
        <w:rPr>
          <w:lang w:val="en-GB"/>
        </w:rPr>
      </w:pPr>
    </w:p>
    <w:p>
      <w:pPr>
        <w:spacing w:line="360" w:lineRule="auto"/>
        <w:jc w:val="both"/>
        <w:rPr>
          <w:rFonts w:cs="Times New Roman"/>
          <w:lang w:val="en-GB"/>
        </w:rPr>
      </w:pPr>
      <w:r>
        <w:rPr>
          <w:rFonts w:cs="Times New Roman"/>
          <w:lang w:val="en-GB"/>
        </w:rPr>
        <w:t xml:space="preserve">Table 5:  Metabolites mostly contributing to group separation in PCA of female and male lenses. PC </w:t>
      </w:r>
      <w:proofErr w:type="gramStart"/>
      <w:r>
        <w:rPr>
          <w:rFonts w:cs="Times New Roman"/>
          <w:lang w:val="en-GB"/>
        </w:rPr>
        <w:t>aa</w:t>
      </w:r>
      <w:proofErr w:type="gramEnd"/>
      <w:r>
        <w:rPr>
          <w:rFonts w:cs="Times New Roman"/>
          <w:lang w:val="en-GB"/>
        </w:rPr>
        <w:t xml:space="preserve"> – </w:t>
      </w:r>
      <w:proofErr w:type="spellStart"/>
      <w:r>
        <w:rPr>
          <w:rFonts w:cs="Times New Roman"/>
          <w:lang w:val="en-GB"/>
        </w:rPr>
        <w:t>Phosphatidylcholinediacyl</w:t>
      </w:r>
      <w:proofErr w:type="spellEnd"/>
      <w:r>
        <w:rPr>
          <w:rFonts w:cs="Times New Roman"/>
          <w:lang w:val="en-GB"/>
        </w:rPr>
        <w:t xml:space="preserve">, SM – </w:t>
      </w:r>
      <w:proofErr w:type="spellStart"/>
      <w:r>
        <w:rPr>
          <w:rFonts w:cs="Times New Roman"/>
          <w:lang w:val="en-GB"/>
        </w:rPr>
        <w:t>Sphingomyeline</w:t>
      </w:r>
      <w:proofErr w:type="spellEnd"/>
      <w:r>
        <w:rPr>
          <w:rFonts w:cs="Times New Roman"/>
          <w:lang w:val="en-GB"/>
        </w:rPr>
        <w:t xml:space="preserve">, SM (OH) - </w:t>
      </w:r>
      <w:proofErr w:type="spellStart"/>
      <w:r>
        <w:rPr>
          <w:rFonts w:cs="Times New Roman"/>
          <w:lang w:val="en-GB"/>
        </w:rPr>
        <w:t>Hydroxysphingomyeline</w:t>
      </w:r>
      <w:proofErr w:type="spellEnd"/>
    </w:p>
    <w:tbl>
      <w:tblPr>
        <w:tblStyle w:val="Tabellenraster"/>
        <w:tblW w:w="0" w:type="auto"/>
        <w:tblLayout w:type="fixed"/>
        <w:tblLook w:val="04A0" w:firstRow="1" w:lastRow="0" w:firstColumn="1" w:lastColumn="0" w:noHBand="0" w:noVBand="1"/>
      </w:tblPr>
      <w:tblGrid>
        <w:gridCol w:w="1526"/>
        <w:gridCol w:w="1417"/>
        <w:gridCol w:w="2127"/>
        <w:gridCol w:w="2126"/>
        <w:gridCol w:w="1984"/>
      </w:tblGrid>
      <w:tr>
        <w:tc>
          <w:tcPr>
            <w:tcW w:w="1526" w:type="dxa"/>
            <w:tcBorders>
              <w:top w:val="nil"/>
              <w:bottom w:val="nil"/>
              <w:right w:val="single" w:sz="12" w:space="0" w:color="auto"/>
            </w:tcBorders>
          </w:tcPr>
          <w:p>
            <w:pPr>
              <w:spacing w:after="0" w:line="360" w:lineRule="auto"/>
              <w:jc w:val="both"/>
              <w:rPr>
                <w:rFonts w:cs="Times New Roman"/>
                <w:lang w:val="en-GB"/>
              </w:rPr>
            </w:pPr>
          </w:p>
        </w:tc>
        <w:tc>
          <w:tcPr>
            <w:tcW w:w="3544" w:type="dxa"/>
            <w:gridSpan w:val="2"/>
            <w:tcBorders>
              <w:top w:val="nil"/>
              <w:left w:val="single" w:sz="12" w:space="0" w:color="auto"/>
              <w:right w:val="single" w:sz="12" w:space="0" w:color="auto"/>
            </w:tcBorders>
          </w:tcPr>
          <w:p>
            <w:pPr>
              <w:spacing w:after="0" w:line="360" w:lineRule="auto"/>
              <w:jc w:val="center"/>
              <w:rPr>
                <w:rFonts w:cs="Times New Roman"/>
                <w:lang w:val="en-GB"/>
              </w:rPr>
            </w:pPr>
            <w:r>
              <w:rPr>
                <w:rFonts w:cs="Times New Roman"/>
                <w:lang w:val="en-GB"/>
              </w:rPr>
              <w:t>female lenses</w:t>
            </w:r>
          </w:p>
        </w:tc>
        <w:tc>
          <w:tcPr>
            <w:tcW w:w="4110" w:type="dxa"/>
            <w:gridSpan w:val="2"/>
            <w:tcBorders>
              <w:top w:val="nil"/>
              <w:left w:val="single" w:sz="12" w:space="0" w:color="auto"/>
              <w:right w:val="nil"/>
            </w:tcBorders>
          </w:tcPr>
          <w:p>
            <w:pPr>
              <w:spacing w:after="0" w:line="360" w:lineRule="auto"/>
              <w:jc w:val="center"/>
              <w:rPr>
                <w:rFonts w:cs="Times New Roman"/>
                <w:lang w:val="en-GB"/>
              </w:rPr>
            </w:pPr>
            <w:r>
              <w:rPr>
                <w:rFonts w:cs="Times New Roman"/>
                <w:lang w:val="en-GB"/>
              </w:rPr>
              <w:t>male  lenses</w:t>
            </w:r>
          </w:p>
        </w:tc>
      </w:tr>
      <w:tr>
        <w:tc>
          <w:tcPr>
            <w:tcW w:w="1526" w:type="dxa"/>
            <w:tcBorders>
              <w:top w:val="nil"/>
              <w:bottom w:val="single" w:sz="12" w:space="0" w:color="auto"/>
              <w:right w:val="single" w:sz="12" w:space="0" w:color="auto"/>
            </w:tcBorders>
          </w:tcPr>
          <w:p>
            <w:pPr>
              <w:spacing w:after="0" w:line="360" w:lineRule="auto"/>
              <w:jc w:val="both"/>
              <w:rPr>
                <w:rFonts w:cs="Times New Roman"/>
                <w:lang w:val="en-GB"/>
              </w:rPr>
            </w:pPr>
          </w:p>
        </w:tc>
        <w:tc>
          <w:tcPr>
            <w:tcW w:w="1417" w:type="dxa"/>
            <w:tcBorders>
              <w:top w:val="nil"/>
              <w:left w:val="single" w:sz="12" w:space="0" w:color="auto"/>
              <w:bottom w:val="single" w:sz="12" w:space="0" w:color="auto"/>
            </w:tcBorders>
          </w:tcPr>
          <w:p>
            <w:pPr>
              <w:spacing w:after="0" w:line="360" w:lineRule="auto"/>
              <w:jc w:val="both"/>
              <w:rPr>
                <w:rFonts w:cs="Times New Roman"/>
                <w:lang w:val="en-GB"/>
              </w:rPr>
            </w:pPr>
            <w:r>
              <w:rPr>
                <w:rFonts w:cs="Times New Roman"/>
                <w:lang w:val="en-GB"/>
              </w:rPr>
              <w:t>up-regulated</w:t>
            </w:r>
          </w:p>
        </w:tc>
        <w:tc>
          <w:tcPr>
            <w:tcW w:w="2127" w:type="dxa"/>
            <w:tcBorders>
              <w:bottom w:val="single" w:sz="12" w:space="0" w:color="auto"/>
              <w:right w:val="single" w:sz="12" w:space="0" w:color="auto"/>
            </w:tcBorders>
          </w:tcPr>
          <w:p>
            <w:pPr>
              <w:spacing w:after="0" w:line="360" w:lineRule="auto"/>
              <w:jc w:val="both"/>
              <w:rPr>
                <w:rFonts w:cs="Times New Roman"/>
                <w:lang w:val="en-GB"/>
              </w:rPr>
            </w:pPr>
            <w:r>
              <w:rPr>
                <w:rFonts w:cs="Times New Roman"/>
                <w:lang w:val="en-GB"/>
              </w:rPr>
              <w:t>down-regulated</w:t>
            </w:r>
          </w:p>
        </w:tc>
        <w:tc>
          <w:tcPr>
            <w:tcW w:w="2126" w:type="dxa"/>
            <w:tcBorders>
              <w:left w:val="single" w:sz="12" w:space="0" w:color="auto"/>
              <w:bottom w:val="single" w:sz="12" w:space="0" w:color="auto"/>
            </w:tcBorders>
          </w:tcPr>
          <w:p>
            <w:pPr>
              <w:spacing w:after="0" w:line="360" w:lineRule="auto"/>
              <w:jc w:val="both"/>
              <w:rPr>
                <w:rFonts w:cs="Times New Roman"/>
                <w:lang w:val="en-GB"/>
              </w:rPr>
            </w:pPr>
            <w:r>
              <w:rPr>
                <w:rFonts w:cs="Times New Roman"/>
                <w:lang w:val="en-GB"/>
              </w:rPr>
              <w:t>up-regulated</w:t>
            </w:r>
          </w:p>
        </w:tc>
        <w:tc>
          <w:tcPr>
            <w:tcW w:w="1984" w:type="dxa"/>
            <w:tcBorders>
              <w:bottom w:val="single" w:sz="12" w:space="0" w:color="auto"/>
              <w:right w:val="nil"/>
            </w:tcBorders>
          </w:tcPr>
          <w:p>
            <w:pPr>
              <w:spacing w:after="0" w:line="360" w:lineRule="auto"/>
              <w:jc w:val="both"/>
              <w:rPr>
                <w:rFonts w:cs="Times New Roman"/>
                <w:lang w:val="en-GB"/>
              </w:rPr>
            </w:pPr>
            <w:r>
              <w:rPr>
                <w:rFonts w:cs="Times New Roman"/>
                <w:lang w:val="en-GB"/>
              </w:rPr>
              <w:t>down-regulated</w:t>
            </w:r>
          </w:p>
        </w:tc>
      </w:tr>
      <w:tr>
        <w:tc>
          <w:tcPr>
            <w:tcW w:w="1526" w:type="dxa"/>
            <w:tcBorders>
              <w:top w:val="single" w:sz="12" w:space="0" w:color="auto"/>
              <w:bottom w:val="nil"/>
              <w:right w:val="single" w:sz="12" w:space="0" w:color="auto"/>
            </w:tcBorders>
          </w:tcPr>
          <w:p>
            <w:pPr>
              <w:spacing w:after="0" w:line="360" w:lineRule="auto"/>
              <w:rPr>
                <w:rFonts w:cs="Times New Roman"/>
                <w:lang w:val="en-GB"/>
              </w:rPr>
            </w:pPr>
            <w:r>
              <w:rPr>
                <w:rFonts w:cs="Times New Roman"/>
                <w:lang w:val="en-GB"/>
              </w:rPr>
              <w:t>Metabolites</w:t>
            </w:r>
          </w:p>
        </w:tc>
        <w:tc>
          <w:tcPr>
            <w:tcW w:w="1417" w:type="dxa"/>
            <w:tcBorders>
              <w:top w:val="single" w:sz="12" w:space="0" w:color="auto"/>
              <w:left w:val="single" w:sz="12" w:space="0" w:color="auto"/>
              <w:bottom w:val="nil"/>
            </w:tcBorders>
          </w:tcPr>
          <w:p>
            <w:pPr>
              <w:spacing w:after="0" w:line="360" w:lineRule="auto"/>
              <w:rPr>
                <w:rFonts w:cs="Times New Roman"/>
                <w:sz w:val="16"/>
                <w:szCs w:val="16"/>
                <w:lang w:val="en-GB"/>
              </w:rPr>
            </w:pPr>
            <w:r>
              <w:rPr>
                <w:rFonts w:cs="Times New Roman"/>
                <w:sz w:val="16"/>
                <w:szCs w:val="16"/>
                <w:lang w:val="en-GB"/>
              </w:rPr>
              <w:t>SM C26:1</w:t>
            </w:r>
          </w:p>
          <w:p>
            <w:pPr>
              <w:spacing w:after="0" w:line="360" w:lineRule="auto"/>
              <w:rPr>
                <w:rFonts w:cs="Times New Roman"/>
                <w:sz w:val="16"/>
                <w:szCs w:val="16"/>
                <w:lang w:val="en-GB"/>
              </w:rPr>
            </w:pPr>
            <w:r>
              <w:rPr>
                <w:rFonts w:cs="Times New Roman"/>
                <w:sz w:val="16"/>
                <w:szCs w:val="16"/>
                <w:lang w:val="en-GB"/>
              </w:rPr>
              <w:t>SM C24:1</w:t>
            </w:r>
          </w:p>
          <w:p>
            <w:pPr>
              <w:spacing w:after="0" w:line="360" w:lineRule="auto"/>
              <w:rPr>
                <w:rFonts w:cs="Times New Roman"/>
                <w:sz w:val="16"/>
                <w:szCs w:val="16"/>
                <w:lang w:val="en-GB"/>
              </w:rPr>
            </w:pPr>
            <w:r>
              <w:rPr>
                <w:rFonts w:cs="Times New Roman"/>
                <w:sz w:val="16"/>
                <w:szCs w:val="16"/>
                <w:lang w:val="en-GB"/>
              </w:rPr>
              <w:t>SM C16:0</w:t>
            </w:r>
          </w:p>
          <w:p>
            <w:pPr>
              <w:spacing w:after="0" w:line="360" w:lineRule="auto"/>
              <w:rPr>
                <w:rFonts w:cs="Times New Roman"/>
                <w:sz w:val="16"/>
                <w:szCs w:val="16"/>
                <w:lang w:val="en-GB"/>
              </w:rPr>
            </w:pPr>
            <w:r>
              <w:rPr>
                <w:rFonts w:cs="Times New Roman"/>
                <w:sz w:val="16"/>
                <w:szCs w:val="16"/>
                <w:lang w:val="en-GB"/>
              </w:rPr>
              <w:t>PC aa C38:3</w:t>
            </w:r>
          </w:p>
          <w:p>
            <w:pPr>
              <w:spacing w:after="0" w:line="360" w:lineRule="auto"/>
              <w:rPr>
                <w:rFonts w:cs="Times New Roman"/>
                <w:sz w:val="16"/>
                <w:szCs w:val="16"/>
                <w:lang w:val="en-GB"/>
              </w:rPr>
            </w:pPr>
            <w:r>
              <w:rPr>
                <w:rFonts w:cs="Times New Roman"/>
                <w:sz w:val="16"/>
                <w:szCs w:val="16"/>
                <w:lang w:val="en-GB"/>
              </w:rPr>
              <w:t>SM C24:0</w:t>
            </w:r>
          </w:p>
          <w:p>
            <w:pPr>
              <w:spacing w:after="0" w:line="360" w:lineRule="auto"/>
              <w:rPr>
                <w:rFonts w:cs="Times New Roman"/>
                <w:sz w:val="16"/>
                <w:szCs w:val="16"/>
                <w:lang w:val="en-GB"/>
              </w:rPr>
            </w:pPr>
            <w:r>
              <w:rPr>
                <w:rFonts w:cs="Times New Roman"/>
                <w:sz w:val="16"/>
                <w:szCs w:val="16"/>
                <w:lang w:val="en-GB"/>
              </w:rPr>
              <w:t>PC aa C40:3</w:t>
            </w:r>
          </w:p>
          <w:p>
            <w:pPr>
              <w:spacing w:after="0" w:line="360" w:lineRule="auto"/>
              <w:rPr>
                <w:rFonts w:cs="Times New Roman"/>
                <w:sz w:val="16"/>
                <w:szCs w:val="16"/>
                <w:lang w:val="en-GB"/>
              </w:rPr>
            </w:pPr>
            <w:r>
              <w:rPr>
                <w:rFonts w:cs="Times New Roman"/>
                <w:sz w:val="16"/>
                <w:szCs w:val="16"/>
                <w:lang w:val="en-GB"/>
              </w:rPr>
              <w:t>SM (OH) C22:2</w:t>
            </w:r>
          </w:p>
          <w:p>
            <w:pPr>
              <w:spacing w:after="0" w:line="360" w:lineRule="auto"/>
              <w:rPr>
                <w:rFonts w:cs="Times New Roman"/>
                <w:sz w:val="16"/>
                <w:szCs w:val="16"/>
                <w:lang w:val="en-GB"/>
              </w:rPr>
            </w:pPr>
            <w:r>
              <w:rPr>
                <w:rFonts w:cs="Times New Roman"/>
                <w:sz w:val="16"/>
                <w:szCs w:val="16"/>
                <w:lang w:val="en-GB"/>
              </w:rPr>
              <w:t>SM (OH) C16:1</w:t>
            </w:r>
          </w:p>
          <w:p>
            <w:pPr>
              <w:spacing w:after="0" w:line="360" w:lineRule="auto"/>
              <w:rPr>
                <w:rFonts w:cs="Times New Roman"/>
                <w:sz w:val="16"/>
                <w:szCs w:val="16"/>
                <w:lang w:val="en-GB"/>
              </w:rPr>
            </w:pPr>
          </w:p>
        </w:tc>
        <w:tc>
          <w:tcPr>
            <w:tcW w:w="2127" w:type="dxa"/>
            <w:tcBorders>
              <w:top w:val="single" w:sz="12" w:space="0" w:color="auto"/>
              <w:bottom w:val="nil"/>
              <w:right w:val="single" w:sz="12" w:space="0" w:color="auto"/>
            </w:tcBorders>
          </w:tcPr>
          <w:p>
            <w:pPr>
              <w:spacing w:after="0" w:line="360" w:lineRule="auto"/>
              <w:rPr>
                <w:rFonts w:cs="Times New Roman"/>
                <w:sz w:val="16"/>
                <w:szCs w:val="16"/>
                <w:lang w:val="en-GB"/>
              </w:rPr>
            </w:pPr>
            <w:r>
              <w:rPr>
                <w:rFonts w:cs="Times New Roman"/>
                <w:sz w:val="16"/>
                <w:szCs w:val="16"/>
                <w:lang w:val="en-GB"/>
              </w:rPr>
              <w:t>Carnitine (C0)</w:t>
            </w:r>
          </w:p>
          <w:p>
            <w:pPr>
              <w:spacing w:after="0" w:line="360" w:lineRule="auto"/>
              <w:rPr>
                <w:rFonts w:cs="Times New Roman"/>
                <w:sz w:val="16"/>
                <w:szCs w:val="16"/>
                <w:lang w:val="en-GB"/>
              </w:rPr>
            </w:pPr>
            <w:proofErr w:type="spellStart"/>
            <w:r>
              <w:rPr>
                <w:rFonts w:cs="Times New Roman"/>
                <w:sz w:val="16"/>
                <w:szCs w:val="16"/>
                <w:lang w:val="en-GB"/>
              </w:rPr>
              <w:t>Octadecanoylcarnitine</w:t>
            </w:r>
            <w:proofErr w:type="spellEnd"/>
            <w:r>
              <w:rPr>
                <w:rFonts w:cs="Times New Roman"/>
                <w:sz w:val="16"/>
                <w:szCs w:val="16"/>
                <w:lang w:val="en-GB"/>
              </w:rPr>
              <w:t xml:space="preserve"> (C18) </w:t>
            </w:r>
          </w:p>
          <w:p>
            <w:pPr>
              <w:spacing w:after="0" w:line="360" w:lineRule="auto"/>
              <w:rPr>
                <w:rFonts w:cs="Times New Roman"/>
                <w:sz w:val="16"/>
                <w:szCs w:val="16"/>
                <w:lang w:val="en-GB"/>
              </w:rPr>
            </w:pPr>
            <w:r>
              <w:rPr>
                <w:rFonts w:cs="Times New Roman"/>
                <w:sz w:val="16"/>
                <w:szCs w:val="16"/>
                <w:lang w:val="en-GB"/>
              </w:rPr>
              <w:t>Methionine (Met)</w:t>
            </w:r>
          </w:p>
          <w:p>
            <w:pPr>
              <w:spacing w:after="0" w:line="360" w:lineRule="auto"/>
              <w:rPr>
                <w:rFonts w:cs="Times New Roman"/>
                <w:sz w:val="16"/>
                <w:szCs w:val="16"/>
                <w:lang w:val="en-GB"/>
              </w:rPr>
            </w:pPr>
            <w:proofErr w:type="spellStart"/>
            <w:r>
              <w:rPr>
                <w:rFonts w:cs="Times New Roman"/>
                <w:sz w:val="16"/>
                <w:szCs w:val="16"/>
                <w:lang w:val="en-GB"/>
              </w:rPr>
              <w:t>Propionylcarnitine</w:t>
            </w:r>
            <w:proofErr w:type="spellEnd"/>
            <w:r>
              <w:rPr>
                <w:rFonts w:cs="Times New Roman"/>
                <w:sz w:val="16"/>
                <w:szCs w:val="16"/>
                <w:lang w:val="en-GB"/>
              </w:rPr>
              <w:t xml:space="preserve"> (C3) </w:t>
            </w:r>
          </w:p>
          <w:p>
            <w:pPr>
              <w:spacing w:after="0" w:line="240" w:lineRule="auto"/>
              <w:rPr>
                <w:rFonts w:cs="Times New Roman"/>
                <w:sz w:val="16"/>
                <w:szCs w:val="16"/>
                <w:lang w:val="en-GB"/>
              </w:rPr>
            </w:pPr>
            <w:proofErr w:type="spellStart"/>
            <w:r>
              <w:rPr>
                <w:rFonts w:cs="Times New Roman"/>
                <w:sz w:val="16"/>
                <w:szCs w:val="16"/>
                <w:lang w:val="en-GB"/>
              </w:rPr>
              <w:t>Hydroxyhexanoylcarnitine</w:t>
            </w:r>
            <w:proofErr w:type="spellEnd"/>
            <w:r>
              <w:rPr>
                <w:rFonts w:cs="Times New Roman"/>
                <w:sz w:val="16"/>
                <w:szCs w:val="16"/>
                <w:lang w:val="en-GB"/>
              </w:rPr>
              <w:t xml:space="preserve"> (C5-DC(6-OH))</w:t>
            </w:r>
          </w:p>
          <w:p>
            <w:pPr>
              <w:spacing w:after="0" w:line="360" w:lineRule="auto"/>
              <w:rPr>
                <w:rFonts w:cs="Times New Roman"/>
                <w:sz w:val="16"/>
                <w:szCs w:val="16"/>
                <w:lang w:val="en-GB"/>
              </w:rPr>
            </w:pPr>
          </w:p>
        </w:tc>
        <w:tc>
          <w:tcPr>
            <w:tcW w:w="2126" w:type="dxa"/>
            <w:tcBorders>
              <w:top w:val="single" w:sz="12" w:space="0" w:color="auto"/>
              <w:left w:val="single" w:sz="12" w:space="0" w:color="auto"/>
              <w:bottom w:val="nil"/>
            </w:tcBorders>
          </w:tcPr>
          <w:p>
            <w:pPr>
              <w:spacing w:after="0" w:line="360" w:lineRule="auto"/>
              <w:rPr>
                <w:rFonts w:cs="Times New Roman"/>
                <w:sz w:val="16"/>
                <w:szCs w:val="16"/>
                <w:lang w:val="en-GB"/>
              </w:rPr>
            </w:pPr>
            <w:r>
              <w:rPr>
                <w:rFonts w:cs="Times New Roman"/>
                <w:sz w:val="16"/>
                <w:szCs w:val="16"/>
                <w:lang w:val="en-GB"/>
              </w:rPr>
              <w:t>SM C16:0</w:t>
            </w:r>
          </w:p>
          <w:p>
            <w:pPr>
              <w:spacing w:after="0" w:line="360" w:lineRule="auto"/>
              <w:rPr>
                <w:rFonts w:cs="Times New Roman"/>
                <w:sz w:val="16"/>
                <w:szCs w:val="16"/>
                <w:lang w:val="en-GB"/>
              </w:rPr>
            </w:pPr>
            <w:r>
              <w:rPr>
                <w:rFonts w:cs="Times New Roman"/>
                <w:sz w:val="16"/>
                <w:szCs w:val="16"/>
                <w:lang w:val="en-GB"/>
              </w:rPr>
              <w:t>SM C16:1</w:t>
            </w:r>
          </w:p>
          <w:p>
            <w:pPr>
              <w:spacing w:after="0" w:line="360" w:lineRule="auto"/>
              <w:rPr>
                <w:rFonts w:cs="Times New Roman"/>
                <w:sz w:val="16"/>
                <w:szCs w:val="16"/>
                <w:lang w:val="en-GB"/>
              </w:rPr>
            </w:pPr>
            <w:r>
              <w:rPr>
                <w:rFonts w:cs="Times New Roman"/>
                <w:sz w:val="16"/>
                <w:szCs w:val="16"/>
                <w:lang w:val="en-GB"/>
              </w:rPr>
              <w:t>SM (OH) C16:1</w:t>
            </w:r>
          </w:p>
          <w:p>
            <w:pPr>
              <w:spacing w:after="0" w:line="360" w:lineRule="auto"/>
              <w:rPr>
                <w:rFonts w:cs="Times New Roman"/>
                <w:sz w:val="16"/>
                <w:szCs w:val="16"/>
                <w:lang w:val="en-GB"/>
              </w:rPr>
            </w:pPr>
            <w:proofErr w:type="spellStart"/>
            <w:r>
              <w:rPr>
                <w:rFonts w:cs="Times New Roman"/>
                <w:sz w:val="16"/>
                <w:szCs w:val="16"/>
                <w:lang w:val="en-GB"/>
              </w:rPr>
              <w:t>Tetradecanoylcarnitine</w:t>
            </w:r>
            <w:proofErr w:type="spellEnd"/>
            <w:r>
              <w:rPr>
                <w:rFonts w:cs="Times New Roman"/>
                <w:sz w:val="16"/>
                <w:szCs w:val="16"/>
                <w:lang w:val="en-GB"/>
              </w:rPr>
              <w:t xml:space="preserve"> (C14)</w:t>
            </w:r>
          </w:p>
          <w:p>
            <w:pPr>
              <w:spacing w:after="0" w:line="360" w:lineRule="auto"/>
              <w:rPr>
                <w:rFonts w:cs="Times New Roman"/>
                <w:sz w:val="16"/>
                <w:szCs w:val="16"/>
                <w:lang w:val="en-GB"/>
              </w:rPr>
            </w:pPr>
            <w:r>
              <w:rPr>
                <w:rFonts w:cs="Times New Roman"/>
                <w:sz w:val="16"/>
                <w:szCs w:val="16"/>
                <w:lang w:val="en-GB"/>
              </w:rPr>
              <w:t>PC aa C40:3</w:t>
            </w:r>
          </w:p>
          <w:p>
            <w:pPr>
              <w:spacing w:after="0" w:line="360" w:lineRule="auto"/>
              <w:rPr>
                <w:rFonts w:cs="Times New Roman"/>
                <w:sz w:val="16"/>
                <w:szCs w:val="16"/>
                <w:lang w:val="en-GB"/>
              </w:rPr>
            </w:pPr>
            <w:r>
              <w:rPr>
                <w:rFonts w:cs="Times New Roman"/>
                <w:sz w:val="16"/>
                <w:szCs w:val="16"/>
                <w:lang w:val="en-GB"/>
              </w:rPr>
              <w:t>SM (OH) C22:2</w:t>
            </w:r>
          </w:p>
          <w:p>
            <w:pPr>
              <w:spacing w:after="0" w:line="360" w:lineRule="auto"/>
              <w:rPr>
                <w:rFonts w:cs="Times New Roman"/>
                <w:sz w:val="16"/>
                <w:szCs w:val="16"/>
                <w:lang w:val="en-GB"/>
              </w:rPr>
            </w:pPr>
            <w:r>
              <w:rPr>
                <w:rFonts w:cs="Times New Roman"/>
                <w:sz w:val="16"/>
                <w:szCs w:val="16"/>
                <w:lang w:val="en-GB"/>
              </w:rPr>
              <w:t>SM C20:2</w:t>
            </w:r>
          </w:p>
          <w:p>
            <w:pPr>
              <w:spacing w:after="0" w:line="360" w:lineRule="auto"/>
              <w:rPr>
                <w:rFonts w:cs="Times New Roman"/>
                <w:sz w:val="16"/>
                <w:szCs w:val="16"/>
                <w:lang w:val="en-GB"/>
              </w:rPr>
            </w:pPr>
            <w:r>
              <w:rPr>
                <w:rFonts w:cs="Times New Roman"/>
                <w:sz w:val="16"/>
                <w:szCs w:val="16"/>
                <w:lang w:val="en-GB"/>
              </w:rPr>
              <w:t>SM C24:1</w:t>
            </w:r>
          </w:p>
          <w:p>
            <w:pPr>
              <w:spacing w:after="0" w:line="360" w:lineRule="auto"/>
              <w:rPr>
                <w:rFonts w:cs="Times New Roman"/>
                <w:sz w:val="16"/>
                <w:szCs w:val="16"/>
                <w:lang w:val="en-GB"/>
              </w:rPr>
            </w:pPr>
            <w:r>
              <w:rPr>
                <w:rFonts w:cs="Times New Roman"/>
                <w:sz w:val="16"/>
                <w:szCs w:val="16"/>
                <w:lang w:val="en-GB"/>
              </w:rPr>
              <w:t>PC aa C38:3</w:t>
            </w:r>
          </w:p>
        </w:tc>
        <w:tc>
          <w:tcPr>
            <w:tcW w:w="1984" w:type="dxa"/>
            <w:tcBorders>
              <w:bottom w:val="nil"/>
              <w:right w:val="nil"/>
            </w:tcBorders>
          </w:tcPr>
          <w:p>
            <w:pPr>
              <w:spacing w:after="0" w:line="360" w:lineRule="auto"/>
              <w:rPr>
                <w:rFonts w:cs="Times New Roman"/>
                <w:sz w:val="16"/>
                <w:szCs w:val="16"/>
                <w:lang w:val="en-GB"/>
              </w:rPr>
            </w:pPr>
            <w:proofErr w:type="spellStart"/>
            <w:r>
              <w:rPr>
                <w:rFonts w:cs="Times New Roman"/>
                <w:sz w:val="16"/>
                <w:szCs w:val="16"/>
                <w:lang w:val="en-GB"/>
              </w:rPr>
              <w:t>Octadecanoylcarnitine</w:t>
            </w:r>
            <w:proofErr w:type="spellEnd"/>
            <w:r>
              <w:rPr>
                <w:rFonts w:cs="Times New Roman"/>
                <w:sz w:val="16"/>
                <w:szCs w:val="16"/>
                <w:lang w:val="en-GB"/>
              </w:rPr>
              <w:t xml:space="preserve"> C18</w:t>
            </w:r>
          </w:p>
          <w:p>
            <w:pPr>
              <w:spacing w:after="0" w:line="360" w:lineRule="auto"/>
              <w:rPr>
                <w:rFonts w:cs="Times New Roman"/>
                <w:sz w:val="16"/>
                <w:szCs w:val="16"/>
                <w:lang w:val="en-GB"/>
              </w:rPr>
            </w:pPr>
            <w:r>
              <w:rPr>
                <w:rFonts w:cs="Times New Roman"/>
                <w:sz w:val="16"/>
                <w:szCs w:val="16"/>
                <w:lang w:val="en-GB"/>
              </w:rPr>
              <w:t>Methionine (Met)</w:t>
            </w:r>
          </w:p>
          <w:p>
            <w:pPr>
              <w:spacing w:after="0" w:line="360" w:lineRule="auto"/>
              <w:rPr>
                <w:rFonts w:cs="Times New Roman"/>
                <w:sz w:val="16"/>
                <w:szCs w:val="16"/>
                <w:lang w:val="en-GB"/>
              </w:rPr>
            </w:pPr>
            <w:r>
              <w:rPr>
                <w:rFonts w:cs="Times New Roman"/>
                <w:sz w:val="16"/>
                <w:szCs w:val="16"/>
                <w:lang w:val="en-GB"/>
              </w:rPr>
              <w:t>Spermidine</w:t>
            </w:r>
          </w:p>
        </w:tc>
      </w:tr>
    </w:tbl>
    <w:p>
      <w:pPr>
        <w:rPr>
          <w:lang w:val="en-GB"/>
        </w:rPr>
      </w:pPr>
    </w:p>
    <w:p>
      <w:pPr>
        <w:rPr>
          <w:lang w:val="en-GB"/>
        </w:rPr>
      </w:pPr>
    </w:p>
    <w:p>
      <w:pPr>
        <w:spacing w:after="0" w:line="240" w:lineRule="auto"/>
        <w:rPr>
          <w:rFonts w:cs="Times New Roman"/>
          <w:b/>
          <w:lang w:val="en-GB"/>
        </w:rPr>
      </w:pPr>
      <w:r>
        <w:rPr>
          <w:rFonts w:cs="Times New Roman"/>
          <w:b/>
          <w:lang w:val="en-GB"/>
        </w:rPr>
        <w:br w:type="page"/>
      </w:r>
    </w:p>
    <w:p>
      <w:pPr>
        <w:spacing w:after="0" w:line="360" w:lineRule="auto"/>
        <w:rPr>
          <w:rFonts w:cs="Times New Roman"/>
          <w:b/>
          <w:lang w:val="en-GB"/>
        </w:rPr>
      </w:pPr>
      <w:r>
        <w:rPr>
          <w:rFonts w:cs="Times New Roman"/>
          <w:b/>
          <w:lang w:val="en-GB"/>
        </w:rPr>
        <w:lastRenderedPageBreak/>
        <w:t>Legend to the Figures:</w:t>
      </w:r>
    </w:p>
    <w:p>
      <w:pPr>
        <w:spacing w:after="0" w:line="360" w:lineRule="auto"/>
        <w:rPr>
          <w:rFonts w:cs="Times New Roman"/>
          <w:lang w:val="en-GB"/>
        </w:rPr>
      </w:pPr>
    </w:p>
    <w:p>
      <w:pPr>
        <w:spacing w:after="0" w:line="360" w:lineRule="auto"/>
        <w:jc w:val="both"/>
        <w:rPr>
          <w:rFonts w:cs="Times New Roman"/>
          <w:lang w:val="en-GB"/>
        </w:rPr>
      </w:pPr>
      <w:r>
        <w:rPr>
          <w:rFonts w:cs="Times New Roman"/>
          <w:u w:val="single"/>
          <w:lang w:val="en-GB"/>
        </w:rPr>
        <w:t>Fig. 1:</w:t>
      </w:r>
      <w:r>
        <w:rPr>
          <w:rFonts w:cs="Times New Roman"/>
          <w:lang w:val="en-GB"/>
        </w:rPr>
        <w:t xml:space="preserve"> </w:t>
      </w:r>
      <w:r>
        <w:rPr>
          <w:rFonts w:cs="Times New Roman"/>
          <w:b/>
          <w:lang w:val="en-GB"/>
        </w:rPr>
        <w:t>Categories of morphological alterations in the eye lens</w:t>
      </w:r>
    </w:p>
    <w:p>
      <w:pPr>
        <w:spacing w:after="0" w:line="360" w:lineRule="auto"/>
        <w:jc w:val="both"/>
        <w:rPr>
          <w:rFonts w:cs="Times New Roman"/>
          <w:lang w:val="en-GB"/>
        </w:rPr>
      </w:pPr>
      <w:r>
        <w:rPr>
          <w:rFonts w:cs="Times New Roman"/>
          <w:lang w:val="en-GB"/>
        </w:rPr>
        <w:t>Major features of the morphological alterations observed in our lifetime study</w:t>
      </w:r>
      <w:r>
        <w:rPr>
          <w:lang w:val="en-GB"/>
        </w:rPr>
        <w:t xml:space="preserve"> </w:t>
      </w:r>
      <w:proofErr w:type="gramStart"/>
      <w:r>
        <w:rPr>
          <w:rFonts w:cs="Times New Roman"/>
          <w:lang w:val="en-GB"/>
        </w:rPr>
        <w:t>are presented</w:t>
      </w:r>
      <w:proofErr w:type="gramEnd"/>
      <w:r>
        <w:rPr>
          <w:rFonts w:cs="Times New Roman"/>
          <w:lang w:val="en-GB"/>
        </w:rPr>
        <w:t xml:space="preserve">. The same categories </w:t>
      </w:r>
      <w:proofErr w:type="gramStart"/>
      <w:r>
        <w:rPr>
          <w:rFonts w:cs="Times New Roman"/>
          <w:lang w:val="en-GB"/>
        </w:rPr>
        <w:t>were used</w:t>
      </w:r>
      <w:proofErr w:type="gramEnd"/>
      <w:r>
        <w:rPr>
          <w:rFonts w:cs="Times New Roman"/>
          <w:lang w:val="en-GB"/>
        </w:rPr>
        <w:t xml:space="preserve"> to prepare the frequency table (Tab. S1). At the </w:t>
      </w:r>
      <w:r>
        <w:rPr>
          <w:rFonts w:cs="Times New Roman"/>
          <w:b/>
          <w:lang w:val="en-GB"/>
        </w:rPr>
        <w:t>anterior</w:t>
      </w:r>
      <w:r>
        <w:rPr>
          <w:rFonts w:cs="Times New Roman"/>
          <w:lang w:val="en-GB"/>
        </w:rPr>
        <w:t xml:space="preserve"> part of the lenses (a), we observed enlarged and/or swollen fibre cells (arrows), detachment between the lens epithelial cells and the underlying fibre cells, and anterior subcapsular cataracts. At the </w:t>
      </w:r>
      <w:r>
        <w:rPr>
          <w:rFonts w:cs="Times New Roman"/>
          <w:b/>
          <w:lang w:val="en-GB"/>
        </w:rPr>
        <w:t>lens bow</w:t>
      </w:r>
      <w:r>
        <w:rPr>
          <w:rFonts w:cs="Times New Roman"/>
          <w:lang w:val="en-GB"/>
        </w:rPr>
        <w:t xml:space="preserve"> region (b), we observed enlarged and/or swollen fibre cells (asterisks), mislocated nuclei (arrows), and fissures. At the </w:t>
      </w:r>
      <w:r>
        <w:rPr>
          <w:rFonts w:cs="Times New Roman"/>
          <w:b/>
          <w:lang w:val="en-GB"/>
        </w:rPr>
        <w:t>posterior</w:t>
      </w:r>
      <w:r>
        <w:rPr>
          <w:rFonts w:cs="Times New Roman"/>
          <w:lang w:val="en-GB"/>
        </w:rPr>
        <w:t xml:space="preserve"> region (c), we observed enlarged and/or swollen fibre cells (arrows), mislocated nuclei (arrow), and posterior subcapsular cataracts. For each region, the healthy situation ("no findings") </w:t>
      </w:r>
      <w:proofErr w:type="gramStart"/>
      <w:r>
        <w:rPr>
          <w:rFonts w:cs="Times New Roman"/>
          <w:lang w:val="en-GB"/>
        </w:rPr>
        <w:t>is demonstrated</w:t>
      </w:r>
      <w:proofErr w:type="gramEnd"/>
      <w:r>
        <w:rPr>
          <w:rFonts w:cs="Times New Roman"/>
          <w:lang w:val="en-GB"/>
        </w:rPr>
        <w:t xml:space="preserve"> at the left side of the series. Bar represents 50 µm.</w:t>
      </w:r>
    </w:p>
    <w:p>
      <w:pPr>
        <w:spacing w:after="0" w:line="360" w:lineRule="auto"/>
        <w:jc w:val="both"/>
        <w:rPr>
          <w:rFonts w:cs="Times New Roman"/>
          <w:lang w:val="en-GB"/>
        </w:rPr>
      </w:pPr>
    </w:p>
    <w:p>
      <w:pPr>
        <w:spacing w:after="0" w:line="360" w:lineRule="auto"/>
        <w:jc w:val="both"/>
        <w:rPr>
          <w:rFonts w:cs="Times New Roman"/>
          <w:lang w:val="en-GB"/>
        </w:rPr>
      </w:pPr>
      <w:r>
        <w:rPr>
          <w:rFonts w:cs="Times New Roman"/>
          <w:u w:val="single"/>
          <w:lang w:val="en-GB"/>
        </w:rPr>
        <w:t>Fig. 2:</w:t>
      </w:r>
      <w:r>
        <w:rPr>
          <w:rFonts w:cs="Times New Roman"/>
          <w:lang w:val="en-GB"/>
        </w:rPr>
        <w:t xml:space="preserve"> </w:t>
      </w:r>
      <w:r>
        <w:rPr>
          <w:rFonts w:cs="Times New Roman"/>
          <w:b/>
          <w:lang w:val="en-GB"/>
        </w:rPr>
        <w:t>Anterior and posterior subcapsular cataracts in a single eye observed by Scheimpflug imaging and histology.</w:t>
      </w:r>
    </w:p>
    <w:p>
      <w:pPr>
        <w:spacing w:after="0" w:line="360" w:lineRule="auto"/>
        <w:jc w:val="both"/>
        <w:rPr>
          <w:rFonts w:cs="Times New Roman"/>
          <w:lang w:val="en-GB"/>
        </w:rPr>
      </w:pPr>
      <w:r>
        <w:rPr>
          <w:rFonts w:cs="Times New Roman"/>
          <w:lang w:val="en-GB"/>
        </w:rPr>
        <w:t xml:space="preserve">a) A lens from the 0.5 </w:t>
      </w:r>
      <w:proofErr w:type="spellStart"/>
      <w:r>
        <w:rPr>
          <w:rFonts w:cs="Times New Roman"/>
          <w:lang w:val="en-GB"/>
        </w:rPr>
        <w:t>Gy</w:t>
      </w:r>
      <w:proofErr w:type="spellEnd"/>
      <w:r>
        <w:rPr>
          <w:rFonts w:cs="Times New Roman"/>
          <w:lang w:val="en-GB"/>
        </w:rPr>
        <w:t xml:space="preserve"> irradiation cohort was analysed by Scheimpflug imaging demonstrating a clear anterior (arrow) and a vague posterior subcapsular cataract (*); C = cornea, L = lens b) The </w:t>
      </w:r>
      <w:proofErr w:type="spellStart"/>
      <w:r>
        <w:rPr>
          <w:rFonts w:cs="Times New Roman"/>
          <w:lang w:val="en-GB"/>
        </w:rPr>
        <w:t>densitogram</w:t>
      </w:r>
      <w:proofErr w:type="spellEnd"/>
      <w:r>
        <w:rPr>
          <w:rFonts w:cs="Times New Roman"/>
          <w:lang w:val="en-GB"/>
        </w:rPr>
        <w:t xml:space="preserve"> shows both opacities with a maximum lens density of 20% at the anterior part and ~10% at the posterior part. c) Histology of the anterior and d) posterior lens confirms the Scheimpflug imaging. Bar (a) = 500 µm</w:t>
      </w:r>
      <w:proofErr w:type="gramStart"/>
      <w:r>
        <w:rPr>
          <w:rFonts w:cs="Times New Roman"/>
          <w:lang w:val="en-GB"/>
        </w:rPr>
        <w:t>;</w:t>
      </w:r>
      <w:proofErr w:type="gramEnd"/>
      <w:r>
        <w:rPr>
          <w:rFonts w:cs="Times New Roman"/>
          <w:lang w:val="en-GB"/>
        </w:rPr>
        <w:t xml:space="preserve"> (c), (d): 50 µm.</w:t>
      </w:r>
    </w:p>
    <w:p>
      <w:pPr>
        <w:spacing w:after="0" w:line="360" w:lineRule="auto"/>
        <w:jc w:val="both"/>
        <w:rPr>
          <w:rFonts w:cs="Times New Roman"/>
          <w:lang w:val="en-GB"/>
        </w:rPr>
      </w:pPr>
    </w:p>
    <w:p>
      <w:pPr>
        <w:spacing w:after="0" w:line="360" w:lineRule="auto"/>
        <w:jc w:val="both"/>
        <w:rPr>
          <w:rFonts w:cs="Arial"/>
          <w:lang w:val="en-GB"/>
        </w:rPr>
      </w:pPr>
      <w:r>
        <w:rPr>
          <w:rFonts w:cs="Times New Roman"/>
          <w:u w:val="single"/>
          <w:lang w:val="en-GB"/>
        </w:rPr>
        <w:t>Fig. 3:</w:t>
      </w:r>
      <w:r>
        <w:rPr>
          <w:rFonts w:cs="Times New Roman"/>
          <w:lang w:val="en-GB"/>
        </w:rPr>
        <w:t xml:space="preserve"> </w:t>
      </w:r>
      <w:r>
        <w:rPr>
          <w:rFonts w:cs="Arial"/>
          <w:b/>
          <w:lang w:val="en-GB"/>
        </w:rPr>
        <w:t>Principal Component Analysis for lens metabolites of irradiated mice</w:t>
      </w:r>
    </w:p>
    <w:p>
      <w:pPr>
        <w:spacing w:after="0" w:line="360" w:lineRule="auto"/>
        <w:jc w:val="both"/>
        <w:rPr>
          <w:rFonts w:cs="Arial"/>
          <w:lang w:val="en-GB"/>
        </w:rPr>
      </w:pPr>
      <w:r>
        <w:rPr>
          <w:rFonts w:cs="Arial"/>
          <w:lang w:val="en-GB"/>
        </w:rPr>
        <w:t xml:space="preserve">Principal Component Analysis (PCA) for lens samples 4 and 24 hours (4h and 24h) as well as 12, 18, and 24 months (m12, m18 and m24) after irradiation and irradiated at different doses (0, 0.063, 0.125, or 0.5 </w:t>
      </w:r>
      <w:proofErr w:type="spellStart"/>
      <w:r>
        <w:rPr>
          <w:rFonts w:cs="Arial"/>
          <w:lang w:val="en-GB"/>
        </w:rPr>
        <w:t>Gy</w:t>
      </w:r>
      <w:proofErr w:type="spellEnd"/>
      <w:r>
        <w:rPr>
          <w:rFonts w:cs="Arial"/>
          <w:lang w:val="en-GB"/>
        </w:rPr>
        <w:t xml:space="preserve">). Data of </w:t>
      </w:r>
      <w:proofErr w:type="gramStart"/>
      <w:r>
        <w:rPr>
          <w:rFonts w:cs="Arial"/>
          <w:lang w:val="en-GB"/>
        </w:rPr>
        <w:t>wild-type</w:t>
      </w:r>
      <w:proofErr w:type="gramEnd"/>
      <w:r>
        <w:rPr>
          <w:rFonts w:cs="Arial"/>
          <w:lang w:val="en-GB"/>
        </w:rPr>
        <w:t xml:space="preserve"> and mutant mice lenses were combined to one group for each time point and radiation dosage for a total number of 3-4 lenses per group. a) </w:t>
      </w:r>
      <w:proofErr w:type="gramStart"/>
      <w:r>
        <w:rPr>
          <w:rFonts w:cs="Arial"/>
          <w:lang w:val="en-GB"/>
        </w:rPr>
        <w:t>females</w:t>
      </w:r>
      <w:proofErr w:type="gramEnd"/>
      <w:r>
        <w:rPr>
          <w:rFonts w:cs="Arial"/>
          <w:lang w:val="en-GB"/>
        </w:rPr>
        <w:t xml:space="preserve">; b) males. The male group of 18 month and </w:t>
      </w:r>
      <w:proofErr w:type="gramStart"/>
      <w:r>
        <w:rPr>
          <w:rFonts w:cs="Arial"/>
          <w:lang w:val="en-GB"/>
        </w:rPr>
        <w:t>0</w:t>
      </w:r>
      <w:proofErr w:type="gramEnd"/>
      <w:r>
        <w:rPr>
          <w:rFonts w:cs="Arial"/>
          <w:lang w:val="en-GB"/>
        </w:rPr>
        <w:t xml:space="preserve"> </w:t>
      </w:r>
      <w:proofErr w:type="spellStart"/>
      <w:r>
        <w:rPr>
          <w:rFonts w:cs="Arial"/>
          <w:lang w:val="en-GB"/>
        </w:rPr>
        <w:t>Gy</w:t>
      </w:r>
      <w:proofErr w:type="spellEnd"/>
      <w:r>
        <w:rPr>
          <w:rFonts w:cs="Arial"/>
          <w:lang w:val="en-GB"/>
        </w:rPr>
        <w:t xml:space="preserve"> was excluded from the analysis due to a too little sample number in this group.</w:t>
      </w:r>
    </w:p>
    <w:p>
      <w:pPr>
        <w:spacing w:after="0" w:line="360" w:lineRule="auto"/>
        <w:jc w:val="both"/>
        <w:rPr>
          <w:rFonts w:cs="Times New Roman"/>
          <w:u w:val="single"/>
          <w:lang w:val="en-GB"/>
        </w:rPr>
      </w:pPr>
    </w:p>
    <w:p>
      <w:pPr>
        <w:spacing w:after="0" w:line="360" w:lineRule="auto"/>
        <w:jc w:val="both"/>
        <w:rPr>
          <w:rFonts w:cs="Times New Roman"/>
          <w:lang w:val="en-GB"/>
        </w:rPr>
      </w:pPr>
      <w:r>
        <w:rPr>
          <w:rFonts w:cs="Times New Roman"/>
          <w:u w:val="single"/>
          <w:lang w:val="en-GB"/>
        </w:rPr>
        <w:t>Fig. 4:</w:t>
      </w:r>
      <w:r>
        <w:rPr>
          <w:rFonts w:cs="Times New Roman"/>
          <w:lang w:val="en-GB"/>
        </w:rPr>
        <w:t xml:space="preserve"> </w:t>
      </w:r>
      <w:r>
        <w:rPr>
          <w:rFonts w:cs="Arial"/>
          <w:b/>
          <w:lang w:val="en-GB"/>
        </w:rPr>
        <w:t>Principal Component Analysis for plasma metabolites of irradiated mice</w:t>
      </w:r>
    </w:p>
    <w:p>
      <w:pPr>
        <w:spacing w:after="0" w:line="360" w:lineRule="auto"/>
        <w:jc w:val="both"/>
        <w:rPr>
          <w:rFonts w:cs="Times New Roman"/>
          <w:lang w:val="en-GB"/>
        </w:rPr>
      </w:pPr>
      <w:r>
        <w:rPr>
          <w:rFonts w:cs="Arial"/>
          <w:lang w:val="en-GB"/>
        </w:rPr>
        <w:t xml:space="preserve">PCA for plasma samples </w:t>
      </w:r>
      <w:proofErr w:type="gramStart"/>
      <w:r>
        <w:rPr>
          <w:rFonts w:cs="Arial"/>
          <w:lang w:val="en-GB"/>
        </w:rPr>
        <w:t>was performed</w:t>
      </w:r>
      <w:proofErr w:type="gramEnd"/>
      <w:r>
        <w:rPr>
          <w:rFonts w:cs="Arial"/>
          <w:lang w:val="en-GB"/>
        </w:rPr>
        <w:t xml:space="preserve"> including all time points (4 and 24 hours (4h and 24h) as well as 12, 18, and 24 months (12m, 18m, and 24m) after irradiation) and all irradiation doses (0, 0.063, 0.125, or 0.5 </w:t>
      </w:r>
      <w:proofErr w:type="spellStart"/>
      <w:r>
        <w:rPr>
          <w:rFonts w:cs="Arial"/>
          <w:lang w:val="en-GB"/>
        </w:rPr>
        <w:t>Gy</w:t>
      </w:r>
      <w:proofErr w:type="spellEnd"/>
      <w:r>
        <w:rPr>
          <w:rFonts w:cs="Arial"/>
          <w:lang w:val="en-GB"/>
        </w:rPr>
        <w:t xml:space="preserve">). Data of </w:t>
      </w:r>
      <w:proofErr w:type="gramStart"/>
      <w:r>
        <w:rPr>
          <w:rFonts w:cs="Arial"/>
          <w:lang w:val="en-GB"/>
        </w:rPr>
        <w:t>wild-type</w:t>
      </w:r>
      <w:proofErr w:type="gramEnd"/>
      <w:r>
        <w:rPr>
          <w:rFonts w:cs="Arial"/>
          <w:lang w:val="en-GB"/>
        </w:rPr>
        <w:t xml:space="preserve"> and mutant mice were combined to one group for each time point and radiation dosage. a) </w:t>
      </w:r>
      <w:proofErr w:type="gramStart"/>
      <w:r>
        <w:rPr>
          <w:rFonts w:cs="Arial"/>
          <w:lang w:val="en-GB"/>
        </w:rPr>
        <w:t>females</w:t>
      </w:r>
      <w:proofErr w:type="gramEnd"/>
      <w:r>
        <w:rPr>
          <w:rFonts w:cs="Arial"/>
          <w:lang w:val="en-GB"/>
        </w:rPr>
        <w:t xml:space="preserve">; b) males. </w:t>
      </w:r>
    </w:p>
    <w:p>
      <w:pPr>
        <w:spacing w:after="0" w:line="360" w:lineRule="auto"/>
        <w:jc w:val="both"/>
        <w:rPr>
          <w:rFonts w:cs="Times New Roman"/>
          <w:lang w:val="en-GB"/>
        </w:rPr>
      </w:pPr>
    </w:p>
    <w:p>
      <w:pPr>
        <w:rPr>
          <w:rFonts w:cs="Times New Roman"/>
          <w:lang w:val="en-GB"/>
        </w:rPr>
      </w:pPr>
      <w:r>
        <w:rPr>
          <w:lang w:val="en-GB"/>
        </w:rPr>
        <w:br w:type="page"/>
      </w:r>
    </w:p>
    <w:p>
      <w:pPr>
        <w:spacing w:after="0" w:line="360" w:lineRule="auto"/>
        <w:jc w:val="both"/>
        <w:rPr>
          <w:rFonts w:cs="Times New Roman"/>
          <w:lang w:val="en-GB"/>
        </w:rPr>
      </w:pPr>
      <w:r>
        <w:rPr>
          <w:rFonts w:cs="Times New Roman"/>
          <w:lang w:val="en-GB"/>
        </w:rPr>
        <w:lastRenderedPageBreak/>
        <w:t>Fig. 1</w:t>
      </w:r>
    </w:p>
    <w:p>
      <w:pPr>
        <w:spacing w:after="0" w:line="360" w:lineRule="auto"/>
        <w:jc w:val="both"/>
        <w:rPr>
          <w:lang w:val="en-GB"/>
        </w:rPr>
      </w:pPr>
      <w:r>
        <w:rPr>
          <w:rFonts w:cs="Times New Roman"/>
          <w:noProof/>
          <w:lang w:val="en-US"/>
        </w:rPr>
        <w:drawing>
          <wp:inline distT="0" distB="0" distL="0" distR="0">
            <wp:extent cx="5970007" cy="860999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71"/>
                    <a:stretch>
                      <a:fillRect/>
                    </a:stretch>
                  </pic:blipFill>
                  <pic:spPr>
                    <a:xfrm>
                      <a:off x="0" y="0"/>
                      <a:ext cx="5973542" cy="8615089"/>
                    </a:xfrm>
                    <a:prstGeom prst="rect">
                      <a:avLst/>
                    </a:prstGeom>
                  </pic:spPr>
                </pic:pic>
              </a:graphicData>
            </a:graphic>
          </wp:inline>
        </w:drawing>
      </w:r>
    </w:p>
    <w:p>
      <w:pPr>
        <w:spacing w:after="0" w:line="360" w:lineRule="auto"/>
        <w:jc w:val="both"/>
        <w:rPr>
          <w:rFonts w:cs="Times New Roman"/>
          <w:lang w:val="en-GB"/>
        </w:rPr>
      </w:pPr>
      <w:r>
        <w:rPr>
          <w:lang w:val="en-GB"/>
        </w:rPr>
        <w:br w:type="page"/>
      </w:r>
    </w:p>
    <w:p>
      <w:pPr>
        <w:spacing w:after="0" w:line="360" w:lineRule="auto"/>
        <w:jc w:val="both"/>
        <w:rPr>
          <w:rFonts w:cs="Times New Roman"/>
          <w:lang w:val="en-GB"/>
        </w:rPr>
      </w:pPr>
      <w:r>
        <w:rPr>
          <w:rFonts w:cs="Times New Roman"/>
          <w:lang w:val="en-GB"/>
        </w:rPr>
        <w:lastRenderedPageBreak/>
        <w:t xml:space="preserve">Fig. 2: </w:t>
      </w:r>
    </w:p>
    <w:p>
      <w:pPr>
        <w:spacing w:after="0" w:line="360" w:lineRule="auto"/>
        <w:jc w:val="both"/>
        <w:rPr>
          <w:rFonts w:cs="Times New Roman"/>
          <w:lang w:val="en-GB"/>
        </w:rPr>
      </w:pPr>
      <w:r>
        <w:rPr>
          <w:rFonts w:cs="Times New Roman"/>
          <w:noProof/>
          <w:lang w:val="en-US"/>
        </w:rPr>
        <w:drawing>
          <wp:inline distT="0" distB="0" distL="0" distR="0">
            <wp:extent cx="3357676" cy="3108641"/>
            <wp:effectExtent l="0" t="0" r="0" b="0"/>
            <wp:docPr id="2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a:blip r:embed="rId72"/>
                    <a:stretch>
                      <a:fillRect/>
                    </a:stretch>
                  </pic:blipFill>
                  <pic:spPr>
                    <a:xfrm>
                      <a:off x="0" y="0"/>
                      <a:ext cx="3374135" cy="3123879"/>
                    </a:xfrm>
                    <a:prstGeom prst="rect">
                      <a:avLst/>
                    </a:prstGeom>
                  </pic:spPr>
                </pic:pic>
              </a:graphicData>
            </a:graphic>
          </wp:inline>
        </w:drawing>
      </w:r>
    </w:p>
    <w:p>
      <w:pPr>
        <w:spacing w:after="0" w:line="360" w:lineRule="auto"/>
        <w:jc w:val="both"/>
        <w:rPr>
          <w:rFonts w:cs="Times New Roman"/>
          <w:lang w:val="en-GB"/>
        </w:rPr>
      </w:pPr>
    </w:p>
    <w:p>
      <w:pPr>
        <w:spacing w:after="0" w:line="240" w:lineRule="auto"/>
        <w:rPr>
          <w:rFonts w:cs="Times New Roman"/>
          <w:lang w:val="en-GB"/>
        </w:rPr>
        <w:sectPr>
          <w:pgSz w:w="11906" w:h="16838"/>
          <w:pgMar w:top="1134" w:right="1134" w:bottom="1134" w:left="1134" w:header="709" w:footer="0" w:gutter="0"/>
          <w:cols w:space="720"/>
          <w:formProt w:val="0"/>
          <w:titlePg/>
          <w:docGrid w:linePitch="360" w:charSpace="4096"/>
        </w:sectPr>
      </w:pPr>
      <w:r>
        <w:rPr>
          <w:rFonts w:cs="Times New Roman"/>
          <w:lang w:val="en-GB"/>
        </w:rPr>
        <w:br w:type="page"/>
      </w:r>
    </w:p>
    <w:p>
      <w:pPr>
        <w:spacing w:after="0" w:line="240" w:lineRule="auto"/>
        <w:rPr>
          <w:rFonts w:cs="Times New Roman"/>
          <w:lang w:val="en-GB"/>
        </w:rPr>
      </w:pPr>
    </w:p>
    <w:p>
      <w:pPr>
        <w:spacing w:after="0" w:line="360" w:lineRule="auto"/>
        <w:jc w:val="both"/>
        <w:rPr>
          <w:rFonts w:cs="Times New Roman"/>
          <w:lang w:val="en-GB"/>
        </w:rPr>
      </w:pPr>
      <w:r>
        <w:rPr>
          <w:rFonts w:cs="Times New Roman"/>
          <w:lang w:val="en-GB"/>
        </w:rPr>
        <w:t xml:space="preserve">Fig. 3 </w:t>
      </w:r>
      <w:r>
        <w:rPr>
          <w:rFonts w:cs="Arial"/>
          <w:b/>
          <w:lang w:val="en-GB"/>
        </w:rPr>
        <w:t>Principal Component Analysis for lens metabolites of irradiated mice</w:t>
      </w:r>
    </w:p>
    <w:p>
      <w:pPr>
        <w:pStyle w:val="Listenabsatz"/>
        <w:numPr>
          <w:ilvl w:val="0"/>
          <w:numId w:val="9"/>
        </w:numPr>
        <w:jc w:val="both"/>
        <w:rPr>
          <w:lang w:val="en-GB"/>
        </w:rPr>
      </w:pPr>
      <w:r>
        <w:rPr>
          <w:lang w:val="en-GB"/>
        </w:rPr>
        <w:t>b)</w:t>
      </w:r>
    </w:p>
    <w:p>
      <w:pPr>
        <w:spacing w:after="0" w:line="360" w:lineRule="auto"/>
        <w:jc w:val="both"/>
        <w:rPr>
          <w:rFonts w:cs="Times New Roman"/>
          <w:lang w:val="en-GB"/>
        </w:rPr>
      </w:pPr>
      <w:r>
        <w:rPr>
          <w:rFonts w:cs="Times New Roman"/>
          <w:lang w:val="en-GB"/>
        </w:rPr>
        <w:object w:dxaOrig="7560" w:dyaOrig="7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4pt;height:340.4pt" o:ole="">
            <v:imagedata r:id="rId73" o:title=""/>
          </v:shape>
          <o:OLEObject Type="Embed" ProgID="AcroExch.Document.DC" ShapeID="_x0000_i1025" DrawAspect="Content" ObjectID="_1642574874" r:id="rId74"/>
        </w:object>
      </w:r>
      <w:r>
        <w:rPr>
          <w:rFonts w:cs="Times New Roman"/>
          <w:lang w:val="en-GB"/>
        </w:rPr>
        <w:t xml:space="preserve">     </w:t>
      </w:r>
      <w:r>
        <w:rPr>
          <w:rFonts w:cs="Times New Roman"/>
          <w:lang w:val="en-GB"/>
        </w:rPr>
        <w:object w:dxaOrig="7560" w:dyaOrig="7560">
          <v:shape id="_x0000_i1026" type="#_x0000_t75" style="width:341pt;height:341pt" o:ole="">
            <v:imagedata r:id="rId75" o:title=""/>
          </v:shape>
          <o:OLEObject Type="Embed" ProgID="AcroExch.Document.DC" ShapeID="_x0000_i1026" DrawAspect="Content" ObjectID="_1642574875" r:id="rId76"/>
        </w:object>
      </w:r>
    </w:p>
    <w:p>
      <w:pPr>
        <w:spacing w:after="0" w:line="360" w:lineRule="auto"/>
        <w:jc w:val="both"/>
        <w:rPr>
          <w:rFonts w:cs="Times New Roman"/>
          <w:lang w:val="en-GB"/>
        </w:rPr>
      </w:pPr>
    </w:p>
    <w:p>
      <w:pPr>
        <w:spacing w:after="0" w:line="240" w:lineRule="auto"/>
        <w:rPr>
          <w:rFonts w:cs="Times New Roman"/>
          <w:lang w:val="en-GB"/>
        </w:rPr>
      </w:pPr>
      <w:r>
        <w:rPr>
          <w:rFonts w:cs="Times New Roman"/>
          <w:lang w:val="en-GB"/>
        </w:rPr>
        <w:br w:type="page"/>
      </w:r>
    </w:p>
    <w:p>
      <w:pPr>
        <w:spacing w:after="0" w:line="360" w:lineRule="auto"/>
        <w:jc w:val="both"/>
        <w:rPr>
          <w:rFonts w:cs="Times New Roman"/>
          <w:lang w:val="en-GB"/>
        </w:rPr>
      </w:pPr>
    </w:p>
    <w:p>
      <w:pPr>
        <w:spacing w:after="0" w:line="360" w:lineRule="auto"/>
        <w:rPr>
          <w:rFonts w:cs="Times New Roman"/>
          <w:lang w:val="en-GB"/>
        </w:rPr>
      </w:pPr>
      <w:r>
        <w:rPr>
          <w:rFonts w:cs="Times New Roman"/>
          <w:lang w:val="en-GB"/>
        </w:rPr>
        <w:t xml:space="preserve">Fig. 4 </w:t>
      </w:r>
      <w:r>
        <w:rPr>
          <w:rFonts w:cs="Arial"/>
          <w:b/>
          <w:lang w:val="en-GB"/>
        </w:rPr>
        <w:t>Principal Component Analysis for plasma metabolites of irradiated mice</w:t>
      </w:r>
      <w:r>
        <w:rPr>
          <w:rFonts w:cs="Times New Roman"/>
          <w:lang w:val="en-GB"/>
        </w:rPr>
        <w:t xml:space="preserve"> </w:t>
      </w:r>
    </w:p>
    <w:p>
      <w:pPr>
        <w:pStyle w:val="Listenabsatz"/>
        <w:numPr>
          <w:ilvl w:val="0"/>
          <w:numId w:val="10"/>
        </w:numPr>
        <w:jc w:val="both"/>
        <w:rPr>
          <w:lang w:val="en-GB"/>
        </w:rPr>
      </w:pPr>
      <w:r>
        <w:rPr>
          <w:lang w:val="en-GB"/>
        </w:rPr>
        <w:t>b)</w:t>
      </w:r>
    </w:p>
    <w:p>
      <w:pPr>
        <w:spacing w:after="0" w:line="360" w:lineRule="auto"/>
        <w:rPr>
          <w:rFonts w:cs="Times New Roman"/>
          <w:lang w:val="en-GB"/>
        </w:rPr>
      </w:pPr>
      <w:r>
        <w:rPr>
          <w:rFonts w:cs="Times New Roman"/>
          <w:lang w:val="en-GB"/>
        </w:rPr>
        <w:object w:dxaOrig="7560" w:dyaOrig="7560">
          <v:shape id="_x0000_i1027" type="#_x0000_t75" style="width:340.4pt;height:340.4pt" o:ole="">
            <v:imagedata r:id="rId77" o:title=""/>
          </v:shape>
          <o:OLEObject Type="Embed" ProgID="AcroExch.Document.DC" ShapeID="_x0000_i1027" DrawAspect="Content" ObjectID="_1642574876" r:id="rId78"/>
        </w:object>
      </w:r>
      <w:r>
        <w:rPr>
          <w:rFonts w:cs="Times New Roman"/>
          <w:lang w:val="en-GB"/>
        </w:rPr>
        <w:t xml:space="preserve">     </w:t>
      </w:r>
      <w:r>
        <w:rPr>
          <w:rFonts w:cs="Times New Roman"/>
          <w:lang w:val="en-GB"/>
        </w:rPr>
        <w:object w:dxaOrig="7560" w:dyaOrig="7560">
          <v:shape id="_x0000_i1028" type="#_x0000_t75" style="width:341pt;height:341pt" o:ole="">
            <v:imagedata r:id="rId79" o:title=""/>
          </v:shape>
          <o:OLEObject Type="Embed" ProgID="AcroExch.Document.DC" ShapeID="_x0000_i1028" DrawAspect="Content" ObjectID="_1642574877" r:id="rId80"/>
        </w:object>
      </w:r>
    </w:p>
    <w:p>
      <w:pPr>
        <w:rPr>
          <w:rFonts w:cs="Times New Roman"/>
          <w:lang w:val="en-GB"/>
        </w:rPr>
      </w:pPr>
    </w:p>
    <w:p>
      <w:pPr>
        <w:spacing w:after="0" w:line="240" w:lineRule="auto"/>
        <w:rPr>
          <w:rFonts w:cs="Times New Roman"/>
          <w:lang w:val="en-GB"/>
        </w:rPr>
        <w:sectPr>
          <w:pgSz w:w="16838" w:h="11906" w:orient="landscape"/>
          <w:pgMar w:top="1134" w:right="1134" w:bottom="1134" w:left="1134" w:header="709" w:footer="0" w:gutter="0"/>
          <w:cols w:space="720"/>
          <w:formProt w:val="0"/>
          <w:titlePg/>
          <w:docGrid w:linePitch="360" w:charSpace="4096"/>
        </w:sectPr>
      </w:pPr>
      <w:r>
        <w:rPr>
          <w:rFonts w:cs="Times New Roman"/>
          <w:lang w:val="en-GB"/>
        </w:rPr>
        <w:br w:type="page"/>
      </w:r>
    </w:p>
    <w:p>
      <w:pPr>
        <w:spacing w:after="0" w:line="240" w:lineRule="auto"/>
        <w:rPr>
          <w:rFonts w:cs="Times New Roman"/>
          <w:lang w:val="en-GB"/>
        </w:rPr>
      </w:pPr>
    </w:p>
    <w:p>
      <w:pPr>
        <w:spacing w:line="360" w:lineRule="auto"/>
        <w:rPr>
          <w:rFonts w:cs="Times New Roman"/>
          <w:lang w:val="en-GB"/>
        </w:rPr>
      </w:pPr>
      <w:r>
        <w:rPr>
          <w:rFonts w:cs="Times New Roman"/>
          <w:lang w:val="en-GB"/>
        </w:rPr>
        <w:t>Supplementary Table S1:</w:t>
      </w:r>
    </w:p>
    <w:p>
      <w:pPr>
        <w:spacing w:line="360" w:lineRule="auto"/>
        <w:rPr>
          <w:rFonts w:cs="Times New Roman"/>
          <w:lang w:val="en-GB"/>
        </w:rPr>
      </w:pPr>
      <w:r>
        <w:t xml:space="preserve"> </w:t>
      </w:r>
      <w:r>
        <w:rPr>
          <w:noProof/>
          <w:lang w:val="en-US"/>
        </w:rPr>
        <w:drawing>
          <wp:inline distT="0" distB="0" distL="0" distR="0">
            <wp:extent cx="4007558" cy="8624114"/>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28623" cy="8669446"/>
                    </a:xfrm>
                    <a:prstGeom prst="rect">
                      <a:avLst/>
                    </a:prstGeom>
                    <a:noFill/>
                    <a:ln>
                      <a:noFill/>
                    </a:ln>
                  </pic:spPr>
                </pic:pic>
              </a:graphicData>
            </a:graphic>
          </wp:inline>
        </w:drawing>
      </w:r>
      <w:r>
        <w:rPr>
          <w:rFonts w:cs="Times New Roman"/>
          <w:lang w:val="en-GB"/>
        </w:rPr>
        <w:br w:type="page"/>
      </w:r>
    </w:p>
    <w:p>
      <w:pPr>
        <w:rPr>
          <w:rFonts w:cs="Times New Roman"/>
          <w:lang w:val="en-GB"/>
        </w:rPr>
      </w:pPr>
      <w:r>
        <w:rPr>
          <w:rFonts w:cs="Times New Roman"/>
          <w:lang w:val="en-GB"/>
        </w:rPr>
        <w:lastRenderedPageBreak/>
        <w:t>Supplementary Figure S1</w:t>
      </w:r>
    </w:p>
    <w:p>
      <w:pPr>
        <w:rPr>
          <w:rFonts w:cs="Times New Roman"/>
          <w:lang w:val="en-GB"/>
        </w:rPr>
      </w:pPr>
      <w:r>
        <w:rPr>
          <w:rFonts w:cs="Times New Roman"/>
          <w:noProof/>
          <w:lang w:val="en-US"/>
        </w:rPr>
        <w:drawing>
          <wp:inline distT="0" distB="0" distL="0" distR="0">
            <wp:extent cx="6403442" cy="2289658"/>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7361" cy="2291059"/>
                    </a:xfrm>
                    <a:prstGeom prst="rect">
                      <a:avLst/>
                    </a:prstGeom>
                    <a:noFill/>
                  </pic:spPr>
                </pic:pic>
              </a:graphicData>
            </a:graphic>
          </wp:inline>
        </w:drawing>
      </w:r>
    </w:p>
    <w:p>
      <w:pPr>
        <w:rPr>
          <w:rFonts w:cs="Times New Roman"/>
          <w:lang w:val="en-GB"/>
        </w:rPr>
      </w:pPr>
    </w:p>
    <w:p>
      <w:pPr>
        <w:spacing w:after="0"/>
        <w:jc w:val="both"/>
        <w:rPr>
          <w:b/>
          <w:lang w:val="en-GB"/>
        </w:rPr>
      </w:pPr>
      <w:r>
        <w:rPr>
          <w:lang w:val="en-GB"/>
        </w:rPr>
        <w:t xml:space="preserve">Fig. S1 </w:t>
      </w:r>
      <w:r>
        <w:rPr>
          <w:b/>
          <w:lang w:val="en-GB"/>
        </w:rPr>
        <w:t>Irradiation cohorts</w:t>
      </w:r>
    </w:p>
    <w:p>
      <w:pPr>
        <w:spacing w:after="0"/>
        <w:jc w:val="both"/>
        <w:rPr>
          <w:lang w:val="en-GB"/>
        </w:rPr>
      </w:pPr>
      <w:r>
        <w:rPr>
          <w:lang w:val="en-GB"/>
        </w:rPr>
        <w:t xml:space="preserve">Mice were bread and irradiated in </w:t>
      </w:r>
      <w:proofErr w:type="gramStart"/>
      <w:r>
        <w:rPr>
          <w:lang w:val="en-GB"/>
        </w:rPr>
        <w:t>6</w:t>
      </w:r>
      <w:proofErr w:type="gramEnd"/>
      <w:r>
        <w:rPr>
          <w:lang w:val="en-GB"/>
        </w:rPr>
        <w:t xml:space="preserve"> independent groups (1-6) within a period of 15 months (April 2013-July 2014). All irradiation groups include the same numbers of male and female as well as wild types and </w:t>
      </w:r>
      <w:r>
        <w:rPr>
          <w:i/>
          <w:iCs/>
          <w:lang w:val="en-GB"/>
        </w:rPr>
        <w:t>Ercc2</w:t>
      </w:r>
      <w:r>
        <w:rPr>
          <w:i/>
          <w:iCs/>
          <w:vertAlign w:val="superscript"/>
          <w:lang w:val="en-GB"/>
        </w:rPr>
        <w:t>+/-</w:t>
      </w:r>
      <w:r>
        <w:rPr>
          <w:lang w:val="en-GB"/>
        </w:rPr>
        <w:t xml:space="preserve"> mutants. For the 24 </w:t>
      </w:r>
      <w:proofErr w:type="spellStart"/>
      <w:r>
        <w:rPr>
          <w:lang w:val="en-GB"/>
        </w:rPr>
        <w:t>mth</w:t>
      </w:r>
      <w:proofErr w:type="spellEnd"/>
      <w:r>
        <w:rPr>
          <w:lang w:val="en-GB"/>
        </w:rPr>
        <w:t xml:space="preserve"> </w:t>
      </w:r>
      <w:proofErr w:type="spellStart"/>
      <w:r>
        <w:rPr>
          <w:lang w:val="en-GB"/>
        </w:rPr>
        <w:t>p.i</w:t>
      </w:r>
      <w:proofErr w:type="spellEnd"/>
      <w:r>
        <w:rPr>
          <w:lang w:val="en-GB"/>
        </w:rPr>
        <w:t>. cohorts (1, 2, 3) 76 mice were irradiated with the same dose (</w:t>
      </w:r>
      <w:proofErr w:type="gramStart"/>
      <w:r>
        <w:rPr>
          <w:lang w:val="en-GB"/>
        </w:rPr>
        <w:t>0</w:t>
      </w:r>
      <w:proofErr w:type="gramEnd"/>
      <w:r>
        <w:rPr>
          <w:lang w:val="en-GB"/>
        </w:rPr>
        <w:t xml:space="preserve">, 0.063, 0.125, 0.5 </w:t>
      </w:r>
      <w:proofErr w:type="spellStart"/>
      <w:r>
        <w:rPr>
          <w:lang w:val="en-GB"/>
        </w:rPr>
        <w:t>Gy</w:t>
      </w:r>
      <w:proofErr w:type="spellEnd"/>
      <w:r>
        <w:rPr>
          <w:lang w:val="en-GB"/>
        </w:rPr>
        <w:t xml:space="preserve">) and </w:t>
      </w:r>
      <w:proofErr w:type="spellStart"/>
      <w:r>
        <w:rPr>
          <w:lang w:val="en-GB"/>
        </w:rPr>
        <w:t>doserate</w:t>
      </w:r>
      <w:proofErr w:type="spellEnd"/>
      <w:r>
        <w:rPr>
          <w:lang w:val="en-GB"/>
        </w:rPr>
        <w:t xml:space="preserve"> (0.063 </w:t>
      </w:r>
      <w:proofErr w:type="spellStart"/>
      <w:r>
        <w:rPr>
          <w:lang w:val="en-GB"/>
        </w:rPr>
        <w:t>Gy</w:t>
      </w:r>
      <w:proofErr w:type="spellEnd"/>
      <w:r>
        <w:rPr>
          <w:lang w:val="en-GB"/>
        </w:rPr>
        <w:t>/min). The 76 sham irradiated (</w:t>
      </w:r>
      <w:proofErr w:type="gramStart"/>
      <w:r>
        <w:rPr>
          <w:lang w:val="en-GB"/>
        </w:rPr>
        <w:t>0</w:t>
      </w:r>
      <w:proofErr w:type="gramEnd"/>
      <w:r>
        <w:rPr>
          <w:lang w:val="en-GB"/>
        </w:rPr>
        <w:t xml:space="preserve"> </w:t>
      </w:r>
      <w:proofErr w:type="spellStart"/>
      <w:r>
        <w:rPr>
          <w:lang w:val="en-GB"/>
        </w:rPr>
        <w:t>Gy</w:t>
      </w:r>
      <w:proofErr w:type="spellEnd"/>
      <w:r>
        <w:rPr>
          <w:lang w:val="en-GB"/>
        </w:rPr>
        <w:t>) mice were split between the irradiation groups. Long-term cohorts received regular examinations by Scheimpflug imaging, OCT (optical coherence tomography) and behaviour testing until 24 months post irradiation (</w:t>
      </w:r>
      <w:proofErr w:type="spellStart"/>
      <w:r>
        <w:rPr>
          <w:lang w:val="en-GB"/>
        </w:rPr>
        <w:t>p.i</w:t>
      </w:r>
      <w:proofErr w:type="spellEnd"/>
      <w:r>
        <w:rPr>
          <w:lang w:val="en-GB"/>
        </w:rPr>
        <w:t xml:space="preserve">.). For the 4 &amp; 24 h, 12 &amp; 18 </w:t>
      </w:r>
      <w:proofErr w:type="spellStart"/>
      <w:r>
        <w:rPr>
          <w:lang w:val="en-GB"/>
        </w:rPr>
        <w:t>mth</w:t>
      </w:r>
      <w:proofErr w:type="spellEnd"/>
      <w:r>
        <w:rPr>
          <w:lang w:val="en-GB"/>
        </w:rPr>
        <w:t xml:space="preserve"> </w:t>
      </w:r>
      <w:proofErr w:type="spellStart"/>
      <w:r>
        <w:rPr>
          <w:lang w:val="en-GB"/>
        </w:rPr>
        <w:t>p.i</w:t>
      </w:r>
      <w:proofErr w:type="spellEnd"/>
      <w:r>
        <w:rPr>
          <w:lang w:val="en-GB"/>
        </w:rPr>
        <w:t xml:space="preserve">. cohorts (4, 5, </w:t>
      </w:r>
      <w:proofErr w:type="gramStart"/>
      <w:r>
        <w:rPr>
          <w:lang w:val="en-GB"/>
        </w:rPr>
        <w:t>6</w:t>
      </w:r>
      <w:proofErr w:type="gramEnd"/>
      <w:r>
        <w:rPr>
          <w:lang w:val="en-GB"/>
        </w:rPr>
        <w:t xml:space="preserve">) 64 mice were exposed to the same dose; the number of sham irradiated mice was split between the groups. At different </w:t>
      </w:r>
      <w:proofErr w:type="spellStart"/>
      <w:r>
        <w:rPr>
          <w:lang w:val="en-GB"/>
        </w:rPr>
        <w:t>timepoints</w:t>
      </w:r>
      <w:proofErr w:type="spellEnd"/>
      <w:r>
        <w:rPr>
          <w:lang w:val="en-GB"/>
        </w:rPr>
        <w:t xml:space="preserve"> (</w:t>
      </w:r>
      <w:proofErr w:type="gramStart"/>
      <w:r>
        <w:rPr>
          <w:lang w:val="en-GB"/>
        </w:rPr>
        <w:t>4</w:t>
      </w:r>
      <w:proofErr w:type="gramEnd"/>
      <w:r>
        <w:rPr>
          <w:lang w:val="en-GB"/>
        </w:rPr>
        <w:t xml:space="preserve"> and 24 hours, 12 and 18 months </w:t>
      </w:r>
      <w:proofErr w:type="spellStart"/>
      <w:r>
        <w:rPr>
          <w:lang w:val="en-GB"/>
        </w:rPr>
        <w:t>p.i</w:t>
      </w:r>
      <w:proofErr w:type="spellEnd"/>
      <w:r>
        <w:rPr>
          <w:lang w:val="en-GB"/>
        </w:rPr>
        <w:t xml:space="preserve">.; represented by dotted lines) 16 mice (4 male </w:t>
      </w:r>
      <w:proofErr w:type="spellStart"/>
      <w:r>
        <w:rPr>
          <w:lang w:val="en-GB"/>
        </w:rPr>
        <w:t>wt</w:t>
      </w:r>
      <w:proofErr w:type="spellEnd"/>
      <w:r>
        <w:rPr>
          <w:lang w:val="en-GB"/>
        </w:rPr>
        <w:t xml:space="preserve">, 4 female </w:t>
      </w:r>
      <w:proofErr w:type="spellStart"/>
      <w:r>
        <w:rPr>
          <w:lang w:val="en-GB"/>
        </w:rPr>
        <w:t>wt</w:t>
      </w:r>
      <w:proofErr w:type="spellEnd"/>
      <w:r>
        <w:rPr>
          <w:lang w:val="en-GB"/>
        </w:rPr>
        <w:t xml:space="preserve">, 4 male </w:t>
      </w:r>
      <w:r>
        <w:rPr>
          <w:i/>
          <w:iCs/>
          <w:lang w:val="en-GB"/>
        </w:rPr>
        <w:t>Ercc2</w:t>
      </w:r>
      <w:r>
        <w:rPr>
          <w:i/>
          <w:iCs/>
          <w:vertAlign w:val="superscript"/>
          <w:lang w:val="en-GB"/>
        </w:rPr>
        <w:t>+/-</w:t>
      </w:r>
      <w:r>
        <w:rPr>
          <w:lang w:val="en-GB"/>
        </w:rPr>
        <w:t xml:space="preserve">, 4 female </w:t>
      </w:r>
      <w:r>
        <w:rPr>
          <w:i/>
          <w:iCs/>
          <w:lang w:val="en-GB"/>
        </w:rPr>
        <w:t>Ercc2</w:t>
      </w:r>
      <w:r>
        <w:rPr>
          <w:i/>
          <w:iCs/>
          <w:vertAlign w:val="superscript"/>
          <w:lang w:val="en-GB"/>
        </w:rPr>
        <w:t>+/-</w:t>
      </w:r>
      <w:r>
        <w:rPr>
          <w:lang w:val="en-GB"/>
        </w:rPr>
        <w:t xml:space="preserve">) from each dose group were killed and eyes were taken for further analyses. </w:t>
      </w:r>
    </w:p>
    <w:p>
      <w:pPr>
        <w:spacing w:after="0"/>
        <w:jc w:val="both"/>
        <w:rPr>
          <w:rFonts w:cs="Times New Roman"/>
          <w:lang w:val="en-GB"/>
        </w:rPr>
      </w:pPr>
    </w:p>
    <w:p>
      <w:pPr>
        <w:rPr>
          <w:lang w:val="en-GB"/>
        </w:rPr>
      </w:pPr>
    </w:p>
    <w:sectPr>
      <w:pgSz w:w="11906" w:h="16838"/>
      <w:pgMar w:top="1134" w:right="1134" w:bottom="1134" w:left="1134" w:header="709"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E0000AFF" w:usb1="500078FF" w:usb2="00000021" w:usb3="00000000" w:csb0="000001BF" w:csb1="00000000"/>
  </w:font>
  <w:font w:name="AR PL SungtiL GB">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lvtsmSTIX-Regula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388123"/>
      <w:docPartObj>
        <w:docPartGallery w:val="Page Numbers (Top of Page)"/>
        <w:docPartUnique/>
      </w:docPartObj>
    </w:sdtPr>
    <w:sdtContent>
      <w:p>
        <w:pPr>
          <w:pStyle w:val="Kopfzeile"/>
          <w:jc w:val="right"/>
        </w:pPr>
        <w:r>
          <w:fldChar w:fldCharType="begin"/>
        </w:r>
        <w:r>
          <w:instrText>PAGE</w:instrText>
        </w:r>
        <w:r>
          <w:fldChar w:fldCharType="separate"/>
        </w:r>
        <w:r>
          <w:rPr>
            <w:noProof/>
          </w:rPr>
          <w:t>21</w:t>
        </w:r>
        <w:r>
          <w:fldChar w:fldCharType="end"/>
        </w:r>
      </w:p>
    </w:sdtContent>
  </w:sdt>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CB1"/>
    <w:multiLevelType w:val="hybridMultilevel"/>
    <w:tmpl w:val="65529582"/>
    <w:lvl w:ilvl="0" w:tplc="BE1CCF4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62378"/>
    <w:multiLevelType w:val="hybridMultilevel"/>
    <w:tmpl w:val="E3061C5C"/>
    <w:lvl w:ilvl="0" w:tplc="9C68A882">
      <w:start w:val="1"/>
      <w:numFmt w:val="lowerLetter"/>
      <w:lvlText w:val="%1)"/>
      <w:lvlJc w:val="left"/>
      <w:pPr>
        <w:ind w:left="1770" w:hanging="141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2775C"/>
    <w:multiLevelType w:val="hybridMultilevel"/>
    <w:tmpl w:val="296C7EEE"/>
    <w:lvl w:ilvl="0" w:tplc="E66EC702">
      <w:start w:val="29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13FE3"/>
    <w:multiLevelType w:val="hybridMultilevel"/>
    <w:tmpl w:val="6A48D7F0"/>
    <w:lvl w:ilvl="0" w:tplc="DBEA5BAC">
      <w:start w:val="1"/>
      <w:numFmt w:val="low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93A0A"/>
    <w:multiLevelType w:val="hybridMultilevel"/>
    <w:tmpl w:val="F6C0BFE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3C2E8D"/>
    <w:multiLevelType w:val="hybridMultilevel"/>
    <w:tmpl w:val="6464A74C"/>
    <w:lvl w:ilvl="0" w:tplc="DED64DB4">
      <w:start w:val="1"/>
      <w:numFmt w:val="lowerLetter"/>
      <w:lvlText w:val="%1)"/>
      <w:lvlJc w:val="left"/>
      <w:pPr>
        <w:ind w:left="5310" w:hanging="495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421A1D"/>
    <w:multiLevelType w:val="hybridMultilevel"/>
    <w:tmpl w:val="2306FA08"/>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F43A4B"/>
    <w:multiLevelType w:val="hybridMultilevel"/>
    <w:tmpl w:val="6464A74C"/>
    <w:lvl w:ilvl="0" w:tplc="DED64DB4">
      <w:start w:val="1"/>
      <w:numFmt w:val="lowerLetter"/>
      <w:lvlText w:val="%1)"/>
      <w:lvlJc w:val="left"/>
      <w:pPr>
        <w:ind w:left="5310" w:hanging="495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104633"/>
    <w:multiLevelType w:val="multilevel"/>
    <w:tmpl w:val="BAE205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3492EED"/>
    <w:multiLevelType w:val="hybridMultilevel"/>
    <w:tmpl w:val="EE802CD4"/>
    <w:lvl w:ilvl="0" w:tplc="9C68A882">
      <w:start w:val="1"/>
      <w:numFmt w:val="lowerLetter"/>
      <w:lvlText w:val="%1)"/>
      <w:lvlJc w:val="left"/>
      <w:pPr>
        <w:ind w:left="1770" w:hanging="141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0C6E61"/>
    <w:multiLevelType w:val="multilevel"/>
    <w:tmpl w:val="A32C7F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8"/>
  </w:num>
  <w:num w:numId="2">
    <w:abstractNumId w:val="10"/>
  </w:num>
  <w:num w:numId="3">
    <w:abstractNumId w:val="0"/>
  </w:num>
  <w:num w:numId="4">
    <w:abstractNumId w:val="2"/>
  </w:num>
  <w:num w:numId="5">
    <w:abstractNumId w:val="6"/>
  </w:num>
  <w:num w:numId="6">
    <w:abstractNumId w:val="3"/>
  </w:num>
  <w:num w:numId="7">
    <w:abstractNumId w:val="9"/>
  </w:num>
  <w:num w:numId="8">
    <w:abstractNumId w:val="1"/>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5:docId w15:val="{F2D6241E-8D18-46A7-8002-90A0F466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style>
  <w:style w:type="paragraph" w:styleId="berschrift1">
    <w:name w:val="heading 1"/>
    <w:basedOn w:val="Standard"/>
    <w:uiPriority w:val="9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uiPriority w:val="99"/>
    <w:qFormat/>
    <w:pPr>
      <w:keepNext/>
      <w:spacing w:after="0" w:line="360" w:lineRule="auto"/>
      <w:jc w:val="both"/>
      <w:outlineLvl w:val="1"/>
    </w:pPr>
    <w:rPr>
      <w:rFonts w:ascii="Arial" w:eastAsia="Times New Roman" w:hAnsi="Arial" w:cs="Arial"/>
      <w:b/>
      <w:bCs/>
      <w:szCs w:val="24"/>
      <w:lang w:val="en-US"/>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Pr>
      <w:rFonts w:cs="Times New Roman"/>
      <w:b/>
    </w:rPr>
  </w:style>
  <w:style w:type="character" w:customStyle="1" w:styleId="berschrift2Zchn">
    <w:name w:val="Überschrift 2 Zchn"/>
    <w:basedOn w:val="Absatz-Standardschriftart"/>
    <w:uiPriority w:val="99"/>
    <w:qFormat/>
    <w:rPr>
      <w:rFonts w:ascii="Arial" w:eastAsia="Times New Roman" w:hAnsi="Arial" w:cs="Arial"/>
      <w:b/>
      <w:bCs/>
      <w:szCs w:val="24"/>
      <w:lang w:val="en-US"/>
    </w:rPr>
  </w:style>
  <w:style w:type="character" w:customStyle="1" w:styleId="InternetLink">
    <w:name w:val="Internet Link"/>
    <w:basedOn w:val="Absatz-Standardschriftart"/>
    <w:uiPriority w:val="99"/>
    <w:rPr>
      <w:rFonts w:cs="Times New Roman"/>
      <w:color w:val="0000FF"/>
      <w:u w:val="single"/>
    </w:rPr>
  </w:style>
  <w:style w:type="character" w:customStyle="1" w:styleId="orcid-id">
    <w:name w:val="orcid-id"/>
    <w:qFormat/>
  </w:style>
  <w:style w:type="character" w:customStyle="1" w:styleId="berschrift1Zchn">
    <w:name w:val="Überschrift 1 Zchn"/>
    <w:basedOn w:val="Absatz-Standardschriftart"/>
    <w:uiPriority w:val="99"/>
    <w:qFormat/>
    <w:rPr>
      <w:rFonts w:asciiTheme="majorHAnsi" w:eastAsiaTheme="majorEastAsia" w:hAnsiTheme="majorHAnsi" w:cstheme="majorBidi"/>
      <w:color w:val="365F91" w:themeColor="accent1" w:themeShade="BF"/>
      <w:sz w:val="32"/>
      <w:szCs w:val="32"/>
    </w:rPr>
  </w:style>
  <w:style w:type="character" w:customStyle="1" w:styleId="KopfzeileZchn">
    <w:name w:val="Kopfzeile Zchn"/>
    <w:basedOn w:val="Absatz-Standardschriftart"/>
    <w:link w:val="Kopfzeile"/>
    <w:uiPriority w:val="99"/>
    <w:qFormat/>
    <w:rPr>
      <w:rFonts w:ascii="Calibri" w:eastAsia="Calibri" w:hAnsi="Calibri" w:cs="Times New Roman"/>
    </w:rPr>
  </w:style>
  <w:style w:type="character" w:customStyle="1" w:styleId="FuzeileZchn">
    <w:name w:val="Fußzeile Zchn"/>
    <w:basedOn w:val="Absatz-Standardschriftart"/>
    <w:link w:val="Fuzeile"/>
    <w:uiPriority w:val="99"/>
    <w:qFormat/>
    <w:rPr>
      <w:rFonts w:ascii="Calibri" w:eastAsia="Calibri" w:hAnsi="Calibri" w:cs="Times New Roman"/>
    </w:rPr>
  </w:style>
  <w:style w:type="character" w:customStyle="1" w:styleId="SprechblasentextZchn">
    <w:name w:val="Sprechblasentext Zchn"/>
    <w:basedOn w:val="Absatz-Standardschriftart"/>
    <w:link w:val="Sprechblasentext"/>
    <w:uiPriority w:val="99"/>
    <w:semiHidden/>
    <w:qFormat/>
    <w:rPr>
      <w:rFonts w:ascii="Tahoma" w:eastAsia="Calibri" w:hAnsi="Tahoma" w:cs="Tahoma"/>
      <w:sz w:val="16"/>
      <w:szCs w:val="16"/>
    </w:rPr>
  </w:style>
  <w:style w:type="character" w:styleId="Hervorhebung">
    <w:name w:val="Emphasis"/>
    <w:basedOn w:val="Absatz-Standardschriftart"/>
    <w:uiPriority w:val="99"/>
    <w:qFormat/>
    <w:rPr>
      <w:rFonts w:cs="Times New Roman"/>
      <w:i/>
    </w:rPr>
  </w:style>
  <w:style w:type="character" w:customStyle="1" w:styleId="jrnl">
    <w:name w:val="jrnl"/>
    <w:basedOn w:val="Absatz-Standardschriftart"/>
    <w:qFormat/>
    <w:rPr>
      <w:rFonts w:cs="Times New Roman"/>
    </w:rPr>
  </w:style>
  <w:style w:type="character" w:customStyle="1" w:styleId="highlight">
    <w:name w:val="highlight"/>
    <w:basedOn w:val="Absatz-Standardschriftart"/>
    <w:qFormat/>
    <w:rPr>
      <w:rFonts w:cs="Times New Roman"/>
    </w:rPr>
  </w:style>
  <w:style w:type="character" w:styleId="Zeilennummer">
    <w:name w:val="line number"/>
    <w:basedOn w:val="Absatz-Standardschriftart"/>
    <w:uiPriority w:val="99"/>
    <w:semiHidden/>
    <w:qFormat/>
    <w:rPr>
      <w:rFonts w:cs="Times New Roman"/>
    </w:rPr>
  </w:style>
  <w:style w:type="character" w:customStyle="1" w:styleId="indent">
    <w:name w:val="indent"/>
    <w:uiPriority w:val="99"/>
    <w:qFormat/>
  </w:style>
  <w:style w:type="character" w:styleId="Kommentarzeichen">
    <w:name w:val="annotation reference"/>
    <w:basedOn w:val="Absatz-Standardschriftart"/>
    <w:uiPriority w:val="99"/>
    <w:semiHidden/>
    <w:qFormat/>
    <w:rPr>
      <w:rFonts w:cs="Times New Roman"/>
      <w:sz w:val="18"/>
    </w:rPr>
  </w:style>
  <w:style w:type="character" w:customStyle="1" w:styleId="KommentartextZchn">
    <w:name w:val="Kommentartext Zchn"/>
    <w:basedOn w:val="Absatz-Standardschriftart"/>
    <w:link w:val="Kommentartext"/>
    <w:uiPriority w:val="99"/>
    <w:semiHidden/>
    <w:qFormat/>
    <w:rPr>
      <w:rFonts w:ascii="Calibri" w:eastAsia="Calibri" w:hAnsi="Calibri" w:cs="Times New Roman"/>
      <w:sz w:val="24"/>
      <w:szCs w:val="24"/>
    </w:rPr>
  </w:style>
  <w:style w:type="character" w:styleId="BesuchterLink">
    <w:name w:val="FollowedHyperlink"/>
    <w:basedOn w:val="Absatz-Standardschriftart"/>
    <w:uiPriority w:val="99"/>
    <w:semiHidden/>
    <w:qFormat/>
    <w:rPr>
      <w:rFonts w:cs="Times New Roman"/>
      <w:color w:val="800080"/>
      <w:u w:val="single"/>
    </w:rPr>
  </w:style>
  <w:style w:type="character" w:customStyle="1" w:styleId="st">
    <w:name w:val="st"/>
    <w:uiPriority w:val="99"/>
    <w:qFormat/>
  </w:style>
  <w:style w:type="character" w:customStyle="1" w:styleId="muted">
    <w:name w:val="muted"/>
    <w:qFormat/>
  </w:style>
  <w:style w:type="character" w:customStyle="1" w:styleId="Textkrper-Einzug3Zchn">
    <w:name w:val="Textkörper-Einzug 3 Zchn"/>
    <w:basedOn w:val="Absatz-Standardschriftart"/>
    <w:qFormat/>
    <w:rPr>
      <w:rFonts w:ascii="Tahoma" w:eastAsia="Times New Roman" w:hAnsi="Tahoma" w:cs="Tahoma"/>
      <w:sz w:val="21"/>
      <w:szCs w:val="24"/>
      <w:lang w:eastAsia="de-DE"/>
    </w:rPr>
  </w:style>
  <w:style w:type="character" w:customStyle="1" w:styleId="KommentarthemaZchn">
    <w:name w:val="Kommentarthema Zchn"/>
    <w:basedOn w:val="KommentartextZchn"/>
    <w:link w:val="Kommentarthema"/>
    <w:uiPriority w:val="99"/>
    <w:semiHidden/>
    <w:qFormat/>
    <w:rPr>
      <w:rFonts w:ascii="Calibri" w:eastAsia="Calibri" w:hAnsi="Calibri" w:cs="Times New Roman"/>
      <w:b/>
      <w:bCs/>
      <w:sz w:val="20"/>
      <w:szCs w:val="20"/>
    </w:rPr>
  </w:style>
  <w:style w:type="character" w:customStyle="1" w:styleId="apple-style-span">
    <w:name w:val="apple-style-span"/>
    <w:basedOn w:val="Absatz-Standardschriftart"/>
    <w:qFormat/>
  </w:style>
  <w:style w:type="character" w:customStyle="1" w:styleId="HTMLVorformatiertZchn">
    <w:name w:val="HTML Vorformatiert Zchn"/>
    <w:basedOn w:val="Absatz-Standardschriftart"/>
    <w:link w:val="HTMLVorformatiert"/>
    <w:uiPriority w:val="99"/>
    <w:qFormat/>
    <w:rPr>
      <w:rFonts w:ascii="Courier New" w:eastAsia="Times New Roman" w:hAnsi="Courier New" w:cs="Courier New"/>
      <w:sz w:val="20"/>
      <w:szCs w:val="20"/>
      <w:lang w:eastAsia="de-DE"/>
    </w:rPr>
  </w:style>
  <w:style w:type="character" w:customStyle="1" w:styleId="doi">
    <w:name w:val="doi"/>
    <w:basedOn w:val="Absatz-Standardschriftart"/>
    <w:qFormat/>
  </w:style>
  <w:style w:type="character" w:customStyle="1" w:styleId="js-separator">
    <w:name w:val="js-separator"/>
    <w:basedOn w:val="Absatz-Standardschriftart"/>
    <w:qFormat/>
  </w:style>
  <w:style w:type="character" w:customStyle="1" w:styleId="title-text">
    <w:name w:val="title-text"/>
    <w:basedOn w:val="Absatz-Standardschriftart"/>
    <w:qFormat/>
  </w:style>
  <w:style w:type="character" w:customStyle="1" w:styleId="highwire-citation-author">
    <w:name w:val="highwire-citation-author"/>
    <w:basedOn w:val="Absatz-Standardschriftart"/>
    <w:qFormat/>
  </w:style>
  <w:style w:type="character" w:customStyle="1" w:styleId="current-selection">
    <w:name w:val="current-selection"/>
    <w:basedOn w:val="Absatz-Standardschriftart"/>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i w:val="0"/>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eastAsia="Calibri" w:cs="Arial"/>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eastAsia="Calibri" w:cs="Times New Roman"/>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lang w:val="pt-BR"/>
    </w:rPr>
  </w:style>
  <w:style w:type="character" w:customStyle="1" w:styleId="ListLabel100">
    <w:name w:val="ListLabel 100"/>
    <w:qFormat/>
    <w:rPr>
      <w:lang w:val="en-US"/>
    </w:rPr>
  </w:style>
  <w:style w:type="character" w:customStyle="1" w:styleId="ListLabel101">
    <w:name w:val="ListLabel 101"/>
    <w:qFormat/>
    <w:rPr>
      <w:rFonts w:eastAsia="Times New Roman"/>
      <w:highlight w:val="yellow"/>
      <w:lang w:val="en-US"/>
    </w:rPr>
  </w:style>
  <w:style w:type="character" w:customStyle="1" w:styleId="ListLabel102">
    <w:name w:val="ListLabel 102"/>
    <w:qFormat/>
    <w:rPr>
      <w:rFonts w:eastAsia="Times New Roman"/>
      <w:u w:val="none"/>
      <w:lang w:val="en-US"/>
    </w:rPr>
  </w:style>
  <w:style w:type="character" w:customStyle="1" w:styleId="ListLabel103">
    <w:name w:val="ListLabel 103"/>
    <w:qFormat/>
    <w:rPr>
      <w:highlight w:val="yellow"/>
      <w:lang w:val="en-US"/>
    </w:rPr>
  </w:style>
  <w:style w:type="character" w:customStyle="1" w:styleId="ListLabel104">
    <w:name w:val="ListLabel 104"/>
    <w:qFormat/>
    <w:rPr>
      <w:lang w:val="en-US"/>
    </w:rPr>
  </w:style>
  <w:style w:type="character" w:customStyle="1" w:styleId="ListLabel105">
    <w:name w:val="ListLabel 105"/>
    <w:qFormat/>
    <w:rPr>
      <w:rFonts w:eastAsia="Times New Roman"/>
      <w:lang w:val="en-US"/>
    </w:rPr>
  </w:style>
  <w:style w:type="character" w:customStyle="1" w:styleId="ListLabel106">
    <w:name w:val="ListLabel 106"/>
    <w:qFormat/>
    <w:rPr>
      <w:color w:val="auto"/>
      <w:u w:val="none"/>
      <w:lang w:val="en-US"/>
    </w:rPr>
  </w:style>
  <w:style w:type="character" w:customStyle="1" w:styleId="ListLabel107">
    <w:name w:val="ListLabel 107"/>
    <w:qFormat/>
    <w:rPr>
      <w:lang w:val="en-US"/>
    </w:rPr>
  </w:style>
  <w:style w:type="character" w:customStyle="1" w:styleId="ListLabel108">
    <w:name w:val="ListLabel 108"/>
    <w:qFormat/>
    <w:rPr>
      <w:color w:val="auto"/>
      <w:u w:val="none"/>
    </w:rPr>
  </w:style>
  <w:style w:type="character" w:customStyle="1" w:styleId="ListLabel109">
    <w:name w:val="ListLabel 109"/>
    <w:qFormat/>
    <w:rPr>
      <w:rFonts w:cs="Arial"/>
      <w:color w:val="auto"/>
      <w:u w:val="none"/>
      <w:lang w:val="en-GB"/>
    </w:rPr>
  </w:style>
  <w:style w:type="character" w:customStyle="1" w:styleId="ListLabel110">
    <w:name w:val="ListLabel 110"/>
    <w:qFormat/>
    <w:rPr>
      <w:rFonts w:cs="Arial"/>
      <w:color w:val="auto"/>
      <w:u w:val="none"/>
      <w:lang w:val="en-US"/>
    </w:rPr>
  </w:style>
  <w:style w:type="character" w:customStyle="1" w:styleId="ListLabel111">
    <w:name w:val="ListLabel 111"/>
    <w:qFormat/>
    <w:rPr>
      <w:rFonts w:cs="Arial"/>
      <w:lang w:val="en-US"/>
    </w:rPr>
  </w:style>
  <w:style w:type="character" w:customStyle="1" w:styleId="ListLabel112">
    <w:name w:val="ListLabel 112"/>
    <w:qFormat/>
    <w:rPr>
      <w:rFonts w:asciiTheme="minorHAnsi" w:hAnsiTheme="minorHAnsi"/>
    </w:rPr>
  </w:style>
  <w:style w:type="character" w:customStyle="1" w:styleId="ListLabel113">
    <w:name w:val="ListLabel 113"/>
    <w:qFormat/>
    <w:rPr>
      <w:rFonts w:asciiTheme="minorHAnsi" w:hAnsiTheme="minorHAnsi"/>
      <w:color w:val="auto"/>
      <w:u w:val="none"/>
    </w:rPr>
  </w:style>
  <w:style w:type="character" w:customStyle="1" w:styleId="ListLabel114">
    <w:name w:val="ListLabel 114"/>
    <w:qFormat/>
    <w:rPr>
      <w:rFonts w:asciiTheme="minorHAnsi" w:hAnsiTheme="minorHAnsi" w:cs="Arial"/>
      <w:color w:val="auto"/>
      <w:u w:val="none"/>
    </w:rPr>
  </w:style>
  <w:style w:type="character" w:customStyle="1" w:styleId="ListLabel115">
    <w:name w:val="ListLabel 115"/>
    <w:qFormat/>
    <w:rPr>
      <w:rFonts w:asciiTheme="minorHAnsi" w:hAnsiTheme="minorHAnsi" w:cs="Arial"/>
    </w:rPr>
  </w:style>
  <w:style w:type="paragraph" w:customStyle="1" w:styleId="Heading">
    <w:name w:val="Heading"/>
    <w:basedOn w:val="Standard"/>
    <w:next w:val="Textkrper"/>
    <w:qFormat/>
    <w:pPr>
      <w:keepNext/>
      <w:spacing w:before="240" w:after="120"/>
    </w:pPr>
    <w:rPr>
      <w:rFonts w:ascii="Liberation Sans" w:eastAsia="AR PL SungtiL GB" w:hAnsi="Liberation Sans" w:cs="Lohit Devanagari"/>
      <w:sz w:val="28"/>
      <w:szCs w:val="28"/>
    </w:rPr>
  </w:style>
  <w:style w:type="paragraph" w:styleId="Textkrper">
    <w:name w:val="Body Text"/>
    <w:basedOn w:val="Standard"/>
    <w:pPr>
      <w:spacing w:after="140"/>
    </w:pPr>
  </w:style>
  <w:style w:type="paragraph" w:styleId="Liste">
    <w:name w:val="List"/>
    <w:basedOn w:val="Textkrper"/>
    <w:rPr>
      <w:rFonts w:ascii="Verdana" w:hAnsi="Verdana" w:cs="Lohit Devanagari"/>
    </w:rPr>
  </w:style>
  <w:style w:type="paragraph" w:styleId="Beschriftung">
    <w:name w:val="caption"/>
    <w:basedOn w:val="Standard"/>
    <w:qFormat/>
    <w:pPr>
      <w:suppressLineNumbers/>
      <w:spacing w:before="120" w:after="120"/>
    </w:pPr>
    <w:rPr>
      <w:rFonts w:ascii="Verdana" w:hAnsi="Verdana" w:cs="Lohit Devanagari"/>
      <w:i/>
      <w:iCs/>
      <w:sz w:val="24"/>
      <w:szCs w:val="24"/>
    </w:rPr>
  </w:style>
  <w:style w:type="paragraph" w:customStyle="1" w:styleId="Index">
    <w:name w:val="Index"/>
    <w:basedOn w:val="Standard"/>
    <w:qFormat/>
    <w:pPr>
      <w:suppressLineNumbers/>
    </w:pPr>
    <w:rPr>
      <w:rFonts w:ascii="Verdana" w:hAnsi="Verdana" w:cs="Lohit Devanagari"/>
    </w:rPr>
  </w:style>
  <w:style w:type="paragraph" w:styleId="Kopfzeile">
    <w:name w:val="header"/>
    <w:basedOn w:val="Standard"/>
    <w:link w:val="KopfzeileZchn"/>
    <w:uiPriority w:val="99"/>
    <w:pPr>
      <w:tabs>
        <w:tab w:val="center" w:pos="4513"/>
        <w:tab w:val="right" w:pos="9026"/>
      </w:tabs>
      <w:spacing w:after="0" w:line="240" w:lineRule="auto"/>
    </w:pPr>
    <w:rPr>
      <w:rFonts w:ascii="Calibri" w:eastAsia="Calibri" w:hAnsi="Calibri" w:cs="Times New Roman"/>
    </w:rPr>
  </w:style>
  <w:style w:type="paragraph" w:styleId="Fuzeile">
    <w:name w:val="footer"/>
    <w:basedOn w:val="Standard"/>
    <w:link w:val="FuzeileZchn"/>
    <w:uiPriority w:val="99"/>
    <w:pPr>
      <w:tabs>
        <w:tab w:val="center" w:pos="4513"/>
        <w:tab w:val="right" w:pos="9026"/>
      </w:tabs>
      <w:spacing w:after="0" w:line="240" w:lineRule="auto"/>
    </w:pPr>
    <w:rPr>
      <w:rFonts w:ascii="Calibri" w:eastAsia="Calibri" w:hAnsi="Calibri" w:cs="Times New Roman"/>
    </w:rPr>
  </w:style>
  <w:style w:type="paragraph" w:styleId="Sprechblasentext">
    <w:name w:val="Balloon Text"/>
    <w:basedOn w:val="Standard"/>
    <w:link w:val="SprechblasentextZchn"/>
    <w:uiPriority w:val="99"/>
    <w:semiHidden/>
    <w:qFormat/>
    <w:pPr>
      <w:spacing w:after="0" w:line="240" w:lineRule="auto"/>
    </w:pPr>
    <w:rPr>
      <w:rFonts w:ascii="Tahoma" w:eastAsia="Calibri" w:hAnsi="Tahoma" w:cs="Tahoma"/>
      <w:sz w:val="16"/>
      <w:szCs w:val="16"/>
    </w:rPr>
  </w:style>
  <w:style w:type="paragraph" w:styleId="StandardWeb">
    <w:name w:val="Normal (Web)"/>
    <w:basedOn w:val="Standard"/>
    <w:uiPriority w:val="99"/>
    <w:semiHidden/>
    <w:qFormat/>
    <w:pPr>
      <w:spacing w:beforeAutospacing="1"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pPr>
      <w:spacing w:after="0" w:line="240" w:lineRule="auto"/>
      <w:ind w:left="720"/>
      <w:contextualSpacing/>
    </w:pPr>
    <w:rPr>
      <w:rFonts w:ascii="Times New Roman" w:eastAsia="Times New Roman" w:hAnsi="Times New Roman" w:cs="Times New Roman"/>
      <w:sz w:val="24"/>
      <w:szCs w:val="24"/>
      <w:lang w:eastAsia="de-DE"/>
    </w:rPr>
  </w:style>
  <w:style w:type="paragraph" w:customStyle="1" w:styleId="Default">
    <w:name w:val="Default"/>
    <w:uiPriority w:val="99"/>
    <w:qFormat/>
    <w:pPr>
      <w:widowControl w:val="0"/>
    </w:pPr>
    <w:rPr>
      <w:rFonts w:ascii="Cambria" w:eastAsia="Times New Roman" w:hAnsi="Cambria" w:cs="Cambria"/>
      <w:color w:val="000000"/>
      <w:sz w:val="24"/>
      <w:szCs w:val="24"/>
      <w:lang w:val="en-US"/>
    </w:rPr>
  </w:style>
  <w:style w:type="paragraph" w:customStyle="1" w:styleId="title1">
    <w:name w:val="title1"/>
    <w:basedOn w:val="Standard"/>
    <w:uiPriority w:val="99"/>
    <w:qFormat/>
    <w:pPr>
      <w:spacing w:after="0" w:line="240" w:lineRule="auto"/>
    </w:pPr>
    <w:rPr>
      <w:rFonts w:ascii="Times New Roman" w:eastAsia="Times New Roman" w:hAnsi="Times New Roman" w:cs="Times New Roman"/>
      <w:sz w:val="27"/>
      <w:szCs w:val="27"/>
      <w:lang w:val="en-US"/>
    </w:rPr>
  </w:style>
  <w:style w:type="paragraph" w:customStyle="1" w:styleId="CM14">
    <w:name w:val="CM14"/>
    <w:basedOn w:val="Default"/>
    <w:next w:val="Default"/>
    <w:uiPriority w:val="99"/>
    <w:qFormat/>
    <w:rPr>
      <w:rFonts w:cs="Times New Roman"/>
      <w:color w:val="auto"/>
    </w:rPr>
  </w:style>
  <w:style w:type="paragraph" w:customStyle="1" w:styleId="details1">
    <w:name w:val="details1"/>
    <w:basedOn w:val="Standard"/>
    <w:uiPriority w:val="99"/>
    <w:qFormat/>
    <w:pPr>
      <w:spacing w:after="0" w:line="240" w:lineRule="auto"/>
    </w:pPr>
    <w:rPr>
      <w:rFonts w:ascii="Times New Roman" w:eastAsia="Times New Roman" w:hAnsi="Times New Roman" w:cs="Times New Roman"/>
      <w:lang w:val="en-US"/>
    </w:rPr>
  </w:style>
  <w:style w:type="paragraph" w:styleId="Kommentartext">
    <w:name w:val="annotation text"/>
    <w:basedOn w:val="Standard"/>
    <w:link w:val="KommentartextZchn"/>
    <w:uiPriority w:val="99"/>
    <w:semiHidden/>
    <w:qFormat/>
    <w:rPr>
      <w:rFonts w:ascii="Calibri" w:eastAsia="Calibri" w:hAnsi="Calibri" w:cs="Times New Roman"/>
      <w:sz w:val="24"/>
      <w:szCs w:val="24"/>
    </w:rPr>
  </w:style>
  <w:style w:type="paragraph" w:customStyle="1" w:styleId="desc">
    <w:name w:val="desc"/>
    <w:basedOn w:val="Standard"/>
    <w:qFormat/>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details">
    <w:name w:val="details"/>
    <w:basedOn w:val="Standard"/>
    <w:qFormat/>
    <w:pPr>
      <w:spacing w:beforeAutospacing="1" w:afterAutospacing="1" w:line="240" w:lineRule="auto"/>
    </w:pPr>
    <w:rPr>
      <w:rFonts w:ascii="Times New Roman" w:eastAsia="Times New Roman" w:hAnsi="Times New Roman" w:cs="Times New Roman"/>
      <w:sz w:val="24"/>
      <w:szCs w:val="24"/>
      <w:lang w:eastAsia="de-DE"/>
    </w:rPr>
  </w:style>
  <w:style w:type="paragraph" w:styleId="berarbeitung">
    <w:name w:val="Revision"/>
    <w:uiPriority w:val="99"/>
    <w:semiHidden/>
    <w:qFormat/>
    <w:rPr>
      <w:rFonts w:cs="Times New Roman"/>
    </w:rPr>
  </w:style>
  <w:style w:type="paragraph" w:styleId="Textkrper-Einzug3">
    <w:name w:val="Body Text Indent 3"/>
    <w:basedOn w:val="Standard"/>
    <w:qFormat/>
    <w:pPr>
      <w:spacing w:after="0" w:line="240" w:lineRule="auto"/>
      <w:ind w:left="705" w:hanging="705"/>
    </w:pPr>
    <w:rPr>
      <w:rFonts w:ascii="Tahoma" w:eastAsia="Times New Roman" w:hAnsi="Tahoma" w:cs="Tahoma"/>
      <w:sz w:val="21"/>
      <w:szCs w:val="24"/>
      <w:lang w:eastAsia="de-DE"/>
    </w:rPr>
  </w:style>
  <w:style w:type="paragraph" w:styleId="Kommentarthema">
    <w:name w:val="annotation subject"/>
    <w:basedOn w:val="Kommentartext"/>
    <w:link w:val="KommentarthemaZchn"/>
    <w:uiPriority w:val="99"/>
    <w:semiHidden/>
    <w:unhideWhenUsed/>
    <w:qFormat/>
    <w:pPr>
      <w:spacing w:line="240" w:lineRule="auto"/>
    </w:pPr>
    <w:rPr>
      <w:rFonts w:asciiTheme="minorHAnsi" w:eastAsiaTheme="minorHAnsi" w:hAnsiTheme="minorHAnsi" w:cstheme="minorBidi"/>
      <w:b/>
      <w:bCs/>
      <w:sz w:val="20"/>
      <w:szCs w:val="20"/>
    </w:rPr>
  </w:style>
  <w:style w:type="paragraph" w:styleId="HTMLVorformatiert">
    <w:name w:val="HTML Preformatted"/>
    <w:basedOn w:val="Standard"/>
    <w:link w:val="HTMLVorformatiertZchn"/>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table" w:styleId="Tabellenraster">
    <w:name w:val="Table Grid"/>
    <w:basedOn w:val="NormaleTabelle"/>
    <w:uiPriority w:val="59"/>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bsatz-Standardschriftart"/>
  </w:style>
  <w:style w:type="character" w:styleId="Hyperlink">
    <w:name w:val="Hyperlink"/>
    <w:basedOn w:val="Absatz-Standardschriftart"/>
    <w:uiPriority w:val="99"/>
    <w:unhideWhenUsed/>
    <w:rPr>
      <w:color w:val="0000FF" w:themeColor="hyperlink"/>
      <w:u w:val="single"/>
    </w:rPr>
  </w:style>
  <w:style w:type="character" w:customStyle="1" w:styleId="UnresolvedMention">
    <w:name w:val="Unresolved Mention"/>
    <w:basedOn w:val="Absatz-Standardschriftart"/>
    <w:uiPriority w:val="99"/>
    <w:semiHidden/>
    <w:unhideWhenUsed/>
    <w:rPr>
      <w:color w:val="605E5C"/>
      <w:shd w:val="clear" w:color="auto" w:fill="E1DFDD"/>
    </w:rPr>
  </w:style>
  <w:style w:type="character" w:customStyle="1" w:styleId="bibliographic-informationvalue">
    <w:name w:val="bibliographic-information__value"/>
    <w:basedOn w:val="Absatz-Standardschriftart"/>
  </w:style>
  <w:style w:type="character" w:customStyle="1" w:styleId="meta-citation">
    <w:name w:val="meta-citation"/>
    <w:basedOn w:val="Absatz-Standardschriftart"/>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243F60" w:themeColor="accent1" w:themeShade="7F"/>
      <w:sz w:val="24"/>
      <w:szCs w:val="24"/>
    </w:rPr>
  </w:style>
  <w:style w:type="character" w:customStyle="1" w:styleId="highwire-cite-metadata-journal">
    <w:name w:val="highwire-cite-metadata-journal"/>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7356">
      <w:bodyDiv w:val="1"/>
      <w:marLeft w:val="0"/>
      <w:marRight w:val="0"/>
      <w:marTop w:val="0"/>
      <w:marBottom w:val="0"/>
      <w:divBdr>
        <w:top w:val="none" w:sz="0" w:space="0" w:color="auto"/>
        <w:left w:val="none" w:sz="0" w:space="0" w:color="auto"/>
        <w:bottom w:val="none" w:sz="0" w:space="0" w:color="auto"/>
        <w:right w:val="none" w:sz="0" w:space="0" w:color="auto"/>
      </w:divBdr>
    </w:div>
    <w:div w:id="133373493">
      <w:bodyDiv w:val="1"/>
      <w:marLeft w:val="0"/>
      <w:marRight w:val="0"/>
      <w:marTop w:val="0"/>
      <w:marBottom w:val="0"/>
      <w:divBdr>
        <w:top w:val="none" w:sz="0" w:space="0" w:color="auto"/>
        <w:left w:val="none" w:sz="0" w:space="0" w:color="auto"/>
        <w:bottom w:val="none" w:sz="0" w:space="0" w:color="auto"/>
        <w:right w:val="none" w:sz="0" w:space="0" w:color="auto"/>
      </w:divBdr>
    </w:div>
    <w:div w:id="570042368">
      <w:bodyDiv w:val="1"/>
      <w:marLeft w:val="0"/>
      <w:marRight w:val="0"/>
      <w:marTop w:val="0"/>
      <w:marBottom w:val="0"/>
      <w:divBdr>
        <w:top w:val="none" w:sz="0" w:space="0" w:color="auto"/>
        <w:left w:val="none" w:sz="0" w:space="0" w:color="auto"/>
        <w:bottom w:val="none" w:sz="0" w:space="0" w:color="auto"/>
        <w:right w:val="none" w:sz="0" w:space="0" w:color="auto"/>
      </w:divBdr>
    </w:div>
    <w:div w:id="697704196">
      <w:bodyDiv w:val="1"/>
      <w:marLeft w:val="0"/>
      <w:marRight w:val="0"/>
      <w:marTop w:val="0"/>
      <w:marBottom w:val="0"/>
      <w:divBdr>
        <w:top w:val="none" w:sz="0" w:space="0" w:color="auto"/>
        <w:left w:val="none" w:sz="0" w:space="0" w:color="auto"/>
        <w:bottom w:val="none" w:sz="0" w:space="0" w:color="auto"/>
        <w:right w:val="none" w:sz="0" w:space="0" w:color="auto"/>
      </w:divBdr>
      <w:divsChild>
        <w:div w:id="867139457">
          <w:marLeft w:val="0"/>
          <w:marRight w:val="0"/>
          <w:marTop w:val="0"/>
          <w:marBottom w:val="0"/>
          <w:divBdr>
            <w:top w:val="none" w:sz="0" w:space="0" w:color="auto"/>
            <w:left w:val="none" w:sz="0" w:space="0" w:color="auto"/>
            <w:bottom w:val="none" w:sz="0" w:space="0" w:color="auto"/>
            <w:right w:val="none" w:sz="0" w:space="0" w:color="auto"/>
          </w:divBdr>
        </w:div>
      </w:divsChild>
    </w:div>
    <w:div w:id="922950987">
      <w:bodyDiv w:val="1"/>
      <w:marLeft w:val="0"/>
      <w:marRight w:val="0"/>
      <w:marTop w:val="0"/>
      <w:marBottom w:val="0"/>
      <w:divBdr>
        <w:top w:val="none" w:sz="0" w:space="0" w:color="auto"/>
        <w:left w:val="none" w:sz="0" w:space="0" w:color="auto"/>
        <w:bottom w:val="none" w:sz="0" w:space="0" w:color="auto"/>
        <w:right w:val="none" w:sz="0" w:space="0" w:color="auto"/>
      </w:divBdr>
    </w:div>
    <w:div w:id="948271850">
      <w:bodyDiv w:val="1"/>
      <w:marLeft w:val="0"/>
      <w:marRight w:val="0"/>
      <w:marTop w:val="0"/>
      <w:marBottom w:val="0"/>
      <w:divBdr>
        <w:top w:val="none" w:sz="0" w:space="0" w:color="auto"/>
        <w:left w:val="none" w:sz="0" w:space="0" w:color="auto"/>
        <w:bottom w:val="none" w:sz="0" w:space="0" w:color="auto"/>
        <w:right w:val="none" w:sz="0" w:space="0" w:color="auto"/>
      </w:divBdr>
    </w:div>
    <w:div w:id="1030257470">
      <w:bodyDiv w:val="1"/>
      <w:marLeft w:val="0"/>
      <w:marRight w:val="0"/>
      <w:marTop w:val="0"/>
      <w:marBottom w:val="0"/>
      <w:divBdr>
        <w:top w:val="none" w:sz="0" w:space="0" w:color="auto"/>
        <w:left w:val="none" w:sz="0" w:space="0" w:color="auto"/>
        <w:bottom w:val="none" w:sz="0" w:space="0" w:color="auto"/>
        <w:right w:val="none" w:sz="0" w:space="0" w:color="auto"/>
      </w:divBdr>
    </w:div>
    <w:div w:id="1254586149">
      <w:bodyDiv w:val="1"/>
      <w:marLeft w:val="0"/>
      <w:marRight w:val="0"/>
      <w:marTop w:val="0"/>
      <w:marBottom w:val="0"/>
      <w:divBdr>
        <w:top w:val="none" w:sz="0" w:space="0" w:color="auto"/>
        <w:left w:val="none" w:sz="0" w:space="0" w:color="auto"/>
        <w:bottom w:val="none" w:sz="0" w:space="0" w:color="auto"/>
        <w:right w:val="none" w:sz="0" w:space="0" w:color="auto"/>
      </w:divBdr>
    </w:div>
    <w:div w:id="1398169805">
      <w:bodyDiv w:val="1"/>
      <w:marLeft w:val="0"/>
      <w:marRight w:val="0"/>
      <w:marTop w:val="0"/>
      <w:marBottom w:val="0"/>
      <w:divBdr>
        <w:top w:val="none" w:sz="0" w:space="0" w:color="auto"/>
        <w:left w:val="none" w:sz="0" w:space="0" w:color="auto"/>
        <w:bottom w:val="none" w:sz="0" w:space="0" w:color="auto"/>
        <w:right w:val="none" w:sz="0" w:space="0" w:color="auto"/>
      </w:divBdr>
    </w:div>
    <w:div w:id="1522742963">
      <w:bodyDiv w:val="1"/>
      <w:marLeft w:val="0"/>
      <w:marRight w:val="0"/>
      <w:marTop w:val="0"/>
      <w:marBottom w:val="0"/>
      <w:divBdr>
        <w:top w:val="none" w:sz="0" w:space="0" w:color="auto"/>
        <w:left w:val="none" w:sz="0" w:space="0" w:color="auto"/>
        <w:bottom w:val="none" w:sz="0" w:space="0" w:color="auto"/>
        <w:right w:val="none" w:sz="0" w:space="0" w:color="auto"/>
      </w:divBdr>
    </w:div>
    <w:div w:id="1540514278">
      <w:bodyDiv w:val="1"/>
      <w:marLeft w:val="0"/>
      <w:marRight w:val="0"/>
      <w:marTop w:val="0"/>
      <w:marBottom w:val="0"/>
      <w:divBdr>
        <w:top w:val="none" w:sz="0" w:space="0" w:color="auto"/>
        <w:left w:val="none" w:sz="0" w:space="0" w:color="auto"/>
        <w:bottom w:val="none" w:sz="0" w:space="0" w:color="auto"/>
        <w:right w:val="none" w:sz="0" w:space="0" w:color="auto"/>
      </w:divBdr>
    </w:div>
    <w:div w:id="1658261510">
      <w:bodyDiv w:val="1"/>
      <w:marLeft w:val="0"/>
      <w:marRight w:val="0"/>
      <w:marTop w:val="0"/>
      <w:marBottom w:val="0"/>
      <w:divBdr>
        <w:top w:val="none" w:sz="0" w:space="0" w:color="auto"/>
        <w:left w:val="none" w:sz="0" w:space="0" w:color="auto"/>
        <w:bottom w:val="none" w:sz="0" w:space="0" w:color="auto"/>
        <w:right w:val="none" w:sz="0" w:space="0" w:color="auto"/>
      </w:divBdr>
    </w:div>
    <w:div w:id="1666324581">
      <w:bodyDiv w:val="1"/>
      <w:marLeft w:val="0"/>
      <w:marRight w:val="0"/>
      <w:marTop w:val="0"/>
      <w:marBottom w:val="0"/>
      <w:divBdr>
        <w:top w:val="none" w:sz="0" w:space="0" w:color="auto"/>
        <w:left w:val="none" w:sz="0" w:space="0" w:color="auto"/>
        <w:bottom w:val="none" w:sz="0" w:space="0" w:color="auto"/>
        <w:right w:val="none" w:sz="0" w:space="0" w:color="auto"/>
      </w:divBdr>
    </w:div>
    <w:div w:id="1670790908">
      <w:bodyDiv w:val="1"/>
      <w:marLeft w:val="0"/>
      <w:marRight w:val="0"/>
      <w:marTop w:val="0"/>
      <w:marBottom w:val="0"/>
      <w:divBdr>
        <w:top w:val="none" w:sz="0" w:space="0" w:color="auto"/>
        <w:left w:val="none" w:sz="0" w:space="0" w:color="auto"/>
        <w:bottom w:val="none" w:sz="0" w:space="0" w:color="auto"/>
        <w:right w:val="none" w:sz="0" w:space="0" w:color="auto"/>
      </w:divBdr>
    </w:div>
    <w:div w:id="1776560591">
      <w:bodyDiv w:val="1"/>
      <w:marLeft w:val="0"/>
      <w:marRight w:val="0"/>
      <w:marTop w:val="0"/>
      <w:marBottom w:val="0"/>
      <w:divBdr>
        <w:top w:val="none" w:sz="0" w:space="0" w:color="auto"/>
        <w:left w:val="none" w:sz="0" w:space="0" w:color="auto"/>
        <w:bottom w:val="none" w:sz="0" w:space="0" w:color="auto"/>
        <w:right w:val="none" w:sz="0" w:space="0" w:color="auto"/>
      </w:divBdr>
      <w:divsChild>
        <w:div w:id="547835687">
          <w:marLeft w:val="0"/>
          <w:marRight w:val="0"/>
          <w:marTop w:val="0"/>
          <w:marBottom w:val="0"/>
          <w:divBdr>
            <w:top w:val="none" w:sz="0" w:space="0" w:color="auto"/>
            <w:left w:val="none" w:sz="0" w:space="0" w:color="auto"/>
            <w:bottom w:val="none" w:sz="0" w:space="0" w:color="auto"/>
            <w:right w:val="none" w:sz="0" w:space="0" w:color="auto"/>
          </w:divBdr>
        </w:div>
        <w:div w:id="746655169">
          <w:marLeft w:val="0"/>
          <w:marRight w:val="0"/>
          <w:marTop w:val="0"/>
          <w:marBottom w:val="0"/>
          <w:divBdr>
            <w:top w:val="none" w:sz="0" w:space="0" w:color="auto"/>
            <w:left w:val="none" w:sz="0" w:space="0" w:color="auto"/>
            <w:bottom w:val="none" w:sz="0" w:space="0" w:color="auto"/>
            <w:right w:val="none" w:sz="0" w:space="0" w:color="auto"/>
          </w:divBdr>
        </w:div>
        <w:div w:id="972827229">
          <w:marLeft w:val="0"/>
          <w:marRight w:val="0"/>
          <w:marTop w:val="0"/>
          <w:marBottom w:val="0"/>
          <w:divBdr>
            <w:top w:val="none" w:sz="0" w:space="0" w:color="auto"/>
            <w:left w:val="none" w:sz="0" w:space="0" w:color="auto"/>
            <w:bottom w:val="none" w:sz="0" w:space="0" w:color="auto"/>
            <w:right w:val="none" w:sz="0" w:space="0" w:color="auto"/>
          </w:divBdr>
        </w:div>
        <w:div w:id="1120607280">
          <w:marLeft w:val="0"/>
          <w:marRight w:val="0"/>
          <w:marTop w:val="0"/>
          <w:marBottom w:val="0"/>
          <w:divBdr>
            <w:top w:val="none" w:sz="0" w:space="0" w:color="auto"/>
            <w:left w:val="none" w:sz="0" w:space="0" w:color="auto"/>
            <w:bottom w:val="none" w:sz="0" w:space="0" w:color="auto"/>
            <w:right w:val="none" w:sz="0" w:space="0" w:color="auto"/>
          </w:divBdr>
        </w:div>
        <w:div w:id="1564179240">
          <w:marLeft w:val="0"/>
          <w:marRight w:val="0"/>
          <w:marTop w:val="0"/>
          <w:marBottom w:val="0"/>
          <w:divBdr>
            <w:top w:val="none" w:sz="0" w:space="0" w:color="auto"/>
            <w:left w:val="none" w:sz="0" w:space="0" w:color="auto"/>
            <w:bottom w:val="none" w:sz="0" w:space="0" w:color="auto"/>
            <w:right w:val="none" w:sz="0" w:space="0" w:color="auto"/>
          </w:divBdr>
        </w:div>
      </w:divsChild>
    </w:div>
    <w:div w:id="1800487968">
      <w:bodyDiv w:val="1"/>
      <w:marLeft w:val="0"/>
      <w:marRight w:val="0"/>
      <w:marTop w:val="0"/>
      <w:marBottom w:val="0"/>
      <w:divBdr>
        <w:top w:val="none" w:sz="0" w:space="0" w:color="auto"/>
        <w:left w:val="none" w:sz="0" w:space="0" w:color="auto"/>
        <w:bottom w:val="none" w:sz="0" w:space="0" w:color="auto"/>
        <w:right w:val="none" w:sz="0" w:space="0" w:color="auto"/>
      </w:divBdr>
      <w:divsChild>
        <w:div w:id="1178888153">
          <w:marLeft w:val="0"/>
          <w:marRight w:val="0"/>
          <w:marTop w:val="0"/>
          <w:marBottom w:val="0"/>
          <w:divBdr>
            <w:top w:val="none" w:sz="0" w:space="0" w:color="auto"/>
            <w:left w:val="none" w:sz="0" w:space="0" w:color="auto"/>
            <w:bottom w:val="none" w:sz="0" w:space="0" w:color="auto"/>
            <w:right w:val="none" w:sz="0" w:space="0" w:color="auto"/>
          </w:divBdr>
          <w:divsChild>
            <w:div w:id="1573198965">
              <w:marLeft w:val="0"/>
              <w:marRight w:val="0"/>
              <w:marTop w:val="0"/>
              <w:marBottom w:val="0"/>
              <w:divBdr>
                <w:top w:val="none" w:sz="0" w:space="0" w:color="auto"/>
                <w:left w:val="none" w:sz="0" w:space="0" w:color="auto"/>
                <w:bottom w:val="none" w:sz="0" w:space="0" w:color="auto"/>
                <w:right w:val="none" w:sz="0" w:space="0" w:color="auto"/>
              </w:divBdr>
            </w:div>
          </w:divsChild>
        </w:div>
        <w:div w:id="556432108">
          <w:marLeft w:val="0"/>
          <w:marRight w:val="0"/>
          <w:marTop w:val="0"/>
          <w:marBottom w:val="0"/>
          <w:divBdr>
            <w:top w:val="none" w:sz="0" w:space="0" w:color="auto"/>
            <w:left w:val="none" w:sz="0" w:space="0" w:color="auto"/>
            <w:bottom w:val="none" w:sz="0" w:space="0" w:color="auto"/>
            <w:right w:val="none" w:sz="0" w:space="0" w:color="auto"/>
          </w:divBdr>
        </w:div>
      </w:divsChild>
    </w:div>
    <w:div w:id="1820150620">
      <w:bodyDiv w:val="1"/>
      <w:marLeft w:val="0"/>
      <w:marRight w:val="0"/>
      <w:marTop w:val="0"/>
      <w:marBottom w:val="0"/>
      <w:divBdr>
        <w:top w:val="none" w:sz="0" w:space="0" w:color="auto"/>
        <w:left w:val="none" w:sz="0" w:space="0" w:color="auto"/>
        <w:bottom w:val="none" w:sz="0" w:space="0" w:color="auto"/>
        <w:right w:val="none" w:sz="0" w:space="0" w:color="auto"/>
      </w:divBdr>
      <w:divsChild>
        <w:div w:id="1905601548">
          <w:marLeft w:val="0"/>
          <w:marRight w:val="0"/>
          <w:marTop w:val="34"/>
          <w:marBottom w:val="34"/>
          <w:divBdr>
            <w:top w:val="none" w:sz="0" w:space="0" w:color="auto"/>
            <w:left w:val="none" w:sz="0" w:space="0" w:color="auto"/>
            <w:bottom w:val="none" w:sz="0" w:space="0" w:color="auto"/>
            <w:right w:val="none" w:sz="0" w:space="0" w:color="auto"/>
          </w:divBdr>
        </w:div>
      </w:divsChild>
    </w:div>
    <w:div w:id="1836456051">
      <w:bodyDiv w:val="1"/>
      <w:marLeft w:val="0"/>
      <w:marRight w:val="0"/>
      <w:marTop w:val="0"/>
      <w:marBottom w:val="0"/>
      <w:divBdr>
        <w:top w:val="none" w:sz="0" w:space="0" w:color="auto"/>
        <w:left w:val="none" w:sz="0" w:space="0" w:color="auto"/>
        <w:bottom w:val="none" w:sz="0" w:space="0" w:color="auto"/>
        <w:right w:val="none" w:sz="0" w:space="0" w:color="auto"/>
      </w:divBdr>
    </w:div>
    <w:div w:id="1840001876">
      <w:bodyDiv w:val="1"/>
      <w:marLeft w:val="0"/>
      <w:marRight w:val="0"/>
      <w:marTop w:val="0"/>
      <w:marBottom w:val="0"/>
      <w:divBdr>
        <w:top w:val="none" w:sz="0" w:space="0" w:color="auto"/>
        <w:left w:val="none" w:sz="0" w:space="0" w:color="auto"/>
        <w:bottom w:val="none" w:sz="0" w:space="0" w:color="auto"/>
        <w:right w:val="none" w:sz="0" w:space="0" w:color="auto"/>
      </w:divBdr>
    </w:div>
    <w:div w:id="1859544906">
      <w:bodyDiv w:val="1"/>
      <w:marLeft w:val="0"/>
      <w:marRight w:val="0"/>
      <w:marTop w:val="0"/>
      <w:marBottom w:val="0"/>
      <w:divBdr>
        <w:top w:val="none" w:sz="0" w:space="0" w:color="auto"/>
        <w:left w:val="none" w:sz="0" w:space="0" w:color="auto"/>
        <w:bottom w:val="none" w:sz="0" w:space="0" w:color="auto"/>
        <w:right w:val="none" w:sz="0" w:space="0" w:color="auto"/>
      </w:divBdr>
      <w:divsChild>
        <w:div w:id="536041334">
          <w:marLeft w:val="0"/>
          <w:marRight w:val="0"/>
          <w:marTop w:val="0"/>
          <w:marBottom w:val="0"/>
          <w:divBdr>
            <w:top w:val="none" w:sz="0" w:space="0" w:color="auto"/>
            <w:left w:val="none" w:sz="0" w:space="0" w:color="auto"/>
            <w:bottom w:val="none" w:sz="0" w:space="0" w:color="auto"/>
            <w:right w:val="none" w:sz="0" w:space="0" w:color="auto"/>
          </w:divBdr>
          <w:divsChild>
            <w:div w:id="2016489449">
              <w:marLeft w:val="0"/>
              <w:marRight w:val="0"/>
              <w:marTop w:val="0"/>
              <w:marBottom w:val="0"/>
              <w:divBdr>
                <w:top w:val="none" w:sz="0" w:space="0" w:color="auto"/>
                <w:left w:val="none" w:sz="0" w:space="0" w:color="auto"/>
                <w:bottom w:val="none" w:sz="0" w:space="0" w:color="auto"/>
                <w:right w:val="none" w:sz="0" w:space="0" w:color="auto"/>
              </w:divBdr>
              <w:divsChild>
                <w:div w:id="1792284166">
                  <w:marLeft w:val="0"/>
                  <w:marRight w:val="0"/>
                  <w:marTop w:val="0"/>
                  <w:marBottom w:val="0"/>
                  <w:divBdr>
                    <w:top w:val="none" w:sz="0" w:space="0" w:color="auto"/>
                    <w:left w:val="none" w:sz="0" w:space="0" w:color="auto"/>
                    <w:bottom w:val="none" w:sz="0" w:space="0" w:color="auto"/>
                    <w:right w:val="none" w:sz="0" w:space="0" w:color="auto"/>
                  </w:divBdr>
                  <w:divsChild>
                    <w:div w:id="2093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833473">
      <w:bodyDiv w:val="1"/>
      <w:marLeft w:val="0"/>
      <w:marRight w:val="0"/>
      <w:marTop w:val="0"/>
      <w:marBottom w:val="0"/>
      <w:divBdr>
        <w:top w:val="none" w:sz="0" w:space="0" w:color="auto"/>
        <w:left w:val="none" w:sz="0" w:space="0" w:color="auto"/>
        <w:bottom w:val="none" w:sz="0" w:space="0" w:color="auto"/>
        <w:right w:val="none" w:sz="0" w:space="0" w:color="auto"/>
      </w:divBdr>
      <w:divsChild>
        <w:div w:id="865216111">
          <w:marLeft w:val="0"/>
          <w:marRight w:val="0"/>
          <w:marTop w:val="0"/>
          <w:marBottom w:val="0"/>
          <w:divBdr>
            <w:top w:val="none" w:sz="0" w:space="0" w:color="auto"/>
            <w:left w:val="none" w:sz="0" w:space="0" w:color="auto"/>
            <w:bottom w:val="none" w:sz="0" w:space="0" w:color="auto"/>
            <w:right w:val="none" w:sz="0" w:space="0" w:color="auto"/>
          </w:divBdr>
          <w:divsChild>
            <w:div w:id="1044793120">
              <w:marLeft w:val="0"/>
              <w:marRight w:val="0"/>
              <w:marTop w:val="0"/>
              <w:marBottom w:val="0"/>
              <w:divBdr>
                <w:top w:val="none" w:sz="0" w:space="0" w:color="auto"/>
                <w:left w:val="none" w:sz="0" w:space="0" w:color="auto"/>
                <w:bottom w:val="none" w:sz="0" w:space="0" w:color="auto"/>
                <w:right w:val="none" w:sz="0" w:space="0" w:color="auto"/>
              </w:divBdr>
              <w:divsChild>
                <w:div w:id="139229581">
                  <w:marLeft w:val="0"/>
                  <w:marRight w:val="0"/>
                  <w:marTop w:val="0"/>
                  <w:marBottom w:val="0"/>
                  <w:divBdr>
                    <w:top w:val="none" w:sz="0" w:space="0" w:color="auto"/>
                    <w:left w:val="none" w:sz="0" w:space="0" w:color="auto"/>
                    <w:bottom w:val="none" w:sz="0" w:space="0" w:color="auto"/>
                    <w:right w:val="none" w:sz="0" w:space="0" w:color="auto"/>
                  </w:divBdr>
                </w:div>
                <w:div w:id="908460562">
                  <w:marLeft w:val="0"/>
                  <w:marRight w:val="0"/>
                  <w:marTop w:val="0"/>
                  <w:marBottom w:val="0"/>
                  <w:divBdr>
                    <w:top w:val="none" w:sz="0" w:space="0" w:color="auto"/>
                    <w:left w:val="none" w:sz="0" w:space="0" w:color="auto"/>
                    <w:bottom w:val="none" w:sz="0" w:space="0" w:color="auto"/>
                    <w:right w:val="none" w:sz="0" w:space="0" w:color="auto"/>
                  </w:divBdr>
                </w:div>
                <w:div w:id="21309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4685">
      <w:bodyDiv w:val="1"/>
      <w:marLeft w:val="0"/>
      <w:marRight w:val="0"/>
      <w:marTop w:val="0"/>
      <w:marBottom w:val="0"/>
      <w:divBdr>
        <w:top w:val="none" w:sz="0" w:space="0" w:color="auto"/>
        <w:left w:val="none" w:sz="0" w:space="0" w:color="auto"/>
        <w:bottom w:val="none" w:sz="0" w:space="0" w:color="auto"/>
        <w:right w:val="none" w:sz="0" w:space="0" w:color="auto"/>
      </w:divBdr>
      <w:divsChild>
        <w:div w:id="441000839">
          <w:marLeft w:val="0"/>
          <w:marRight w:val="0"/>
          <w:marTop w:val="0"/>
          <w:marBottom w:val="0"/>
          <w:divBdr>
            <w:top w:val="none" w:sz="0" w:space="0" w:color="auto"/>
            <w:left w:val="none" w:sz="0" w:space="0" w:color="auto"/>
            <w:bottom w:val="none" w:sz="0" w:space="0" w:color="auto"/>
            <w:right w:val="none" w:sz="0" w:space="0" w:color="auto"/>
          </w:divBdr>
        </w:div>
      </w:divsChild>
    </w:div>
    <w:div w:id="2137988058">
      <w:bodyDiv w:val="1"/>
      <w:marLeft w:val="0"/>
      <w:marRight w:val="0"/>
      <w:marTop w:val="0"/>
      <w:marBottom w:val="0"/>
      <w:divBdr>
        <w:top w:val="none" w:sz="0" w:space="0" w:color="auto"/>
        <w:left w:val="none" w:sz="0" w:space="0" w:color="auto"/>
        <w:bottom w:val="none" w:sz="0" w:space="0" w:color="auto"/>
        <w:right w:val="none" w:sz="0" w:space="0" w:color="auto"/>
      </w:divBdr>
      <w:divsChild>
        <w:div w:id="11481323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7/ICU.0000000000000340" TargetMode="External"/><Relationship Id="rId18" Type="http://schemas.openxmlformats.org/officeDocument/2006/relationships/hyperlink" Target="https://www.ncbi.nlm.nih.gov/pubmed/?term=van%20Norren%20D%5BAuthor%5D&amp;cauthor=true&amp;cauthor_uid=15575810" TargetMode="External"/><Relationship Id="rId26" Type="http://schemas.openxmlformats.org/officeDocument/2006/relationships/hyperlink" Target="https://doi.org/10.1148/67.5.673" TargetMode="External"/><Relationship Id="rId39" Type="http://schemas.openxmlformats.org/officeDocument/2006/relationships/hyperlink" Target="https://www.ncbi.nlm.nih.gov/pubmed/?term=merriam+1962+focht" TargetMode="External"/><Relationship Id="rId21" Type="http://schemas.openxmlformats.org/officeDocument/2006/relationships/hyperlink" Target="https://www.ncbi.nlm.nih.gov/pubmed/?term=Jobling%20AI%5BAuthor%5D&amp;cauthor=true&amp;cauthor_uid=11952401" TargetMode="External"/><Relationship Id="rId34" Type="http://schemas.openxmlformats.org/officeDocument/2006/relationships/hyperlink" Target="http://www.ncbi.nlm.nih.gov/pubmed/?term=Brenner%20DJ%5BAuthor%5D&amp;cauthor=true&amp;cauthor_uid=16799786" TargetMode="External"/><Relationship Id="rId42" Type="http://schemas.openxmlformats.org/officeDocument/2006/relationships/hyperlink" Target="https://doi.org/10.1016/j.mrrev.2016.07.010" TargetMode="External"/><Relationship Id="rId47" Type="http://schemas.openxmlformats.org/officeDocument/2006/relationships/hyperlink" Target="https://pdfs.semanticscholar.org/8128/2705de4ad8c7b8cf13f9bd219917120a2b63.pdf" TargetMode="External"/><Relationship Id="rId50" Type="http://schemas.openxmlformats.org/officeDocument/2006/relationships/hyperlink" Target="http://www.ncbi.nlm.nih.gov/pubmed/12119422" TargetMode="External"/><Relationship Id="rId55" Type="http://schemas.openxmlformats.org/officeDocument/2006/relationships/hyperlink" Target="https://doi.org/10.1038/srep00134" TargetMode="External"/><Relationship Id="rId63" Type="http://schemas.openxmlformats.org/officeDocument/2006/relationships/hyperlink" Target="https://doi.org/10.1007/s11306-011-0293-4" TargetMode="External"/><Relationship Id="rId68" Type="http://schemas.openxmlformats.org/officeDocument/2006/relationships/hyperlink" Target="https://doi.org/10.1093/nar/gky310" TargetMode="External"/><Relationship Id="rId76" Type="http://schemas.openxmlformats.org/officeDocument/2006/relationships/oleObject" Target="embeddings/oleObject2.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dx.doi.org/10.1136/bjo.78.6.478" TargetMode="External"/><Relationship Id="rId29" Type="http://schemas.openxmlformats.org/officeDocument/2006/relationships/hyperlink" Target="https://doi.org/10.2307/3573232" TargetMode="External"/><Relationship Id="rId11" Type="http://schemas.openxmlformats.org/officeDocument/2006/relationships/hyperlink" Target="https://www.ncbi.nlm.nih.gov/pubmed/?term=Afshari%20NA%5BAuthor%5D&amp;cauthor=true&amp;cauthor_uid=27820750" TargetMode="External"/><Relationship Id="rId24" Type="http://schemas.openxmlformats.org/officeDocument/2006/relationships/hyperlink" Target="https://doi.org/10.1111/j.1444-0938.2002.tb03011.x" TargetMode="External"/><Relationship Id="rId32" Type="http://schemas.openxmlformats.org/officeDocument/2006/relationships/hyperlink" Target="http://www.ncbi.nlm.nih.gov/pubmed/?term=Smilenov%20L%5BAuthor%5D&amp;cauthor=true&amp;cauthor_uid=16799786" TargetMode="External"/><Relationship Id="rId37" Type="http://schemas.openxmlformats.org/officeDocument/2006/relationships/hyperlink" Target="http://www.ncbi.nlm.nih.gov/pubmed/?term=Kleiman%20NJ%5BAuthor%5D&amp;cauthor=true&amp;cauthor_uid=17973559" TargetMode="External"/><Relationship Id="rId40" Type="http://schemas.openxmlformats.org/officeDocument/2006/relationships/hyperlink" Target="https://www.ncbi.nlm.nih.gov/pubmed/?term=Ainsbury%20EA%5BAuthor%5D&amp;cauthor=true&amp;cauthor_uid=27919334" TargetMode="External"/><Relationship Id="rId45" Type="http://schemas.openxmlformats.org/officeDocument/2006/relationships/hyperlink" Target="https://doi.org/10.1007/s00335-013-9470-2" TargetMode="External"/><Relationship Id="rId53" Type="http://schemas.openxmlformats.org/officeDocument/2006/relationships/hyperlink" Target="https://doi.org/10.1016/j.asr.2005.01.030" TargetMode="External"/><Relationship Id="rId58" Type="http://schemas.openxmlformats.org/officeDocument/2006/relationships/hyperlink" Target="https://doi.org/10.1073/pnas.0900617106" TargetMode="External"/><Relationship Id="rId66" Type="http://schemas.openxmlformats.org/officeDocument/2006/relationships/hyperlink" Target="https://www.R-project.org" TargetMode="External"/><Relationship Id="rId74" Type="http://schemas.openxmlformats.org/officeDocument/2006/relationships/oleObject" Target="embeddings/oleObject1.bin"/><Relationship Id="rId79" Type="http://schemas.openxmlformats.org/officeDocument/2006/relationships/image" Target="media/image6.emf"/><Relationship Id="rId5" Type="http://schemas.openxmlformats.org/officeDocument/2006/relationships/webSettings" Target="webSettings.xml"/><Relationship Id="rId61" Type="http://schemas.openxmlformats.org/officeDocument/2006/relationships/hyperlink" Target="https://doi.org/10.1093/biomet/80.1.27" TargetMode="External"/><Relationship Id="rId82" Type="http://schemas.openxmlformats.org/officeDocument/2006/relationships/image" Target="media/image8.png"/><Relationship Id="rId10" Type="http://schemas.openxmlformats.org/officeDocument/2006/relationships/hyperlink" Target="https://www.ncbi.nlm.nih.gov/pubmed/?term=Lee%20CM%5BAuthor%5D&amp;cauthor=true&amp;cauthor_uid=27820750" TargetMode="External"/><Relationship Id="rId19" Type="http://schemas.openxmlformats.org/officeDocument/2006/relationships/hyperlink" Target="https://www.ncbi.nlm.nih.gov/pubmed/?term=vos+2004+norren" TargetMode="External"/><Relationship Id="rId31" Type="http://schemas.openxmlformats.org/officeDocument/2006/relationships/hyperlink" Target="http://www.ncbi.nlm.nih.gov/pubmed/?term=Worgul%20BV%5BAuthor%5D&amp;cauthor=true&amp;cauthor_uid=16799786" TargetMode="External"/><Relationship Id="rId44" Type="http://schemas.openxmlformats.org/officeDocument/2006/relationships/hyperlink" Target="https://doi.org/10.1007/s00411-017-0728-z" TargetMode="External"/><Relationship Id="rId52" Type="http://schemas.openxmlformats.org/officeDocument/2006/relationships/hyperlink" Target="http://www.ncbi.nlm.nih.gov/pubmed/15934203" TargetMode="External"/><Relationship Id="rId60" Type="http://schemas.openxmlformats.org/officeDocument/2006/relationships/hyperlink" Target="https://doi.org/10.1007/978-3-642-80506-6_18" TargetMode="External"/><Relationship Id="rId65" Type="http://schemas.openxmlformats.org/officeDocument/2006/relationships/hyperlink" Target="https://doi.org/10.1007/s10337-013-2429-3" TargetMode="External"/><Relationship Id="rId73" Type="http://schemas.openxmlformats.org/officeDocument/2006/relationships/image" Target="media/image3.emf"/><Relationship Id="rId78" Type="http://schemas.openxmlformats.org/officeDocument/2006/relationships/oleObject" Target="embeddings/oleObject3.bin"/><Relationship Id="rId8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sciencedirect.com/topics/biochemistry-genetics-and-molecular-biology/c57bl-6-mouse" TargetMode="External"/><Relationship Id="rId14" Type="http://schemas.openxmlformats.org/officeDocument/2006/relationships/hyperlink" Target="https://www.ncbi.nlm.nih.gov/pubmed/1762117" TargetMode="External"/><Relationship Id="rId22" Type="http://schemas.openxmlformats.org/officeDocument/2006/relationships/hyperlink" Target="https://www.ncbi.nlm.nih.gov/pubmed/?term=Augusteyn%20RC%5BAuthor%5D&amp;cauthor=true&amp;cauthor_uid=11952401" TargetMode="External"/><Relationship Id="rId27" Type="http://schemas.openxmlformats.org/officeDocument/2006/relationships/hyperlink" Target="https://www.ncbi.nlm.nih.gov/pubmed/?term=Darden%20EB%20Jr%5BAuthor%5D&amp;cauthor=true&amp;cauthor_uid=5460396" TargetMode="External"/><Relationship Id="rId30" Type="http://schemas.openxmlformats.org/officeDocument/2006/relationships/hyperlink" Target="http://www.ncbi.nlm.nih.gov/pubmed/?term=Hall%20EJ%5BAuthor%5D&amp;cauthor=true&amp;cauthor_uid=16799786" TargetMode="External"/><Relationship Id="rId35" Type="http://schemas.openxmlformats.org/officeDocument/2006/relationships/hyperlink" Target="http://www.ncbi.nlm.nih.gov/pubmed/16799786" TargetMode="External"/><Relationship Id="rId43" Type="http://schemas.openxmlformats.org/officeDocument/2006/relationships/hyperlink" Target="https://www.ncbi.nlm.nih.gov/pubmed/29327260" TargetMode="External"/><Relationship Id="rId48" Type="http://schemas.openxmlformats.org/officeDocument/2006/relationships/hyperlink" Target="https://doi.org/10.1016/j.exer.2019.107871" TargetMode="External"/><Relationship Id="rId56" Type="http://schemas.openxmlformats.org/officeDocument/2006/relationships/hyperlink" Target="https://doi.org/10.1111/acel.12025" TargetMode="External"/><Relationship Id="rId64" Type="http://schemas.openxmlformats.org/officeDocument/2006/relationships/hyperlink" Target="https://www.ema.europa.eu/en/documents/scientific-guideline/guideline-bioanalytical-method-validation_en.pdf" TargetMode="External"/><Relationship Id="rId69" Type="http://schemas.openxmlformats.org/officeDocument/2006/relationships/hyperlink" Target="https://wwwpub.utdallas.edu/~herve/Abdi-Bonferroni2007-pretty.pdf" TargetMode="External"/><Relationship Id="rId77" Type="http://schemas.openxmlformats.org/officeDocument/2006/relationships/image" Target="media/image5.emf"/><Relationship Id="rId8" Type="http://schemas.openxmlformats.org/officeDocument/2006/relationships/hyperlink" Target="mailto:graw@helmholtz-muenchen.de" TargetMode="External"/><Relationship Id="rId51" Type="http://schemas.openxmlformats.org/officeDocument/2006/relationships/hyperlink" Target="https://doi.org/10.1073/pnas.162349699" TargetMode="External"/><Relationship Id="rId72" Type="http://schemas.openxmlformats.org/officeDocument/2006/relationships/image" Target="media/image2.png"/><Relationship Id="rId80"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hyperlink" Target="https://www.ncbi.nlm.nih.gov/pubmed/?term=lee+cm+2017+cataract" TargetMode="External"/><Relationship Id="rId17" Type="http://schemas.openxmlformats.org/officeDocument/2006/relationships/hyperlink" Target="https://www.ncbi.nlm.nih.gov/pubmed/?term=Vos%20JJ%5BAuthor%5D&amp;cauthor=true&amp;cauthor_uid=15575810" TargetMode="External"/><Relationship Id="rId25" Type="http://schemas.openxmlformats.org/officeDocument/2006/relationships/hyperlink" Target="https://doi.org/10.1148/67.5.686" TargetMode="External"/><Relationship Id="rId33" Type="http://schemas.openxmlformats.org/officeDocument/2006/relationships/hyperlink" Target="http://www.ncbi.nlm.nih.gov/pubmed/?term=Elliston%20CD%5BAuthor%5D&amp;cauthor=true&amp;cauthor_uid=16799786" TargetMode="External"/><Relationship Id="rId38" Type="http://schemas.openxmlformats.org/officeDocument/2006/relationships/hyperlink" Target="https://doi.org/10.1667/rr1122.1" TargetMode="External"/><Relationship Id="rId46" Type="http://schemas.openxmlformats.org/officeDocument/2006/relationships/hyperlink" Target="https://doi.org/10.1002/nbm.3761" TargetMode="External"/><Relationship Id="rId59" Type="http://schemas.openxmlformats.org/officeDocument/2006/relationships/hyperlink" Target="https://doi.org/10.1371/journal.pone.0117232" TargetMode="External"/><Relationship Id="rId67" Type="http://schemas.openxmlformats.org/officeDocument/2006/relationships/hyperlink" Target="https://doi.org/10.1002/wics.101" TargetMode="External"/><Relationship Id="rId20" Type="http://schemas.openxmlformats.org/officeDocument/2006/relationships/hyperlink" Target="https://doi.org/10.1111/j.1444-0938.2004.tb03097.x" TargetMode="External"/><Relationship Id="rId41" Type="http://schemas.openxmlformats.org/officeDocument/2006/relationships/hyperlink" Target="https://www.ncbi.nlm.nih.gov/pubmed/?term=ainsbury+e+2016+graw" TargetMode="External"/><Relationship Id="rId54" Type="http://schemas.openxmlformats.org/officeDocument/2006/relationships/hyperlink" Target="https://doi.org/10.1016/j.neurobiolaging.2018.07.024" TargetMode="External"/><Relationship Id="rId62" Type="http://schemas.openxmlformats.org/officeDocument/2006/relationships/hyperlink" Target="https://doi.org/10.1007/s11306-017-1312-x" TargetMode="External"/><Relationship Id="rId70" Type="http://schemas.openxmlformats.org/officeDocument/2006/relationships/header" Target="header1.xml"/><Relationship Id="rId75" Type="http://schemas.openxmlformats.org/officeDocument/2006/relationships/image" Target="media/image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269/jrr.32.Suppl_1.283" TargetMode="External"/><Relationship Id="rId23" Type="http://schemas.openxmlformats.org/officeDocument/2006/relationships/hyperlink" Target="https://www.ncbi.nlm.nih.gov/pubmed/?term=Jobling+2002+augusteyn" TargetMode="External"/><Relationship Id="rId28" Type="http://schemas.openxmlformats.org/officeDocument/2006/relationships/hyperlink" Target="https://www.ncbi.nlm.nih.gov/pubmed/?term=darden+1970+cataract" TargetMode="External"/><Relationship Id="rId36" Type="http://schemas.openxmlformats.org/officeDocument/2006/relationships/hyperlink" Target="https://doi.org/10.1007/s00411-006-0052-5" TargetMode="External"/><Relationship Id="rId49" Type="http://schemas.openxmlformats.org/officeDocument/2006/relationships/hyperlink" Target="http://www.ncbi.nlm.nih.gov/pubmed/?term=Worgul%20BV%5BAuthor%5D&amp;cauthor=true&amp;cauthor_uid=12119422" TargetMode="External"/><Relationship Id="rId57" Type="http://schemas.openxmlformats.org/officeDocument/2006/relationships/hyperlink" Target="https://doi.org/10.1016/j.phrp.2014.10.002"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4140D-604A-418F-BE9F-AE2CD165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7788</Words>
  <Characters>44397</Characters>
  <Application>Microsoft Office Word</Application>
  <DocSecurity>0</DocSecurity>
  <Lines>369</Lines>
  <Paragraphs>104</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52081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sarah.kunze</dc:creator>
  <cp:keywords/>
  <dc:description/>
  <cp:lastModifiedBy>Dalke, Claudia, Dr.</cp:lastModifiedBy>
  <cp:revision>4</cp:revision>
  <cp:lastPrinted>2019-09-20T14:20:00Z</cp:lastPrinted>
  <dcterms:created xsi:type="dcterms:W3CDTF">2020-02-06T15:14:00Z</dcterms:created>
  <dcterms:modified xsi:type="dcterms:W3CDTF">2020-02-07T09:01:00Z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Helmholtz Zentrum München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