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4B" w:rsidRPr="00A15741" w:rsidRDefault="00C32F4B" w:rsidP="00C32F4B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Low serum calcium is associated with higher long-term mortality in myocardial infarction patients</w:t>
      </w:r>
      <w:r w:rsidRPr="00A15741">
        <w:rPr>
          <w:b/>
          <w:i/>
          <w:sz w:val="32"/>
          <w:lang w:val="en-US"/>
        </w:rPr>
        <w:t xml:space="preserve"> from </w:t>
      </w:r>
      <w:r>
        <w:rPr>
          <w:b/>
          <w:i/>
          <w:sz w:val="32"/>
          <w:lang w:val="en-US"/>
        </w:rPr>
        <w:t>a population-based</w:t>
      </w:r>
      <w:r w:rsidRPr="00A15741">
        <w:rPr>
          <w:b/>
          <w:i/>
          <w:sz w:val="32"/>
          <w:lang w:val="en-US"/>
        </w:rPr>
        <w:t xml:space="preserve"> registry</w:t>
      </w:r>
    </w:p>
    <w:p w:rsidR="00915144" w:rsidRPr="00A15741" w:rsidRDefault="00915144" w:rsidP="00915144">
      <w:pPr>
        <w:spacing w:line="360" w:lineRule="auto"/>
        <w:rPr>
          <w:rFonts w:ascii="Arial" w:hAnsi="Arial" w:cs="Arial"/>
          <w:sz w:val="20"/>
          <w:lang w:val="en-US"/>
        </w:rPr>
      </w:pPr>
      <w:r w:rsidRPr="00A15741">
        <w:rPr>
          <w:rFonts w:ascii="Arial" w:hAnsi="Arial" w:cs="Arial"/>
          <w:sz w:val="20"/>
          <w:lang w:val="en-US"/>
        </w:rPr>
        <w:t>Timo Schmitz</w:t>
      </w:r>
      <w:r w:rsidRPr="00A15741">
        <w:rPr>
          <w:rFonts w:ascii="Arial" w:hAnsi="Arial" w:cs="Arial"/>
          <w:sz w:val="20"/>
          <w:vertAlign w:val="superscript"/>
          <w:lang w:val="en-US"/>
        </w:rPr>
        <w:t>1,2</w:t>
      </w:r>
      <w:r w:rsidRPr="00A15741">
        <w:rPr>
          <w:rFonts w:ascii="Arial" w:hAnsi="Arial" w:cs="Arial"/>
          <w:sz w:val="20"/>
          <w:lang w:val="en-US"/>
        </w:rPr>
        <w:t>, Christian Thilo</w:t>
      </w:r>
      <w:r w:rsidRPr="00A15741">
        <w:rPr>
          <w:rFonts w:ascii="Arial" w:hAnsi="Arial" w:cs="Arial"/>
          <w:sz w:val="20"/>
          <w:vertAlign w:val="superscript"/>
          <w:lang w:val="en-US"/>
        </w:rPr>
        <w:t>3</w:t>
      </w:r>
      <w:r w:rsidRPr="00A15741">
        <w:rPr>
          <w:rFonts w:ascii="Arial" w:hAnsi="Arial" w:cs="Arial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lang w:val="en-US"/>
        </w:rPr>
        <w:t>Jak</w:t>
      </w:r>
      <w:r w:rsidRPr="00A15741">
        <w:rPr>
          <w:rFonts w:ascii="Arial" w:hAnsi="Arial" w:cs="Arial"/>
          <w:sz w:val="20"/>
          <w:lang w:val="en-US"/>
        </w:rPr>
        <w:t>ob</w:t>
      </w:r>
      <w:proofErr w:type="spellEnd"/>
      <w:r w:rsidRPr="00A15741">
        <w:rPr>
          <w:rFonts w:ascii="Arial" w:hAnsi="Arial" w:cs="Arial"/>
          <w:sz w:val="20"/>
          <w:lang w:val="en-US"/>
        </w:rPr>
        <w:t xml:space="preserve"> Linseisen</w:t>
      </w:r>
      <w:r w:rsidRPr="00A15741">
        <w:rPr>
          <w:rFonts w:ascii="Arial" w:hAnsi="Arial" w:cs="Arial"/>
          <w:sz w:val="20"/>
          <w:vertAlign w:val="superscript"/>
          <w:lang w:val="en-US"/>
        </w:rPr>
        <w:t>2,4</w:t>
      </w:r>
      <w:r w:rsidRPr="00A15741">
        <w:rPr>
          <w:rFonts w:ascii="Arial" w:hAnsi="Arial" w:cs="Arial"/>
          <w:sz w:val="20"/>
          <w:lang w:val="en-US"/>
        </w:rPr>
        <w:t>, Margit Heier</w:t>
      </w:r>
      <w:r w:rsidRPr="00A15741">
        <w:rPr>
          <w:rFonts w:ascii="Arial" w:hAnsi="Arial" w:cs="Arial"/>
          <w:sz w:val="20"/>
          <w:vertAlign w:val="superscript"/>
          <w:lang w:val="en-US"/>
        </w:rPr>
        <w:t>5</w:t>
      </w:r>
      <w:r>
        <w:rPr>
          <w:rFonts w:ascii="Arial" w:hAnsi="Arial" w:cs="Arial"/>
          <w:sz w:val="20"/>
          <w:vertAlign w:val="superscript"/>
          <w:lang w:val="en-US"/>
        </w:rPr>
        <w:t>,6</w:t>
      </w:r>
      <w:r w:rsidRPr="00A15741">
        <w:rPr>
          <w:rFonts w:ascii="Arial" w:hAnsi="Arial" w:cs="Arial"/>
          <w:sz w:val="20"/>
          <w:lang w:val="en-US"/>
        </w:rPr>
        <w:t>,</w:t>
      </w:r>
      <w:r>
        <w:rPr>
          <w:rFonts w:ascii="Arial" w:hAnsi="Arial" w:cs="Arial"/>
          <w:sz w:val="20"/>
          <w:lang w:val="en-US"/>
        </w:rPr>
        <w:t xml:space="preserve"> Annette Peters</w:t>
      </w:r>
      <w:r>
        <w:rPr>
          <w:rFonts w:ascii="Arial" w:hAnsi="Arial" w:cs="Arial"/>
          <w:sz w:val="20"/>
          <w:vertAlign w:val="superscript"/>
          <w:lang w:val="en-US"/>
        </w:rPr>
        <w:t>6,7</w:t>
      </w:r>
      <w:r>
        <w:rPr>
          <w:rFonts w:ascii="Arial" w:hAnsi="Arial" w:cs="Arial"/>
          <w:sz w:val="20"/>
          <w:lang w:val="en-US"/>
        </w:rPr>
        <w:t>,</w:t>
      </w:r>
      <w:r w:rsidRPr="00A15741">
        <w:rPr>
          <w:rFonts w:ascii="Arial" w:hAnsi="Arial" w:cs="Arial"/>
          <w:sz w:val="20"/>
          <w:lang w:val="en-US"/>
        </w:rPr>
        <w:t xml:space="preserve"> Bernhard Kuch</w:t>
      </w:r>
      <w:r>
        <w:rPr>
          <w:rFonts w:ascii="Arial" w:hAnsi="Arial" w:cs="Arial"/>
          <w:sz w:val="20"/>
          <w:vertAlign w:val="superscript"/>
          <w:lang w:val="en-US"/>
        </w:rPr>
        <w:t>8</w:t>
      </w:r>
      <w:r w:rsidRPr="00A15741">
        <w:rPr>
          <w:rFonts w:ascii="Arial" w:hAnsi="Arial" w:cs="Arial"/>
          <w:sz w:val="20"/>
          <w:lang w:val="en-US"/>
        </w:rPr>
        <w:t>, Christa Meisinger</w:t>
      </w:r>
      <w:r>
        <w:rPr>
          <w:rFonts w:ascii="Arial" w:hAnsi="Arial" w:cs="Arial"/>
          <w:sz w:val="20"/>
          <w:vertAlign w:val="superscript"/>
          <w:lang w:val="en-US"/>
        </w:rPr>
        <w:t>2,4</w:t>
      </w:r>
    </w:p>
    <w:p w:rsidR="00915144" w:rsidRPr="00DA1842" w:rsidRDefault="00915144" w:rsidP="00915144">
      <w:pPr>
        <w:spacing w:before="40" w:after="40" w:line="360" w:lineRule="auto"/>
        <w:rPr>
          <w:rFonts w:ascii="Arial" w:hAnsi="Arial" w:cs="Arial"/>
          <w:sz w:val="16"/>
          <w:vertAlign w:val="superscript"/>
          <w:lang w:val="en-US"/>
        </w:rPr>
      </w:pPr>
      <w:r w:rsidRPr="00DA1842">
        <w:rPr>
          <w:rFonts w:ascii="Arial" w:hAnsi="Arial" w:cs="Arial"/>
          <w:sz w:val="16"/>
          <w:vertAlign w:val="superscript"/>
          <w:lang w:val="en-US"/>
        </w:rPr>
        <w:t>1</w:t>
      </w:r>
      <w:r w:rsidRPr="00DA1842">
        <w:rPr>
          <w:rFonts w:ascii="Arial" w:hAnsi="Arial" w:cs="Arial"/>
          <w:sz w:val="16"/>
          <w:lang w:val="en-US"/>
        </w:rPr>
        <w:t xml:space="preserve"> MONIKA/KORA Myocardial Infarction Registry, University Hospital of Augsburg; </w:t>
      </w:r>
      <w:r w:rsidRPr="00DA1842">
        <w:rPr>
          <w:rFonts w:ascii="Arial" w:hAnsi="Arial" w:cs="Arial"/>
          <w:sz w:val="16"/>
          <w:vertAlign w:val="superscript"/>
          <w:lang w:val="en-US"/>
        </w:rPr>
        <w:t>2</w:t>
      </w:r>
      <w:r w:rsidRPr="00DA1842">
        <w:rPr>
          <w:rFonts w:ascii="Arial" w:hAnsi="Arial" w:cs="Arial"/>
          <w:sz w:val="16"/>
          <w:lang w:val="en-US"/>
        </w:rPr>
        <w:t xml:space="preserve">Chair of Epidemiology, LMU </w:t>
      </w:r>
      <w:proofErr w:type="spellStart"/>
      <w:r w:rsidRPr="00DA1842">
        <w:rPr>
          <w:rFonts w:ascii="Arial" w:hAnsi="Arial" w:cs="Arial"/>
          <w:sz w:val="16"/>
          <w:lang w:val="en-US"/>
        </w:rPr>
        <w:t>München</w:t>
      </w:r>
      <w:proofErr w:type="spellEnd"/>
      <w:r w:rsidRPr="00DA1842">
        <w:rPr>
          <w:rFonts w:ascii="Arial" w:hAnsi="Arial" w:cs="Arial"/>
          <w:sz w:val="16"/>
          <w:lang w:val="en-US"/>
        </w:rPr>
        <w:t xml:space="preserve"> at UNIKA-</w:t>
      </w:r>
      <w:r w:rsidRPr="00DA1842">
        <w:rPr>
          <w:rFonts w:ascii="Arial" w:hAnsi="Arial" w:cs="Arial"/>
          <w:sz w:val="14"/>
          <w:lang w:val="en-US"/>
        </w:rPr>
        <w:t xml:space="preserve">T </w:t>
      </w:r>
      <w:r w:rsidRPr="00AB453F">
        <w:rPr>
          <w:rFonts w:ascii="Arial" w:hAnsi="Arial" w:cs="Arial"/>
          <w:sz w:val="16"/>
          <w:lang w:val="en-US"/>
        </w:rPr>
        <w:t>Augsburg</w:t>
      </w:r>
      <w:r w:rsidRPr="00DA1842">
        <w:rPr>
          <w:rFonts w:ascii="Arial" w:hAnsi="Arial" w:cs="Arial"/>
          <w:sz w:val="16"/>
          <w:lang w:val="en-US"/>
        </w:rPr>
        <w:t xml:space="preserve">; </w:t>
      </w:r>
      <w:r w:rsidRPr="00AB453F">
        <w:rPr>
          <w:rFonts w:ascii="Arial" w:hAnsi="Arial" w:cs="Arial"/>
          <w:sz w:val="16"/>
          <w:vertAlign w:val="superscript"/>
          <w:lang w:val="en-US"/>
        </w:rPr>
        <w:t>3</w:t>
      </w:r>
      <w:r w:rsidRPr="00DA1842">
        <w:rPr>
          <w:rFonts w:ascii="Arial" w:hAnsi="Arial" w:cs="Arial"/>
          <w:sz w:val="16"/>
          <w:lang w:val="en-US"/>
        </w:rPr>
        <w:t xml:space="preserve">University Hospital of Augsburg, Department of Cardiology; </w:t>
      </w:r>
      <w:r w:rsidRPr="00AB453F">
        <w:rPr>
          <w:rFonts w:ascii="Arial" w:hAnsi="Arial" w:cs="Arial"/>
          <w:sz w:val="16"/>
          <w:vertAlign w:val="superscript"/>
          <w:lang w:val="en-US"/>
        </w:rPr>
        <w:t>4</w:t>
      </w:r>
      <w:r w:rsidRPr="00AB453F">
        <w:rPr>
          <w:rFonts w:ascii="Arial" w:hAnsi="Arial" w:cs="Arial"/>
          <w:sz w:val="16"/>
          <w:lang w:val="en-US"/>
        </w:rPr>
        <w:t xml:space="preserve"> </w:t>
      </w:r>
      <w:r w:rsidRPr="00DA1842">
        <w:rPr>
          <w:rFonts w:ascii="Arial" w:hAnsi="Arial" w:cs="Arial"/>
          <w:sz w:val="16"/>
          <w:lang w:val="en-US"/>
        </w:rPr>
        <w:t>IRG Clinical Epidemiol</w:t>
      </w:r>
      <w:r>
        <w:rPr>
          <w:rFonts w:ascii="Arial" w:hAnsi="Arial" w:cs="Arial"/>
          <w:sz w:val="16"/>
          <w:lang w:val="en-US"/>
        </w:rPr>
        <w:t xml:space="preserve">ogy, Helmholtz </w:t>
      </w:r>
      <w:proofErr w:type="spellStart"/>
      <w:r>
        <w:rPr>
          <w:rFonts w:ascii="Arial" w:hAnsi="Arial" w:cs="Arial"/>
          <w:sz w:val="16"/>
          <w:lang w:val="en-US"/>
        </w:rPr>
        <w:t>Zentrum</w:t>
      </w:r>
      <w:proofErr w:type="spellEnd"/>
      <w:r>
        <w:rPr>
          <w:rFonts w:ascii="Arial" w:hAnsi="Arial" w:cs="Arial"/>
          <w:sz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lang w:val="en-US"/>
        </w:rPr>
        <w:t>München</w:t>
      </w:r>
      <w:proofErr w:type="spellEnd"/>
      <w:r>
        <w:rPr>
          <w:rFonts w:ascii="Arial" w:hAnsi="Arial" w:cs="Arial"/>
          <w:sz w:val="16"/>
          <w:lang w:val="en-US"/>
        </w:rPr>
        <w:t xml:space="preserve">; </w:t>
      </w:r>
      <w:r w:rsidRPr="00AB453F">
        <w:rPr>
          <w:rFonts w:ascii="Arial" w:hAnsi="Arial" w:cs="Arial"/>
          <w:sz w:val="16"/>
          <w:vertAlign w:val="superscript"/>
          <w:lang w:val="en-US"/>
        </w:rPr>
        <w:t>5</w:t>
      </w:r>
      <w:r w:rsidRPr="00DA1842">
        <w:rPr>
          <w:rFonts w:ascii="Arial" w:hAnsi="Arial" w:cs="Arial"/>
          <w:sz w:val="16"/>
          <w:lang w:val="en-US"/>
        </w:rPr>
        <w:t xml:space="preserve">University Hospital of Augsburg, </w:t>
      </w:r>
      <w:r>
        <w:rPr>
          <w:rFonts w:ascii="Arial" w:hAnsi="Arial" w:cs="Arial"/>
          <w:sz w:val="16"/>
          <w:lang w:val="en-US"/>
        </w:rPr>
        <w:t>KORA Study Centre,</w:t>
      </w:r>
      <w:r w:rsidRPr="00DA1842">
        <w:rPr>
          <w:rFonts w:ascii="Arial" w:hAnsi="Arial" w:cs="Arial"/>
          <w:sz w:val="16"/>
          <w:lang w:val="en-US"/>
        </w:rPr>
        <w:t xml:space="preserve"> </w:t>
      </w:r>
      <w:r w:rsidRPr="00AB453F">
        <w:rPr>
          <w:rFonts w:ascii="Arial" w:hAnsi="Arial" w:cs="Arial"/>
          <w:sz w:val="16"/>
          <w:vertAlign w:val="superscript"/>
          <w:lang w:val="en-US"/>
        </w:rPr>
        <w:t>6</w:t>
      </w:r>
      <w:r w:rsidRPr="00DA1842">
        <w:rPr>
          <w:rFonts w:ascii="Arial" w:hAnsi="Arial" w:cs="Arial"/>
          <w:sz w:val="16"/>
          <w:lang w:val="en-US"/>
        </w:rPr>
        <w:t xml:space="preserve">Institute of Epidemiology, Helmholtz </w:t>
      </w:r>
      <w:proofErr w:type="spellStart"/>
      <w:r w:rsidRPr="00DA1842">
        <w:rPr>
          <w:rFonts w:ascii="Arial" w:hAnsi="Arial" w:cs="Arial"/>
          <w:sz w:val="16"/>
          <w:lang w:val="en-US"/>
        </w:rPr>
        <w:t>Zentrum</w:t>
      </w:r>
      <w:proofErr w:type="spellEnd"/>
      <w:r w:rsidRPr="00DA1842">
        <w:rPr>
          <w:rFonts w:ascii="Arial" w:hAnsi="Arial" w:cs="Arial"/>
          <w:sz w:val="16"/>
          <w:lang w:val="en-US"/>
        </w:rPr>
        <w:t xml:space="preserve"> </w:t>
      </w:r>
      <w:proofErr w:type="spellStart"/>
      <w:r w:rsidRPr="00DA1842">
        <w:rPr>
          <w:rFonts w:ascii="Arial" w:hAnsi="Arial" w:cs="Arial"/>
          <w:sz w:val="16"/>
          <w:lang w:val="en-US"/>
        </w:rPr>
        <w:t>München</w:t>
      </w:r>
      <w:proofErr w:type="spellEnd"/>
      <w:r w:rsidRPr="00DA1842">
        <w:rPr>
          <w:rFonts w:ascii="Arial" w:hAnsi="Arial" w:cs="Arial"/>
          <w:sz w:val="16"/>
          <w:lang w:val="en-US"/>
        </w:rPr>
        <w:t xml:space="preserve">; </w:t>
      </w:r>
      <w:r>
        <w:rPr>
          <w:rFonts w:ascii="Arial" w:hAnsi="Arial" w:cs="Arial"/>
          <w:sz w:val="16"/>
          <w:vertAlign w:val="superscript"/>
          <w:lang w:val="en-US"/>
        </w:rPr>
        <w:t>7</w:t>
      </w:r>
      <w:r w:rsidRPr="00DA1842">
        <w:rPr>
          <w:rFonts w:ascii="Arial" w:hAnsi="Arial" w:cs="Arial"/>
          <w:sz w:val="16"/>
          <w:lang w:val="en-US"/>
        </w:rPr>
        <w:t xml:space="preserve">German Center for Diabetes Research (DZD) </w:t>
      </w:r>
      <w:proofErr w:type="spellStart"/>
      <w:r w:rsidRPr="00DA1842">
        <w:rPr>
          <w:rFonts w:ascii="Arial" w:hAnsi="Arial" w:cs="Arial"/>
          <w:sz w:val="16"/>
          <w:lang w:val="en-US"/>
        </w:rPr>
        <w:t>Neuherberg</w:t>
      </w:r>
      <w:proofErr w:type="spellEnd"/>
      <w:r w:rsidRPr="00DA1842">
        <w:rPr>
          <w:rFonts w:ascii="Arial" w:hAnsi="Arial" w:cs="Arial"/>
          <w:sz w:val="16"/>
          <w:lang w:val="en-US"/>
        </w:rPr>
        <w:t xml:space="preserve"> Germany,</w:t>
      </w:r>
      <w:r w:rsidRPr="00DA1842">
        <w:rPr>
          <w:rFonts w:ascii="Arial" w:hAnsi="Arial" w:cs="Arial"/>
          <w:sz w:val="16"/>
          <w:vertAlign w:val="superscript"/>
          <w:lang w:val="en-US"/>
        </w:rPr>
        <w:t xml:space="preserve"> </w:t>
      </w:r>
      <w:r>
        <w:rPr>
          <w:rFonts w:ascii="Arial" w:hAnsi="Arial" w:cs="Arial"/>
          <w:sz w:val="16"/>
          <w:vertAlign w:val="superscript"/>
          <w:lang w:val="en-US"/>
        </w:rPr>
        <w:t>8</w:t>
      </w:r>
      <w:r w:rsidRPr="00DA1842">
        <w:rPr>
          <w:rFonts w:ascii="Arial" w:hAnsi="Arial" w:cs="Arial"/>
          <w:sz w:val="16"/>
          <w:lang w:val="en-US"/>
        </w:rPr>
        <w:t xml:space="preserve">Department of Internal Medicine, Hospital </w:t>
      </w:r>
      <w:proofErr w:type="spellStart"/>
      <w:r w:rsidRPr="00DA1842">
        <w:rPr>
          <w:rFonts w:ascii="Arial" w:hAnsi="Arial" w:cs="Arial"/>
          <w:sz w:val="16"/>
          <w:lang w:val="en-US"/>
        </w:rPr>
        <w:t>Nördlingen</w:t>
      </w:r>
      <w:proofErr w:type="spellEnd"/>
      <w:r w:rsidRPr="00DA1842">
        <w:rPr>
          <w:rFonts w:ascii="Arial" w:hAnsi="Arial" w:cs="Arial"/>
          <w:sz w:val="16"/>
          <w:lang w:val="en-US"/>
        </w:rPr>
        <w:t>, Germany</w:t>
      </w:r>
    </w:p>
    <w:p w:rsidR="00915144" w:rsidRDefault="00915144" w:rsidP="00915144">
      <w:pPr>
        <w:rPr>
          <w:lang w:val="en-US"/>
        </w:rPr>
      </w:pPr>
    </w:p>
    <w:p w:rsidR="00915144" w:rsidRPr="00836C60" w:rsidRDefault="00915144" w:rsidP="00915144">
      <w:pPr>
        <w:spacing w:before="40" w:after="40" w:line="360" w:lineRule="auto"/>
        <w:rPr>
          <w:sz w:val="20"/>
          <w:lang w:val="en-US"/>
        </w:rPr>
      </w:pPr>
      <w:r w:rsidRPr="00836C60">
        <w:rPr>
          <w:sz w:val="20"/>
          <w:lang w:val="en-US"/>
        </w:rPr>
        <w:t>Correspondence to:  Timo Schmitz, t.schmitz@unika-t.de</w:t>
      </w:r>
    </w:p>
    <w:p w:rsidR="00915144" w:rsidRDefault="00915144" w:rsidP="00A55A36">
      <w:pPr>
        <w:rPr>
          <w:b/>
          <w:i/>
          <w:sz w:val="28"/>
          <w:highlight w:val="yellow"/>
          <w:u w:val="single"/>
          <w:lang w:val="en-US"/>
        </w:rPr>
        <w:sectPr w:rsidR="0091514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55A36" w:rsidRPr="00342432" w:rsidRDefault="00A55A36" w:rsidP="00A55A36">
      <w:pPr>
        <w:rPr>
          <w:b/>
          <w:i/>
          <w:sz w:val="28"/>
          <w:u w:val="single"/>
          <w:lang w:val="en-US"/>
        </w:rPr>
      </w:pPr>
      <w:r w:rsidRPr="00342432">
        <w:rPr>
          <w:b/>
          <w:i/>
          <w:sz w:val="28"/>
          <w:u w:val="single"/>
          <w:lang w:val="en-US"/>
        </w:rPr>
        <w:lastRenderedPageBreak/>
        <w:t>Supplementary material</w:t>
      </w:r>
    </w:p>
    <w:p w:rsidR="00A55A36" w:rsidRPr="00D311D4" w:rsidRDefault="00A55A36" w:rsidP="00A55A36">
      <w:pPr>
        <w:rPr>
          <w:b/>
          <w:lang w:val="en-US"/>
        </w:rPr>
      </w:pPr>
      <w:r w:rsidRPr="00342432">
        <w:rPr>
          <w:b/>
          <w:lang w:val="en-US"/>
        </w:rPr>
        <w:t xml:space="preserve">Table 1: COX-Regression models for the association between calcium groups and long-term mortality for </w:t>
      </w:r>
      <w:proofErr w:type="gramStart"/>
      <w:r w:rsidRPr="00342432">
        <w:rPr>
          <w:b/>
          <w:lang w:val="en-US"/>
        </w:rPr>
        <w:t>one time</w:t>
      </w:r>
      <w:proofErr w:type="gramEnd"/>
      <w:r w:rsidRPr="00342432">
        <w:rPr>
          <w:b/>
          <w:lang w:val="en-US"/>
        </w:rPr>
        <w:t xml:space="preserve"> period including an unadjusted model, a model adjusted for sex and age and a fully adjusted model.</w:t>
      </w:r>
      <w:r w:rsidR="00342432">
        <w:rPr>
          <w:b/>
          <w:lang w:val="en-US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22"/>
        <w:gridCol w:w="1151"/>
        <w:gridCol w:w="1294"/>
        <w:gridCol w:w="1222"/>
        <w:gridCol w:w="1222"/>
        <w:gridCol w:w="1223"/>
      </w:tblGrid>
      <w:tr w:rsidR="00A55A36" w:rsidRPr="00D311D4" w:rsidTr="0060563A">
        <w:tc>
          <w:tcPr>
            <w:tcW w:w="1450" w:type="dxa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</w:p>
        </w:tc>
        <w:tc>
          <w:tcPr>
            <w:tcW w:w="2373" w:type="dxa"/>
            <w:gridSpan w:val="2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Unadjusted model</w:t>
            </w:r>
          </w:p>
        </w:tc>
        <w:tc>
          <w:tcPr>
            <w:tcW w:w="2516" w:type="dxa"/>
            <w:gridSpan w:val="2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Adjusted for sex and age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Fully adjusted model</w:t>
            </w:r>
            <w:r w:rsidRPr="00D311D4">
              <w:rPr>
                <w:lang w:val="en-US"/>
              </w:rPr>
              <w:t>*</w:t>
            </w:r>
          </w:p>
        </w:tc>
      </w:tr>
      <w:tr w:rsidR="00A55A36" w:rsidRPr="00D311D4" w:rsidTr="0060563A">
        <w:tc>
          <w:tcPr>
            <w:tcW w:w="1450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</w:tr>
      <w:tr w:rsidR="00A55A36" w:rsidRPr="00D311D4" w:rsidTr="0060563A">
        <w:tc>
          <w:tcPr>
            <w:tcW w:w="1450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Calcium low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 xml:space="preserve">1.6 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(1.3 - 2.0)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&lt; 0.001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 xml:space="preserve">1.6 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(1.3 - 2.0)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&lt; 0.001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1.5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(1.2 - 1.9)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0.0012</w:t>
            </w:r>
          </w:p>
        </w:tc>
      </w:tr>
      <w:tr w:rsidR="00A55A36" w:rsidRPr="00D311D4" w:rsidTr="0060563A">
        <w:tc>
          <w:tcPr>
            <w:tcW w:w="1450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Calcium normal-low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1.1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(0.9 - 1.4)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0.494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1.07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(0.8 - 1.3)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0.594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1.2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(0.9 - 1.5)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0.201</w:t>
            </w:r>
          </w:p>
        </w:tc>
      </w:tr>
      <w:tr w:rsidR="00A55A36" w:rsidRPr="00D311D4" w:rsidTr="0060563A">
        <w:tc>
          <w:tcPr>
            <w:tcW w:w="1450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Calcium normal-high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 (Ref)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-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 (Ref)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 (Ref)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-</w:t>
            </w:r>
          </w:p>
        </w:tc>
      </w:tr>
      <w:tr w:rsidR="00A55A36" w:rsidRPr="00D311D4" w:rsidTr="0060563A">
        <w:tc>
          <w:tcPr>
            <w:tcW w:w="1450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Calcium high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1.1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(0.8 - 1.3)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0.688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 xml:space="preserve">1.13 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(0.9 -1.4)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0.326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1..1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(0.9 - 1.4)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0.524</w:t>
            </w:r>
          </w:p>
        </w:tc>
      </w:tr>
    </w:tbl>
    <w:p w:rsidR="00A55A36" w:rsidRPr="00D311D4" w:rsidRDefault="00A55A36" w:rsidP="00A55A36">
      <w:pPr>
        <w:rPr>
          <w:lang w:val="en-US"/>
        </w:rPr>
      </w:pPr>
      <w:r w:rsidRPr="00D311D4">
        <w:rPr>
          <w:lang w:val="en-US"/>
        </w:rPr>
        <w:t>*</w:t>
      </w:r>
      <w:r w:rsidRPr="00D311D4">
        <w:rPr>
          <w:sz w:val="18"/>
          <w:lang w:val="en-US"/>
        </w:rPr>
        <w:t>adjusted for age, sex, renal function (eGFR), diabetes, hypertension, smoking status, hyperlipidemia, chest pain symptoms, STEMI/NSTEMI, any in-hospital complication, any intervention (PCI, bypass, lysis therapy), diuretics before AMI, calcium channels blockers before AMI, diuretics at discharge, calcium channels blockers at discharge, all four evidence-based medications (EBMs)</w:t>
      </w:r>
    </w:p>
    <w:p w:rsidR="00A55A36" w:rsidRPr="00D311D4" w:rsidRDefault="00A55A36" w:rsidP="00A55A36">
      <w:pPr>
        <w:rPr>
          <w:b/>
          <w:lang w:val="en-US"/>
        </w:rPr>
      </w:pPr>
    </w:p>
    <w:p w:rsidR="00A55A36" w:rsidRPr="00D311D4" w:rsidRDefault="00A55A36" w:rsidP="00A55A36">
      <w:pPr>
        <w:rPr>
          <w:b/>
          <w:lang w:val="en-US"/>
        </w:rPr>
      </w:pPr>
    </w:p>
    <w:p w:rsidR="00A55A36" w:rsidRPr="00D311D4" w:rsidRDefault="006C065D" w:rsidP="00A55A36">
      <w:pPr>
        <w:rPr>
          <w:b/>
          <w:lang w:val="en-US"/>
        </w:rPr>
      </w:pPr>
      <w:bookmarkStart w:id="0" w:name="_GoBack"/>
      <w:bookmarkEnd w:id="0"/>
      <w:r w:rsidRPr="00342432">
        <w:rPr>
          <w:b/>
          <w:lang w:val="en-US"/>
        </w:rPr>
        <w:t>Table 2</w:t>
      </w:r>
      <w:r w:rsidR="00A55A36" w:rsidRPr="00342432">
        <w:rPr>
          <w:b/>
          <w:lang w:val="en-US"/>
        </w:rPr>
        <w:t>: COX-Regression models for the association between continuous total serum calcium levels and long-term mortality for the two time periods and the whole time period.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17"/>
        <w:gridCol w:w="1151"/>
        <w:gridCol w:w="1294"/>
        <w:gridCol w:w="1222"/>
        <w:gridCol w:w="1222"/>
        <w:gridCol w:w="1223"/>
      </w:tblGrid>
      <w:tr w:rsidR="00A55A36" w:rsidRPr="00D311D4" w:rsidTr="0060563A">
        <w:tc>
          <w:tcPr>
            <w:tcW w:w="1555" w:type="dxa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28 -2500 day</w:t>
            </w:r>
          </w:p>
        </w:tc>
        <w:tc>
          <w:tcPr>
            <w:tcW w:w="2516" w:type="dxa"/>
            <w:gridSpan w:val="2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&gt; 2500 days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A55A36" w:rsidRPr="00D311D4" w:rsidRDefault="00A55A36" w:rsidP="0060563A">
            <w:pPr>
              <w:spacing w:before="120"/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one time period</w:t>
            </w:r>
          </w:p>
        </w:tc>
      </w:tr>
      <w:tr w:rsidR="00A55A36" w:rsidRPr="00D311D4" w:rsidTr="0060563A">
        <w:tc>
          <w:tcPr>
            <w:tcW w:w="1555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117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 xml:space="preserve">HR </w:t>
            </w:r>
          </w:p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(95% CI)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p Value</w:t>
            </w:r>
          </w:p>
        </w:tc>
      </w:tr>
      <w:tr w:rsidR="00A55A36" w:rsidRPr="00D311D4" w:rsidTr="0060563A">
        <w:tc>
          <w:tcPr>
            <w:tcW w:w="8784" w:type="dxa"/>
            <w:gridSpan w:val="7"/>
            <w:shd w:val="clear" w:color="auto" w:fill="auto"/>
          </w:tcPr>
          <w:p w:rsidR="00A55A36" w:rsidRPr="00D311D4" w:rsidRDefault="00A55A36" w:rsidP="0060563A">
            <w:pPr>
              <w:rPr>
                <w:b/>
                <w:i/>
                <w:lang w:val="en-US"/>
              </w:rPr>
            </w:pPr>
            <w:r w:rsidRPr="00D311D4">
              <w:rPr>
                <w:b/>
                <w:i/>
                <w:lang w:val="en-US"/>
              </w:rPr>
              <w:t>Unadjusted model</w:t>
            </w:r>
          </w:p>
        </w:tc>
      </w:tr>
      <w:tr w:rsidR="00A55A36" w:rsidRPr="00D311D4" w:rsidTr="0060563A">
        <w:tc>
          <w:tcPr>
            <w:tcW w:w="1555" w:type="dxa"/>
            <w:shd w:val="clear" w:color="auto" w:fill="auto"/>
          </w:tcPr>
          <w:p w:rsidR="00A55A36" w:rsidRPr="00D311D4" w:rsidRDefault="00A55A36" w:rsidP="0060563A">
            <w:pPr>
              <w:rPr>
                <w:i/>
                <w:lang w:val="en-US"/>
              </w:rPr>
            </w:pPr>
            <w:r w:rsidRPr="00D311D4">
              <w:rPr>
                <w:i/>
                <w:lang w:val="en-US"/>
              </w:rPr>
              <w:t xml:space="preserve">Calcium continuous </w:t>
            </w:r>
          </w:p>
        </w:tc>
        <w:tc>
          <w:tcPr>
            <w:tcW w:w="1117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0.9</w:t>
            </w:r>
            <w:r>
              <w:rPr>
                <w:lang w:val="en-US"/>
              </w:rPr>
              <w:t>3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(0.86 - 0.99)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0.0345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1.02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(0.93 - 1.13)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0.6436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>
              <w:rPr>
                <w:lang w:val="en-US"/>
              </w:rPr>
              <w:t>0.95</w:t>
            </w:r>
            <w:r w:rsidRPr="00D311D4">
              <w:rPr>
                <w:lang w:val="en-US"/>
              </w:rPr>
              <w:t xml:space="preserve"> 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(0.90 - 1.01)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0.0922</w:t>
            </w:r>
          </w:p>
        </w:tc>
      </w:tr>
      <w:tr w:rsidR="00A55A36" w:rsidRPr="00342432" w:rsidTr="0060563A">
        <w:tc>
          <w:tcPr>
            <w:tcW w:w="8784" w:type="dxa"/>
            <w:gridSpan w:val="7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b/>
                <w:i/>
                <w:lang w:val="en-US"/>
              </w:rPr>
              <w:t>Adjusted for sex and age</w:t>
            </w:r>
          </w:p>
        </w:tc>
      </w:tr>
      <w:tr w:rsidR="00A55A36" w:rsidRPr="00D311D4" w:rsidTr="0060563A">
        <w:tc>
          <w:tcPr>
            <w:tcW w:w="1555" w:type="dxa"/>
            <w:shd w:val="clear" w:color="auto" w:fill="auto"/>
          </w:tcPr>
          <w:p w:rsidR="00A55A36" w:rsidRPr="00D311D4" w:rsidRDefault="00A55A36" w:rsidP="0060563A">
            <w:pPr>
              <w:rPr>
                <w:i/>
                <w:lang w:val="en-US"/>
              </w:rPr>
            </w:pPr>
            <w:r w:rsidRPr="00D311D4">
              <w:rPr>
                <w:i/>
                <w:lang w:val="en-US"/>
              </w:rPr>
              <w:t>Calcium continuous</w:t>
            </w:r>
          </w:p>
        </w:tc>
        <w:tc>
          <w:tcPr>
            <w:tcW w:w="1117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0.9</w:t>
            </w:r>
            <w:r>
              <w:rPr>
                <w:lang w:val="en-US"/>
              </w:rPr>
              <w:t>3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(0.87 - 0.99)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0.0377</w:t>
            </w: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 xml:space="preserve">1.02 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(0.92 - 1.12)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0.7280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0.952</w:t>
            </w:r>
            <w:r>
              <w:rPr>
                <w:lang w:val="en-US"/>
              </w:rPr>
              <w:t>8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0.90 - 1.01)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lastRenderedPageBreak/>
              <w:t>0.0896</w:t>
            </w:r>
          </w:p>
        </w:tc>
      </w:tr>
      <w:tr w:rsidR="00A55A36" w:rsidRPr="00D311D4" w:rsidTr="0060563A">
        <w:tc>
          <w:tcPr>
            <w:tcW w:w="8784" w:type="dxa"/>
            <w:gridSpan w:val="7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b/>
                <w:i/>
                <w:lang w:val="en-US"/>
              </w:rPr>
              <w:lastRenderedPageBreak/>
              <w:t>Fully adjusted model</w:t>
            </w:r>
            <w:r w:rsidRPr="00D311D4">
              <w:rPr>
                <w:lang w:val="en-US"/>
              </w:rPr>
              <w:t>*</w:t>
            </w:r>
          </w:p>
        </w:tc>
      </w:tr>
      <w:tr w:rsidR="00A55A36" w:rsidRPr="00D311D4" w:rsidTr="0060563A">
        <w:tc>
          <w:tcPr>
            <w:tcW w:w="1555" w:type="dxa"/>
            <w:shd w:val="clear" w:color="auto" w:fill="auto"/>
          </w:tcPr>
          <w:p w:rsidR="00A55A36" w:rsidRPr="00D311D4" w:rsidRDefault="00A55A36" w:rsidP="0060563A">
            <w:pPr>
              <w:rPr>
                <w:i/>
                <w:lang w:val="en-US"/>
              </w:rPr>
            </w:pPr>
            <w:r w:rsidRPr="00D311D4">
              <w:rPr>
                <w:i/>
                <w:lang w:val="en-US"/>
              </w:rPr>
              <w:t>Calcium continuous</w:t>
            </w:r>
          </w:p>
        </w:tc>
        <w:tc>
          <w:tcPr>
            <w:tcW w:w="1117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>
              <w:rPr>
                <w:lang w:val="en-US"/>
              </w:rPr>
              <w:t>0.92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(0.86 - 0.99)</w:t>
            </w:r>
          </w:p>
        </w:tc>
        <w:tc>
          <w:tcPr>
            <w:tcW w:w="1151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0.022625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</w:p>
        </w:tc>
        <w:tc>
          <w:tcPr>
            <w:tcW w:w="1294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1.</w:t>
            </w:r>
            <w:r>
              <w:rPr>
                <w:lang w:val="en-US"/>
              </w:rPr>
              <w:t>03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(0.93 - 1.14)</w:t>
            </w:r>
          </w:p>
        </w:tc>
        <w:tc>
          <w:tcPr>
            <w:tcW w:w="1222" w:type="dxa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0.561903</w:t>
            </w:r>
          </w:p>
        </w:tc>
        <w:tc>
          <w:tcPr>
            <w:tcW w:w="1222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(0.90 - 1.00)</w:t>
            </w:r>
          </w:p>
        </w:tc>
        <w:tc>
          <w:tcPr>
            <w:tcW w:w="1223" w:type="dxa"/>
            <w:shd w:val="clear" w:color="auto" w:fill="auto"/>
          </w:tcPr>
          <w:p w:rsidR="00A55A36" w:rsidRPr="00D311D4" w:rsidRDefault="00A55A36" w:rsidP="0060563A">
            <w:pPr>
              <w:rPr>
                <w:lang w:val="en-US"/>
              </w:rPr>
            </w:pPr>
            <w:r w:rsidRPr="00D311D4">
              <w:rPr>
                <w:lang w:val="en-US"/>
              </w:rPr>
              <w:t>0.069865</w:t>
            </w:r>
          </w:p>
        </w:tc>
      </w:tr>
    </w:tbl>
    <w:p w:rsidR="00A55A36" w:rsidRDefault="00A55A36" w:rsidP="00A55A36">
      <w:pPr>
        <w:rPr>
          <w:lang w:val="en-US"/>
        </w:rPr>
      </w:pPr>
      <w:r w:rsidRPr="00D311D4">
        <w:rPr>
          <w:lang w:val="en-US"/>
        </w:rPr>
        <w:t>*</w:t>
      </w:r>
      <w:r w:rsidRPr="00D311D4">
        <w:rPr>
          <w:sz w:val="18"/>
          <w:lang w:val="en-US"/>
        </w:rPr>
        <w:t>adjusted for age, sex, renal function (eGFR), diabetes, hypertension, smoking status, hyperlipidemia, chest pain symptoms, STEMI/NSTEMI, any in-hospital complication, any intervention (PCI, bypass, lysis therapy), diuretics before AMI, calcium channels blockers before AMI, diuretics at discharge, calcium channels blockers at discharge, all four evidence-based medications (EBMs)</w:t>
      </w:r>
    </w:p>
    <w:p w:rsidR="00E0440B" w:rsidRPr="00A55A36" w:rsidRDefault="00E0440B">
      <w:pPr>
        <w:rPr>
          <w:lang w:val="en-US"/>
        </w:rPr>
      </w:pPr>
    </w:p>
    <w:sectPr w:rsidR="00E0440B" w:rsidRPr="00A55A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36"/>
    <w:rsid w:val="00342432"/>
    <w:rsid w:val="006C065D"/>
    <w:rsid w:val="00915144"/>
    <w:rsid w:val="00A55A36"/>
    <w:rsid w:val="00C32F4B"/>
    <w:rsid w:val="00C93B24"/>
    <w:rsid w:val="00CC0CC4"/>
    <w:rsid w:val="00E0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37D"/>
  <w15:chartTrackingRefBased/>
  <w15:docId w15:val="{E691DD6A-0FF9-4F56-AB97-0881D346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Schmitz</dc:creator>
  <cp:keywords/>
  <dc:description/>
  <cp:lastModifiedBy>Timo Schmitz</cp:lastModifiedBy>
  <cp:revision>2</cp:revision>
  <dcterms:created xsi:type="dcterms:W3CDTF">2021-01-07T12:51:00Z</dcterms:created>
  <dcterms:modified xsi:type="dcterms:W3CDTF">2021-01-07T12:51:00Z</dcterms:modified>
</cp:coreProperties>
</file>