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D4818" w14:textId="77777777" w:rsidR="00DB4040" w:rsidRDefault="00762861">
      <w:pPr>
        <w:spacing w:line="360" w:lineRule="auto"/>
        <w:rPr>
          <w:rFonts w:ascii="Arial" w:hAnsi="Arial" w:cs="Arial"/>
          <w:b/>
          <w:sz w:val="26"/>
          <w:szCs w:val="26"/>
          <w:lang w:val="en-US"/>
        </w:rPr>
      </w:pPr>
      <w:r>
        <w:rPr>
          <w:rFonts w:ascii="Arial" w:hAnsi="Arial" w:cs="Arial"/>
          <w:b/>
          <w:sz w:val="26"/>
          <w:szCs w:val="26"/>
          <w:lang w:val="en-US"/>
        </w:rPr>
        <w:t xml:space="preserve">Lack of association between </w:t>
      </w:r>
      <w:proofErr w:type="gramStart"/>
      <w:r>
        <w:rPr>
          <w:rFonts w:ascii="Arial" w:hAnsi="Arial" w:cs="Arial"/>
          <w:b/>
          <w:sz w:val="26"/>
          <w:szCs w:val="26"/>
          <w:lang w:val="en-US"/>
        </w:rPr>
        <w:t>proton pump inhibitor use</w:t>
      </w:r>
      <w:proofErr w:type="gramEnd"/>
      <w:r>
        <w:rPr>
          <w:rFonts w:ascii="Arial" w:hAnsi="Arial" w:cs="Arial"/>
          <w:b/>
          <w:sz w:val="26"/>
          <w:szCs w:val="26"/>
          <w:lang w:val="en-US"/>
        </w:rPr>
        <w:t xml:space="preserve"> and brain aging: a cross-sectional study</w:t>
      </w:r>
    </w:p>
    <w:p w14:paraId="7EA3B681" w14:textId="2C803310" w:rsidR="00DB4040" w:rsidRPr="00620AE1" w:rsidRDefault="00762861">
      <w:pPr>
        <w:spacing w:after="0" w:line="360" w:lineRule="auto"/>
        <w:rPr>
          <w:lang w:val="en-US"/>
        </w:rPr>
      </w:pPr>
      <w:r w:rsidRPr="00620AE1">
        <w:rPr>
          <w:rFonts w:ascii="Arial" w:hAnsi="Arial" w:cs="Arial"/>
          <w:lang w:val="en-US"/>
        </w:rPr>
        <w:t>Nayeon Ahn, MSc</w:t>
      </w:r>
      <w:r w:rsidRPr="00620AE1">
        <w:rPr>
          <w:rFonts w:ascii="Arial" w:hAnsi="Arial" w:cs="Arial"/>
          <w:vertAlign w:val="superscript"/>
          <w:lang w:val="en-US"/>
        </w:rPr>
        <w:t>1,2</w:t>
      </w:r>
      <w:r w:rsidRPr="00620AE1">
        <w:rPr>
          <w:rFonts w:ascii="Arial" w:hAnsi="Arial" w:cs="Arial"/>
          <w:lang w:val="en-US"/>
        </w:rPr>
        <w:t>, Stefan Frenzel, Dipl.-Phys</w:t>
      </w:r>
      <w:r w:rsidRPr="00620AE1">
        <w:rPr>
          <w:rFonts w:ascii="Arial" w:hAnsi="Arial" w:cs="Arial"/>
          <w:vertAlign w:val="superscript"/>
          <w:lang w:val="en-US"/>
        </w:rPr>
        <w:t>3</w:t>
      </w:r>
      <w:r w:rsidRPr="00620AE1">
        <w:rPr>
          <w:rFonts w:ascii="Arial" w:hAnsi="Arial" w:cs="Arial"/>
          <w:lang w:val="en-US"/>
        </w:rPr>
        <w:t>, Katharina Wittfeld, PhD</w:t>
      </w:r>
      <w:r w:rsidRPr="00620AE1">
        <w:rPr>
          <w:rFonts w:ascii="Arial" w:hAnsi="Arial" w:cs="Arial"/>
          <w:vertAlign w:val="superscript"/>
          <w:lang w:val="en-US"/>
        </w:rPr>
        <w:t>3,4</w:t>
      </w:r>
      <w:r w:rsidRPr="00620AE1">
        <w:rPr>
          <w:rFonts w:ascii="Arial" w:hAnsi="Arial" w:cs="Arial"/>
          <w:lang w:val="en-US"/>
        </w:rPr>
        <w:t>, Robin</w:t>
      </w:r>
      <w:r w:rsidRPr="00620AE1">
        <w:rPr>
          <w:lang w:val="en-US"/>
        </w:rPr>
        <w:t xml:space="preserve"> </w:t>
      </w:r>
      <w:proofErr w:type="spellStart"/>
      <w:r w:rsidRPr="00620AE1">
        <w:rPr>
          <w:rFonts w:ascii="Arial" w:hAnsi="Arial" w:cs="Arial"/>
          <w:lang w:val="en-US"/>
        </w:rPr>
        <w:t>Bülow</w:t>
      </w:r>
      <w:proofErr w:type="spellEnd"/>
      <w:r w:rsidRPr="00620AE1">
        <w:rPr>
          <w:rFonts w:ascii="Arial" w:hAnsi="Arial" w:cs="Arial"/>
          <w:lang w:val="en-US"/>
        </w:rPr>
        <w:t>, MD</w:t>
      </w:r>
      <w:r w:rsidRPr="00620AE1">
        <w:rPr>
          <w:rFonts w:ascii="Arial" w:hAnsi="Arial" w:cs="Arial"/>
          <w:vertAlign w:val="superscript"/>
          <w:lang w:val="en-US"/>
        </w:rPr>
        <w:t>5</w:t>
      </w:r>
      <w:r w:rsidRPr="00620AE1">
        <w:rPr>
          <w:rFonts w:ascii="Arial" w:hAnsi="Arial" w:cs="Arial"/>
          <w:lang w:val="en-US"/>
        </w:rPr>
        <w:t xml:space="preserve">, Henry </w:t>
      </w:r>
      <w:proofErr w:type="spellStart"/>
      <w:r w:rsidRPr="00620AE1">
        <w:rPr>
          <w:rFonts w:ascii="Arial" w:hAnsi="Arial" w:cs="Arial"/>
          <w:lang w:val="en-US"/>
        </w:rPr>
        <w:t>Völzke</w:t>
      </w:r>
      <w:proofErr w:type="spellEnd"/>
      <w:r w:rsidRPr="00620AE1">
        <w:rPr>
          <w:rFonts w:ascii="Arial" w:hAnsi="Arial" w:cs="Arial"/>
          <w:lang w:val="en-US"/>
        </w:rPr>
        <w:t>, MD</w:t>
      </w:r>
      <w:r w:rsidRPr="00620AE1">
        <w:rPr>
          <w:rFonts w:ascii="Arial" w:hAnsi="Arial" w:cs="Arial"/>
          <w:vertAlign w:val="superscript"/>
          <w:lang w:val="en-US"/>
        </w:rPr>
        <w:t>6</w:t>
      </w:r>
      <w:r w:rsidRPr="00620AE1">
        <w:rPr>
          <w:rFonts w:ascii="Arial" w:hAnsi="Arial" w:cs="Arial"/>
          <w:lang w:val="en-US"/>
        </w:rPr>
        <w:t xml:space="preserve">, Markus M. </w:t>
      </w:r>
      <w:proofErr w:type="spellStart"/>
      <w:r w:rsidRPr="00620AE1">
        <w:rPr>
          <w:rFonts w:ascii="Arial" w:hAnsi="Arial" w:cs="Arial"/>
          <w:lang w:val="en-US"/>
        </w:rPr>
        <w:t>Lerch</w:t>
      </w:r>
      <w:proofErr w:type="spellEnd"/>
      <w:r w:rsidRPr="00620AE1">
        <w:rPr>
          <w:rFonts w:ascii="Arial" w:hAnsi="Arial" w:cs="Arial"/>
          <w:lang w:val="en-US"/>
        </w:rPr>
        <w:t>, MD</w:t>
      </w:r>
      <w:r w:rsidRPr="00620AE1">
        <w:rPr>
          <w:rFonts w:ascii="Arial" w:hAnsi="Arial" w:cs="Arial"/>
          <w:vertAlign w:val="superscript"/>
          <w:lang w:val="en-US"/>
        </w:rPr>
        <w:t>7</w:t>
      </w:r>
      <w:r w:rsidRPr="00620AE1">
        <w:rPr>
          <w:rFonts w:ascii="Arial" w:hAnsi="Arial" w:cs="Arial"/>
          <w:lang w:val="en-US"/>
        </w:rPr>
        <w:t xml:space="preserve">, Jean-Francois </w:t>
      </w:r>
      <w:proofErr w:type="spellStart"/>
      <w:r w:rsidRPr="00620AE1">
        <w:rPr>
          <w:rFonts w:ascii="Arial" w:hAnsi="Arial" w:cs="Arial"/>
          <w:lang w:val="en-US"/>
        </w:rPr>
        <w:t>Chenot</w:t>
      </w:r>
      <w:proofErr w:type="spellEnd"/>
      <w:r w:rsidRPr="00620AE1">
        <w:rPr>
          <w:rFonts w:ascii="Arial" w:hAnsi="Arial" w:cs="Arial"/>
          <w:lang w:val="en-US"/>
        </w:rPr>
        <w:t>, MD</w:t>
      </w:r>
      <w:r w:rsidRPr="00620AE1">
        <w:rPr>
          <w:rFonts w:ascii="Arial" w:hAnsi="Arial" w:cs="Arial"/>
          <w:vertAlign w:val="superscript"/>
          <w:lang w:val="en-US"/>
        </w:rPr>
        <w:t>6</w:t>
      </w:r>
      <w:r w:rsidRPr="00620AE1">
        <w:rPr>
          <w:rFonts w:ascii="Arial" w:hAnsi="Arial" w:cs="Arial"/>
          <w:lang w:val="en-US"/>
        </w:rPr>
        <w:t xml:space="preserve">, Ulf </w:t>
      </w:r>
      <w:proofErr w:type="spellStart"/>
      <w:r w:rsidRPr="00620AE1">
        <w:rPr>
          <w:rFonts w:ascii="Arial" w:hAnsi="Arial" w:cs="Arial"/>
          <w:lang w:val="en-US"/>
        </w:rPr>
        <w:t>Schminke</w:t>
      </w:r>
      <w:proofErr w:type="spellEnd"/>
      <w:r w:rsidRPr="00620AE1">
        <w:rPr>
          <w:rFonts w:ascii="Arial" w:hAnsi="Arial" w:cs="Arial"/>
          <w:lang w:val="en-US"/>
        </w:rPr>
        <w:t>, MD</w:t>
      </w:r>
      <w:r w:rsidRPr="00620AE1">
        <w:rPr>
          <w:rFonts w:ascii="Arial" w:hAnsi="Arial" w:cs="Arial"/>
          <w:vertAlign w:val="superscript"/>
          <w:lang w:val="en-US"/>
        </w:rPr>
        <w:t>8</w:t>
      </w:r>
      <w:r w:rsidRPr="00620AE1">
        <w:rPr>
          <w:rFonts w:ascii="Arial" w:hAnsi="Arial" w:cs="Arial"/>
          <w:lang w:val="en-US"/>
        </w:rPr>
        <w:t>, Michael Nolde, Dipl.-Math</w:t>
      </w:r>
      <w:r w:rsidRPr="00620AE1">
        <w:rPr>
          <w:rFonts w:ascii="Arial" w:hAnsi="Arial" w:cs="Arial"/>
          <w:vertAlign w:val="superscript"/>
          <w:lang w:val="en-US"/>
        </w:rPr>
        <w:t>1,2</w:t>
      </w:r>
      <w:r w:rsidRPr="00620AE1">
        <w:rPr>
          <w:rFonts w:ascii="Arial" w:hAnsi="Arial" w:cs="Arial"/>
          <w:lang w:val="en-US"/>
        </w:rPr>
        <w:t xml:space="preserve">, Ute </w:t>
      </w:r>
      <w:proofErr w:type="spellStart"/>
      <w:r w:rsidRPr="00620AE1">
        <w:rPr>
          <w:rFonts w:ascii="Arial" w:hAnsi="Arial" w:cs="Arial"/>
          <w:lang w:val="en-US"/>
        </w:rPr>
        <w:t>Amann</w:t>
      </w:r>
      <w:proofErr w:type="spellEnd"/>
      <w:r w:rsidRPr="00620AE1">
        <w:rPr>
          <w:rFonts w:ascii="Arial" w:hAnsi="Arial" w:cs="Arial"/>
          <w:lang w:val="en-US"/>
        </w:rPr>
        <w:t>, PhD</w:t>
      </w:r>
      <w:r w:rsidRPr="00620AE1">
        <w:rPr>
          <w:rFonts w:ascii="Arial" w:hAnsi="Arial" w:cs="Arial"/>
          <w:vertAlign w:val="superscript"/>
          <w:lang w:val="en-US"/>
        </w:rPr>
        <w:t>2</w:t>
      </w:r>
      <w:r w:rsidRPr="00620AE1">
        <w:rPr>
          <w:rFonts w:ascii="Arial" w:hAnsi="Arial" w:cs="Arial"/>
          <w:lang w:val="en-US"/>
        </w:rPr>
        <w:t>, Christa Meisinger, MD</w:t>
      </w:r>
      <w:r w:rsidRPr="00620AE1">
        <w:rPr>
          <w:rFonts w:ascii="Arial" w:hAnsi="Arial" w:cs="Arial"/>
          <w:vertAlign w:val="superscript"/>
          <w:lang w:val="en-US"/>
        </w:rPr>
        <w:t>,2</w:t>
      </w:r>
      <w:r w:rsidRPr="00620AE1">
        <w:rPr>
          <w:rFonts w:ascii="Arial" w:hAnsi="Arial" w:cs="Arial"/>
          <w:lang w:val="en-US"/>
        </w:rPr>
        <w:t xml:space="preserve">, </w:t>
      </w:r>
      <w:proofErr w:type="spellStart"/>
      <w:r w:rsidRPr="00620AE1">
        <w:rPr>
          <w:rFonts w:ascii="Arial" w:hAnsi="Arial" w:cs="Arial"/>
          <w:lang w:val="en-US"/>
        </w:rPr>
        <w:t>Jakob</w:t>
      </w:r>
      <w:proofErr w:type="spellEnd"/>
      <w:r w:rsidRPr="00620AE1">
        <w:rPr>
          <w:rFonts w:ascii="Arial" w:hAnsi="Arial" w:cs="Arial"/>
          <w:lang w:val="en-US"/>
        </w:rPr>
        <w:t xml:space="preserve"> </w:t>
      </w:r>
      <w:proofErr w:type="spellStart"/>
      <w:r w:rsidRPr="00620AE1">
        <w:rPr>
          <w:rFonts w:ascii="Arial" w:hAnsi="Arial" w:cs="Arial"/>
          <w:lang w:val="en-US"/>
        </w:rPr>
        <w:t>Linseisen</w:t>
      </w:r>
      <w:proofErr w:type="spellEnd"/>
      <w:r w:rsidRPr="00620AE1">
        <w:rPr>
          <w:rFonts w:ascii="Arial" w:hAnsi="Arial" w:cs="Arial"/>
          <w:lang w:val="en-US"/>
        </w:rPr>
        <w:t>, PhD</w:t>
      </w:r>
      <w:r w:rsidRPr="00620AE1">
        <w:rPr>
          <w:rFonts w:ascii="Arial" w:hAnsi="Arial" w:cs="Arial"/>
          <w:vertAlign w:val="superscript"/>
          <w:lang w:val="en-US"/>
        </w:rPr>
        <w:t xml:space="preserve">1,2 </w:t>
      </w:r>
      <w:r w:rsidRPr="00620AE1">
        <w:rPr>
          <w:rFonts w:ascii="Arial" w:hAnsi="Arial" w:cs="Arial"/>
          <w:lang w:val="en-US"/>
        </w:rPr>
        <w:t>, Sebastian E. Baumeister, PhD</w:t>
      </w:r>
      <w:r w:rsidRPr="00620AE1">
        <w:rPr>
          <w:rFonts w:ascii="Arial" w:hAnsi="Arial" w:cs="Arial"/>
          <w:vertAlign w:val="superscript"/>
          <w:lang w:val="en-US"/>
        </w:rPr>
        <w:t>1,2</w:t>
      </w:r>
      <w:r w:rsidRPr="00620AE1">
        <w:rPr>
          <w:rFonts w:ascii="Arial" w:hAnsi="Arial" w:cs="Arial"/>
          <w:lang w:val="en-US"/>
        </w:rPr>
        <w:t>, Hans-</w:t>
      </w:r>
      <w:proofErr w:type="spellStart"/>
      <w:r w:rsidRPr="00620AE1">
        <w:rPr>
          <w:rFonts w:ascii="Arial" w:hAnsi="Arial" w:cs="Arial"/>
          <w:lang w:val="en-US"/>
        </w:rPr>
        <w:t>Jörgen</w:t>
      </w:r>
      <w:proofErr w:type="spellEnd"/>
      <w:r w:rsidRPr="00620AE1">
        <w:rPr>
          <w:rFonts w:ascii="Arial" w:hAnsi="Arial" w:cs="Arial"/>
          <w:lang w:val="en-US"/>
        </w:rPr>
        <w:t xml:space="preserve"> </w:t>
      </w:r>
      <w:proofErr w:type="spellStart"/>
      <w:r w:rsidRPr="00620AE1">
        <w:rPr>
          <w:rFonts w:ascii="Arial" w:hAnsi="Arial" w:cs="Arial"/>
          <w:lang w:val="en-US"/>
        </w:rPr>
        <w:t>Grabe</w:t>
      </w:r>
      <w:proofErr w:type="spellEnd"/>
      <w:r w:rsidRPr="00620AE1">
        <w:rPr>
          <w:rFonts w:ascii="Arial" w:hAnsi="Arial" w:cs="Arial"/>
          <w:lang w:val="en-US"/>
        </w:rPr>
        <w:t xml:space="preserve">, MD </w:t>
      </w:r>
      <w:r w:rsidRPr="00620AE1">
        <w:rPr>
          <w:rFonts w:ascii="Arial" w:hAnsi="Arial" w:cs="Arial"/>
          <w:vertAlign w:val="superscript"/>
          <w:lang w:val="en-US"/>
        </w:rPr>
        <w:t>3,4</w:t>
      </w:r>
      <w:r w:rsidRPr="00620AE1">
        <w:rPr>
          <w:lang w:val="en-US"/>
        </w:rPr>
        <w:t>*</w:t>
      </w:r>
      <w:r w:rsidRPr="00620AE1">
        <w:rPr>
          <w:rFonts w:ascii="Arial" w:hAnsi="Arial" w:cs="Arial"/>
          <w:lang w:val="en-US"/>
        </w:rPr>
        <w:t>, Ina-Maria Rückert-</w:t>
      </w:r>
      <w:proofErr w:type="spellStart"/>
      <w:r w:rsidRPr="00620AE1">
        <w:rPr>
          <w:rFonts w:ascii="Arial" w:hAnsi="Arial" w:cs="Arial"/>
          <w:lang w:val="en-US"/>
        </w:rPr>
        <w:t>Eheberg</w:t>
      </w:r>
      <w:proofErr w:type="spellEnd"/>
      <w:r w:rsidRPr="00620AE1">
        <w:rPr>
          <w:rFonts w:ascii="Arial" w:hAnsi="Arial" w:cs="Arial"/>
          <w:lang w:val="en-US"/>
        </w:rPr>
        <w:t>, PhD</w:t>
      </w:r>
      <w:r w:rsidRPr="00620AE1">
        <w:rPr>
          <w:rFonts w:ascii="Arial" w:hAnsi="Arial" w:cs="Arial"/>
          <w:vertAlign w:val="superscript"/>
          <w:lang w:val="en-US"/>
        </w:rPr>
        <w:t>1,9</w:t>
      </w:r>
      <w:r w:rsidRPr="00620AE1">
        <w:rPr>
          <w:lang w:val="en-US"/>
        </w:rPr>
        <w:t>*</w:t>
      </w:r>
    </w:p>
    <w:p w14:paraId="4D33B199" w14:textId="77777777" w:rsidR="00CD2F06" w:rsidRDefault="00CD2F06">
      <w:pPr>
        <w:spacing w:after="0" w:line="360" w:lineRule="auto"/>
        <w:rPr>
          <w:rFonts w:ascii="Arial" w:hAnsi="Arial" w:cs="Arial"/>
          <w:vertAlign w:val="superscript"/>
          <w:lang w:val="en-US"/>
        </w:rPr>
      </w:pPr>
    </w:p>
    <w:p w14:paraId="55ADC371" w14:textId="77777777" w:rsidR="00DB4040" w:rsidRDefault="00762861">
      <w:pPr>
        <w:spacing w:after="0" w:line="360" w:lineRule="auto"/>
        <w:rPr>
          <w:rFonts w:ascii="Arial" w:hAnsi="Arial" w:cs="Arial"/>
          <w:sz w:val="18"/>
          <w:szCs w:val="18"/>
        </w:rPr>
      </w:pPr>
      <w:r>
        <w:rPr>
          <w:rFonts w:ascii="Arial" w:hAnsi="Arial" w:cs="Arial"/>
          <w:sz w:val="18"/>
          <w:szCs w:val="18"/>
        </w:rPr>
        <w:t xml:space="preserve">1 </w:t>
      </w:r>
      <w:proofErr w:type="spellStart"/>
      <w:r>
        <w:rPr>
          <w:rFonts w:ascii="Arial" w:hAnsi="Arial" w:cs="Arial"/>
          <w:sz w:val="18"/>
          <w:szCs w:val="18"/>
        </w:rPr>
        <w:t>Chair</w:t>
      </w:r>
      <w:proofErr w:type="spellEnd"/>
      <w:r>
        <w:rPr>
          <w:rFonts w:ascii="Arial" w:hAnsi="Arial" w:cs="Arial"/>
          <w:sz w:val="18"/>
          <w:szCs w:val="18"/>
        </w:rPr>
        <w:t xml:space="preserve"> </w:t>
      </w:r>
      <w:proofErr w:type="spellStart"/>
      <w:r>
        <w:rPr>
          <w:rFonts w:ascii="Arial" w:hAnsi="Arial" w:cs="Arial"/>
          <w:sz w:val="18"/>
          <w:szCs w:val="18"/>
        </w:rPr>
        <w:t>of</w:t>
      </w:r>
      <w:proofErr w:type="spellEnd"/>
      <w:r>
        <w:rPr>
          <w:rFonts w:ascii="Arial" w:hAnsi="Arial" w:cs="Arial"/>
          <w:sz w:val="18"/>
          <w:szCs w:val="18"/>
        </w:rPr>
        <w:t xml:space="preserve"> </w:t>
      </w:r>
      <w:proofErr w:type="spellStart"/>
      <w:r>
        <w:rPr>
          <w:rFonts w:ascii="Arial" w:hAnsi="Arial" w:cs="Arial"/>
          <w:sz w:val="18"/>
          <w:szCs w:val="18"/>
        </w:rPr>
        <w:t>Epidemiology</w:t>
      </w:r>
      <w:proofErr w:type="spellEnd"/>
      <w:r>
        <w:rPr>
          <w:rFonts w:ascii="Arial" w:hAnsi="Arial" w:cs="Arial"/>
          <w:sz w:val="18"/>
          <w:szCs w:val="18"/>
        </w:rPr>
        <w:t>, Ludwig-Maximilians-Universität München, UNIKA-T Augsburg, Augsburg, Germany</w:t>
      </w:r>
    </w:p>
    <w:p w14:paraId="062FB3E6" w14:textId="77777777" w:rsidR="00DB4040" w:rsidRDefault="00762861">
      <w:pPr>
        <w:spacing w:after="0" w:line="360" w:lineRule="auto"/>
        <w:rPr>
          <w:rFonts w:ascii="Arial" w:hAnsi="Arial" w:cs="Arial"/>
          <w:sz w:val="18"/>
          <w:szCs w:val="18"/>
          <w:lang w:val="en-US"/>
        </w:rPr>
      </w:pPr>
      <w:r>
        <w:rPr>
          <w:rFonts w:ascii="Arial" w:hAnsi="Arial" w:cs="Arial"/>
          <w:sz w:val="18"/>
          <w:szCs w:val="18"/>
          <w:lang w:val="en-US"/>
        </w:rPr>
        <w:t xml:space="preserve">2 Independent Research Group Clinical Epidemiology, Helmholtz </w:t>
      </w:r>
      <w:proofErr w:type="spellStart"/>
      <w:r>
        <w:rPr>
          <w:rFonts w:ascii="Arial" w:hAnsi="Arial" w:cs="Arial"/>
          <w:sz w:val="18"/>
          <w:szCs w:val="18"/>
          <w:lang w:val="en-US"/>
        </w:rPr>
        <w:t>Zentrum</w:t>
      </w:r>
      <w:proofErr w:type="spellEnd"/>
      <w:r>
        <w:rPr>
          <w:rFonts w:ascii="Arial" w:hAnsi="Arial" w:cs="Arial"/>
          <w:sz w:val="18"/>
          <w:szCs w:val="18"/>
          <w:lang w:val="en-US"/>
        </w:rPr>
        <w:t xml:space="preserve"> </w:t>
      </w:r>
      <w:proofErr w:type="spellStart"/>
      <w:r>
        <w:rPr>
          <w:rFonts w:ascii="Arial" w:hAnsi="Arial" w:cs="Arial"/>
          <w:sz w:val="18"/>
          <w:szCs w:val="18"/>
          <w:lang w:val="en-US"/>
        </w:rPr>
        <w:t>München</w:t>
      </w:r>
      <w:proofErr w:type="spellEnd"/>
      <w:r>
        <w:rPr>
          <w:rFonts w:ascii="Arial" w:hAnsi="Arial" w:cs="Arial"/>
          <w:sz w:val="18"/>
          <w:szCs w:val="18"/>
          <w:lang w:val="en-US"/>
        </w:rPr>
        <w:t xml:space="preserve">, German Research Center for Environmental Health </w:t>
      </w:r>
      <w:r w:rsidRPr="00B50E30">
        <w:rPr>
          <w:rFonts w:ascii="Arial" w:hAnsi="Arial" w:cs="Arial"/>
          <w:sz w:val="18"/>
          <w:szCs w:val="18"/>
          <w:lang w:val="en-US"/>
        </w:rPr>
        <w:t>(GmbH)</w:t>
      </w:r>
      <w:r>
        <w:rPr>
          <w:rFonts w:ascii="Arial" w:hAnsi="Arial" w:cs="Arial"/>
          <w:sz w:val="18"/>
          <w:szCs w:val="18"/>
          <w:lang w:val="en-US"/>
        </w:rPr>
        <w:t xml:space="preserve">, </w:t>
      </w:r>
      <w:proofErr w:type="spellStart"/>
      <w:r>
        <w:rPr>
          <w:rFonts w:ascii="Arial" w:hAnsi="Arial" w:cs="Arial"/>
          <w:sz w:val="18"/>
          <w:szCs w:val="18"/>
          <w:lang w:val="en-US"/>
        </w:rPr>
        <w:t>Neuherberg</w:t>
      </w:r>
      <w:proofErr w:type="spellEnd"/>
      <w:r>
        <w:rPr>
          <w:rFonts w:ascii="Arial" w:hAnsi="Arial" w:cs="Arial"/>
          <w:sz w:val="18"/>
          <w:szCs w:val="18"/>
          <w:lang w:val="en-US"/>
        </w:rPr>
        <w:t>, Germany</w:t>
      </w:r>
    </w:p>
    <w:p w14:paraId="6F153CF8" w14:textId="77777777" w:rsidR="00DB4040" w:rsidRDefault="00762861">
      <w:pPr>
        <w:spacing w:after="0" w:line="360" w:lineRule="auto"/>
        <w:rPr>
          <w:rFonts w:ascii="Arial" w:hAnsi="Arial" w:cs="Arial"/>
          <w:sz w:val="18"/>
          <w:szCs w:val="18"/>
          <w:lang w:val="en-US"/>
        </w:rPr>
      </w:pPr>
      <w:proofErr w:type="gramStart"/>
      <w:r>
        <w:rPr>
          <w:rFonts w:ascii="Arial" w:hAnsi="Arial" w:cs="Arial"/>
          <w:sz w:val="18"/>
          <w:szCs w:val="18"/>
          <w:lang w:val="en-US"/>
        </w:rPr>
        <w:t>3</w:t>
      </w:r>
      <w:proofErr w:type="gramEnd"/>
      <w:r>
        <w:rPr>
          <w:rFonts w:ascii="Arial" w:hAnsi="Arial" w:cs="Arial"/>
          <w:sz w:val="18"/>
          <w:szCs w:val="18"/>
          <w:lang w:val="en-US"/>
        </w:rPr>
        <w:t xml:space="preserve"> Department of Psychiatry and Psychotherapy, University Medicine Greifswald, Greifswald, Germany</w:t>
      </w:r>
    </w:p>
    <w:p w14:paraId="1CD0DBB3" w14:textId="4FA1ED48" w:rsidR="00DB4040" w:rsidRDefault="00762861">
      <w:pPr>
        <w:spacing w:after="0" w:line="360" w:lineRule="auto"/>
        <w:rPr>
          <w:rFonts w:ascii="Arial" w:hAnsi="Arial" w:cs="Arial"/>
          <w:sz w:val="18"/>
          <w:szCs w:val="18"/>
          <w:lang w:val="en-US"/>
        </w:rPr>
      </w:pPr>
      <w:proofErr w:type="gramStart"/>
      <w:r>
        <w:rPr>
          <w:rFonts w:ascii="Arial" w:hAnsi="Arial" w:cs="Arial"/>
          <w:sz w:val="18"/>
          <w:szCs w:val="18"/>
          <w:lang w:val="en-US"/>
        </w:rPr>
        <w:t>4</w:t>
      </w:r>
      <w:proofErr w:type="gramEnd"/>
      <w:r>
        <w:rPr>
          <w:rFonts w:ascii="Arial" w:hAnsi="Arial" w:cs="Arial"/>
          <w:sz w:val="18"/>
          <w:szCs w:val="18"/>
          <w:lang w:val="en-US"/>
        </w:rPr>
        <w:t xml:space="preserve"> German Center for Neurodegenerative Diseases (DZNE), Greifswald/R</w:t>
      </w:r>
      <w:r w:rsidR="008A6707">
        <w:rPr>
          <w:rFonts w:ascii="Arial" w:hAnsi="Arial" w:cs="Arial"/>
          <w:sz w:val="18"/>
          <w:szCs w:val="18"/>
          <w:lang w:val="en-US"/>
        </w:rPr>
        <w:t>o</w:t>
      </w:r>
      <w:r>
        <w:rPr>
          <w:rFonts w:ascii="Arial" w:hAnsi="Arial" w:cs="Arial"/>
          <w:sz w:val="18"/>
          <w:szCs w:val="18"/>
          <w:lang w:val="en-US"/>
        </w:rPr>
        <w:t>stock, Site Greifswald, Germany</w:t>
      </w:r>
    </w:p>
    <w:p w14:paraId="13892132" w14:textId="77777777" w:rsidR="00DB4040" w:rsidRDefault="00762861">
      <w:pPr>
        <w:spacing w:after="0" w:line="360" w:lineRule="auto"/>
        <w:rPr>
          <w:rFonts w:ascii="Arial" w:hAnsi="Arial" w:cs="Arial"/>
          <w:sz w:val="18"/>
          <w:szCs w:val="18"/>
          <w:lang w:val="en-US"/>
        </w:rPr>
      </w:pPr>
      <w:proofErr w:type="gramStart"/>
      <w:r>
        <w:rPr>
          <w:rFonts w:ascii="Arial" w:hAnsi="Arial" w:cs="Arial"/>
          <w:color w:val="000000"/>
          <w:sz w:val="18"/>
          <w:szCs w:val="18"/>
          <w:shd w:val="clear" w:color="auto" w:fill="FFFFFF"/>
          <w:lang w:val="en-US"/>
        </w:rPr>
        <w:t>5</w:t>
      </w:r>
      <w:proofErr w:type="gramEnd"/>
      <w:r>
        <w:rPr>
          <w:rFonts w:ascii="Arial" w:hAnsi="Arial" w:cs="Arial"/>
          <w:color w:val="000000"/>
          <w:sz w:val="18"/>
          <w:szCs w:val="18"/>
          <w:shd w:val="clear" w:color="auto" w:fill="FFFFFF"/>
          <w:lang w:val="en-US"/>
        </w:rPr>
        <w:t xml:space="preserve"> Institute for Diagnostic Radiology and Neuroradiology, University Medicine Greifswald, Greifswald, Germany</w:t>
      </w:r>
    </w:p>
    <w:p w14:paraId="0ECB335D" w14:textId="77777777" w:rsidR="00DB4040" w:rsidRDefault="00762861">
      <w:pPr>
        <w:spacing w:after="0" w:line="360" w:lineRule="auto"/>
        <w:rPr>
          <w:rFonts w:ascii="Arial" w:hAnsi="Arial" w:cs="Arial"/>
          <w:sz w:val="18"/>
          <w:szCs w:val="18"/>
          <w:lang w:val="en-US"/>
        </w:rPr>
      </w:pPr>
      <w:proofErr w:type="gramStart"/>
      <w:r>
        <w:rPr>
          <w:rFonts w:ascii="Arial" w:hAnsi="Arial" w:cs="Arial"/>
          <w:sz w:val="18"/>
          <w:szCs w:val="18"/>
          <w:lang w:val="en-US"/>
        </w:rPr>
        <w:t>6</w:t>
      </w:r>
      <w:proofErr w:type="gramEnd"/>
      <w:r>
        <w:rPr>
          <w:rFonts w:ascii="Arial" w:hAnsi="Arial" w:cs="Arial"/>
          <w:sz w:val="18"/>
          <w:szCs w:val="18"/>
          <w:lang w:val="en-US"/>
        </w:rPr>
        <w:t xml:space="preserve"> Institute for Community Medicine, University Medicine Greifswald, Greifswald, Germany</w:t>
      </w:r>
    </w:p>
    <w:p w14:paraId="247E331B" w14:textId="77777777" w:rsidR="00DB4040" w:rsidRDefault="00762861">
      <w:pPr>
        <w:spacing w:after="0" w:line="360" w:lineRule="auto"/>
        <w:rPr>
          <w:rFonts w:ascii="Arial" w:hAnsi="Arial" w:cs="Arial"/>
          <w:sz w:val="18"/>
          <w:szCs w:val="18"/>
          <w:lang w:val="en-US"/>
        </w:rPr>
      </w:pPr>
      <w:proofErr w:type="gramStart"/>
      <w:r>
        <w:rPr>
          <w:rFonts w:ascii="Arial" w:hAnsi="Arial" w:cs="Arial"/>
          <w:sz w:val="18"/>
          <w:szCs w:val="18"/>
          <w:lang w:val="en-US"/>
        </w:rPr>
        <w:t>7</w:t>
      </w:r>
      <w:proofErr w:type="gramEnd"/>
      <w:r>
        <w:rPr>
          <w:rFonts w:ascii="Arial" w:hAnsi="Arial" w:cs="Arial"/>
          <w:sz w:val="18"/>
          <w:szCs w:val="18"/>
          <w:lang w:val="en-US"/>
        </w:rPr>
        <w:t xml:space="preserve"> Department of Medicine A, University Medicine Greifswald, Greifswald, Germany</w:t>
      </w:r>
    </w:p>
    <w:p w14:paraId="187B4EC1" w14:textId="77777777" w:rsidR="00DB4040" w:rsidRDefault="00762861">
      <w:pPr>
        <w:spacing w:after="0" w:line="360" w:lineRule="auto"/>
        <w:rPr>
          <w:rFonts w:ascii="Arial" w:hAnsi="Arial" w:cs="Arial"/>
          <w:sz w:val="18"/>
          <w:szCs w:val="18"/>
          <w:lang w:val="en-US"/>
        </w:rPr>
      </w:pPr>
      <w:proofErr w:type="gramStart"/>
      <w:r>
        <w:rPr>
          <w:rFonts w:ascii="Arial" w:hAnsi="Arial" w:cs="Arial"/>
          <w:sz w:val="18"/>
          <w:szCs w:val="18"/>
          <w:lang w:val="en-US"/>
        </w:rPr>
        <w:t>8</w:t>
      </w:r>
      <w:proofErr w:type="gramEnd"/>
      <w:r>
        <w:rPr>
          <w:rFonts w:ascii="Arial" w:hAnsi="Arial" w:cs="Arial"/>
          <w:sz w:val="18"/>
          <w:szCs w:val="18"/>
          <w:lang w:val="en-US"/>
        </w:rPr>
        <w:t xml:space="preserve"> Department of Neurology, University Medicine Greifswald, Greifswald, Germany </w:t>
      </w:r>
    </w:p>
    <w:p w14:paraId="4D890194" w14:textId="77777777" w:rsidR="00DB4040" w:rsidRDefault="00762861">
      <w:pPr>
        <w:spacing w:after="0" w:line="360" w:lineRule="auto"/>
        <w:rPr>
          <w:rFonts w:ascii="Arial" w:hAnsi="Arial" w:cs="Arial"/>
          <w:sz w:val="18"/>
          <w:szCs w:val="18"/>
          <w:lang w:val="en-US"/>
        </w:rPr>
      </w:pPr>
      <w:proofErr w:type="gramStart"/>
      <w:r w:rsidRPr="00DA3ABC">
        <w:rPr>
          <w:rFonts w:ascii="Arial" w:hAnsi="Arial" w:cs="Arial"/>
          <w:sz w:val="18"/>
          <w:szCs w:val="18"/>
          <w:lang w:val="en-US"/>
        </w:rPr>
        <w:t>9</w:t>
      </w:r>
      <w:proofErr w:type="gramEnd"/>
      <w:r w:rsidRPr="00DA3ABC">
        <w:rPr>
          <w:rFonts w:ascii="Arial" w:hAnsi="Arial" w:cs="Arial"/>
          <w:sz w:val="18"/>
          <w:szCs w:val="18"/>
          <w:lang w:val="en-US"/>
        </w:rPr>
        <w:t xml:space="preserve"> Institute of Epidemiology, Helmholtz </w:t>
      </w:r>
      <w:proofErr w:type="spellStart"/>
      <w:r w:rsidRPr="00DA3ABC">
        <w:rPr>
          <w:rFonts w:ascii="Arial" w:hAnsi="Arial" w:cs="Arial"/>
          <w:sz w:val="18"/>
          <w:szCs w:val="18"/>
          <w:lang w:val="en-US"/>
        </w:rPr>
        <w:t>Zentrum</w:t>
      </w:r>
      <w:proofErr w:type="spellEnd"/>
      <w:r w:rsidRPr="00DA3ABC">
        <w:rPr>
          <w:rFonts w:ascii="Arial" w:hAnsi="Arial" w:cs="Arial"/>
          <w:sz w:val="18"/>
          <w:szCs w:val="18"/>
          <w:lang w:val="en-US"/>
        </w:rPr>
        <w:t xml:space="preserve"> </w:t>
      </w:r>
      <w:proofErr w:type="spellStart"/>
      <w:r w:rsidRPr="00DA3ABC">
        <w:rPr>
          <w:rFonts w:ascii="Arial" w:hAnsi="Arial" w:cs="Arial"/>
          <w:sz w:val="18"/>
          <w:szCs w:val="18"/>
          <w:lang w:val="en-US"/>
        </w:rPr>
        <w:t>München</w:t>
      </w:r>
      <w:proofErr w:type="spellEnd"/>
      <w:r w:rsidRPr="00DA3ABC">
        <w:rPr>
          <w:rFonts w:ascii="Arial" w:hAnsi="Arial" w:cs="Arial"/>
          <w:sz w:val="18"/>
          <w:szCs w:val="18"/>
          <w:lang w:val="en-US"/>
        </w:rPr>
        <w:t xml:space="preserve">, German Research Center for Environmental Health (GmbH), </w:t>
      </w:r>
      <w:proofErr w:type="spellStart"/>
      <w:r w:rsidRPr="00DA3ABC">
        <w:rPr>
          <w:rFonts w:ascii="Arial" w:hAnsi="Arial" w:cs="Arial"/>
          <w:sz w:val="18"/>
          <w:szCs w:val="18"/>
          <w:lang w:val="en-US"/>
        </w:rPr>
        <w:t>Neuherberg</w:t>
      </w:r>
      <w:proofErr w:type="spellEnd"/>
      <w:r w:rsidRPr="00DA3ABC">
        <w:rPr>
          <w:rFonts w:ascii="Arial" w:hAnsi="Arial" w:cs="Arial"/>
          <w:sz w:val="18"/>
          <w:szCs w:val="18"/>
          <w:lang w:val="en-US"/>
        </w:rPr>
        <w:t xml:space="preserve">, Germany </w:t>
      </w:r>
    </w:p>
    <w:p w14:paraId="1C0E5ED6" w14:textId="77777777" w:rsidR="00DB4040" w:rsidRDefault="00762861">
      <w:pPr>
        <w:spacing w:after="0" w:line="360" w:lineRule="auto"/>
        <w:rPr>
          <w:rFonts w:ascii="Arial" w:hAnsi="Arial" w:cs="Arial"/>
          <w:sz w:val="18"/>
          <w:szCs w:val="18"/>
          <w:lang w:val="en-US"/>
        </w:rPr>
      </w:pPr>
      <w:r>
        <w:rPr>
          <w:rFonts w:ascii="Arial" w:hAnsi="Arial" w:cs="Arial"/>
          <w:sz w:val="18"/>
          <w:szCs w:val="18"/>
          <w:lang w:val="en-US"/>
        </w:rPr>
        <w:t>*contributed equally</w:t>
      </w:r>
    </w:p>
    <w:p w14:paraId="68DF1FFD" w14:textId="77777777" w:rsidR="00DB4040" w:rsidRDefault="00DB4040" w:rsidP="00620AE1">
      <w:pPr>
        <w:spacing w:after="0" w:line="276" w:lineRule="auto"/>
        <w:rPr>
          <w:rFonts w:ascii="Arial" w:hAnsi="Arial" w:cs="Arial"/>
          <w:lang w:val="en-US"/>
        </w:rPr>
      </w:pPr>
    </w:p>
    <w:p w14:paraId="52DB2B03" w14:textId="77777777" w:rsidR="00DB4040" w:rsidRDefault="00762861" w:rsidP="00620AE1">
      <w:pPr>
        <w:spacing w:after="0" w:line="360" w:lineRule="auto"/>
        <w:rPr>
          <w:rFonts w:ascii="Arial" w:hAnsi="Arial" w:cs="Arial"/>
          <w:b/>
          <w:lang w:val="en-US"/>
        </w:rPr>
      </w:pPr>
      <w:r>
        <w:rPr>
          <w:rFonts w:ascii="Arial" w:hAnsi="Arial" w:cs="Arial"/>
          <w:b/>
          <w:lang w:val="en-US"/>
        </w:rPr>
        <w:t xml:space="preserve">Corresponding author </w:t>
      </w:r>
    </w:p>
    <w:p w14:paraId="3D0E06D4" w14:textId="77777777" w:rsidR="00DB4040" w:rsidRDefault="00762861" w:rsidP="00620AE1">
      <w:pPr>
        <w:spacing w:after="0" w:line="360" w:lineRule="auto"/>
        <w:rPr>
          <w:rFonts w:ascii="Arial" w:hAnsi="Arial" w:cs="Arial"/>
          <w:lang w:val="en-US"/>
        </w:rPr>
      </w:pPr>
      <w:r>
        <w:rPr>
          <w:rFonts w:ascii="Arial" w:hAnsi="Arial" w:cs="Arial"/>
          <w:lang w:val="en-US"/>
        </w:rPr>
        <w:t>Nayeon Ahn</w:t>
      </w:r>
    </w:p>
    <w:p w14:paraId="5E28CCB4" w14:textId="5D253121" w:rsidR="00DB4040" w:rsidRDefault="00762861" w:rsidP="00620AE1">
      <w:pPr>
        <w:spacing w:after="0" w:line="360" w:lineRule="auto"/>
        <w:rPr>
          <w:rFonts w:ascii="Arial" w:hAnsi="Arial" w:cs="Arial"/>
        </w:rPr>
      </w:pPr>
      <w:proofErr w:type="spellStart"/>
      <w:r>
        <w:rPr>
          <w:rFonts w:ascii="Arial" w:hAnsi="Arial" w:cs="Arial"/>
        </w:rPr>
        <w:t>Chair</w:t>
      </w:r>
      <w:proofErr w:type="spellEnd"/>
      <w:r>
        <w:rPr>
          <w:rFonts w:ascii="Arial" w:hAnsi="Arial" w:cs="Arial"/>
        </w:rPr>
        <w:t xml:space="preserve"> </w:t>
      </w:r>
      <w:proofErr w:type="spellStart"/>
      <w:r>
        <w:rPr>
          <w:rFonts w:ascii="Arial" w:hAnsi="Arial" w:cs="Arial"/>
        </w:rPr>
        <w:t>of</w:t>
      </w:r>
      <w:proofErr w:type="spellEnd"/>
      <w:r>
        <w:rPr>
          <w:rFonts w:ascii="Arial" w:hAnsi="Arial" w:cs="Arial"/>
        </w:rPr>
        <w:t xml:space="preserve"> </w:t>
      </w:r>
      <w:proofErr w:type="spellStart"/>
      <w:r>
        <w:rPr>
          <w:rFonts w:ascii="Arial" w:hAnsi="Arial" w:cs="Arial"/>
        </w:rPr>
        <w:t>Epidemiology</w:t>
      </w:r>
      <w:proofErr w:type="spellEnd"/>
      <w:r>
        <w:rPr>
          <w:rFonts w:ascii="Arial" w:hAnsi="Arial" w:cs="Arial"/>
        </w:rPr>
        <w:t xml:space="preserve">, Ludwig-Maximilians-Universität München, UNIKA-T Augsburg, </w:t>
      </w:r>
      <w:proofErr w:type="spellStart"/>
      <w:r>
        <w:rPr>
          <w:rFonts w:ascii="Arial" w:hAnsi="Arial" w:cs="Arial"/>
        </w:rPr>
        <w:t>Neusässer</w:t>
      </w:r>
      <w:proofErr w:type="spellEnd"/>
      <w:r>
        <w:rPr>
          <w:rFonts w:ascii="Arial" w:hAnsi="Arial" w:cs="Arial"/>
        </w:rPr>
        <w:t xml:space="preserve"> Str. 47, 86156 Augsburg, Germany</w:t>
      </w:r>
    </w:p>
    <w:p w14:paraId="5E41FF7D" w14:textId="77777777" w:rsidR="00DB4040" w:rsidRDefault="00762861" w:rsidP="00620AE1">
      <w:pPr>
        <w:spacing w:after="0" w:line="360" w:lineRule="auto"/>
        <w:rPr>
          <w:rFonts w:ascii="Arial" w:hAnsi="Arial" w:cs="Arial"/>
          <w:lang w:val="en-US"/>
        </w:rPr>
      </w:pPr>
      <w:r>
        <w:rPr>
          <w:rFonts w:ascii="Arial" w:hAnsi="Arial" w:cs="Arial"/>
          <w:lang w:val="en-US"/>
        </w:rPr>
        <w:t xml:space="preserve">Email: </w:t>
      </w:r>
      <w:hyperlink r:id="rId8" w:history="1">
        <w:r>
          <w:rPr>
            <w:rStyle w:val="Hyperlink"/>
            <w:rFonts w:ascii="Arial" w:hAnsi="Arial" w:cs="Arial"/>
            <w:lang w:val="en-US"/>
          </w:rPr>
          <w:t>n.ahn@unika-t.de</w:t>
        </w:r>
      </w:hyperlink>
    </w:p>
    <w:p w14:paraId="24F3400B" w14:textId="69AC4C10" w:rsidR="00DB4040" w:rsidRDefault="00762861" w:rsidP="00620AE1">
      <w:pPr>
        <w:spacing w:after="0" w:line="360" w:lineRule="auto"/>
        <w:rPr>
          <w:rFonts w:ascii="Arial" w:hAnsi="Arial" w:cs="Arial"/>
          <w:lang w:val="en-US"/>
        </w:rPr>
      </w:pPr>
      <w:r>
        <w:rPr>
          <w:rFonts w:ascii="Arial" w:hAnsi="Arial" w:cs="Arial"/>
          <w:lang w:val="en-US"/>
        </w:rPr>
        <w:t>Tel: +49 821 598-6463    Fax: +49 821 598-6468</w:t>
      </w:r>
    </w:p>
    <w:p w14:paraId="11EEEED6" w14:textId="77777777" w:rsidR="003A43DF" w:rsidRDefault="003A43DF" w:rsidP="00620AE1">
      <w:pPr>
        <w:spacing w:after="0" w:line="360" w:lineRule="auto"/>
        <w:rPr>
          <w:rFonts w:ascii="Arial" w:hAnsi="Arial" w:cs="Arial"/>
          <w:lang w:val="en-US"/>
        </w:rPr>
      </w:pPr>
    </w:p>
    <w:p w14:paraId="6DADFBC0" w14:textId="77777777" w:rsidR="00DB4040" w:rsidRDefault="00762861" w:rsidP="00620AE1">
      <w:pPr>
        <w:spacing w:after="0" w:line="360" w:lineRule="auto"/>
        <w:rPr>
          <w:rFonts w:ascii="Arial" w:hAnsi="Arial" w:cs="Arial"/>
          <w:b/>
          <w:lang w:val="en-US"/>
        </w:rPr>
      </w:pPr>
      <w:r>
        <w:rPr>
          <w:rFonts w:ascii="Arial" w:hAnsi="Arial" w:cs="Arial"/>
          <w:b/>
          <w:lang w:val="en-US"/>
        </w:rPr>
        <w:t>Statistical Analysis</w:t>
      </w:r>
    </w:p>
    <w:p w14:paraId="469FE9F0" w14:textId="77777777" w:rsidR="00DB4040" w:rsidRDefault="00762861" w:rsidP="00620AE1">
      <w:pPr>
        <w:spacing w:after="0" w:line="360" w:lineRule="auto"/>
        <w:rPr>
          <w:rFonts w:ascii="Arial" w:hAnsi="Arial" w:cs="Arial"/>
          <w:lang w:val="en-US"/>
        </w:rPr>
      </w:pPr>
      <w:proofErr w:type="gramStart"/>
      <w:r>
        <w:rPr>
          <w:rFonts w:ascii="Arial" w:hAnsi="Arial" w:cs="Arial"/>
          <w:lang w:val="en-US"/>
        </w:rPr>
        <w:t>The statistical analysis was completed by N. Ahn</w:t>
      </w:r>
      <w:proofErr w:type="gramEnd"/>
      <w:r>
        <w:rPr>
          <w:rFonts w:ascii="Arial" w:hAnsi="Arial" w:cs="Arial"/>
          <w:lang w:val="en-US"/>
        </w:rPr>
        <w:t xml:space="preserve">. Please see contact information above. </w:t>
      </w:r>
    </w:p>
    <w:p w14:paraId="7FDE7952" w14:textId="77777777" w:rsidR="00DB4040" w:rsidRDefault="00DB4040" w:rsidP="00620AE1">
      <w:pPr>
        <w:spacing w:after="0" w:line="360" w:lineRule="auto"/>
        <w:rPr>
          <w:rFonts w:ascii="Arial" w:hAnsi="Arial" w:cs="Arial"/>
          <w:lang w:val="en-US"/>
        </w:rPr>
      </w:pPr>
    </w:p>
    <w:p w14:paraId="14E13687" w14:textId="76DAB659" w:rsidR="00DB4040" w:rsidRDefault="00762861" w:rsidP="00620AE1">
      <w:pPr>
        <w:spacing w:after="0" w:line="360" w:lineRule="auto"/>
        <w:rPr>
          <w:rFonts w:ascii="Arial" w:hAnsi="Arial" w:cs="Arial"/>
          <w:b/>
          <w:lang w:val="en-US"/>
        </w:rPr>
      </w:pPr>
      <w:r>
        <w:rPr>
          <w:rFonts w:ascii="Arial" w:hAnsi="Arial" w:cs="Arial"/>
          <w:b/>
          <w:lang w:val="en-US"/>
        </w:rPr>
        <w:t xml:space="preserve">Count of title characters: </w:t>
      </w:r>
      <w:r>
        <w:rPr>
          <w:rFonts w:ascii="Arial" w:hAnsi="Arial" w:cs="Arial"/>
          <w:lang w:val="en-US"/>
        </w:rPr>
        <w:t>94</w:t>
      </w:r>
    </w:p>
    <w:p w14:paraId="1EF596B6" w14:textId="4797A454" w:rsidR="00DB4040" w:rsidRDefault="00762861" w:rsidP="00620AE1">
      <w:pPr>
        <w:spacing w:after="0" w:line="360" w:lineRule="auto"/>
        <w:rPr>
          <w:rFonts w:ascii="Arial" w:hAnsi="Arial" w:cs="Arial"/>
          <w:b/>
          <w:lang w:val="en-US"/>
        </w:rPr>
      </w:pPr>
      <w:r>
        <w:rPr>
          <w:rFonts w:ascii="Arial" w:hAnsi="Arial" w:cs="Arial"/>
          <w:b/>
          <w:lang w:val="en-US"/>
        </w:rPr>
        <w:t>Word count abstract</w:t>
      </w:r>
      <w:r>
        <w:rPr>
          <w:rFonts w:ascii="Arial" w:hAnsi="Arial" w:cs="Arial"/>
          <w:lang w:val="en-US"/>
        </w:rPr>
        <w:t xml:space="preserve">: </w:t>
      </w:r>
      <w:r w:rsidR="00D422C2">
        <w:rPr>
          <w:rFonts w:ascii="Arial" w:hAnsi="Arial" w:cs="Arial"/>
          <w:lang w:val="en-US"/>
        </w:rPr>
        <w:t>205</w:t>
      </w:r>
    </w:p>
    <w:p w14:paraId="4EA38A66" w14:textId="1BE1C1E9" w:rsidR="00DB4040" w:rsidRDefault="00762861" w:rsidP="00620AE1">
      <w:pPr>
        <w:spacing w:after="0" w:line="360" w:lineRule="auto"/>
        <w:rPr>
          <w:rFonts w:ascii="Arial" w:hAnsi="Arial" w:cs="Arial"/>
          <w:b/>
          <w:lang w:val="en-US"/>
        </w:rPr>
      </w:pPr>
      <w:r>
        <w:rPr>
          <w:rFonts w:ascii="Arial" w:hAnsi="Arial" w:cs="Arial"/>
          <w:b/>
          <w:lang w:val="en-US"/>
        </w:rPr>
        <w:t>Word count text</w:t>
      </w:r>
      <w:r>
        <w:rPr>
          <w:rFonts w:ascii="Arial" w:hAnsi="Arial" w:cs="Arial"/>
          <w:lang w:val="en-US"/>
        </w:rPr>
        <w:t>: 30</w:t>
      </w:r>
      <w:r w:rsidR="00D422C2">
        <w:rPr>
          <w:rFonts w:ascii="Arial" w:hAnsi="Arial" w:cs="Arial"/>
          <w:lang w:val="en-US"/>
        </w:rPr>
        <w:t>09</w:t>
      </w:r>
    </w:p>
    <w:p w14:paraId="7301536D" w14:textId="3F925BBC" w:rsidR="00DB4040" w:rsidRDefault="00762861" w:rsidP="00620AE1">
      <w:pPr>
        <w:spacing w:after="0" w:line="360" w:lineRule="auto"/>
        <w:rPr>
          <w:rFonts w:ascii="Arial" w:hAnsi="Arial" w:cs="Arial"/>
          <w:b/>
          <w:lang w:val="en-US"/>
        </w:rPr>
      </w:pPr>
      <w:r>
        <w:rPr>
          <w:rFonts w:ascii="Arial" w:hAnsi="Arial" w:cs="Arial"/>
          <w:b/>
          <w:lang w:val="en-US"/>
        </w:rPr>
        <w:t xml:space="preserve">Number of figures and tables: </w:t>
      </w:r>
      <w:proofErr w:type="gramStart"/>
      <w:r>
        <w:rPr>
          <w:rFonts w:ascii="Arial" w:hAnsi="Arial" w:cs="Arial"/>
          <w:lang w:val="en-US"/>
        </w:rPr>
        <w:t>7</w:t>
      </w:r>
      <w:proofErr w:type="gramEnd"/>
    </w:p>
    <w:p w14:paraId="14EA7DC7" w14:textId="6CD6083F" w:rsidR="00DB4040" w:rsidRDefault="00762861" w:rsidP="00620AE1">
      <w:pPr>
        <w:spacing w:after="0" w:line="360" w:lineRule="auto"/>
        <w:rPr>
          <w:rFonts w:ascii="Arial" w:hAnsi="Arial" w:cs="Arial"/>
          <w:lang w:val="en-US"/>
        </w:rPr>
      </w:pPr>
      <w:r>
        <w:rPr>
          <w:rFonts w:ascii="Arial" w:hAnsi="Arial" w:cs="Arial"/>
          <w:b/>
          <w:lang w:val="en-US"/>
        </w:rPr>
        <w:t xml:space="preserve">Number of references: </w:t>
      </w:r>
      <w:r>
        <w:rPr>
          <w:rFonts w:ascii="Arial" w:hAnsi="Arial" w:cs="Arial"/>
          <w:lang w:val="en-US"/>
        </w:rPr>
        <w:t>48</w:t>
      </w:r>
    </w:p>
    <w:p w14:paraId="179A436A" w14:textId="4BFF5E02" w:rsidR="00DB4040" w:rsidRDefault="00762861">
      <w:pPr>
        <w:spacing w:line="480" w:lineRule="auto"/>
        <w:rPr>
          <w:rFonts w:ascii="Arial" w:hAnsi="Arial" w:cs="Arial"/>
          <w:lang w:val="en-US"/>
        </w:rPr>
      </w:pPr>
      <w:r>
        <w:rPr>
          <w:rFonts w:ascii="Arial" w:hAnsi="Arial" w:cs="Arial"/>
          <w:b/>
          <w:lang w:val="en-US"/>
        </w:rPr>
        <w:lastRenderedPageBreak/>
        <w:t>5 Search terms</w:t>
      </w:r>
      <w:r>
        <w:rPr>
          <w:rFonts w:ascii="Arial" w:hAnsi="Arial" w:cs="Arial"/>
          <w:lang w:val="en-US"/>
        </w:rPr>
        <w:t xml:space="preserve">: [ 25 ] All Cognitive Disorders/Dementia, [ 36 ] Cognitive aging, [ 59 ] Risk factors in epidemiology, [ 120 ] MRI, [ 115 ] Harm/risk (analysis) </w:t>
      </w:r>
    </w:p>
    <w:p w14:paraId="1418E63F" w14:textId="77777777" w:rsidR="00DB4040" w:rsidRDefault="00762861">
      <w:pPr>
        <w:spacing w:line="480" w:lineRule="auto"/>
        <w:rPr>
          <w:rFonts w:ascii="Arial" w:hAnsi="Arial" w:cs="Arial"/>
          <w:b/>
          <w:lang w:val="en-US"/>
        </w:rPr>
      </w:pPr>
      <w:r>
        <w:rPr>
          <w:rFonts w:ascii="Arial" w:hAnsi="Arial" w:cs="Arial"/>
          <w:b/>
          <w:lang w:val="en-US"/>
        </w:rPr>
        <w:t>Abbreviations</w:t>
      </w:r>
    </w:p>
    <w:p w14:paraId="1A45B3DD" w14:textId="434C8FCC" w:rsidR="00DB4040" w:rsidRDefault="00762861">
      <w:pPr>
        <w:spacing w:line="480" w:lineRule="auto"/>
        <w:rPr>
          <w:rFonts w:ascii="Arial" w:hAnsi="Arial" w:cs="Arial"/>
          <w:color w:val="000000" w:themeColor="text1"/>
          <w:lang w:val="en-US"/>
        </w:rPr>
      </w:pPr>
      <w:r>
        <w:rPr>
          <w:rFonts w:ascii="Arial" w:hAnsi="Arial" w:cs="Arial"/>
          <w:lang w:val="en-US"/>
        </w:rPr>
        <w:t>PPI = Proton pump inhibitors; SHIP = S</w:t>
      </w:r>
      <w:r>
        <w:rPr>
          <w:rFonts w:ascii="Arial" w:hAnsi="Arial" w:cs="Arial"/>
          <w:color w:val="000000" w:themeColor="text1"/>
          <w:lang w:val="en-US"/>
        </w:rPr>
        <w:t xml:space="preserve">tudy of Health in Pomerania; </w:t>
      </w:r>
      <w:r>
        <w:rPr>
          <w:rFonts w:ascii="Arial" w:hAnsi="Arial" w:cs="Arial"/>
          <w:lang w:val="en-US"/>
        </w:rPr>
        <w:t xml:space="preserve">VLMT = Verbal Learning and Memory Test; NAI = Nuremberg Age Inventory; </w:t>
      </w:r>
      <w:r>
        <w:rPr>
          <w:rFonts w:ascii="Arial" w:hAnsi="Arial" w:cs="Arial"/>
          <w:color w:val="000000" w:themeColor="text1"/>
          <w:lang w:val="en-US"/>
        </w:rPr>
        <w:t>IPW = Inverse Probability Weighting</w:t>
      </w:r>
    </w:p>
    <w:p w14:paraId="7F11E8DE" w14:textId="77777777" w:rsidR="00DB4040" w:rsidRDefault="00762861">
      <w:pPr>
        <w:spacing w:line="480" w:lineRule="auto"/>
        <w:rPr>
          <w:rFonts w:ascii="Arial" w:hAnsi="Arial" w:cs="Arial"/>
          <w:b/>
          <w:lang w:val="en-US"/>
        </w:rPr>
      </w:pPr>
      <w:r>
        <w:rPr>
          <w:rFonts w:ascii="Arial" w:hAnsi="Arial" w:cs="Arial"/>
          <w:b/>
          <w:lang w:val="en-US"/>
        </w:rPr>
        <w:t>Study funding</w:t>
      </w:r>
    </w:p>
    <w:p w14:paraId="6D1F86B4" w14:textId="0030E95D" w:rsidR="00DB4040" w:rsidRDefault="00762861">
      <w:pPr>
        <w:spacing w:line="480" w:lineRule="auto"/>
        <w:rPr>
          <w:rFonts w:ascii="Arial" w:hAnsi="Arial" w:cs="Arial"/>
          <w:lang w:val="en-US"/>
        </w:rPr>
      </w:pPr>
      <w:r>
        <w:rPr>
          <w:rFonts w:ascii="Arial" w:hAnsi="Arial" w:cs="Arial"/>
          <w:lang w:val="en-US"/>
        </w:rPr>
        <w:t xml:space="preserve">The Study of Health in Pomerania (SHIP) is part of the Community Medicine Research net (CMR) (http://www.medizin.uni-greifswald.de/icm) of the University of Greifswald funded by grants from the German Federal Ministry of Education and Research (BMBF, grant 01ZZ96030, 01ZZ0701). The MRIs in SHIP and SHIP-Trend </w:t>
      </w:r>
      <w:proofErr w:type="gramStart"/>
      <w:r>
        <w:rPr>
          <w:rFonts w:ascii="Arial" w:hAnsi="Arial" w:cs="Arial"/>
          <w:lang w:val="en-US"/>
        </w:rPr>
        <w:t>were supported</w:t>
      </w:r>
      <w:proofErr w:type="gramEnd"/>
      <w:r>
        <w:rPr>
          <w:rFonts w:ascii="Arial" w:hAnsi="Arial" w:cs="Arial"/>
          <w:lang w:val="en-US"/>
        </w:rPr>
        <w:t xml:space="preserve"> by a joint grant from Siemens </w:t>
      </w:r>
      <w:proofErr w:type="spellStart"/>
      <w:r>
        <w:rPr>
          <w:rFonts w:ascii="Arial" w:hAnsi="Arial" w:cs="Arial"/>
          <w:lang w:val="en-US"/>
        </w:rPr>
        <w:t>Healthineers</w:t>
      </w:r>
      <w:proofErr w:type="spellEnd"/>
      <w:r>
        <w:rPr>
          <w:rFonts w:ascii="Arial" w:hAnsi="Arial" w:cs="Arial"/>
          <w:lang w:val="en-US"/>
        </w:rPr>
        <w:t xml:space="preserve">, Erlangen, Germany, and the Federal State of Mecklenburg-West Pomerania. This study was further supported by the German Center for Neurodegenerative Diseases, and the EU Joint </w:t>
      </w:r>
      <w:proofErr w:type="spellStart"/>
      <w:r>
        <w:rPr>
          <w:rFonts w:ascii="Arial" w:hAnsi="Arial" w:cs="Arial"/>
          <w:lang w:val="en-US"/>
        </w:rPr>
        <w:t>Programme</w:t>
      </w:r>
      <w:proofErr w:type="spellEnd"/>
      <w:r>
        <w:rPr>
          <w:rFonts w:ascii="Arial" w:hAnsi="Arial" w:cs="Arial"/>
          <w:lang w:val="en-US"/>
        </w:rPr>
        <w:t>-Neurodegenerative Disease Research funding for BRIDGET (FKZ:01ED1615) and the Innovation Committee at the Federal Joint Committee (</w:t>
      </w:r>
      <w:proofErr w:type="spellStart"/>
      <w:r>
        <w:rPr>
          <w:rFonts w:ascii="Arial" w:hAnsi="Arial" w:cs="Arial"/>
          <w:lang w:val="en-US"/>
        </w:rPr>
        <w:t>Gemeinsamer</w:t>
      </w:r>
      <w:proofErr w:type="spellEnd"/>
      <w:r>
        <w:rPr>
          <w:rFonts w:ascii="Arial" w:hAnsi="Arial" w:cs="Arial"/>
          <w:lang w:val="en-US"/>
        </w:rPr>
        <w:t xml:space="preserve"> </w:t>
      </w:r>
      <w:proofErr w:type="spellStart"/>
      <w:r>
        <w:rPr>
          <w:rFonts w:ascii="Arial" w:hAnsi="Arial" w:cs="Arial"/>
          <w:lang w:val="en-US"/>
        </w:rPr>
        <w:t>Bundesausschuss</w:t>
      </w:r>
      <w:proofErr w:type="spellEnd"/>
      <w:r>
        <w:rPr>
          <w:rFonts w:ascii="Arial" w:hAnsi="Arial" w:cs="Arial"/>
          <w:lang w:val="en-US"/>
        </w:rPr>
        <w:t>, G-BA), the highest decision-making body of the joint self-government of physicians, dentists, hospitals, and health insurance funds in Germany (grant no. 01VSF18013).</w:t>
      </w:r>
    </w:p>
    <w:p w14:paraId="6D7FA38B" w14:textId="77777777" w:rsidR="00DB4040" w:rsidRDefault="00762861" w:rsidP="003A43DF">
      <w:pPr>
        <w:spacing w:after="0" w:line="480" w:lineRule="auto"/>
        <w:rPr>
          <w:rFonts w:ascii="Arial" w:hAnsi="Arial" w:cs="Arial"/>
          <w:b/>
          <w:lang w:val="en-US"/>
        </w:rPr>
      </w:pPr>
      <w:r>
        <w:rPr>
          <w:rFonts w:ascii="Arial" w:hAnsi="Arial" w:cs="Arial"/>
          <w:b/>
          <w:lang w:val="en-US"/>
        </w:rPr>
        <w:t>Disclosure</w:t>
      </w:r>
    </w:p>
    <w:p w14:paraId="65013CCD" w14:textId="5A9B9A1B" w:rsidR="003A43DF" w:rsidRDefault="00762861">
      <w:pPr>
        <w:spacing w:after="0" w:line="480" w:lineRule="auto"/>
        <w:rPr>
          <w:rFonts w:ascii="Arial" w:hAnsi="Arial" w:cs="Arial"/>
          <w:b/>
          <w:sz w:val="24"/>
          <w:szCs w:val="24"/>
          <w:lang w:val="en-US"/>
        </w:rPr>
      </w:pPr>
      <w:r>
        <w:rPr>
          <w:rFonts w:ascii="Arial" w:hAnsi="Arial" w:cs="Arial"/>
          <w:lang w:val="en-US"/>
        </w:rPr>
        <w:t xml:space="preserve">HJG has received travel grants and speakers honoraria from Fresenius Medical Care, </w:t>
      </w:r>
      <w:proofErr w:type="spellStart"/>
      <w:r>
        <w:rPr>
          <w:rFonts w:ascii="Arial" w:hAnsi="Arial" w:cs="Arial"/>
          <w:lang w:val="en-US"/>
        </w:rPr>
        <w:t>Neuraxpharm</w:t>
      </w:r>
      <w:proofErr w:type="spellEnd"/>
      <w:r>
        <w:rPr>
          <w:rFonts w:ascii="Arial" w:hAnsi="Arial" w:cs="Arial"/>
          <w:lang w:val="en-US"/>
        </w:rPr>
        <w:t xml:space="preserve">, </w:t>
      </w:r>
      <w:proofErr w:type="spellStart"/>
      <w:r>
        <w:rPr>
          <w:rFonts w:ascii="Arial" w:hAnsi="Arial" w:cs="Arial"/>
          <w:lang w:val="en-US"/>
        </w:rPr>
        <w:t>Servier</w:t>
      </w:r>
      <w:proofErr w:type="spellEnd"/>
      <w:r>
        <w:rPr>
          <w:rFonts w:ascii="Arial" w:hAnsi="Arial" w:cs="Arial"/>
          <w:lang w:val="en-US"/>
        </w:rPr>
        <w:t xml:space="preserve"> and Janssen </w:t>
      </w:r>
      <w:proofErr w:type="spellStart"/>
      <w:r>
        <w:rPr>
          <w:rFonts w:ascii="Arial" w:hAnsi="Arial" w:cs="Arial"/>
          <w:lang w:val="en-US"/>
        </w:rPr>
        <w:t>Cilag</w:t>
      </w:r>
      <w:proofErr w:type="spellEnd"/>
      <w:r>
        <w:rPr>
          <w:rFonts w:ascii="Arial" w:hAnsi="Arial" w:cs="Arial"/>
          <w:lang w:val="en-US"/>
        </w:rPr>
        <w:t xml:space="preserve"> as well as research funding from Fresenius Medical Care. SF has received grants from National Institute of Health (NIH) (grant no. AG059421). All other authors disclose no conflict. The sponsors had no role in the design and conceptualization of the study, the collection and analysis of the data, or the preparation of the manuscript. </w:t>
      </w:r>
    </w:p>
    <w:p w14:paraId="271FFF0E" w14:textId="4572C43B" w:rsidR="003A43DF" w:rsidRDefault="003A43DF">
      <w:pPr>
        <w:spacing w:after="0" w:line="480" w:lineRule="auto"/>
        <w:rPr>
          <w:rFonts w:ascii="Arial" w:hAnsi="Arial" w:cs="Arial"/>
          <w:b/>
          <w:sz w:val="24"/>
          <w:szCs w:val="24"/>
          <w:lang w:val="en-US"/>
        </w:rPr>
      </w:pPr>
    </w:p>
    <w:p w14:paraId="4D5AE511" w14:textId="29EA9341" w:rsidR="00DB4040" w:rsidRDefault="00762861">
      <w:pPr>
        <w:spacing w:after="0" w:line="480" w:lineRule="auto"/>
        <w:rPr>
          <w:rFonts w:ascii="Arial" w:hAnsi="Arial" w:cs="Arial"/>
          <w:b/>
          <w:sz w:val="24"/>
          <w:szCs w:val="24"/>
          <w:lang w:val="en-US"/>
        </w:rPr>
      </w:pPr>
      <w:r>
        <w:rPr>
          <w:rFonts w:ascii="Arial" w:hAnsi="Arial" w:cs="Arial"/>
          <w:b/>
          <w:sz w:val="24"/>
          <w:szCs w:val="24"/>
          <w:lang w:val="en-US"/>
        </w:rPr>
        <w:lastRenderedPageBreak/>
        <w:t xml:space="preserve">Abstract </w:t>
      </w:r>
    </w:p>
    <w:p w14:paraId="3312A062" w14:textId="34B4692D" w:rsidR="00DB4040" w:rsidRDefault="00762861">
      <w:pPr>
        <w:spacing w:after="0" w:line="480" w:lineRule="auto"/>
        <w:rPr>
          <w:rFonts w:ascii="Arial" w:hAnsi="Arial" w:cs="Arial"/>
          <w:sz w:val="24"/>
          <w:szCs w:val="24"/>
          <w:lang w:val="en-US"/>
        </w:rPr>
      </w:pPr>
      <w:r>
        <w:rPr>
          <w:rFonts w:ascii="Arial" w:hAnsi="Arial" w:cs="Arial"/>
          <w:b/>
          <w:sz w:val="24"/>
          <w:szCs w:val="24"/>
          <w:lang w:val="en-US"/>
        </w:rPr>
        <w:t>Objective:</w:t>
      </w:r>
      <w:r>
        <w:rPr>
          <w:rFonts w:ascii="Arial" w:hAnsi="Arial" w:cs="Arial"/>
          <w:sz w:val="24"/>
          <w:szCs w:val="24"/>
          <w:lang w:val="en-US"/>
        </w:rPr>
        <w:t xml:space="preserve"> Due to conflicting scientific evidence for an increased risk of dementia by intake of proton pump inhibitors (PPIs), this study investigates associations between PPI use and brain volumes, estimated brain age, and cognitive function in the general population.</w:t>
      </w:r>
    </w:p>
    <w:p w14:paraId="6C9F95F5" w14:textId="77777777" w:rsidR="00DB4040" w:rsidRDefault="00DB4040">
      <w:pPr>
        <w:spacing w:after="0" w:line="480" w:lineRule="auto"/>
        <w:rPr>
          <w:rFonts w:ascii="Arial" w:hAnsi="Arial" w:cs="Arial"/>
          <w:sz w:val="24"/>
          <w:szCs w:val="24"/>
          <w:lang w:val="en-US"/>
        </w:rPr>
      </w:pPr>
    </w:p>
    <w:p w14:paraId="4148C759" w14:textId="0F77DA27" w:rsidR="00DB4040" w:rsidRDefault="00762861">
      <w:pPr>
        <w:spacing w:after="0" w:line="480" w:lineRule="auto"/>
        <w:rPr>
          <w:rFonts w:ascii="Arial" w:hAnsi="Arial" w:cs="Arial"/>
          <w:sz w:val="24"/>
          <w:szCs w:val="24"/>
          <w:lang w:val="en-US"/>
        </w:rPr>
      </w:pPr>
      <w:r>
        <w:rPr>
          <w:rFonts w:ascii="Arial" w:hAnsi="Arial" w:cs="Arial"/>
          <w:b/>
          <w:sz w:val="24"/>
          <w:szCs w:val="24"/>
          <w:lang w:val="en-US"/>
        </w:rPr>
        <w:t>Methods:</w:t>
      </w:r>
      <w:r>
        <w:rPr>
          <w:rFonts w:ascii="Arial" w:hAnsi="Arial" w:cs="Arial"/>
          <w:sz w:val="24"/>
          <w:szCs w:val="24"/>
          <w:lang w:val="en-US"/>
        </w:rPr>
        <w:t xml:space="preserve"> Two surveys of the population-based Study of Health in Pomerania (SHIP) conducted in Northeast Germany </w:t>
      </w:r>
      <w:proofErr w:type="gramStart"/>
      <w:r>
        <w:rPr>
          <w:rFonts w:ascii="Arial" w:hAnsi="Arial" w:cs="Arial"/>
          <w:sz w:val="24"/>
          <w:szCs w:val="24"/>
          <w:lang w:val="en-US"/>
        </w:rPr>
        <w:t>were used</w:t>
      </w:r>
      <w:proofErr w:type="gramEnd"/>
      <w:r>
        <w:rPr>
          <w:rFonts w:ascii="Arial" w:hAnsi="Arial" w:cs="Arial"/>
          <w:sz w:val="24"/>
          <w:szCs w:val="24"/>
          <w:lang w:val="en-US"/>
        </w:rPr>
        <w:t xml:space="preserve">. In total 2,653 participants underwent brain magnetic resonance imaging (MRI) and were included in the primary analysis. They were divided into two groups according to their PPI-intake and compared with regard to their brain volumes (gray matter, white matter, total brain, and hippocampus) and estimated brain age. Multiple regression </w:t>
      </w:r>
      <w:proofErr w:type="gramStart"/>
      <w:r>
        <w:rPr>
          <w:rFonts w:ascii="Arial" w:hAnsi="Arial" w:cs="Arial"/>
          <w:sz w:val="24"/>
          <w:szCs w:val="24"/>
          <w:lang w:val="en-US"/>
        </w:rPr>
        <w:t>was used</w:t>
      </w:r>
      <w:proofErr w:type="gramEnd"/>
      <w:r>
        <w:rPr>
          <w:rFonts w:ascii="Arial" w:hAnsi="Arial" w:cs="Arial"/>
          <w:sz w:val="24"/>
          <w:szCs w:val="24"/>
          <w:lang w:val="en-US"/>
        </w:rPr>
        <w:t xml:space="preserve"> to adjust for confounding factors. Cognitive function </w:t>
      </w:r>
      <w:proofErr w:type="gramStart"/>
      <w:r>
        <w:rPr>
          <w:rFonts w:ascii="Arial" w:hAnsi="Arial" w:cs="Arial"/>
          <w:sz w:val="24"/>
          <w:szCs w:val="24"/>
          <w:lang w:val="en-US"/>
        </w:rPr>
        <w:t>was evaluated by the Verbal Learning and Memory Test (VLMT) and the Nuremberg Age Inventory (NAI) and put in relation to PPI use</w:t>
      </w:r>
      <w:proofErr w:type="gramEnd"/>
      <w:r>
        <w:rPr>
          <w:rFonts w:ascii="Arial" w:hAnsi="Arial" w:cs="Arial"/>
          <w:sz w:val="24"/>
          <w:szCs w:val="24"/>
          <w:lang w:val="en-US"/>
        </w:rPr>
        <w:t>.</w:t>
      </w:r>
    </w:p>
    <w:p w14:paraId="2014782D" w14:textId="77777777" w:rsidR="00DB4040" w:rsidRDefault="00DB4040">
      <w:pPr>
        <w:spacing w:after="0" w:line="480" w:lineRule="auto"/>
        <w:rPr>
          <w:rFonts w:ascii="Arial" w:hAnsi="Arial" w:cs="Arial"/>
          <w:sz w:val="24"/>
          <w:szCs w:val="24"/>
          <w:lang w:val="en-US"/>
        </w:rPr>
      </w:pPr>
    </w:p>
    <w:p w14:paraId="4C531DD4" w14:textId="78671CD5" w:rsidR="00DB4040" w:rsidRDefault="00762861">
      <w:pPr>
        <w:spacing w:after="0" w:line="480" w:lineRule="auto"/>
        <w:rPr>
          <w:rFonts w:ascii="Arial" w:hAnsi="Arial" w:cs="Arial"/>
          <w:sz w:val="24"/>
          <w:szCs w:val="24"/>
          <w:lang w:val="en-US"/>
        </w:rPr>
      </w:pPr>
      <w:r>
        <w:rPr>
          <w:rFonts w:ascii="Arial" w:hAnsi="Arial" w:cs="Arial"/>
          <w:b/>
          <w:sz w:val="24"/>
          <w:szCs w:val="24"/>
          <w:lang w:val="en-US"/>
        </w:rPr>
        <w:t>Results:</w:t>
      </w:r>
      <w:r>
        <w:rPr>
          <w:rFonts w:ascii="Arial" w:hAnsi="Arial" w:cs="Arial"/>
          <w:sz w:val="24"/>
          <w:szCs w:val="24"/>
          <w:lang w:val="en-US"/>
        </w:rPr>
        <w:t xml:space="preserve"> No association </w:t>
      </w:r>
      <w:proofErr w:type="gramStart"/>
      <w:r>
        <w:rPr>
          <w:rFonts w:ascii="Arial" w:hAnsi="Arial" w:cs="Arial"/>
          <w:sz w:val="24"/>
          <w:szCs w:val="24"/>
          <w:lang w:val="en-US"/>
        </w:rPr>
        <w:t>was found</w:t>
      </w:r>
      <w:proofErr w:type="gramEnd"/>
      <w:r>
        <w:rPr>
          <w:rFonts w:ascii="Arial" w:hAnsi="Arial" w:cs="Arial"/>
          <w:sz w:val="24"/>
          <w:szCs w:val="24"/>
          <w:lang w:val="en-US"/>
        </w:rPr>
        <w:t xml:space="preserve"> between PPI use and brain volumes or the estimated brain age. The VLMT score was 1.11 lower (95% confidence interval: -2.06 to -0.16) in immediate recall, and 0.72 lower (95% CI: -1.22 to -0.22) in delayed recall</w:t>
      </w:r>
      <w:r>
        <w:rPr>
          <w:lang w:val="en-US"/>
        </w:rPr>
        <w:t xml:space="preserve"> </w:t>
      </w:r>
      <w:r>
        <w:rPr>
          <w:rFonts w:ascii="Arial" w:hAnsi="Arial" w:cs="Arial"/>
          <w:sz w:val="24"/>
          <w:szCs w:val="24"/>
          <w:lang w:val="en-US"/>
        </w:rPr>
        <w:t>in PPI users than in non-users. PPI use was unrelated to the NAI score.</w:t>
      </w:r>
    </w:p>
    <w:p w14:paraId="2BAC32CC" w14:textId="77777777" w:rsidR="00DB4040" w:rsidRDefault="00DB4040">
      <w:pPr>
        <w:spacing w:after="0" w:line="480" w:lineRule="auto"/>
        <w:rPr>
          <w:rFonts w:ascii="Arial" w:hAnsi="Arial" w:cs="Arial"/>
          <w:sz w:val="24"/>
          <w:szCs w:val="24"/>
          <w:lang w:val="en-US"/>
        </w:rPr>
      </w:pPr>
    </w:p>
    <w:p w14:paraId="08257B5A" w14:textId="77777777" w:rsidR="00DB4040" w:rsidRDefault="00762861">
      <w:pPr>
        <w:spacing w:after="0" w:line="480" w:lineRule="auto"/>
        <w:rPr>
          <w:rFonts w:ascii="Arial" w:hAnsi="Arial" w:cs="Arial"/>
          <w:sz w:val="24"/>
          <w:szCs w:val="24"/>
          <w:lang w:val="en-US"/>
        </w:rPr>
      </w:pPr>
      <w:r>
        <w:rPr>
          <w:rFonts w:ascii="Arial" w:hAnsi="Arial" w:cs="Arial"/>
          <w:b/>
          <w:sz w:val="24"/>
          <w:szCs w:val="24"/>
          <w:lang w:val="en-US"/>
        </w:rPr>
        <w:t>Conclusions:</w:t>
      </w:r>
      <w:r>
        <w:rPr>
          <w:rFonts w:ascii="Arial" w:hAnsi="Arial" w:cs="Arial"/>
          <w:sz w:val="24"/>
          <w:szCs w:val="24"/>
          <w:lang w:val="en-US"/>
        </w:rPr>
        <w:t xml:space="preserve"> </w:t>
      </w:r>
      <w:r>
        <w:rPr>
          <w:rStyle w:val="berschrift2Zchn"/>
          <w:i w:val="0"/>
          <w:szCs w:val="24"/>
          <w:lang w:val="en-US"/>
        </w:rPr>
        <w:t>The present study does not support a relationship between PPI use and</w:t>
      </w:r>
      <w:r>
        <w:rPr>
          <w:rFonts w:ascii="Arial" w:hAnsi="Arial" w:cs="Arial"/>
          <w:i/>
          <w:sz w:val="24"/>
          <w:szCs w:val="24"/>
          <w:lang w:val="en-US"/>
        </w:rPr>
        <w:t xml:space="preserve"> </w:t>
      </w:r>
      <w:r>
        <w:rPr>
          <w:rFonts w:ascii="Arial" w:hAnsi="Arial" w:cs="Arial"/>
          <w:sz w:val="24"/>
          <w:szCs w:val="24"/>
          <w:lang w:val="en-US"/>
        </w:rPr>
        <w:t>brain aging.</w:t>
      </w:r>
    </w:p>
    <w:p w14:paraId="20F9EADD" w14:textId="77777777" w:rsidR="00DB4040" w:rsidRDefault="00DB4040">
      <w:pPr>
        <w:spacing w:after="0" w:line="480" w:lineRule="auto"/>
        <w:rPr>
          <w:rFonts w:ascii="Arial" w:hAnsi="Arial" w:cs="Arial"/>
          <w:sz w:val="24"/>
          <w:szCs w:val="24"/>
          <w:lang w:val="en-US"/>
        </w:rPr>
      </w:pPr>
    </w:p>
    <w:p w14:paraId="2EB3D87C" w14:textId="77777777" w:rsidR="00DB4040" w:rsidRDefault="00762861">
      <w:pPr>
        <w:spacing w:line="480" w:lineRule="auto"/>
        <w:rPr>
          <w:rFonts w:ascii="Arial" w:hAnsi="Arial" w:cs="Arial"/>
          <w:b/>
          <w:sz w:val="24"/>
          <w:szCs w:val="24"/>
          <w:lang w:val="en-US"/>
        </w:rPr>
      </w:pPr>
      <w:r>
        <w:rPr>
          <w:rFonts w:ascii="Arial" w:hAnsi="Arial" w:cs="Arial"/>
          <w:b/>
          <w:sz w:val="24"/>
          <w:szCs w:val="24"/>
          <w:lang w:val="en-US"/>
        </w:rPr>
        <w:lastRenderedPageBreak/>
        <w:t xml:space="preserve">Introduction </w:t>
      </w:r>
    </w:p>
    <w:p w14:paraId="4484C95D" w14:textId="77777777" w:rsidR="00DB4040" w:rsidRDefault="00762861">
      <w:pPr>
        <w:spacing w:line="48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Much attention in the medical and scientific communities has been paid to suspected associations of proton pump inhibitors (PPIs) with adverse effects, since PPIs are widely used for gastric acid-related disorders, often over-prescribed and sold over the counter </w:t>
      </w:r>
      <w:r>
        <w:rPr>
          <w:rFonts w:ascii="Arial" w:hAnsi="Arial" w:cs="Arial"/>
          <w:sz w:val="24"/>
          <w:szCs w:val="24"/>
          <w:vertAlign w:val="superscript"/>
          <w:lang w:val="en-US"/>
        </w:rPr>
        <w:t>1, 2</w:t>
      </w:r>
      <w:r>
        <w:rPr>
          <w:rFonts w:ascii="Arial" w:hAnsi="Arial" w:cs="Arial"/>
          <w:color w:val="000000" w:themeColor="text1"/>
          <w:sz w:val="24"/>
          <w:szCs w:val="24"/>
          <w:lang w:val="en-US"/>
        </w:rPr>
        <w:t xml:space="preserve">. In view of the fact that dementia is a common and burdensome disease in aging societies, it is crucial to identify avoidable risk factors such as specific pharmaceutical agents </w:t>
      </w:r>
      <w:r>
        <w:rPr>
          <w:rFonts w:ascii="Arial" w:hAnsi="Arial" w:cs="Arial"/>
          <w:sz w:val="24"/>
          <w:szCs w:val="24"/>
          <w:vertAlign w:val="superscript"/>
          <w:lang w:val="en-US"/>
        </w:rPr>
        <w:t>3</w:t>
      </w:r>
      <w:r>
        <w:rPr>
          <w:rFonts w:ascii="Arial" w:hAnsi="Arial" w:cs="Arial"/>
          <w:color w:val="000000" w:themeColor="text1"/>
          <w:sz w:val="24"/>
          <w:szCs w:val="24"/>
          <w:lang w:val="en-US"/>
        </w:rPr>
        <w:t>.</w:t>
      </w:r>
    </w:p>
    <w:p w14:paraId="352DD718" w14:textId="26CA0D65" w:rsidR="00DB4040" w:rsidRDefault="00762861">
      <w:pPr>
        <w:spacing w:line="48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Although plausible pathophysiological pathways of brain deterioration that PPIs might be involved in have been described </w:t>
      </w:r>
      <w:proofErr w:type="gramStart"/>
      <w:r>
        <w:rPr>
          <w:rFonts w:ascii="Arial" w:hAnsi="Arial" w:cs="Arial"/>
          <w:sz w:val="24"/>
          <w:szCs w:val="24"/>
          <w:vertAlign w:val="superscript"/>
          <w:lang w:val="en-US"/>
        </w:rPr>
        <w:t>4</w:t>
      </w:r>
      <w:proofErr w:type="gramEnd"/>
      <w:r>
        <w:rPr>
          <w:rFonts w:ascii="Arial" w:hAnsi="Arial" w:cs="Arial"/>
          <w:color w:val="000000" w:themeColor="text1"/>
          <w:sz w:val="24"/>
          <w:szCs w:val="24"/>
          <w:lang w:val="en-US"/>
        </w:rPr>
        <w:t xml:space="preserve">, previous researches have revealed conflicting evidence for a link between PPI use and the risk of dementia and cognitive decline </w:t>
      </w:r>
      <w:r>
        <w:rPr>
          <w:rFonts w:ascii="Arial" w:hAnsi="Arial" w:cs="Arial"/>
          <w:sz w:val="24"/>
          <w:szCs w:val="24"/>
          <w:vertAlign w:val="superscript"/>
          <w:lang w:val="en-US"/>
        </w:rPr>
        <w:t>5-7</w:t>
      </w:r>
      <w:r>
        <w:rPr>
          <w:rFonts w:ascii="Arial" w:hAnsi="Arial" w:cs="Arial"/>
          <w:color w:val="000000" w:themeColor="text1"/>
          <w:sz w:val="24"/>
          <w:szCs w:val="24"/>
          <w:lang w:val="en-US"/>
        </w:rPr>
        <w:t>.</w:t>
      </w:r>
    </w:p>
    <w:p w14:paraId="3AA1732F" w14:textId="30709277" w:rsidR="00DB4040" w:rsidRDefault="00762861">
      <w:pPr>
        <w:spacing w:line="480" w:lineRule="auto"/>
        <w:rPr>
          <w:rFonts w:ascii="Arial" w:hAnsi="Arial" w:cs="Arial"/>
          <w:color w:val="000000" w:themeColor="text1"/>
          <w:sz w:val="24"/>
          <w:szCs w:val="24"/>
          <w:lang w:val="en-US"/>
        </w:rPr>
      </w:pPr>
      <w:r>
        <w:rPr>
          <w:rFonts w:ascii="Arial" w:hAnsi="Arial" w:cs="Arial"/>
          <w:color w:val="000000" w:themeColor="text1"/>
          <w:sz w:val="24"/>
          <w:szCs w:val="24"/>
          <w:lang w:val="en-US"/>
        </w:rPr>
        <w:t xml:space="preserve">The studies to date have mostly relied on clinical diagnoses </w:t>
      </w:r>
      <w:r>
        <w:rPr>
          <w:rFonts w:ascii="Arial" w:hAnsi="Arial" w:cs="Arial"/>
          <w:sz w:val="24"/>
          <w:szCs w:val="24"/>
          <w:vertAlign w:val="superscript"/>
          <w:lang w:val="en-US"/>
        </w:rPr>
        <w:t>8</w:t>
      </w:r>
      <w:r>
        <w:rPr>
          <w:rFonts w:ascii="Arial" w:hAnsi="Arial" w:cs="Arial"/>
          <w:color w:val="000000" w:themeColor="text1"/>
          <w:sz w:val="24"/>
          <w:szCs w:val="24"/>
          <w:lang w:val="en-US"/>
        </w:rPr>
        <w:t xml:space="preserve"> or neuropsychological tests </w:t>
      </w:r>
      <w:r>
        <w:rPr>
          <w:rFonts w:ascii="Arial" w:hAnsi="Arial" w:cs="Arial"/>
          <w:sz w:val="24"/>
          <w:szCs w:val="24"/>
          <w:vertAlign w:val="superscript"/>
          <w:lang w:val="en-US"/>
        </w:rPr>
        <w:t>9</w:t>
      </w:r>
      <w:r>
        <w:rPr>
          <w:rFonts w:ascii="Arial" w:hAnsi="Arial" w:cs="Arial"/>
          <w:color w:val="000000" w:themeColor="text1"/>
          <w:sz w:val="24"/>
          <w:szCs w:val="24"/>
          <w:lang w:val="en-US"/>
        </w:rPr>
        <w:t xml:space="preserve"> to define dementia or cognitive impairment, which are prone to misclassification errors </w:t>
      </w:r>
      <w:r>
        <w:rPr>
          <w:rFonts w:ascii="Arial" w:hAnsi="Arial" w:cs="Arial"/>
          <w:sz w:val="24"/>
          <w:szCs w:val="24"/>
          <w:vertAlign w:val="superscript"/>
          <w:lang w:val="en-US"/>
        </w:rPr>
        <w:t>10</w:t>
      </w:r>
      <w:r>
        <w:rPr>
          <w:rFonts w:ascii="Arial" w:hAnsi="Arial" w:cs="Arial"/>
          <w:color w:val="000000" w:themeColor="text1"/>
          <w:sz w:val="24"/>
          <w:szCs w:val="24"/>
          <w:lang w:val="en-US"/>
        </w:rPr>
        <w:t>. In the present study, we conducted an analysis of PPI use in relation to brain volumes and estimated brain age derived from magnetic resonance imaging (MRI)</w:t>
      </w:r>
      <w:r>
        <w:rPr>
          <w:rFonts w:ascii="Arial" w:hAnsi="Arial" w:cs="Arial"/>
          <w:sz w:val="24"/>
          <w:szCs w:val="24"/>
          <w:vertAlign w:val="superscript"/>
          <w:lang w:val="en-US"/>
        </w:rPr>
        <w:t xml:space="preserve"> 11-13</w:t>
      </w:r>
      <w:r>
        <w:rPr>
          <w:rFonts w:ascii="Arial" w:hAnsi="Arial" w:cs="Arial"/>
          <w:color w:val="000000" w:themeColor="text1"/>
          <w:sz w:val="24"/>
          <w:szCs w:val="24"/>
          <w:lang w:val="en-US"/>
        </w:rPr>
        <w:t>. We also evaluated the association between PPI use and cognitive function.</w:t>
      </w:r>
    </w:p>
    <w:p w14:paraId="5ECCA624" w14:textId="77777777" w:rsidR="00DB4040" w:rsidRDefault="00DB4040">
      <w:pPr>
        <w:spacing w:line="480" w:lineRule="auto"/>
        <w:rPr>
          <w:rFonts w:ascii="Arial" w:hAnsi="Arial" w:cs="Arial"/>
          <w:color w:val="000000" w:themeColor="text1"/>
          <w:sz w:val="24"/>
          <w:szCs w:val="24"/>
          <w:lang w:val="en-US"/>
        </w:rPr>
      </w:pPr>
    </w:p>
    <w:p w14:paraId="6C0EABA3" w14:textId="77777777" w:rsidR="00DB4040" w:rsidRDefault="00762861">
      <w:pPr>
        <w:spacing w:line="480" w:lineRule="auto"/>
        <w:rPr>
          <w:rFonts w:ascii="Arial" w:hAnsi="Arial" w:cs="Arial"/>
          <w:b/>
          <w:sz w:val="24"/>
          <w:szCs w:val="24"/>
          <w:lang w:val="en-US"/>
        </w:rPr>
      </w:pPr>
      <w:r>
        <w:rPr>
          <w:rFonts w:ascii="Arial" w:hAnsi="Arial" w:cs="Arial"/>
          <w:b/>
          <w:sz w:val="24"/>
          <w:szCs w:val="24"/>
          <w:lang w:val="en-US"/>
        </w:rPr>
        <w:t>Methods</w:t>
      </w:r>
    </w:p>
    <w:p w14:paraId="09DB7006"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Study population</w:t>
      </w:r>
    </w:p>
    <w:p w14:paraId="4265478F" w14:textId="1416E7D4" w:rsidR="00DB4040" w:rsidRDefault="00762861">
      <w:pPr>
        <w:spacing w:after="0" w:line="480" w:lineRule="auto"/>
        <w:rPr>
          <w:rFonts w:ascii="Arial" w:hAnsi="Arial" w:cs="Arial"/>
          <w:sz w:val="24"/>
          <w:szCs w:val="24"/>
          <w:lang w:val="en-US"/>
        </w:rPr>
      </w:pPr>
      <w:r>
        <w:rPr>
          <w:rFonts w:ascii="Arial" w:hAnsi="Arial" w:cs="Arial"/>
          <w:sz w:val="24"/>
          <w:szCs w:val="24"/>
          <w:lang w:val="en-US"/>
        </w:rPr>
        <w:t>Data were drawn from the Study of Health of Pomerania (SHIP</w:t>
      </w:r>
      <w:proofErr w:type="gramStart"/>
      <w:r>
        <w:rPr>
          <w:rFonts w:ascii="Arial" w:hAnsi="Arial" w:cs="Arial"/>
          <w:sz w:val="24"/>
          <w:szCs w:val="24"/>
          <w:lang w:val="en-US"/>
        </w:rPr>
        <w:t>), that</w:t>
      </w:r>
      <w:proofErr w:type="gramEnd"/>
      <w:r>
        <w:rPr>
          <w:rFonts w:ascii="Arial" w:hAnsi="Arial" w:cs="Arial"/>
          <w:sz w:val="24"/>
          <w:szCs w:val="24"/>
          <w:lang w:val="en-US"/>
        </w:rPr>
        <w:t xml:space="preserve"> consists of two samples of adults from a northeastern German region. SHIP-0, the first sample, was a stratified cluster-random </w:t>
      </w:r>
      <w:r w:rsidRPr="00E2570B">
        <w:rPr>
          <w:rFonts w:ascii="Arial" w:hAnsi="Arial" w:cs="Arial"/>
          <w:color w:val="000000" w:themeColor="text1"/>
          <w:sz w:val="24"/>
          <w:szCs w:val="24"/>
          <w:lang w:val="en-US"/>
        </w:rPr>
        <w:t>sample of 7,008 individuals. Among them, 4,308 (2,192 women) participated (response 6</w:t>
      </w:r>
      <w:r w:rsidR="00C33E6F" w:rsidRPr="00E2570B">
        <w:rPr>
          <w:rFonts w:ascii="Arial" w:hAnsi="Arial" w:cs="Arial"/>
          <w:color w:val="000000" w:themeColor="text1"/>
          <w:sz w:val="24"/>
          <w:szCs w:val="24"/>
          <w:lang w:val="en-US"/>
        </w:rPr>
        <w:t>1</w:t>
      </w:r>
      <w:r w:rsidRPr="00E2570B">
        <w:rPr>
          <w:rFonts w:ascii="Arial" w:hAnsi="Arial" w:cs="Arial"/>
          <w:color w:val="000000" w:themeColor="text1"/>
          <w:sz w:val="24"/>
          <w:szCs w:val="24"/>
          <w:lang w:val="en-US"/>
        </w:rPr>
        <w:t>.</w:t>
      </w:r>
      <w:r w:rsidR="00C33E6F" w:rsidRPr="00E2570B">
        <w:rPr>
          <w:rFonts w:ascii="Arial" w:hAnsi="Arial" w:cs="Arial"/>
          <w:color w:val="000000" w:themeColor="text1"/>
          <w:sz w:val="24"/>
          <w:szCs w:val="24"/>
          <w:lang w:val="en-US"/>
        </w:rPr>
        <w:t>5</w:t>
      </w:r>
      <w:r w:rsidRPr="00E2570B">
        <w:rPr>
          <w:rFonts w:ascii="Arial" w:hAnsi="Arial" w:cs="Arial"/>
          <w:color w:val="000000" w:themeColor="text1"/>
          <w:sz w:val="24"/>
          <w:szCs w:val="24"/>
          <w:lang w:val="en-US"/>
        </w:rPr>
        <w:t xml:space="preserve">%) and were </w:t>
      </w:r>
      <w:r>
        <w:rPr>
          <w:rFonts w:ascii="Arial" w:hAnsi="Arial" w:cs="Arial"/>
          <w:sz w:val="24"/>
          <w:szCs w:val="24"/>
          <w:lang w:val="en-US"/>
        </w:rPr>
        <w:lastRenderedPageBreak/>
        <w:t xml:space="preserve">examined from 1997 through 2001. A second examination cycle (SHIP-1) </w:t>
      </w:r>
      <w:proofErr w:type="gramStart"/>
      <w:r>
        <w:rPr>
          <w:rFonts w:ascii="Arial" w:hAnsi="Arial" w:cs="Arial"/>
          <w:sz w:val="24"/>
          <w:szCs w:val="24"/>
          <w:lang w:val="en-US"/>
        </w:rPr>
        <w:t>was conducted</w:t>
      </w:r>
      <w:proofErr w:type="gramEnd"/>
      <w:r>
        <w:rPr>
          <w:rFonts w:ascii="Arial" w:hAnsi="Arial" w:cs="Arial"/>
          <w:sz w:val="24"/>
          <w:szCs w:val="24"/>
          <w:lang w:val="en-US"/>
        </w:rPr>
        <w:t xml:space="preserve"> between 2002 and 2006 and comprised 3,300 participants. From 2008 to 2012, a third examination cycle was conducted (SHIP-2, n=2333). Concurrent with SHIP-2, a </w:t>
      </w:r>
      <w:proofErr w:type="gramStart"/>
      <w:r>
        <w:rPr>
          <w:rFonts w:ascii="Arial" w:hAnsi="Arial" w:cs="Arial"/>
          <w:sz w:val="24"/>
          <w:szCs w:val="24"/>
          <w:lang w:val="en-US"/>
        </w:rPr>
        <w:t>new age-</w:t>
      </w:r>
      <w:proofErr w:type="gramEnd"/>
      <w:r>
        <w:rPr>
          <w:rFonts w:ascii="Arial" w:hAnsi="Arial" w:cs="Arial"/>
          <w:sz w:val="24"/>
          <w:szCs w:val="24"/>
          <w:lang w:val="en-US"/>
        </w:rPr>
        <w:t xml:space="preserve"> and sex-stratified random sample, SHIP-Trend, of 8,826 individuals was drawn and 4,420 (2,275 women) participated (response 50.1%). Examinations for SHIP-Trend </w:t>
      </w:r>
      <w:proofErr w:type="gramStart"/>
      <w:r>
        <w:rPr>
          <w:rFonts w:ascii="Arial" w:hAnsi="Arial" w:cs="Arial"/>
          <w:sz w:val="24"/>
          <w:szCs w:val="24"/>
          <w:lang w:val="en-US"/>
        </w:rPr>
        <w:t>were conducted</w:t>
      </w:r>
      <w:proofErr w:type="gramEnd"/>
      <w:r>
        <w:rPr>
          <w:rFonts w:ascii="Arial" w:hAnsi="Arial" w:cs="Arial"/>
          <w:sz w:val="24"/>
          <w:szCs w:val="24"/>
          <w:lang w:val="en-US"/>
        </w:rPr>
        <w:t xml:space="preserve"> from 2008 through 2012. More details about the study designs, recruitment, and procedures have been published elsewhere </w:t>
      </w:r>
      <w:r>
        <w:rPr>
          <w:rFonts w:ascii="Arial" w:hAnsi="Arial" w:cs="Arial"/>
          <w:sz w:val="24"/>
          <w:szCs w:val="24"/>
          <w:vertAlign w:val="superscript"/>
          <w:lang w:val="en-US"/>
        </w:rPr>
        <w:t>14</w:t>
      </w:r>
      <w:r>
        <w:rPr>
          <w:rFonts w:ascii="Arial" w:hAnsi="Arial" w:cs="Arial"/>
          <w:sz w:val="24"/>
          <w:szCs w:val="24"/>
          <w:lang w:val="en-US"/>
        </w:rPr>
        <w:t>.</w:t>
      </w:r>
    </w:p>
    <w:p w14:paraId="42770753" w14:textId="0A8193B3"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Individuals from SHIP-2 and SHIP-Trend </w:t>
      </w:r>
      <w:proofErr w:type="gramStart"/>
      <w:r>
        <w:rPr>
          <w:rFonts w:ascii="Arial" w:hAnsi="Arial" w:cs="Arial"/>
          <w:sz w:val="24"/>
          <w:szCs w:val="24"/>
          <w:lang w:val="en-US"/>
        </w:rPr>
        <w:t>were invited</w:t>
      </w:r>
      <w:proofErr w:type="gramEnd"/>
      <w:r>
        <w:rPr>
          <w:rFonts w:ascii="Arial" w:hAnsi="Arial" w:cs="Arial"/>
          <w:sz w:val="24"/>
          <w:szCs w:val="24"/>
          <w:lang w:val="en-US"/>
        </w:rPr>
        <w:t xml:space="preserve"> to participate in whole-body MRI; 3,746 individuals participated in whole body MRI </w:t>
      </w:r>
      <w:r>
        <w:rPr>
          <w:rFonts w:ascii="Arial" w:hAnsi="Arial" w:cs="Arial"/>
          <w:sz w:val="24"/>
          <w:szCs w:val="24"/>
          <w:vertAlign w:val="superscript"/>
          <w:lang w:val="en-US"/>
        </w:rPr>
        <w:t>15</w:t>
      </w:r>
      <w:r>
        <w:rPr>
          <w:rFonts w:ascii="Arial" w:hAnsi="Arial" w:cs="Arial"/>
          <w:sz w:val="24"/>
          <w:szCs w:val="24"/>
          <w:lang w:val="en-US"/>
        </w:rPr>
        <w:t xml:space="preserve">, 3,310 participants aged 21-89 years were </w:t>
      </w:r>
      <w:proofErr w:type="spellStart"/>
      <w:r>
        <w:rPr>
          <w:rFonts w:ascii="Arial" w:hAnsi="Arial" w:cs="Arial"/>
          <w:sz w:val="24"/>
          <w:szCs w:val="24"/>
          <w:lang w:val="en-US"/>
        </w:rPr>
        <w:t>examed</w:t>
      </w:r>
      <w:proofErr w:type="spellEnd"/>
      <w:r>
        <w:rPr>
          <w:rFonts w:ascii="Arial" w:hAnsi="Arial" w:cs="Arial"/>
          <w:sz w:val="24"/>
          <w:szCs w:val="24"/>
          <w:lang w:val="en-US"/>
        </w:rPr>
        <w:t xml:space="preserve"> for brain MRI with </w:t>
      </w:r>
      <w:proofErr w:type="spellStart"/>
      <w:r>
        <w:rPr>
          <w:rFonts w:ascii="Arial" w:hAnsi="Arial" w:cs="Arial"/>
          <w:sz w:val="24"/>
          <w:szCs w:val="24"/>
          <w:lang w:val="en-US"/>
        </w:rPr>
        <w:t>FreeSurfer</w:t>
      </w:r>
      <w:proofErr w:type="spellEnd"/>
      <w:r>
        <w:rPr>
          <w:rFonts w:ascii="Arial" w:hAnsi="Arial" w:cs="Arial"/>
          <w:sz w:val="24"/>
          <w:szCs w:val="24"/>
          <w:lang w:val="en-US"/>
        </w:rPr>
        <w:t xml:space="preserve"> segmentations. Among them, individuals with MRI scans that did not pass quality control (e.g., inhomogeneity check of the magnetic field or severe movement artifacts) (n=291) or with missing information (n=366) were excluded. As a result, the analytic cohort for the analysis of PPI intake and MRI-derived outcome variables comprised 2,653 participants (SHIP-2=788, SHIP-Trend =1,865) (Figure 1). For the analysis on verbal memory assessments, data from 5,711 study participants (SHIP-2: 1,569, SHIP-Trend: 4,142) were included. </w:t>
      </w:r>
    </w:p>
    <w:p w14:paraId="6B60D4D7"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The Ethics committee of the University Greifswald approved the study protocols of SHIP and SHIP-Trend.</w:t>
      </w:r>
      <w:r>
        <w:rPr>
          <w:rFonts w:ascii="Arial" w:hAnsi="Arial" w:cs="Arial"/>
          <w:b/>
          <w:sz w:val="24"/>
          <w:szCs w:val="24"/>
          <w:lang w:val="en-US"/>
        </w:rPr>
        <w:t xml:space="preserve"> </w:t>
      </w:r>
      <w:r>
        <w:rPr>
          <w:rFonts w:ascii="Arial" w:hAnsi="Arial" w:cs="Arial"/>
          <w:sz w:val="24"/>
          <w:szCs w:val="24"/>
          <w:lang w:val="en-US"/>
        </w:rPr>
        <w:t>All participants provided their written informed consent.</w:t>
      </w:r>
    </w:p>
    <w:p w14:paraId="7CD22633" w14:textId="77777777" w:rsidR="00DB4040" w:rsidRDefault="00DB4040">
      <w:pPr>
        <w:spacing w:after="0" w:line="480" w:lineRule="auto"/>
        <w:rPr>
          <w:rFonts w:ascii="Arial" w:hAnsi="Arial" w:cs="Arial"/>
          <w:b/>
          <w:sz w:val="24"/>
          <w:szCs w:val="24"/>
          <w:lang w:val="en-US"/>
        </w:rPr>
      </w:pPr>
    </w:p>
    <w:p w14:paraId="25107A86"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Assessment of PPI use</w:t>
      </w:r>
    </w:p>
    <w:p w14:paraId="0439343C"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Medications taken during the last seven days </w:t>
      </w:r>
      <w:proofErr w:type="gramStart"/>
      <w:r>
        <w:rPr>
          <w:rFonts w:ascii="Arial" w:hAnsi="Arial" w:cs="Arial"/>
          <w:sz w:val="24"/>
          <w:szCs w:val="24"/>
          <w:lang w:val="en-US"/>
        </w:rPr>
        <w:t>were assessed</w:t>
      </w:r>
      <w:proofErr w:type="gramEnd"/>
      <w:r>
        <w:rPr>
          <w:rFonts w:ascii="Arial" w:hAnsi="Arial" w:cs="Arial"/>
          <w:sz w:val="24"/>
          <w:szCs w:val="24"/>
          <w:lang w:val="en-US"/>
        </w:rPr>
        <w:t xml:space="preserve"> within an interview using the name of the drug product or the unequivocal drug </w:t>
      </w:r>
      <w:r>
        <w:rPr>
          <w:rFonts w:ascii="Arial" w:hAnsi="Arial" w:cs="Arial"/>
          <w:sz w:val="24"/>
          <w:szCs w:val="24"/>
          <w:lang w:val="en-US"/>
        </w:rPr>
        <w:lastRenderedPageBreak/>
        <w:t xml:space="preserve">package code. This information </w:t>
      </w:r>
      <w:proofErr w:type="gramStart"/>
      <w:r>
        <w:rPr>
          <w:rFonts w:ascii="Arial" w:hAnsi="Arial" w:cs="Arial"/>
          <w:sz w:val="24"/>
          <w:szCs w:val="24"/>
          <w:lang w:val="en-US"/>
        </w:rPr>
        <w:t>was then used</w:t>
      </w:r>
      <w:proofErr w:type="gramEnd"/>
      <w:r>
        <w:rPr>
          <w:rFonts w:ascii="Arial" w:hAnsi="Arial" w:cs="Arial"/>
          <w:sz w:val="24"/>
          <w:szCs w:val="24"/>
          <w:lang w:val="en-US"/>
        </w:rPr>
        <w:t xml:space="preserve"> to identify the active substances and translate this into the Anatomical Therapeutic Chemical (ATC) code for further investigation. Additional questions focused on the drug use pattern by discriminating between ‘regular use’ and ‘use on demand’. PPI use </w:t>
      </w:r>
      <w:proofErr w:type="gramStart"/>
      <w:r>
        <w:rPr>
          <w:rFonts w:ascii="Arial" w:hAnsi="Arial" w:cs="Arial"/>
          <w:sz w:val="24"/>
          <w:szCs w:val="24"/>
          <w:lang w:val="en-US"/>
        </w:rPr>
        <w:t>was defined</w:t>
      </w:r>
      <w:proofErr w:type="gramEnd"/>
      <w:r>
        <w:rPr>
          <w:rFonts w:ascii="Arial" w:hAnsi="Arial" w:cs="Arial"/>
          <w:sz w:val="24"/>
          <w:szCs w:val="24"/>
          <w:lang w:val="en-US"/>
        </w:rPr>
        <w:t xml:space="preserve"> as ‘regular use’ (yes/no) including omeprazole, pantoprazole, lansoprazole, </w:t>
      </w:r>
      <w:proofErr w:type="spellStart"/>
      <w:r>
        <w:rPr>
          <w:rFonts w:ascii="Arial" w:hAnsi="Arial" w:cs="Arial"/>
          <w:sz w:val="24"/>
          <w:szCs w:val="24"/>
          <w:lang w:val="en-US"/>
        </w:rPr>
        <w:t>rabeprazole</w:t>
      </w:r>
      <w:proofErr w:type="spellEnd"/>
      <w:r>
        <w:rPr>
          <w:rFonts w:ascii="Arial" w:hAnsi="Arial" w:cs="Arial"/>
          <w:sz w:val="24"/>
          <w:szCs w:val="24"/>
          <w:lang w:val="en-US"/>
        </w:rPr>
        <w:t xml:space="preserve">, and esomeprazole (ATC codes A02BC01-05). </w:t>
      </w:r>
    </w:p>
    <w:p w14:paraId="21959533" w14:textId="77777777" w:rsidR="00DB4040" w:rsidRDefault="00DB4040">
      <w:pPr>
        <w:spacing w:after="0" w:line="480" w:lineRule="auto"/>
        <w:rPr>
          <w:rFonts w:ascii="Arial" w:hAnsi="Arial" w:cs="Arial"/>
          <w:sz w:val="24"/>
          <w:szCs w:val="24"/>
          <w:lang w:val="en-US"/>
        </w:rPr>
      </w:pPr>
    </w:p>
    <w:p w14:paraId="0289903C"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Measurement of brain volumes</w:t>
      </w:r>
    </w:p>
    <w:p w14:paraId="726F04F1"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The </w:t>
      </w:r>
      <w:proofErr w:type="spellStart"/>
      <w:r>
        <w:rPr>
          <w:rFonts w:ascii="Arial" w:hAnsi="Arial" w:cs="Arial"/>
          <w:sz w:val="24"/>
          <w:szCs w:val="24"/>
          <w:lang w:val="en-US"/>
        </w:rPr>
        <w:t>neurocranium</w:t>
      </w:r>
      <w:proofErr w:type="spellEnd"/>
      <w:r>
        <w:rPr>
          <w:rFonts w:ascii="Arial" w:hAnsi="Arial" w:cs="Arial"/>
          <w:sz w:val="24"/>
          <w:szCs w:val="24"/>
          <w:lang w:val="en-US"/>
        </w:rPr>
        <w:t xml:space="preserve"> unit of the SHIP-MRI included a T1-weighted and fluid-attenuated inversion recovery (FLAIR) sequence. MRI scans were obtained using a 1.5 Tesla MRI machine (</w:t>
      </w:r>
      <w:proofErr w:type="spellStart"/>
      <w:r>
        <w:rPr>
          <w:rFonts w:ascii="Arial" w:hAnsi="Arial" w:cs="Arial"/>
          <w:sz w:val="24"/>
          <w:szCs w:val="24"/>
          <w:lang w:val="en-US"/>
        </w:rPr>
        <w:t>Magnetom</w:t>
      </w:r>
      <w:proofErr w:type="spellEnd"/>
      <w:r>
        <w:rPr>
          <w:rFonts w:ascii="Arial" w:hAnsi="Arial" w:cs="Arial"/>
          <w:sz w:val="24"/>
          <w:szCs w:val="24"/>
          <w:lang w:val="en-US"/>
        </w:rPr>
        <w:t xml:space="preserve"> </w:t>
      </w:r>
      <w:proofErr w:type="spellStart"/>
      <w:r>
        <w:rPr>
          <w:rFonts w:ascii="Arial" w:hAnsi="Arial" w:cs="Arial"/>
          <w:sz w:val="24"/>
          <w:szCs w:val="24"/>
          <w:lang w:val="en-US"/>
        </w:rPr>
        <w:t>Avanto</w:t>
      </w:r>
      <w:proofErr w:type="spellEnd"/>
      <w:r>
        <w:rPr>
          <w:rFonts w:ascii="Arial" w:hAnsi="Arial" w:cs="Arial"/>
          <w:sz w:val="24"/>
          <w:szCs w:val="24"/>
          <w:lang w:val="en-US"/>
        </w:rPr>
        <w:t xml:space="preserve">, Siemens Medical Systems, </w:t>
      </w:r>
      <w:proofErr w:type="gramStart"/>
      <w:r>
        <w:rPr>
          <w:rFonts w:ascii="Arial" w:hAnsi="Arial" w:cs="Arial"/>
          <w:sz w:val="24"/>
          <w:szCs w:val="24"/>
          <w:lang w:val="en-US"/>
        </w:rPr>
        <w:t>Erlangen</w:t>
      </w:r>
      <w:proofErr w:type="gramEnd"/>
      <w:r>
        <w:rPr>
          <w:rFonts w:ascii="Arial" w:hAnsi="Arial" w:cs="Arial"/>
          <w:sz w:val="24"/>
          <w:szCs w:val="24"/>
          <w:lang w:val="en-US"/>
        </w:rPr>
        <w:t xml:space="preserve">, Germany). The T1-weighted images were acquired with the following parameters: slice thickness=1.0 mm (flip angle 15 °), 3.4 </w:t>
      </w:r>
      <w:proofErr w:type="spellStart"/>
      <w:r>
        <w:rPr>
          <w:rFonts w:ascii="Arial" w:hAnsi="Arial" w:cs="Arial"/>
          <w:sz w:val="24"/>
          <w:szCs w:val="24"/>
          <w:lang w:val="en-US"/>
        </w:rPr>
        <w:t>msec</w:t>
      </w:r>
      <w:proofErr w:type="spellEnd"/>
      <w:r>
        <w:rPr>
          <w:rFonts w:ascii="Arial" w:hAnsi="Arial" w:cs="Arial"/>
          <w:sz w:val="24"/>
          <w:szCs w:val="24"/>
          <w:lang w:val="en-US"/>
        </w:rPr>
        <w:t xml:space="preserve"> echo-time, 1900 </w:t>
      </w:r>
      <w:proofErr w:type="spellStart"/>
      <w:r>
        <w:rPr>
          <w:rFonts w:ascii="Arial" w:hAnsi="Arial" w:cs="Arial"/>
          <w:sz w:val="24"/>
          <w:szCs w:val="24"/>
          <w:lang w:val="en-US"/>
        </w:rPr>
        <w:t>msec</w:t>
      </w:r>
      <w:proofErr w:type="spellEnd"/>
      <w:r>
        <w:rPr>
          <w:rFonts w:ascii="Arial" w:hAnsi="Arial" w:cs="Arial"/>
          <w:sz w:val="24"/>
          <w:szCs w:val="24"/>
          <w:lang w:val="en-US"/>
        </w:rPr>
        <w:t xml:space="preserve"> repetition-time, a voxel size of 1.0 x 1.0 x 1.0 mm</w:t>
      </w:r>
      <w:r>
        <w:rPr>
          <w:rFonts w:ascii="Arial" w:hAnsi="Arial" w:cs="Arial"/>
          <w:sz w:val="24"/>
          <w:szCs w:val="24"/>
          <w:vertAlign w:val="superscript"/>
          <w:lang w:val="en-US"/>
        </w:rPr>
        <w:t>3</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16</w:t>
      </w:r>
      <w:r>
        <w:rPr>
          <w:rFonts w:ascii="Arial" w:hAnsi="Arial" w:cs="Arial"/>
          <w:sz w:val="24"/>
          <w:szCs w:val="24"/>
          <w:lang w:val="en-US"/>
        </w:rPr>
        <w:t xml:space="preserve">. Images were analyzed by the fully automated and validated segmentation software </w:t>
      </w:r>
      <w:proofErr w:type="spellStart"/>
      <w:r>
        <w:rPr>
          <w:rFonts w:ascii="Arial" w:hAnsi="Arial" w:cs="Arial"/>
          <w:sz w:val="24"/>
          <w:szCs w:val="24"/>
          <w:lang w:val="en-US"/>
        </w:rPr>
        <w:t>FreeSurfer</w:t>
      </w:r>
      <w:proofErr w:type="spellEnd"/>
      <w:r>
        <w:rPr>
          <w:rFonts w:ascii="Arial" w:hAnsi="Arial" w:cs="Arial"/>
          <w:sz w:val="24"/>
          <w:szCs w:val="24"/>
          <w:lang w:val="en-US"/>
        </w:rPr>
        <w:t xml:space="preserve"> version 5.3 </w:t>
      </w:r>
      <w:r>
        <w:rPr>
          <w:rFonts w:ascii="Arial" w:hAnsi="Arial" w:cs="Arial"/>
          <w:sz w:val="24"/>
          <w:szCs w:val="24"/>
          <w:vertAlign w:val="superscript"/>
          <w:lang w:val="en-US"/>
        </w:rPr>
        <w:t>17</w:t>
      </w:r>
      <w:r>
        <w:rPr>
          <w:rFonts w:ascii="Arial" w:hAnsi="Arial" w:cs="Arial"/>
          <w:sz w:val="24"/>
          <w:szCs w:val="24"/>
          <w:lang w:val="en-US"/>
        </w:rPr>
        <w:t xml:space="preserve">. In this study, we examined the volumes of the hippocampus (left, right, and sum of both sides, respectively), gray matter, white matter and the total brain. The total brain volume </w:t>
      </w:r>
      <w:proofErr w:type="gramStart"/>
      <w:r>
        <w:rPr>
          <w:rFonts w:ascii="Arial" w:hAnsi="Arial" w:cs="Arial"/>
          <w:sz w:val="24"/>
          <w:szCs w:val="24"/>
          <w:lang w:val="en-US"/>
        </w:rPr>
        <w:t>was calculated</w:t>
      </w:r>
      <w:proofErr w:type="gramEnd"/>
      <w:r>
        <w:rPr>
          <w:rFonts w:ascii="Arial" w:hAnsi="Arial" w:cs="Arial"/>
          <w:sz w:val="24"/>
          <w:szCs w:val="24"/>
          <w:lang w:val="en-US"/>
        </w:rPr>
        <w:t xml:space="preserve"> as the sum of gray matter volume and white matter volume.</w:t>
      </w:r>
    </w:p>
    <w:p w14:paraId="281D85C5" w14:textId="77777777" w:rsidR="00DB4040" w:rsidRDefault="00DB4040">
      <w:pPr>
        <w:spacing w:after="0" w:line="480" w:lineRule="auto"/>
        <w:rPr>
          <w:rFonts w:ascii="Arial" w:hAnsi="Arial" w:cs="Arial"/>
          <w:sz w:val="24"/>
          <w:szCs w:val="24"/>
          <w:lang w:val="en-US"/>
        </w:rPr>
      </w:pPr>
    </w:p>
    <w:p w14:paraId="0FA1967C"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 xml:space="preserve">Assessment of the estimated brain age </w:t>
      </w:r>
    </w:p>
    <w:p w14:paraId="4516C433"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Cortical reconstruction and volumetric segmentation </w:t>
      </w:r>
      <w:proofErr w:type="gramStart"/>
      <w:r>
        <w:rPr>
          <w:rFonts w:ascii="Arial" w:hAnsi="Arial" w:cs="Arial"/>
          <w:sz w:val="24"/>
          <w:szCs w:val="24"/>
          <w:lang w:val="en-US"/>
        </w:rPr>
        <w:t>were performed</w:t>
      </w:r>
      <w:proofErr w:type="gramEnd"/>
      <w:r>
        <w:rPr>
          <w:rFonts w:ascii="Arial" w:hAnsi="Arial" w:cs="Arial"/>
          <w:sz w:val="24"/>
          <w:szCs w:val="24"/>
          <w:lang w:val="en-US"/>
        </w:rPr>
        <w:t xml:space="preserve"> with the </w:t>
      </w:r>
      <w:proofErr w:type="spellStart"/>
      <w:r>
        <w:rPr>
          <w:rFonts w:ascii="Arial" w:hAnsi="Arial" w:cs="Arial"/>
          <w:sz w:val="24"/>
          <w:szCs w:val="24"/>
          <w:lang w:val="en-US"/>
        </w:rPr>
        <w:t>FreeSurfer</w:t>
      </w:r>
      <w:proofErr w:type="spellEnd"/>
      <w:r>
        <w:rPr>
          <w:rFonts w:ascii="Arial" w:hAnsi="Arial" w:cs="Arial"/>
          <w:sz w:val="24"/>
          <w:szCs w:val="24"/>
          <w:lang w:val="en-US"/>
        </w:rPr>
        <w:t xml:space="preserve"> image analysis suite version 5.3. In total, 169 brain regions of gray matter, white matter, and the ventricular system </w:t>
      </w:r>
      <w:proofErr w:type="gramStart"/>
      <w:r>
        <w:rPr>
          <w:rFonts w:ascii="Arial" w:hAnsi="Arial" w:cs="Arial"/>
          <w:sz w:val="24"/>
          <w:szCs w:val="24"/>
          <w:lang w:val="en-US"/>
        </w:rPr>
        <w:t>were considered</w:t>
      </w:r>
      <w:proofErr w:type="gramEnd"/>
      <w:r>
        <w:rPr>
          <w:rFonts w:ascii="Arial" w:hAnsi="Arial" w:cs="Arial"/>
          <w:sz w:val="24"/>
          <w:szCs w:val="24"/>
          <w:lang w:val="en-US"/>
        </w:rPr>
        <w:t xml:space="preserve"> for the estimation of the brain age. Brain ages were calculated using sex-stratified </w:t>
      </w:r>
      <w:r>
        <w:rPr>
          <w:rFonts w:ascii="Arial" w:hAnsi="Arial" w:cs="Arial"/>
          <w:sz w:val="24"/>
          <w:szCs w:val="24"/>
          <w:lang w:val="en-US"/>
        </w:rPr>
        <w:lastRenderedPageBreak/>
        <w:t xml:space="preserve">ridge regression models of chronological age on the volumes of all </w:t>
      </w:r>
      <w:proofErr w:type="gramStart"/>
      <w:r>
        <w:rPr>
          <w:rFonts w:ascii="Arial" w:hAnsi="Arial" w:cs="Arial"/>
          <w:sz w:val="24"/>
          <w:szCs w:val="24"/>
          <w:lang w:val="en-US"/>
        </w:rPr>
        <w:t>169 brain</w:t>
      </w:r>
      <w:proofErr w:type="gramEnd"/>
      <w:r>
        <w:rPr>
          <w:rFonts w:ascii="Arial" w:hAnsi="Arial" w:cs="Arial"/>
          <w:sz w:val="24"/>
          <w:szCs w:val="24"/>
          <w:lang w:val="en-US"/>
        </w:rPr>
        <w:t xml:space="preserve"> regions. More specifically, the brain age of an individual </w:t>
      </w:r>
      <w:proofErr w:type="gramStart"/>
      <w:r>
        <w:rPr>
          <w:rFonts w:ascii="Arial" w:hAnsi="Arial" w:cs="Arial"/>
          <w:sz w:val="24"/>
          <w:szCs w:val="24"/>
          <w:lang w:val="en-US"/>
        </w:rPr>
        <w:t>was defined</w:t>
      </w:r>
      <w:proofErr w:type="gramEnd"/>
      <w:r>
        <w:rPr>
          <w:rFonts w:ascii="Arial" w:hAnsi="Arial" w:cs="Arial"/>
          <w:sz w:val="24"/>
          <w:szCs w:val="24"/>
          <w:lang w:val="en-US"/>
        </w:rPr>
        <w:t xml:space="preserve"> as his predicted age using a model based on all 169 regional brain volumes from the remaining individuals of the same sex. A similar approach </w:t>
      </w:r>
      <w:proofErr w:type="gramStart"/>
      <w:r>
        <w:rPr>
          <w:rFonts w:ascii="Arial" w:hAnsi="Arial" w:cs="Arial"/>
          <w:sz w:val="24"/>
          <w:szCs w:val="24"/>
          <w:lang w:val="en-US"/>
        </w:rPr>
        <w:t>has recently been used</w:t>
      </w:r>
      <w:proofErr w:type="gramEnd"/>
      <w:r>
        <w:rPr>
          <w:rFonts w:ascii="Arial" w:hAnsi="Arial" w:cs="Arial"/>
          <w:sz w:val="24"/>
          <w:szCs w:val="24"/>
          <w:lang w:val="en-US"/>
        </w:rPr>
        <w:t xml:space="preserve"> successfully to predict the presence of Alzheimer’s disease based on MRI images </w:t>
      </w:r>
      <w:r>
        <w:rPr>
          <w:rFonts w:ascii="Arial" w:hAnsi="Arial" w:cs="Arial"/>
          <w:sz w:val="24"/>
          <w:szCs w:val="24"/>
          <w:vertAlign w:val="superscript"/>
          <w:lang w:val="en-US"/>
        </w:rPr>
        <w:t>16</w:t>
      </w:r>
      <w:r>
        <w:rPr>
          <w:rFonts w:ascii="Arial" w:hAnsi="Arial" w:cs="Arial"/>
          <w:sz w:val="24"/>
          <w:szCs w:val="24"/>
          <w:lang w:val="en-US"/>
        </w:rPr>
        <w:t xml:space="preserve">. The complete list of brain regions used for estimating brain age </w:t>
      </w:r>
      <w:proofErr w:type="gramStart"/>
      <w:r>
        <w:rPr>
          <w:rFonts w:ascii="Arial" w:hAnsi="Arial" w:cs="Arial"/>
          <w:sz w:val="24"/>
          <w:szCs w:val="24"/>
          <w:lang w:val="en-US"/>
        </w:rPr>
        <w:t>can be found</w:t>
      </w:r>
      <w:proofErr w:type="gramEnd"/>
      <w:r>
        <w:rPr>
          <w:rFonts w:ascii="Arial" w:hAnsi="Arial" w:cs="Arial"/>
          <w:sz w:val="24"/>
          <w:szCs w:val="24"/>
          <w:lang w:val="en-US"/>
        </w:rPr>
        <w:t xml:space="preserve"> in the supplemental data of the previous study</w:t>
      </w:r>
      <w:r>
        <w:rPr>
          <w:rFonts w:ascii="Arial" w:hAnsi="Arial" w:cs="Arial"/>
          <w:sz w:val="24"/>
          <w:szCs w:val="24"/>
          <w:vertAlign w:val="superscript"/>
          <w:lang w:val="en-US"/>
        </w:rPr>
        <w:t xml:space="preserve"> 16</w:t>
      </w:r>
      <w:r>
        <w:rPr>
          <w:rFonts w:ascii="Arial" w:hAnsi="Arial" w:cs="Arial"/>
          <w:sz w:val="24"/>
          <w:szCs w:val="24"/>
          <w:lang w:val="en-US"/>
        </w:rPr>
        <w:t xml:space="preserve">. The corresponding </w:t>
      </w:r>
      <w:proofErr w:type="gramStart"/>
      <w:r>
        <w:rPr>
          <w:rFonts w:ascii="Arial" w:hAnsi="Arial" w:cs="Arial"/>
          <w:sz w:val="24"/>
          <w:szCs w:val="24"/>
          <w:lang w:val="en-US"/>
        </w:rPr>
        <w:t>sex-specific coefficients of our brain age model can be provided by the corresponding author upon request</w:t>
      </w:r>
      <w:proofErr w:type="gramEnd"/>
      <w:r>
        <w:rPr>
          <w:rFonts w:ascii="Arial" w:hAnsi="Arial" w:cs="Arial"/>
          <w:sz w:val="24"/>
          <w:szCs w:val="24"/>
          <w:lang w:val="en-US"/>
        </w:rPr>
        <w:t>.</w:t>
      </w:r>
    </w:p>
    <w:p w14:paraId="1571B85D" w14:textId="77777777" w:rsidR="00DB4040" w:rsidRDefault="00DB4040">
      <w:pPr>
        <w:spacing w:after="0" w:line="480" w:lineRule="auto"/>
        <w:rPr>
          <w:rFonts w:ascii="Arial" w:hAnsi="Arial" w:cs="Arial"/>
          <w:sz w:val="24"/>
          <w:szCs w:val="24"/>
          <w:lang w:val="en-US"/>
        </w:rPr>
      </w:pPr>
    </w:p>
    <w:p w14:paraId="46BA8779"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Verbal memory tests</w:t>
      </w:r>
    </w:p>
    <w:p w14:paraId="7CEC15EE" w14:textId="280BFA3E" w:rsidR="00DB4040" w:rsidRDefault="00762861">
      <w:pPr>
        <w:spacing w:after="0" w:line="480" w:lineRule="auto"/>
        <w:rPr>
          <w:rFonts w:ascii="Arial" w:hAnsi="Arial" w:cs="Arial"/>
          <w:sz w:val="24"/>
          <w:szCs w:val="24"/>
          <w:lang w:val="en-US"/>
        </w:rPr>
      </w:pPr>
      <w:r>
        <w:rPr>
          <w:rFonts w:ascii="Arial" w:hAnsi="Arial" w:cs="Arial"/>
          <w:sz w:val="24"/>
          <w:szCs w:val="24"/>
          <w:lang w:val="en-US"/>
        </w:rPr>
        <w:t>To assess the verbal memory of the study participants, a slightly abridged version of the Verbal Learning and Memory Test (VLMT), the German version of the Rey auditory-verbal learning test</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18</w:t>
      </w:r>
      <w:r>
        <w:rPr>
          <w:rFonts w:ascii="Arial" w:hAnsi="Arial" w:cs="Arial"/>
          <w:sz w:val="24"/>
          <w:szCs w:val="24"/>
          <w:lang w:val="en-US"/>
        </w:rPr>
        <w:t xml:space="preserve">, </w:t>
      </w:r>
      <w:proofErr w:type="gramStart"/>
      <w:r>
        <w:rPr>
          <w:rFonts w:ascii="Arial" w:hAnsi="Arial" w:cs="Arial"/>
          <w:sz w:val="24"/>
          <w:szCs w:val="24"/>
          <w:lang w:val="en-US"/>
        </w:rPr>
        <w:t>was conducted</w:t>
      </w:r>
      <w:proofErr w:type="gramEnd"/>
      <w:r>
        <w:rPr>
          <w:rFonts w:ascii="Arial" w:hAnsi="Arial" w:cs="Arial"/>
          <w:sz w:val="24"/>
          <w:szCs w:val="24"/>
          <w:lang w:val="en-US"/>
        </w:rPr>
        <w:t xml:space="preserve"> in SHIP-2. It consisted of consecutive learning of a list of fifteen words over three trials with immediate recall after each trial. After the three trials were finished, a second word list </w:t>
      </w:r>
      <w:proofErr w:type="gramStart"/>
      <w:r>
        <w:rPr>
          <w:rFonts w:ascii="Arial" w:hAnsi="Arial" w:cs="Arial"/>
          <w:sz w:val="24"/>
          <w:szCs w:val="24"/>
          <w:lang w:val="en-US"/>
        </w:rPr>
        <w:t>was given</w:t>
      </w:r>
      <w:proofErr w:type="gramEnd"/>
      <w:r>
        <w:rPr>
          <w:rFonts w:ascii="Arial" w:hAnsi="Arial" w:cs="Arial"/>
          <w:sz w:val="24"/>
          <w:szCs w:val="24"/>
          <w:lang w:val="en-US"/>
        </w:rPr>
        <w:t xml:space="preserve"> to the participants without previous notice to include the effects of interference. After 20 minutes, the participants </w:t>
      </w:r>
      <w:proofErr w:type="gramStart"/>
      <w:r>
        <w:rPr>
          <w:rFonts w:ascii="Arial" w:hAnsi="Arial" w:cs="Arial"/>
          <w:sz w:val="24"/>
          <w:szCs w:val="24"/>
          <w:lang w:val="en-US"/>
        </w:rPr>
        <w:t>were asked</w:t>
      </w:r>
      <w:proofErr w:type="gramEnd"/>
      <w:r>
        <w:rPr>
          <w:rFonts w:ascii="Arial" w:hAnsi="Arial" w:cs="Arial"/>
          <w:sz w:val="24"/>
          <w:szCs w:val="24"/>
          <w:lang w:val="en-US"/>
        </w:rPr>
        <w:t xml:space="preserve"> to recall the first word list. The sum of correctly recalled words from the three immediate recall trials reflects short-term and working memory (max. 45 points). The sum of correctly recalled words after 20 minutes was used as a measure of delayed recall (max. 15 points)</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19</w:t>
      </w:r>
      <w:r>
        <w:rPr>
          <w:rFonts w:ascii="Arial" w:hAnsi="Arial" w:cs="Arial"/>
          <w:sz w:val="24"/>
          <w:szCs w:val="24"/>
          <w:lang w:val="en-US"/>
        </w:rPr>
        <w:t>.</w:t>
      </w:r>
    </w:p>
    <w:p w14:paraId="081237A9"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The Nuremberg Age Inventory (NAI) </w:t>
      </w:r>
      <w:proofErr w:type="gramStart"/>
      <w:r>
        <w:rPr>
          <w:rFonts w:ascii="Arial" w:hAnsi="Arial" w:cs="Arial"/>
          <w:sz w:val="24"/>
          <w:szCs w:val="24"/>
          <w:lang w:val="en-US"/>
        </w:rPr>
        <w:t>was carried out</w:t>
      </w:r>
      <w:proofErr w:type="gramEnd"/>
      <w:r>
        <w:rPr>
          <w:rFonts w:ascii="Arial" w:hAnsi="Arial" w:cs="Arial"/>
          <w:sz w:val="24"/>
          <w:szCs w:val="24"/>
          <w:lang w:val="en-US"/>
        </w:rPr>
        <w:t xml:space="preserve"> in SHIP-Trend. The NAI is a German collection of tests and questionnaires devised to assess the cognitive abilities during brain aging</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20</w:t>
      </w:r>
      <w:r>
        <w:rPr>
          <w:rFonts w:ascii="Arial" w:hAnsi="Arial" w:cs="Arial"/>
          <w:sz w:val="24"/>
          <w:szCs w:val="24"/>
          <w:lang w:val="en-US"/>
        </w:rPr>
        <w:t xml:space="preserve">. It includes subsets of verbal learning and memory and consists of eight words. The participants </w:t>
      </w:r>
      <w:proofErr w:type="gramStart"/>
      <w:r>
        <w:rPr>
          <w:rFonts w:ascii="Arial" w:hAnsi="Arial" w:cs="Arial"/>
          <w:sz w:val="24"/>
          <w:szCs w:val="24"/>
          <w:lang w:val="en-US"/>
        </w:rPr>
        <w:t>were asked</w:t>
      </w:r>
      <w:proofErr w:type="gramEnd"/>
      <w:r>
        <w:rPr>
          <w:rFonts w:ascii="Arial" w:hAnsi="Arial" w:cs="Arial"/>
          <w:sz w:val="24"/>
          <w:szCs w:val="24"/>
          <w:lang w:val="en-US"/>
        </w:rPr>
        <w:t xml:space="preserve"> to </w:t>
      </w:r>
      <w:r>
        <w:rPr>
          <w:rFonts w:ascii="Arial" w:hAnsi="Arial" w:cs="Arial"/>
          <w:sz w:val="24"/>
          <w:szCs w:val="24"/>
          <w:lang w:val="en-US"/>
        </w:rPr>
        <w:lastRenderedPageBreak/>
        <w:t xml:space="preserve">recall as many words as possible immediately after hearing the eight words. After 20 minutes, the participants </w:t>
      </w:r>
      <w:proofErr w:type="gramStart"/>
      <w:r>
        <w:rPr>
          <w:rFonts w:ascii="Arial" w:hAnsi="Arial" w:cs="Arial"/>
          <w:sz w:val="24"/>
          <w:szCs w:val="24"/>
          <w:lang w:val="en-US"/>
        </w:rPr>
        <w:t>were asked</w:t>
      </w:r>
      <w:proofErr w:type="gramEnd"/>
      <w:r>
        <w:rPr>
          <w:rFonts w:ascii="Arial" w:hAnsi="Arial" w:cs="Arial"/>
          <w:sz w:val="24"/>
          <w:szCs w:val="24"/>
          <w:lang w:val="en-US"/>
        </w:rPr>
        <w:t xml:space="preserve"> to retrieve them, mixed with eight additional distractor words. The sum score </w:t>
      </w:r>
      <w:proofErr w:type="gramStart"/>
      <w:r>
        <w:rPr>
          <w:rFonts w:ascii="Arial" w:hAnsi="Arial" w:cs="Arial"/>
          <w:sz w:val="24"/>
          <w:szCs w:val="24"/>
          <w:lang w:val="en-US"/>
        </w:rPr>
        <w:t>is defined</w:t>
      </w:r>
      <w:proofErr w:type="gramEnd"/>
      <w:r>
        <w:rPr>
          <w:rFonts w:ascii="Arial" w:hAnsi="Arial" w:cs="Arial"/>
          <w:sz w:val="24"/>
          <w:szCs w:val="24"/>
          <w:lang w:val="en-US"/>
        </w:rPr>
        <w:t xml:space="preserve"> as a sum of the number of correctly identified words minus the number of falsely chosen distractor words (max. 8 points). </w:t>
      </w:r>
    </w:p>
    <w:p w14:paraId="3DEE0CF6" w14:textId="77777777" w:rsidR="00DB4040" w:rsidRDefault="00DB4040">
      <w:pPr>
        <w:spacing w:after="0" w:line="480" w:lineRule="auto"/>
        <w:rPr>
          <w:rFonts w:ascii="Arial" w:hAnsi="Arial" w:cs="Arial"/>
          <w:sz w:val="24"/>
          <w:szCs w:val="24"/>
          <w:lang w:val="en-US"/>
        </w:rPr>
      </w:pPr>
    </w:p>
    <w:p w14:paraId="7074068A" w14:textId="77777777" w:rsidR="00DB4040" w:rsidRDefault="00762861">
      <w:pPr>
        <w:spacing w:line="480" w:lineRule="auto"/>
        <w:rPr>
          <w:rFonts w:ascii="Arial" w:hAnsi="Arial" w:cs="Arial"/>
          <w:b/>
          <w:sz w:val="24"/>
          <w:szCs w:val="24"/>
          <w:lang w:val="en-US"/>
        </w:rPr>
      </w:pPr>
      <w:r>
        <w:rPr>
          <w:rFonts w:ascii="Arial" w:hAnsi="Arial" w:cs="Arial"/>
          <w:b/>
          <w:sz w:val="24"/>
          <w:szCs w:val="24"/>
          <w:lang w:val="en-US"/>
        </w:rPr>
        <w:t>Confounders</w:t>
      </w:r>
    </w:p>
    <w:p w14:paraId="2E2BDFC9"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We controlled for several confounders, assuming that direct causes of the exposure or outcome, excluding possible instrumental variables, would identify a sufficient set of confounding variables </w:t>
      </w:r>
      <w:r>
        <w:rPr>
          <w:rFonts w:ascii="Arial" w:hAnsi="Arial" w:cs="Arial"/>
          <w:sz w:val="24"/>
          <w:szCs w:val="24"/>
          <w:vertAlign w:val="superscript"/>
          <w:lang w:val="en-US"/>
        </w:rPr>
        <w:t>21</w:t>
      </w:r>
      <w:r>
        <w:rPr>
          <w:rFonts w:ascii="Arial" w:hAnsi="Arial" w:cs="Arial"/>
          <w:sz w:val="24"/>
          <w:szCs w:val="24"/>
          <w:lang w:val="en-US"/>
        </w:rPr>
        <w:t>. Because of the multi-origins of the different types of dementia (e.g. dementia with Alzheimer's diseases and vascular dementia), it is complicated to consider all socio-demographic and clinical characteristics, including genetic factors, that could increase the risk of dementia in PPI users. The associations of brain volumes with socio-demographic factors, e.g. education level</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22</w:t>
      </w:r>
      <w:r>
        <w:rPr>
          <w:rFonts w:ascii="Arial" w:hAnsi="Arial" w:cs="Arial"/>
          <w:sz w:val="24"/>
          <w:szCs w:val="24"/>
          <w:lang w:val="en-US"/>
        </w:rPr>
        <w:t xml:space="preserve"> and income</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23</w:t>
      </w:r>
      <w:r>
        <w:rPr>
          <w:rFonts w:ascii="Arial" w:hAnsi="Arial" w:cs="Arial"/>
          <w:sz w:val="24"/>
          <w:szCs w:val="24"/>
          <w:lang w:val="en-US"/>
        </w:rPr>
        <w:t xml:space="preserve"> or behavioral factors such as smoking</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24</w:t>
      </w:r>
      <w:r>
        <w:rPr>
          <w:rFonts w:ascii="Arial" w:hAnsi="Arial" w:cs="Arial"/>
          <w:sz w:val="24"/>
          <w:szCs w:val="24"/>
          <w:lang w:val="en-US"/>
        </w:rPr>
        <w:t>, and alcohol consumption</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25</w:t>
      </w:r>
      <w:r>
        <w:rPr>
          <w:rFonts w:ascii="Arial" w:hAnsi="Arial" w:cs="Arial"/>
          <w:sz w:val="24"/>
          <w:szCs w:val="24"/>
          <w:lang w:val="en-US"/>
        </w:rPr>
        <w:t xml:space="preserve"> </w:t>
      </w:r>
      <w:proofErr w:type="gramStart"/>
      <w:r>
        <w:rPr>
          <w:rFonts w:ascii="Arial" w:hAnsi="Arial" w:cs="Arial"/>
          <w:sz w:val="24"/>
          <w:szCs w:val="24"/>
          <w:lang w:val="en-US"/>
        </w:rPr>
        <w:t>have been well described</w:t>
      </w:r>
      <w:proofErr w:type="gramEnd"/>
      <w:r>
        <w:rPr>
          <w:rFonts w:ascii="Arial" w:hAnsi="Arial" w:cs="Arial"/>
          <w:sz w:val="24"/>
          <w:szCs w:val="24"/>
          <w:lang w:val="en-US"/>
        </w:rPr>
        <w:t xml:space="preserve"> in previous studies. Since obesity plays a critical role as a confounder</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26</w:t>
      </w:r>
      <w:proofErr w:type="gramStart"/>
      <w:r>
        <w:rPr>
          <w:rFonts w:ascii="Arial" w:hAnsi="Arial" w:cs="Arial"/>
          <w:sz w:val="24"/>
          <w:szCs w:val="24"/>
          <w:vertAlign w:val="superscript"/>
          <w:lang w:val="en-US"/>
        </w:rPr>
        <w:t>,27</w:t>
      </w:r>
      <w:proofErr w:type="gramEnd"/>
      <w:r>
        <w:rPr>
          <w:rFonts w:ascii="Arial" w:hAnsi="Arial" w:cs="Arial"/>
          <w:sz w:val="24"/>
          <w:szCs w:val="24"/>
          <w:lang w:val="en-US"/>
        </w:rPr>
        <w:t>, we considered the body mass index (BMI) for model adjustment. In addition, we explored several drug classes known as cognitive function-altering medications</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28</w:t>
      </w:r>
      <w:proofErr w:type="gramStart"/>
      <w:r>
        <w:rPr>
          <w:rFonts w:ascii="Arial" w:hAnsi="Arial" w:cs="Arial"/>
          <w:sz w:val="24"/>
          <w:szCs w:val="24"/>
          <w:vertAlign w:val="superscript"/>
          <w:lang w:val="en-US"/>
        </w:rPr>
        <w:t>,29</w:t>
      </w:r>
      <w:proofErr w:type="gramEnd"/>
      <w:r>
        <w:rPr>
          <w:rFonts w:ascii="Arial" w:hAnsi="Arial" w:cs="Arial"/>
          <w:sz w:val="24"/>
          <w:szCs w:val="24"/>
          <w:lang w:val="en-US"/>
        </w:rPr>
        <w:t xml:space="preserve">. Also, we investigated the medicines that are frequently taken together with PPIs </w:t>
      </w:r>
      <w:r>
        <w:rPr>
          <w:rFonts w:ascii="Arial" w:hAnsi="Arial" w:cs="Arial"/>
          <w:sz w:val="24"/>
          <w:szCs w:val="24"/>
          <w:vertAlign w:val="superscript"/>
          <w:lang w:val="en-US"/>
        </w:rPr>
        <w:t>30</w:t>
      </w:r>
      <w:proofErr w:type="gramStart"/>
      <w:r>
        <w:rPr>
          <w:rFonts w:ascii="Arial" w:hAnsi="Arial" w:cs="Arial"/>
          <w:sz w:val="24"/>
          <w:szCs w:val="24"/>
          <w:vertAlign w:val="superscript"/>
          <w:lang w:val="en-US"/>
        </w:rPr>
        <w:t>,31</w:t>
      </w:r>
      <w:proofErr w:type="gramEnd"/>
      <w:r>
        <w:rPr>
          <w:rFonts w:ascii="Arial" w:hAnsi="Arial" w:cs="Arial"/>
          <w:sz w:val="24"/>
          <w:szCs w:val="24"/>
          <w:lang w:val="en-US"/>
        </w:rPr>
        <w:t>.</w:t>
      </w:r>
    </w:p>
    <w:p w14:paraId="6434DB0A" w14:textId="6E8BE98C"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Socio-demographic variables, medical history, and clinical data </w:t>
      </w:r>
      <w:proofErr w:type="gramStart"/>
      <w:r>
        <w:rPr>
          <w:rFonts w:ascii="Arial" w:hAnsi="Arial" w:cs="Arial"/>
          <w:sz w:val="24"/>
          <w:szCs w:val="24"/>
          <w:lang w:val="en-US"/>
        </w:rPr>
        <w:t>were collected</w:t>
      </w:r>
      <w:proofErr w:type="gramEnd"/>
      <w:r>
        <w:rPr>
          <w:rFonts w:ascii="Arial" w:hAnsi="Arial" w:cs="Arial"/>
          <w:sz w:val="24"/>
          <w:szCs w:val="24"/>
          <w:lang w:val="en-US"/>
        </w:rPr>
        <w:t xml:space="preserve"> through a standardized computer-assisted face-to-face interview</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14</w:t>
      </w:r>
      <w:r>
        <w:rPr>
          <w:rFonts w:ascii="Arial" w:hAnsi="Arial" w:cs="Arial"/>
          <w:sz w:val="24"/>
          <w:szCs w:val="24"/>
          <w:lang w:val="en-US"/>
        </w:rPr>
        <w:t xml:space="preserve">. At baseline, income </w:t>
      </w:r>
      <w:proofErr w:type="gramStart"/>
      <w:r>
        <w:rPr>
          <w:rFonts w:ascii="Arial" w:hAnsi="Arial" w:cs="Arial"/>
          <w:sz w:val="24"/>
          <w:szCs w:val="24"/>
          <w:lang w:val="en-US"/>
        </w:rPr>
        <w:t>was adjusted</w:t>
      </w:r>
      <w:proofErr w:type="gramEnd"/>
      <w:r>
        <w:rPr>
          <w:rFonts w:ascii="Arial" w:hAnsi="Arial" w:cs="Arial"/>
          <w:sz w:val="24"/>
          <w:szCs w:val="24"/>
          <w:lang w:val="en-US"/>
        </w:rPr>
        <w:t xml:space="preserve"> by dividing the household income by the square root of the number of household members. The clinical data used in </w:t>
      </w:r>
      <w:r>
        <w:rPr>
          <w:rFonts w:ascii="Arial" w:hAnsi="Arial" w:cs="Arial"/>
          <w:sz w:val="24"/>
          <w:szCs w:val="24"/>
          <w:lang w:val="en-US"/>
        </w:rPr>
        <w:lastRenderedPageBreak/>
        <w:t>the current study have been described in more detail elsewhere</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12</w:t>
      </w:r>
      <w:r>
        <w:rPr>
          <w:rFonts w:ascii="Arial" w:hAnsi="Arial" w:cs="Arial"/>
          <w:sz w:val="24"/>
          <w:szCs w:val="24"/>
          <w:lang w:val="en-US"/>
        </w:rPr>
        <w:t xml:space="preserve">. </w:t>
      </w:r>
      <w:proofErr w:type="gramStart"/>
      <w:r>
        <w:rPr>
          <w:rFonts w:ascii="Arial" w:hAnsi="Arial" w:cs="Arial"/>
          <w:sz w:val="24"/>
          <w:szCs w:val="24"/>
          <w:lang w:val="en-US"/>
        </w:rPr>
        <w:t xml:space="preserve">Specifically, we included the following </w:t>
      </w:r>
      <w:proofErr w:type="spellStart"/>
      <w:r>
        <w:rPr>
          <w:rFonts w:ascii="Arial" w:hAnsi="Arial" w:cs="Arial"/>
          <w:sz w:val="24"/>
          <w:szCs w:val="24"/>
          <w:lang w:val="en-US"/>
        </w:rPr>
        <w:t>covariables</w:t>
      </w:r>
      <w:proofErr w:type="spellEnd"/>
      <w:r>
        <w:rPr>
          <w:rFonts w:ascii="Arial" w:hAnsi="Arial" w:cs="Arial"/>
          <w:sz w:val="24"/>
          <w:szCs w:val="24"/>
          <w:lang w:val="en-US"/>
        </w:rPr>
        <w:t xml:space="preserve"> for adjustment: age, sex, intracranial volume (assessed by </w:t>
      </w:r>
      <w:proofErr w:type="spellStart"/>
      <w:r>
        <w:rPr>
          <w:rFonts w:ascii="Arial" w:hAnsi="Arial" w:cs="Arial"/>
          <w:sz w:val="24"/>
          <w:szCs w:val="24"/>
          <w:lang w:val="en-US"/>
        </w:rPr>
        <w:t>FreeSurfer</w:t>
      </w:r>
      <w:proofErr w:type="spellEnd"/>
      <w:r>
        <w:rPr>
          <w:rFonts w:ascii="Arial" w:hAnsi="Arial" w:cs="Arial"/>
          <w:sz w:val="24"/>
          <w:szCs w:val="24"/>
          <w:lang w:val="en-US"/>
        </w:rPr>
        <w:t xml:space="preserve"> 5.3), education level (&lt;10, =10, &gt;10 years in school), smoking experience (never, former, or current smoker), income (Euros), alcohol consumption (g/day, derived from beverage-specific quantity-frequency indices), BMI (kg/m²), total cholesterol/high-density lipoprotein cholesterol ratio (TC/HDL-C), glycated hemoglobin (HbA1c), use of antidepressants (ATC codes: N06A*), antidiabetics (A10*), </w:t>
      </w:r>
      <w:proofErr w:type="spellStart"/>
      <w:r>
        <w:rPr>
          <w:rFonts w:ascii="Arial" w:hAnsi="Arial" w:cs="Arial"/>
          <w:sz w:val="24"/>
          <w:szCs w:val="24"/>
          <w:lang w:val="en-US"/>
        </w:rPr>
        <w:t>antihypertensives</w:t>
      </w:r>
      <w:proofErr w:type="spellEnd"/>
      <w:r>
        <w:rPr>
          <w:rFonts w:ascii="Arial" w:hAnsi="Arial" w:cs="Arial"/>
          <w:sz w:val="24"/>
          <w:szCs w:val="24"/>
          <w:lang w:val="en-US"/>
        </w:rPr>
        <w:t xml:space="preserve"> (C02*, C03*, C07*, C08*, C09*), anti-inflammatory medication including non-steroidal anti-inflammatory drugs (NSAIDs) (B01AC06, B01AC08, B01AC15, B01AC34, B01AC36, B01AC56, C01EB03, C01EB16, C10BX01, C10BX02, C10BX04, C10BX05, M01*, N02BA*, N02BB*, N02BG*), statins (C10A*) and anticholinergics (ATC codes by Gray SL et al.</w:t>
      </w:r>
      <w:r>
        <w:rPr>
          <w:rFonts w:ascii="Arial" w:hAnsi="Arial" w:cs="Arial"/>
          <w:sz w:val="24"/>
          <w:szCs w:val="24"/>
          <w:vertAlign w:val="superscript"/>
          <w:lang w:val="en-US"/>
        </w:rPr>
        <w:t xml:space="preserve"> 28</w:t>
      </w:r>
      <w:r>
        <w:rPr>
          <w:rFonts w:ascii="Arial" w:hAnsi="Arial" w:cs="Arial"/>
          <w:sz w:val="24"/>
          <w:szCs w:val="24"/>
          <w:lang w:val="en-US"/>
        </w:rPr>
        <w:t>), study (SHIP-2, SHIP-Trend) and the existence of cerebrovascular pathologies or lesions in the brain that might affect brain volumes found by brain MRI scanning during this study (yes/no, for details see Table 1).</w:t>
      </w:r>
      <w:proofErr w:type="gramEnd"/>
    </w:p>
    <w:p w14:paraId="5AC3F13D" w14:textId="77777777" w:rsidR="00DB4040" w:rsidRDefault="00DB4040">
      <w:pPr>
        <w:spacing w:line="480" w:lineRule="auto"/>
        <w:rPr>
          <w:rFonts w:ascii="Arial" w:hAnsi="Arial" w:cs="Arial"/>
          <w:sz w:val="24"/>
          <w:szCs w:val="24"/>
          <w:lang w:val="en-US"/>
        </w:rPr>
      </w:pPr>
    </w:p>
    <w:p w14:paraId="2A0A8C80" w14:textId="77777777" w:rsidR="00DB4040" w:rsidRDefault="00762861">
      <w:pPr>
        <w:spacing w:line="480" w:lineRule="auto"/>
        <w:rPr>
          <w:rFonts w:ascii="Arial" w:hAnsi="Arial" w:cs="Arial"/>
          <w:b/>
          <w:sz w:val="24"/>
          <w:szCs w:val="24"/>
          <w:lang w:val="en-US"/>
        </w:rPr>
      </w:pPr>
      <w:r>
        <w:rPr>
          <w:rFonts w:ascii="Arial" w:hAnsi="Arial" w:cs="Arial"/>
          <w:b/>
          <w:sz w:val="24"/>
          <w:szCs w:val="24"/>
          <w:lang w:val="en-US"/>
        </w:rPr>
        <w:t>Statistical analyses</w:t>
      </w:r>
    </w:p>
    <w:p w14:paraId="71BCCE15" w14:textId="3057900A"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Baseline characteristics </w:t>
      </w:r>
      <w:proofErr w:type="gramStart"/>
      <w:r>
        <w:rPr>
          <w:rFonts w:ascii="Arial" w:hAnsi="Arial" w:cs="Arial"/>
          <w:sz w:val="24"/>
          <w:szCs w:val="24"/>
          <w:lang w:val="en-US"/>
        </w:rPr>
        <w:t>were compared</w:t>
      </w:r>
      <w:proofErr w:type="gramEnd"/>
      <w:r>
        <w:rPr>
          <w:rFonts w:ascii="Arial" w:hAnsi="Arial" w:cs="Arial"/>
          <w:sz w:val="24"/>
          <w:szCs w:val="24"/>
          <w:lang w:val="en-US"/>
        </w:rPr>
        <w:t xml:space="preserve"> between PPI users and PPI non-users by computation of medians (25th, 75th percentile) for continuous variables and percentages for categorical variables. For the primary analysis, linear regression models </w:t>
      </w:r>
      <w:proofErr w:type="gramStart"/>
      <w:r>
        <w:rPr>
          <w:rFonts w:ascii="Arial" w:hAnsi="Arial" w:cs="Arial"/>
          <w:sz w:val="24"/>
          <w:szCs w:val="24"/>
          <w:lang w:val="en-US"/>
        </w:rPr>
        <w:t>were used</w:t>
      </w:r>
      <w:proofErr w:type="gramEnd"/>
      <w:r>
        <w:rPr>
          <w:rFonts w:ascii="Arial" w:hAnsi="Arial" w:cs="Arial"/>
          <w:sz w:val="24"/>
          <w:szCs w:val="24"/>
          <w:lang w:val="en-US"/>
        </w:rPr>
        <w:t xml:space="preserve"> to assess the associations of PPI intake with the global volume measures of the hippocampus, gray matter, white matter and the total brain, and the estimated brain age. In secondary </w:t>
      </w:r>
      <w:r>
        <w:rPr>
          <w:rFonts w:ascii="Arial" w:hAnsi="Arial" w:cs="Arial"/>
          <w:sz w:val="24"/>
          <w:szCs w:val="24"/>
          <w:lang w:val="en-US"/>
        </w:rPr>
        <w:lastRenderedPageBreak/>
        <w:t xml:space="preserve">analyses, we used linear regression to assess the association between PPI use and VMLT and NAI scores, respectively. Models </w:t>
      </w:r>
      <w:proofErr w:type="gramStart"/>
      <w:r>
        <w:rPr>
          <w:rFonts w:ascii="Arial" w:hAnsi="Arial" w:cs="Arial"/>
          <w:sz w:val="24"/>
          <w:szCs w:val="24"/>
          <w:lang w:val="en-US"/>
        </w:rPr>
        <w:t>were adjusted</w:t>
      </w:r>
      <w:proofErr w:type="gramEnd"/>
      <w:r>
        <w:rPr>
          <w:rFonts w:ascii="Arial" w:hAnsi="Arial" w:cs="Arial"/>
          <w:sz w:val="24"/>
          <w:szCs w:val="24"/>
          <w:lang w:val="en-US"/>
        </w:rPr>
        <w:t xml:space="preserve"> for the confounders described in the </w:t>
      </w:r>
      <w:r w:rsidR="009B361F">
        <w:rPr>
          <w:rFonts w:ascii="Arial" w:hAnsi="Arial" w:cs="Arial"/>
          <w:sz w:val="24"/>
          <w:szCs w:val="24"/>
          <w:lang w:val="en-US"/>
        </w:rPr>
        <w:t>methods</w:t>
      </w:r>
      <w:r>
        <w:rPr>
          <w:rFonts w:ascii="Arial" w:hAnsi="Arial" w:cs="Arial"/>
          <w:sz w:val="24"/>
          <w:szCs w:val="24"/>
          <w:lang w:val="en-US"/>
        </w:rPr>
        <w:t xml:space="preserve"> section and the interaction between age and sex. Age was included in the analysis using restricted cubic splines. The primary analysis </w:t>
      </w:r>
      <w:proofErr w:type="gramStart"/>
      <w:r>
        <w:rPr>
          <w:rFonts w:ascii="Arial" w:hAnsi="Arial" w:cs="Arial"/>
          <w:sz w:val="24"/>
          <w:szCs w:val="24"/>
          <w:lang w:val="en-US"/>
        </w:rPr>
        <w:t>was also adjusted</w:t>
      </w:r>
      <w:proofErr w:type="gramEnd"/>
      <w:r>
        <w:rPr>
          <w:rFonts w:ascii="Arial" w:hAnsi="Arial" w:cs="Arial"/>
          <w:sz w:val="24"/>
          <w:szCs w:val="24"/>
          <w:lang w:val="en-US"/>
        </w:rPr>
        <w:t xml:space="preserve"> for a </w:t>
      </w:r>
      <w:proofErr w:type="spellStart"/>
      <w:r>
        <w:rPr>
          <w:rFonts w:ascii="Arial" w:hAnsi="Arial" w:cs="Arial"/>
          <w:sz w:val="24"/>
          <w:szCs w:val="24"/>
          <w:lang w:val="en-US"/>
        </w:rPr>
        <w:t>covariable</w:t>
      </w:r>
      <w:proofErr w:type="spellEnd"/>
      <w:r>
        <w:rPr>
          <w:rFonts w:ascii="Arial" w:hAnsi="Arial" w:cs="Arial"/>
          <w:sz w:val="24"/>
          <w:szCs w:val="24"/>
          <w:lang w:val="en-US"/>
        </w:rPr>
        <w:t xml:space="preserve"> indicating the presence of a cerebrovascular pathology or a lesion in the brain. We further evaluated the modifying effects of age on PPI use for brain volumes, estimated brain age, and verbal memory tests. </w:t>
      </w:r>
    </w:p>
    <w:p w14:paraId="733AF5AF" w14:textId="2A3D9ADD" w:rsidR="00DB4040" w:rsidRDefault="00762861">
      <w:pPr>
        <w:spacing w:after="0" w:line="480" w:lineRule="auto"/>
        <w:rPr>
          <w:rFonts w:ascii="Arial" w:hAnsi="Arial" w:cs="Arial"/>
          <w:sz w:val="24"/>
          <w:szCs w:val="24"/>
          <w:lang w:val="en-US"/>
        </w:rPr>
      </w:pPr>
      <w:r>
        <w:rPr>
          <w:rFonts w:ascii="Arial" w:hAnsi="Arial" w:cs="Arial"/>
          <w:sz w:val="24"/>
          <w:szCs w:val="24"/>
          <w:lang w:val="en-US"/>
        </w:rPr>
        <w:t>Since not all SHIP participants went through the brain MRI scan, we tested the plausibility of the missing-completely-at random (MCAR) assumption underlying our primary models by fitting a multivariable logistic regression model for being included in the analytical sample, i.e. taking part in the brain MRI scan. We used inverse probability weighting (IPW) to minimize selection bias caused by nonrandom participation in the MRI examination</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32</w:t>
      </w:r>
      <w:r>
        <w:rPr>
          <w:rFonts w:ascii="Arial" w:hAnsi="Arial" w:cs="Arial"/>
          <w:sz w:val="24"/>
          <w:szCs w:val="24"/>
          <w:lang w:val="en-US"/>
        </w:rPr>
        <w:t xml:space="preserve">. IPW </w:t>
      </w:r>
      <w:proofErr w:type="gramStart"/>
      <w:r>
        <w:rPr>
          <w:rFonts w:ascii="Arial" w:hAnsi="Arial" w:cs="Arial"/>
          <w:sz w:val="24"/>
          <w:szCs w:val="24"/>
          <w:lang w:val="en-US"/>
        </w:rPr>
        <w:t>were stabilized</w:t>
      </w:r>
      <w:proofErr w:type="gramEnd"/>
      <w:r>
        <w:rPr>
          <w:rFonts w:ascii="Arial" w:hAnsi="Arial" w:cs="Arial"/>
          <w:sz w:val="24"/>
          <w:szCs w:val="24"/>
          <w:lang w:val="en-US"/>
        </w:rPr>
        <w:t xml:space="preserve"> to improve precision</w:t>
      </w:r>
      <w:r>
        <w:rPr>
          <w:rFonts w:ascii="Arial" w:hAnsi="Arial" w:cs="Arial"/>
          <w:sz w:val="24"/>
          <w:szCs w:val="24"/>
          <w:vertAlign w:val="superscript"/>
          <w:lang w:val="en-US"/>
        </w:rPr>
        <w:t xml:space="preserve"> 33</w:t>
      </w:r>
      <w:r>
        <w:rPr>
          <w:rFonts w:ascii="Arial" w:hAnsi="Arial" w:cs="Arial"/>
          <w:sz w:val="24"/>
          <w:szCs w:val="24"/>
          <w:lang w:val="en-US"/>
        </w:rPr>
        <w:t>. To stabilize weights, we set the numerator of each weight equal to the marginal probability of taking part in the MRI examination.</w:t>
      </w:r>
    </w:p>
    <w:p w14:paraId="37F036BB" w14:textId="186AD1DA" w:rsidR="00DB4040" w:rsidRDefault="00762861">
      <w:pPr>
        <w:spacing w:after="0" w:line="480" w:lineRule="auto"/>
        <w:rPr>
          <w:rFonts w:ascii="Arial" w:hAnsi="Arial" w:cs="Arial"/>
          <w:sz w:val="24"/>
          <w:szCs w:val="24"/>
          <w:lang w:val="en-US"/>
        </w:rPr>
      </w:pPr>
      <w:r>
        <w:rPr>
          <w:rFonts w:ascii="Arial" w:hAnsi="Arial" w:cs="Arial"/>
          <w:sz w:val="24"/>
          <w:szCs w:val="24"/>
          <w:lang w:val="en-US"/>
        </w:rPr>
        <w:t>In sensitivity analyses, we excluded study participants with the presence of cerebrovascular pathologies or lesions in the brain (n=706) or did not adjust the models for the binary “brain lesions”-variable. In further sensitivity analyses, we excluded participants with on-demand PPI intake (n=36) from the group of the non-PPI users or excluded both, individuals with possible brain conditions and on-demand PPI users (n=733).</w:t>
      </w:r>
    </w:p>
    <w:p w14:paraId="15707D07"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In the secondary analysis, PPI-intake </w:t>
      </w:r>
      <w:proofErr w:type="gramStart"/>
      <w:r>
        <w:rPr>
          <w:rFonts w:ascii="Arial" w:hAnsi="Arial" w:cs="Arial"/>
          <w:sz w:val="24"/>
          <w:szCs w:val="24"/>
          <w:lang w:val="en-US"/>
        </w:rPr>
        <w:t>was put</w:t>
      </w:r>
      <w:proofErr w:type="gramEnd"/>
      <w:r>
        <w:rPr>
          <w:rFonts w:ascii="Arial" w:hAnsi="Arial" w:cs="Arial"/>
          <w:sz w:val="24"/>
          <w:szCs w:val="24"/>
          <w:lang w:val="en-US"/>
        </w:rPr>
        <w:t xml:space="preserve"> in relation to VLMT and NAI scores using linear regression models. For model adjustment, the confounders that </w:t>
      </w:r>
      <w:proofErr w:type="gramStart"/>
      <w:r>
        <w:rPr>
          <w:rFonts w:ascii="Arial" w:hAnsi="Arial" w:cs="Arial"/>
          <w:sz w:val="24"/>
          <w:szCs w:val="24"/>
          <w:lang w:val="en-US"/>
        </w:rPr>
        <w:t>were used</w:t>
      </w:r>
      <w:proofErr w:type="gramEnd"/>
      <w:r>
        <w:rPr>
          <w:rFonts w:ascii="Arial" w:hAnsi="Arial" w:cs="Arial"/>
          <w:sz w:val="24"/>
          <w:szCs w:val="24"/>
          <w:lang w:val="en-US"/>
        </w:rPr>
        <w:t xml:space="preserve"> in the primary analysis were applied, except </w:t>
      </w:r>
      <w:r>
        <w:rPr>
          <w:rFonts w:ascii="Arial" w:hAnsi="Arial" w:cs="Arial"/>
          <w:sz w:val="24"/>
          <w:szCs w:val="24"/>
          <w:lang w:val="en-US"/>
        </w:rPr>
        <w:lastRenderedPageBreak/>
        <w:t xml:space="preserve">intracranial volume and the brain lesions variable. </w:t>
      </w:r>
      <w:r>
        <w:rPr>
          <w:rFonts w:ascii="Arial" w:hAnsi="Arial" w:cs="Arial" w:hint="eastAsia"/>
          <w:sz w:val="24"/>
          <w:szCs w:val="24"/>
          <w:lang w:val="en-US"/>
        </w:rPr>
        <w:t>F</w:t>
      </w:r>
      <w:r>
        <w:rPr>
          <w:rFonts w:ascii="Arial" w:hAnsi="Arial" w:cs="Arial"/>
          <w:sz w:val="24"/>
          <w:szCs w:val="24"/>
          <w:lang w:val="en-US"/>
        </w:rPr>
        <w:t xml:space="preserve">or easier comparison of the associations between PPI use and verbal memory tests, we computed standardized outcomes as well, and Cohen’s d </w:t>
      </w:r>
      <w:proofErr w:type="gramStart"/>
      <w:r>
        <w:rPr>
          <w:rFonts w:ascii="Arial" w:hAnsi="Arial" w:cs="Arial"/>
          <w:sz w:val="24"/>
          <w:szCs w:val="24"/>
          <w:lang w:val="en-US"/>
        </w:rPr>
        <w:t>was used</w:t>
      </w:r>
      <w:proofErr w:type="gramEnd"/>
      <w:r>
        <w:rPr>
          <w:rFonts w:ascii="Arial" w:hAnsi="Arial" w:cs="Arial"/>
          <w:sz w:val="24"/>
          <w:szCs w:val="24"/>
          <w:lang w:val="en-US"/>
        </w:rPr>
        <w:t xml:space="preserve"> as a measure of effect size. The statistical software R (version 3.5.2, The R Foundation for Statistical Computing, Vienna, </w:t>
      </w:r>
      <w:proofErr w:type="gramStart"/>
      <w:r>
        <w:rPr>
          <w:rFonts w:ascii="Arial" w:hAnsi="Arial" w:cs="Arial"/>
          <w:sz w:val="24"/>
          <w:szCs w:val="24"/>
          <w:lang w:val="en-US"/>
        </w:rPr>
        <w:t>Austria</w:t>
      </w:r>
      <w:proofErr w:type="gramEnd"/>
      <w:r>
        <w:rPr>
          <w:rFonts w:ascii="Arial" w:hAnsi="Arial" w:cs="Arial"/>
          <w:sz w:val="24"/>
          <w:szCs w:val="24"/>
          <w:lang w:val="en-US"/>
        </w:rPr>
        <w:t>) was used.</w:t>
      </w:r>
    </w:p>
    <w:p w14:paraId="177927E6" w14:textId="77777777" w:rsidR="00DB4040" w:rsidRDefault="00DB4040">
      <w:pPr>
        <w:spacing w:after="0" w:line="480" w:lineRule="auto"/>
        <w:rPr>
          <w:rFonts w:ascii="Arial" w:hAnsi="Arial" w:cs="Arial"/>
          <w:sz w:val="24"/>
          <w:szCs w:val="24"/>
          <w:lang w:val="en-US"/>
        </w:rPr>
      </w:pPr>
    </w:p>
    <w:p w14:paraId="1DFC586E" w14:textId="77777777" w:rsidR="00DB4040" w:rsidRDefault="00762861">
      <w:pPr>
        <w:spacing w:after="0" w:line="480" w:lineRule="auto"/>
        <w:rPr>
          <w:rFonts w:ascii="Arial" w:hAnsi="Arial" w:cs="Arial"/>
          <w:b/>
          <w:sz w:val="24"/>
          <w:szCs w:val="24"/>
          <w:lang w:val="en-US"/>
        </w:rPr>
      </w:pPr>
      <w:r>
        <w:rPr>
          <w:rFonts w:ascii="Arial" w:hAnsi="Arial" w:cs="Arial"/>
          <w:b/>
          <w:sz w:val="24"/>
          <w:szCs w:val="24"/>
          <w:lang w:val="en-US"/>
        </w:rPr>
        <w:t>Data availability statement</w:t>
      </w:r>
    </w:p>
    <w:p w14:paraId="74D93E70"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Proposals for the scientific use of SHIP data </w:t>
      </w:r>
      <w:proofErr w:type="gramStart"/>
      <w:r>
        <w:rPr>
          <w:rFonts w:ascii="Arial" w:hAnsi="Arial" w:cs="Arial"/>
          <w:sz w:val="24"/>
          <w:szCs w:val="24"/>
          <w:lang w:val="en-US"/>
        </w:rPr>
        <w:t>can be submitted</w:t>
      </w:r>
      <w:proofErr w:type="gramEnd"/>
      <w:r>
        <w:rPr>
          <w:rFonts w:ascii="Arial" w:hAnsi="Arial" w:cs="Arial"/>
          <w:sz w:val="24"/>
          <w:szCs w:val="24"/>
          <w:lang w:val="en-US"/>
        </w:rPr>
        <w:t xml:space="preserve"> to the SHIP steering committee at </w:t>
      </w:r>
      <w:hyperlink r:id="rId9" w:history="1">
        <w:r>
          <w:rPr>
            <w:rStyle w:val="Hyperlink"/>
            <w:rFonts w:ascii="Arial" w:hAnsi="Arial" w:cs="Arial"/>
            <w:sz w:val="24"/>
            <w:szCs w:val="24"/>
            <w:lang w:val="en-US"/>
          </w:rPr>
          <w:t>https://fvcm.med.uni-greifswald.de/</w:t>
        </w:r>
      </w:hyperlink>
      <w:r>
        <w:rPr>
          <w:rFonts w:ascii="Arial" w:hAnsi="Arial" w:cs="Arial"/>
          <w:sz w:val="24"/>
          <w:szCs w:val="24"/>
          <w:lang w:val="en-US"/>
        </w:rPr>
        <w:t>.</w:t>
      </w:r>
    </w:p>
    <w:p w14:paraId="4D3D3DA8" w14:textId="77777777" w:rsidR="00DB4040" w:rsidRDefault="00DB4040">
      <w:pPr>
        <w:spacing w:after="0" w:line="480" w:lineRule="auto"/>
        <w:rPr>
          <w:rFonts w:ascii="Arial" w:hAnsi="Arial" w:cs="Arial"/>
          <w:b/>
          <w:sz w:val="24"/>
          <w:szCs w:val="24"/>
          <w:lang w:val="en-US"/>
        </w:rPr>
      </w:pPr>
    </w:p>
    <w:p w14:paraId="41733052" w14:textId="77777777" w:rsidR="00DB4040" w:rsidRDefault="00762861">
      <w:pPr>
        <w:spacing w:line="480" w:lineRule="auto"/>
        <w:rPr>
          <w:rFonts w:ascii="Arial" w:hAnsi="Arial" w:cs="Arial"/>
          <w:b/>
          <w:sz w:val="24"/>
          <w:szCs w:val="24"/>
          <w:lang w:val="en-US"/>
        </w:rPr>
      </w:pPr>
      <w:r>
        <w:rPr>
          <w:rFonts w:ascii="Arial" w:hAnsi="Arial" w:cs="Arial"/>
          <w:b/>
          <w:sz w:val="24"/>
          <w:szCs w:val="24"/>
          <w:lang w:val="en-US"/>
        </w:rPr>
        <w:t>Results</w:t>
      </w:r>
    </w:p>
    <w:p w14:paraId="7B118EE8" w14:textId="55014933" w:rsidR="00DB4040" w:rsidRDefault="00762861">
      <w:pPr>
        <w:spacing w:line="480" w:lineRule="auto"/>
        <w:rPr>
          <w:rFonts w:ascii="Arial" w:hAnsi="Arial" w:cs="Arial"/>
          <w:sz w:val="24"/>
          <w:szCs w:val="24"/>
          <w:lang w:val="en-US"/>
        </w:rPr>
      </w:pPr>
      <w:r>
        <w:rPr>
          <w:rFonts w:ascii="Arial" w:hAnsi="Arial" w:cs="Arial"/>
          <w:sz w:val="24"/>
          <w:szCs w:val="24"/>
          <w:lang w:val="en-US"/>
        </w:rPr>
        <w:t>Of the 2,653 participants in the primary analysis (21-89 years, 52.6% women), 170 (6.4%) were regular PPI users (Table 2). Compared with non-users, PPI users were older, had more cerebrovascular risk factors or brain lesions, higher BMI and higher total cholesterol/HDL-C ratio. PPI users were more likely women.</w:t>
      </w:r>
    </w:p>
    <w:p w14:paraId="6BA4414E" w14:textId="2D61FB6D"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PPI use was not associated with volumes of gray matter, white matter, and hippocampus (see Table 3). Similarly, PPI use </w:t>
      </w:r>
      <w:proofErr w:type="gramStart"/>
      <w:r>
        <w:rPr>
          <w:rFonts w:ascii="Arial" w:hAnsi="Arial" w:cs="Arial"/>
          <w:sz w:val="24"/>
          <w:szCs w:val="24"/>
          <w:lang w:val="en-US"/>
        </w:rPr>
        <w:t>was not related</w:t>
      </w:r>
      <w:proofErr w:type="gramEnd"/>
      <w:r>
        <w:rPr>
          <w:rFonts w:ascii="Arial" w:hAnsi="Arial" w:cs="Arial"/>
          <w:sz w:val="24"/>
          <w:szCs w:val="24"/>
          <w:lang w:val="en-US"/>
        </w:rPr>
        <w:t xml:space="preserve"> to brain age. The association between PPI use and right hippocampal volume was modified by age (P for interaction = 0.038, figure 2).</w:t>
      </w:r>
    </w:p>
    <w:p w14:paraId="176A4440"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Exclusion of the on-demand PPI users from sensitivity analysis did not change the results. Furthermore, the results were similar when study participants with presence of cerebrovascular pathologies or lesions in the brain </w:t>
      </w:r>
      <w:proofErr w:type="gramStart"/>
      <w:r>
        <w:rPr>
          <w:rFonts w:ascii="Arial" w:hAnsi="Arial" w:cs="Arial"/>
          <w:sz w:val="24"/>
          <w:szCs w:val="24"/>
          <w:lang w:val="en-US"/>
        </w:rPr>
        <w:t>were excluded</w:t>
      </w:r>
      <w:proofErr w:type="gramEnd"/>
      <w:r>
        <w:rPr>
          <w:rFonts w:ascii="Arial" w:hAnsi="Arial" w:cs="Arial"/>
          <w:sz w:val="24"/>
          <w:szCs w:val="24"/>
          <w:lang w:val="en-US"/>
        </w:rPr>
        <w:t>.</w:t>
      </w:r>
    </w:p>
    <w:p w14:paraId="62C908EA"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lastRenderedPageBreak/>
        <w:t xml:space="preserve">In the secondary analysis, we investigated the association of PPI intake with immediate- and delayed verbal memory tests. The clinical characteristics of those participants </w:t>
      </w:r>
      <w:proofErr w:type="gramStart"/>
      <w:r>
        <w:rPr>
          <w:rFonts w:ascii="Arial" w:hAnsi="Arial" w:cs="Arial"/>
          <w:sz w:val="24"/>
          <w:szCs w:val="24"/>
          <w:lang w:val="en-US"/>
        </w:rPr>
        <w:t>are displayed</w:t>
      </w:r>
      <w:proofErr w:type="gramEnd"/>
      <w:r>
        <w:rPr>
          <w:rFonts w:ascii="Arial" w:hAnsi="Arial" w:cs="Arial"/>
          <w:sz w:val="24"/>
          <w:szCs w:val="24"/>
          <w:lang w:val="en-US"/>
        </w:rPr>
        <w:t xml:space="preserve"> in Table 4. We found that PPI users performed worse than non-users, with a 1.11 lower score (95% CI: -2.06 to -0.16) in immediate recall (score range: 0 to 45) and a 0.72 lower score (95% CI: -1.22 to -0.22) in delayed recall (score range: 0 to 15) assessed by VLMT. In contrast, no differences in both immediate recall (range: 0 to 8) and delayed recall (range: -8 to 8) were observed between the two groups, when NAI was used for the cognitive assessment (see Table 5). For easier comparison of the results, standardized outcomes </w:t>
      </w:r>
      <w:proofErr w:type="gramStart"/>
      <w:r>
        <w:rPr>
          <w:rFonts w:ascii="Arial" w:hAnsi="Arial" w:cs="Arial"/>
          <w:sz w:val="24"/>
          <w:szCs w:val="24"/>
          <w:lang w:val="en-US"/>
        </w:rPr>
        <w:t>are also shown</w:t>
      </w:r>
      <w:proofErr w:type="gramEnd"/>
      <w:r>
        <w:rPr>
          <w:rFonts w:ascii="Arial" w:hAnsi="Arial" w:cs="Arial"/>
          <w:sz w:val="24"/>
          <w:szCs w:val="24"/>
          <w:lang w:val="en-US"/>
        </w:rPr>
        <w:t xml:space="preserve"> in the table. Furthermore, the association between PPI intake and the delayed verbal recall assessed by VLMT </w:t>
      </w:r>
      <w:proofErr w:type="gramStart"/>
      <w:r>
        <w:rPr>
          <w:rFonts w:ascii="Arial" w:hAnsi="Arial" w:cs="Arial"/>
          <w:sz w:val="24"/>
          <w:szCs w:val="24"/>
          <w:lang w:val="en-US"/>
        </w:rPr>
        <w:t>was modified</w:t>
      </w:r>
      <w:proofErr w:type="gramEnd"/>
      <w:r>
        <w:rPr>
          <w:rFonts w:ascii="Arial" w:hAnsi="Arial" w:cs="Arial"/>
          <w:sz w:val="24"/>
          <w:szCs w:val="24"/>
          <w:lang w:val="en-US"/>
        </w:rPr>
        <w:t xml:space="preserve"> by statin intake (P for interaction 0.001). Participants with combined PPI and statin intake had a 0.51 (95% CI: -0.35 to </w:t>
      </w:r>
      <w:proofErr w:type="gramStart"/>
      <w:r>
        <w:rPr>
          <w:rFonts w:ascii="Arial" w:hAnsi="Arial" w:cs="Arial"/>
          <w:sz w:val="24"/>
          <w:szCs w:val="24"/>
          <w:lang w:val="en-US"/>
        </w:rPr>
        <w:t>1.37 )</w:t>
      </w:r>
      <w:proofErr w:type="gramEnd"/>
      <w:r>
        <w:rPr>
          <w:rFonts w:ascii="Arial" w:hAnsi="Arial" w:cs="Arial"/>
          <w:sz w:val="24"/>
          <w:szCs w:val="24"/>
          <w:lang w:val="en-US"/>
        </w:rPr>
        <w:t xml:space="preserve"> higher delayed verbal recall score than those who took PPIs but no statins (data not shown). </w:t>
      </w:r>
    </w:p>
    <w:p w14:paraId="5567E5A7" w14:textId="77777777" w:rsidR="00DB4040" w:rsidRDefault="00DB4040">
      <w:pPr>
        <w:spacing w:line="480" w:lineRule="auto"/>
        <w:rPr>
          <w:rFonts w:ascii="Arial" w:hAnsi="Arial" w:cs="Arial"/>
          <w:b/>
          <w:sz w:val="24"/>
          <w:szCs w:val="24"/>
          <w:lang w:val="en-US"/>
        </w:rPr>
      </w:pPr>
    </w:p>
    <w:p w14:paraId="0DE2200C" w14:textId="77777777" w:rsidR="00DB4040" w:rsidRDefault="00762861">
      <w:pPr>
        <w:spacing w:line="480" w:lineRule="auto"/>
        <w:rPr>
          <w:rFonts w:ascii="Arial" w:hAnsi="Arial" w:cs="Arial"/>
          <w:sz w:val="24"/>
          <w:szCs w:val="24"/>
          <w:lang w:val="en-US"/>
        </w:rPr>
      </w:pPr>
      <w:r>
        <w:rPr>
          <w:rFonts w:ascii="Arial" w:hAnsi="Arial" w:cs="Arial"/>
          <w:b/>
          <w:sz w:val="24"/>
          <w:szCs w:val="24"/>
          <w:lang w:val="en-US"/>
        </w:rPr>
        <w:t>Discussion</w:t>
      </w:r>
    </w:p>
    <w:p w14:paraId="36F420CF"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This population-based study investigated the association between PPI intake and brain aging, using brain volumes and estimated brain age as outcomes in 2,653 individuals aged 21-89 years. After adjustment for multiple confounders, we did not find relations between PPI intake and brain volumes. Estimated brain age did not show a difference between PPI users and PPI non-users. Although the association between PPI use and right hippocampal volume </w:t>
      </w:r>
      <w:proofErr w:type="gramStart"/>
      <w:r>
        <w:rPr>
          <w:rFonts w:ascii="Arial" w:hAnsi="Arial" w:cs="Arial"/>
          <w:sz w:val="24"/>
          <w:szCs w:val="24"/>
          <w:lang w:val="en-US"/>
        </w:rPr>
        <w:t>was slightly modified</w:t>
      </w:r>
      <w:proofErr w:type="gramEnd"/>
      <w:r>
        <w:rPr>
          <w:rFonts w:ascii="Arial" w:hAnsi="Arial" w:cs="Arial"/>
          <w:sz w:val="24"/>
          <w:szCs w:val="24"/>
          <w:lang w:val="en-US"/>
        </w:rPr>
        <w:t xml:space="preserve"> by age, no significant association was found. </w:t>
      </w:r>
    </w:p>
    <w:p w14:paraId="4E9B84BB" w14:textId="22F74C88" w:rsidR="00DB4040" w:rsidRDefault="00762861">
      <w:pPr>
        <w:spacing w:line="480" w:lineRule="auto"/>
        <w:rPr>
          <w:rFonts w:ascii="Arial" w:hAnsi="Arial" w:cs="Arial"/>
          <w:color w:val="000000" w:themeColor="text1"/>
          <w:sz w:val="24"/>
          <w:szCs w:val="24"/>
          <w:lang w:val="en-US"/>
        </w:rPr>
      </w:pPr>
      <w:r>
        <w:rPr>
          <w:rFonts w:ascii="Arial" w:hAnsi="Arial" w:cs="Arial"/>
          <w:color w:val="000000" w:themeColor="text1"/>
          <w:sz w:val="24"/>
          <w:szCs w:val="24"/>
          <w:lang w:val="en-US"/>
        </w:rPr>
        <w:lastRenderedPageBreak/>
        <w:t xml:space="preserve">PPIs are valued as the most effective therapeutic agents for various conditions related to gastric acid. The prescription rates linearly increased and still ranked first among all gastrointestinal medications in 2017 in Germany </w:t>
      </w:r>
      <w:r>
        <w:rPr>
          <w:rFonts w:ascii="Arial" w:hAnsi="Arial" w:cs="Arial"/>
          <w:sz w:val="24"/>
          <w:szCs w:val="24"/>
          <w:vertAlign w:val="superscript"/>
          <w:lang w:val="en-US"/>
        </w:rPr>
        <w:t>34</w:t>
      </w:r>
      <w:r>
        <w:rPr>
          <w:rFonts w:ascii="Arial" w:hAnsi="Arial" w:cs="Arial"/>
          <w:color w:val="000000" w:themeColor="text1"/>
          <w:sz w:val="24"/>
          <w:szCs w:val="24"/>
          <w:lang w:val="en-US"/>
        </w:rPr>
        <w:t xml:space="preserve">. Moreover, in recent years, PPIs became available as over-the-counter drugs. Since 2016, however, the prescription numbers have been declining, possibly because evidence has accumulated suggesting that long-term use of PPI may be associated with adverse health effects including dementia </w:t>
      </w:r>
      <w:r>
        <w:rPr>
          <w:rFonts w:ascii="Arial" w:hAnsi="Arial" w:cs="Arial"/>
          <w:sz w:val="24"/>
          <w:szCs w:val="24"/>
          <w:vertAlign w:val="superscript"/>
          <w:lang w:val="en-US"/>
        </w:rPr>
        <w:t>8</w:t>
      </w:r>
      <w:proofErr w:type="gramStart"/>
      <w:r>
        <w:rPr>
          <w:rFonts w:ascii="Arial" w:hAnsi="Arial" w:cs="Arial"/>
          <w:sz w:val="24"/>
          <w:szCs w:val="24"/>
          <w:vertAlign w:val="superscript"/>
          <w:lang w:val="en-US"/>
        </w:rPr>
        <w:t>,9,35,36</w:t>
      </w:r>
      <w:proofErr w:type="gramEnd"/>
      <w:r>
        <w:rPr>
          <w:rFonts w:ascii="Arial" w:hAnsi="Arial" w:cs="Arial"/>
          <w:color w:val="000000" w:themeColor="text1"/>
          <w:sz w:val="24"/>
          <w:szCs w:val="24"/>
          <w:lang w:val="en-US"/>
        </w:rPr>
        <w:t>.</w:t>
      </w:r>
    </w:p>
    <w:p w14:paraId="3F3FEA7A" w14:textId="77777777" w:rsidR="00DB4040" w:rsidRDefault="00762861">
      <w:pPr>
        <w:spacing w:after="0" w:line="480" w:lineRule="auto"/>
        <w:rPr>
          <w:rFonts w:ascii="Arial" w:hAnsi="Arial" w:cs="Arial"/>
          <w:sz w:val="24"/>
          <w:szCs w:val="24"/>
          <w:lang w:val="en-US"/>
        </w:rPr>
      </w:pPr>
      <w:r>
        <w:rPr>
          <w:rFonts w:ascii="Arial" w:hAnsi="Arial" w:cs="Arial"/>
          <w:color w:val="000000" w:themeColor="text1"/>
          <w:sz w:val="24"/>
          <w:szCs w:val="24"/>
          <w:lang w:val="en-US"/>
        </w:rPr>
        <w:t xml:space="preserve">Currently, there is no consensus on the association between the use of PPIs and the risk of dementia </w:t>
      </w:r>
      <w:r>
        <w:rPr>
          <w:rFonts w:ascii="Arial" w:hAnsi="Arial" w:cs="Arial"/>
          <w:sz w:val="24"/>
          <w:szCs w:val="24"/>
          <w:vertAlign w:val="superscript"/>
          <w:lang w:val="en-US"/>
        </w:rPr>
        <w:t>5-7</w:t>
      </w:r>
      <w:r>
        <w:rPr>
          <w:rFonts w:ascii="Arial" w:hAnsi="Arial" w:cs="Arial"/>
          <w:color w:val="000000" w:themeColor="text1"/>
          <w:sz w:val="24"/>
          <w:szCs w:val="24"/>
          <w:lang w:val="en-US"/>
        </w:rPr>
        <w:t xml:space="preserve">. Inconsistencies between observational studies, especially those based on claims data, have contributed to the doubtfulness of their utility in clinical decision-making </w:t>
      </w:r>
      <w:r>
        <w:rPr>
          <w:rFonts w:ascii="Arial" w:hAnsi="Arial" w:cs="Arial"/>
          <w:sz w:val="24"/>
          <w:szCs w:val="24"/>
          <w:vertAlign w:val="superscript"/>
          <w:lang w:val="en-US"/>
        </w:rPr>
        <w:t>37</w:t>
      </w:r>
      <w:proofErr w:type="gramStart"/>
      <w:r>
        <w:rPr>
          <w:rFonts w:ascii="Arial" w:hAnsi="Arial" w:cs="Arial"/>
          <w:sz w:val="24"/>
          <w:szCs w:val="24"/>
          <w:vertAlign w:val="superscript"/>
          <w:lang w:val="en-US"/>
        </w:rPr>
        <w:t>,38</w:t>
      </w:r>
      <w:proofErr w:type="gramEnd"/>
      <w:r>
        <w:rPr>
          <w:rFonts w:ascii="Arial" w:hAnsi="Arial" w:cs="Arial"/>
          <w:color w:val="000000" w:themeColor="text1"/>
          <w:sz w:val="24"/>
          <w:szCs w:val="24"/>
          <w:lang w:val="en-US"/>
        </w:rPr>
        <w:t xml:space="preserve">. Specifically, summary effect estimates of several recent meta-analyses suggested no effect of PPI use on dementia </w:t>
      </w:r>
      <w:proofErr w:type="gramStart"/>
      <w:r>
        <w:rPr>
          <w:rFonts w:ascii="Arial" w:hAnsi="Arial" w:cs="Arial"/>
          <w:color w:val="000000" w:themeColor="text1"/>
          <w:sz w:val="24"/>
          <w:szCs w:val="24"/>
          <w:lang w:val="en-US"/>
        </w:rPr>
        <w:t xml:space="preserve">risk </w:t>
      </w:r>
      <w:r>
        <w:rPr>
          <w:rFonts w:ascii="Arial" w:hAnsi="Arial" w:cs="Arial"/>
          <w:sz w:val="24"/>
          <w:szCs w:val="24"/>
          <w:vertAlign w:val="superscript"/>
          <w:lang w:val="en-US"/>
        </w:rPr>
        <w:t xml:space="preserve"> 5,6,39,40</w:t>
      </w:r>
      <w:proofErr w:type="gramEnd"/>
      <w:r>
        <w:rPr>
          <w:rFonts w:ascii="Arial" w:hAnsi="Arial" w:cs="Arial"/>
          <w:color w:val="000000" w:themeColor="text1"/>
          <w:sz w:val="24"/>
          <w:szCs w:val="24"/>
          <w:lang w:val="en-US"/>
        </w:rPr>
        <w:t xml:space="preserve">. On the other hand, plausible pathophysiological pathways of brain deterioration </w:t>
      </w:r>
      <w:proofErr w:type="gramStart"/>
      <w:r>
        <w:rPr>
          <w:rFonts w:ascii="Arial" w:hAnsi="Arial" w:cs="Arial"/>
          <w:color w:val="000000" w:themeColor="text1"/>
          <w:sz w:val="24"/>
          <w:szCs w:val="24"/>
          <w:lang w:val="en-US"/>
        </w:rPr>
        <w:t>that</w:t>
      </w:r>
      <w:proofErr w:type="gramEnd"/>
      <w:r>
        <w:rPr>
          <w:rFonts w:ascii="Arial" w:hAnsi="Arial" w:cs="Arial"/>
          <w:color w:val="000000" w:themeColor="text1"/>
          <w:sz w:val="24"/>
          <w:szCs w:val="24"/>
          <w:lang w:val="en-US"/>
        </w:rPr>
        <w:t xml:space="preserve"> PPIs might be involved in such as increased amyloid-β plaques, increased tau protein formation, and vitamin B12 deficiency have been described and need to be taken into account when evaluating the available evidence </w:t>
      </w:r>
      <w:r>
        <w:rPr>
          <w:rFonts w:ascii="Arial" w:hAnsi="Arial" w:cs="Arial"/>
          <w:sz w:val="24"/>
          <w:szCs w:val="24"/>
          <w:vertAlign w:val="superscript"/>
          <w:lang w:val="en-US"/>
        </w:rPr>
        <w:t>4</w:t>
      </w:r>
      <w:r>
        <w:rPr>
          <w:rFonts w:ascii="Arial" w:hAnsi="Arial" w:cs="Arial"/>
          <w:color w:val="000000" w:themeColor="text1"/>
          <w:sz w:val="24"/>
          <w:szCs w:val="24"/>
          <w:lang w:val="en-US"/>
        </w:rPr>
        <w:t>.</w:t>
      </w:r>
    </w:p>
    <w:p w14:paraId="12131D6B" w14:textId="1C9986F2" w:rsidR="00DB4040" w:rsidRDefault="00762861">
      <w:pPr>
        <w:spacing w:after="0" w:line="480" w:lineRule="auto"/>
        <w:rPr>
          <w:rFonts w:ascii="Arial" w:hAnsi="Arial" w:cs="Arial"/>
          <w:sz w:val="24"/>
          <w:szCs w:val="24"/>
          <w:lang w:val="en-US"/>
        </w:rPr>
      </w:pPr>
      <w:r>
        <w:rPr>
          <w:rFonts w:ascii="Arial" w:hAnsi="Arial" w:cs="Arial"/>
          <w:sz w:val="24"/>
          <w:szCs w:val="24"/>
          <w:lang w:val="en-US"/>
        </w:rPr>
        <w:t xml:space="preserve">While we found no evidence for an association between PPI use and brain volumes or estimated brain age, different results of the verbal training and memory tests </w:t>
      </w:r>
      <w:proofErr w:type="gramStart"/>
      <w:r>
        <w:rPr>
          <w:rFonts w:ascii="Arial" w:hAnsi="Arial" w:cs="Arial"/>
          <w:sz w:val="24"/>
          <w:szCs w:val="24"/>
          <w:lang w:val="en-US"/>
        </w:rPr>
        <w:t>were observed</w:t>
      </w:r>
      <w:proofErr w:type="gramEnd"/>
      <w:r>
        <w:rPr>
          <w:rFonts w:ascii="Arial" w:hAnsi="Arial" w:cs="Arial"/>
          <w:sz w:val="24"/>
          <w:szCs w:val="24"/>
          <w:lang w:val="en-US"/>
        </w:rPr>
        <w:t xml:space="preserve">. We found that PPI users had lower VMLT scores, but the effect sizes were small (Cohen’s d = 0.13 for immediate memory, 0.17 for delayed recall). There was no difference in both types of recall between PPI users and non-users when the NAI </w:t>
      </w:r>
      <w:proofErr w:type="gramStart"/>
      <w:r>
        <w:rPr>
          <w:rFonts w:ascii="Arial" w:hAnsi="Arial" w:cs="Arial"/>
          <w:sz w:val="24"/>
          <w:szCs w:val="24"/>
          <w:lang w:val="en-US"/>
        </w:rPr>
        <w:t>was used</w:t>
      </w:r>
      <w:proofErr w:type="gramEnd"/>
      <w:r>
        <w:rPr>
          <w:rFonts w:ascii="Arial" w:hAnsi="Arial" w:cs="Arial"/>
          <w:sz w:val="24"/>
          <w:szCs w:val="24"/>
          <w:lang w:val="en-US"/>
        </w:rPr>
        <w:t xml:space="preserve"> for the examination. The difference in the results between the two verbal memory tests </w:t>
      </w:r>
      <w:proofErr w:type="gramStart"/>
      <w:r>
        <w:rPr>
          <w:rFonts w:ascii="Arial" w:hAnsi="Arial" w:cs="Arial"/>
          <w:sz w:val="24"/>
          <w:szCs w:val="24"/>
          <w:lang w:val="en-US"/>
        </w:rPr>
        <w:t>might be caused</w:t>
      </w:r>
      <w:proofErr w:type="gramEnd"/>
      <w:r>
        <w:rPr>
          <w:rFonts w:ascii="Arial" w:hAnsi="Arial" w:cs="Arial"/>
          <w:sz w:val="24"/>
          <w:szCs w:val="24"/>
          <w:lang w:val="en-US"/>
        </w:rPr>
        <w:t xml:space="preserve"> by the difference in the complexity of the tests, i.e. the </w:t>
      </w:r>
      <w:r>
        <w:rPr>
          <w:rFonts w:ascii="Arial" w:hAnsi="Arial" w:cs="Arial"/>
          <w:sz w:val="24"/>
          <w:szCs w:val="24"/>
          <w:lang w:val="en-US"/>
        </w:rPr>
        <w:lastRenderedPageBreak/>
        <w:t>different numbers of words and the fact that participants only had to distinguish the distractor words for the NAI test, instead of actively recalling the test words. Besides, the participants of the NAI were younger than the ones of the VLMT since the cohort of the SHIP-2, which includes VLMT, was older (see Table 4).</w:t>
      </w:r>
    </w:p>
    <w:p w14:paraId="025C5636" w14:textId="5CCE4633" w:rsidR="00DB4040" w:rsidRDefault="00762861">
      <w:pPr>
        <w:spacing w:line="480" w:lineRule="auto"/>
        <w:rPr>
          <w:rFonts w:ascii="Arial" w:hAnsi="Arial" w:cs="Arial"/>
          <w:sz w:val="24"/>
          <w:szCs w:val="24"/>
          <w:lang w:val="en-US"/>
        </w:rPr>
      </w:pPr>
      <w:r>
        <w:rPr>
          <w:rFonts w:ascii="Arial" w:hAnsi="Arial" w:cs="Arial"/>
          <w:sz w:val="24"/>
          <w:szCs w:val="24"/>
          <w:lang w:val="en-US"/>
        </w:rPr>
        <w:t>Given that the two verbal learning and memory tests yielded different results, we additionally checked, whether the size of the left hippocampus, which has been shown to be positively associated with verbal memory in previous studies</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41</w:t>
      </w:r>
      <w:proofErr w:type="gramStart"/>
      <w:r>
        <w:rPr>
          <w:rFonts w:ascii="Arial" w:hAnsi="Arial" w:cs="Arial"/>
          <w:sz w:val="24"/>
          <w:szCs w:val="24"/>
          <w:vertAlign w:val="superscript"/>
          <w:lang w:val="en-US"/>
        </w:rPr>
        <w:t>,42</w:t>
      </w:r>
      <w:proofErr w:type="gramEnd"/>
      <w:r>
        <w:rPr>
          <w:rFonts w:ascii="Arial" w:hAnsi="Arial" w:cs="Arial"/>
          <w:sz w:val="24"/>
          <w:szCs w:val="24"/>
          <w:lang w:val="en-US"/>
        </w:rPr>
        <w:t>, was different in PPI users and non-users. The disagreement of the test results also supports the necessity for further research. Furthermore, the Mini-Mental State Examination (MMSE) and the Montreal Cognitive Assessment (</w:t>
      </w:r>
      <w:proofErr w:type="spellStart"/>
      <w:r>
        <w:rPr>
          <w:rFonts w:ascii="Arial" w:hAnsi="Arial" w:cs="Arial"/>
          <w:sz w:val="24"/>
          <w:szCs w:val="24"/>
          <w:lang w:val="en-US"/>
        </w:rPr>
        <w:t>MoCA</w:t>
      </w:r>
      <w:proofErr w:type="spellEnd"/>
      <w:r>
        <w:rPr>
          <w:rFonts w:ascii="Arial" w:hAnsi="Arial" w:cs="Arial"/>
          <w:sz w:val="24"/>
          <w:szCs w:val="24"/>
          <w:lang w:val="en-US"/>
        </w:rPr>
        <w:t xml:space="preserve">) </w:t>
      </w:r>
      <w:proofErr w:type="gramStart"/>
      <w:r>
        <w:rPr>
          <w:rFonts w:ascii="Arial" w:hAnsi="Arial" w:cs="Arial"/>
          <w:sz w:val="24"/>
          <w:szCs w:val="24"/>
          <w:lang w:val="en-US"/>
        </w:rPr>
        <w:t>are more often used</w:t>
      </w:r>
      <w:proofErr w:type="gramEnd"/>
      <w:r>
        <w:rPr>
          <w:rFonts w:ascii="Arial" w:hAnsi="Arial" w:cs="Arial"/>
          <w:sz w:val="24"/>
          <w:szCs w:val="24"/>
          <w:lang w:val="en-US"/>
        </w:rPr>
        <w:t xml:space="preserve"> to account for the general cognitive functions and the risk of dementia</w:t>
      </w:r>
      <w:r>
        <w:rPr>
          <w:rFonts w:ascii="Arial" w:hAnsi="Arial" w:cs="Arial"/>
          <w:color w:val="000000" w:themeColor="text1"/>
          <w:sz w:val="24"/>
          <w:szCs w:val="24"/>
          <w:lang w:val="en-US"/>
        </w:rPr>
        <w:t xml:space="preserve"> </w:t>
      </w:r>
      <w:r>
        <w:rPr>
          <w:rFonts w:ascii="Arial" w:hAnsi="Arial" w:cs="Arial"/>
          <w:sz w:val="24"/>
          <w:szCs w:val="24"/>
          <w:vertAlign w:val="superscript"/>
          <w:lang w:val="en-US"/>
        </w:rPr>
        <w:t>43-45</w:t>
      </w:r>
      <w:r>
        <w:rPr>
          <w:rFonts w:ascii="Arial" w:hAnsi="Arial" w:cs="Arial"/>
          <w:sz w:val="24"/>
          <w:szCs w:val="24"/>
          <w:lang w:val="en-US"/>
        </w:rPr>
        <w:t xml:space="preserve">. Thus, it could be advantageous to employ those exams that consider overall cognitive functions, including </w:t>
      </w:r>
      <w:proofErr w:type="spellStart"/>
      <w:r>
        <w:rPr>
          <w:rFonts w:ascii="Arial" w:hAnsi="Arial" w:cs="Arial"/>
          <w:sz w:val="24"/>
          <w:szCs w:val="24"/>
          <w:lang w:val="en-US"/>
        </w:rPr>
        <w:t>visuo</w:t>
      </w:r>
      <w:proofErr w:type="spellEnd"/>
      <w:r>
        <w:rPr>
          <w:rFonts w:ascii="Arial" w:hAnsi="Arial" w:cs="Arial"/>
          <w:sz w:val="24"/>
          <w:szCs w:val="24"/>
          <w:lang w:val="en-US"/>
        </w:rPr>
        <w:t>-spatial processing and executive functions, attention, recall, orientation, abstraction, and language, to assess general cognition impairment or risk of dementia, rather than focusing only on verbal memory. From our study population, only a limited number of individuals at 60 years or older went through the MMSE.</w:t>
      </w:r>
    </w:p>
    <w:p w14:paraId="2B63FBE8" w14:textId="48DAB354"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Our study has several strengths. To the best of our knowledge, this is the first study on the relation between PPI use and brain volumes/brain age assessed by MRI. It is important because previous studies showed conflicting results on the association between PPI intake and dementia/cognitive decline since </w:t>
      </w:r>
      <w:proofErr w:type="spellStart"/>
      <w:r>
        <w:rPr>
          <w:rFonts w:ascii="Arial" w:hAnsi="Arial" w:cs="Arial"/>
          <w:sz w:val="24"/>
          <w:szCs w:val="24"/>
          <w:lang w:val="en-US"/>
        </w:rPr>
        <w:t>Gomm</w:t>
      </w:r>
      <w:proofErr w:type="spellEnd"/>
      <w:r>
        <w:rPr>
          <w:rFonts w:ascii="Arial" w:hAnsi="Arial" w:cs="Arial"/>
          <w:sz w:val="24"/>
          <w:szCs w:val="24"/>
          <w:lang w:val="en-US"/>
        </w:rPr>
        <w:t xml:space="preserve"> et al. </w:t>
      </w:r>
      <w:r>
        <w:rPr>
          <w:rFonts w:ascii="Arial" w:hAnsi="Arial" w:cs="Arial"/>
          <w:sz w:val="24"/>
          <w:szCs w:val="24"/>
          <w:vertAlign w:val="superscript"/>
          <w:lang w:val="en-US"/>
        </w:rPr>
        <w:t>8</w:t>
      </w:r>
      <w:r>
        <w:rPr>
          <w:rFonts w:ascii="Arial" w:hAnsi="Arial" w:cs="Arial"/>
          <w:sz w:val="24"/>
          <w:szCs w:val="24"/>
          <w:lang w:val="en-US"/>
        </w:rPr>
        <w:t xml:space="preserve"> reported an increased risk of dementia associated with long-term PPI use. Given that consensus of the results </w:t>
      </w:r>
      <w:proofErr w:type="gramStart"/>
      <w:r>
        <w:rPr>
          <w:rFonts w:ascii="Arial" w:hAnsi="Arial" w:cs="Arial"/>
          <w:sz w:val="24"/>
          <w:szCs w:val="24"/>
          <w:lang w:val="en-US"/>
        </w:rPr>
        <w:t>is needed</w:t>
      </w:r>
      <w:proofErr w:type="gramEnd"/>
      <w:r>
        <w:rPr>
          <w:rFonts w:ascii="Arial" w:hAnsi="Arial" w:cs="Arial"/>
          <w:sz w:val="24"/>
          <w:szCs w:val="24"/>
          <w:lang w:val="en-US"/>
        </w:rPr>
        <w:t xml:space="preserve"> in order to implement evidence-based recommendations into clinical settings, and </w:t>
      </w:r>
      <w:r>
        <w:rPr>
          <w:rFonts w:ascii="Arial" w:hAnsi="Arial" w:cs="Arial"/>
          <w:sz w:val="24"/>
          <w:szCs w:val="24"/>
          <w:lang w:val="en-US"/>
        </w:rPr>
        <w:lastRenderedPageBreak/>
        <w:t xml:space="preserve">decreased brain volume can be used as a proxy of dementia </w:t>
      </w:r>
      <w:r>
        <w:rPr>
          <w:rFonts w:ascii="Arial" w:hAnsi="Arial" w:cs="Arial"/>
          <w:sz w:val="24"/>
          <w:szCs w:val="24"/>
          <w:vertAlign w:val="superscript"/>
          <w:lang w:val="en-US"/>
        </w:rPr>
        <w:t>11,12,46,47</w:t>
      </w:r>
      <w:r>
        <w:rPr>
          <w:rFonts w:ascii="Arial" w:hAnsi="Arial" w:cs="Arial"/>
          <w:sz w:val="24"/>
          <w:szCs w:val="24"/>
          <w:lang w:val="en-US"/>
        </w:rPr>
        <w:t xml:space="preserve">, our quantitative approach investigating brain volumes and their correlations with PPI intake added further findings to the body of literature. Additionally, IPW </w:t>
      </w:r>
      <w:proofErr w:type="gramStart"/>
      <w:r>
        <w:rPr>
          <w:rFonts w:ascii="Arial" w:hAnsi="Arial" w:cs="Arial"/>
          <w:sz w:val="24"/>
          <w:szCs w:val="24"/>
          <w:lang w:val="en-US"/>
        </w:rPr>
        <w:t>was used</w:t>
      </w:r>
      <w:proofErr w:type="gramEnd"/>
      <w:r>
        <w:rPr>
          <w:rFonts w:ascii="Arial" w:hAnsi="Arial" w:cs="Arial"/>
          <w:sz w:val="24"/>
          <w:szCs w:val="24"/>
          <w:lang w:val="en-US"/>
        </w:rPr>
        <w:t xml:space="preserve"> to decrease the selection bias caused by non-participation at the brain MRI examination.</w:t>
      </w:r>
    </w:p>
    <w:p w14:paraId="35C3C628"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We also acknowledge the following limitations of the present study. The study had a cross-sectional design and we cannot be sure that PPI use preceded changes in brain volumes, estimated brain age and verbal memory tests. In particular, we cannot rule out reverse causation (i.e. cognitive decline or dementia may predispose to gastric problems and PPI intake). PPI intake </w:t>
      </w:r>
      <w:proofErr w:type="gramStart"/>
      <w:r>
        <w:rPr>
          <w:rFonts w:ascii="Arial" w:hAnsi="Arial" w:cs="Arial"/>
          <w:sz w:val="24"/>
          <w:szCs w:val="24"/>
          <w:lang w:val="en-US"/>
        </w:rPr>
        <w:t>was defined</w:t>
      </w:r>
      <w:proofErr w:type="gramEnd"/>
      <w:r>
        <w:rPr>
          <w:rFonts w:ascii="Arial" w:hAnsi="Arial" w:cs="Arial"/>
          <w:sz w:val="24"/>
          <w:szCs w:val="24"/>
          <w:lang w:val="en-US"/>
        </w:rPr>
        <w:t xml:space="preserve"> as reported regular daily intake over the past seven days. Therefore, we cannot rule out prevalent user bias that could have attenuated true effect sizes. </w:t>
      </w:r>
      <w:proofErr w:type="gramStart"/>
      <w:r>
        <w:rPr>
          <w:rFonts w:ascii="Arial" w:hAnsi="Arial" w:cs="Arial"/>
          <w:sz w:val="24"/>
          <w:szCs w:val="24"/>
          <w:lang w:val="en-US"/>
        </w:rPr>
        <w:t>Also</w:t>
      </w:r>
      <w:proofErr w:type="gramEnd"/>
      <w:r>
        <w:rPr>
          <w:rFonts w:ascii="Arial" w:hAnsi="Arial" w:cs="Arial"/>
          <w:sz w:val="24"/>
          <w:szCs w:val="24"/>
          <w:lang w:val="en-US"/>
        </w:rPr>
        <w:t xml:space="preserve">, there is a chance that those who irregularly took PPIs or participants with prodromal dementia underreported PPI intake. </w:t>
      </w:r>
    </w:p>
    <w:p w14:paraId="3295B2F7" w14:textId="77777777"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Regarding the outcome evaluated, we could not conduct further examinations to diagnose dementia, such as positron emission tomography scans or </w:t>
      </w:r>
      <w:proofErr w:type="gramStart"/>
      <w:r>
        <w:rPr>
          <w:rFonts w:ascii="Arial" w:hAnsi="Arial" w:cs="Arial"/>
          <w:sz w:val="24"/>
          <w:szCs w:val="24"/>
          <w:lang w:val="en-US"/>
        </w:rPr>
        <w:t>more specific cognitive tests</w:t>
      </w:r>
      <w:proofErr w:type="gramEnd"/>
      <w:r>
        <w:rPr>
          <w:rFonts w:ascii="Arial" w:hAnsi="Arial" w:cs="Arial"/>
          <w:sz w:val="24"/>
          <w:szCs w:val="24"/>
          <w:lang w:val="en-US"/>
        </w:rPr>
        <w:t xml:space="preserve">. Furthermore, white matter </w:t>
      </w:r>
      <w:proofErr w:type="spellStart"/>
      <w:r>
        <w:rPr>
          <w:rFonts w:ascii="Arial" w:hAnsi="Arial" w:cs="Arial"/>
          <w:sz w:val="24"/>
          <w:szCs w:val="24"/>
          <w:lang w:val="en-US"/>
        </w:rPr>
        <w:t>hyperintensities</w:t>
      </w:r>
      <w:proofErr w:type="spellEnd"/>
      <w:r>
        <w:rPr>
          <w:rFonts w:ascii="Arial" w:hAnsi="Arial" w:cs="Arial"/>
          <w:sz w:val="24"/>
          <w:szCs w:val="24"/>
          <w:lang w:val="en-US"/>
        </w:rPr>
        <w:t xml:space="preserve">, which indicate cerebral small vessel disease </w:t>
      </w:r>
      <w:r>
        <w:rPr>
          <w:rFonts w:ascii="Arial" w:hAnsi="Arial" w:cs="Arial"/>
          <w:sz w:val="24"/>
          <w:szCs w:val="24"/>
          <w:vertAlign w:val="superscript"/>
          <w:lang w:val="en-US"/>
        </w:rPr>
        <w:t>48</w:t>
      </w:r>
      <w:r>
        <w:rPr>
          <w:rFonts w:ascii="Arial" w:hAnsi="Arial" w:cs="Arial"/>
          <w:sz w:val="24"/>
          <w:szCs w:val="24"/>
          <w:lang w:val="en-US"/>
        </w:rPr>
        <w:t xml:space="preserve"> and might be associated with PPI intake, </w:t>
      </w:r>
      <w:proofErr w:type="gramStart"/>
      <w:r>
        <w:rPr>
          <w:rFonts w:ascii="Arial" w:hAnsi="Arial" w:cs="Arial"/>
          <w:sz w:val="24"/>
          <w:szCs w:val="24"/>
          <w:lang w:val="en-US"/>
        </w:rPr>
        <w:t>could not be precisely quantified</w:t>
      </w:r>
      <w:proofErr w:type="gramEnd"/>
      <w:r>
        <w:rPr>
          <w:rFonts w:ascii="Arial" w:hAnsi="Arial" w:cs="Arial"/>
          <w:sz w:val="24"/>
          <w:szCs w:val="24"/>
          <w:lang w:val="en-US"/>
        </w:rPr>
        <w:t xml:space="preserve"> by this method. Another limitation is that we were not able to make a direct comparison of the results between VLMT and NAI.</w:t>
      </w:r>
    </w:p>
    <w:p w14:paraId="33FF7DAE" w14:textId="091E66F3" w:rsidR="00DB4040" w:rsidRDefault="00762861">
      <w:pPr>
        <w:spacing w:line="480" w:lineRule="auto"/>
        <w:rPr>
          <w:rFonts w:ascii="Arial" w:hAnsi="Arial" w:cs="Arial"/>
          <w:sz w:val="24"/>
          <w:szCs w:val="24"/>
          <w:lang w:val="en-US"/>
        </w:rPr>
      </w:pPr>
      <w:r>
        <w:rPr>
          <w:rFonts w:ascii="Arial" w:hAnsi="Arial" w:cs="Arial"/>
          <w:sz w:val="24"/>
          <w:szCs w:val="24"/>
          <w:lang w:val="en-US"/>
        </w:rPr>
        <w:t xml:space="preserve">In conclusion, our findings did not support previous evidence on a possible association between PPI intake and brain aging. Further longitudinal investigations of the association between incident PPI use and change in brain volumes and brain aging </w:t>
      </w:r>
      <w:proofErr w:type="gramStart"/>
      <w:r>
        <w:rPr>
          <w:rFonts w:ascii="Arial" w:hAnsi="Arial" w:cs="Arial"/>
          <w:sz w:val="24"/>
          <w:szCs w:val="24"/>
          <w:lang w:val="en-US"/>
        </w:rPr>
        <w:t>are needed</w:t>
      </w:r>
      <w:proofErr w:type="gramEnd"/>
      <w:r>
        <w:rPr>
          <w:rFonts w:ascii="Arial" w:hAnsi="Arial" w:cs="Arial"/>
          <w:sz w:val="24"/>
          <w:szCs w:val="24"/>
          <w:lang w:val="en-US"/>
        </w:rPr>
        <w:t xml:space="preserve"> to confirm this finding.</w:t>
      </w:r>
    </w:p>
    <w:p w14:paraId="6B854EC8" w14:textId="77777777" w:rsidR="00DB4040" w:rsidRDefault="00762861">
      <w:pPr>
        <w:spacing w:line="480" w:lineRule="auto"/>
        <w:jc w:val="both"/>
        <w:rPr>
          <w:rFonts w:ascii="Arial" w:hAnsi="Arial" w:cs="Arial"/>
          <w:b/>
          <w:lang w:val="en-US"/>
        </w:rPr>
      </w:pPr>
      <w:r>
        <w:rPr>
          <w:rFonts w:ascii="Arial" w:hAnsi="Arial" w:cs="Arial"/>
          <w:b/>
          <w:lang w:val="en-US"/>
        </w:rPr>
        <w:lastRenderedPageBreak/>
        <w:t>Acknowledgment</w:t>
      </w:r>
    </w:p>
    <w:p w14:paraId="742C2EF0" w14:textId="77777777" w:rsidR="00DB4040" w:rsidRPr="00E2570B" w:rsidRDefault="00762861">
      <w:pPr>
        <w:spacing w:line="480" w:lineRule="auto"/>
        <w:jc w:val="both"/>
        <w:rPr>
          <w:rFonts w:ascii="Arial" w:hAnsi="Arial" w:cs="Arial"/>
          <w:lang w:val="en-US"/>
        </w:rPr>
      </w:pPr>
      <w:r w:rsidRPr="00E2570B">
        <w:rPr>
          <w:rFonts w:ascii="Arial" w:hAnsi="Arial" w:cs="Arial"/>
          <w:lang w:val="en-US"/>
        </w:rPr>
        <w:t xml:space="preserve">SHIP is part of the Community Medicine Research Network, which </w:t>
      </w:r>
      <w:proofErr w:type="gramStart"/>
      <w:r w:rsidRPr="00E2570B">
        <w:rPr>
          <w:rFonts w:ascii="Arial" w:hAnsi="Arial" w:cs="Arial"/>
          <w:lang w:val="en-US"/>
        </w:rPr>
        <w:t>is supported</w:t>
      </w:r>
      <w:proofErr w:type="gramEnd"/>
      <w:r w:rsidRPr="00E2570B">
        <w:rPr>
          <w:rFonts w:ascii="Arial" w:hAnsi="Arial" w:cs="Arial"/>
          <w:lang w:val="en-US"/>
        </w:rPr>
        <w:t xml:space="preserve"> by the German Federal State of Mecklenburg-West Pomerania. We thank the SHIP study staff and all study participants for their valuable contributions.</w:t>
      </w:r>
    </w:p>
    <w:p w14:paraId="5E1196C3" w14:textId="77777777" w:rsidR="00DB4040" w:rsidRDefault="00DB4040">
      <w:pPr>
        <w:spacing w:line="480" w:lineRule="auto"/>
        <w:jc w:val="both"/>
        <w:rPr>
          <w:rFonts w:ascii="Arial" w:hAnsi="Arial" w:cs="Arial"/>
          <w:lang w:val="en-US"/>
        </w:rPr>
      </w:pPr>
    </w:p>
    <w:p w14:paraId="63D18E21" w14:textId="77777777" w:rsidR="00DB4040" w:rsidRDefault="00762861">
      <w:pPr>
        <w:spacing w:line="480" w:lineRule="auto"/>
        <w:jc w:val="both"/>
        <w:rPr>
          <w:rFonts w:ascii="Arial" w:hAnsi="Arial" w:cs="Arial"/>
          <w:b/>
          <w:lang w:val="en-US"/>
        </w:rPr>
      </w:pPr>
      <w:r>
        <w:rPr>
          <w:rFonts w:ascii="Arial" w:hAnsi="Arial" w:cs="Arial"/>
          <w:b/>
          <w:lang w:val="en-US"/>
        </w:rPr>
        <w:t xml:space="preserve">Appendix </w:t>
      </w:r>
      <w:r>
        <w:rPr>
          <w:rFonts w:ascii="Arial" w:hAnsi="Arial" w:cs="Arial"/>
          <w:lang w:val="en-US"/>
        </w:rPr>
        <w:t>Authors</w:t>
      </w:r>
    </w:p>
    <w:tbl>
      <w:tblPr>
        <w:tblStyle w:val="Tabellenraster"/>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2"/>
        <w:gridCol w:w="2153"/>
        <w:gridCol w:w="1175"/>
        <w:gridCol w:w="2930"/>
      </w:tblGrid>
      <w:tr w:rsidR="00DB4040" w14:paraId="01943551" w14:textId="77777777">
        <w:tc>
          <w:tcPr>
            <w:tcW w:w="1962" w:type="dxa"/>
            <w:tcBorders>
              <w:top w:val="single" w:sz="4" w:space="0" w:color="auto"/>
              <w:bottom w:val="single" w:sz="4" w:space="0" w:color="auto"/>
            </w:tcBorders>
          </w:tcPr>
          <w:p w14:paraId="79467947" w14:textId="77777777" w:rsidR="00DB4040" w:rsidRDefault="00762861">
            <w:pPr>
              <w:spacing w:line="480" w:lineRule="auto"/>
              <w:jc w:val="both"/>
              <w:rPr>
                <w:rFonts w:ascii="Arial" w:hAnsi="Arial" w:cs="Arial"/>
                <w:b/>
                <w:sz w:val="20"/>
                <w:szCs w:val="20"/>
                <w:lang w:val="en-US"/>
              </w:rPr>
            </w:pPr>
            <w:r>
              <w:rPr>
                <w:rFonts w:ascii="Arial" w:hAnsi="Arial" w:cs="Arial"/>
                <w:b/>
                <w:sz w:val="20"/>
                <w:szCs w:val="20"/>
                <w:lang w:val="en-US"/>
              </w:rPr>
              <w:t>Name</w:t>
            </w:r>
          </w:p>
        </w:tc>
        <w:tc>
          <w:tcPr>
            <w:tcW w:w="2153" w:type="dxa"/>
            <w:tcBorders>
              <w:top w:val="single" w:sz="4" w:space="0" w:color="auto"/>
              <w:bottom w:val="single" w:sz="4" w:space="0" w:color="auto"/>
            </w:tcBorders>
          </w:tcPr>
          <w:p w14:paraId="1FA78B36" w14:textId="77777777" w:rsidR="00DB4040" w:rsidRDefault="00762861">
            <w:pPr>
              <w:spacing w:line="480" w:lineRule="auto"/>
              <w:jc w:val="both"/>
              <w:rPr>
                <w:rFonts w:ascii="Arial" w:hAnsi="Arial" w:cs="Arial"/>
                <w:b/>
                <w:sz w:val="20"/>
                <w:szCs w:val="20"/>
                <w:lang w:val="en-US"/>
              </w:rPr>
            </w:pPr>
            <w:r>
              <w:rPr>
                <w:rFonts w:ascii="Arial" w:hAnsi="Arial" w:cs="Arial"/>
                <w:b/>
                <w:sz w:val="20"/>
                <w:szCs w:val="20"/>
                <w:lang w:val="en-US"/>
              </w:rPr>
              <w:t>Location</w:t>
            </w:r>
          </w:p>
        </w:tc>
        <w:tc>
          <w:tcPr>
            <w:tcW w:w="1175" w:type="dxa"/>
            <w:tcBorders>
              <w:top w:val="single" w:sz="4" w:space="0" w:color="auto"/>
              <w:bottom w:val="single" w:sz="4" w:space="0" w:color="auto"/>
            </w:tcBorders>
          </w:tcPr>
          <w:p w14:paraId="7994582D" w14:textId="77777777" w:rsidR="00DB4040" w:rsidRDefault="00762861">
            <w:pPr>
              <w:spacing w:line="480" w:lineRule="auto"/>
              <w:jc w:val="both"/>
              <w:rPr>
                <w:rFonts w:ascii="Arial" w:hAnsi="Arial" w:cs="Arial"/>
                <w:b/>
                <w:sz w:val="20"/>
                <w:szCs w:val="20"/>
                <w:lang w:val="en-US"/>
              </w:rPr>
            </w:pPr>
            <w:r>
              <w:rPr>
                <w:rFonts w:ascii="Arial" w:hAnsi="Arial" w:cs="Arial"/>
                <w:b/>
                <w:sz w:val="20"/>
                <w:szCs w:val="20"/>
                <w:lang w:val="en-US"/>
              </w:rPr>
              <w:t>Role</w:t>
            </w:r>
          </w:p>
        </w:tc>
        <w:tc>
          <w:tcPr>
            <w:tcW w:w="2930" w:type="dxa"/>
            <w:tcBorders>
              <w:top w:val="single" w:sz="4" w:space="0" w:color="auto"/>
              <w:bottom w:val="single" w:sz="4" w:space="0" w:color="auto"/>
            </w:tcBorders>
          </w:tcPr>
          <w:p w14:paraId="4B07B414" w14:textId="77777777" w:rsidR="00DB4040" w:rsidRDefault="00762861">
            <w:pPr>
              <w:spacing w:line="480" w:lineRule="auto"/>
              <w:jc w:val="both"/>
              <w:rPr>
                <w:rFonts w:ascii="Arial" w:hAnsi="Arial" w:cs="Arial"/>
                <w:b/>
                <w:sz w:val="20"/>
                <w:szCs w:val="20"/>
                <w:lang w:val="en-US"/>
              </w:rPr>
            </w:pPr>
            <w:r>
              <w:rPr>
                <w:rFonts w:ascii="Arial" w:hAnsi="Arial" w:cs="Arial"/>
                <w:b/>
                <w:sz w:val="20"/>
                <w:szCs w:val="20"/>
                <w:lang w:val="en-US"/>
              </w:rPr>
              <w:t>Contribution</w:t>
            </w:r>
          </w:p>
        </w:tc>
      </w:tr>
      <w:tr w:rsidR="00DB4040" w:rsidRPr="00C9322A" w14:paraId="497E3B29" w14:textId="77777777">
        <w:tc>
          <w:tcPr>
            <w:tcW w:w="1962" w:type="dxa"/>
            <w:tcBorders>
              <w:top w:val="single" w:sz="4" w:space="0" w:color="auto"/>
              <w:bottom w:val="single" w:sz="4" w:space="0" w:color="auto"/>
            </w:tcBorders>
          </w:tcPr>
          <w:p w14:paraId="2DCE13EF"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Nayeon Ahn, MSc</w:t>
            </w:r>
          </w:p>
        </w:tc>
        <w:tc>
          <w:tcPr>
            <w:tcW w:w="2153" w:type="dxa"/>
            <w:tcBorders>
              <w:top w:val="single" w:sz="4" w:space="0" w:color="auto"/>
              <w:bottom w:val="single" w:sz="4" w:space="0" w:color="auto"/>
            </w:tcBorders>
          </w:tcPr>
          <w:p w14:paraId="55DF7172"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UNIKA-T, Augsburg, Germany</w:t>
            </w:r>
          </w:p>
        </w:tc>
        <w:tc>
          <w:tcPr>
            <w:tcW w:w="1175" w:type="dxa"/>
            <w:tcBorders>
              <w:top w:val="single" w:sz="4" w:space="0" w:color="auto"/>
              <w:bottom w:val="single" w:sz="4" w:space="0" w:color="auto"/>
            </w:tcBorders>
          </w:tcPr>
          <w:p w14:paraId="780FFB8A"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1831CC7B" w14:textId="6E602C0D" w:rsidR="00DB4040" w:rsidRDefault="00762861" w:rsidP="00E2570B">
            <w:pPr>
              <w:spacing w:line="480" w:lineRule="auto"/>
              <w:jc w:val="both"/>
              <w:rPr>
                <w:rFonts w:ascii="Arial" w:hAnsi="Arial" w:cs="Arial"/>
                <w:sz w:val="20"/>
                <w:szCs w:val="20"/>
                <w:lang w:val="en-US"/>
              </w:rPr>
            </w:pPr>
            <w:r>
              <w:rPr>
                <w:rFonts w:ascii="Arial" w:hAnsi="Arial" w:cs="Arial"/>
                <w:sz w:val="20"/>
                <w:szCs w:val="20"/>
                <w:lang w:val="en-US"/>
              </w:rPr>
              <w:t>Design and conceptualization of the study, analysis and interpretation of the data, manuscript preparation</w:t>
            </w:r>
          </w:p>
        </w:tc>
      </w:tr>
      <w:tr w:rsidR="00DB4040" w:rsidRPr="00C9322A" w14:paraId="27B76413" w14:textId="77777777">
        <w:tc>
          <w:tcPr>
            <w:tcW w:w="1962" w:type="dxa"/>
            <w:tcBorders>
              <w:top w:val="single" w:sz="4" w:space="0" w:color="auto"/>
              <w:bottom w:val="single" w:sz="4" w:space="0" w:color="auto"/>
            </w:tcBorders>
          </w:tcPr>
          <w:p w14:paraId="0AB081BE"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Stefan Frenzel,</w:t>
            </w:r>
          </w:p>
          <w:p w14:paraId="306E1471"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Dipl.-</w:t>
            </w:r>
            <w:proofErr w:type="spellStart"/>
            <w:r>
              <w:rPr>
                <w:rFonts w:ascii="Arial" w:hAnsi="Arial" w:cs="Arial"/>
                <w:b/>
                <w:sz w:val="20"/>
                <w:szCs w:val="20"/>
                <w:lang w:val="en-US"/>
              </w:rPr>
              <w:t>Phys</w:t>
            </w:r>
            <w:proofErr w:type="spellEnd"/>
          </w:p>
        </w:tc>
        <w:tc>
          <w:tcPr>
            <w:tcW w:w="2153" w:type="dxa"/>
            <w:tcBorders>
              <w:top w:val="single" w:sz="4" w:space="0" w:color="auto"/>
              <w:bottom w:val="single" w:sz="4" w:space="0" w:color="auto"/>
            </w:tcBorders>
          </w:tcPr>
          <w:p w14:paraId="0A12F24B"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bottom w:val="single" w:sz="4" w:space="0" w:color="auto"/>
            </w:tcBorders>
          </w:tcPr>
          <w:p w14:paraId="13E5E66A"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75C528B3"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interpretation of the data, manuscript preparation</w:t>
            </w:r>
          </w:p>
        </w:tc>
      </w:tr>
      <w:tr w:rsidR="00DB4040" w:rsidRPr="00C9322A" w14:paraId="2BFB4CD4" w14:textId="77777777">
        <w:tc>
          <w:tcPr>
            <w:tcW w:w="1962" w:type="dxa"/>
            <w:tcBorders>
              <w:top w:val="single" w:sz="4" w:space="0" w:color="auto"/>
              <w:bottom w:val="single" w:sz="4" w:space="0" w:color="auto"/>
            </w:tcBorders>
          </w:tcPr>
          <w:p w14:paraId="4186E8EC"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Katharina Wittfeld, PhD</w:t>
            </w:r>
          </w:p>
        </w:tc>
        <w:tc>
          <w:tcPr>
            <w:tcW w:w="2153" w:type="dxa"/>
            <w:tcBorders>
              <w:top w:val="single" w:sz="4" w:space="0" w:color="auto"/>
              <w:bottom w:val="single" w:sz="4" w:space="0" w:color="auto"/>
            </w:tcBorders>
          </w:tcPr>
          <w:p w14:paraId="6FA26C2A"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bottom w:val="single" w:sz="4" w:space="0" w:color="auto"/>
            </w:tcBorders>
          </w:tcPr>
          <w:p w14:paraId="451C7D92"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710A1CAF"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interpretation of the data, manuscript review for intellectual content</w:t>
            </w:r>
          </w:p>
        </w:tc>
      </w:tr>
      <w:tr w:rsidR="00DB4040" w:rsidRPr="00C9322A" w14:paraId="4855F921" w14:textId="77777777">
        <w:tc>
          <w:tcPr>
            <w:tcW w:w="1962" w:type="dxa"/>
            <w:tcBorders>
              <w:top w:val="single" w:sz="4" w:space="0" w:color="auto"/>
              <w:bottom w:val="single" w:sz="4" w:space="0" w:color="auto"/>
            </w:tcBorders>
          </w:tcPr>
          <w:p w14:paraId="62BF202E" w14:textId="77777777" w:rsidR="00DB4040" w:rsidRDefault="00762861">
            <w:pPr>
              <w:spacing w:line="480" w:lineRule="auto"/>
              <w:rPr>
                <w:rFonts w:ascii="Arial" w:hAnsi="Arial" w:cs="Arial"/>
                <w:b/>
                <w:sz w:val="20"/>
                <w:szCs w:val="20"/>
                <w:lang w:val="en-US"/>
              </w:rPr>
            </w:pPr>
            <w:r>
              <w:rPr>
                <w:rFonts w:ascii="Arial" w:hAnsi="Arial" w:cs="Arial"/>
                <w:b/>
                <w:sz w:val="20"/>
                <w:szCs w:val="20"/>
              </w:rPr>
              <w:t>Robin Bülow, MD</w:t>
            </w:r>
          </w:p>
        </w:tc>
        <w:tc>
          <w:tcPr>
            <w:tcW w:w="2153" w:type="dxa"/>
            <w:tcBorders>
              <w:top w:val="single" w:sz="4" w:space="0" w:color="auto"/>
              <w:bottom w:val="single" w:sz="4" w:space="0" w:color="auto"/>
            </w:tcBorders>
          </w:tcPr>
          <w:p w14:paraId="59426345" w14:textId="77777777" w:rsidR="00DB4040" w:rsidRDefault="00762861">
            <w:pPr>
              <w:spacing w:line="480" w:lineRule="auto"/>
              <w:rPr>
                <w:rFonts w:ascii="Arial" w:hAnsi="Arial" w:cs="Arial"/>
                <w:sz w:val="20"/>
                <w:szCs w:val="20"/>
                <w:lang w:val="en-US"/>
              </w:rPr>
            </w:pPr>
            <w:r>
              <w:rPr>
                <w:rFonts w:ascii="Arial" w:hAnsi="Arial" w:cs="Arial"/>
                <w:sz w:val="20"/>
                <w:szCs w:val="20"/>
              </w:rPr>
              <w:t xml:space="preserve">University </w:t>
            </w:r>
            <w:proofErr w:type="spellStart"/>
            <w:r>
              <w:rPr>
                <w:rFonts w:ascii="Arial" w:hAnsi="Arial" w:cs="Arial"/>
                <w:sz w:val="20"/>
                <w:szCs w:val="20"/>
              </w:rPr>
              <w:t>Medicine</w:t>
            </w:r>
            <w:proofErr w:type="spellEnd"/>
            <w:r>
              <w:rPr>
                <w:rFonts w:ascii="Arial" w:hAnsi="Arial" w:cs="Arial"/>
                <w:sz w:val="20"/>
                <w:szCs w:val="20"/>
              </w:rPr>
              <w:t xml:space="preserve"> Greifswald, Greifswald, Germany</w:t>
            </w:r>
          </w:p>
        </w:tc>
        <w:tc>
          <w:tcPr>
            <w:tcW w:w="1175" w:type="dxa"/>
            <w:tcBorders>
              <w:top w:val="single" w:sz="4" w:space="0" w:color="auto"/>
              <w:bottom w:val="single" w:sz="4" w:space="0" w:color="auto"/>
            </w:tcBorders>
          </w:tcPr>
          <w:p w14:paraId="62E730BF" w14:textId="77777777" w:rsidR="00DB4040" w:rsidRDefault="00762861">
            <w:pPr>
              <w:spacing w:line="480" w:lineRule="auto"/>
              <w:jc w:val="both"/>
              <w:rPr>
                <w:rFonts w:ascii="Arial" w:hAnsi="Arial" w:cs="Arial"/>
                <w:sz w:val="20"/>
                <w:szCs w:val="20"/>
                <w:lang w:val="en-US"/>
              </w:rPr>
            </w:pPr>
            <w:proofErr w:type="spellStart"/>
            <w:r>
              <w:rPr>
                <w:rFonts w:ascii="Arial" w:hAnsi="Arial" w:cs="Arial"/>
                <w:sz w:val="20"/>
                <w:szCs w:val="20"/>
              </w:rPr>
              <w:t>Author</w:t>
            </w:r>
            <w:proofErr w:type="spellEnd"/>
          </w:p>
        </w:tc>
        <w:tc>
          <w:tcPr>
            <w:tcW w:w="2930" w:type="dxa"/>
            <w:tcBorders>
              <w:top w:val="single" w:sz="4" w:space="0" w:color="auto"/>
              <w:bottom w:val="single" w:sz="4" w:space="0" w:color="auto"/>
            </w:tcBorders>
          </w:tcPr>
          <w:p w14:paraId="5A45F1B1"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interpretation of the data, manuscript review for intellectual content</w:t>
            </w:r>
          </w:p>
        </w:tc>
      </w:tr>
      <w:tr w:rsidR="00DB4040" w:rsidRPr="00C9322A" w14:paraId="5D90899F" w14:textId="77777777">
        <w:tc>
          <w:tcPr>
            <w:tcW w:w="1962" w:type="dxa"/>
            <w:tcBorders>
              <w:top w:val="single" w:sz="4" w:space="0" w:color="auto"/>
              <w:bottom w:val="single" w:sz="4" w:space="0" w:color="auto"/>
            </w:tcBorders>
          </w:tcPr>
          <w:p w14:paraId="25433B0F"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Henry V</w:t>
            </w:r>
            <w:proofErr w:type="spellStart"/>
            <w:r>
              <w:rPr>
                <w:rFonts w:ascii="Arial" w:hAnsi="Arial" w:cs="Arial"/>
                <w:b/>
                <w:sz w:val="20"/>
                <w:szCs w:val="20"/>
              </w:rPr>
              <w:t>ölzke</w:t>
            </w:r>
            <w:proofErr w:type="spellEnd"/>
            <w:r>
              <w:rPr>
                <w:rFonts w:ascii="Arial" w:hAnsi="Arial" w:cs="Arial"/>
                <w:b/>
                <w:sz w:val="20"/>
                <w:szCs w:val="20"/>
                <w:lang w:val="en-US"/>
              </w:rPr>
              <w:t>, MD</w:t>
            </w:r>
          </w:p>
          <w:p w14:paraId="1F3D80A6" w14:textId="77777777" w:rsidR="00DB4040" w:rsidRDefault="00DB4040">
            <w:pPr>
              <w:spacing w:line="480" w:lineRule="auto"/>
              <w:rPr>
                <w:rFonts w:ascii="Arial" w:hAnsi="Arial" w:cs="Arial"/>
                <w:b/>
                <w:sz w:val="20"/>
                <w:szCs w:val="20"/>
                <w:lang w:val="en-US"/>
              </w:rPr>
            </w:pPr>
          </w:p>
        </w:tc>
        <w:tc>
          <w:tcPr>
            <w:tcW w:w="2153" w:type="dxa"/>
            <w:tcBorders>
              <w:top w:val="single" w:sz="4" w:space="0" w:color="auto"/>
              <w:bottom w:val="single" w:sz="4" w:space="0" w:color="auto"/>
            </w:tcBorders>
          </w:tcPr>
          <w:p w14:paraId="157D1DC0"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bottom w:val="single" w:sz="4" w:space="0" w:color="auto"/>
            </w:tcBorders>
          </w:tcPr>
          <w:p w14:paraId="7BEB0020"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0170C05E"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manuscript review for intellectual content</w:t>
            </w:r>
          </w:p>
        </w:tc>
      </w:tr>
      <w:tr w:rsidR="00DB4040" w:rsidRPr="00C9322A" w14:paraId="4498CD27" w14:textId="77777777">
        <w:tc>
          <w:tcPr>
            <w:tcW w:w="1962" w:type="dxa"/>
            <w:tcBorders>
              <w:top w:val="single" w:sz="4" w:space="0" w:color="auto"/>
              <w:bottom w:val="single" w:sz="4" w:space="0" w:color="auto"/>
            </w:tcBorders>
          </w:tcPr>
          <w:p w14:paraId="0CFC90CD" w14:textId="77777777" w:rsidR="00DB4040" w:rsidRDefault="00762861">
            <w:pPr>
              <w:spacing w:line="480" w:lineRule="auto"/>
              <w:rPr>
                <w:rFonts w:ascii="Arial" w:hAnsi="Arial" w:cs="Arial"/>
                <w:b/>
                <w:sz w:val="20"/>
                <w:szCs w:val="20"/>
              </w:rPr>
            </w:pPr>
            <w:r>
              <w:rPr>
                <w:rFonts w:ascii="Arial" w:hAnsi="Arial" w:cs="Arial"/>
                <w:b/>
                <w:sz w:val="20"/>
                <w:szCs w:val="20"/>
              </w:rPr>
              <w:t>Markus M. Lerch, MD</w:t>
            </w:r>
          </w:p>
        </w:tc>
        <w:tc>
          <w:tcPr>
            <w:tcW w:w="2153" w:type="dxa"/>
            <w:tcBorders>
              <w:top w:val="single" w:sz="4" w:space="0" w:color="auto"/>
              <w:bottom w:val="single" w:sz="4" w:space="0" w:color="auto"/>
            </w:tcBorders>
          </w:tcPr>
          <w:p w14:paraId="504BC6F6"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bottom w:val="single" w:sz="4" w:space="0" w:color="auto"/>
            </w:tcBorders>
          </w:tcPr>
          <w:p w14:paraId="061CB7F1"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16C95399"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Manuscript review for intellectual content</w:t>
            </w:r>
          </w:p>
        </w:tc>
      </w:tr>
      <w:tr w:rsidR="00DB4040" w:rsidRPr="00C9322A" w14:paraId="1613F489" w14:textId="77777777">
        <w:tc>
          <w:tcPr>
            <w:tcW w:w="1962" w:type="dxa"/>
            <w:tcBorders>
              <w:top w:val="single" w:sz="4" w:space="0" w:color="auto"/>
              <w:bottom w:val="single" w:sz="4" w:space="0" w:color="auto"/>
            </w:tcBorders>
          </w:tcPr>
          <w:p w14:paraId="35033054"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lastRenderedPageBreak/>
              <w:t xml:space="preserve">Jean-Francois </w:t>
            </w:r>
            <w:proofErr w:type="spellStart"/>
            <w:r>
              <w:rPr>
                <w:rFonts w:ascii="Arial" w:hAnsi="Arial" w:cs="Arial"/>
                <w:b/>
                <w:sz w:val="20"/>
                <w:szCs w:val="20"/>
                <w:lang w:val="en-US"/>
              </w:rPr>
              <w:t>Chenot</w:t>
            </w:r>
            <w:proofErr w:type="spellEnd"/>
            <w:r>
              <w:rPr>
                <w:rFonts w:ascii="Arial" w:hAnsi="Arial" w:cs="Arial"/>
                <w:b/>
                <w:sz w:val="20"/>
                <w:szCs w:val="20"/>
                <w:lang w:val="en-US"/>
              </w:rPr>
              <w:t>, MD</w:t>
            </w:r>
          </w:p>
        </w:tc>
        <w:tc>
          <w:tcPr>
            <w:tcW w:w="2153" w:type="dxa"/>
            <w:tcBorders>
              <w:top w:val="single" w:sz="4" w:space="0" w:color="auto"/>
              <w:bottom w:val="single" w:sz="4" w:space="0" w:color="auto"/>
            </w:tcBorders>
          </w:tcPr>
          <w:p w14:paraId="5661D437"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bottom w:val="single" w:sz="4" w:space="0" w:color="auto"/>
            </w:tcBorders>
          </w:tcPr>
          <w:p w14:paraId="021729AF"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4DA6E109"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Manuscript review for intellectual content</w:t>
            </w:r>
          </w:p>
        </w:tc>
      </w:tr>
      <w:tr w:rsidR="00DB4040" w:rsidRPr="00C9322A" w14:paraId="494538AB" w14:textId="77777777">
        <w:tc>
          <w:tcPr>
            <w:tcW w:w="1962" w:type="dxa"/>
            <w:tcBorders>
              <w:top w:val="single" w:sz="4" w:space="0" w:color="auto"/>
              <w:bottom w:val="single" w:sz="4" w:space="0" w:color="auto"/>
            </w:tcBorders>
          </w:tcPr>
          <w:p w14:paraId="1698E338"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 xml:space="preserve">Michael Nolde, </w:t>
            </w:r>
          </w:p>
          <w:p w14:paraId="02519EB5"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Dipl.-Math</w:t>
            </w:r>
          </w:p>
        </w:tc>
        <w:tc>
          <w:tcPr>
            <w:tcW w:w="2153" w:type="dxa"/>
            <w:tcBorders>
              <w:top w:val="single" w:sz="4" w:space="0" w:color="auto"/>
              <w:bottom w:val="single" w:sz="4" w:space="0" w:color="auto"/>
            </w:tcBorders>
          </w:tcPr>
          <w:p w14:paraId="1042448C"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UNIKA-T, Augsburg, Germany</w:t>
            </w:r>
          </w:p>
        </w:tc>
        <w:tc>
          <w:tcPr>
            <w:tcW w:w="1175" w:type="dxa"/>
            <w:tcBorders>
              <w:top w:val="single" w:sz="4" w:space="0" w:color="auto"/>
              <w:bottom w:val="single" w:sz="4" w:space="0" w:color="auto"/>
            </w:tcBorders>
          </w:tcPr>
          <w:p w14:paraId="594C6A94"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63A197B0"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Interpretation of the data, manuscript review for intellectual content</w:t>
            </w:r>
          </w:p>
        </w:tc>
      </w:tr>
      <w:tr w:rsidR="00DB4040" w:rsidRPr="00C9322A" w14:paraId="0B2B856C" w14:textId="77777777">
        <w:tc>
          <w:tcPr>
            <w:tcW w:w="1962" w:type="dxa"/>
            <w:tcBorders>
              <w:top w:val="single" w:sz="4" w:space="0" w:color="auto"/>
              <w:bottom w:val="single" w:sz="4" w:space="0" w:color="auto"/>
            </w:tcBorders>
          </w:tcPr>
          <w:p w14:paraId="7F9BCA04"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 xml:space="preserve">Ute </w:t>
            </w:r>
            <w:proofErr w:type="spellStart"/>
            <w:r>
              <w:rPr>
                <w:rFonts w:ascii="Arial" w:hAnsi="Arial" w:cs="Arial"/>
                <w:b/>
                <w:sz w:val="20"/>
                <w:szCs w:val="20"/>
                <w:lang w:val="en-US"/>
              </w:rPr>
              <w:t>Amann</w:t>
            </w:r>
            <w:proofErr w:type="spellEnd"/>
            <w:r>
              <w:rPr>
                <w:rFonts w:ascii="Arial" w:hAnsi="Arial" w:cs="Arial"/>
                <w:b/>
                <w:sz w:val="20"/>
                <w:szCs w:val="20"/>
                <w:lang w:val="en-US"/>
              </w:rPr>
              <w:t>, PhD</w:t>
            </w:r>
          </w:p>
        </w:tc>
        <w:tc>
          <w:tcPr>
            <w:tcW w:w="2153" w:type="dxa"/>
            <w:tcBorders>
              <w:top w:val="single" w:sz="4" w:space="0" w:color="auto"/>
              <w:bottom w:val="single" w:sz="4" w:space="0" w:color="auto"/>
            </w:tcBorders>
          </w:tcPr>
          <w:p w14:paraId="16A1E9C0"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German Research Center for Environmental Health, Munich,</w:t>
            </w:r>
          </w:p>
        </w:tc>
        <w:tc>
          <w:tcPr>
            <w:tcW w:w="1175" w:type="dxa"/>
            <w:tcBorders>
              <w:top w:val="single" w:sz="4" w:space="0" w:color="auto"/>
              <w:bottom w:val="single" w:sz="4" w:space="0" w:color="auto"/>
            </w:tcBorders>
          </w:tcPr>
          <w:p w14:paraId="5C912C9C"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48694FE9"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Interpretation of the data, manuscript review for intellectual content</w:t>
            </w:r>
          </w:p>
        </w:tc>
      </w:tr>
      <w:tr w:rsidR="00DB4040" w:rsidRPr="00C9322A" w14:paraId="64A61015" w14:textId="77777777">
        <w:tc>
          <w:tcPr>
            <w:tcW w:w="1962" w:type="dxa"/>
            <w:tcBorders>
              <w:top w:val="single" w:sz="4" w:space="0" w:color="auto"/>
              <w:bottom w:val="single" w:sz="4" w:space="0" w:color="auto"/>
            </w:tcBorders>
          </w:tcPr>
          <w:p w14:paraId="1FAA49AB"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Christa Meisinger,</w:t>
            </w:r>
          </w:p>
          <w:p w14:paraId="62D8D8E5"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MD</w:t>
            </w:r>
          </w:p>
        </w:tc>
        <w:tc>
          <w:tcPr>
            <w:tcW w:w="2153" w:type="dxa"/>
            <w:tcBorders>
              <w:top w:val="single" w:sz="4" w:space="0" w:color="auto"/>
              <w:bottom w:val="single" w:sz="4" w:space="0" w:color="auto"/>
            </w:tcBorders>
          </w:tcPr>
          <w:p w14:paraId="3405B6BD"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UNIKA-T, Augsburg, Germany</w:t>
            </w:r>
          </w:p>
        </w:tc>
        <w:tc>
          <w:tcPr>
            <w:tcW w:w="1175" w:type="dxa"/>
            <w:tcBorders>
              <w:top w:val="single" w:sz="4" w:space="0" w:color="auto"/>
              <w:bottom w:val="single" w:sz="4" w:space="0" w:color="auto"/>
            </w:tcBorders>
          </w:tcPr>
          <w:p w14:paraId="5A403990"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6CED3F66"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Interpretation of the data, manuscript review for intellectual content</w:t>
            </w:r>
          </w:p>
        </w:tc>
      </w:tr>
      <w:tr w:rsidR="00DB4040" w:rsidRPr="00C9322A" w14:paraId="1C390386" w14:textId="77777777">
        <w:tc>
          <w:tcPr>
            <w:tcW w:w="1962" w:type="dxa"/>
            <w:tcBorders>
              <w:top w:val="single" w:sz="4" w:space="0" w:color="auto"/>
              <w:bottom w:val="single" w:sz="4" w:space="0" w:color="auto"/>
            </w:tcBorders>
          </w:tcPr>
          <w:p w14:paraId="51C3E259" w14:textId="77777777" w:rsidR="00DB4040" w:rsidRDefault="00762861">
            <w:pPr>
              <w:spacing w:line="480" w:lineRule="auto"/>
              <w:rPr>
                <w:rFonts w:ascii="Arial" w:hAnsi="Arial" w:cs="Arial"/>
                <w:b/>
                <w:sz w:val="20"/>
                <w:szCs w:val="20"/>
                <w:lang w:val="en-US"/>
              </w:rPr>
            </w:pPr>
            <w:proofErr w:type="spellStart"/>
            <w:r>
              <w:rPr>
                <w:rFonts w:ascii="Arial" w:hAnsi="Arial" w:cs="Arial"/>
                <w:b/>
                <w:sz w:val="20"/>
                <w:szCs w:val="20"/>
                <w:lang w:val="en-US"/>
              </w:rPr>
              <w:t>Jakob</w:t>
            </w:r>
            <w:proofErr w:type="spellEnd"/>
            <w:r>
              <w:rPr>
                <w:rFonts w:ascii="Arial" w:hAnsi="Arial" w:cs="Arial"/>
                <w:b/>
                <w:sz w:val="20"/>
                <w:szCs w:val="20"/>
                <w:lang w:val="en-US"/>
              </w:rPr>
              <w:t xml:space="preserve"> </w:t>
            </w:r>
            <w:proofErr w:type="spellStart"/>
            <w:r>
              <w:rPr>
                <w:rFonts w:ascii="Arial" w:hAnsi="Arial" w:cs="Arial"/>
                <w:b/>
                <w:sz w:val="20"/>
                <w:szCs w:val="20"/>
                <w:lang w:val="en-US"/>
              </w:rPr>
              <w:t>Linseisen</w:t>
            </w:r>
            <w:proofErr w:type="spellEnd"/>
            <w:r>
              <w:rPr>
                <w:rFonts w:ascii="Arial" w:hAnsi="Arial" w:cs="Arial"/>
                <w:b/>
                <w:sz w:val="20"/>
                <w:szCs w:val="20"/>
                <w:lang w:val="en-US"/>
              </w:rPr>
              <w:t>,</w:t>
            </w:r>
          </w:p>
          <w:p w14:paraId="62CF5FAC"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PhD</w:t>
            </w:r>
          </w:p>
        </w:tc>
        <w:tc>
          <w:tcPr>
            <w:tcW w:w="2153" w:type="dxa"/>
            <w:tcBorders>
              <w:top w:val="single" w:sz="4" w:space="0" w:color="auto"/>
              <w:bottom w:val="single" w:sz="4" w:space="0" w:color="auto"/>
            </w:tcBorders>
          </w:tcPr>
          <w:p w14:paraId="4896468A"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UNIKA-T, Augsburg, Germany</w:t>
            </w:r>
          </w:p>
        </w:tc>
        <w:tc>
          <w:tcPr>
            <w:tcW w:w="1175" w:type="dxa"/>
            <w:tcBorders>
              <w:top w:val="single" w:sz="4" w:space="0" w:color="auto"/>
              <w:bottom w:val="single" w:sz="4" w:space="0" w:color="auto"/>
            </w:tcBorders>
          </w:tcPr>
          <w:p w14:paraId="481CFC0A"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1AFDF8A8"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Interpretation of the data, manuscript review for intellectual content</w:t>
            </w:r>
          </w:p>
        </w:tc>
      </w:tr>
      <w:tr w:rsidR="00DB4040" w:rsidRPr="00C9322A" w14:paraId="17C143A6" w14:textId="77777777">
        <w:tc>
          <w:tcPr>
            <w:tcW w:w="1962" w:type="dxa"/>
            <w:tcBorders>
              <w:top w:val="single" w:sz="4" w:space="0" w:color="auto"/>
              <w:bottom w:val="single" w:sz="4" w:space="0" w:color="auto"/>
            </w:tcBorders>
          </w:tcPr>
          <w:p w14:paraId="5248F1E3"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 xml:space="preserve">Sebastian E. </w:t>
            </w:r>
          </w:p>
          <w:p w14:paraId="537472DF" w14:textId="77777777" w:rsidR="00DB4040" w:rsidRDefault="00762861">
            <w:pPr>
              <w:spacing w:line="480" w:lineRule="auto"/>
              <w:rPr>
                <w:rFonts w:ascii="Arial" w:hAnsi="Arial" w:cs="Arial"/>
                <w:b/>
                <w:sz w:val="20"/>
                <w:szCs w:val="20"/>
                <w:lang w:val="en-US"/>
              </w:rPr>
            </w:pPr>
            <w:r>
              <w:rPr>
                <w:rFonts w:ascii="Arial" w:hAnsi="Arial" w:cs="Arial"/>
                <w:b/>
                <w:sz w:val="20"/>
                <w:szCs w:val="20"/>
                <w:lang w:val="en-US"/>
              </w:rPr>
              <w:t>Baumeister, PhD</w:t>
            </w:r>
          </w:p>
        </w:tc>
        <w:tc>
          <w:tcPr>
            <w:tcW w:w="2153" w:type="dxa"/>
            <w:tcBorders>
              <w:top w:val="single" w:sz="4" w:space="0" w:color="auto"/>
              <w:bottom w:val="single" w:sz="4" w:space="0" w:color="auto"/>
            </w:tcBorders>
          </w:tcPr>
          <w:p w14:paraId="3567B3F2"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UNIKA-T, Augsburg, Germany</w:t>
            </w:r>
          </w:p>
        </w:tc>
        <w:tc>
          <w:tcPr>
            <w:tcW w:w="1175" w:type="dxa"/>
            <w:tcBorders>
              <w:top w:val="single" w:sz="4" w:space="0" w:color="auto"/>
              <w:bottom w:val="single" w:sz="4" w:space="0" w:color="auto"/>
            </w:tcBorders>
          </w:tcPr>
          <w:p w14:paraId="666F2A12"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bottom w:val="single" w:sz="4" w:space="0" w:color="auto"/>
            </w:tcBorders>
          </w:tcPr>
          <w:p w14:paraId="51ADE89A"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Design and conceptualization of the study, interpretation of the data, manuscript review for intellectual content</w:t>
            </w:r>
          </w:p>
        </w:tc>
      </w:tr>
      <w:tr w:rsidR="00DB4040" w:rsidRPr="00C9322A" w14:paraId="04CB8990" w14:textId="77777777">
        <w:tc>
          <w:tcPr>
            <w:tcW w:w="1962" w:type="dxa"/>
            <w:tcBorders>
              <w:top w:val="single" w:sz="4" w:space="0" w:color="auto"/>
            </w:tcBorders>
          </w:tcPr>
          <w:p w14:paraId="6C4CF9C4" w14:textId="77777777" w:rsidR="00DB4040" w:rsidRDefault="00762861">
            <w:pPr>
              <w:spacing w:line="480" w:lineRule="auto"/>
              <w:rPr>
                <w:rFonts w:ascii="Arial" w:hAnsi="Arial" w:cs="Arial"/>
                <w:b/>
                <w:sz w:val="20"/>
                <w:szCs w:val="20"/>
              </w:rPr>
            </w:pPr>
            <w:r>
              <w:rPr>
                <w:rFonts w:ascii="Arial" w:hAnsi="Arial" w:cs="Arial"/>
                <w:b/>
                <w:sz w:val="20"/>
                <w:szCs w:val="20"/>
              </w:rPr>
              <w:t>Hans Jörgen Grabe, MD</w:t>
            </w:r>
          </w:p>
        </w:tc>
        <w:tc>
          <w:tcPr>
            <w:tcW w:w="2153" w:type="dxa"/>
            <w:tcBorders>
              <w:top w:val="single" w:sz="4" w:space="0" w:color="auto"/>
            </w:tcBorders>
          </w:tcPr>
          <w:p w14:paraId="6016B276" w14:textId="77777777" w:rsidR="00DB4040" w:rsidRDefault="00762861">
            <w:pPr>
              <w:spacing w:line="480" w:lineRule="auto"/>
              <w:rPr>
                <w:rFonts w:ascii="Arial" w:hAnsi="Arial" w:cs="Arial"/>
                <w:sz w:val="20"/>
                <w:szCs w:val="20"/>
                <w:lang w:val="en-US"/>
              </w:rPr>
            </w:pPr>
            <w:r>
              <w:rPr>
                <w:rFonts w:ascii="Arial" w:hAnsi="Arial" w:cs="Arial"/>
                <w:sz w:val="20"/>
                <w:szCs w:val="20"/>
                <w:lang w:val="en-US"/>
              </w:rPr>
              <w:t>University Medicine Greifswald, Greifswald, Germany</w:t>
            </w:r>
          </w:p>
        </w:tc>
        <w:tc>
          <w:tcPr>
            <w:tcW w:w="1175" w:type="dxa"/>
            <w:tcBorders>
              <w:top w:val="single" w:sz="4" w:space="0" w:color="auto"/>
            </w:tcBorders>
          </w:tcPr>
          <w:p w14:paraId="61C94630"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tcBorders>
          </w:tcPr>
          <w:p w14:paraId="019679CE"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Data acquisition, interpretation  of the data, manuscript review for intellectual content</w:t>
            </w:r>
          </w:p>
        </w:tc>
      </w:tr>
      <w:tr w:rsidR="00DB4040" w:rsidRPr="00C9322A" w14:paraId="627541F5" w14:textId="77777777">
        <w:tc>
          <w:tcPr>
            <w:tcW w:w="1962" w:type="dxa"/>
            <w:tcBorders>
              <w:top w:val="single" w:sz="4" w:space="0" w:color="auto"/>
            </w:tcBorders>
          </w:tcPr>
          <w:p w14:paraId="0F6915DC" w14:textId="77777777" w:rsidR="00DB4040" w:rsidRDefault="00762861">
            <w:pPr>
              <w:spacing w:line="480" w:lineRule="auto"/>
              <w:rPr>
                <w:rFonts w:ascii="Arial" w:hAnsi="Arial" w:cs="Arial"/>
                <w:b/>
                <w:sz w:val="20"/>
                <w:szCs w:val="20"/>
              </w:rPr>
            </w:pPr>
            <w:r>
              <w:rPr>
                <w:rFonts w:ascii="Arial" w:hAnsi="Arial" w:cs="Arial"/>
                <w:b/>
                <w:sz w:val="20"/>
                <w:szCs w:val="20"/>
              </w:rPr>
              <w:t>Ina-Maria Rückert-</w:t>
            </w:r>
            <w:proofErr w:type="spellStart"/>
            <w:r>
              <w:rPr>
                <w:rFonts w:ascii="Arial" w:hAnsi="Arial" w:cs="Arial"/>
                <w:b/>
                <w:sz w:val="20"/>
                <w:szCs w:val="20"/>
              </w:rPr>
              <w:t>Eheberg</w:t>
            </w:r>
            <w:proofErr w:type="spellEnd"/>
            <w:r>
              <w:rPr>
                <w:rFonts w:ascii="Arial" w:hAnsi="Arial" w:cs="Arial"/>
                <w:b/>
                <w:sz w:val="20"/>
                <w:szCs w:val="20"/>
              </w:rPr>
              <w:t xml:space="preserve">, </w:t>
            </w:r>
            <w:proofErr w:type="spellStart"/>
            <w:r>
              <w:rPr>
                <w:rFonts w:ascii="Arial" w:hAnsi="Arial" w:cs="Arial"/>
                <w:b/>
                <w:sz w:val="20"/>
                <w:szCs w:val="20"/>
              </w:rPr>
              <w:t>PhD</w:t>
            </w:r>
            <w:proofErr w:type="spellEnd"/>
          </w:p>
        </w:tc>
        <w:tc>
          <w:tcPr>
            <w:tcW w:w="2153" w:type="dxa"/>
            <w:tcBorders>
              <w:top w:val="single" w:sz="4" w:space="0" w:color="auto"/>
            </w:tcBorders>
          </w:tcPr>
          <w:p w14:paraId="4D784EE7" w14:textId="77777777" w:rsidR="00DB4040" w:rsidRDefault="00762861">
            <w:pPr>
              <w:spacing w:line="480" w:lineRule="auto"/>
              <w:rPr>
                <w:rFonts w:ascii="Arial" w:hAnsi="Arial" w:cs="Arial"/>
                <w:sz w:val="20"/>
                <w:szCs w:val="20"/>
              </w:rPr>
            </w:pPr>
            <w:r>
              <w:rPr>
                <w:rFonts w:ascii="Arial" w:hAnsi="Arial" w:cs="Arial"/>
                <w:sz w:val="20"/>
                <w:szCs w:val="20"/>
                <w:lang w:val="en-US"/>
              </w:rPr>
              <w:t>UNIKA-T, Augsburg, Germany</w:t>
            </w:r>
          </w:p>
        </w:tc>
        <w:tc>
          <w:tcPr>
            <w:tcW w:w="1175" w:type="dxa"/>
            <w:tcBorders>
              <w:top w:val="single" w:sz="4" w:space="0" w:color="auto"/>
            </w:tcBorders>
          </w:tcPr>
          <w:p w14:paraId="1B77D469" w14:textId="77777777" w:rsidR="00DB4040" w:rsidRDefault="00762861">
            <w:pPr>
              <w:spacing w:line="480" w:lineRule="auto"/>
              <w:jc w:val="both"/>
              <w:rPr>
                <w:rFonts w:ascii="Arial" w:hAnsi="Arial" w:cs="Arial"/>
                <w:sz w:val="20"/>
                <w:szCs w:val="20"/>
                <w:lang w:val="en-US"/>
              </w:rPr>
            </w:pPr>
            <w:r>
              <w:rPr>
                <w:rFonts w:ascii="Arial" w:hAnsi="Arial" w:cs="Arial"/>
                <w:sz w:val="20"/>
                <w:szCs w:val="20"/>
                <w:lang w:val="en-US"/>
              </w:rPr>
              <w:t>Author</w:t>
            </w:r>
          </w:p>
        </w:tc>
        <w:tc>
          <w:tcPr>
            <w:tcW w:w="2930" w:type="dxa"/>
            <w:tcBorders>
              <w:top w:val="single" w:sz="4" w:space="0" w:color="auto"/>
            </w:tcBorders>
          </w:tcPr>
          <w:p w14:paraId="5F1C79B0" w14:textId="7A86DC44" w:rsidR="00DB4040" w:rsidRDefault="00762861">
            <w:pPr>
              <w:spacing w:line="480" w:lineRule="auto"/>
              <w:jc w:val="both"/>
              <w:rPr>
                <w:rFonts w:ascii="Arial" w:hAnsi="Arial" w:cs="Arial"/>
                <w:sz w:val="20"/>
                <w:szCs w:val="20"/>
                <w:lang w:val="en-US"/>
              </w:rPr>
            </w:pPr>
            <w:r>
              <w:rPr>
                <w:rFonts w:ascii="Arial" w:hAnsi="Arial" w:cs="Arial"/>
                <w:sz w:val="20"/>
                <w:szCs w:val="20"/>
                <w:lang w:val="en-US"/>
              </w:rPr>
              <w:t>Design and conceptualization of the study, interpretation of the data, manuscript preparation</w:t>
            </w:r>
          </w:p>
        </w:tc>
      </w:tr>
    </w:tbl>
    <w:p w14:paraId="477038DB" w14:textId="77777777" w:rsidR="00DB4040" w:rsidRDefault="00DB4040">
      <w:pPr>
        <w:spacing w:line="480" w:lineRule="auto"/>
        <w:jc w:val="both"/>
        <w:rPr>
          <w:rFonts w:ascii="Arial" w:hAnsi="Arial" w:cs="Arial"/>
          <w:b/>
          <w:lang w:val="en-US"/>
        </w:rPr>
      </w:pPr>
    </w:p>
    <w:p w14:paraId="37421621" w14:textId="77777777" w:rsidR="00DB4040" w:rsidRDefault="00DB4040">
      <w:pPr>
        <w:spacing w:line="480" w:lineRule="auto"/>
        <w:jc w:val="both"/>
        <w:rPr>
          <w:rFonts w:ascii="Arial" w:hAnsi="Arial" w:cs="Arial"/>
          <w:b/>
          <w:lang w:val="en-US"/>
        </w:rPr>
      </w:pPr>
    </w:p>
    <w:p w14:paraId="7D57D164" w14:textId="77777777" w:rsidR="00DB4040" w:rsidRDefault="00762861">
      <w:pPr>
        <w:spacing w:after="0" w:line="480" w:lineRule="auto"/>
        <w:jc w:val="both"/>
        <w:rPr>
          <w:rFonts w:ascii="Arial" w:hAnsi="Arial" w:cs="Arial"/>
          <w:b/>
          <w:sz w:val="24"/>
          <w:szCs w:val="24"/>
          <w:lang w:val="en-US"/>
        </w:rPr>
      </w:pPr>
      <w:r>
        <w:rPr>
          <w:rFonts w:ascii="Arial" w:hAnsi="Arial" w:cs="Arial"/>
          <w:b/>
          <w:sz w:val="24"/>
          <w:szCs w:val="24"/>
          <w:lang w:val="en-US"/>
        </w:rPr>
        <w:lastRenderedPageBreak/>
        <w:t>References</w:t>
      </w:r>
    </w:p>
    <w:p w14:paraId="2D08EEA1"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1.</w:t>
      </w:r>
      <w:r>
        <w:rPr>
          <w:rFonts w:ascii="Arial" w:hAnsi="Arial" w:cs="Arial"/>
          <w:sz w:val="24"/>
          <w:szCs w:val="24"/>
          <w:lang w:val="en-US"/>
        </w:rPr>
        <w:tab/>
      </w:r>
      <w:proofErr w:type="spellStart"/>
      <w:r>
        <w:rPr>
          <w:rFonts w:ascii="Arial" w:hAnsi="Arial" w:cs="Arial"/>
          <w:sz w:val="24"/>
          <w:szCs w:val="24"/>
          <w:lang w:val="en-US"/>
        </w:rPr>
        <w:t>Heidelbaugh</w:t>
      </w:r>
      <w:proofErr w:type="spellEnd"/>
      <w:r>
        <w:rPr>
          <w:rFonts w:ascii="Arial" w:hAnsi="Arial" w:cs="Arial"/>
          <w:sz w:val="24"/>
          <w:szCs w:val="24"/>
          <w:lang w:val="en-US"/>
        </w:rPr>
        <w:t xml:space="preserve"> JJ, Kim AH, Chang R, Walker PC. Overutilization of proton-pump inhibitors: what the clinician needs to know. </w:t>
      </w:r>
      <w:proofErr w:type="spellStart"/>
      <w:r>
        <w:rPr>
          <w:rFonts w:ascii="Arial" w:hAnsi="Arial" w:cs="Arial"/>
          <w:sz w:val="24"/>
          <w:szCs w:val="24"/>
          <w:lang w:val="en-US"/>
        </w:rPr>
        <w:t>Therap</w:t>
      </w:r>
      <w:proofErr w:type="spellEnd"/>
      <w:r>
        <w:rPr>
          <w:rFonts w:ascii="Arial" w:hAnsi="Arial" w:cs="Arial"/>
          <w:sz w:val="24"/>
          <w:szCs w:val="24"/>
          <w:lang w:val="en-US"/>
        </w:rPr>
        <w:t xml:space="preserve"> </w:t>
      </w:r>
      <w:proofErr w:type="spellStart"/>
      <w:r>
        <w:rPr>
          <w:rFonts w:ascii="Arial" w:hAnsi="Arial" w:cs="Arial"/>
          <w:sz w:val="24"/>
          <w:szCs w:val="24"/>
          <w:lang w:val="en-US"/>
        </w:rPr>
        <w:t>Adv</w:t>
      </w:r>
      <w:proofErr w:type="spellEnd"/>
      <w:r>
        <w:rPr>
          <w:rFonts w:ascii="Arial" w:hAnsi="Arial" w:cs="Arial"/>
          <w:sz w:val="24"/>
          <w:szCs w:val="24"/>
          <w:lang w:val="en-US"/>
        </w:rPr>
        <w:t xml:space="preserve"> </w:t>
      </w:r>
      <w:proofErr w:type="spellStart"/>
      <w:r>
        <w:rPr>
          <w:rFonts w:ascii="Arial" w:hAnsi="Arial" w:cs="Arial"/>
          <w:sz w:val="24"/>
          <w:szCs w:val="24"/>
          <w:lang w:val="en-US"/>
        </w:rPr>
        <w:t>Gastroenterol</w:t>
      </w:r>
      <w:proofErr w:type="spellEnd"/>
      <w:r>
        <w:rPr>
          <w:rFonts w:ascii="Arial" w:hAnsi="Arial" w:cs="Arial"/>
          <w:sz w:val="24"/>
          <w:szCs w:val="24"/>
          <w:lang w:val="en-US"/>
        </w:rPr>
        <w:t xml:space="preserve"> 2012</w:t>
      </w:r>
      <w:proofErr w:type="gramStart"/>
      <w:r>
        <w:rPr>
          <w:rFonts w:ascii="Arial" w:hAnsi="Arial" w:cs="Arial"/>
          <w:sz w:val="24"/>
          <w:szCs w:val="24"/>
          <w:lang w:val="en-US"/>
        </w:rPr>
        <w:t>;5:219</w:t>
      </w:r>
      <w:proofErr w:type="gramEnd"/>
      <w:r>
        <w:rPr>
          <w:rFonts w:ascii="Arial" w:hAnsi="Arial" w:cs="Arial"/>
          <w:sz w:val="24"/>
          <w:szCs w:val="24"/>
          <w:lang w:val="en-US"/>
        </w:rPr>
        <w:t>-232.</w:t>
      </w:r>
    </w:p>
    <w:p w14:paraId="4AB74F5C"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w:t>
      </w:r>
      <w:r>
        <w:rPr>
          <w:rFonts w:ascii="Arial" w:hAnsi="Arial" w:cs="Arial"/>
          <w:sz w:val="24"/>
          <w:szCs w:val="24"/>
          <w:lang w:val="en-US"/>
        </w:rPr>
        <w:tab/>
        <w:t>Johnson DA, Katz PO, Armstrong D, et al. The Safety of Appropriate Use of Over-the-Counter Proton Pump Inhibitors: An Evidence-Based Review and Delphi Consensus. Drugs 2017</w:t>
      </w:r>
      <w:proofErr w:type="gramStart"/>
      <w:r>
        <w:rPr>
          <w:rFonts w:ascii="Arial" w:hAnsi="Arial" w:cs="Arial"/>
          <w:sz w:val="24"/>
          <w:szCs w:val="24"/>
          <w:lang w:val="en-US"/>
        </w:rPr>
        <w:t>;77:547</w:t>
      </w:r>
      <w:proofErr w:type="gramEnd"/>
      <w:r>
        <w:rPr>
          <w:rFonts w:ascii="Arial" w:hAnsi="Arial" w:cs="Arial"/>
          <w:sz w:val="24"/>
          <w:szCs w:val="24"/>
          <w:lang w:val="en-US"/>
        </w:rPr>
        <w:t>-561.</w:t>
      </w:r>
    </w:p>
    <w:p w14:paraId="756C5117"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w:t>
      </w:r>
      <w:r>
        <w:rPr>
          <w:rFonts w:ascii="Arial" w:hAnsi="Arial" w:cs="Arial"/>
          <w:sz w:val="24"/>
          <w:szCs w:val="24"/>
          <w:lang w:val="en-US"/>
        </w:rPr>
        <w:tab/>
        <w:t>World Health Organization (WHO). The Global Dementia Observatory Reference Guide. Geneva; 2018.</w:t>
      </w:r>
      <w:r>
        <w:rPr>
          <w:rFonts w:ascii="Arial" w:hAnsi="Arial" w:cs="Arial"/>
          <w:sz w:val="24"/>
          <w:szCs w:val="24"/>
          <w:lang w:val="en-US"/>
        </w:rPr>
        <w:cr/>
        <w:t>4.</w:t>
      </w:r>
      <w:r>
        <w:rPr>
          <w:rFonts w:ascii="Arial" w:hAnsi="Arial" w:cs="Arial"/>
          <w:sz w:val="24"/>
          <w:szCs w:val="24"/>
          <w:lang w:val="en-US"/>
        </w:rPr>
        <w:tab/>
        <w:t xml:space="preserve">Ortiz-Guerrero G, Amador-Muñoz D, </w:t>
      </w:r>
      <w:proofErr w:type="spellStart"/>
      <w:r>
        <w:rPr>
          <w:rFonts w:ascii="Arial" w:hAnsi="Arial" w:cs="Arial"/>
          <w:sz w:val="24"/>
          <w:szCs w:val="24"/>
          <w:lang w:val="en-US"/>
        </w:rPr>
        <w:t>Calderón-Ospina</w:t>
      </w:r>
      <w:proofErr w:type="spellEnd"/>
      <w:r>
        <w:rPr>
          <w:rFonts w:ascii="Arial" w:hAnsi="Arial" w:cs="Arial"/>
          <w:sz w:val="24"/>
          <w:szCs w:val="24"/>
          <w:lang w:val="en-US"/>
        </w:rPr>
        <w:t xml:space="preserve"> CA, </w:t>
      </w:r>
      <w:proofErr w:type="spellStart"/>
      <w:r>
        <w:rPr>
          <w:rFonts w:ascii="Arial" w:hAnsi="Arial" w:cs="Arial"/>
          <w:sz w:val="24"/>
          <w:szCs w:val="24"/>
          <w:lang w:val="en-US"/>
        </w:rPr>
        <w:t>López</w:t>
      </w:r>
      <w:proofErr w:type="spellEnd"/>
      <w:r>
        <w:rPr>
          <w:rFonts w:ascii="Arial" w:hAnsi="Arial" w:cs="Arial"/>
          <w:sz w:val="24"/>
          <w:szCs w:val="24"/>
          <w:lang w:val="en-US"/>
        </w:rPr>
        <w:t xml:space="preserve">-Fuentes D, Nava Mesa MO. Proton Pump Inhibitors and Dementia: </w:t>
      </w:r>
      <w:proofErr w:type="spellStart"/>
      <w:r>
        <w:rPr>
          <w:rFonts w:ascii="Arial" w:hAnsi="Arial" w:cs="Arial"/>
          <w:sz w:val="24"/>
          <w:szCs w:val="24"/>
          <w:lang w:val="en-US"/>
        </w:rPr>
        <w:t>Physiopathological</w:t>
      </w:r>
      <w:proofErr w:type="spellEnd"/>
      <w:r>
        <w:rPr>
          <w:rFonts w:ascii="Arial" w:hAnsi="Arial" w:cs="Arial"/>
          <w:sz w:val="24"/>
          <w:szCs w:val="24"/>
          <w:lang w:val="en-US"/>
        </w:rPr>
        <w:t xml:space="preserve"> Mechanisms and Clinical Consequences. Neural </w:t>
      </w:r>
      <w:proofErr w:type="spellStart"/>
      <w:r>
        <w:rPr>
          <w:rFonts w:ascii="Arial" w:hAnsi="Arial" w:cs="Arial"/>
          <w:sz w:val="24"/>
          <w:szCs w:val="24"/>
          <w:lang w:val="en-US"/>
        </w:rPr>
        <w:t>Plast</w:t>
      </w:r>
      <w:proofErr w:type="spellEnd"/>
      <w:r>
        <w:rPr>
          <w:rFonts w:ascii="Arial" w:hAnsi="Arial" w:cs="Arial"/>
          <w:sz w:val="24"/>
          <w:szCs w:val="24"/>
          <w:lang w:val="en-US"/>
        </w:rPr>
        <w:t xml:space="preserve"> 2018</w:t>
      </w:r>
      <w:proofErr w:type="gramStart"/>
      <w:r>
        <w:rPr>
          <w:rFonts w:ascii="Arial" w:hAnsi="Arial" w:cs="Arial"/>
          <w:sz w:val="24"/>
          <w:szCs w:val="24"/>
          <w:lang w:val="en-US"/>
        </w:rPr>
        <w:t>;2018:5257285</w:t>
      </w:r>
      <w:proofErr w:type="gramEnd"/>
      <w:r>
        <w:rPr>
          <w:rFonts w:ascii="Arial" w:hAnsi="Arial" w:cs="Arial"/>
          <w:sz w:val="24"/>
          <w:szCs w:val="24"/>
          <w:lang w:val="en-US"/>
        </w:rPr>
        <w:t>.</w:t>
      </w:r>
    </w:p>
    <w:p w14:paraId="576FC2EF"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5.</w:t>
      </w:r>
      <w:r>
        <w:rPr>
          <w:rFonts w:ascii="Arial" w:hAnsi="Arial" w:cs="Arial"/>
          <w:sz w:val="24"/>
          <w:szCs w:val="24"/>
          <w:lang w:val="en-US"/>
        </w:rPr>
        <w:tab/>
        <w:t xml:space="preserve">Khan MA, Yuan Y, Iqbal U, et al. No Association Linking Short-Term Proton Pump Inhibitor Use to Dementia: Systematic Review and Meta-analysis of Observational Studies. Am J </w:t>
      </w:r>
      <w:proofErr w:type="spellStart"/>
      <w:r>
        <w:rPr>
          <w:rFonts w:ascii="Arial" w:hAnsi="Arial" w:cs="Arial"/>
          <w:sz w:val="24"/>
          <w:szCs w:val="24"/>
          <w:lang w:val="en-US"/>
        </w:rPr>
        <w:t>Gastroenterol</w:t>
      </w:r>
      <w:proofErr w:type="spellEnd"/>
      <w:r>
        <w:rPr>
          <w:rFonts w:ascii="Arial" w:hAnsi="Arial" w:cs="Arial"/>
          <w:sz w:val="24"/>
          <w:szCs w:val="24"/>
          <w:lang w:val="en-US"/>
        </w:rPr>
        <w:t xml:space="preserve"> </w:t>
      </w:r>
      <w:proofErr w:type="spellStart"/>
      <w:r>
        <w:rPr>
          <w:rFonts w:ascii="Arial" w:hAnsi="Arial" w:cs="Arial"/>
          <w:sz w:val="24"/>
          <w:szCs w:val="24"/>
          <w:lang w:val="en-US"/>
        </w:rPr>
        <w:t>Epub</w:t>
      </w:r>
      <w:proofErr w:type="spellEnd"/>
      <w:r>
        <w:rPr>
          <w:rFonts w:ascii="Arial" w:hAnsi="Arial" w:cs="Arial"/>
          <w:sz w:val="24"/>
          <w:szCs w:val="24"/>
          <w:lang w:val="en-US"/>
        </w:rPr>
        <w:t xml:space="preserve"> 2020 Jan </w:t>
      </w:r>
      <w:proofErr w:type="gramStart"/>
      <w:r>
        <w:rPr>
          <w:rFonts w:ascii="Arial" w:hAnsi="Arial" w:cs="Arial"/>
          <w:sz w:val="24"/>
          <w:szCs w:val="24"/>
          <w:lang w:val="en-US"/>
        </w:rPr>
        <w:t>2.</w:t>
      </w:r>
      <w:proofErr w:type="gramEnd"/>
    </w:p>
    <w:p w14:paraId="75963418"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6.</w:t>
      </w:r>
      <w:r>
        <w:rPr>
          <w:rFonts w:ascii="Arial" w:hAnsi="Arial" w:cs="Arial"/>
          <w:sz w:val="24"/>
          <w:szCs w:val="24"/>
          <w:lang w:val="en-US"/>
        </w:rPr>
        <w:tab/>
        <w:t xml:space="preserve">Hussain S, Singh A, </w:t>
      </w:r>
      <w:proofErr w:type="spellStart"/>
      <w:r>
        <w:rPr>
          <w:rFonts w:ascii="Arial" w:hAnsi="Arial" w:cs="Arial"/>
          <w:sz w:val="24"/>
          <w:szCs w:val="24"/>
          <w:lang w:val="en-US"/>
        </w:rPr>
        <w:t>Zameer</w:t>
      </w:r>
      <w:proofErr w:type="spellEnd"/>
      <w:r>
        <w:rPr>
          <w:rFonts w:ascii="Arial" w:hAnsi="Arial" w:cs="Arial"/>
          <w:sz w:val="24"/>
          <w:szCs w:val="24"/>
          <w:lang w:val="en-US"/>
        </w:rPr>
        <w:t xml:space="preserve"> S, et al. No association between </w:t>
      </w:r>
      <w:proofErr w:type="gramStart"/>
      <w:r>
        <w:rPr>
          <w:rFonts w:ascii="Arial" w:hAnsi="Arial" w:cs="Arial"/>
          <w:sz w:val="24"/>
          <w:szCs w:val="24"/>
          <w:lang w:val="en-US"/>
        </w:rPr>
        <w:t>proton pump inhibitor use</w:t>
      </w:r>
      <w:proofErr w:type="gramEnd"/>
      <w:r>
        <w:rPr>
          <w:rFonts w:ascii="Arial" w:hAnsi="Arial" w:cs="Arial"/>
          <w:sz w:val="24"/>
          <w:szCs w:val="24"/>
          <w:lang w:val="en-US"/>
        </w:rPr>
        <w:t xml:space="preserve"> and risk of dementia: Evidence from a meta-analysis. J </w:t>
      </w:r>
      <w:proofErr w:type="spellStart"/>
      <w:r>
        <w:rPr>
          <w:rFonts w:ascii="Arial" w:hAnsi="Arial" w:cs="Arial"/>
          <w:sz w:val="24"/>
          <w:szCs w:val="24"/>
          <w:lang w:val="en-US"/>
        </w:rPr>
        <w:t>Gastroenterol</w:t>
      </w:r>
      <w:proofErr w:type="spellEnd"/>
      <w:r>
        <w:rPr>
          <w:rFonts w:ascii="Arial" w:hAnsi="Arial" w:cs="Arial"/>
          <w:sz w:val="24"/>
          <w:szCs w:val="24"/>
          <w:lang w:val="en-US"/>
        </w:rPr>
        <w:t xml:space="preserve">. </w:t>
      </w:r>
      <w:proofErr w:type="spellStart"/>
      <w:r>
        <w:rPr>
          <w:rFonts w:ascii="Arial" w:hAnsi="Arial" w:cs="Arial"/>
          <w:sz w:val="24"/>
          <w:szCs w:val="24"/>
          <w:lang w:val="en-US"/>
        </w:rPr>
        <w:t>Hepatol</w:t>
      </w:r>
      <w:proofErr w:type="spellEnd"/>
      <w:r>
        <w:rPr>
          <w:rFonts w:ascii="Arial" w:hAnsi="Arial" w:cs="Arial"/>
          <w:sz w:val="24"/>
          <w:szCs w:val="24"/>
          <w:lang w:val="en-US"/>
        </w:rPr>
        <w:t xml:space="preserve"> 2020</w:t>
      </w:r>
      <w:proofErr w:type="gramStart"/>
      <w:r>
        <w:rPr>
          <w:rFonts w:ascii="Arial" w:hAnsi="Arial" w:cs="Arial"/>
          <w:sz w:val="24"/>
          <w:szCs w:val="24"/>
          <w:lang w:val="en-US"/>
        </w:rPr>
        <w:t>;35:19</w:t>
      </w:r>
      <w:proofErr w:type="gramEnd"/>
      <w:r>
        <w:rPr>
          <w:rFonts w:ascii="Arial" w:hAnsi="Arial" w:cs="Arial"/>
          <w:sz w:val="24"/>
          <w:szCs w:val="24"/>
          <w:lang w:val="en-US"/>
        </w:rPr>
        <w:t>-28.</w:t>
      </w:r>
    </w:p>
    <w:p w14:paraId="1E5984CA" w14:textId="77777777" w:rsidR="00DB4040" w:rsidRDefault="00762861">
      <w:pPr>
        <w:spacing w:after="0" w:line="480" w:lineRule="auto"/>
        <w:rPr>
          <w:rFonts w:ascii="Arial" w:hAnsi="Arial" w:cs="Arial"/>
          <w:sz w:val="24"/>
          <w:szCs w:val="24"/>
          <w:lang w:val="en-US"/>
        </w:rPr>
      </w:pPr>
      <w:r w:rsidRPr="006F7A62">
        <w:rPr>
          <w:rFonts w:ascii="Arial" w:hAnsi="Arial" w:cs="Arial"/>
          <w:sz w:val="24"/>
          <w:szCs w:val="24"/>
          <w:lang w:val="en-US"/>
        </w:rPr>
        <w:t>7.</w:t>
      </w:r>
      <w:r w:rsidRPr="006F7A62">
        <w:rPr>
          <w:rFonts w:ascii="Arial" w:hAnsi="Arial" w:cs="Arial"/>
          <w:sz w:val="24"/>
          <w:szCs w:val="24"/>
          <w:lang w:val="en-US"/>
        </w:rPr>
        <w:tab/>
        <w:t xml:space="preserve">Zhang Y, Liang M, Sun C, et al. </w:t>
      </w:r>
      <w:r>
        <w:rPr>
          <w:rFonts w:ascii="Arial" w:hAnsi="Arial" w:cs="Arial"/>
          <w:sz w:val="24"/>
          <w:szCs w:val="24"/>
          <w:lang w:val="en-US"/>
        </w:rPr>
        <w:t xml:space="preserve">Proton pump inhibitors use and dementia risk: a meta-analysis of cohort studies. </w:t>
      </w:r>
      <w:proofErr w:type="spellStart"/>
      <w:r>
        <w:rPr>
          <w:rFonts w:ascii="Arial" w:hAnsi="Arial" w:cs="Arial"/>
          <w:sz w:val="24"/>
          <w:szCs w:val="24"/>
          <w:lang w:val="en-US"/>
        </w:rPr>
        <w:t>Eur</w:t>
      </w:r>
      <w:proofErr w:type="spellEnd"/>
      <w:r>
        <w:rPr>
          <w:rFonts w:ascii="Arial" w:hAnsi="Arial" w:cs="Arial"/>
          <w:sz w:val="24"/>
          <w:szCs w:val="24"/>
          <w:lang w:val="en-US"/>
        </w:rPr>
        <w:t xml:space="preserve"> J </w:t>
      </w:r>
      <w:proofErr w:type="spellStart"/>
      <w:r>
        <w:rPr>
          <w:rFonts w:ascii="Arial" w:hAnsi="Arial" w:cs="Arial"/>
          <w:sz w:val="24"/>
          <w:szCs w:val="24"/>
          <w:lang w:val="en-US"/>
        </w:rPr>
        <w:t>Clin</w:t>
      </w:r>
      <w:proofErr w:type="spellEnd"/>
      <w:r>
        <w:rPr>
          <w:rFonts w:ascii="Arial" w:hAnsi="Arial" w:cs="Arial"/>
          <w:sz w:val="24"/>
          <w:szCs w:val="24"/>
          <w:lang w:val="en-US"/>
        </w:rPr>
        <w:t xml:space="preserve"> </w:t>
      </w:r>
      <w:proofErr w:type="spellStart"/>
      <w:r>
        <w:rPr>
          <w:rFonts w:ascii="Arial" w:hAnsi="Arial" w:cs="Arial"/>
          <w:sz w:val="24"/>
          <w:szCs w:val="24"/>
          <w:lang w:val="en-US"/>
        </w:rPr>
        <w:t>Pharmacol</w:t>
      </w:r>
      <w:proofErr w:type="spellEnd"/>
      <w:r>
        <w:rPr>
          <w:rFonts w:ascii="Arial" w:hAnsi="Arial" w:cs="Arial"/>
          <w:sz w:val="24"/>
          <w:szCs w:val="24"/>
          <w:lang w:val="en-US"/>
        </w:rPr>
        <w:t xml:space="preserve"> 2020</w:t>
      </w:r>
      <w:proofErr w:type="gramStart"/>
      <w:r>
        <w:rPr>
          <w:rFonts w:ascii="Arial" w:hAnsi="Arial" w:cs="Arial"/>
          <w:sz w:val="24"/>
          <w:szCs w:val="24"/>
          <w:lang w:val="en-US"/>
        </w:rPr>
        <w:t>;76:139</w:t>
      </w:r>
      <w:proofErr w:type="gramEnd"/>
      <w:r>
        <w:rPr>
          <w:rFonts w:ascii="Arial" w:hAnsi="Arial" w:cs="Arial"/>
          <w:sz w:val="24"/>
          <w:szCs w:val="24"/>
          <w:lang w:val="en-US"/>
        </w:rPr>
        <w:t>-147.</w:t>
      </w:r>
    </w:p>
    <w:p w14:paraId="6B480DD3" w14:textId="77777777" w:rsidR="00DB4040" w:rsidRDefault="00762861">
      <w:pPr>
        <w:spacing w:after="0" w:line="480" w:lineRule="auto"/>
        <w:rPr>
          <w:rFonts w:ascii="Arial" w:hAnsi="Arial" w:cs="Arial"/>
          <w:sz w:val="24"/>
          <w:szCs w:val="24"/>
          <w:lang w:val="en-US"/>
        </w:rPr>
      </w:pPr>
      <w:r w:rsidRPr="006F7A62">
        <w:rPr>
          <w:rFonts w:ascii="Arial" w:hAnsi="Arial" w:cs="Arial"/>
          <w:sz w:val="24"/>
          <w:szCs w:val="24"/>
          <w:lang w:val="en-US"/>
        </w:rPr>
        <w:t>8.</w:t>
      </w:r>
      <w:r w:rsidRPr="006F7A62">
        <w:rPr>
          <w:rFonts w:ascii="Arial" w:hAnsi="Arial" w:cs="Arial"/>
          <w:sz w:val="24"/>
          <w:szCs w:val="24"/>
          <w:lang w:val="en-US"/>
        </w:rPr>
        <w:tab/>
      </w:r>
      <w:proofErr w:type="spellStart"/>
      <w:r w:rsidRPr="006F7A62">
        <w:rPr>
          <w:rFonts w:ascii="Arial" w:hAnsi="Arial" w:cs="Arial"/>
          <w:sz w:val="24"/>
          <w:szCs w:val="24"/>
          <w:lang w:val="en-US"/>
        </w:rPr>
        <w:t>Gomm</w:t>
      </w:r>
      <w:proofErr w:type="spellEnd"/>
      <w:r w:rsidRPr="006F7A62">
        <w:rPr>
          <w:rFonts w:ascii="Arial" w:hAnsi="Arial" w:cs="Arial"/>
          <w:sz w:val="24"/>
          <w:szCs w:val="24"/>
          <w:lang w:val="en-US"/>
        </w:rPr>
        <w:t xml:space="preserve"> W, von Holt K, </w:t>
      </w:r>
      <w:proofErr w:type="spellStart"/>
      <w:r w:rsidRPr="006F7A62">
        <w:rPr>
          <w:rFonts w:ascii="Arial" w:hAnsi="Arial" w:cs="Arial"/>
          <w:sz w:val="24"/>
          <w:szCs w:val="24"/>
          <w:lang w:val="en-US"/>
        </w:rPr>
        <w:t>Thomé</w:t>
      </w:r>
      <w:proofErr w:type="spellEnd"/>
      <w:r w:rsidRPr="006F7A62">
        <w:rPr>
          <w:rFonts w:ascii="Arial" w:hAnsi="Arial" w:cs="Arial"/>
          <w:sz w:val="24"/>
          <w:szCs w:val="24"/>
          <w:lang w:val="en-US"/>
        </w:rPr>
        <w:t xml:space="preserve"> F, et al. </w:t>
      </w:r>
      <w:r>
        <w:rPr>
          <w:rFonts w:ascii="Arial" w:hAnsi="Arial" w:cs="Arial"/>
          <w:sz w:val="24"/>
          <w:szCs w:val="24"/>
          <w:lang w:val="en-US"/>
        </w:rPr>
        <w:t xml:space="preserve">Association of Proton Pump Inhibitors </w:t>
      </w:r>
      <w:proofErr w:type="gramStart"/>
      <w:r>
        <w:rPr>
          <w:rFonts w:ascii="Arial" w:hAnsi="Arial" w:cs="Arial"/>
          <w:sz w:val="24"/>
          <w:szCs w:val="24"/>
          <w:lang w:val="en-US"/>
        </w:rPr>
        <w:t>With</w:t>
      </w:r>
      <w:proofErr w:type="gramEnd"/>
      <w:r>
        <w:rPr>
          <w:rFonts w:ascii="Arial" w:hAnsi="Arial" w:cs="Arial"/>
          <w:sz w:val="24"/>
          <w:szCs w:val="24"/>
          <w:lang w:val="en-US"/>
        </w:rPr>
        <w:t xml:space="preserve"> Risk of Dementia: A </w:t>
      </w:r>
      <w:proofErr w:type="spellStart"/>
      <w:r>
        <w:rPr>
          <w:rFonts w:ascii="Arial" w:hAnsi="Arial" w:cs="Arial"/>
          <w:sz w:val="24"/>
          <w:szCs w:val="24"/>
          <w:lang w:val="en-US"/>
        </w:rPr>
        <w:t>Pharmacoepidemiological</w:t>
      </w:r>
      <w:proofErr w:type="spellEnd"/>
      <w:r>
        <w:rPr>
          <w:rFonts w:ascii="Arial" w:hAnsi="Arial" w:cs="Arial"/>
          <w:sz w:val="24"/>
          <w:szCs w:val="24"/>
          <w:lang w:val="en-US"/>
        </w:rPr>
        <w:t xml:space="preserve"> Claims Data Analysis. JAMA </w:t>
      </w:r>
      <w:proofErr w:type="spellStart"/>
      <w:r>
        <w:rPr>
          <w:rFonts w:ascii="Arial" w:hAnsi="Arial" w:cs="Arial"/>
          <w:sz w:val="24"/>
          <w:szCs w:val="24"/>
          <w:lang w:val="en-US"/>
        </w:rPr>
        <w:t>Neurol</w:t>
      </w:r>
      <w:proofErr w:type="spellEnd"/>
      <w:r>
        <w:rPr>
          <w:rFonts w:ascii="Arial" w:hAnsi="Arial" w:cs="Arial"/>
          <w:sz w:val="24"/>
          <w:szCs w:val="24"/>
          <w:lang w:val="en-US"/>
        </w:rPr>
        <w:t xml:space="preserve"> 2016</w:t>
      </w:r>
      <w:proofErr w:type="gramStart"/>
      <w:r>
        <w:rPr>
          <w:rFonts w:ascii="Arial" w:hAnsi="Arial" w:cs="Arial"/>
          <w:sz w:val="24"/>
          <w:szCs w:val="24"/>
          <w:lang w:val="en-US"/>
        </w:rPr>
        <w:t>;73:410</w:t>
      </w:r>
      <w:proofErr w:type="gramEnd"/>
      <w:r>
        <w:rPr>
          <w:rFonts w:ascii="Arial" w:hAnsi="Arial" w:cs="Arial"/>
          <w:sz w:val="24"/>
          <w:szCs w:val="24"/>
          <w:lang w:val="en-US"/>
        </w:rPr>
        <w:t>-416.</w:t>
      </w:r>
    </w:p>
    <w:p w14:paraId="46474CB1" w14:textId="77777777" w:rsidR="00DB4040" w:rsidRDefault="00762861">
      <w:pPr>
        <w:spacing w:after="0" w:line="480" w:lineRule="auto"/>
        <w:rPr>
          <w:rFonts w:ascii="Arial" w:hAnsi="Arial" w:cs="Arial"/>
          <w:sz w:val="24"/>
          <w:szCs w:val="24"/>
        </w:rPr>
      </w:pPr>
      <w:r>
        <w:rPr>
          <w:rFonts w:ascii="Arial" w:hAnsi="Arial" w:cs="Arial"/>
          <w:sz w:val="24"/>
          <w:szCs w:val="24"/>
          <w:lang w:val="en-US"/>
        </w:rPr>
        <w:lastRenderedPageBreak/>
        <w:t>9.</w:t>
      </w:r>
      <w:r>
        <w:rPr>
          <w:rFonts w:ascii="Arial" w:hAnsi="Arial" w:cs="Arial"/>
          <w:sz w:val="24"/>
          <w:szCs w:val="24"/>
          <w:lang w:val="en-US"/>
        </w:rPr>
        <w:tab/>
        <w:t xml:space="preserve">Gray SL, Walker RL, Dublin S, et al. Proton Pump Inhibitor Use and Dementia Risk: Prospective Population-Based Study. </w:t>
      </w:r>
      <w:r>
        <w:rPr>
          <w:rFonts w:ascii="Arial" w:hAnsi="Arial" w:cs="Arial"/>
          <w:sz w:val="24"/>
          <w:szCs w:val="24"/>
        </w:rPr>
        <w:t xml:space="preserve">J Am </w:t>
      </w:r>
      <w:proofErr w:type="spellStart"/>
      <w:r>
        <w:rPr>
          <w:rFonts w:ascii="Arial" w:hAnsi="Arial" w:cs="Arial"/>
          <w:sz w:val="24"/>
          <w:szCs w:val="24"/>
        </w:rPr>
        <w:t>Geriatr</w:t>
      </w:r>
      <w:proofErr w:type="spellEnd"/>
      <w:r>
        <w:rPr>
          <w:rFonts w:ascii="Arial" w:hAnsi="Arial" w:cs="Arial"/>
          <w:sz w:val="24"/>
          <w:szCs w:val="24"/>
        </w:rPr>
        <w:t xml:space="preserve"> </w:t>
      </w:r>
      <w:proofErr w:type="spellStart"/>
      <w:r>
        <w:rPr>
          <w:rFonts w:ascii="Arial" w:hAnsi="Arial" w:cs="Arial"/>
          <w:sz w:val="24"/>
          <w:szCs w:val="24"/>
        </w:rPr>
        <w:t>Soc</w:t>
      </w:r>
      <w:proofErr w:type="spellEnd"/>
      <w:r>
        <w:rPr>
          <w:rFonts w:ascii="Arial" w:hAnsi="Arial" w:cs="Arial"/>
          <w:sz w:val="24"/>
          <w:szCs w:val="24"/>
        </w:rPr>
        <w:t xml:space="preserve"> 2018; 66:247-253.</w:t>
      </w:r>
    </w:p>
    <w:p w14:paraId="3855F1A7" w14:textId="77777777" w:rsidR="00DB4040" w:rsidRDefault="00762861">
      <w:pPr>
        <w:spacing w:after="0" w:line="480" w:lineRule="auto"/>
        <w:rPr>
          <w:rFonts w:ascii="Arial" w:hAnsi="Arial" w:cs="Arial"/>
          <w:sz w:val="24"/>
          <w:szCs w:val="24"/>
          <w:lang w:val="en-US"/>
        </w:rPr>
      </w:pPr>
      <w:r>
        <w:rPr>
          <w:rFonts w:ascii="Arial" w:hAnsi="Arial" w:cs="Arial"/>
          <w:sz w:val="24"/>
          <w:szCs w:val="24"/>
        </w:rPr>
        <w:t xml:space="preserve">10. Wilkinson T, </w:t>
      </w:r>
      <w:proofErr w:type="spellStart"/>
      <w:r>
        <w:rPr>
          <w:rFonts w:ascii="Arial" w:hAnsi="Arial" w:cs="Arial"/>
          <w:sz w:val="24"/>
          <w:szCs w:val="24"/>
        </w:rPr>
        <w:t>Schnier</w:t>
      </w:r>
      <w:proofErr w:type="spellEnd"/>
      <w:r>
        <w:rPr>
          <w:rFonts w:ascii="Arial" w:hAnsi="Arial" w:cs="Arial"/>
          <w:sz w:val="24"/>
          <w:szCs w:val="24"/>
        </w:rPr>
        <w:t xml:space="preserve"> C, Bush K, et al. </w:t>
      </w:r>
      <w:r>
        <w:rPr>
          <w:rFonts w:ascii="Arial" w:hAnsi="Arial" w:cs="Arial"/>
          <w:sz w:val="24"/>
          <w:szCs w:val="24"/>
          <w:lang w:val="en-US"/>
        </w:rPr>
        <w:t xml:space="preserve">Identifying dementia outcomes in UK Biobank: a validation study of primary care, hospital admissions and mortality data. </w:t>
      </w:r>
      <w:proofErr w:type="spellStart"/>
      <w:r>
        <w:rPr>
          <w:rFonts w:ascii="Arial" w:hAnsi="Arial" w:cs="Arial"/>
          <w:sz w:val="24"/>
          <w:szCs w:val="24"/>
          <w:lang w:val="en-US"/>
        </w:rPr>
        <w:t>Eur</w:t>
      </w:r>
      <w:proofErr w:type="spellEnd"/>
      <w:r>
        <w:rPr>
          <w:rFonts w:ascii="Arial" w:hAnsi="Arial" w:cs="Arial"/>
          <w:sz w:val="24"/>
          <w:szCs w:val="24"/>
          <w:lang w:val="en-US"/>
        </w:rPr>
        <w:t xml:space="preserve"> J </w:t>
      </w:r>
      <w:proofErr w:type="spellStart"/>
      <w:r>
        <w:rPr>
          <w:rFonts w:ascii="Arial" w:hAnsi="Arial" w:cs="Arial"/>
          <w:sz w:val="24"/>
          <w:szCs w:val="24"/>
          <w:lang w:val="en-US"/>
        </w:rPr>
        <w:t>Epidemiol</w:t>
      </w:r>
      <w:proofErr w:type="spellEnd"/>
      <w:r>
        <w:rPr>
          <w:rFonts w:ascii="Arial" w:hAnsi="Arial" w:cs="Arial"/>
          <w:sz w:val="24"/>
          <w:szCs w:val="24"/>
          <w:lang w:val="en-US"/>
        </w:rPr>
        <w:t xml:space="preserve"> 2019</w:t>
      </w:r>
      <w:proofErr w:type="gramStart"/>
      <w:r>
        <w:rPr>
          <w:rFonts w:ascii="Arial" w:hAnsi="Arial" w:cs="Arial"/>
          <w:sz w:val="24"/>
          <w:szCs w:val="24"/>
          <w:lang w:val="en-US"/>
        </w:rPr>
        <w:t>;34:557</w:t>
      </w:r>
      <w:proofErr w:type="gramEnd"/>
      <w:r>
        <w:rPr>
          <w:rFonts w:ascii="Arial" w:hAnsi="Arial" w:cs="Arial"/>
          <w:sz w:val="24"/>
          <w:szCs w:val="24"/>
          <w:lang w:val="en-US"/>
        </w:rPr>
        <w:t xml:space="preserve">–565. </w:t>
      </w:r>
    </w:p>
    <w:p w14:paraId="542454DB" w14:textId="77777777" w:rsidR="00DB4040" w:rsidRDefault="00762861">
      <w:pPr>
        <w:spacing w:after="0" w:line="480" w:lineRule="auto"/>
        <w:rPr>
          <w:rFonts w:ascii="Arial" w:hAnsi="Arial" w:cs="Arial"/>
          <w:sz w:val="24"/>
          <w:szCs w:val="24"/>
        </w:rPr>
      </w:pPr>
      <w:r>
        <w:rPr>
          <w:rFonts w:ascii="Arial" w:hAnsi="Arial" w:cs="Arial"/>
          <w:sz w:val="24"/>
          <w:szCs w:val="24"/>
          <w:lang w:val="en-US"/>
        </w:rPr>
        <w:t>11.</w:t>
      </w:r>
      <w:r>
        <w:rPr>
          <w:rFonts w:ascii="Arial" w:hAnsi="Arial" w:cs="Arial"/>
          <w:sz w:val="24"/>
          <w:szCs w:val="24"/>
          <w:lang w:val="en-US"/>
        </w:rPr>
        <w:tab/>
        <w:t xml:space="preserve">Park M, Moon WJ. Structural MR Imaging in the Diagnosis of Alzheimer's </w:t>
      </w:r>
      <w:proofErr w:type="gramStart"/>
      <w:r>
        <w:rPr>
          <w:rFonts w:ascii="Arial" w:hAnsi="Arial" w:cs="Arial"/>
          <w:sz w:val="24"/>
          <w:szCs w:val="24"/>
          <w:lang w:val="en-US"/>
        </w:rPr>
        <w:t>Disease</w:t>
      </w:r>
      <w:proofErr w:type="gramEnd"/>
      <w:r>
        <w:rPr>
          <w:rFonts w:ascii="Arial" w:hAnsi="Arial" w:cs="Arial"/>
          <w:sz w:val="24"/>
          <w:szCs w:val="24"/>
          <w:lang w:val="en-US"/>
        </w:rPr>
        <w:t xml:space="preserve"> and Other Neurodegenerative Dementia: Current Imaging Approach and Future Perspectives. </w:t>
      </w:r>
      <w:proofErr w:type="spellStart"/>
      <w:r>
        <w:rPr>
          <w:rFonts w:ascii="Arial" w:hAnsi="Arial" w:cs="Arial"/>
          <w:sz w:val="24"/>
          <w:szCs w:val="24"/>
        </w:rPr>
        <w:t>Korean</w:t>
      </w:r>
      <w:proofErr w:type="spellEnd"/>
      <w:r>
        <w:rPr>
          <w:rFonts w:ascii="Arial" w:hAnsi="Arial" w:cs="Arial"/>
          <w:sz w:val="24"/>
          <w:szCs w:val="24"/>
        </w:rPr>
        <w:t xml:space="preserve"> J </w:t>
      </w:r>
      <w:proofErr w:type="spellStart"/>
      <w:r>
        <w:rPr>
          <w:rFonts w:ascii="Arial" w:hAnsi="Arial" w:cs="Arial"/>
          <w:sz w:val="24"/>
          <w:szCs w:val="24"/>
        </w:rPr>
        <w:t>Radiol</w:t>
      </w:r>
      <w:proofErr w:type="spellEnd"/>
      <w:r>
        <w:rPr>
          <w:rFonts w:ascii="Arial" w:hAnsi="Arial" w:cs="Arial"/>
          <w:sz w:val="24"/>
          <w:szCs w:val="24"/>
        </w:rPr>
        <w:t xml:space="preserve"> </w:t>
      </w:r>
      <w:proofErr w:type="gramStart"/>
      <w:r>
        <w:rPr>
          <w:rFonts w:ascii="Arial" w:hAnsi="Arial" w:cs="Arial"/>
          <w:sz w:val="24"/>
          <w:szCs w:val="24"/>
        </w:rPr>
        <w:t>2016;17:827</w:t>
      </w:r>
      <w:proofErr w:type="gramEnd"/>
      <w:r>
        <w:rPr>
          <w:rFonts w:ascii="Arial" w:hAnsi="Arial" w:cs="Arial"/>
          <w:sz w:val="24"/>
          <w:szCs w:val="24"/>
        </w:rPr>
        <w:t>-845.</w:t>
      </w:r>
    </w:p>
    <w:p w14:paraId="10D83073" w14:textId="77777777" w:rsidR="00DB4040" w:rsidRDefault="00762861">
      <w:pPr>
        <w:spacing w:after="0" w:line="480" w:lineRule="auto"/>
        <w:rPr>
          <w:rFonts w:ascii="Arial" w:hAnsi="Arial" w:cs="Arial"/>
          <w:sz w:val="24"/>
          <w:szCs w:val="24"/>
        </w:rPr>
      </w:pPr>
      <w:r>
        <w:rPr>
          <w:rFonts w:ascii="Arial" w:hAnsi="Arial" w:cs="Arial"/>
          <w:sz w:val="24"/>
          <w:szCs w:val="24"/>
        </w:rPr>
        <w:t>12.</w:t>
      </w:r>
      <w:r>
        <w:rPr>
          <w:rFonts w:ascii="Arial" w:hAnsi="Arial" w:cs="Arial"/>
          <w:sz w:val="24"/>
          <w:szCs w:val="24"/>
        </w:rPr>
        <w:tab/>
      </w:r>
      <w:proofErr w:type="spellStart"/>
      <w:r>
        <w:rPr>
          <w:rFonts w:ascii="Arial" w:hAnsi="Arial" w:cs="Arial"/>
          <w:sz w:val="24"/>
          <w:szCs w:val="24"/>
        </w:rPr>
        <w:t>Habes</w:t>
      </w:r>
      <w:proofErr w:type="spellEnd"/>
      <w:r>
        <w:rPr>
          <w:rFonts w:ascii="Arial" w:hAnsi="Arial" w:cs="Arial"/>
          <w:sz w:val="24"/>
          <w:szCs w:val="24"/>
        </w:rPr>
        <w:t xml:space="preserve"> M, Janowitz D, </w:t>
      </w:r>
      <w:proofErr w:type="spellStart"/>
      <w:r>
        <w:rPr>
          <w:rFonts w:ascii="Arial" w:hAnsi="Arial" w:cs="Arial"/>
          <w:sz w:val="24"/>
          <w:szCs w:val="24"/>
        </w:rPr>
        <w:t>Erus</w:t>
      </w:r>
      <w:proofErr w:type="spellEnd"/>
      <w:r>
        <w:rPr>
          <w:rFonts w:ascii="Arial" w:hAnsi="Arial" w:cs="Arial"/>
          <w:sz w:val="24"/>
          <w:szCs w:val="24"/>
        </w:rPr>
        <w:t xml:space="preserve"> G, et al. </w:t>
      </w:r>
      <w:r>
        <w:rPr>
          <w:rFonts w:ascii="Arial" w:hAnsi="Arial" w:cs="Arial"/>
          <w:sz w:val="24"/>
          <w:szCs w:val="24"/>
          <w:lang w:val="en-US"/>
        </w:rPr>
        <w:t xml:space="preserve">Advanced brain aging: relationship with epidemiologic and genetic risk factors, and overlap with Alzheimer disease atrophy patterns. </w:t>
      </w:r>
      <w:proofErr w:type="spellStart"/>
      <w:r>
        <w:rPr>
          <w:rFonts w:ascii="Arial" w:hAnsi="Arial" w:cs="Arial"/>
          <w:sz w:val="24"/>
          <w:szCs w:val="24"/>
        </w:rPr>
        <w:t>Transl</w:t>
      </w:r>
      <w:proofErr w:type="spellEnd"/>
      <w:r>
        <w:rPr>
          <w:rFonts w:ascii="Arial" w:hAnsi="Arial" w:cs="Arial"/>
          <w:sz w:val="24"/>
          <w:szCs w:val="24"/>
        </w:rPr>
        <w:t xml:space="preserve"> </w:t>
      </w:r>
      <w:proofErr w:type="spellStart"/>
      <w:r>
        <w:rPr>
          <w:rFonts w:ascii="Arial" w:hAnsi="Arial" w:cs="Arial"/>
          <w:sz w:val="24"/>
          <w:szCs w:val="24"/>
        </w:rPr>
        <w:t>Psychiatry</w:t>
      </w:r>
      <w:proofErr w:type="spellEnd"/>
      <w:r>
        <w:rPr>
          <w:rFonts w:ascii="Arial" w:hAnsi="Arial" w:cs="Arial"/>
          <w:sz w:val="24"/>
          <w:szCs w:val="24"/>
        </w:rPr>
        <w:t xml:space="preserve"> 2016;</w:t>
      </w:r>
      <w:proofErr w:type="gramStart"/>
      <w:r>
        <w:rPr>
          <w:rFonts w:ascii="Arial" w:hAnsi="Arial" w:cs="Arial"/>
          <w:sz w:val="24"/>
          <w:szCs w:val="24"/>
        </w:rPr>
        <w:t>6:e</w:t>
      </w:r>
      <w:proofErr w:type="gramEnd"/>
      <w:r>
        <w:rPr>
          <w:rFonts w:ascii="Arial" w:hAnsi="Arial" w:cs="Arial"/>
          <w:sz w:val="24"/>
          <w:szCs w:val="24"/>
        </w:rPr>
        <w:t>775.</w:t>
      </w:r>
    </w:p>
    <w:p w14:paraId="50C76BEA" w14:textId="77777777" w:rsidR="00DB4040" w:rsidRDefault="00762861">
      <w:pPr>
        <w:spacing w:after="0" w:line="480" w:lineRule="auto"/>
        <w:rPr>
          <w:rFonts w:ascii="Arial" w:hAnsi="Arial" w:cs="Arial"/>
          <w:sz w:val="24"/>
          <w:szCs w:val="24"/>
        </w:rPr>
      </w:pPr>
      <w:r>
        <w:rPr>
          <w:rFonts w:ascii="Arial" w:hAnsi="Arial" w:cs="Arial"/>
          <w:sz w:val="24"/>
          <w:szCs w:val="24"/>
        </w:rPr>
        <w:t>13.</w:t>
      </w:r>
      <w:r>
        <w:rPr>
          <w:rFonts w:ascii="Arial" w:hAnsi="Arial" w:cs="Arial"/>
          <w:sz w:val="24"/>
          <w:szCs w:val="24"/>
        </w:rPr>
        <w:tab/>
        <w:t xml:space="preserve">Suzuki H, </w:t>
      </w:r>
      <w:proofErr w:type="spellStart"/>
      <w:r>
        <w:rPr>
          <w:rFonts w:ascii="Arial" w:hAnsi="Arial" w:cs="Arial"/>
          <w:sz w:val="24"/>
          <w:szCs w:val="24"/>
        </w:rPr>
        <w:t>Venkataraman</w:t>
      </w:r>
      <w:proofErr w:type="spellEnd"/>
      <w:r>
        <w:rPr>
          <w:rFonts w:ascii="Arial" w:hAnsi="Arial" w:cs="Arial"/>
          <w:sz w:val="24"/>
          <w:szCs w:val="24"/>
        </w:rPr>
        <w:t xml:space="preserve"> AV, Bai W, et al. </w:t>
      </w:r>
      <w:r>
        <w:rPr>
          <w:rFonts w:ascii="Arial" w:hAnsi="Arial" w:cs="Arial"/>
          <w:sz w:val="24"/>
          <w:szCs w:val="24"/>
          <w:lang w:val="en-US"/>
        </w:rPr>
        <w:t xml:space="preserve">Associations of Regional Brain Structural Differences With Aging, Modifiable Risk Factors for Dementia, and Cognitive Performance. </w:t>
      </w:r>
      <w:r>
        <w:rPr>
          <w:rFonts w:ascii="Arial" w:hAnsi="Arial" w:cs="Arial"/>
          <w:sz w:val="24"/>
          <w:szCs w:val="24"/>
        </w:rPr>
        <w:t xml:space="preserve">JAMA </w:t>
      </w:r>
      <w:proofErr w:type="spellStart"/>
      <w:r>
        <w:rPr>
          <w:rFonts w:ascii="Arial" w:hAnsi="Arial" w:cs="Arial"/>
          <w:sz w:val="24"/>
          <w:szCs w:val="24"/>
        </w:rPr>
        <w:t>Netw</w:t>
      </w:r>
      <w:proofErr w:type="spellEnd"/>
      <w:r>
        <w:rPr>
          <w:rFonts w:ascii="Arial" w:hAnsi="Arial" w:cs="Arial"/>
          <w:sz w:val="24"/>
          <w:szCs w:val="24"/>
        </w:rPr>
        <w:t xml:space="preserve"> Open 2019;</w:t>
      </w:r>
      <w:proofErr w:type="gramStart"/>
      <w:r>
        <w:rPr>
          <w:rFonts w:ascii="Arial" w:hAnsi="Arial" w:cs="Arial"/>
          <w:sz w:val="24"/>
          <w:szCs w:val="24"/>
        </w:rPr>
        <w:t>2:e</w:t>
      </w:r>
      <w:proofErr w:type="gramEnd"/>
      <w:r>
        <w:rPr>
          <w:rFonts w:ascii="Arial" w:hAnsi="Arial" w:cs="Arial"/>
          <w:sz w:val="24"/>
          <w:szCs w:val="24"/>
        </w:rPr>
        <w:t>1917257.</w:t>
      </w:r>
    </w:p>
    <w:p w14:paraId="0D83DC6F" w14:textId="77777777" w:rsidR="00DB4040" w:rsidRDefault="00762861">
      <w:pPr>
        <w:spacing w:after="0" w:line="480" w:lineRule="auto"/>
        <w:rPr>
          <w:rFonts w:ascii="Arial" w:hAnsi="Arial" w:cs="Arial"/>
          <w:sz w:val="24"/>
          <w:szCs w:val="24"/>
          <w:lang w:val="en-US"/>
        </w:rPr>
      </w:pPr>
      <w:r>
        <w:rPr>
          <w:rFonts w:ascii="Arial" w:hAnsi="Arial" w:cs="Arial"/>
          <w:sz w:val="24"/>
          <w:szCs w:val="24"/>
        </w:rPr>
        <w:t>14.</w:t>
      </w:r>
      <w:r>
        <w:rPr>
          <w:rFonts w:ascii="Arial" w:hAnsi="Arial" w:cs="Arial"/>
          <w:sz w:val="24"/>
          <w:szCs w:val="24"/>
        </w:rPr>
        <w:tab/>
      </w:r>
      <w:proofErr w:type="spellStart"/>
      <w:r>
        <w:rPr>
          <w:rFonts w:ascii="Arial" w:hAnsi="Arial" w:cs="Arial"/>
          <w:sz w:val="24"/>
          <w:szCs w:val="24"/>
        </w:rPr>
        <w:t>Völzke</w:t>
      </w:r>
      <w:proofErr w:type="spellEnd"/>
      <w:r>
        <w:rPr>
          <w:rFonts w:ascii="Arial" w:hAnsi="Arial" w:cs="Arial"/>
          <w:sz w:val="24"/>
          <w:szCs w:val="24"/>
        </w:rPr>
        <w:t xml:space="preserve"> H, Alte D, Schmidt CO, et al. </w:t>
      </w:r>
      <w:r>
        <w:rPr>
          <w:rFonts w:ascii="Arial" w:hAnsi="Arial" w:cs="Arial"/>
          <w:sz w:val="24"/>
          <w:szCs w:val="24"/>
          <w:lang w:val="en-US"/>
        </w:rPr>
        <w:t xml:space="preserve">Cohort profile: the study of health in Pomerania. </w:t>
      </w:r>
      <w:proofErr w:type="spellStart"/>
      <w:r>
        <w:rPr>
          <w:rFonts w:ascii="Arial" w:hAnsi="Arial" w:cs="Arial"/>
          <w:sz w:val="24"/>
          <w:szCs w:val="24"/>
          <w:lang w:val="en-US"/>
        </w:rPr>
        <w:t>Int</w:t>
      </w:r>
      <w:proofErr w:type="spellEnd"/>
      <w:r>
        <w:rPr>
          <w:rFonts w:ascii="Arial" w:hAnsi="Arial" w:cs="Arial"/>
          <w:sz w:val="24"/>
          <w:szCs w:val="24"/>
          <w:lang w:val="en-US"/>
        </w:rPr>
        <w:t xml:space="preserve"> J </w:t>
      </w:r>
      <w:proofErr w:type="spellStart"/>
      <w:r>
        <w:rPr>
          <w:rFonts w:ascii="Arial" w:hAnsi="Arial" w:cs="Arial"/>
          <w:sz w:val="24"/>
          <w:szCs w:val="24"/>
          <w:lang w:val="en-US"/>
        </w:rPr>
        <w:t>Epidemiol</w:t>
      </w:r>
      <w:proofErr w:type="spellEnd"/>
      <w:r>
        <w:rPr>
          <w:rFonts w:ascii="Arial" w:hAnsi="Arial" w:cs="Arial"/>
          <w:sz w:val="24"/>
          <w:szCs w:val="24"/>
          <w:lang w:val="en-US"/>
        </w:rPr>
        <w:t xml:space="preserve"> 2011</w:t>
      </w:r>
      <w:proofErr w:type="gramStart"/>
      <w:r>
        <w:rPr>
          <w:rFonts w:ascii="Arial" w:hAnsi="Arial" w:cs="Arial"/>
          <w:sz w:val="24"/>
          <w:szCs w:val="24"/>
          <w:lang w:val="en-US"/>
        </w:rPr>
        <w:t>;40:294</w:t>
      </w:r>
      <w:proofErr w:type="gramEnd"/>
      <w:r>
        <w:rPr>
          <w:rFonts w:ascii="Arial" w:hAnsi="Arial" w:cs="Arial"/>
          <w:sz w:val="24"/>
          <w:szCs w:val="24"/>
          <w:lang w:val="en-US"/>
        </w:rPr>
        <w:t>-307.</w:t>
      </w:r>
    </w:p>
    <w:p w14:paraId="16AC3B6F" w14:textId="77777777" w:rsidR="00DB4040" w:rsidRDefault="00762861">
      <w:pPr>
        <w:spacing w:after="0" w:line="480" w:lineRule="auto"/>
        <w:rPr>
          <w:rFonts w:ascii="Arial" w:hAnsi="Arial" w:cs="Arial"/>
          <w:sz w:val="24"/>
          <w:szCs w:val="24"/>
        </w:rPr>
      </w:pPr>
      <w:r>
        <w:rPr>
          <w:rFonts w:ascii="Arial" w:hAnsi="Arial" w:cs="Arial"/>
          <w:sz w:val="24"/>
          <w:szCs w:val="24"/>
          <w:lang w:val="en-US"/>
        </w:rPr>
        <w:t xml:space="preserve">15. Schmidt CO, </w:t>
      </w:r>
      <w:proofErr w:type="spellStart"/>
      <w:r>
        <w:rPr>
          <w:rFonts w:ascii="Arial" w:hAnsi="Arial" w:cs="Arial"/>
          <w:sz w:val="24"/>
          <w:szCs w:val="24"/>
          <w:lang w:val="en-US"/>
        </w:rPr>
        <w:t>Sierocinski</w:t>
      </w:r>
      <w:proofErr w:type="spellEnd"/>
      <w:r>
        <w:rPr>
          <w:rFonts w:ascii="Arial" w:hAnsi="Arial" w:cs="Arial"/>
          <w:sz w:val="24"/>
          <w:szCs w:val="24"/>
          <w:lang w:val="en-US"/>
        </w:rPr>
        <w:t xml:space="preserve"> E, </w:t>
      </w:r>
      <w:proofErr w:type="spellStart"/>
      <w:r>
        <w:rPr>
          <w:rFonts w:ascii="Arial" w:hAnsi="Arial" w:cs="Arial"/>
          <w:sz w:val="24"/>
          <w:szCs w:val="24"/>
          <w:lang w:val="en-US"/>
        </w:rPr>
        <w:t>Hegenscheid</w:t>
      </w:r>
      <w:proofErr w:type="spellEnd"/>
      <w:r>
        <w:rPr>
          <w:rFonts w:ascii="Arial" w:hAnsi="Arial" w:cs="Arial"/>
          <w:sz w:val="24"/>
          <w:szCs w:val="24"/>
          <w:lang w:val="en-US"/>
        </w:rPr>
        <w:t xml:space="preserve"> K, Baumeister SE, </w:t>
      </w:r>
      <w:proofErr w:type="spellStart"/>
      <w:r>
        <w:rPr>
          <w:rFonts w:ascii="Arial" w:hAnsi="Arial" w:cs="Arial"/>
          <w:sz w:val="24"/>
          <w:szCs w:val="24"/>
          <w:lang w:val="en-US"/>
        </w:rPr>
        <w:t>Grabe</w:t>
      </w:r>
      <w:proofErr w:type="spellEnd"/>
      <w:r>
        <w:rPr>
          <w:rFonts w:ascii="Arial" w:hAnsi="Arial" w:cs="Arial"/>
          <w:sz w:val="24"/>
          <w:szCs w:val="24"/>
          <w:lang w:val="en-US"/>
        </w:rPr>
        <w:t xml:space="preserve"> HJ, </w:t>
      </w:r>
      <w:proofErr w:type="spellStart"/>
      <w:r>
        <w:rPr>
          <w:rFonts w:ascii="Arial" w:hAnsi="Arial" w:cs="Arial"/>
          <w:sz w:val="24"/>
          <w:szCs w:val="24"/>
          <w:lang w:val="en-US"/>
        </w:rPr>
        <w:t>Völzke</w:t>
      </w:r>
      <w:proofErr w:type="spellEnd"/>
      <w:r>
        <w:rPr>
          <w:rFonts w:ascii="Arial" w:hAnsi="Arial" w:cs="Arial"/>
          <w:sz w:val="24"/>
          <w:szCs w:val="24"/>
          <w:lang w:val="en-US"/>
        </w:rPr>
        <w:t xml:space="preserve"> H. Impact of whole-body MRI in a general population study.</w:t>
      </w:r>
      <w:r>
        <w:rPr>
          <w:lang w:val="en-US"/>
        </w:rPr>
        <w:t xml:space="preserve"> </w:t>
      </w:r>
      <w:proofErr w:type="spellStart"/>
      <w:r>
        <w:rPr>
          <w:rFonts w:ascii="Arial" w:hAnsi="Arial" w:cs="Arial"/>
          <w:sz w:val="24"/>
          <w:szCs w:val="24"/>
        </w:rPr>
        <w:t>Eur</w:t>
      </w:r>
      <w:proofErr w:type="spellEnd"/>
      <w:r>
        <w:rPr>
          <w:rFonts w:ascii="Arial" w:hAnsi="Arial" w:cs="Arial"/>
          <w:sz w:val="24"/>
          <w:szCs w:val="24"/>
        </w:rPr>
        <w:t xml:space="preserve"> J </w:t>
      </w:r>
      <w:proofErr w:type="spellStart"/>
      <w:r>
        <w:rPr>
          <w:rFonts w:ascii="Arial" w:hAnsi="Arial" w:cs="Arial"/>
          <w:sz w:val="24"/>
          <w:szCs w:val="24"/>
        </w:rPr>
        <w:t>Epidemiol</w:t>
      </w:r>
      <w:proofErr w:type="spellEnd"/>
      <w:r>
        <w:rPr>
          <w:rFonts w:ascii="Arial" w:hAnsi="Arial" w:cs="Arial"/>
          <w:sz w:val="24"/>
          <w:szCs w:val="24"/>
        </w:rPr>
        <w:t xml:space="preserve"> </w:t>
      </w:r>
      <w:proofErr w:type="gramStart"/>
      <w:r>
        <w:rPr>
          <w:rFonts w:ascii="Arial" w:hAnsi="Arial" w:cs="Arial"/>
          <w:sz w:val="24"/>
          <w:szCs w:val="24"/>
        </w:rPr>
        <w:t>2016;31:31</w:t>
      </w:r>
      <w:proofErr w:type="gramEnd"/>
      <w:r>
        <w:rPr>
          <w:rFonts w:ascii="Arial" w:hAnsi="Arial" w:cs="Arial"/>
          <w:sz w:val="24"/>
          <w:szCs w:val="24"/>
        </w:rPr>
        <w:t xml:space="preserve">-39. </w:t>
      </w:r>
    </w:p>
    <w:p w14:paraId="6870D223" w14:textId="77777777" w:rsidR="00DB4040" w:rsidRDefault="00762861">
      <w:pPr>
        <w:spacing w:after="0" w:line="480" w:lineRule="auto"/>
        <w:rPr>
          <w:rFonts w:ascii="Arial" w:hAnsi="Arial" w:cs="Arial"/>
          <w:sz w:val="24"/>
          <w:szCs w:val="24"/>
        </w:rPr>
      </w:pPr>
      <w:r>
        <w:rPr>
          <w:rFonts w:ascii="Arial" w:hAnsi="Arial" w:cs="Arial"/>
          <w:sz w:val="24"/>
          <w:szCs w:val="24"/>
        </w:rPr>
        <w:t>16.</w:t>
      </w:r>
      <w:r>
        <w:rPr>
          <w:rFonts w:ascii="Arial" w:hAnsi="Arial" w:cs="Arial"/>
          <w:sz w:val="24"/>
          <w:szCs w:val="24"/>
        </w:rPr>
        <w:tab/>
        <w:t xml:space="preserve">Frenzel S, Wittfeld K, </w:t>
      </w:r>
      <w:proofErr w:type="spellStart"/>
      <w:r>
        <w:rPr>
          <w:rFonts w:ascii="Arial" w:hAnsi="Arial" w:cs="Arial"/>
          <w:sz w:val="24"/>
          <w:szCs w:val="24"/>
        </w:rPr>
        <w:t>Habes</w:t>
      </w:r>
      <w:proofErr w:type="spellEnd"/>
      <w:r>
        <w:rPr>
          <w:rFonts w:ascii="Arial" w:hAnsi="Arial" w:cs="Arial"/>
          <w:sz w:val="24"/>
          <w:szCs w:val="24"/>
        </w:rPr>
        <w:t xml:space="preserve"> M, et al. </w:t>
      </w:r>
      <w:r>
        <w:rPr>
          <w:rFonts w:ascii="Arial" w:hAnsi="Arial" w:cs="Arial"/>
          <w:sz w:val="24"/>
          <w:szCs w:val="24"/>
          <w:lang w:val="en-US"/>
        </w:rPr>
        <w:t xml:space="preserve">A Biomarker for Alzheimer’s Disease Based on Patterns of Regional Brain Atrophy. </w:t>
      </w:r>
      <w:r>
        <w:rPr>
          <w:rFonts w:ascii="Arial" w:hAnsi="Arial" w:cs="Arial"/>
          <w:sz w:val="24"/>
          <w:szCs w:val="24"/>
        </w:rPr>
        <w:t xml:space="preserve">Front </w:t>
      </w:r>
      <w:proofErr w:type="spellStart"/>
      <w:r>
        <w:rPr>
          <w:rFonts w:ascii="Arial" w:hAnsi="Arial" w:cs="Arial"/>
          <w:sz w:val="24"/>
          <w:szCs w:val="24"/>
        </w:rPr>
        <w:t>Psychiatry</w:t>
      </w:r>
      <w:proofErr w:type="spellEnd"/>
      <w:r>
        <w:rPr>
          <w:rFonts w:ascii="Arial" w:hAnsi="Arial" w:cs="Arial"/>
          <w:sz w:val="24"/>
          <w:szCs w:val="24"/>
        </w:rPr>
        <w:t xml:space="preserve"> </w:t>
      </w:r>
      <w:proofErr w:type="gramStart"/>
      <w:r>
        <w:rPr>
          <w:rFonts w:ascii="Arial" w:hAnsi="Arial" w:cs="Arial"/>
          <w:sz w:val="24"/>
          <w:szCs w:val="24"/>
        </w:rPr>
        <w:t>2020;10:953</w:t>
      </w:r>
      <w:proofErr w:type="gramEnd"/>
      <w:r>
        <w:rPr>
          <w:rFonts w:ascii="Arial" w:hAnsi="Arial" w:cs="Arial"/>
          <w:sz w:val="24"/>
          <w:szCs w:val="24"/>
        </w:rPr>
        <w:t>.</w:t>
      </w:r>
    </w:p>
    <w:p w14:paraId="4B3A6720" w14:textId="77777777" w:rsidR="00DB4040" w:rsidRDefault="00762861">
      <w:pPr>
        <w:spacing w:after="0" w:line="480" w:lineRule="auto"/>
        <w:rPr>
          <w:rFonts w:ascii="Arial" w:hAnsi="Arial" w:cs="Arial"/>
          <w:sz w:val="24"/>
          <w:szCs w:val="24"/>
        </w:rPr>
      </w:pPr>
      <w:r>
        <w:rPr>
          <w:rFonts w:ascii="Arial" w:hAnsi="Arial" w:cs="Arial"/>
          <w:sz w:val="24"/>
          <w:szCs w:val="24"/>
        </w:rPr>
        <w:lastRenderedPageBreak/>
        <w:t>17.</w:t>
      </w:r>
      <w:r>
        <w:rPr>
          <w:rFonts w:ascii="Arial" w:hAnsi="Arial" w:cs="Arial"/>
          <w:sz w:val="24"/>
          <w:szCs w:val="24"/>
        </w:rPr>
        <w:tab/>
      </w:r>
      <w:proofErr w:type="spellStart"/>
      <w:r>
        <w:rPr>
          <w:rFonts w:ascii="Arial" w:hAnsi="Arial" w:cs="Arial"/>
          <w:sz w:val="24"/>
          <w:szCs w:val="24"/>
        </w:rPr>
        <w:t>Fischl</w:t>
      </w:r>
      <w:proofErr w:type="spellEnd"/>
      <w:r>
        <w:rPr>
          <w:rFonts w:ascii="Arial" w:hAnsi="Arial" w:cs="Arial"/>
          <w:sz w:val="24"/>
          <w:szCs w:val="24"/>
        </w:rPr>
        <w:t xml:space="preserve"> B, Salat DH, </w:t>
      </w:r>
      <w:proofErr w:type="spellStart"/>
      <w:r>
        <w:rPr>
          <w:rFonts w:ascii="Arial" w:hAnsi="Arial" w:cs="Arial"/>
          <w:sz w:val="24"/>
          <w:szCs w:val="24"/>
        </w:rPr>
        <w:t>Busa</w:t>
      </w:r>
      <w:proofErr w:type="spellEnd"/>
      <w:r>
        <w:rPr>
          <w:rFonts w:ascii="Arial" w:hAnsi="Arial" w:cs="Arial"/>
          <w:sz w:val="24"/>
          <w:szCs w:val="24"/>
        </w:rPr>
        <w:t xml:space="preserve"> E, et al. </w:t>
      </w:r>
      <w:r>
        <w:rPr>
          <w:rFonts w:ascii="Arial" w:hAnsi="Arial" w:cs="Arial"/>
          <w:sz w:val="24"/>
          <w:szCs w:val="24"/>
          <w:lang w:val="en-US"/>
        </w:rPr>
        <w:t xml:space="preserve">Whole Brain Segmentation: Automated Labeling of Neuroanatomical Structures in the Human Brain. </w:t>
      </w:r>
      <w:r>
        <w:rPr>
          <w:rFonts w:ascii="Arial" w:hAnsi="Arial" w:cs="Arial"/>
          <w:sz w:val="24"/>
          <w:szCs w:val="24"/>
        </w:rPr>
        <w:t>Neuron 2002; 33:341-355</w:t>
      </w:r>
    </w:p>
    <w:p w14:paraId="1A930B5F" w14:textId="77777777" w:rsidR="00DB4040" w:rsidRDefault="00762861">
      <w:pPr>
        <w:spacing w:after="0" w:line="480" w:lineRule="auto"/>
        <w:rPr>
          <w:rFonts w:ascii="Arial" w:hAnsi="Arial" w:cs="Arial"/>
          <w:sz w:val="24"/>
          <w:szCs w:val="24"/>
        </w:rPr>
      </w:pPr>
      <w:r>
        <w:rPr>
          <w:rFonts w:ascii="Arial" w:hAnsi="Arial" w:cs="Arial"/>
          <w:sz w:val="24"/>
          <w:szCs w:val="24"/>
        </w:rPr>
        <w:t>18.</w:t>
      </w:r>
      <w:r>
        <w:rPr>
          <w:rFonts w:ascii="Arial" w:hAnsi="Arial" w:cs="Arial"/>
          <w:sz w:val="24"/>
          <w:szCs w:val="24"/>
        </w:rPr>
        <w:tab/>
      </w:r>
      <w:proofErr w:type="spellStart"/>
      <w:r>
        <w:rPr>
          <w:rFonts w:ascii="Arial" w:hAnsi="Arial" w:cs="Arial"/>
          <w:sz w:val="24"/>
          <w:szCs w:val="24"/>
        </w:rPr>
        <w:t>Helmstaedter</w:t>
      </w:r>
      <w:proofErr w:type="spellEnd"/>
      <w:r>
        <w:rPr>
          <w:rFonts w:ascii="Arial" w:hAnsi="Arial" w:cs="Arial"/>
          <w:sz w:val="24"/>
          <w:szCs w:val="24"/>
        </w:rPr>
        <w:t xml:space="preserve"> C, </w:t>
      </w:r>
      <w:proofErr w:type="spellStart"/>
      <w:r>
        <w:rPr>
          <w:rFonts w:ascii="Arial" w:hAnsi="Arial" w:cs="Arial"/>
          <w:sz w:val="24"/>
          <w:szCs w:val="24"/>
        </w:rPr>
        <w:t>Lendt</w:t>
      </w:r>
      <w:proofErr w:type="spellEnd"/>
      <w:r>
        <w:rPr>
          <w:rFonts w:ascii="Arial" w:hAnsi="Arial" w:cs="Arial"/>
          <w:sz w:val="24"/>
          <w:szCs w:val="24"/>
        </w:rPr>
        <w:t xml:space="preserve"> M, Lux S, VLMT: Verbaler Lern- und Merkfähigkeitstest. </w:t>
      </w:r>
      <w:proofErr w:type="spellStart"/>
      <w:r>
        <w:rPr>
          <w:rFonts w:ascii="Arial" w:hAnsi="Arial" w:cs="Arial"/>
          <w:sz w:val="24"/>
          <w:szCs w:val="24"/>
        </w:rPr>
        <w:t>Göttingen</w:t>
      </w:r>
      <w:proofErr w:type="spellEnd"/>
      <w:r>
        <w:rPr>
          <w:rFonts w:ascii="Arial" w:hAnsi="Arial" w:cs="Arial"/>
          <w:sz w:val="24"/>
          <w:szCs w:val="24"/>
        </w:rPr>
        <w:t>: Beltz; 2001.</w:t>
      </w:r>
    </w:p>
    <w:p w14:paraId="1627FFB3" w14:textId="77777777" w:rsidR="00DB4040" w:rsidRDefault="00762861">
      <w:pPr>
        <w:spacing w:after="0" w:line="480" w:lineRule="auto"/>
        <w:rPr>
          <w:rFonts w:ascii="Arial" w:hAnsi="Arial" w:cs="Arial"/>
          <w:sz w:val="24"/>
          <w:szCs w:val="24"/>
        </w:rPr>
      </w:pPr>
      <w:r>
        <w:rPr>
          <w:rFonts w:ascii="Arial" w:hAnsi="Arial" w:cs="Arial"/>
          <w:sz w:val="24"/>
          <w:szCs w:val="24"/>
        </w:rPr>
        <w:t>19.</w:t>
      </w:r>
      <w:r>
        <w:rPr>
          <w:rFonts w:ascii="Arial" w:hAnsi="Arial" w:cs="Arial"/>
          <w:sz w:val="24"/>
          <w:szCs w:val="24"/>
        </w:rPr>
        <w:tab/>
      </w:r>
      <w:proofErr w:type="spellStart"/>
      <w:r>
        <w:rPr>
          <w:rFonts w:ascii="Arial" w:hAnsi="Arial" w:cs="Arial"/>
          <w:sz w:val="24"/>
          <w:szCs w:val="24"/>
        </w:rPr>
        <w:t>Terock</w:t>
      </w:r>
      <w:proofErr w:type="spellEnd"/>
      <w:r>
        <w:rPr>
          <w:rFonts w:ascii="Arial" w:hAnsi="Arial" w:cs="Arial"/>
          <w:sz w:val="24"/>
          <w:szCs w:val="24"/>
        </w:rPr>
        <w:t xml:space="preserve"> J, Van der </w:t>
      </w:r>
      <w:proofErr w:type="spellStart"/>
      <w:r>
        <w:rPr>
          <w:rFonts w:ascii="Arial" w:hAnsi="Arial" w:cs="Arial"/>
          <w:sz w:val="24"/>
          <w:szCs w:val="24"/>
        </w:rPr>
        <w:t>Auwera</w:t>
      </w:r>
      <w:proofErr w:type="spellEnd"/>
      <w:r>
        <w:rPr>
          <w:rFonts w:ascii="Arial" w:hAnsi="Arial" w:cs="Arial"/>
          <w:sz w:val="24"/>
          <w:szCs w:val="24"/>
        </w:rPr>
        <w:t xml:space="preserve"> S, Janowitz D, et al. </w:t>
      </w:r>
      <w:r>
        <w:rPr>
          <w:rFonts w:ascii="Arial" w:hAnsi="Arial" w:cs="Arial"/>
          <w:sz w:val="24"/>
          <w:szCs w:val="24"/>
          <w:lang w:val="en-US"/>
        </w:rPr>
        <w:t xml:space="preserve">The relation of alexithymia, chronic perceived stress and declarative memory performance: Results from the general population. </w:t>
      </w:r>
      <w:proofErr w:type="spellStart"/>
      <w:r>
        <w:rPr>
          <w:rFonts w:ascii="Arial" w:hAnsi="Arial" w:cs="Arial"/>
          <w:sz w:val="24"/>
          <w:szCs w:val="24"/>
        </w:rPr>
        <w:t>Psychiatry</w:t>
      </w:r>
      <w:proofErr w:type="spellEnd"/>
      <w:r>
        <w:rPr>
          <w:rFonts w:ascii="Arial" w:hAnsi="Arial" w:cs="Arial"/>
          <w:sz w:val="24"/>
          <w:szCs w:val="24"/>
        </w:rPr>
        <w:t xml:space="preserve"> Res </w:t>
      </w:r>
      <w:proofErr w:type="gramStart"/>
      <w:r>
        <w:rPr>
          <w:rFonts w:ascii="Arial" w:hAnsi="Arial" w:cs="Arial"/>
          <w:sz w:val="24"/>
          <w:szCs w:val="24"/>
        </w:rPr>
        <w:t>2019;271:405</w:t>
      </w:r>
      <w:proofErr w:type="gramEnd"/>
      <w:r>
        <w:rPr>
          <w:rFonts w:ascii="Arial" w:hAnsi="Arial" w:cs="Arial"/>
          <w:sz w:val="24"/>
          <w:szCs w:val="24"/>
        </w:rPr>
        <w:t>-411.</w:t>
      </w:r>
    </w:p>
    <w:p w14:paraId="178934BF" w14:textId="77777777" w:rsidR="00DB4040" w:rsidRDefault="00762861">
      <w:pPr>
        <w:spacing w:after="0" w:line="480" w:lineRule="auto"/>
        <w:rPr>
          <w:rFonts w:ascii="Arial" w:hAnsi="Arial" w:cs="Arial"/>
          <w:sz w:val="24"/>
          <w:szCs w:val="24"/>
          <w:lang w:val="en-US"/>
        </w:rPr>
      </w:pPr>
      <w:r>
        <w:rPr>
          <w:rFonts w:ascii="Arial" w:hAnsi="Arial" w:cs="Arial"/>
          <w:sz w:val="24"/>
          <w:szCs w:val="24"/>
        </w:rPr>
        <w:t>20. Oswald WD, Fleischmann UM. Nürnberger-Alters-Inventar:(NAI); NAI-</w:t>
      </w:r>
      <w:proofErr w:type="spellStart"/>
      <w:r>
        <w:rPr>
          <w:rFonts w:ascii="Arial" w:hAnsi="Arial" w:cs="Arial"/>
          <w:sz w:val="24"/>
          <w:szCs w:val="24"/>
        </w:rPr>
        <w:t>testmanual</w:t>
      </w:r>
      <w:proofErr w:type="spellEnd"/>
      <w:r>
        <w:rPr>
          <w:rFonts w:ascii="Arial" w:hAnsi="Arial" w:cs="Arial"/>
          <w:sz w:val="24"/>
          <w:szCs w:val="24"/>
        </w:rPr>
        <w:t xml:space="preserve"> und-textband.</w:t>
      </w:r>
      <w:r>
        <w:t xml:space="preserve"> </w:t>
      </w:r>
      <w:proofErr w:type="spellStart"/>
      <w:r>
        <w:rPr>
          <w:rFonts w:ascii="Arial" w:hAnsi="Arial" w:cs="Arial"/>
          <w:sz w:val="24"/>
          <w:szCs w:val="24"/>
          <w:lang w:val="en-US"/>
        </w:rPr>
        <w:t>Göttingen</w:t>
      </w:r>
      <w:proofErr w:type="spellEnd"/>
      <w:r>
        <w:rPr>
          <w:rFonts w:ascii="Arial" w:hAnsi="Arial" w:cs="Arial"/>
          <w:sz w:val="24"/>
          <w:szCs w:val="24"/>
          <w:lang w:val="en-US"/>
        </w:rPr>
        <w:t>: Hogrefe</w:t>
      </w:r>
      <w:proofErr w:type="gramStart"/>
      <w:r>
        <w:rPr>
          <w:rFonts w:ascii="Arial" w:hAnsi="Arial" w:cs="Arial"/>
          <w:sz w:val="24"/>
          <w:szCs w:val="24"/>
          <w:lang w:val="en-US"/>
        </w:rPr>
        <w:t>;1995</w:t>
      </w:r>
      <w:proofErr w:type="gramEnd"/>
      <w:r>
        <w:rPr>
          <w:rFonts w:ascii="Arial" w:hAnsi="Arial" w:cs="Arial"/>
          <w:sz w:val="24"/>
          <w:szCs w:val="24"/>
          <w:lang w:val="en-US"/>
        </w:rPr>
        <w:t>.</w:t>
      </w:r>
    </w:p>
    <w:p w14:paraId="05B93824"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21.</w:t>
      </w:r>
      <w:r>
        <w:rPr>
          <w:rFonts w:ascii="Arial" w:hAnsi="Arial" w:cs="Arial"/>
          <w:sz w:val="24"/>
          <w:szCs w:val="24"/>
          <w:lang w:val="en-US"/>
        </w:rPr>
        <w:tab/>
      </w:r>
      <w:proofErr w:type="spellStart"/>
      <w:r>
        <w:rPr>
          <w:rFonts w:ascii="Arial" w:hAnsi="Arial" w:cs="Arial"/>
          <w:sz w:val="24"/>
          <w:szCs w:val="24"/>
          <w:lang w:val="en-US"/>
        </w:rPr>
        <w:t>VanderWeele</w:t>
      </w:r>
      <w:proofErr w:type="spellEnd"/>
      <w:r>
        <w:rPr>
          <w:rFonts w:ascii="Arial" w:hAnsi="Arial" w:cs="Arial"/>
          <w:sz w:val="24"/>
          <w:szCs w:val="24"/>
          <w:lang w:val="en-US"/>
        </w:rPr>
        <w:t xml:space="preserve"> TJ. Principles of confounder selection.</w:t>
      </w:r>
      <w:r>
        <w:rPr>
          <w:lang w:val="en-US"/>
        </w:rPr>
        <w:t xml:space="preserve"> </w:t>
      </w:r>
      <w:proofErr w:type="spellStart"/>
      <w:r>
        <w:rPr>
          <w:rFonts w:ascii="Arial" w:hAnsi="Arial" w:cs="Arial"/>
          <w:sz w:val="24"/>
          <w:szCs w:val="24"/>
          <w:lang w:val="en-US"/>
        </w:rPr>
        <w:t>Eur</w:t>
      </w:r>
      <w:proofErr w:type="spellEnd"/>
      <w:r>
        <w:rPr>
          <w:rFonts w:ascii="Arial" w:hAnsi="Arial" w:cs="Arial"/>
          <w:sz w:val="24"/>
          <w:szCs w:val="24"/>
          <w:lang w:val="en-US"/>
        </w:rPr>
        <w:t xml:space="preserve"> J </w:t>
      </w:r>
      <w:proofErr w:type="spellStart"/>
      <w:r>
        <w:rPr>
          <w:rFonts w:ascii="Arial" w:hAnsi="Arial" w:cs="Arial"/>
          <w:sz w:val="24"/>
          <w:szCs w:val="24"/>
          <w:lang w:val="en-US"/>
        </w:rPr>
        <w:t>Epidemiol</w:t>
      </w:r>
      <w:proofErr w:type="spellEnd"/>
      <w:r>
        <w:rPr>
          <w:rFonts w:ascii="Arial" w:hAnsi="Arial" w:cs="Arial"/>
          <w:sz w:val="24"/>
          <w:szCs w:val="24"/>
          <w:lang w:val="en-US"/>
        </w:rPr>
        <w:t xml:space="preserve"> 2019</w:t>
      </w:r>
      <w:proofErr w:type="gramStart"/>
      <w:r>
        <w:rPr>
          <w:rFonts w:ascii="Arial" w:hAnsi="Arial" w:cs="Arial"/>
          <w:sz w:val="24"/>
          <w:szCs w:val="24"/>
          <w:lang w:val="en-US"/>
        </w:rPr>
        <w:t>;34:211</w:t>
      </w:r>
      <w:proofErr w:type="gramEnd"/>
      <w:r>
        <w:rPr>
          <w:rFonts w:ascii="Arial" w:hAnsi="Arial" w:cs="Arial"/>
          <w:sz w:val="24"/>
          <w:szCs w:val="24"/>
          <w:lang w:val="en-US"/>
        </w:rPr>
        <w:t xml:space="preserve">-219. </w:t>
      </w:r>
    </w:p>
    <w:p w14:paraId="2DAB6BC3"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22.</w:t>
      </w:r>
      <w:r>
        <w:rPr>
          <w:rFonts w:ascii="Arial" w:hAnsi="Arial" w:cs="Arial"/>
          <w:sz w:val="24"/>
          <w:szCs w:val="24"/>
          <w:lang w:val="en-US"/>
        </w:rPr>
        <w:tab/>
      </w:r>
      <w:proofErr w:type="spellStart"/>
      <w:r>
        <w:rPr>
          <w:rFonts w:ascii="Arial" w:hAnsi="Arial" w:cs="Arial"/>
          <w:sz w:val="24"/>
          <w:szCs w:val="24"/>
          <w:lang w:val="en-US"/>
        </w:rPr>
        <w:t>Brayne</w:t>
      </w:r>
      <w:proofErr w:type="spellEnd"/>
      <w:r>
        <w:rPr>
          <w:rFonts w:ascii="Arial" w:hAnsi="Arial" w:cs="Arial"/>
          <w:sz w:val="24"/>
          <w:szCs w:val="24"/>
          <w:lang w:val="en-US"/>
        </w:rPr>
        <w:t xml:space="preserve"> C, </w:t>
      </w:r>
      <w:proofErr w:type="spellStart"/>
      <w:r>
        <w:rPr>
          <w:rFonts w:ascii="Arial" w:hAnsi="Arial" w:cs="Arial"/>
          <w:sz w:val="24"/>
          <w:szCs w:val="24"/>
          <w:lang w:val="en-US"/>
        </w:rPr>
        <w:t>Ince</w:t>
      </w:r>
      <w:proofErr w:type="spellEnd"/>
      <w:r>
        <w:rPr>
          <w:rFonts w:ascii="Arial" w:hAnsi="Arial" w:cs="Arial"/>
          <w:sz w:val="24"/>
          <w:szCs w:val="24"/>
          <w:lang w:val="en-US"/>
        </w:rPr>
        <w:t xml:space="preserve"> PG, </w:t>
      </w:r>
      <w:proofErr w:type="spellStart"/>
      <w:r>
        <w:rPr>
          <w:rFonts w:ascii="Arial" w:hAnsi="Arial" w:cs="Arial"/>
          <w:sz w:val="24"/>
          <w:szCs w:val="24"/>
          <w:lang w:val="en-US"/>
        </w:rPr>
        <w:t>Keage</w:t>
      </w:r>
      <w:proofErr w:type="spellEnd"/>
      <w:r>
        <w:rPr>
          <w:rFonts w:ascii="Arial" w:hAnsi="Arial" w:cs="Arial"/>
          <w:sz w:val="24"/>
          <w:szCs w:val="24"/>
          <w:lang w:val="en-US"/>
        </w:rPr>
        <w:t xml:space="preserve"> HA, et al. Education, the brain and dementia: neuroprotection or compensation? Brain 2010</w:t>
      </w:r>
      <w:proofErr w:type="gramStart"/>
      <w:r>
        <w:rPr>
          <w:rFonts w:ascii="Arial" w:hAnsi="Arial" w:cs="Arial"/>
          <w:sz w:val="24"/>
          <w:szCs w:val="24"/>
          <w:lang w:val="en-US"/>
        </w:rPr>
        <w:t>;133:2210</w:t>
      </w:r>
      <w:proofErr w:type="gramEnd"/>
      <w:r>
        <w:rPr>
          <w:rFonts w:ascii="Arial" w:hAnsi="Arial" w:cs="Arial"/>
          <w:sz w:val="24"/>
          <w:szCs w:val="24"/>
          <w:lang w:val="en-US"/>
        </w:rPr>
        <w:t>-2216.</w:t>
      </w:r>
    </w:p>
    <w:p w14:paraId="2451D189" w14:textId="77777777" w:rsidR="00DB4040" w:rsidRDefault="00762861">
      <w:pPr>
        <w:spacing w:after="0" w:line="480" w:lineRule="auto"/>
        <w:rPr>
          <w:rFonts w:ascii="Arial" w:hAnsi="Arial" w:cs="Arial"/>
          <w:sz w:val="24"/>
          <w:szCs w:val="24"/>
        </w:rPr>
      </w:pPr>
      <w:r w:rsidRPr="006F7A62">
        <w:rPr>
          <w:rFonts w:ascii="Arial" w:hAnsi="Arial" w:cs="Arial"/>
          <w:sz w:val="24"/>
          <w:szCs w:val="24"/>
          <w:lang w:val="en-US"/>
        </w:rPr>
        <w:t>23.</w:t>
      </w:r>
      <w:r w:rsidRPr="006F7A62">
        <w:rPr>
          <w:rFonts w:ascii="Arial" w:hAnsi="Arial" w:cs="Arial"/>
          <w:sz w:val="24"/>
          <w:szCs w:val="24"/>
          <w:lang w:val="en-US"/>
        </w:rPr>
        <w:tab/>
      </w:r>
      <w:proofErr w:type="spellStart"/>
      <w:r w:rsidRPr="006F7A62">
        <w:rPr>
          <w:rFonts w:ascii="Arial" w:hAnsi="Arial" w:cs="Arial"/>
          <w:sz w:val="24"/>
          <w:szCs w:val="24"/>
          <w:lang w:val="en-US"/>
        </w:rPr>
        <w:t>Grasset</w:t>
      </w:r>
      <w:proofErr w:type="spellEnd"/>
      <w:r w:rsidRPr="006F7A62">
        <w:rPr>
          <w:rFonts w:ascii="Arial" w:hAnsi="Arial" w:cs="Arial"/>
          <w:sz w:val="24"/>
          <w:szCs w:val="24"/>
          <w:lang w:val="en-US"/>
        </w:rPr>
        <w:t xml:space="preserve"> L, </w:t>
      </w:r>
      <w:proofErr w:type="spellStart"/>
      <w:r w:rsidRPr="006F7A62">
        <w:rPr>
          <w:rFonts w:ascii="Arial" w:hAnsi="Arial" w:cs="Arial"/>
          <w:sz w:val="24"/>
          <w:szCs w:val="24"/>
          <w:lang w:val="en-US"/>
        </w:rPr>
        <w:t>Glymour</w:t>
      </w:r>
      <w:proofErr w:type="spellEnd"/>
      <w:r w:rsidRPr="006F7A62">
        <w:rPr>
          <w:rFonts w:ascii="Arial" w:hAnsi="Arial" w:cs="Arial"/>
          <w:sz w:val="24"/>
          <w:szCs w:val="24"/>
          <w:lang w:val="en-US"/>
        </w:rPr>
        <w:t xml:space="preserve"> MM, </w:t>
      </w:r>
      <w:proofErr w:type="spellStart"/>
      <w:r w:rsidRPr="006F7A62">
        <w:rPr>
          <w:rFonts w:ascii="Arial" w:hAnsi="Arial" w:cs="Arial"/>
          <w:sz w:val="24"/>
          <w:szCs w:val="24"/>
          <w:lang w:val="en-US"/>
        </w:rPr>
        <w:t>Elfassy</w:t>
      </w:r>
      <w:proofErr w:type="spellEnd"/>
      <w:r w:rsidRPr="006F7A62">
        <w:rPr>
          <w:rFonts w:ascii="Arial" w:hAnsi="Arial" w:cs="Arial"/>
          <w:sz w:val="24"/>
          <w:szCs w:val="24"/>
          <w:lang w:val="en-US"/>
        </w:rPr>
        <w:t xml:space="preserve"> T, et al. </w:t>
      </w:r>
      <w:r>
        <w:rPr>
          <w:rFonts w:ascii="Arial" w:hAnsi="Arial" w:cs="Arial"/>
          <w:sz w:val="24"/>
          <w:szCs w:val="24"/>
          <w:lang w:val="en-US"/>
        </w:rPr>
        <w:t xml:space="preserve">Relation between 20-year income volatility and brain health in midlife: The CARDIA study. </w:t>
      </w:r>
      <w:proofErr w:type="spellStart"/>
      <w:r>
        <w:rPr>
          <w:rFonts w:ascii="Arial" w:hAnsi="Arial" w:cs="Arial"/>
          <w:sz w:val="24"/>
          <w:szCs w:val="24"/>
        </w:rPr>
        <w:t>Neurology</w:t>
      </w:r>
      <w:proofErr w:type="spellEnd"/>
      <w:r>
        <w:rPr>
          <w:rFonts w:ascii="Arial" w:hAnsi="Arial" w:cs="Arial"/>
          <w:sz w:val="24"/>
          <w:szCs w:val="24"/>
        </w:rPr>
        <w:t xml:space="preserve"> 2019;</w:t>
      </w:r>
      <w:proofErr w:type="gramStart"/>
      <w:r>
        <w:rPr>
          <w:rFonts w:ascii="Arial" w:hAnsi="Arial" w:cs="Arial"/>
          <w:sz w:val="24"/>
          <w:szCs w:val="24"/>
        </w:rPr>
        <w:t>93:e</w:t>
      </w:r>
      <w:proofErr w:type="gramEnd"/>
      <w:r>
        <w:rPr>
          <w:rFonts w:ascii="Arial" w:hAnsi="Arial" w:cs="Arial"/>
          <w:sz w:val="24"/>
          <w:szCs w:val="24"/>
        </w:rPr>
        <w:t>1890-e1899.</w:t>
      </w:r>
    </w:p>
    <w:p w14:paraId="71E0495C" w14:textId="77777777" w:rsidR="00DB4040" w:rsidRDefault="00762861">
      <w:pPr>
        <w:spacing w:after="0" w:line="480" w:lineRule="auto"/>
        <w:rPr>
          <w:rFonts w:ascii="Arial" w:hAnsi="Arial" w:cs="Arial"/>
          <w:sz w:val="24"/>
          <w:szCs w:val="24"/>
        </w:rPr>
      </w:pPr>
      <w:r>
        <w:rPr>
          <w:rFonts w:ascii="Arial" w:hAnsi="Arial" w:cs="Arial"/>
          <w:sz w:val="24"/>
          <w:szCs w:val="24"/>
        </w:rPr>
        <w:t>24.</w:t>
      </w:r>
      <w:r>
        <w:rPr>
          <w:rFonts w:ascii="Arial" w:hAnsi="Arial" w:cs="Arial"/>
          <w:sz w:val="24"/>
          <w:szCs w:val="24"/>
        </w:rPr>
        <w:tab/>
      </w:r>
      <w:proofErr w:type="spellStart"/>
      <w:r>
        <w:rPr>
          <w:rFonts w:ascii="Arial" w:hAnsi="Arial" w:cs="Arial"/>
          <w:sz w:val="24"/>
          <w:szCs w:val="24"/>
        </w:rPr>
        <w:t>Elbejjani</w:t>
      </w:r>
      <w:proofErr w:type="spellEnd"/>
      <w:r>
        <w:rPr>
          <w:rFonts w:ascii="Arial" w:hAnsi="Arial" w:cs="Arial"/>
          <w:sz w:val="24"/>
          <w:szCs w:val="24"/>
        </w:rPr>
        <w:t xml:space="preserve"> M, Auer R, Jacobs DR </w:t>
      </w:r>
      <w:proofErr w:type="spellStart"/>
      <w:r>
        <w:rPr>
          <w:rFonts w:ascii="Arial" w:hAnsi="Arial" w:cs="Arial"/>
          <w:sz w:val="24"/>
          <w:szCs w:val="24"/>
        </w:rPr>
        <w:t>Jr</w:t>
      </w:r>
      <w:proofErr w:type="spellEnd"/>
      <w:r>
        <w:rPr>
          <w:rFonts w:ascii="Arial" w:hAnsi="Arial" w:cs="Arial"/>
          <w:sz w:val="24"/>
          <w:szCs w:val="24"/>
        </w:rPr>
        <w:t xml:space="preserve">, et al. </w:t>
      </w:r>
      <w:r>
        <w:rPr>
          <w:rFonts w:ascii="Arial" w:hAnsi="Arial" w:cs="Arial"/>
          <w:sz w:val="24"/>
          <w:szCs w:val="24"/>
          <w:lang w:val="en-US"/>
        </w:rPr>
        <w:t xml:space="preserve">Cigarette smoking and gray matter brain volumes in middle age adults: the CARDIA Brain MRI sub-study. </w:t>
      </w:r>
      <w:proofErr w:type="spellStart"/>
      <w:r>
        <w:rPr>
          <w:rFonts w:ascii="Arial" w:hAnsi="Arial" w:cs="Arial"/>
          <w:sz w:val="24"/>
          <w:szCs w:val="24"/>
        </w:rPr>
        <w:t>Transl</w:t>
      </w:r>
      <w:proofErr w:type="spellEnd"/>
      <w:r>
        <w:rPr>
          <w:rFonts w:ascii="Arial" w:hAnsi="Arial" w:cs="Arial"/>
          <w:sz w:val="24"/>
          <w:szCs w:val="24"/>
        </w:rPr>
        <w:t xml:space="preserve"> </w:t>
      </w:r>
      <w:proofErr w:type="spellStart"/>
      <w:r>
        <w:rPr>
          <w:rFonts w:ascii="Arial" w:hAnsi="Arial" w:cs="Arial"/>
          <w:sz w:val="24"/>
          <w:szCs w:val="24"/>
        </w:rPr>
        <w:t>Psychiatry</w:t>
      </w:r>
      <w:proofErr w:type="spellEnd"/>
      <w:r>
        <w:rPr>
          <w:rFonts w:ascii="Arial" w:hAnsi="Arial" w:cs="Arial"/>
          <w:sz w:val="24"/>
          <w:szCs w:val="24"/>
        </w:rPr>
        <w:t xml:space="preserve"> </w:t>
      </w:r>
      <w:proofErr w:type="gramStart"/>
      <w:r>
        <w:rPr>
          <w:rFonts w:ascii="Arial" w:hAnsi="Arial" w:cs="Arial"/>
          <w:sz w:val="24"/>
          <w:szCs w:val="24"/>
        </w:rPr>
        <w:t>2019;9:78</w:t>
      </w:r>
      <w:proofErr w:type="gramEnd"/>
      <w:r>
        <w:rPr>
          <w:rFonts w:ascii="Arial" w:hAnsi="Arial" w:cs="Arial"/>
          <w:sz w:val="24"/>
          <w:szCs w:val="24"/>
        </w:rPr>
        <w:t>.</w:t>
      </w:r>
    </w:p>
    <w:p w14:paraId="446B5166" w14:textId="77777777" w:rsidR="00DB4040" w:rsidRDefault="00762861">
      <w:pPr>
        <w:spacing w:after="0" w:line="480" w:lineRule="auto"/>
        <w:rPr>
          <w:rFonts w:ascii="Arial" w:hAnsi="Arial" w:cs="Arial"/>
          <w:sz w:val="24"/>
          <w:szCs w:val="24"/>
          <w:lang w:val="en-US"/>
        </w:rPr>
      </w:pPr>
      <w:r>
        <w:rPr>
          <w:rFonts w:ascii="Arial" w:hAnsi="Arial" w:cs="Arial"/>
          <w:sz w:val="24"/>
          <w:szCs w:val="24"/>
        </w:rPr>
        <w:t>25.</w:t>
      </w:r>
      <w:r>
        <w:rPr>
          <w:rFonts w:ascii="Arial" w:hAnsi="Arial" w:cs="Arial"/>
          <w:sz w:val="24"/>
          <w:szCs w:val="24"/>
        </w:rPr>
        <w:tab/>
        <w:t xml:space="preserve">Paul CA, Au R, </w:t>
      </w:r>
      <w:proofErr w:type="spellStart"/>
      <w:r>
        <w:rPr>
          <w:rFonts w:ascii="Arial" w:hAnsi="Arial" w:cs="Arial"/>
          <w:sz w:val="24"/>
          <w:szCs w:val="24"/>
        </w:rPr>
        <w:t>Fredman</w:t>
      </w:r>
      <w:proofErr w:type="spellEnd"/>
      <w:r>
        <w:rPr>
          <w:rFonts w:ascii="Arial" w:hAnsi="Arial" w:cs="Arial"/>
          <w:sz w:val="24"/>
          <w:szCs w:val="24"/>
        </w:rPr>
        <w:t xml:space="preserve"> L, et al. </w:t>
      </w:r>
      <w:r>
        <w:rPr>
          <w:rFonts w:ascii="Arial" w:hAnsi="Arial" w:cs="Arial"/>
          <w:sz w:val="24"/>
          <w:szCs w:val="24"/>
          <w:lang w:val="en-US"/>
        </w:rPr>
        <w:t xml:space="preserve">Association of alcohol consumption with brain volume in the Framingham study. Arch </w:t>
      </w:r>
      <w:proofErr w:type="spellStart"/>
      <w:r>
        <w:rPr>
          <w:rFonts w:ascii="Arial" w:hAnsi="Arial" w:cs="Arial"/>
          <w:sz w:val="24"/>
          <w:szCs w:val="24"/>
          <w:lang w:val="en-US"/>
        </w:rPr>
        <w:t>Neurol</w:t>
      </w:r>
      <w:proofErr w:type="spellEnd"/>
      <w:r>
        <w:rPr>
          <w:rFonts w:ascii="Arial" w:hAnsi="Arial" w:cs="Arial"/>
          <w:sz w:val="24"/>
          <w:szCs w:val="24"/>
          <w:lang w:val="en-US"/>
        </w:rPr>
        <w:t xml:space="preserve"> 2008</w:t>
      </w:r>
      <w:proofErr w:type="gramStart"/>
      <w:r>
        <w:rPr>
          <w:rFonts w:ascii="Arial" w:hAnsi="Arial" w:cs="Arial"/>
          <w:sz w:val="24"/>
          <w:szCs w:val="24"/>
          <w:lang w:val="en-US"/>
        </w:rPr>
        <w:t>;65:1363</w:t>
      </w:r>
      <w:proofErr w:type="gramEnd"/>
      <w:r>
        <w:rPr>
          <w:rFonts w:ascii="Arial" w:hAnsi="Arial" w:cs="Arial"/>
          <w:sz w:val="24"/>
          <w:szCs w:val="24"/>
          <w:lang w:val="en-US"/>
        </w:rPr>
        <w:t>-1367.</w:t>
      </w:r>
    </w:p>
    <w:p w14:paraId="641E7D03"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26.</w:t>
      </w:r>
      <w:r>
        <w:rPr>
          <w:rFonts w:ascii="Arial" w:hAnsi="Arial" w:cs="Arial"/>
          <w:sz w:val="24"/>
          <w:szCs w:val="24"/>
          <w:lang w:val="en-US"/>
        </w:rPr>
        <w:tab/>
      </w:r>
      <w:proofErr w:type="spellStart"/>
      <w:r>
        <w:rPr>
          <w:rFonts w:ascii="Arial" w:hAnsi="Arial" w:cs="Arial"/>
          <w:sz w:val="24"/>
          <w:szCs w:val="24"/>
          <w:lang w:val="en-US"/>
        </w:rPr>
        <w:t>Freedberg</w:t>
      </w:r>
      <w:proofErr w:type="spellEnd"/>
      <w:r>
        <w:rPr>
          <w:rFonts w:ascii="Arial" w:hAnsi="Arial" w:cs="Arial"/>
          <w:sz w:val="24"/>
          <w:szCs w:val="24"/>
          <w:lang w:val="en-US"/>
        </w:rPr>
        <w:t xml:space="preserve"> DE, Kim LS, Yang YX. The Risks and Benefits of Long-term Use of Proton Pump Inhibitors: Expert Review and Best Practice Advice </w:t>
      </w:r>
      <w:proofErr w:type="gramStart"/>
      <w:r>
        <w:rPr>
          <w:rFonts w:ascii="Arial" w:hAnsi="Arial" w:cs="Arial"/>
          <w:sz w:val="24"/>
          <w:szCs w:val="24"/>
          <w:lang w:val="en-US"/>
        </w:rPr>
        <w:t>From</w:t>
      </w:r>
      <w:proofErr w:type="gramEnd"/>
      <w:r>
        <w:rPr>
          <w:rFonts w:ascii="Arial" w:hAnsi="Arial" w:cs="Arial"/>
          <w:sz w:val="24"/>
          <w:szCs w:val="24"/>
          <w:lang w:val="en-US"/>
        </w:rPr>
        <w:t xml:space="preserve"> the American Gastroenterological Association. Gastroenterology 2017; 152:706-715.</w:t>
      </w:r>
    </w:p>
    <w:p w14:paraId="00AEB675"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lastRenderedPageBreak/>
        <w:t>27.</w:t>
      </w:r>
      <w:r>
        <w:rPr>
          <w:rFonts w:ascii="Arial" w:hAnsi="Arial" w:cs="Arial"/>
          <w:sz w:val="24"/>
          <w:szCs w:val="24"/>
          <w:lang w:val="en-US"/>
        </w:rPr>
        <w:tab/>
      </w:r>
      <w:proofErr w:type="spellStart"/>
      <w:r>
        <w:rPr>
          <w:rFonts w:ascii="Arial" w:hAnsi="Arial" w:cs="Arial"/>
          <w:sz w:val="24"/>
          <w:szCs w:val="24"/>
          <w:lang w:val="en-US"/>
        </w:rPr>
        <w:t>Caunca</w:t>
      </w:r>
      <w:proofErr w:type="spellEnd"/>
      <w:r>
        <w:rPr>
          <w:rFonts w:ascii="Arial" w:hAnsi="Arial" w:cs="Arial"/>
          <w:sz w:val="24"/>
          <w:szCs w:val="24"/>
          <w:lang w:val="en-US"/>
        </w:rPr>
        <w:t xml:space="preserve"> MR, Gardener H, </w:t>
      </w:r>
      <w:proofErr w:type="spellStart"/>
      <w:r>
        <w:rPr>
          <w:rFonts w:ascii="Arial" w:hAnsi="Arial" w:cs="Arial"/>
          <w:sz w:val="24"/>
          <w:szCs w:val="24"/>
          <w:lang w:val="en-US"/>
        </w:rPr>
        <w:t>Simonetto</w:t>
      </w:r>
      <w:proofErr w:type="spellEnd"/>
      <w:r>
        <w:rPr>
          <w:rFonts w:ascii="Arial" w:hAnsi="Arial" w:cs="Arial"/>
          <w:sz w:val="24"/>
          <w:szCs w:val="24"/>
          <w:lang w:val="en-US"/>
        </w:rPr>
        <w:t xml:space="preserve"> M, et al. Measures of obesity are associated with MRI markers of brain aging: The Northern Manhattan Study. Neurology 2019</w:t>
      </w:r>
      <w:proofErr w:type="gramStart"/>
      <w:r>
        <w:rPr>
          <w:rFonts w:ascii="Arial" w:hAnsi="Arial" w:cs="Arial"/>
          <w:sz w:val="24"/>
          <w:szCs w:val="24"/>
          <w:lang w:val="en-US"/>
        </w:rPr>
        <w:t>;93:e791</w:t>
      </w:r>
      <w:proofErr w:type="gramEnd"/>
      <w:r>
        <w:rPr>
          <w:rFonts w:ascii="Arial" w:hAnsi="Arial" w:cs="Arial"/>
          <w:sz w:val="24"/>
          <w:szCs w:val="24"/>
          <w:lang w:val="en-US"/>
        </w:rPr>
        <w:t>-e803.</w:t>
      </w:r>
    </w:p>
    <w:p w14:paraId="499A5C3A"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28.</w:t>
      </w:r>
      <w:r>
        <w:rPr>
          <w:rFonts w:ascii="Arial" w:hAnsi="Arial" w:cs="Arial"/>
          <w:sz w:val="24"/>
          <w:szCs w:val="24"/>
          <w:lang w:val="en-US"/>
        </w:rPr>
        <w:tab/>
        <w:t>Gray SL, Anderson ML, Dublin S, et al. Cumulative use of strong anticholinergics and incident dementia: a prospective cohort study. JAMA Intern Med 2015</w:t>
      </w:r>
      <w:proofErr w:type="gramStart"/>
      <w:r>
        <w:rPr>
          <w:rFonts w:ascii="Arial" w:hAnsi="Arial" w:cs="Arial"/>
          <w:sz w:val="24"/>
          <w:szCs w:val="24"/>
          <w:lang w:val="en-US"/>
        </w:rPr>
        <w:t>;175:401</w:t>
      </w:r>
      <w:proofErr w:type="gramEnd"/>
      <w:r>
        <w:rPr>
          <w:rFonts w:ascii="Arial" w:hAnsi="Arial" w:cs="Arial"/>
          <w:sz w:val="24"/>
          <w:szCs w:val="24"/>
          <w:lang w:val="en-US"/>
        </w:rPr>
        <w:t>-407.</w:t>
      </w:r>
    </w:p>
    <w:p w14:paraId="41D0FFFA"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29.</w:t>
      </w:r>
      <w:r>
        <w:rPr>
          <w:rFonts w:ascii="Arial" w:hAnsi="Arial" w:cs="Arial"/>
          <w:sz w:val="24"/>
          <w:szCs w:val="24"/>
          <w:lang w:val="en-US"/>
        </w:rPr>
        <w:tab/>
        <w:t xml:space="preserve">Wang YC, Tai PA, Poly TN, et al. Increased Risk of Dementia in Patients with Antidepressants: A Meta-Analysis of Observational Studies. </w:t>
      </w:r>
      <w:proofErr w:type="spellStart"/>
      <w:r>
        <w:rPr>
          <w:rFonts w:ascii="Arial" w:hAnsi="Arial" w:cs="Arial"/>
          <w:sz w:val="24"/>
          <w:szCs w:val="24"/>
          <w:lang w:val="en-US"/>
        </w:rPr>
        <w:t>Behav</w:t>
      </w:r>
      <w:proofErr w:type="spellEnd"/>
      <w:r>
        <w:rPr>
          <w:rFonts w:ascii="Arial" w:hAnsi="Arial" w:cs="Arial"/>
          <w:sz w:val="24"/>
          <w:szCs w:val="24"/>
          <w:lang w:val="en-US"/>
        </w:rPr>
        <w:t xml:space="preserve"> </w:t>
      </w:r>
      <w:proofErr w:type="spellStart"/>
      <w:r>
        <w:rPr>
          <w:rFonts w:ascii="Arial" w:hAnsi="Arial" w:cs="Arial"/>
          <w:sz w:val="24"/>
          <w:szCs w:val="24"/>
          <w:lang w:val="en-US"/>
        </w:rPr>
        <w:t>Neurol</w:t>
      </w:r>
      <w:proofErr w:type="spellEnd"/>
      <w:r>
        <w:rPr>
          <w:rFonts w:ascii="Arial" w:hAnsi="Arial" w:cs="Arial"/>
          <w:sz w:val="24"/>
          <w:szCs w:val="24"/>
          <w:lang w:val="en-US"/>
        </w:rPr>
        <w:t xml:space="preserve"> 2018</w:t>
      </w:r>
      <w:proofErr w:type="gramStart"/>
      <w:r>
        <w:rPr>
          <w:rFonts w:ascii="Arial" w:hAnsi="Arial" w:cs="Arial"/>
          <w:sz w:val="24"/>
          <w:szCs w:val="24"/>
          <w:lang w:val="en-US"/>
        </w:rPr>
        <w:t>;2018:5315098</w:t>
      </w:r>
      <w:proofErr w:type="gramEnd"/>
      <w:r>
        <w:rPr>
          <w:rFonts w:ascii="Arial" w:hAnsi="Arial" w:cs="Arial"/>
          <w:sz w:val="24"/>
          <w:szCs w:val="24"/>
          <w:lang w:val="en-US"/>
        </w:rPr>
        <w:t>.</w:t>
      </w:r>
    </w:p>
    <w:p w14:paraId="09F8F623"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30.</w:t>
      </w:r>
      <w:r>
        <w:rPr>
          <w:rFonts w:ascii="Arial" w:hAnsi="Arial" w:cs="Arial"/>
          <w:sz w:val="24"/>
          <w:szCs w:val="24"/>
          <w:lang w:val="en-US"/>
        </w:rPr>
        <w:tab/>
        <w:t xml:space="preserve">Medlock S, </w:t>
      </w:r>
      <w:proofErr w:type="spellStart"/>
      <w:r>
        <w:rPr>
          <w:rFonts w:ascii="Arial" w:hAnsi="Arial" w:cs="Arial"/>
          <w:sz w:val="24"/>
          <w:szCs w:val="24"/>
          <w:lang w:val="en-US"/>
        </w:rPr>
        <w:t>Eslami</w:t>
      </w:r>
      <w:proofErr w:type="spellEnd"/>
      <w:r>
        <w:rPr>
          <w:rFonts w:ascii="Arial" w:hAnsi="Arial" w:cs="Arial"/>
          <w:sz w:val="24"/>
          <w:szCs w:val="24"/>
          <w:lang w:val="en-US"/>
        </w:rPr>
        <w:t xml:space="preserve"> S, </w:t>
      </w:r>
      <w:proofErr w:type="spellStart"/>
      <w:r>
        <w:rPr>
          <w:rFonts w:ascii="Arial" w:hAnsi="Arial" w:cs="Arial"/>
          <w:sz w:val="24"/>
          <w:szCs w:val="24"/>
          <w:lang w:val="en-US"/>
        </w:rPr>
        <w:t>Askari</w:t>
      </w:r>
      <w:proofErr w:type="spellEnd"/>
      <w:r>
        <w:rPr>
          <w:rFonts w:ascii="Arial" w:hAnsi="Arial" w:cs="Arial"/>
          <w:sz w:val="24"/>
          <w:szCs w:val="24"/>
          <w:lang w:val="en-US"/>
        </w:rPr>
        <w:t xml:space="preserve"> M, et al. Co-prescription of </w:t>
      </w:r>
      <w:proofErr w:type="spellStart"/>
      <w:r>
        <w:rPr>
          <w:rFonts w:ascii="Arial" w:hAnsi="Arial" w:cs="Arial"/>
          <w:sz w:val="24"/>
          <w:szCs w:val="24"/>
          <w:lang w:val="en-US"/>
        </w:rPr>
        <w:t>gastroprotective</w:t>
      </w:r>
      <w:proofErr w:type="spellEnd"/>
      <w:r>
        <w:rPr>
          <w:rFonts w:ascii="Arial" w:hAnsi="Arial" w:cs="Arial"/>
          <w:sz w:val="24"/>
          <w:szCs w:val="24"/>
          <w:lang w:val="en-US"/>
        </w:rPr>
        <w:t xml:space="preserve"> agents and their efficacy in elderly patients taking nonsteroidal anti-inflammatory drugs: a systematic review of observational studies. </w:t>
      </w:r>
      <w:proofErr w:type="spellStart"/>
      <w:r>
        <w:rPr>
          <w:rFonts w:ascii="Arial" w:hAnsi="Arial" w:cs="Arial"/>
          <w:sz w:val="24"/>
          <w:szCs w:val="24"/>
          <w:lang w:val="en-US"/>
        </w:rPr>
        <w:t>Clin</w:t>
      </w:r>
      <w:proofErr w:type="spellEnd"/>
      <w:r>
        <w:rPr>
          <w:rFonts w:ascii="Arial" w:hAnsi="Arial" w:cs="Arial"/>
          <w:sz w:val="24"/>
          <w:szCs w:val="24"/>
          <w:lang w:val="en-US"/>
        </w:rPr>
        <w:t xml:space="preserve"> </w:t>
      </w:r>
      <w:proofErr w:type="spellStart"/>
      <w:r>
        <w:rPr>
          <w:rFonts w:ascii="Arial" w:hAnsi="Arial" w:cs="Arial"/>
          <w:sz w:val="24"/>
          <w:szCs w:val="24"/>
          <w:lang w:val="en-US"/>
        </w:rPr>
        <w:t>Gastroenterol</w:t>
      </w:r>
      <w:proofErr w:type="spellEnd"/>
      <w:r>
        <w:rPr>
          <w:rFonts w:ascii="Arial" w:hAnsi="Arial" w:cs="Arial"/>
          <w:sz w:val="24"/>
          <w:szCs w:val="24"/>
          <w:lang w:val="en-US"/>
        </w:rPr>
        <w:t xml:space="preserve"> </w:t>
      </w:r>
      <w:proofErr w:type="spellStart"/>
      <w:r>
        <w:rPr>
          <w:rFonts w:ascii="Arial" w:hAnsi="Arial" w:cs="Arial"/>
          <w:sz w:val="24"/>
          <w:szCs w:val="24"/>
          <w:lang w:val="en-US"/>
        </w:rPr>
        <w:t>Hepatol</w:t>
      </w:r>
      <w:proofErr w:type="spellEnd"/>
      <w:r>
        <w:rPr>
          <w:rFonts w:ascii="Arial" w:hAnsi="Arial" w:cs="Arial"/>
          <w:sz w:val="24"/>
          <w:szCs w:val="24"/>
          <w:lang w:val="en-US"/>
        </w:rPr>
        <w:t xml:space="preserve"> 2013</w:t>
      </w:r>
      <w:proofErr w:type="gramStart"/>
      <w:r>
        <w:rPr>
          <w:rFonts w:ascii="Arial" w:hAnsi="Arial" w:cs="Arial"/>
          <w:sz w:val="24"/>
          <w:szCs w:val="24"/>
          <w:lang w:val="en-US"/>
        </w:rPr>
        <w:t>;11:1259</w:t>
      </w:r>
      <w:proofErr w:type="gramEnd"/>
      <w:r>
        <w:rPr>
          <w:rFonts w:ascii="Arial" w:hAnsi="Arial" w:cs="Arial"/>
          <w:sz w:val="24"/>
          <w:szCs w:val="24"/>
          <w:lang w:val="en-US"/>
        </w:rPr>
        <w:t>-1269.</w:t>
      </w:r>
    </w:p>
    <w:p w14:paraId="2F0747CD"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31.</w:t>
      </w:r>
      <w:r>
        <w:rPr>
          <w:rFonts w:ascii="Arial" w:hAnsi="Arial" w:cs="Arial"/>
          <w:sz w:val="24"/>
          <w:szCs w:val="24"/>
          <w:lang w:val="en-US"/>
        </w:rPr>
        <w:tab/>
        <w:t xml:space="preserve">Maher RL, Hanlon J, </w:t>
      </w:r>
      <w:proofErr w:type="spellStart"/>
      <w:r>
        <w:rPr>
          <w:rFonts w:ascii="Arial" w:hAnsi="Arial" w:cs="Arial"/>
          <w:sz w:val="24"/>
          <w:szCs w:val="24"/>
          <w:lang w:val="en-US"/>
        </w:rPr>
        <w:t>Hajjar</w:t>
      </w:r>
      <w:proofErr w:type="spellEnd"/>
      <w:r>
        <w:rPr>
          <w:rFonts w:ascii="Arial" w:hAnsi="Arial" w:cs="Arial"/>
          <w:sz w:val="24"/>
          <w:szCs w:val="24"/>
          <w:lang w:val="en-US"/>
        </w:rPr>
        <w:t xml:space="preserve"> ER. Clinical consequences of polypharmacy in elderly. Expert </w:t>
      </w:r>
      <w:proofErr w:type="spellStart"/>
      <w:r>
        <w:rPr>
          <w:rFonts w:ascii="Arial" w:hAnsi="Arial" w:cs="Arial"/>
          <w:sz w:val="24"/>
          <w:szCs w:val="24"/>
          <w:lang w:val="en-US"/>
        </w:rPr>
        <w:t>Opin</w:t>
      </w:r>
      <w:proofErr w:type="spellEnd"/>
      <w:r>
        <w:rPr>
          <w:rFonts w:ascii="Arial" w:hAnsi="Arial" w:cs="Arial"/>
          <w:sz w:val="24"/>
          <w:szCs w:val="24"/>
          <w:lang w:val="en-US"/>
        </w:rPr>
        <w:t xml:space="preserve"> Drug </w:t>
      </w:r>
      <w:proofErr w:type="spellStart"/>
      <w:r>
        <w:rPr>
          <w:rFonts w:ascii="Arial" w:hAnsi="Arial" w:cs="Arial"/>
          <w:sz w:val="24"/>
          <w:szCs w:val="24"/>
          <w:lang w:val="en-US"/>
        </w:rPr>
        <w:t>Saf</w:t>
      </w:r>
      <w:proofErr w:type="spellEnd"/>
      <w:r>
        <w:rPr>
          <w:rFonts w:ascii="Arial" w:hAnsi="Arial" w:cs="Arial"/>
          <w:sz w:val="24"/>
          <w:szCs w:val="24"/>
          <w:lang w:val="en-US"/>
        </w:rPr>
        <w:t xml:space="preserve"> 2014</w:t>
      </w:r>
      <w:proofErr w:type="gramStart"/>
      <w:r>
        <w:rPr>
          <w:rFonts w:ascii="Arial" w:hAnsi="Arial" w:cs="Arial"/>
          <w:sz w:val="24"/>
          <w:szCs w:val="24"/>
          <w:lang w:val="en-US"/>
        </w:rPr>
        <w:t>;13:57</w:t>
      </w:r>
      <w:proofErr w:type="gramEnd"/>
      <w:r>
        <w:rPr>
          <w:rFonts w:ascii="Arial" w:hAnsi="Arial" w:cs="Arial"/>
          <w:sz w:val="24"/>
          <w:szCs w:val="24"/>
          <w:lang w:val="en-US"/>
        </w:rPr>
        <w:t>-65.</w:t>
      </w:r>
    </w:p>
    <w:p w14:paraId="455A47F5"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32. Seaman SR, White IR. Review of inverse probability weighting for dealing with missing data. Stat Methods Med Res 2013</w:t>
      </w:r>
      <w:proofErr w:type="gramStart"/>
      <w:r>
        <w:rPr>
          <w:rFonts w:ascii="Arial" w:hAnsi="Arial" w:cs="Arial"/>
          <w:sz w:val="24"/>
          <w:szCs w:val="24"/>
          <w:lang w:val="en-US"/>
        </w:rPr>
        <w:t>;22:278</w:t>
      </w:r>
      <w:proofErr w:type="gramEnd"/>
      <w:r>
        <w:rPr>
          <w:rFonts w:ascii="Arial" w:hAnsi="Arial" w:cs="Arial"/>
          <w:sz w:val="24"/>
          <w:szCs w:val="24"/>
          <w:lang w:val="en-US"/>
        </w:rPr>
        <w:t>-295.</w:t>
      </w:r>
    </w:p>
    <w:p w14:paraId="33875C98" w14:textId="77777777" w:rsidR="00DB4040" w:rsidRDefault="00762861">
      <w:pPr>
        <w:spacing w:after="0" w:line="480" w:lineRule="auto"/>
        <w:rPr>
          <w:rFonts w:ascii="Arial" w:hAnsi="Arial" w:cs="Arial"/>
          <w:sz w:val="24"/>
          <w:szCs w:val="24"/>
        </w:rPr>
      </w:pPr>
      <w:r>
        <w:rPr>
          <w:rFonts w:ascii="Arial" w:hAnsi="Arial" w:cs="Arial"/>
          <w:sz w:val="24"/>
          <w:szCs w:val="24"/>
          <w:lang w:val="en-US"/>
        </w:rPr>
        <w:t xml:space="preserve">332. Cole SR, </w:t>
      </w:r>
      <w:proofErr w:type="spellStart"/>
      <w:r>
        <w:rPr>
          <w:rFonts w:ascii="Arial" w:hAnsi="Arial" w:cs="Arial"/>
          <w:sz w:val="24"/>
          <w:szCs w:val="24"/>
          <w:lang w:val="en-US"/>
        </w:rPr>
        <w:t>Hernán</w:t>
      </w:r>
      <w:proofErr w:type="spellEnd"/>
      <w:r>
        <w:rPr>
          <w:rFonts w:ascii="Arial" w:hAnsi="Arial" w:cs="Arial"/>
          <w:sz w:val="24"/>
          <w:szCs w:val="24"/>
          <w:lang w:val="en-US"/>
        </w:rPr>
        <w:t xml:space="preserve"> MA. Constructing inverse probability weights for marginal structural models. </w:t>
      </w:r>
      <w:r>
        <w:rPr>
          <w:rFonts w:ascii="Arial" w:hAnsi="Arial" w:cs="Arial"/>
          <w:sz w:val="24"/>
          <w:szCs w:val="24"/>
        </w:rPr>
        <w:t xml:space="preserve">Am J </w:t>
      </w:r>
      <w:proofErr w:type="spellStart"/>
      <w:r>
        <w:rPr>
          <w:rFonts w:ascii="Arial" w:hAnsi="Arial" w:cs="Arial"/>
          <w:sz w:val="24"/>
          <w:szCs w:val="24"/>
        </w:rPr>
        <w:t>Epidemiol</w:t>
      </w:r>
      <w:proofErr w:type="spellEnd"/>
      <w:r>
        <w:rPr>
          <w:rFonts w:ascii="Arial" w:hAnsi="Arial" w:cs="Arial"/>
          <w:sz w:val="24"/>
          <w:szCs w:val="24"/>
        </w:rPr>
        <w:t xml:space="preserve"> </w:t>
      </w:r>
      <w:proofErr w:type="gramStart"/>
      <w:r>
        <w:rPr>
          <w:rFonts w:ascii="Arial" w:hAnsi="Arial" w:cs="Arial"/>
          <w:sz w:val="24"/>
          <w:szCs w:val="24"/>
        </w:rPr>
        <w:t>2008;168:656</w:t>
      </w:r>
      <w:proofErr w:type="gramEnd"/>
      <w:r>
        <w:rPr>
          <w:rFonts w:ascii="Arial" w:hAnsi="Arial" w:cs="Arial"/>
          <w:sz w:val="24"/>
          <w:szCs w:val="24"/>
        </w:rPr>
        <w:t>-664.</w:t>
      </w:r>
    </w:p>
    <w:p w14:paraId="6AF7FDD8" w14:textId="77777777" w:rsidR="00DB4040" w:rsidRDefault="00762861">
      <w:pPr>
        <w:spacing w:after="0" w:line="480" w:lineRule="auto"/>
        <w:rPr>
          <w:rFonts w:ascii="Arial" w:hAnsi="Arial" w:cs="Arial"/>
          <w:sz w:val="24"/>
          <w:szCs w:val="24"/>
        </w:rPr>
      </w:pPr>
      <w:r>
        <w:rPr>
          <w:rFonts w:ascii="Arial" w:hAnsi="Arial" w:cs="Arial"/>
          <w:sz w:val="24"/>
          <w:szCs w:val="24"/>
        </w:rPr>
        <w:t>34.</w:t>
      </w:r>
      <w:r>
        <w:rPr>
          <w:rFonts w:ascii="Arial" w:hAnsi="Arial" w:cs="Arial"/>
          <w:sz w:val="24"/>
          <w:szCs w:val="24"/>
        </w:rPr>
        <w:tab/>
        <w:t xml:space="preserve">Schwabe U, </w:t>
      </w:r>
      <w:proofErr w:type="spellStart"/>
      <w:r>
        <w:rPr>
          <w:rFonts w:ascii="Arial" w:hAnsi="Arial" w:cs="Arial"/>
          <w:sz w:val="24"/>
          <w:szCs w:val="24"/>
        </w:rPr>
        <w:t>Paffrath</w:t>
      </w:r>
      <w:proofErr w:type="spellEnd"/>
      <w:r>
        <w:rPr>
          <w:rFonts w:ascii="Arial" w:hAnsi="Arial" w:cs="Arial"/>
          <w:sz w:val="24"/>
          <w:szCs w:val="24"/>
        </w:rPr>
        <w:t xml:space="preserve"> D, Ludwig WD, Klauber J. Arzneiverordnungs-Report 2018. Berlin: Springer-Verlag GmbH Deutschland; 2018.</w:t>
      </w:r>
    </w:p>
    <w:p w14:paraId="46D24460" w14:textId="77777777" w:rsidR="00DB4040" w:rsidRDefault="00762861">
      <w:pPr>
        <w:spacing w:after="0" w:line="480" w:lineRule="auto"/>
        <w:rPr>
          <w:rFonts w:ascii="Arial" w:hAnsi="Arial" w:cs="Arial"/>
          <w:sz w:val="24"/>
          <w:szCs w:val="24"/>
          <w:lang w:val="en-US"/>
        </w:rPr>
      </w:pPr>
      <w:r>
        <w:rPr>
          <w:rFonts w:ascii="Arial" w:hAnsi="Arial" w:cs="Arial"/>
          <w:sz w:val="24"/>
          <w:szCs w:val="24"/>
        </w:rPr>
        <w:t>35.</w:t>
      </w:r>
      <w:r>
        <w:rPr>
          <w:rFonts w:ascii="Arial" w:hAnsi="Arial" w:cs="Arial"/>
          <w:sz w:val="24"/>
          <w:szCs w:val="24"/>
        </w:rPr>
        <w:tab/>
      </w:r>
      <w:proofErr w:type="spellStart"/>
      <w:r>
        <w:rPr>
          <w:rFonts w:ascii="Arial" w:hAnsi="Arial" w:cs="Arial"/>
          <w:sz w:val="24"/>
          <w:szCs w:val="24"/>
        </w:rPr>
        <w:t>Freedberg</w:t>
      </w:r>
      <w:proofErr w:type="spellEnd"/>
      <w:r>
        <w:rPr>
          <w:rFonts w:ascii="Arial" w:hAnsi="Arial" w:cs="Arial"/>
          <w:sz w:val="24"/>
          <w:szCs w:val="24"/>
        </w:rPr>
        <w:t xml:space="preserve"> DE, Kim LS, Yang YX. </w:t>
      </w:r>
      <w:r>
        <w:rPr>
          <w:rFonts w:ascii="Arial" w:hAnsi="Arial" w:cs="Arial"/>
          <w:sz w:val="24"/>
          <w:szCs w:val="24"/>
          <w:lang w:val="en-US"/>
        </w:rPr>
        <w:t xml:space="preserve">The Risks and Benefits of Long-term Use of Proton Pump Inhibitors: Expert Review and Best Practice Advice </w:t>
      </w:r>
      <w:proofErr w:type="gramStart"/>
      <w:r>
        <w:rPr>
          <w:rFonts w:ascii="Arial" w:hAnsi="Arial" w:cs="Arial"/>
          <w:sz w:val="24"/>
          <w:szCs w:val="24"/>
          <w:lang w:val="en-US"/>
        </w:rPr>
        <w:t>From</w:t>
      </w:r>
      <w:proofErr w:type="gramEnd"/>
      <w:r>
        <w:rPr>
          <w:rFonts w:ascii="Arial" w:hAnsi="Arial" w:cs="Arial"/>
          <w:sz w:val="24"/>
          <w:szCs w:val="24"/>
          <w:lang w:val="en-US"/>
        </w:rPr>
        <w:t xml:space="preserve"> the American Gastroenterological Association. Gastroenterology 2017; 152:706-715.</w:t>
      </w:r>
    </w:p>
    <w:p w14:paraId="0B95E8ED"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lastRenderedPageBreak/>
        <w:t>36.</w:t>
      </w:r>
      <w:r>
        <w:rPr>
          <w:rFonts w:ascii="Arial" w:hAnsi="Arial" w:cs="Arial"/>
          <w:sz w:val="24"/>
          <w:szCs w:val="24"/>
          <w:lang w:val="en-US"/>
        </w:rPr>
        <w:tab/>
      </w:r>
      <w:proofErr w:type="spellStart"/>
      <w:r>
        <w:rPr>
          <w:rFonts w:ascii="Arial" w:hAnsi="Arial" w:cs="Arial"/>
          <w:sz w:val="24"/>
          <w:szCs w:val="24"/>
          <w:lang w:val="en-US"/>
        </w:rPr>
        <w:t>Malfertheiner</w:t>
      </w:r>
      <w:proofErr w:type="spellEnd"/>
      <w:r>
        <w:rPr>
          <w:rFonts w:ascii="Arial" w:hAnsi="Arial" w:cs="Arial"/>
          <w:sz w:val="24"/>
          <w:szCs w:val="24"/>
          <w:lang w:val="en-US"/>
        </w:rPr>
        <w:t xml:space="preserve"> P, </w:t>
      </w:r>
      <w:proofErr w:type="spellStart"/>
      <w:r>
        <w:rPr>
          <w:rFonts w:ascii="Arial" w:hAnsi="Arial" w:cs="Arial"/>
          <w:sz w:val="24"/>
          <w:szCs w:val="24"/>
          <w:lang w:val="en-US"/>
        </w:rPr>
        <w:t>Kandulski</w:t>
      </w:r>
      <w:proofErr w:type="spellEnd"/>
      <w:r>
        <w:rPr>
          <w:rFonts w:ascii="Arial" w:hAnsi="Arial" w:cs="Arial"/>
          <w:sz w:val="24"/>
          <w:szCs w:val="24"/>
          <w:lang w:val="en-US"/>
        </w:rPr>
        <w:t xml:space="preserve"> A, </w:t>
      </w:r>
      <w:proofErr w:type="spellStart"/>
      <w:r>
        <w:rPr>
          <w:rFonts w:ascii="Arial" w:hAnsi="Arial" w:cs="Arial"/>
          <w:sz w:val="24"/>
          <w:szCs w:val="24"/>
          <w:lang w:val="en-US"/>
        </w:rPr>
        <w:t>Venerito</w:t>
      </w:r>
      <w:proofErr w:type="spellEnd"/>
      <w:r>
        <w:rPr>
          <w:rFonts w:ascii="Arial" w:hAnsi="Arial" w:cs="Arial"/>
          <w:sz w:val="24"/>
          <w:szCs w:val="24"/>
          <w:lang w:val="en-US"/>
        </w:rPr>
        <w:t xml:space="preserve"> M. Proton-pump inhibitors: understanding the complications and risks. Nat Rev </w:t>
      </w:r>
      <w:proofErr w:type="spellStart"/>
      <w:r>
        <w:rPr>
          <w:rFonts w:ascii="Arial" w:hAnsi="Arial" w:cs="Arial"/>
          <w:sz w:val="24"/>
          <w:szCs w:val="24"/>
          <w:lang w:val="en-US"/>
        </w:rPr>
        <w:t>Gastroenterol</w:t>
      </w:r>
      <w:proofErr w:type="spellEnd"/>
      <w:r>
        <w:rPr>
          <w:rFonts w:ascii="Arial" w:hAnsi="Arial" w:cs="Arial"/>
          <w:sz w:val="24"/>
          <w:szCs w:val="24"/>
          <w:lang w:val="en-US"/>
        </w:rPr>
        <w:t xml:space="preserve"> </w:t>
      </w:r>
      <w:proofErr w:type="spellStart"/>
      <w:r>
        <w:rPr>
          <w:rFonts w:ascii="Arial" w:hAnsi="Arial" w:cs="Arial"/>
          <w:sz w:val="24"/>
          <w:szCs w:val="24"/>
          <w:lang w:val="en-US"/>
        </w:rPr>
        <w:t>Hepatol</w:t>
      </w:r>
      <w:proofErr w:type="spellEnd"/>
      <w:r>
        <w:rPr>
          <w:rFonts w:ascii="Arial" w:hAnsi="Arial" w:cs="Arial"/>
          <w:sz w:val="24"/>
          <w:szCs w:val="24"/>
          <w:lang w:val="en-US"/>
        </w:rPr>
        <w:t xml:space="preserve"> 2017</w:t>
      </w:r>
      <w:proofErr w:type="gramStart"/>
      <w:r>
        <w:rPr>
          <w:rFonts w:ascii="Arial" w:hAnsi="Arial" w:cs="Arial"/>
          <w:sz w:val="24"/>
          <w:szCs w:val="24"/>
          <w:lang w:val="en-US"/>
        </w:rPr>
        <w:t>;14:697</w:t>
      </w:r>
      <w:proofErr w:type="gramEnd"/>
      <w:r>
        <w:rPr>
          <w:rFonts w:ascii="Arial" w:hAnsi="Arial" w:cs="Arial"/>
          <w:sz w:val="24"/>
          <w:szCs w:val="24"/>
          <w:lang w:val="en-US"/>
        </w:rPr>
        <w:t>-710.</w:t>
      </w:r>
    </w:p>
    <w:p w14:paraId="11157B9B"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37.</w:t>
      </w:r>
      <w:r>
        <w:rPr>
          <w:rFonts w:ascii="Arial" w:hAnsi="Arial" w:cs="Arial"/>
          <w:sz w:val="24"/>
          <w:szCs w:val="24"/>
          <w:lang w:val="en-US"/>
        </w:rPr>
        <w:tab/>
      </w:r>
      <w:proofErr w:type="spellStart"/>
      <w:r>
        <w:rPr>
          <w:rFonts w:ascii="Arial" w:hAnsi="Arial" w:cs="Arial"/>
          <w:sz w:val="24"/>
          <w:szCs w:val="24"/>
          <w:lang w:val="en-US"/>
        </w:rPr>
        <w:t>Brisebois</w:t>
      </w:r>
      <w:proofErr w:type="spellEnd"/>
      <w:r>
        <w:rPr>
          <w:rFonts w:ascii="Arial" w:hAnsi="Arial" w:cs="Arial"/>
          <w:sz w:val="24"/>
          <w:szCs w:val="24"/>
          <w:lang w:val="en-US"/>
        </w:rPr>
        <w:t xml:space="preserve"> S, </w:t>
      </w:r>
      <w:proofErr w:type="spellStart"/>
      <w:r>
        <w:rPr>
          <w:rFonts w:ascii="Arial" w:hAnsi="Arial" w:cs="Arial"/>
          <w:sz w:val="24"/>
          <w:szCs w:val="24"/>
          <w:lang w:val="en-US"/>
        </w:rPr>
        <w:t>Merati</w:t>
      </w:r>
      <w:proofErr w:type="spellEnd"/>
      <w:r>
        <w:rPr>
          <w:rFonts w:ascii="Arial" w:hAnsi="Arial" w:cs="Arial"/>
          <w:sz w:val="24"/>
          <w:szCs w:val="24"/>
          <w:lang w:val="en-US"/>
        </w:rPr>
        <w:t xml:space="preserve"> A, </w:t>
      </w:r>
      <w:proofErr w:type="spellStart"/>
      <w:r>
        <w:rPr>
          <w:rFonts w:ascii="Arial" w:hAnsi="Arial" w:cs="Arial"/>
          <w:sz w:val="24"/>
          <w:szCs w:val="24"/>
          <w:lang w:val="en-US"/>
        </w:rPr>
        <w:t>Giliberto</w:t>
      </w:r>
      <w:proofErr w:type="spellEnd"/>
      <w:r>
        <w:rPr>
          <w:rFonts w:ascii="Arial" w:hAnsi="Arial" w:cs="Arial"/>
          <w:sz w:val="24"/>
          <w:szCs w:val="24"/>
          <w:lang w:val="en-US"/>
        </w:rPr>
        <w:t xml:space="preserve"> JP. Proton pump inhibitors: Review of reported risks and controversies. Laryngoscope </w:t>
      </w:r>
      <w:proofErr w:type="spellStart"/>
      <w:r>
        <w:rPr>
          <w:rFonts w:ascii="Arial" w:hAnsi="Arial" w:cs="Arial"/>
          <w:sz w:val="24"/>
          <w:szCs w:val="24"/>
          <w:lang w:val="en-US"/>
        </w:rPr>
        <w:t>Investig</w:t>
      </w:r>
      <w:proofErr w:type="spellEnd"/>
      <w:r>
        <w:rPr>
          <w:rFonts w:ascii="Arial" w:hAnsi="Arial" w:cs="Arial"/>
          <w:sz w:val="24"/>
          <w:szCs w:val="24"/>
          <w:lang w:val="en-US"/>
        </w:rPr>
        <w:t xml:space="preserve"> </w:t>
      </w:r>
      <w:proofErr w:type="spellStart"/>
      <w:r>
        <w:rPr>
          <w:rFonts w:ascii="Arial" w:hAnsi="Arial" w:cs="Arial"/>
          <w:sz w:val="24"/>
          <w:szCs w:val="24"/>
          <w:lang w:val="en-US"/>
        </w:rPr>
        <w:t>Otolaryngol</w:t>
      </w:r>
      <w:proofErr w:type="spellEnd"/>
      <w:r>
        <w:rPr>
          <w:rFonts w:ascii="Arial" w:hAnsi="Arial" w:cs="Arial"/>
          <w:sz w:val="24"/>
          <w:szCs w:val="24"/>
          <w:lang w:val="en-US"/>
        </w:rPr>
        <w:t xml:space="preserve"> 2018</w:t>
      </w:r>
      <w:proofErr w:type="gramStart"/>
      <w:r>
        <w:rPr>
          <w:rFonts w:ascii="Arial" w:hAnsi="Arial" w:cs="Arial"/>
          <w:sz w:val="24"/>
          <w:szCs w:val="24"/>
          <w:lang w:val="en-US"/>
        </w:rPr>
        <w:t>;3:457</w:t>
      </w:r>
      <w:proofErr w:type="gramEnd"/>
      <w:r>
        <w:rPr>
          <w:rFonts w:ascii="Arial" w:hAnsi="Arial" w:cs="Arial"/>
          <w:sz w:val="24"/>
          <w:szCs w:val="24"/>
          <w:lang w:val="en-US"/>
        </w:rPr>
        <w:t>-462.</w:t>
      </w:r>
    </w:p>
    <w:p w14:paraId="0033A2EF"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38.</w:t>
      </w:r>
      <w:r>
        <w:rPr>
          <w:rFonts w:ascii="Arial" w:hAnsi="Arial" w:cs="Arial"/>
          <w:sz w:val="24"/>
          <w:szCs w:val="24"/>
          <w:lang w:val="en-US"/>
        </w:rPr>
        <w:tab/>
        <w:t xml:space="preserve">Nehra AK, Alexander JA, Loftus CG, Nehra V. Proton Pump Inhibitors: Review of Emerging Concerns. Mayo </w:t>
      </w:r>
      <w:proofErr w:type="spellStart"/>
      <w:r>
        <w:rPr>
          <w:rFonts w:ascii="Arial" w:hAnsi="Arial" w:cs="Arial"/>
          <w:sz w:val="24"/>
          <w:szCs w:val="24"/>
          <w:lang w:val="en-US"/>
        </w:rPr>
        <w:t>Clin</w:t>
      </w:r>
      <w:proofErr w:type="spellEnd"/>
      <w:r>
        <w:rPr>
          <w:rFonts w:ascii="Arial" w:hAnsi="Arial" w:cs="Arial"/>
          <w:sz w:val="24"/>
          <w:szCs w:val="24"/>
          <w:lang w:val="en-US"/>
        </w:rPr>
        <w:t xml:space="preserve"> </w:t>
      </w:r>
      <w:proofErr w:type="spellStart"/>
      <w:r>
        <w:rPr>
          <w:rFonts w:ascii="Arial" w:hAnsi="Arial" w:cs="Arial"/>
          <w:sz w:val="24"/>
          <w:szCs w:val="24"/>
          <w:lang w:val="en-US"/>
        </w:rPr>
        <w:t>Proc</w:t>
      </w:r>
      <w:proofErr w:type="spellEnd"/>
      <w:r>
        <w:rPr>
          <w:rFonts w:ascii="Arial" w:hAnsi="Arial" w:cs="Arial"/>
          <w:sz w:val="24"/>
          <w:szCs w:val="24"/>
          <w:lang w:val="en-US"/>
        </w:rPr>
        <w:t xml:space="preserve"> 2018</w:t>
      </w:r>
      <w:proofErr w:type="gramStart"/>
      <w:r>
        <w:rPr>
          <w:rFonts w:ascii="Arial" w:hAnsi="Arial" w:cs="Arial"/>
          <w:sz w:val="24"/>
          <w:szCs w:val="24"/>
          <w:lang w:val="en-US"/>
        </w:rPr>
        <w:t>;93:240</w:t>
      </w:r>
      <w:proofErr w:type="gramEnd"/>
      <w:r>
        <w:rPr>
          <w:rFonts w:ascii="Arial" w:hAnsi="Arial" w:cs="Arial"/>
          <w:sz w:val="24"/>
          <w:szCs w:val="24"/>
          <w:lang w:val="en-US"/>
        </w:rPr>
        <w:t>-246.</w:t>
      </w:r>
    </w:p>
    <w:p w14:paraId="57FE5216"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39.</w:t>
      </w:r>
      <w:r>
        <w:rPr>
          <w:rFonts w:ascii="Arial" w:hAnsi="Arial" w:cs="Arial"/>
          <w:sz w:val="24"/>
          <w:szCs w:val="24"/>
          <w:lang w:val="en-US"/>
        </w:rPr>
        <w:tab/>
        <w:t>Li M, Luo Z, Yu S, Tang Z. Proton pump inhibitor use and risk of dementia: Systematic review and meta-analysis. Medicine (Baltimore) 2019</w:t>
      </w:r>
      <w:proofErr w:type="gramStart"/>
      <w:r>
        <w:rPr>
          <w:rFonts w:ascii="Arial" w:hAnsi="Arial" w:cs="Arial"/>
          <w:sz w:val="24"/>
          <w:szCs w:val="24"/>
          <w:lang w:val="en-US"/>
        </w:rPr>
        <w:t>;98:e14422</w:t>
      </w:r>
      <w:proofErr w:type="gramEnd"/>
      <w:r>
        <w:rPr>
          <w:rFonts w:ascii="Arial" w:hAnsi="Arial" w:cs="Arial"/>
          <w:sz w:val="24"/>
          <w:szCs w:val="24"/>
          <w:lang w:val="en-US"/>
        </w:rPr>
        <w:t>.</w:t>
      </w:r>
    </w:p>
    <w:p w14:paraId="529FF6BA"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40.</w:t>
      </w:r>
      <w:r>
        <w:rPr>
          <w:rFonts w:ascii="Arial" w:hAnsi="Arial" w:cs="Arial"/>
          <w:sz w:val="24"/>
          <w:szCs w:val="24"/>
          <w:lang w:val="en-US"/>
        </w:rPr>
        <w:tab/>
        <w:t xml:space="preserve">Song YQ, Li Y, Zhang SL, </w:t>
      </w:r>
      <w:proofErr w:type="gramStart"/>
      <w:r>
        <w:rPr>
          <w:rFonts w:ascii="Arial" w:hAnsi="Arial" w:cs="Arial"/>
          <w:sz w:val="24"/>
          <w:szCs w:val="24"/>
          <w:lang w:val="en-US"/>
        </w:rPr>
        <w:t>Gao</w:t>
      </w:r>
      <w:proofErr w:type="gramEnd"/>
      <w:r>
        <w:rPr>
          <w:rFonts w:ascii="Arial" w:hAnsi="Arial" w:cs="Arial"/>
          <w:sz w:val="24"/>
          <w:szCs w:val="24"/>
          <w:lang w:val="en-US"/>
        </w:rPr>
        <w:t xml:space="preserve"> J, Feng SY. </w:t>
      </w:r>
      <w:proofErr w:type="gramStart"/>
      <w:r>
        <w:rPr>
          <w:rFonts w:ascii="Arial" w:hAnsi="Arial" w:cs="Arial"/>
          <w:sz w:val="24"/>
          <w:szCs w:val="24"/>
          <w:lang w:val="en-US"/>
        </w:rPr>
        <w:t>Proton pump inhibitor use</w:t>
      </w:r>
      <w:proofErr w:type="gramEnd"/>
      <w:r>
        <w:rPr>
          <w:rFonts w:ascii="Arial" w:hAnsi="Arial" w:cs="Arial"/>
          <w:sz w:val="24"/>
          <w:szCs w:val="24"/>
          <w:lang w:val="en-US"/>
        </w:rPr>
        <w:t xml:space="preserve"> does not increase dementia and Alzheimer's disease risk: An updated meta-analysis of published studies involving 642305 patients. </w:t>
      </w:r>
      <w:proofErr w:type="spellStart"/>
      <w:r>
        <w:rPr>
          <w:rFonts w:ascii="Arial" w:hAnsi="Arial" w:cs="Arial"/>
          <w:sz w:val="24"/>
          <w:szCs w:val="24"/>
          <w:lang w:val="en-US"/>
        </w:rPr>
        <w:t>PLoS</w:t>
      </w:r>
      <w:proofErr w:type="spellEnd"/>
      <w:r>
        <w:rPr>
          <w:rFonts w:ascii="Arial" w:hAnsi="Arial" w:cs="Arial"/>
          <w:sz w:val="24"/>
          <w:szCs w:val="24"/>
          <w:lang w:val="en-US"/>
        </w:rPr>
        <w:t xml:space="preserve"> One 2019</w:t>
      </w:r>
      <w:proofErr w:type="gramStart"/>
      <w:r>
        <w:rPr>
          <w:rFonts w:ascii="Arial" w:hAnsi="Arial" w:cs="Arial"/>
          <w:sz w:val="24"/>
          <w:szCs w:val="24"/>
          <w:lang w:val="en-US"/>
        </w:rPr>
        <w:t>;14:e0219213</w:t>
      </w:r>
      <w:proofErr w:type="gramEnd"/>
      <w:r>
        <w:rPr>
          <w:rFonts w:ascii="Arial" w:hAnsi="Arial" w:cs="Arial"/>
          <w:sz w:val="24"/>
          <w:szCs w:val="24"/>
          <w:lang w:val="en-US"/>
        </w:rPr>
        <w:t>.</w:t>
      </w:r>
    </w:p>
    <w:p w14:paraId="5DC9128A" w14:textId="77777777" w:rsidR="00DB4040" w:rsidRDefault="00762861">
      <w:pPr>
        <w:spacing w:after="0" w:line="480" w:lineRule="auto"/>
        <w:rPr>
          <w:rFonts w:ascii="Arial" w:hAnsi="Arial" w:cs="Arial"/>
          <w:sz w:val="24"/>
          <w:szCs w:val="24"/>
          <w:lang w:val="en-US"/>
        </w:rPr>
      </w:pPr>
      <w:r w:rsidRPr="006F7A62">
        <w:rPr>
          <w:rFonts w:ascii="Arial" w:hAnsi="Arial" w:cs="Arial"/>
          <w:sz w:val="24"/>
          <w:szCs w:val="24"/>
          <w:lang w:val="en-US"/>
        </w:rPr>
        <w:t>41.</w:t>
      </w:r>
      <w:r w:rsidRPr="006F7A62">
        <w:rPr>
          <w:rFonts w:ascii="Arial" w:hAnsi="Arial" w:cs="Arial"/>
          <w:sz w:val="24"/>
          <w:szCs w:val="24"/>
          <w:lang w:val="en-US"/>
        </w:rPr>
        <w:tab/>
        <w:t xml:space="preserve">Beyer MK, </w:t>
      </w:r>
      <w:proofErr w:type="spellStart"/>
      <w:r w:rsidRPr="006F7A62">
        <w:rPr>
          <w:rFonts w:ascii="Arial" w:hAnsi="Arial" w:cs="Arial"/>
          <w:sz w:val="24"/>
          <w:szCs w:val="24"/>
          <w:lang w:val="en-US"/>
        </w:rPr>
        <w:t>Bronnick</w:t>
      </w:r>
      <w:proofErr w:type="spellEnd"/>
      <w:r w:rsidRPr="006F7A62">
        <w:rPr>
          <w:rFonts w:ascii="Arial" w:hAnsi="Arial" w:cs="Arial"/>
          <w:sz w:val="24"/>
          <w:szCs w:val="24"/>
          <w:lang w:val="en-US"/>
        </w:rPr>
        <w:t xml:space="preserve"> KS, Hwang KS, et al. </w:t>
      </w:r>
      <w:r>
        <w:rPr>
          <w:rFonts w:ascii="Arial" w:hAnsi="Arial" w:cs="Arial"/>
          <w:sz w:val="24"/>
          <w:szCs w:val="24"/>
          <w:lang w:val="en-US"/>
        </w:rPr>
        <w:t xml:space="preserve">Verbal memory is associated with structural hippocampal changes in newly diagnosed Parkinson's disease. J </w:t>
      </w:r>
      <w:proofErr w:type="spellStart"/>
      <w:r>
        <w:rPr>
          <w:rFonts w:ascii="Arial" w:hAnsi="Arial" w:cs="Arial"/>
          <w:sz w:val="24"/>
          <w:szCs w:val="24"/>
          <w:lang w:val="en-US"/>
        </w:rPr>
        <w:t>Neurol</w:t>
      </w:r>
      <w:proofErr w:type="spellEnd"/>
      <w:r>
        <w:rPr>
          <w:rFonts w:ascii="Arial" w:hAnsi="Arial" w:cs="Arial"/>
          <w:sz w:val="24"/>
          <w:szCs w:val="24"/>
          <w:lang w:val="en-US"/>
        </w:rPr>
        <w:t xml:space="preserve"> </w:t>
      </w:r>
      <w:proofErr w:type="spellStart"/>
      <w:r>
        <w:rPr>
          <w:rFonts w:ascii="Arial" w:hAnsi="Arial" w:cs="Arial"/>
          <w:sz w:val="24"/>
          <w:szCs w:val="24"/>
          <w:lang w:val="en-US"/>
        </w:rPr>
        <w:t>Neurosurg</w:t>
      </w:r>
      <w:proofErr w:type="spellEnd"/>
      <w:r>
        <w:rPr>
          <w:rFonts w:ascii="Arial" w:hAnsi="Arial" w:cs="Arial"/>
          <w:sz w:val="24"/>
          <w:szCs w:val="24"/>
          <w:lang w:val="en-US"/>
        </w:rPr>
        <w:t xml:space="preserve"> Psychiatry 2013</w:t>
      </w:r>
      <w:proofErr w:type="gramStart"/>
      <w:r>
        <w:rPr>
          <w:rFonts w:ascii="Arial" w:hAnsi="Arial" w:cs="Arial"/>
          <w:sz w:val="24"/>
          <w:szCs w:val="24"/>
          <w:lang w:val="en-US"/>
        </w:rPr>
        <w:t>;84:23</w:t>
      </w:r>
      <w:proofErr w:type="gramEnd"/>
      <w:r>
        <w:rPr>
          <w:rFonts w:ascii="Arial" w:hAnsi="Arial" w:cs="Arial"/>
          <w:sz w:val="24"/>
          <w:szCs w:val="24"/>
          <w:lang w:val="en-US"/>
        </w:rPr>
        <w:t>-28.</w:t>
      </w:r>
    </w:p>
    <w:p w14:paraId="05D9113A"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42.</w:t>
      </w:r>
      <w:r>
        <w:rPr>
          <w:rFonts w:ascii="Arial" w:hAnsi="Arial" w:cs="Arial"/>
          <w:sz w:val="24"/>
          <w:szCs w:val="24"/>
          <w:lang w:val="en-US"/>
        </w:rPr>
        <w:tab/>
        <w:t xml:space="preserve">Bonner-Jackson A, Mahmoud S, Miller J, Banks SJ. Verbal and non-verbal memory and hippocampal volumes in a memory clinic population. </w:t>
      </w:r>
      <w:proofErr w:type="spellStart"/>
      <w:r>
        <w:rPr>
          <w:rFonts w:ascii="Arial" w:hAnsi="Arial" w:cs="Arial"/>
          <w:sz w:val="24"/>
          <w:szCs w:val="24"/>
          <w:lang w:val="en-US"/>
        </w:rPr>
        <w:t>Alzheimers</w:t>
      </w:r>
      <w:proofErr w:type="spellEnd"/>
      <w:r>
        <w:rPr>
          <w:rFonts w:ascii="Arial" w:hAnsi="Arial" w:cs="Arial"/>
          <w:sz w:val="24"/>
          <w:szCs w:val="24"/>
          <w:lang w:val="en-US"/>
        </w:rPr>
        <w:t xml:space="preserve"> Res </w:t>
      </w:r>
      <w:proofErr w:type="spellStart"/>
      <w:r>
        <w:rPr>
          <w:rFonts w:ascii="Arial" w:hAnsi="Arial" w:cs="Arial"/>
          <w:sz w:val="24"/>
          <w:szCs w:val="24"/>
          <w:lang w:val="en-US"/>
        </w:rPr>
        <w:t>Ther</w:t>
      </w:r>
      <w:proofErr w:type="spellEnd"/>
      <w:r>
        <w:rPr>
          <w:rFonts w:ascii="Arial" w:hAnsi="Arial" w:cs="Arial"/>
          <w:sz w:val="24"/>
          <w:szCs w:val="24"/>
          <w:lang w:val="en-US"/>
        </w:rPr>
        <w:t xml:space="preserve"> 2015</w:t>
      </w:r>
      <w:proofErr w:type="gramStart"/>
      <w:r>
        <w:rPr>
          <w:rFonts w:ascii="Arial" w:hAnsi="Arial" w:cs="Arial"/>
          <w:sz w:val="24"/>
          <w:szCs w:val="24"/>
          <w:lang w:val="en-US"/>
        </w:rPr>
        <w:t>;7:61</w:t>
      </w:r>
      <w:proofErr w:type="gramEnd"/>
      <w:r>
        <w:rPr>
          <w:rFonts w:ascii="Arial" w:hAnsi="Arial" w:cs="Arial"/>
          <w:sz w:val="24"/>
          <w:szCs w:val="24"/>
          <w:lang w:val="en-US"/>
        </w:rPr>
        <w:t>.</w:t>
      </w:r>
    </w:p>
    <w:p w14:paraId="7376906B"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43.</w:t>
      </w:r>
      <w:r>
        <w:rPr>
          <w:rFonts w:ascii="Arial" w:hAnsi="Arial" w:cs="Arial"/>
          <w:sz w:val="24"/>
          <w:szCs w:val="24"/>
          <w:lang w:val="en-US"/>
        </w:rPr>
        <w:tab/>
      </w:r>
      <w:proofErr w:type="spellStart"/>
      <w:r>
        <w:rPr>
          <w:rFonts w:ascii="Arial" w:hAnsi="Arial" w:cs="Arial"/>
          <w:sz w:val="24"/>
          <w:szCs w:val="24"/>
          <w:lang w:val="en-US"/>
        </w:rPr>
        <w:t>Trzepacz</w:t>
      </w:r>
      <w:proofErr w:type="spellEnd"/>
      <w:r>
        <w:rPr>
          <w:rFonts w:ascii="Arial" w:hAnsi="Arial" w:cs="Arial"/>
          <w:sz w:val="24"/>
          <w:szCs w:val="24"/>
          <w:lang w:val="en-US"/>
        </w:rPr>
        <w:t xml:space="preserve"> PT, Hochstetler H, Wang S, Walker B, </w:t>
      </w:r>
      <w:proofErr w:type="spellStart"/>
      <w:r>
        <w:rPr>
          <w:rFonts w:ascii="Arial" w:hAnsi="Arial" w:cs="Arial"/>
          <w:sz w:val="24"/>
          <w:szCs w:val="24"/>
          <w:lang w:val="en-US"/>
        </w:rPr>
        <w:t>Saykin</w:t>
      </w:r>
      <w:proofErr w:type="spellEnd"/>
      <w:r>
        <w:rPr>
          <w:rFonts w:ascii="Arial" w:hAnsi="Arial" w:cs="Arial"/>
          <w:sz w:val="24"/>
          <w:szCs w:val="24"/>
          <w:lang w:val="en-US"/>
        </w:rPr>
        <w:t xml:space="preserve"> AJ. Relationship between the Montreal Cognitive Assessment and Mini-mental State Examination for assessment of mild cognitive impairment in older adults. BMC </w:t>
      </w:r>
      <w:proofErr w:type="spellStart"/>
      <w:r>
        <w:rPr>
          <w:rFonts w:ascii="Arial" w:hAnsi="Arial" w:cs="Arial"/>
          <w:sz w:val="24"/>
          <w:szCs w:val="24"/>
          <w:lang w:val="en-US"/>
        </w:rPr>
        <w:t>Geriatr</w:t>
      </w:r>
      <w:proofErr w:type="spellEnd"/>
      <w:r>
        <w:rPr>
          <w:rFonts w:ascii="Arial" w:hAnsi="Arial" w:cs="Arial"/>
          <w:sz w:val="24"/>
          <w:szCs w:val="24"/>
          <w:lang w:val="en-US"/>
        </w:rPr>
        <w:t xml:space="preserve"> 2015</w:t>
      </w:r>
      <w:proofErr w:type="gramStart"/>
      <w:r>
        <w:rPr>
          <w:rFonts w:ascii="Arial" w:hAnsi="Arial" w:cs="Arial"/>
          <w:sz w:val="24"/>
          <w:szCs w:val="24"/>
          <w:lang w:val="en-US"/>
        </w:rPr>
        <w:t>;15:107</w:t>
      </w:r>
      <w:proofErr w:type="gramEnd"/>
      <w:r>
        <w:rPr>
          <w:rFonts w:ascii="Arial" w:hAnsi="Arial" w:cs="Arial"/>
          <w:sz w:val="24"/>
          <w:szCs w:val="24"/>
          <w:lang w:val="en-US"/>
        </w:rPr>
        <w:t>.</w:t>
      </w:r>
    </w:p>
    <w:p w14:paraId="268F5B79"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lastRenderedPageBreak/>
        <w:t>44.</w:t>
      </w:r>
      <w:r>
        <w:rPr>
          <w:rFonts w:ascii="Arial" w:hAnsi="Arial" w:cs="Arial"/>
          <w:sz w:val="24"/>
          <w:szCs w:val="24"/>
          <w:lang w:val="en-US"/>
        </w:rPr>
        <w:tab/>
        <w:t xml:space="preserve">Kim JI, </w:t>
      </w:r>
      <w:proofErr w:type="spellStart"/>
      <w:r>
        <w:rPr>
          <w:rFonts w:ascii="Arial" w:hAnsi="Arial" w:cs="Arial"/>
          <w:sz w:val="24"/>
          <w:szCs w:val="24"/>
          <w:lang w:val="en-US"/>
        </w:rPr>
        <w:t>Sunwoo</w:t>
      </w:r>
      <w:proofErr w:type="spellEnd"/>
      <w:r>
        <w:rPr>
          <w:rFonts w:ascii="Arial" w:hAnsi="Arial" w:cs="Arial"/>
          <w:sz w:val="24"/>
          <w:szCs w:val="24"/>
          <w:lang w:val="en-US"/>
        </w:rPr>
        <w:t xml:space="preserve"> MK, </w:t>
      </w:r>
      <w:proofErr w:type="spellStart"/>
      <w:r>
        <w:rPr>
          <w:rFonts w:ascii="Arial" w:hAnsi="Arial" w:cs="Arial"/>
          <w:sz w:val="24"/>
          <w:szCs w:val="24"/>
          <w:lang w:val="en-US"/>
        </w:rPr>
        <w:t>Sohn</w:t>
      </w:r>
      <w:proofErr w:type="spellEnd"/>
      <w:r>
        <w:rPr>
          <w:rFonts w:ascii="Arial" w:hAnsi="Arial" w:cs="Arial"/>
          <w:sz w:val="24"/>
          <w:szCs w:val="24"/>
          <w:lang w:val="en-US"/>
        </w:rPr>
        <w:t xml:space="preserve"> YH, Lee PH, Hong JY. The MMSE and </w:t>
      </w:r>
      <w:proofErr w:type="spellStart"/>
      <w:r>
        <w:rPr>
          <w:rFonts w:ascii="Arial" w:hAnsi="Arial" w:cs="Arial"/>
          <w:sz w:val="24"/>
          <w:szCs w:val="24"/>
          <w:lang w:val="en-US"/>
        </w:rPr>
        <w:t>MoCA</w:t>
      </w:r>
      <w:proofErr w:type="spellEnd"/>
      <w:r>
        <w:rPr>
          <w:rFonts w:ascii="Arial" w:hAnsi="Arial" w:cs="Arial"/>
          <w:sz w:val="24"/>
          <w:szCs w:val="24"/>
          <w:lang w:val="en-US"/>
        </w:rPr>
        <w:t xml:space="preserve"> for Screening Cognitive Impairment in Less Educated Patients with </w:t>
      </w:r>
      <w:proofErr w:type="gramStart"/>
      <w:r>
        <w:rPr>
          <w:rFonts w:ascii="Arial" w:hAnsi="Arial" w:cs="Arial"/>
          <w:sz w:val="24"/>
          <w:szCs w:val="24"/>
          <w:lang w:val="en-US"/>
        </w:rPr>
        <w:t>Parkinson’s Disease</w:t>
      </w:r>
      <w:proofErr w:type="gramEnd"/>
      <w:r>
        <w:rPr>
          <w:rFonts w:ascii="Arial" w:hAnsi="Arial" w:cs="Arial"/>
          <w:sz w:val="24"/>
          <w:szCs w:val="24"/>
          <w:lang w:val="en-US"/>
        </w:rPr>
        <w:t xml:space="preserve">. J </w:t>
      </w:r>
      <w:proofErr w:type="spellStart"/>
      <w:r>
        <w:rPr>
          <w:rFonts w:ascii="Arial" w:hAnsi="Arial" w:cs="Arial"/>
          <w:sz w:val="24"/>
          <w:szCs w:val="24"/>
          <w:lang w:val="en-US"/>
        </w:rPr>
        <w:t>Mov</w:t>
      </w:r>
      <w:proofErr w:type="spellEnd"/>
      <w:r>
        <w:rPr>
          <w:rFonts w:ascii="Arial" w:hAnsi="Arial" w:cs="Arial"/>
          <w:sz w:val="24"/>
          <w:szCs w:val="24"/>
          <w:lang w:val="en-US"/>
        </w:rPr>
        <w:t xml:space="preserve"> </w:t>
      </w:r>
      <w:proofErr w:type="spellStart"/>
      <w:r>
        <w:rPr>
          <w:rFonts w:ascii="Arial" w:hAnsi="Arial" w:cs="Arial"/>
          <w:sz w:val="24"/>
          <w:szCs w:val="24"/>
          <w:lang w:val="en-US"/>
        </w:rPr>
        <w:t>Disord</w:t>
      </w:r>
      <w:proofErr w:type="spellEnd"/>
      <w:r>
        <w:rPr>
          <w:rFonts w:ascii="Arial" w:hAnsi="Arial" w:cs="Arial"/>
          <w:sz w:val="24"/>
          <w:szCs w:val="24"/>
          <w:lang w:val="en-US"/>
        </w:rPr>
        <w:t xml:space="preserve"> 2016</w:t>
      </w:r>
      <w:proofErr w:type="gramStart"/>
      <w:r>
        <w:rPr>
          <w:rFonts w:ascii="Arial" w:hAnsi="Arial" w:cs="Arial"/>
          <w:sz w:val="24"/>
          <w:szCs w:val="24"/>
          <w:lang w:val="en-US"/>
        </w:rPr>
        <w:t>;9:152</w:t>
      </w:r>
      <w:proofErr w:type="gramEnd"/>
      <w:r>
        <w:rPr>
          <w:rFonts w:ascii="Arial" w:hAnsi="Arial" w:cs="Arial"/>
          <w:sz w:val="24"/>
          <w:szCs w:val="24"/>
          <w:lang w:val="en-US"/>
        </w:rPr>
        <w:t>-159.</w:t>
      </w:r>
    </w:p>
    <w:p w14:paraId="64B4FB82"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45.</w:t>
      </w:r>
      <w:r>
        <w:rPr>
          <w:rFonts w:ascii="Arial" w:hAnsi="Arial" w:cs="Arial"/>
          <w:sz w:val="24"/>
          <w:szCs w:val="24"/>
          <w:lang w:val="en-US"/>
        </w:rPr>
        <w:tab/>
        <w:t xml:space="preserve">Dong Y, Lee WY, </w:t>
      </w:r>
      <w:proofErr w:type="spellStart"/>
      <w:r>
        <w:rPr>
          <w:rFonts w:ascii="Arial" w:hAnsi="Arial" w:cs="Arial"/>
          <w:sz w:val="24"/>
          <w:szCs w:val="24"/>
          <w:lang w:val="en-US"/>
        </w:rPr>
        <w:t>Basri</w:t>
      </w:r>
      <w:proofErr w:type="spellEnd"/>
      <w:r>
        <w:rPr>
          <w:rFonts w:ascii="Arial" w:hAnsi="Arial" w:cs="Arial"/>
          <w:sz w:val="24"/>
          <w:szCs w:val="24"/>
          <w:lang w:val="en-US"/>
        </w:rPr>
        <w:t xml:space="preserve"> NA, et al. The Montreal Cognitive Assessment is superior to the Mini-Mental State Examination in detecting patients at higher risk of dementia. </w:t>
      </w:r>
      <w:proofErr w:type="spellStart"/>
      <w:r>
        <w:rPr>
          <w:rFonts w:ascii="Arial" w:hAnsi="Arial" w:cs="Arial"/>
          <w:sz w:val="24"/>
          <w:szCs w:val="24"/>
          <w:lang w:val="en-US"/>
        </w:rPr>
        <w:t>Int</w:t>
      </w:r>
      <w:proofErr w:type="spellEnd"/>
      <w:r>
        <w:rPr>
          <w:rFonts w:ascii="Arial" w:hAnsi="Arial" w:cs="Arial"/>
          <w:sz w:val="24"/>
          <w:szCs w:val="24"/>
          <w:lang w:val="en-US"/>
        </w:rPr>
        <w:t xml:space="preserve"> </w:t>
      </w:r>
      <w:proofErr w:type="spellStart"/>
      <w:r>
        <w:rPr>
          <w:rFonts w:ascii="Arial" w:hAnsi="Arial" w:cs="Arial"/>
          <w:sz w:val="24"/>
          <w:szCs w:val="24"/>
          <w:lang w:val="en-US"/>
        </w:rPr>
        <w:t>Psychogeriatr</w:t>
      </w:r>
      <w:proofErr w:type="spellEnd"/>
      <w:r>
        <w:rPr>
          <w:rFonts w:ascii="Arial" w:hAnsi="Arial" w:cs="Arial"/>
          <w:sz w:val="24"/>
          <w:szCs w:val="24"/>
          <w:lang w:val="en-US"/>
        </w:rPr>
        <w:t xml:space="preserve"> 2012</w:t>
      </w:r>
      <w:proofErr w:type="gramStart"/>
      <w:r>
        <w:rPr>
          <w:rFonts w:ascii="Arial" w:hAnsi="Arial" w:cs="Arial"/>
          <w:sz w:val="24"/>
          <w:szCs w:val="24"/>
          <w:lang w:val="en-US"/>
        </w:rPr>
        <w:t>;24:1749</w:t>
      </w:r>
      <w:proofErr w:type="gramEnd"/>
      <w:r>
        <w:rPr>
          <w:rFonts w:ascii="Arial" w:hAnsi="Arial" w:cs="Arial"/>
          <w:sz w:val="24"/>
          <w:szCs w:val="24"/>
          <w:lang w:val="en-US"/>
        </w:rPr>
        <w:t>-1755.</w:t>
      </w:r>
    </w:p>
    <w:p w14:paraId="0E21A02B"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46.</w:t>
      </w:r>
      <w:r>
        <w:rPr>
          <w:rFonts w:ascii="Arial" w:hAnsi="Arial" w:cs="Arial"/>
          <w:sz w:val="24"/>
          <w:szCs w:val="24"/>
          <w:lang w:val="en-US"/>
        </w:rPr>
        <w:tab/>
        <w:t xml:space="preserve">Good CD, </w:t>
      </w:r>
      <w:proofErr w:type="spellStart"/>
      <w:r>
        <w:rPr>
          <w:rFonts w:ascii="Arial" w:hAnsi="Arial" w:cs="Arial"/>
          <w:sz w:val="24"/>
          <w:szCs w:val="24"/>
          <w:lang w:val="en-US"/>
        </w:rPr>
        <w:t>Johnsrude</w:t>
      </w:r>
      <w:proofErr w:type="spellEnd"/>
      <w:r>
        <w:rPr>
          <w:rFonts w:ascii="Arial" w:hAnsi="Arial" w:cs="Arial"/>
          <w:sz w:val="24"/>
          <w:szCs w:val="24"/>
          <w:lang w:val="en-US"/>
        </w:rPr>
        <w:t xml:space="preserve"> IS, </w:t>
      </w:r>
      <w:proofErr w:type="spellStart"/>
      <w:r>
        <w:rPr>
          <w:rFonts w:ascii="Arial" w:hAnsi="Arial" w:cs="Arial"/>
          <w:sz w:val="24"/>
          <w:szCs w:val="24"/>
          <w:lang w:val="en-US"/>
        </w:rPr>
        <w:t>Ashburner</w:t>
      </w:r>
      <w:proofErr w:type="spellEnd"/>
      <w:r>
        <w:rPr>
          <w:rFonts w:ascii="Arial" w:hAnsi="Arial" w:cs="Arial"/>
          <w:sz w:val="24"/>
          <w:szCs w:val="24"/>
          <w:lang w:val="en-US"/>
        </w:rPr>
        <w:t xml:space="preserve"> J, Henson RN, </w:t>
      </w:r>
      <w:proofErr w:type="spellStart"/>
      <w:r>
        <w:rPr>
          <w:rFonts w:ascii="Arial" w:hAnsi="Arial" w:cs="Arial"/>
          <w:sz w:val="24"/>
          <w:szCs w:val="24"/>
          <w:lang w:val="en-US"/>
        </w:rPr>
        <w:t>Friston</w:t>
      </w:r>
      <w:proofErr w:type="spellEnd"/>
      <w:r>
        <w:rPr>
          <w:rFonts w:ascii="Arial" w:hAnsi="Arial" w:cs="Arial"/>
          <w:sz w:val="24"/>
          <w:szCs w:val="24"/>
          <w:lang w:val="en-US"/>
        </w:rPr>
        <w:t xml:space="preserve"> KJ, </w:t>
      </w:r>
      <w:proofErr w:type="spellStart"/>
      <w:r>
        <w:rPr>
          <w:rFonts w:ascii="Arial" w:hAnsi="Arial" w:cs="Arial"/>
          <w:sz w:val="24"/>
          <w:szCs w:val="24"/>
          <w:lang w:val="en-US"/>
        </w:rPr>
        <w:t>Frackowiak</w:t>
      </w:r>
      <w:proofErr w:type="spellEnd"/>
      <w:r>
        <w:rPr>
          <w:rFonts w:ascii="Arial" w:hAnsi="Arial" w:cs="Arial"/>
          <w:sz w:val="24"/>
          <w:szCs w:val="24"/>
          <w:lang w:val="en-US"/>
        </w:rPr>
        <w:t xml:space="preserve"> RS. A voxel-based morphometric study of ageing in 465 normal adult human brains. </w:t>
      </w:r>
      <w:proofErr w:type="spellStart"/>
      <w:r>
        <w:rPr>
          <w:rFonts w:ascii="Arial" w:hAnsi="Arial" w:cs="Arial"/>
          <w:sz w:val="24"/>
          <w:szCs w:val="24"/>
          <w:lang w:val="en-US"/>
        </w:rPr>
        <w:t>Neuroimage</w:t>
      </w:r>
      <w:proofErr w:type="spellEnd"/>
      <w:r>
        <w:rPr>
          <w:rFonts w:ascii="Arial" w:hAnsi="Arial" w:cs="Arial"/>
          <w:sz w:val="24"/>
          <w:szCs w:val="24"/>
          <w:lang w:val="en-US"/>
        </w:rPr>
        <w:t xml:space="preserve"> 2001</w:t>
      </w:r>
      <w:proofErr w:type="gramStart"/>
      <w:r>
        <w:rPr>
          <w:rFonts w:ascii="Arial" w:hAnsi="Arial" w:cs="Arial"/>
          <w:sz w:val="24"/>
          <w:szCs w:val="24"/>
          <w:lang w:val="en-US"/>
        </w:rPr>
        <w:t>;14:21</w:t>
      </w:r>
      <w:proofErr w:type="gramEnd"/>
      <w:r>
        <w:rPr>
          <w:rFonts w:ascii="Arial" w:hAnsi="Arial" w:cs="Arial"/>
          <w:sz w:val="24"/>
          <w:szCs w:val="24"/>
          <w:lang w:val="en-US"/>
        </w:rPr>
        <w:t>-36.</w:t>
      </w:r>
    </w:p>
    <w:p w14:paraId="3B0A415A" w14:textId="77777777" w:rsidR="00DB4040" w:rsidRDefault="00762861">
      <w:pPr>
        <w:spacing w:after="0" w:line="480" w:lineRule="auto"/>
        <w:rPr>
          <w:rFonts w:ascii="Arial" w:hAnsi="Arial" w:cs="Arial"/>
          <w:sz w:val="24"/>
          <w:szCs w:val="24"/>
          <w:lang w:val="en-US"/>
        </w:rPr>
      </w:pPr>
      <w:r>
        <w:rPr>
          <w:rFonts w:ascii="Arial" w:hAnsi="Arial" w:cs="Arial"/>
          <w:sz w:val="24"/>
          <w:szCs w:val="24"/>
          <w:lang w:val="en-US"/>
        </w:rPr>
        <w:t>47.</w:t>
      </w:r>
      <w:r>
        <w:rPr>
          <w:rFonts w:ascii="Arial" w:hAnsi="Arial" w:cs="Arial"/>
          <w:sz w:val="24"/>
          <w:szCs w:val="24"/>
          <w:lang w:val="en-US"/>
        </w:rPr>
        <w:tab/>
      </w:r>
      <w:proofErr w:type="spellStart"/>
      <w:r>
        <w:rPr>
          <w:rFonts w:ascii="Arial" w:hAnsi="Arial" w:cs="Arial"/>
          <w:sz w:val="24"/>
          <w:szCs w:val="24"/>
          <w:lang w:val="en-US"/>
        </w:rPr>
        <w:t>Scahill</w:t>
      </w:r>
      <w:proofErr w:type="spellEnd"/>
      <w:r>
        <w:rPr>
          <w:rFonts w:ascii="Arial" w:hAnsi="Arial" w:cs="Arial"/>
          <w:sz w:val="24"/>
          <w:szCs w:val="24"/>
          <w:lang w:val="en-US"/>
        </w:rPr>
        <w:t xml:space="preserve"> RI, Frost C, Jenkins R, Whitwell JL, </w:t>
      </w:r>
      <w:proofErr w:type="spellStart"/>
      <w:r>
        <w:rPr>
          <w:rFonts w:ascii="Arial" w:hAnsi="Arial" w:cs="Arial"/>
          <w:sz w:val="24"/>
          <w:szCs w:val="24"/>
          <w:lang w:val="en-US"/>
        </w:rPr>
        <w:t>Rossor</w:t>
      </w:r>
      <w:proofErr w:type="spellEnd"/>
      <w:r>
        <w:rPr>
          <w:rFonts w:ascii="Arial" w:hAnsi="Arial" w:cs="Arial"/>
          <w:sz w:val="24"/>
          <w:szCs w:val="24"/>
          <w:lang w:val="en-US"/>
        </w:rPr>
        <w:t xml:space="preserve"> MN, Fox NC. A longitudinal study of brain volume changes in normal aging using serial registered magnetic resonance imaging. Arch </w:t>
      </w:r>
      <w:proofErr w:type="spellStart"/>
      <w:r>
        <w:rPr>
          <w:rFonts w:ascii="Arial" w:hAnsi="Arial" w:cs="Arial"/>
          <w:sz w:val="24"/>
          <w:szCs w:val="24"/>
          <w:lang w:val="en-US"/>
        </w:rPr>
        <w:t>Neurol</w:t>
      </w:r>
      <w:proofErr w:type="spellEnd"/>
      <w:r>
        <w:rPr>
          <w:rFonts w:ascii="Arial" w:hAnsi="Arial" w:cs="Arial"/>
          <w:sz w:val="24"/>
          <w:szCs w:val="24"/>
          <w:lang w:val="en-US"/>
        </w:rPr>
        <w:t xml:space="preserve"> 2003</w:t>
      </w:r>
      <w:proofErr w:type="gramStart"/>
      <w:r>
        <w:rPr>
          <w:rFonts w:ascii="Arial" w:hAnsi="Arial" w:cs="Arial"/>
          <w:sz w:val="24"/>
          <w:szCs w:val="24"/>
          <w:lang w:val="en-US"/>
        </w:rPr>
        <w:t>;60:989</w:t>
      </w:r>
      <w:proofErr w:type="gramEnd"/>
      <w:r>
        <w:rPr>
          <w:rFonts w:ascii="Arial" w:hAnsi="Arial" w:cs="Arial"/>
          <w:sz w:val="24"/>
          <w:szCs w:val="24"/>
          <w:lang w:val="en-US"/>
        </w:rPr>
        <w:t>-994.</w:t>
      </w:r>
    </w:p>
    <w:p w14:paraId="52FFD662" w14:textId="22BD0C20" w:rsidR="00A265DF" w:rsidRDefault="00762861">
      <w:pPr>
        <w:spacing w:after="0" w:line="480" w:lineRule="auto"/>
        <w:rPr>
          <w:rFonts w:ascii="Arial" w:hAnsi="Arial" w:cs="Arial"/>
          <w:lang w:val="en-US"/>
        </w:rPr>
      </w:pPr>
      <w:r>
        <w:rPr>
          <w:rFonts w:ascii="Arial" w:hAnsi="Arial" w:cs="Arial"/>
          <w:sz w:val="24"/>
          <w:szCs w:val="24"/>
          <w:lang w:val="en-US"/>
        </w:rPr>
        <w:t>48.</w:t>
      </w:r>
      <w:r>
        <w:rPr>
          <w:rFonts w:ascii="Arial" w:hAnsi="Arial" w:cs="Arial"/>
          <w:sz w:val="24"/>
          <w:szCs w:val="24"/>
          <w:lang w:val="en-US"/>
        </w:rPr>
        <w:tab/>
      </w:r>
      <w:proofErr w:type="spellStart"/>
      <w:r>
        <w:rPr>
          <w:rFonts w:ascii="Arial" w:hAnsi="Arial" w:cs="Arial"/>
          <w:sz w:val="24"/>
          <w:szCs w:val="24"/>
          <w:lang w:val="en-US"/>
        </w:rPr>
        <w:t>Bahrani</w:t>
      </w:r>
      <w:proofErr w:type="spellEnd"/>
      <w:r>
        <w:rPr>
          <w:rFonts w:ascii="Arial" w:hAnsi="Arial" w:cs="Arial"/>
          <w:sz w:val="24"/>
          <w:szCs w:val="24"/>
          <w:lang w:val="en-US"/>
        </w:rPr>
        <w:t xml:space="preserve"> AA, Powell DK, Yu G, Johnson ES, </w:t>
      </w:r>
      <w:proofErr w:type="spellStart"/>
      <w:r>
        <w:rPr>
          <w:rFonts w:ascii="Arial" w:hAnsi="Arial" w:cs="Arial"/>
          <w:sz w:val="24"/>
          <w:szCs w:val="24"/>
          <w:lang w:val="en-US"/>
        </w:rPr>
        <w:t>Jicha</w:t>
      </w:r>
      <w:proofErr w:type="spellEnd"/>
      <w:r>
        <w:rPr>
          <w:rFonts w:ascii="Arial" w:hAnsi="Arial" w:cs="Arial"/>
          <w:sz w:val="24"/>
          <w:szCs w:val="24"/>
          <w:lang w:val="en-US"/>
        </w:rPr>
        <w:t xml:space="preserve"> GA, Smith CD. White Matter </w:t>
      </w:r>
      <w:proofErr w:type="spellStart"/>
      <w:r>
        <w:rPr>
          <w:rFonts w:ascii="Arial" w:hAnsi="Arial" w:cs="Arial"/>
          <w:sz w:val="24"/>
          <w:szCs w:val="24"/>
          <w:lang w:val="en-US"/>
        </w:rPr>
        <w:t>Hyperintensity</w:t>
      </w:r>
      <w:proofErr w:type="spellEnd"/>
      <w:r>
        <w:rPr>
          <w:rFonts w:ascii="Arial" w:hAnsi="Arial" w:cs="Arial"/>
          <w:sz w:val="24"/>
          <w:szCs w:val="24"/>
          <w:lang w:val="en-US"/>
        </w:rPr>
        <w:t xml:space="preserve"> Associations with Cerebral Blood Flow in Elderly Subjects Stratified by Cerebrovascular Risk. J Stroke </w:t>
      </w:r>
      <w:proofErr w:type="spellStart"/>
      <w:r>
        <w:rPr>
          <w:rFonts w:ascii="Arial" w:hAnsi="Arial" w:cs="Arial"/>
          <w:sz w:val="24"/>
          <w:szCs w:val="24"/>
          <w:lang w:val="en-US"/>
        </w:rPr>
        <w:t>Cerebrovasc</w:t>
      </w:r>
      <w:proofErr w:type="spellEnd"/>
      <w:r>
        <w:rPr>
          <w:rFonts w:ascii="Arial" w:hAnsi="Arial" w:cs="Arial"/>
          <w:sz w:val="24"/>
          <w:szCs w:val="24"/>
          <w:lang w:val="en-US"/>
        </w:rPr>
        <w:t xml:space="preserve"> Dis 2017; 26:779-786.</w:t>
      </w:r>
    </w:p>
    <w:p w14:paraId="46CE93F8" w14:textId="4986DEFF" w:rsidR="00DB4040" w:rsidRDefault="00DB4040">
      <w:pPr>
        <w:spacing w:after="0" w:line="480" w:lineRule="auto"/>
        <w:rPr>
          <w:rFonts w:ascii="Arial" w:hAnsi="Arial" w:cs="Arial"/>
          <w:sz w:val="24"/>
          <w:szCs w:val="24"/>
          <w:lang w:val="en-US"/>
        </w:rPr>
      </w:pPr>
    </w:p>
    <w:p w14:paraId="7E0F72F2" w14:textId="77777777" w:rsidR="00DB4040" w:rsidRDefault="00DB4040">
      <w:pPr>
        <w:spacing w:line="360" w:lineRule="auto"/>
        <w:rPr>
          <w:rFonts w:ascii="Arial" w:hAnsi="Arial" w:cs="Arial"/>
          <w:b/>
          <w:lang w:val="en-US"/>
        </w:rPr>
      </w:pPr>
    </w:p>
    <w:p w14:paraId="31B9B6A9" w14:textId="77777777" w:rsidR="00DB4040" w:rsidRDefault="00DB4040">
      <w:pPr>
        <w:spacing w:line="360" w:lineRule="auto"/>
        <w:rPr>
          <w:rFonts w:ascii="Arial" w:hAnsi="Arial" w:cs="Arial"/>
          <w:b/>
          <w:lang w:val="en-US"/>
        </w:rPr>
      </w:pPr>
    </w:p>
    <w:p w14:paraId="3CA137E7" w14:textId="77777777" w:rsidR="00DB4040" w:rsidRDefault="00DB4040">
      <w:pPr>
        <w:spacing w:line="360" w:lineRule="auto"/>
        <w:rPr>
          <w:rFonts w:ascii="Arial" w:hAnsi="Arial" w:cs="Arial"/>
          <w:b/>
          <w:lang w:val="en-US"/>
        </w:rPr>
      </w:pPr>
    </w:p>
    <w:p w14:paraId="0FEA6FD7" w14:textId="1BD20044" w:rsidR="00DB4040" w:rsidRDefault="00DB4040">
      <w:pPr>
        <w:spacing w:line="360" w:lineRule="auto"/>
        <w:rPr>
          <w:rFonts w:ascii="Arial" w:hAnsi="Arial" w:cs="Arial"/>
          <w:b/>
          <w:lang w:val="en-US"/>
        </w:rPr>
      </w:pPr>
    </w:p>
    <w:p w14:paraId="6260E48D" w14:textId="47E44A1F" w:rsidR="00903F90" w:rsidRDefault="00903F90">
      <w:pPr>
        <w:spacing w:line="360" w:lineRule="auto"/>
        <w:rPr>
          <w:rFonts w:ascii="Arial" w:hAnsi="Arial" w:cs="Arial"/>
          <w:b/>
          <w:lang w:val="en-US"/>
        </w:rPr>
      </w:pPr>
    </w:p>
    <w:p w14:paraId="1BFC7196" w14:textId="6EDE717D" w:rsidR="00903F90" w:rsidRDefault="00903F90">
      <w:pPr>
        <w:spacing w:line="360" w:lineRule="auto"/>
        <w:rPr>
          <w:rFonts w:ascii="Arial" w:hAnsi="Arial" w:cs="Arial"/>
          <w:b/>
          <w:lang w:val="en-US"/>
        </w:rPr>
      </w:pPr>
    </w:p>
    <w:p w14:paraId="66B4C5C3" w14:textId="62C18002" w:rsidR="00903F90" w:rsidRDefault="00903F90">
      <w:pPr>
        <w:spacing w:line="360" w:lineRule="auto"/>
        <w:rPr>
          <w:rFonts w:ascii="Arial" w:hAnsi="Arial" w:cs="Arial"/>
          <w:b/>
          <w:lang w:val="en-US"/>
        </w:rPr>
      </w:pPr>
    </w:p>
    <w:p w14:paraId="3458C690" w14:textId="77777777" w:rsidR="00903F90" w:rsidRDefault="00903F90">
      <w:pPr>
        <w:spacing w:line="360" w:lineRule="auto"/>
        <w:rPr>
          <w:rFonts w:ascii="Arial" w:hAnsi="Arial" w:cs="Arial"/>
          <w:b/>
          <w:lang w:val="en-US"/>
        </w:rPr>
      </w:pPr>
    </w:p>
    <w:p w14:paraId="2FD13332" w14:textId="77777777" w:rsidR="00DB4040" w:rsidRDefault="00DB4040">
      <w:pPr>
        <w:spacing w:line="360" w:lineRule="auto"/>
        <w:rPr>
          <w:rFonts w:ascii="Arial" w:hAnsi="Arial" w:cs="Arial"/>
          <w:b/>
          <w:lang w:val="en-US"/>
        </w:rPr>
      </w:pPr>
    </w:p>
    <w:p w14:paraId="2D96972B" w14:textId="77777777" w:rsidR="00DB4040" w:rsidRDefault="00762861">
      <w:pPr>
        <w:spacing w:line="360" w:lineRule="auto"/>
        <w:rPr>
          <w:rFonts w:ascii="Arial" w:hAnsi="Arial" w:cs="Arial"/>
          <w:b/>
          <w:lang w:val="en-US"/>
        </w:rPr>
      </w:pPr>
      <w:r>
        <w:rPr>
          <w:rFonts w:ascii="Arial" w:hAnsi="Arial" w:cs="Arial"/>
          <w:b/>
          <w:lang w:val="en-US"/>
        </w:rPr>
        <w:lastRenderedPageBreak/>
        <w:t>Figure 1. Flow chart of the MRI study population selection</w:t>
      </w:r>
    </w:p>
    <w:p w14:paraId="05321D79" w14:textId="0E37F80E" w:rsidR="00DB4040" w:rsidRDefault="006F7A62">
      <w:pPr>
        <w:spacing w:line="360" w:lineRule="auto"/>
        <w:rPr>
          <w:rFonts w:ascii="Arial" w:hAnsi="Arial" w:cs="Arial"/>
          <w:b/>
          <w:lang w:val="en-US"/>
        </w:rPr>
      </w:pPr>
      <w:r>
        <w:rPr>
          <w:rFonts w:ascii="Arial" w:hAnsi="Arial" w:cs="Arial"/>
          <w:b/>
          <w:noProof/>
        </w:rPr>
        <w:drawing>
          <wp:inline distT="0" distB="0" distL="0" distR="0" wp14:anchorId="17B8178E" wp14:editId="4DD20C8A">
            <wp:extent cx="4681855" cy="5273675"/>
            <wp:effectExtent l="0" t="0" r="4445" b="317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1855" cy="5273675"/>
                    </a:xfrm>
                    <a:prstGeom prst="rect">
                      <a:avLst/>
                    </a:prstGeom>
                    <a:noFill/>
                  </pic:spPr>
                </pic:pic>
              </a:graphicData>
            </a:graphic>
          </wp:inline>
        </w:drawing>
      </w:r>
    </w:p>
    <w:p w14:paraId="6EA15E0E" w14:textId="77777777" w:rsidR="00DB4040" w:rsidRDefault="00762861">
      <w:pPr>
        <w:spacing w:line="360" w:lineRule="auto"/>
        <w:rPr>
          <w:rFonts w:ascii="Arial" w:hAnsi="Arial" w:cs="Arial"/>
          <w:sz w:val="18"/>
          <w:szCs w:val="18"/>
          <w:lang w:val="en-US"/>
        </w:rPr>
      </w:pPr>
      <w:r>
        <w:rPr>
          <w:rFonts w:ascii="Arial" w:hAnsi="Arial" w:cs="Arial"/>
          <w:sz w:val="18"/>
          <w:szCs w:val="18"/>
          <w:lang w:val="en-US"/>
        </w:rPr>
        <w:t>MRI, magnetic resonance imaging</w:t>
      </w:r>
    </w:p>
    <w:p w14:paraId="3FA23AA5" w14:textId="77777777" w:rsidR="00DB4040" w:rsidRDefault="00DB4040">
      <w:pPr>
        <w:spacing w:line="360" w:lineRule="auto"/>
        <w:rPr>
          <w:rFonts w:ascii="Arial" w:hAnsi="Arial" w:cs="Arial"/>
          <w:lang w:val="en-US"/>
        </w:rPr>
      </w:pPr>
    </w:p>
    <w:p w14:paraId="4DB093A6" w14:textId="77777777" w:rsidR="00DB4040" w:rsidRDefault="00DB4040">
      <w:pPr>
        <w:spacing w:line="360" w:lineRule="auto"/>
        <w:rPr>
          <w:rFonts w:ascii="Arial" w:hAnsi="Arial" w:cs="Arial"/>
          <w:lang w:val="en-US"/>
        </w:rPr>
      </w:pPr>
    </w:p>
    <w:p w14:paraId="0A1D1AA1" w14:textId="77777777" w:rsidR="00DB4040" w:rsidRDefault="00DB4040">
      <w:pPr>
        <w:spacing w:line="360" w:lineRule="auto"/>
        <w:rPr>
          <w:rFonts w:ascii="Arial" w:hAnsi="Arial" w:cs="Arial"/>
          <w:lang w:val="en-US"/>
        </w:rPr>
      </w:pPr>
    </w:p>
    <w:p w14:paraId="1993455E" w14:textId="77777777" w:rsidR="00DB4040" w:rsidRDefault="00DB4040">
      <w:pPr>
        <w:spacing w:line="360" w:lineRule="auto"/>
        <w:rPr>
          <w:rFonts w:ascii="Arial" w:hAnsi="Arial" w:cs="Arial"/>
          <w:lang w:val="en-US"/>
        </w:rPr>
      </w:pPr>
    </w:p>
    <w:p w14:paraId="41D8E770" w14:textId="77777777" w:rsidR="00DB4040" w:rsidRDefault="00DB4040">
      <w:pPr>
        <w:spacing w:line="360" w:lineRule="auto"/>
        <w:rPr>
          <w:rFonts w:ascii="Arial" w:hAnsi="Arial" w:cs="Arial"/>
          <w:lang w:val="en-US"/>
        </w:rPr>
      </w:pPr>
    </w:p>
    <w:p w14:paraId="393387AF" w14:textId="77777777" w:rsidR="00DB4040" w:rsidRDefault="00DB4040">
      <w:pPr>
        <w:spacing w:line="360" w:lineRule="auto"/>
        <w:rPr>
          <w:rFonts w:ascii="Arial" w:hAnsi="Arial" w:cs="Arial"/>
          <w:lang w:val="en-US"/>
        </w:rPr>
      </w:pPr>
    </w:p>
    <w:p w14:paraId="08E90FCE" w14:textId="77777777" w:rsidR="00DB4040" w:rsidRDefault="00DB4040">
      <w:pPr>
        <w:spacing w:line="360" w:lineRule="auto"/>
        <w:rPr>
          <w:rFonts w:ascii="Arial" w:hAnsi="Arial" w:cs="Arial"/>
          <w:lang w:val="en-US"/>
        </w:rPr>
      </w:pPr>
    </w:p>
    <w:p w14:paraId="70101365" w14:textId="77777777" w:rsidR="00DB4040" w:rsidRDefault="00DB4040">
      <w:pPr>
        <w:spacing w:line="360" w:lineRule="auto"/>
        <w:rPr>
          <w:rFonts w:ascii="Arial" w:hAnsi="Arial" w:cs="Arial"/>
          <w:lang w:val="en-US"/>
        </w:rPr>
      </w:pPr>
    </w:p>
    <w:p w14:paraId="33C5076C" w14:textId="77777777" w:rsidR="00DB4040" w:rsidRDefault="00DB4040">
      <w:pPr>
        <w:spacing w:line="360" w:lineRule="auto"/>
        <w:rPr>
          <w:rFonts w:ascii="Arial" w:hAnsi="Arial" w:cs="Arial"/>
          <w:lang w:val="en-US"/>
        </w:rPr>
      </w:pPr>
    </w:p>
    <w:p w14:paraId="28BA8C48" w14:textId="5625BF64" w:rsidR="00DB4040" w:rsidRDefault="00762861">
      <w:pPr>
        <w:spacing w:line="360" w:lineRule="auto"/>
        <w:rPr>
          <w:rFonts w:ascii="Arial" w:hAnsi="Arial" w:cs="Arial"/>
          <w:noProof/>
          <w:lang w:val="en-US"/>
        </w:rPr>
      </w:pPr>
      <w:r>
        <w:rPr>
          <w:rFonts w:ascii="Arial" w:hAnsi="Arial" w:cs="Arial"/>
          <w:b/>
          <w:lang w:val="en-US"/>
        </w:rPr>
        <w:lastRenderedPageBreak/>
        <w:t>Figure 2. Right hippocampal volume differentiated by PPI intake</w:t>
      </w:r>
    </w:p>
    <w:p w14:paraId="17A47C07" w14:textId="77777777" w:rsidR="00DB4040" w:rsidRDefault="00762861">
      <w:pPr>
        <w:spacing w:line="360" w:lineRule="auto"/>
        <w:rPr>
          <w:rFonts w:ascii="Arial" w:hAnsi="Arial" w:cs="Arial"/>
          <w:b/>
          <w:lang w:val="en-US"/>
        </w:rPr>
      </w:pPr>
      <w:r>
        <w:rPr>
          <w:rFonts w:ascii="Arial" w:hAnsi="Arial" w:cs="Arial"/>
          <w:b/>
          <w:noProof/>
        </w:rPr>
        <w:drawing>
          <wp:inline distT="0" distB="0" distL="0" distR="0" wp14:anchorId="473BCB64" wp14:editId="5BF68DAC">
            <wp:extent cx="5219700" cy="3594174"/>
            <wp:effectExtent l="0" t="0" r="0" b="6350"/>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Fig2. manuscript.png"/>
                    <pic:cNvPicPr/>
                  </pic:nvPicPr>
                  <pic:blipFill rotWithShape="1">
                    <a:blip r:embed="rId11">
                      <a:extLst>
                        <a:ext uri="{28A0092B-C50C-407E-A947-70E740481C1C}">
                          <a14:useLocalDpi xmlns:a14="http://schemas.microsoft.com/office/drawing/2010/main" val="0"/>
                        </a:ext>
                      </a:extLst>
                    </a:blip>
                    <a:srcRect t="5586"/>
                    <a:stretch/>
                  </pic:blipFill>
                  <pic:spPr bwMode="auto">
                    <a:xfrm>
                      <a:off x="0" y="0"/>
                      <a:ext cx="5219700" cy="3594174"/>
                    </a:xfrm>
                    <a:prstGeom prst="rect">
                      <a:avLst/>
                    </a:prstGeom>
                    <a:ln>
                      <a:noFill/>
                    </a:ln>
                    <a:extLst>
                      <a:ext uri="{53640926-AAD7-44D8-BBD7-CCE9431645EC}">
                        <a14:shadowObscured xmlns:a14="http://schemas.microsoft.com/office/drawing/2010/main"/>
                      </a:ext>
                    </a:extLst>
                  </pic:spPr>
                </pic:pic>
              </a:graphicData>
            </a:graphic>
          </wp:inline>
        </w:drawing>
      </w:r>
    </w:p>
    <w:p w14:paraId="1C36D22A" w14:textId="5D912013" w:rsidR="00DB4040" w:rsidRDefault="00762861">
      <w:pPr>
        <w:rPr>
          <w:rFonts w:ascii="Arial" w:hAnsi="Arial" w:cs="Arial"/>
          <w:sz w:val="18"/>
          <w:szCs w:val="18"/>
          <w:lang w:val="en-US"/>
        </w:rPr>
      </w:pPr>
      <w:r>
        <w:rPr>
          <w:rFonts w:ascii="Arial" w:hAnsi="Arial" w:cs="Arial"/>
          <w:sz w:val="18"/>
          <w:szCs w:val="18"/>
          <w:lang w:val="en-US"/>
        </w:rPr>
        <w:t>P for interaction between PPI use and age</w:t>
      </w:r>
    </w:p>
    <w:p w14:paraId="7E2962E1" w14:textId="1CE1C74A" w:rsidR="00DB4040" w:rsidRDefault="00762861">
      <w:pPr>
        <w:spacing w:line="360" w:lineRule="auto"/>
        <w:rPr>
          <w:rFonts w:ascii="Arial" w:hAnsi="Arial" w:cs="Arial"/>
          <w:b/>
          <w:lang w:val="en-US"/>
        </w:rPr>
      </w:pPr>
      <w:r>
        <w:rPr>
          <w:rFonts w:ascii="Arial" w:hAnsi="Arial" w:cs="Arial"/>
          <w:b/>
          <w:lang w:val="en-US"/>
        </w:rPr>
        <w:br w:type="page"/>
      </w:r>
    </w:p>
    <w:p w14:paraId="14C358D6" w14:textId="77777777" w:rsidR="00DB4040" w:rsidRDefault="00DB4040">
      <w:pPr>
        <w:spacing w:after="0" w:line="360" w:lineRule="auto"/>
        <w:jc w:val="both"/>
        <w:rPr>
          <w:rFonts w:ascii="Arial" w:hAnsi="Arial" w:cs="Arial"/>
          <w:b/>
          <w:lang w:val="en-US"/>
        </w:rPr>
        <w:sectPr w:rsidR="00DB4040">
          <w:headerReference w:type="default" r:id="rId12"/>
          <w:pgSz w:w="11906" w:h="16838"/>
          <w:pgMar w:top="1418" w:right="2268" w:bottom="1134" w:left="1418" w:header="709" w:footer="709" w:gutter="0"/>
          <w:cols w:space="708"/>
          <w:docGrid w:linePitch="360"/>
        </w:sectPr>
      </w:pPr>
    </w:p>
    <w:p w14:paraId="2533D067" w14:textId="77777777" w:rsidR="00DB4040" w:rsidRDefault="00762861">
      <w:pPr>
        <w:spacing w:after="0" w:line="360" w:lineRule="auto"/>
        <w:jc w:val="both"/>
        <w:rPr>
          <w:rFonts w:ascii="Arial" w:hAnsi="Arial" w:cs="Arial"/>
          <w:sz w:val="18"/>
          <w:szCs w:val="18"/>
          <w:lang w:val="en-US"/>
        </w:rPr>
      </w:pPr>
      <w:r>
        <w:rPr>
          <w:rFonts w:ascii="Arial" w:hAnsi="Arial" w:cs="Arial"/>
          <w:b/>
          <w:lang w:val="en-US"/>
        </w:rPr>
        <w:lastRenderedPageBreak/>
        <w:t>Table 1.</w:t>
      </w:r>
      <w:r>
        <w:rPr>
          <w:rFonts w:ascii="Arial" w:hAnsi="Arial" w:cs="Arial"/>
          <w:lang w:val="en-US"/>
        </w:rPr>
        <w:t xml:space="preserve"> </w:t>
      </w:r>
      <w:r>
        <w:rPr>
          <w:rFonts w:ascii="Arial" w:hAnsi="Arial" w:cs="Arial"/>
          <w:b/>
          <w:lang w:val="en-US"/>
        </w:rPr>
        <w:t>Brain lesions and</w:t>
      </w:r>
      <w:r>
        <w:rPr>
          <w:rFonts w:ascii="Arial" w:hAnsi="Arial" w:cs="Arial"/>
          <w:lang w:val="en-US"/>
        </w:rPr>
        <w:t xml:space="preserve"> </w:t>
      </w:r>
      <w:r>
        <w:rPr>
          <w:rFonts w:ascii="Arial" w:hAnsi="Arial" w:cs="Arial"/>
          <w:b/>
          <w:lang w:val="en-US"/>
        </w:rPr>
        <w:t>vascular risk factors that might affect brain volumes</w:t>
      </w:r>
    </w:p>
    <w:tbl>
      <w:tblPr>
        <w:tblW w:w="10632" w:type="dxa"/>
        <w:tblCellMar>
          <w:left w:w="70" w:type="dxa"/>
          <w:right w:w="70" w:type="dxa"/>
        </w:tblCellMar>
        <w:tblLook w:val="04A0" w:firstRow="1" w:lastRow="0" w:firstColumn="1" w:lastColumn="0" w:noHBand="0" w:noVBand="1"/>
      </w:tblPr>
      <w:tblGrid>
        <w:gridCol w:w="4820"/>
        <w:gridCol w:w="5812"/>
      </w:tblGrid>
      <w:tr w:rsidR="00DB4040" w14:paraId="5D7BE19A" w14:textId="77777777">
        <w:trPr>
          <w:trHeight w:val="330"/>
        </w:trPr>
        <w:tc>
          <w:tcPr>
            <w:tcW w:w="4820" w:type="dxa"/>
            <w:tcBorders>
              <w:top w:val="single" w:sz="12" w:space="0" w:color="auto"/>
              <w:left w:val="nil"/>
              <w:bottom w:val="single" w:sz="8" w:space="0" w:color="auto"/>
              <w:right w:val="nil"/>
            </w:tcBorders>
            <w:shd w:val="clear" w:color="auto" w:fill="auto"/>
            <w:noWrap/>
            <w:vAlign w:val="center"/>
            <w:hideMark/>
          </w:tcPr>
          <w:p w14:paraId="4FCEBDE8" w14:textId="77777777" w:rsidR="00DB4040" w:rsidRDefault="00762861">
            <w:pPr>
              <w:spacing w:after="0" w:line="480" w:lineRule="auto"/>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Brain </w:t>
            </w:r>
            <w:proofErr w:type="spellStart"/>
            <w:r>
              <w:rPr>
                <w:rFonts w:ascii="Arial" w:eastAsia="Times New Roman" w:hAnsi="Arial" w:cs="Arial"/>
                <w:b/>
                <w:bCs/>
                <w:color w:val="000000"/>
                <w:sz w:val="20"/>
                <w:szCs w:val="20"/>
              </w:rPr>
              <w:t>lesions</w:t>
            </w:r>
            <w:proofErr w:type="spellEnd"/>
            <w:r>
              <w:rPr>
                <w:rFonts w:ascii="Arial" w:eastAsia="Times New Roman" w:hAnsi="Arial" w:cs="Arial"/>
                <w:b/>
                <w:bCs/>
                <w:color w:val="000000"/>
                <w:sz w:val="20"/>
                <w:szCs w:val="20"/>
              </w:rPr>
              <w:t xml:space="preserve"> (n= 679)</w:t>
            </w:r>
          </w:p>
        </w:tc>
        <w:tc>
          <w:tcPr>
            <w:tcW w:w="5812" w:type="dxa"/>
            <w:tcBorders>
              <w:top w:val="single" w:sz="12" w:space="0" w:color="auto"/>
              <w:left w:val="nil"/>
              <w:bottom w:val="single" w:sz="8" w:space="0" w:color="auto"/>
              <w:right w:val="nil"/>
            </w:tcBorders>
            <w:shd w:val="clear" w:color="auto" w:fill="auto"/>
            <w:noWrap/>
            <w:vAlign w:val="center"/>
            <w:hideMark/>
          </w:tcPr>
          <w:p w14:paraId="495859DA" w14:textId="77777777" w:rsidR="00DB4040" w:rsidRDefault="00762861">
            <w:pPr>
              <w:spacing w:after="0" w:line="480" w:lineRule="auto"/>
              <w:rPr>
                <w:rFonts w:ascii="Arial" w:eastAsia="Times New Roman" w:hAnsi="Arial" w:cs="Arial"/>
                <w:b/>
                <w:bCs/>
                <w:color w:val="000000"/>
                <w:sz w:val="20"/>
                <w:szCs w:val="20"/>
              </w:rPr>
            </w:pPr>
            <w:proofErr w:type="spellStart"/>
            <w:r>
              <w:rPr>
                <w:rFonts w:ascii="Arial" w:eastAsia="Times New Roman" w:hAnsi="Arial" w:cs="Arial"/>
                <w:b/>
                <w:bCs/>
                <w:color w:val="000000"/>
                <w:sz w:val="20"/>
                <w:szCs w:val="20"/>
              </w:rPr>
              <w:t>Vascular</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risk</w:t>
            </w:r>
            <w:proofErr w:type="spellEnd"/>
            <w:r>
              <w:rPr>
                <w:rFonts w:ascii="Arial" w:eastAsia="Times New Roman" w:hAnsi="Arial" w:cs="Arial"/>
                <w:b/>
                <w:bCs/>
                <w:color w:val="000000"/>
                <w:sz w:val="20"/>
                <w:szCs w:val="20"/>
              </w:rPr>
              <w:t xml:space="preserve"> </w:t>
            </w:r>
            <w:proofErr w:type="spellStart"/>
            <w:r>
              <w:rPr>
                <w:rFonts w:ascii="Arial" w:eastAsia="Times New Roman" w:hAnsi="Arial" w:cs="Arial"/>
                <w:b/>
                <w:bCs/>
                <w:color w:val="000000"/>
                <w:sz w:val="20"/>
                <w:szCs w:val="20"/>
              </w:rPr>
              <w:t>factors</w:t>
            </w:r>
            <w:proofErr w:type="spellEnd"/>
            <w:r>
              <w:rPr>
                <w:rFonts w:ascii="Arial" w:eastAsia="Times New Roman" w:hAnsi="Arial" w:cs="Arial"/>
                <w:b/>
                <w:bCs/>
                <w:color w:val="000000"/>
                <w:sz w:val="20"/>
                <w:szCs w:val="20"/>
              </w:rPr>
              <w:t xml:space="preserve"> (n= 27)</w:t>
            </w:r>
          </w:p>
        </w:tc>
      </w:tr>
      <w:tr w:rsidR="00DB4040" w:rsidRPr="00C9322A" w14:paraId="5A762A67" w14:textId="77777777">
        <w:trPr>
          <w:trHeight w:val="300"/>
        </w:trPr>
        <w:tc>
          <w:tcPr>
            <w:tcW w:w="4820" w:type="dxa"/>
            <w:tcBorders>
              <w:top w:val="nil"/>
              <w:left w:val="nil"/>
              <w:bottom w:val="nil"/>
              <w:right w:val="nil"/>
            </w:tcBorders>
            <w:shd w:val="clear" w:color="auto" w:fill="auto"/>
            <w:noWrap/>
            <w:vAlign w:val="center"/>
            <w:hideMark/>
          </w:tcPr>
          <w:p w14:paraId="748AAFE0"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Acute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intracranial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ischemia</w:t>
            </w:r>
            <w:proofErr w:type="spellEnd"/>
          </w:p>
        </w:tc>
        <w:tc>
          <w:tcPr>
            <w:tcW w:w="5812" w:type="dxa"/>
            <w:tcBorders>
              <w:top w:val="nil"/>
              <w:left w:val="nil"/>
              <w:bottom w:val="nil"/>
              <w:right w:val="nil"/>
            </w:tcBorders>
            <w:shd w:val="clear" w:color="auto" w:fill="auto"/>
            <w:noWrap/>
            <w:vAlign w:val="center"/>
            <w:hideMark/>
          </w:tcPr>
          <w:p w14:paraId="078A29E7"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occlusion in the head</w:t>
            </w:r>
          </w:p>
        </w:tc>
      </w:tr>
      <w:tr w:rsidR="00DB4040" w:rsidRPr="00C9322A" w14:paraId="76881321" w14:textId="77777777">
        <w:trPr>
          <w:trHeight w:val="300"/>
        </w:trPr>
        <w:tc>
          <w:tcPr>
            <w:tcW w:w="4820" w:type="dxa"/>
            <w:tcBorders>
              <w:top w:val="nil"/>
              <w:left w:val="nil"/>
              <w:bottom w:val="nil"/>
              <w:right w:val="nil"/>
            </w:tcBorders>
            <w:shd w:val="clear" w:color="auto" w:fill="auto"/>
            <w:noWrap/>
            <w:vAlign w:val="center"/>
            <w:hideMark/>
          </w:tcPr>
          <w:p w14:paraId="0245A70F"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Intracranial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bleeding</w:t>
            </w:r>
            <w:proofErr w:type="spellEnd"/>
          </w:p>
        </w:tc>
        <w:tc>
          <w:tcPr>
            <w:tcW w:w="5812" w:type="dxa"/>
            <w:tcBorders>
              <w:top w:val="nil"/>
              <w:left w:val="nil"/>
              <w:bottom w:val="nil"/>
              <w:right w:val="nil"/>
            </w:tcBorders>
            <w:shd w:val="clear" w:color="auto" w:fill="auto"/>
            <w:noWrap/>
            <w:vAlign w:val="center"/>
            <w:hideMark/>
          </w:tcPr>
          <w:p w14:paraId="4526A4AB"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occlusion of the internal carotid artery in the head</w:t>
            </w:r>
          </w:p>
        </w:tc>
      </w:tr>
      <w:tr w:rsidR="00DB4040" w:rsidRPr="00C9322A" w14:paraId="1D880B93" w14:textId="77777777">
        <w:trPr>
          <w:trHeight w:val="300"/>
        </w:trPr>
        <w:tc>
          <w:tcPr>
            <w:tcW w:w="4820" w:type="dxa"/>
            <w:tcBorders>
              <w:top w:val="nil"/>
              <w:left w:val="nil"/>
              <w:bottom w:val="nil"/>
              <w:right w:val="nil"/>
            </w:tcBorders>
            <w:shd w:val="clear" w:color="auto" w:fill="auto"/>
            <w:noWrap/>
            <w:vAlign w:val="center"/>
            <w:hideMark/>
          </w:tcPr>
          <w:p w14:paraId="5D52D61E"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Subdural </w:t>
            </w:r>
            <w:proofErr w:type="spellStart"/>
            <w:r>
              <w:rPr>
                <w:rFonts w:ascii="Arial" w:eastAsia="Times New Roman" w:hAnsi="Arial" w:cs="Arial"/>
                <w:color w:val="000000"/>
                <w:sz w:val="20"/>
                <w:szCs w:val="20"/>
              </w:rPr>
              <w:t>hematoma</w:t>
            </w:r>
            <w:proofErr w:type="spellEnd"/>
            <w:r>
              <w:rPr>
                <w:rFonts w:ascii="Arial" w:eastAsia="Times New Roman" w:hAnsi="Arial" w:cs="Arial"/>
                <w:color w:val="000000"/>
                <w:sz w:val="20"/>
                <w:szCs w:val="20"/>
              </w:rPr>
              <w:t xml:space="preserve"> / </w:t>
            </w:r>
            <w:proofErr w:type="spellStart"/>
            <w:r>
              <w:rPr>
                <w:rFonts w:ascii="Arial" w:eastAsia="Times New Roman" w:hAnsi="Arial" w:cs="Arial"/>
                <w:color w:val="000000"/>
                <w:sz w:val="20"/>
                <w:szCs w:val="20"/>
              </w:rPr>
              <w:t>hygroma</w:t>
            </w:r>
            <w:proofErr w:type="spellEnd"/>
          </w:p>
        </w:tc>
        <w:tc>
          <w:tcPr>
            <w:tcW w:w="5812" w:type="dxa"/>
            <w:tcBorders>
              <w:top w:val="nil"/>
              <w:left w:val="nil"/>
              <w:bottom w:val="nil"/>
              <w:right w:val="nil"/>
            </w:tcBorders>
            <w:shd w:val="clear" w:color="auto" w:fill="auto"/>
            <w:noWrap/>
            <w:vAlign w:val="center"/>
            <w:hideMark/>
          </w:tcPr>
          <w:p w14:paraId="4DED23ED"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occlusion of the cerebral artery in the head</w:t>
            </w:r>
          </w:p>
        </w:tc>
      </w:tr>
      <w:tr w:rsidR="00DB4040" w:rsidRPr="00C9322A" w14:paraId="1FBDFAF2" w14:textId="77777777">
        <w:trPr>
          <w:trHeight w:val="300"/>
        </w:trPr>
        <w:tc>
          <w:tcPr>
            <w:tcW w:w="4820" w:type="dxa"/>
            <w:tcBorders>
              <w:top w:val="nil"/>
              <w:left w:val="nil"/>
              <w:bottom w:val="nil"/>
              <w:right w:val="nil"/>
            </w:tcBorders>
            <w:shd w:val="clear" w:color="auto" w:fill="auto"/>
            <w:noWrap/>
            <w:vAlign w:val="center"/>
            <w:hideMark/>
          </w:tcPr>
          <w:p w14:paraId="0730BD07"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Epidural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hematoma</w:t>
            </w:r>
            <w:proofErr w:type="spellEnd"/>
          </w:p>
        </w:tc>
        <w:tc>
          <w:tcPr>
            <w:tcW w:w="5812" w:type="dxa"/>
            <w:tcBorders>
              <w:top w:val="nil"/>
              <w:left w:val="nil"/>
              <w:bottom w:val="nil"/>
              <w:right w:val="nil"/>
            </w:tcBorders>
            <w:shd w:val="clear" w:color="auto" w:fill="auto"/>
            <w:noWrap/>
            <w:vAlign w:val="center"/>
            <w:hideMark/>
          </w:tcPr>
          <w:p w14:paraId="73D078FA"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occlusion of the posterior cerebral artery in the head</w:t>
            </w:r>
          </w:p>
        </w:tc>
      </w:tr>
      <w:tr w:rsidR="00DB4040" w:rsidRPr="00C9322A" w14:paraId="14F4AA45" w14:textId="77777777">
        <w:trPr>
          <w:trHeight w:val="300"/>
        </w:trPr>
        <w:tc>
          <w:tcPr>
            <w:tcW w:w="4820" w:type="dxa"/>
            <w:tcBorders>
              <w:top w:val="nil"/>
              <w:left w:val="nil"/>
              <w:bottom w:val="nil"/>
              <w:right w:val="nil"/>
            </w:tcBorders>
            <w:shd w:val="clear" w:color="auto" w:fill="auto"/>
            <w:noWrap/>
            <w:vAlign w:val="center"/>
            <w:hideMark/>
          </w:tcPr>
          <w:p w14:paraId="5650CD96"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Subarachnoid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hemorrhage</w:t>
            </w:r>
            <w:proofErr w:type="spellEnd"/>
          </w:p>
        </w:tc>
        <w:tc>
          <w:tcPr>
            <w:tcW w:w="5812" w:type="dxa"/>
            <w:tcBorders>
              <w:top w:val="nil"/>
              <w:left w:val="nil"/>
              <w:bottom w:val="nil"/>
              <w:right w:val="nil"/>
            </w:tcBorders>
            <w:shd w:val="clear" w:color="auto" w:fill="auto"/>
            <w:noWrap/>
            <w:vAlign w:val="center"/>
            <w:hideMark/>
          </w:tcPr>
          <w:p w14:paraId="74EBCBC1"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Anterior cerebral artery occlusion in the head</w:t>
            </w:r>
          </w:p>
        </w:tc>
      </w:tr>
      <w:tr w:rsidR="00DB4040" w:rsidRPr="00C9322A" w14:paraId="24A8E33C" w14:textId="77777777">
        <w:trPr>
          <w:trHeight w:val="300"/>
        </w:trPr>
        <w:tc>
          <w:tcPr>
            <w:tcW w:w="4820" w:type="dxa"/>
            <w:tcBorders>
              <w:top w:val="nil"/>
              <w:left w:val="nil"/>
              <w:bottom w:val="nil"/>
              <w:right w:val="nil"/>
            </w:tcBorders>
            <w:shd w:val="clear" w:color="auto" w:fill="auto"/>
            <w:noWrap/>
            <w:vAlign w:val="center"/>
            <w:hideMark/>
          </w:tcPr>
          <w:p w14:paraId="0934D5FD"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Parenchymal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defect</w:t>
            </w:r>
            <w:proofErr w:type="spellEnd"/>
          </w:p>
        </w:tc>
        <w:tc>
          <w:tcPr>
            <w:tcW w:w="5812" w:type="dxa"/>
            <w:tcBorders>
              <w:top w:val="nil"/>
              <w:left w:val="nil"/>
              <w:bottom w:val="nil"/>
              <w:right w:val="nil"/>
            </w:tcBorders>
            <w:shd w:val="clear" w:color="auto" w:fill="auto"/>
            <w:noWrap/>
            <w:vAlign w:val="center"/>
            <w:hideMark/>
          </w:tcPr>
          <w:p w14:paraId="4B01F1DF"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occlusion of the basilar artery</w:t>
            </w:r>
          </w:p>
        </w:tc>
      </w:tr>
      <w:tr w:rsidR="00DB4040" w14:paraId="1D4253FA" w14:textId="77777777">
        <w:trPr>
          <w:trHeight w:val="300"/>
        </w:trPr>
        <w:tc>
          <w:tcPr>
            <w:tcW w:w="4820" w:type="dxa"/>
            <w:tcBorders>
              <w:top w:val="nil"/>
              <w:left w:val="nil"/>
              <w:bottom w:val="nil"/>
              <w:right w:val="nil"/>
            </w:tcBorders>
            <w:shd w:val="clear" w:color="auto" w:fill="auto"/>
            <w:noWrap/>
            <w:vAlign w:val="center"/>
            <w:hideMark/>
          </w:tcPr>
          <w:p w14:paraId="7E224BDC"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Unclear edema in the head</w:t>
            </w:r>
          </w:p>
        </w:tc>
        <w:tc>
          <w:tcPr>
            <w:tcW w:w="5812" w:type="dxa"/>
            <w:tcBorders>
              <w:top w:val="nil"/>
              <w:left w:val="nil"/>
              <w:bottom w:val="nil"/>
              <w:right w:val="nil"/>
            </w:tcBorders>
            <w:shd w:val="clear" w:color="auto" w:fill="auto"/>
            <w:noWrap/>
            <w:vAlign w:val="center"/>
            <w:hideMark/>
          </w:tcPr>
          <w:p w14:paraId="04C539AD"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Stenosis&gt; 50% in </w:t>
            </w:r>
            <w:proofErr w:type="spellStart"/>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head</w:t>
            </w:r>
            <w:proofErr w:type="spellEnd"/>
          </w:p>
        </w:tc>
      </w:tr>
      <w:tr w:rsidR="00DB4040" w:rsidRPr="00C9322A" w14:paraId="372D1A93" w14:textId="77777777">
        <w:trPr>
          <w:trHeight w:val="300"/>
        </w:trPr>
        <w:tc>
          <w:tcPr>
            <w:tcW w:w="4820" w:type="dxa"/>
            <w:tcBorders>
              <w:top w:val="nil"/>
              <w:left w:val="nil"/>
              <w:bottom w:val="nil"/>
              <w:right w:val="nil"/>
            </w:tcBorders>
            <w:shd w:val="clear" w:color="auto" w:fill="auto"/>
            <w:noWrap/>
            <w:vAlign w:val="center"/>
            <w:hideMark/>
          </w:tcPr>
          <w:p w14:paraId="149C6528"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Mass or Tumor in the head</w:t>
            </w:r>
          </w:p>
        </w:tc>
        <w:tc>
          <w:tcPr>
            <w:tcW w:w="5812" w:type="dxa"/>
            <w:tcBorders>
              <w:top w:val="nil"/>
              <w:left w:val="nil"/>
              <w:bottom w:val="nil"/>
              <w:right w:val="nil"/>
            </w:tcBorders>
            <w:shd w:val="clear" w:color="auto" w:fill="auto"/>
            <w:noWrap/>
            <w:vAlign w:val="center"/>
            <w:hideMark/>
          </w:tcPr>
          <w:p w14:paraId="4EE16002"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internal carotid artery in the head</w:t>
            </w:r>
          </w:p>
        </w:tc>
      </w:tr>
      <w:tr w:rsidR="00DB4040" w:rsidRPr="00C9322A" w14:paraId="3D4A4A92" w14:textId="77777777">
        <w:trPr>
          <w:trHeight w:val="300"/>
        </w:trPr>
        <w:tc>
          <w:tcPr>
            <w:tcW w:w="4820" w:type="dxa"/>
            <w:tcBorders>
              <w:top w:val="nil"/>
              <w:left w:val="nil"/>
              <w:bottom w:val="nil"/>
              <w:right w:val="nil"/>
            </w:tcBorders>
            <w:shd w:val="clear" w:color="auto" w:fill="auto"/>
            <w:noWrap/>
            <w:vAlign w:val="center"/>
            <w:hideMark/>
          </w:tcPr>
          <w:p w14:paraId="586137D1" w14:textId="77777777" w:rsidR="00DB4040" w:rsidRDefault="00762861">
            <w:pPr>
              <w:spacing w:after="0" w:line="480" w:lineRule="auto"/>
              <w:rPr>
                <w:rFonts w:ascii="Arial" w:eastAsia="Times New Roman" w:hAnsi="Arial" w:cs="Arial"/>
                <w:color w:val="000000"/>
                <w:sz w:val="20"/>
                <w:szCs w:val="20"/>
                <w:lang w:val="en-US"/>
              </w:rPr>
            </w:pPr>
            <w:bookmarkStart w:id="0" w:name="_GoBack" w:colFirst="2" w:colLast="2"/>
            <w:r>
              <w:rPr>
                <w:rFonts w:ascii="Arial" w:eastAsia="Times New Roman" w:hAnsi="Arial" w:cs="Arial"/>
                <w:color w:val="000000"/>
                <w:sz w:val="20"/>
                <w:szCs w:val="20"/>
                <w:lang w:val="en-US"/>
              </w:rPr>
              <w:t>Center line shift in the head</w:t>
            </w:r>
          </w:p>
        </w:tc>
        <w:tc>
          <w:tcPr>
            <w:tcW w:w="5812" w:type="dxa"/>
            <w:tcBorders>
              <w:top w:val="nil"/>
              <w:left w:val="nil"/>
              <w:bottom w:val="nil"/>
              <w:right w:val="nil"/>
            </w:tcBorders>
            <w:shd w:val="clear" w:color="auto" w:fill="auto"/>
            <w:noWrap/>
            <w:vAlign w:val="center"/>
            <w:hideMark/>
          </w:tcPr>
          <w:p w14:paraId="24A73288"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cerebral artery in the head</w:t>
            </w:r>
          </w:p>
        </w:tc>
      </w:tr>
      <w:bookmarkEnd w:id="0"/>
      <w:tr w:rsidR="00DB4040" w:rsidRPr="00C9322A" w14:paraId="7887E5A5" w14:textId="77777777">
        <w:trPr>
          <w:trHeight w:val="300"/>
        </w:trPr>
        <w:tc>
          <w:tcPr>
            <w:tcW w:w="4820" w:type="dxa"/>
            <w:tcBorders>
              <w:top w:val="nil"/>
              <w:left w:val="nil"/>
              <w:bottom w:val="nil"/>
              <w:right w:val="nil"/>
            </w:tcBorders>
            <w:shd w:val="clear" w:color="auto" w:fill="auto"/>
            <w:noWrap/>
            <w:vAlign w:val="center"/>
            <w:hideMark/>
          </w:tcPr>
          <w:p w14:paraId="661BA199"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Cyst</w:t>
            </w:r>
            <w:proofErr w:type="spellEnd"/>
            <w:r>
              <w:rPr>
                <w:rFonts w:ascii="Arial" w:eastAsia="Times New Roman" w:hAnsi="Arial" w:cs="Arial"/>
                <w:color w:val="000000"/>
                <w:sz w:val="20"/>
                <w:szCs w:val="20"/>
              </w:rPr>
              <w:t xml:space="preserve"> in </w:t>
            </w:r>
            <w:proofErr w:type="spellStart"/>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head</w:t>
            </w:r>
            <w:proofErr w:type="spellEnd"/>
          </w:p>
        </w:tc>
        <w:tc>
          <w:tcPr>
            <w:tcW w:w="5812" w:type="dxa"/>
            <w:tcBorders>
              <w:top w:val="nil"/>
              <w:left w:val="nil"/>
              <w:bottom w:val="nil"/>
              <w:right w:val="nil"/>
            </w:tcBorders>
            <w:shd w:val="clear" w:color="auto" w:fill="auto"/>
            <w:noWrap/>
            <w:vAlign w:val="center"/>
            <w:hideMark/>
          </w:tcPr>
          <w:p w14:paraId="4D134D43"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posterior cerebral artery in the head</w:t>
            </w:r>
          </w:p>
        </w:tc>
      </w:tr>
      <w:tr w:rsidR="00DB4040" w:rsidRPr="00C9322A" w14:paraId="3F3CC448" w14:textId="77777777">
        <w:trPr>
          <w:trHeight w:val="300"/>
        </w:trPr>
        <w:tc>
          <w:tcPr>
            <w:tcW w:w="4820" w:type="dxa"/>
            <w:tcBorders>
              <w:top w:val="nil"/>
              <w:left w:val="nil"/>
              <w:bottom w:val="nil"/>
              <w:right w:val="nil"/>
            </w:tcBorders>
            <w:shd w:val="clear" w:color="auto" w:fill="auto"/>
            <w:noWrap/>
            <w:vAlign w:val="center"/>
            <w:hideMark/>
          </w:tcPr>
          <w:p w14:paraId="1081D0C6"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Vascular abnormalities in the head</w:t>
            </w:r>
          </w:p>
        </w:tc>
        <w:tc>
          <w:tcPr>
            <w:tcW w:w="5812" w:type="dxa"/>
            <w:tcBorders>
              <w:top w:val="nil"/>
              <w:left w:val="nil"/>
              <w:bottom w:val="nil"/>
              <w:right w:val="nil"/>
            </w:tcBorders>
            <w:shd w:val="clear" w:color="auto" w:fill="auto"/>
            <w:noWrap/>
            <w:vAlign w:val="center"/>
            <w:hideMark/>
          </w:tcPr>
          <w:p w14:paraId="5F32E9B6"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anterior cerebral artery in the head</w:t>
            </w:r>
          </w:p>
        </w:tc>
      </w:tr>
      <w:tr w:rsidR="00DB4040" w:rsidRPr="00C9322A" w14:paraId="407CAA90" w14:textId="77777777">
        <w:trPr>
          <w:trHeight w:val="300"/>
        </w:trPr>
        <w:tc>
          <w:tcPr>
            <w:tcW w:w="4820" w:type="dxa"/>
            <w:tcBorders>
              <w:top w:val="nil"/>
              <w:left w:val="nil"/>
              <w:bottom w:val="nil"/>
              <w:right w:val="nil"/>
            </w:tcBorders>
            <w:shd w:val="clear" w:color="auto" w:fill="auto"/>
            <w:noWrap/>
            <w:vAlign w:val="center"/>
            <w:hideMark/>
          </w:tcPr>
          <w:p w14:paraId="1942DDD8"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Aneurysm</w:t>
            </w:r>
            <w:proofErr w:type="spellEnd"/>
            <w:r>
              <w:rPr>
                <w:rFonts w:ascii="Arial" w:eastAsia="Times New Roman" w:hAnsi="Arial" w:cs="Arial"/>
                <w:color w:val="000000"/>
                <w:sz w:val="20"/>
                <w:szCs w:val="20"/>
              </w:rPr>
              <w:t xml:space="preserve"> in </w:t>
            </w:r>
            <w:proofErr w:type="spellStart"/>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head</w:t>
            </w:r>
            <w:proofErr w:type="spellEnd"/>
          </w:p>
        </w:tc>
        <w:tc>
          <w:tcPr>
            <w:tcW w:w="5812" w:type="dxa"/>
            <w:tcBorders>
              <w:top w:val="nil"/>
              <w:left w:val="nil"/>
              <w:bottom w:val="nil"/>
              <w:right w:val="nil"/>
            </w:tcBorders>
            <w:shd w:val="clear" w:color="auto" w:fill="auto"/>
            <w:noWrap/>
            <w:vAlign w:val="center"/>
            <w:hideMark/>
          </w:tcPr>
          <w:p w14:paraId="35455939"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basilar artery in the head</w:t>
            </w:r>
          </w:p>
        </w:tc>
      </w:tr>
      <w:tr w:rsidR="00DB4040" w:rsidRPr="00C9322A" w14:paraId="745792C7" w14:textId="77777777">
        <w:trPr>
          <w:trHeight w:val="300"/>
        </w:trPr>
        <w:tc>
          <w:tcPr>
            <w:tcW w:w="4820" w:type="dxa"/>
            <w:tcBorders>
              <w:top w:val="nil"/>
              <w:left w:val="nil"/>
              <w:bottom w:val="nil"/>
              <w:right w:val="nil"/>
            </w:tcBorders>
            <w:shd w:val="clear" w:color="auto" w:fill="auto"/>
            <w:noWrap/>
            <w:vAlign w:val="center"/>
            <w:hideMark/>
          </w:tcPr>
          <w:p w14:paraId="09A81B66"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Arteriovenous malformation in the head</w:t>
            </w:r>
          </w:p>
        </w:tc>
        <w:tc>
          <w:tcPr>
            <w:tcW w:w="5812" w:type="dxa"/>
            <w:tcBorders>
              <w:top w:val="nil"/>
              <w:left w:val="nil"/>
              <w:bottom w:val="nil"/>
              <w:right w:val="nil"/>
            </w:tcBorders>
            <w:shd w:val="clear" w:color="auto" w:fill="auto"/>
            <w:noWrap/>
            <w:vAlign w:val="center"/>
            <w:hideMark/>
          </w:tcPr>
          <w:p w14:paraId="112FDDAB"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Stenosis&gt; 50% of the vertebral artery in the head</w:t>
            </w:r>
          </w:p>
        </w:tc>
      </w:tr>
      <w:tr w:rsidR="00DB4040" w:rsidRPr="00C9322A" w14:paraId="1C4BA7E6" w14:textId="77777777">
        <w:trPr>
          <w:trHeight w:val="300"/>
        </w:trPr>
        <w:tc>
          <w:tcPr>
            <w:tcW w:w="4820" w:type="dxa"/>
            <w:tcBorders>
              <w:top w:val="nil"/>
              <w:left w:val="nil"/>
              <w:bottom w:val="nil"/>
              <w:right w:val="nil"/>
            </w:tcBorders>
            <w:shd w:val="clear" w:color="auto" w:fill="auto"/>
            <w:noWrap/>
            <w:vAlign w:val="center"/>
            <w:hideMark/>
          </w:tcPr>
          <w:p w14:paraId="5EA6DC32"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Developmental venous anomaly in the head</w:t>
            </w:r>
          </w:p>
        </w:tc>
        <w:tc>
          <w:tcPr>
            <w:tcW w:w="5812" w:type="dxa"/>
            <w:tcBorders>
              <w:top w:val="nil"/>
              <w:left w:val="nil"/>
              <w:bottom w:val="nil"/>
              <w:right w:val="nil"/>
            </w:tcBorders>
            <w:shd w:val="clear" w:color="auto" w:fill="auto"/>
            <w:noWrap/>
            <w:vAlign w:val="bottom"/>
            <w:hideMark/>
          </w:tcPr>
          <w:p w14:paraId="425A4667" w14:textId="77777777" w:rsidR="00DB4040" w:rsidRDefault="00DB4040">
            <w:pPr>
              <w:spacing w:after="0" w:line="480" w:lineRule="auto"/>
              <w:rPr>
                <w:rFonts w:ascii="Arial" w:eastAsia="Times New Roman" w:hAnsi="Arial" w:cs="Arial"/>
                <w:color w:val="000000"/>
                <w:sz w:val="20"/>
                <w:szCs w:val="20"/>
                <w:lang w:val="en-US"/>
              </w:rPr>
            </w:pPr>
          </w:p>
        </w:tc>
      </w:tr>
      <w:tr w:rsidR="00DB4040" w14:paraId="0A1D2653" w14:textId="77777777">
        <w:trPr>
          <w:trHeight w:val="300"/>
        </w:trPr>
        <w:tc>
          <w:tcPr>
            <w:tcW w:w="4820" w:type="dxa"/>
            <w:tcBorders>
              <w:top w:val="nil"/>
              <w:left w:val="nil"/>
              <w:bottom w:val="nil"/>
              <w:right w:val="nil"/>
            </w:tcBorders>
            <w:shd w:val="clear" w:color="auto" w:fill="auto"/>
            <w:noWrap/>
            <w:vAlign w:val="center"/>
            <w:hideMark/>
          </w:tcPr>
          <w:p w14:paraId="1D74EB2A"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 xml:space="preserve">Malformation in </w:t>
            </w:r>
            <w:proofErr w:type="spellStart"/>
            <w:r>
              <w:rPr>
                <w:rFonts w:ascii="Arial" w:eastAsia="Times New Roman" w:hAnsi="Arial" w:cs="Arial"/>
                <w:color w:val="000000"/>
                <w:sz w:val="20"/>
                <w:szCs w:val="20"/>
              </w:rPr>
              <w:t>the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head</w:t>
            </w:r>
            <w:proofErr w:type="spellEnd"/>
          </w:p>
        </w:tc>
        <w:tc>
          <w:tcPr>
            <w:tcW w:w="5812" w:type="dxa"/>
            <w:tcBorders>
              <w:top w:val="nil"/>
              <w:left w:val="nil"/>
              <w:bottom w:val="nil"/>
              <w:right w:val="nil"/>
            </w:tcBorders>
            <w:shd w:val="clear" w:color="auto" w:fill="auto"/>
            <w:noWrap/>
            <w:vAlign w:val="bottom"/>
            <w:hideMark/>
          </w:tcPr>
          <w:p w14:paraId="296E5E1C" w14:textId="77777777" w:rsidR="00DB4040" w:rsidRDefault="00DB4040">
            <w:pPr>
              <w:spacing w:after="0" w:line="480" w:lineRule="auto"/>
              <w:rPr>
                <w:rFonts w:ascii="Arial" w:eastAsia="Times New Roman" w:hAnsi="Arial" w:cs="Arial"/>
                <w:color w:val="000000"/>
                <w:sz w:val="20"/>
                <w:szCs w:val="20"/>
              </w:rPr>
            </w:pPr>
          </w:p>
        </w:tc>
      </w:tr>
      <w:tr w:rsidR="00DB4040" w14:paraId="31C9AE07" w14:textId="77777777">
        <w:trPr>
          <w:trHeight w:val="300"/>
        </w:trPr>
        <w:tc>
          <w:tcPr>
            <w:tcW w:w="4820" w:type="dxa"/>
            <w:tcBorders>
              <w:top w:val="nil"/>
              <w:left w:val="nil"/>
              <w:bottom w:val="nil"/>
              <w:right w:val="nil"/>
            </w:tcBorders>
            <w:shd w:val="clear" w:color="auto" w:fill="auto"/>
            <w:noWrap/>
            <w:vAlign w:val="center"/>
            <w:hideMark/>
          </w:tcPr>
          <w:p w14:paraId="1B5402F0" w14:textId="012C489B"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lang w:val="en-US"/>
              </w:rPr>
              <w:lastRenderedPageBreak/>
              <w:t>Cerebellar tonsil depression</w:t>
            </w:r>
          </w:p>
        </w:tc>
        <w:tc>
          <w:tcPr>
            <w:tcW w:w="5812" w:type="dxa"/>
            <w:tcBorders>
              <w:top w:val="nil"/>
              <w:left w:val="nil"/>
              <w:bottom w:val="nil"/>
              <w:right w:val="nil"/>
            </w:tcBorders>
            <w:shd w:val="clear" w:color="auto" w:fill="auto"/>
            <w:noWrap/>
            <w:vAlign w:val="center"/>
            <w:hideMark/>
          </w:tcPr>
          <w:p w14:paraId="0101814A" w14:textId="77777777" w:rsidR="00DB4040" w:rsidRDefault="00DB4040">
            <w:pPr>
              <w:spacing w:after="0" w:line="480" w:lineRule="auto"/>
              <w:rPr>
                <w:rFonts w:ascii="Arial" w:eastAsia="Times New Roman" w:hAnsi="Arial" w:cs="Arial"/>
                <w:color w:val="000000"/>
                <w:sz w:val="20"/>
                <w:szCs w:val="20"/>
              </w:rPr>
            </w:pPr>
          </w:p>
        </w:tc>
      </w:tr>
      <w:tr w:rsidR="00DB4040" w:rsidRPr="00C9322A" w14:paraId="41F27E98" w14:textId="77777777">
        <w:trPr>
          <w:trHeight w:val="315"/>
        </w:trPr>
        <w:tc>
          <w:tcPr>
            <w:tcW w:w="4820" w:type="dxa"/>
            <w:tcBorders>
              <w:top w:val="nil"/>
              <w:left w:val="nil"/>
              <w:bottom w:val="single" w:sz="12" w:space="0" w:color="auto"/>
              <w:right w:val="nil"/>
            </w:tcBorders>
            <w:shd w:val="clear" w:color="auto" w:fill="auto"/>
            <w:noWrap/>
            <w:vAlign w:val="center"/>
            <w:hideMark/>
          </w:tcPr>
          <w:p w14:paraId="21261A96"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Abnormalities in the pituitary gland</w:t>
            </w:r>
          </w:p>
        </w:tc>
        <w:tc>
          <w:tcPr>
            <w:tcW w:w="5812" w:type="dxa"/>
            <w:tcBorders>
              <w:top w:val="nil"/>
              <w:left w:val="nil"/>
              <w:bottom w:val="single" w:sz="12" w:space="0" w:color="auto"/>
              <w:right w:val="nil"/>
            </w:tcBorders>
            <w:shd w:val="clear" w:color="auto" w:fill="auto"/>
            <w:noWrap/>
            <w:vAlign w:val="center"/>
            <w:hideMark/>
          </w:tcPr>
          <w:p w14:paraId="4DD6BBE1" w14:textId="1AEA1DA8" w:rsidR="00DB4040" w:rsidRDefault="00DB4040">
            <w:pPr>
              <w:spacing w:after="0" w:line="480" w:lineRule="auto"/>
              <w:rPr>
                <w:rFonts w:ascii="Arial" w:eastAsia="Times New Roman" w:hAnsi="Arial" w:cs="Arial"/>
                <w:color w:val="000000"/>
                <w:sz w:val="20"/>
                <w:szCs w:val="20"/>
                <w:lang w:val="en-US"/>
              </w:rPr>
            </w:pPr>
          </w:p>
        </w:tc>
      </w:tr>
    </w:tbl>
    <w:p w14:paraId="0EEF52E8" w14:textId="77777777" w:rsidR="00DB4040" w:rsidRDefault="00DB4040">
      <w:pPr>
        <w:spacing w:line="360" w:lineRule="auto"/>
        <w:jc w:val="both"/>
        <w:rPr>
          <w:rFonts w:ascii="Arial" w:hAnsi="Arial" w:cs="Arial"/>
          <w:b/>
          <w:lang w:val="en-US"/>
        </w:rPr>
      </w:pPr>
    </w:p>
    <w:p w14:paraId="0E4C3EEA" w14:textId="77777777" w:rsidR="00DB4040" w:rsidRDefault="00DB4040">
      <w:pPr>
        <w:spacing w:line="360" w:lineRule="auto"/>
        <w:jc w:val="both"/>
        <w:rPr>
          <w:rFonts w:ascii="Arial" w:hAnsi="Arial" w:cs="Arial"/>
          <w:b/>
          <w:lang w:val="en-US"/>
        </w:rPr>
        <w:sectPr w:rsidR="00DB4040">
          <w:pgSz w:w="16838" w:h="11906" w:orient="landscape"/>
          <w:pgMar w:top="1418" w:right="1418" w:bottom="2268" w:left="1134" w:header="709" w:footer="709" w:gutter="0"/>
          <w:cols w:space="708"/>
          <w:docGrid w:linePitch="360"/>
        </w:sectPr>
      </w:pPr>
    </w:p>
    <w:p w14:paraId="1E164611" w14:textId="77777777" w:rsidR="00DB4040" w:rsidRDefault="00762861">
      <w:pPr>
        <w:rPr>
          <w:rFonts w:ascii="Arial" w:hAnsi="Arial" w:cs="Arial"/>
          <w:b/>
          <w:lang w:val="en-US"/>
        </w:rPr>
      </w:pPr>
      <w:r>
        <w:rPr>
          <w:rFonts w:ascii="Arial" w:hAnsi="Arial" w:cs="Arial"/>
          <w:b/>
          <w:lang w:val="en-US"/>
        </w:rPr>
        <w:lastRenderedPageBreak/>
        <w:t>Table 2. Characteristics of the MRI study population (n= 2,653)</w:t>
      </w:r>
    </w:p>
    <w:tbl>
      <w:tblPr>
        <w:tblW w:w="0" w:type="auto"/>
        <w:tblLayout w:type="fixed"/>
        <w:tblCellMar>
          <w:left w:w="70" w:type="dxa"/>
          <w:right w:w="70" w:type="dxa"/>
        </w:tblCellMar>
        <w:tblLook w:val="04A0" w:firstRow="1" w:lastRow="0" w:firstColumn="1" w:lastColumn="0" w:noHBand="0" w:noVBand="1"/>
      </w:tblPr>
      <w:tblGrid>
        <w:gridCol w:w="3686"/>
        <w:gridCol w:w="2267"/>
        <w:gridCol w:w="2267"/>
      </w:tblGrid>
      <w:tr w:rsidR="00DB4040" w14:paraId="4EED5F3C" w14:textId="77777777">
        <w:trPr>
          <w:trHeight w:val="315"/>
        </w:trPr>
        <w:tc>
          <w:tcPr>
            <w:tcW w:w="3686" w:type="dxa"/>
            <w:tcBorders>
              <w:top w:val="single" w:sz="12" w:space="0" w:color="auto"/>
              <w:left w:val="nil"/>
              <w:bottom w:val="nil"/>
              <w:right w:val="nil"/>
            </w:tcBorders>
            <w:shd w:val="clear" w:color="auto" w:fill="auto"/>
            <w:noWrap/>
            <w:vAlign w:val="center"/>
            <w:hideMark/>
          </w:tcPr>
          <w:p w14:paraId="578AB059" w14:textId="2280641E" w:rsidR="00DB4040" w:rsidRDefault="00DB4040">
            <w:pPr>
              <w:spacing w:after="0" w:line="480" w:lineRule="auto"/>
              <w:rPr>
                <w:rFonts w:ascii="Arial" w:eastAsia="Times New Roman" w:hAnsi="Arial" w:cs="Arial"/>
                <w:color w:val="000000"/>
                <w:sz w:val="20"/>
                <w:szCs w:val="20"/>
                <w:lang w:val="en-US"/>
              </w:rPr>
            </w:pPr>
          </w:p>
        </w:tc>
        <w:tc>
          <w:tcPr>
            <w:tcW w:w="2267" w:type="dxa"/>
            <w:tcBorders>
              <w:top w:val="single" w:sz="12" w:space="0" w:color="auto"/>
              <w:left w:val="nil"/>
              <w:bottom w:val="nil"/>
              <w:right w:val="nil"/>
            </w:tcBorders>
            <w:shd w:val="clear" w:color="auto" w:fill="auto"/>
            <w:noWrap/>
            <w:vAlign w:val="center"/>
            <w:hideMark/>
          </w:tcPr>
          <w:p w14:paraId="7E9C2CAE" w14:textId="328D86B6" w:rsidR="00DB4040" w:rsidRDefault="00762861">
            <w:pPr>
              <w:spacing w:after="0" w:line="48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en-US"/>
              </w:rPr>
              <w:t>PPI non-user</w:t>
            </w:r>
          </w:p>
        </w:tc>
        <w:tc>
          <w:tcPr>
            <w:tcW w:w="2267" w:type="dxa"/>
            <w:tcBorders>
              <w:top w:val="single" w:sz="12" w:space="0" w:color="auto"/>
              <w:left w:val="nil"/>
              <w:bottom w:val="nil"/>
              <w:right w:val="nil"/>
            </w:tcBorders>
            <w:shd w:val="clear" w:color="auto" w:fill="auto"/>
            <w:noWrap/>
            <w:vAlign w:val="center"/>
            <w:hideMark/>
          </w:tcPr>
          <w:p w14:paraId="486B140F" w14:textId="77777777" w:rsidR="00DB4040" w:rsidRDefault="00762861">
            <w:pPr>
              <w:spacing w:after="0" w:line="48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en-US"/>
              </w:rPr>
              <w:t>PPI user</w:t>
            </w:r>
          </w:p>
        </w:tc>
      </w:tr>
      <w:tr w:rsidR="00DB4040" w14:paraId="7B3C1DB4" w14:textId="77777777">
        <w:trPr>
          <w:trHeight w:val="315"/>
        </w:trPr>
        <w:tc>
          <w:tcPr>
            <w:tcW w:w="3686" w:type="dxa"/>
            <w:tcBorders>
              <w:top w:val="nil"/>
              <w:left w:val="nil"/>
              <w:bottom w:val="single" w:sz="8" w:space="0" w:color="auto"/>
              <w:right w:val="nil"/>
            </w:tcBorders>
            <w:shd w:val="clear" w:color="auto" w:fill="auto"/>
            <w:noWrap/>
            <w:vAlign w:val="center"/>
            <w:hideMark/>
          </w:tcPr>
          <w:p w14:paraId="036B6E32" w14:textId="7A75D1F6" w:rsidR="00DB4040" w:rsidRDefault="00DB4040">
            <w:pPr>
              <w:spacing w:after="0" w:line="480" w:lineRule="auto"/>
              <w:rPr>
                <w:rFonts w:ascii="Arial" w:eastAsia="Times New Roman" w:hAnsi="Arial" w:cs="Arial"/>
                <w:color w:val="000000"/>
                <w:sz w:val="20"/>
                <w:szCs w:val="20"/>
              </w:rPr>
            </w:pPr>
          </w:p>
        </w:tc>
        <w:tc>
          <w:tcPr>
            <w:tcW w:w="2267" w:type="dxa"/>
            <w:tcBorders>
              <w:top w:val="nil"/>
              <w:left w:val="nil"/>
              <w:bottom w:val="single" w:sz="8" w:space="0" w:color="auto"/>
              <w:right w:val="nil"/>
            </w:tcBorders>
            <w:shd w:val="clear" w:color="auto" w:fill="auto"/>
            <w:noWrap/>
            <w:vAlign w:val="center"/>
            <w:hideMark/>
          </w:tcPr>
          <w:p w14:paraId="4B6F2F22" w14:textId="77777777" w:rsidR="00DB4040" w:rsidRDefault="00762861">
            <w:pPr>
              <w:spacing w:after="0" w:line="48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en-US"/>
              </w:rPr>
              <w:t>(n=2,483)</w:t>
            </w:r>
          </w:p>
        </w:tc>
        <w:tc>
          <w:tcPr>
            <w:tcW w:w="2267" w:type="dxa"/>
            <w:tcBorders>
              <w:top w:val="nil"/>
              <w:left w:val="nil"/>
              <w:bottom w:val="single" w:sz="8" w:space="0" w:color="auto"/>
              <w:right w:val="nil"/>
            </w:tcBorders>
            <w:shd w:val="clear" w:color="auto" w:fill="auto"/>
            <w:noWrap/>
            <w:vAlign w:val="center"/>
            <w:hideMark/>
          </w:tcPr>
          <w:p w14:paraId="03700352" w14:textId="77777777" w:rsidR="00DB4040" w:rsidRDefault="00762861">
            <w:pPr>
              <w:spacing w:after="0" w:line="48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lang w:val="en-US"/>
              </w:rPr>
              <w:t>(n=170)</w:t>
            </w:r>
          </w:p>
        </w:tc>
      </w:tr>
      <w:tr w:rsidR="00DB4040" w14:paraId="363236B5" w14:textId="77777777">
        <w:trPr>
          <w:trHeight w:val="315"/>
        </w:trPr>
        <w:tc>
          <w:tcPr>
            <w:tcW w:w="3686" w:type="dxa"/>
            <w:tcBorders>
              <w:top w:val="nil"/>
              <w:left w:val="nil"/>
              <w:bottom w:val="nil"/>
              <w:right w:val="nil"/>
            </w:tcBorders>
            <w:shd w:val="clear" w:color="auto" w:fill="auto"/>
            <w:noWrap/>
            <w:vAlign w:val="center"/>
            <w:hideMark/>
          </w:tcPr>
          <w:p w14:paraId="4C4C7614"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lang w:val="en-US"/>
              </w:rPr>
              <w:t>SHIP-2</w:t>
            </w:r>
          </w:p>
        </w:tc>
        <w:tc>
          <w:tcPr>
            <w:tcW w:w="2267" w:type="dxa"/>
            <w:tcBorders>
              <w:top w:val="nil"/>
              <w:left w:val="nil"/>
              <w:bottom w:val="nil"/>
              <w:right w:val="nil"/>
            </w:tcBorders>
            <w:shd w:val="clear" w:color="auto" w:fill="auto"/>
            <w:noWrap/>
            <w:vAlign w:val="center"/>
          </w:tcPr>
          <w:p w14:paraId="2C5AC87D" w14:textId="77777777" w:rsidR="00DB4040" w:rsidRDefault="00762861">
            <w:pPr>
              <w:spacing w:after="0" w:line="48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725</w:t>
            </w:r>
          </w:p>
        </w:tc>
        <w:tc>
          <w:tcPr>
            <w:tcW w:w="2267" w:type="dxa"/>
            <w:tcBorders>
              <w:top w:val="nil"/>
              <w:left w:val="nil"/>
              <w:bottom w:val="nil"/>
              <w:right w:val="nil"/>
            </w:tcBorders>
            <w:shd w:val="clear" w:color="auto" w:fill="auto"/>
            <w:noWrap/>
            <w:vAlign w:val="center"/>
          </w:tcPr>
          <w:p w14:paraId="31CA3A7A" w14:textId="77777777" w:rsidR="00DB4040" w:rsidRDefault="00762861">
            <w:pPr>
              <w:spacing w:after="0" w:line="48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63</w:t>
            </w:r>
          </w:p>
        </w:tc>
      </w:tr>
      <w:tr w:rsidR="00DB4040" w14:paraId="6549FDB7" w14:textId="77777777">
        <w:trPr>
          <w:trHeight w:val="315"/>
        </w:trPr>
        <w:tc>
          <w:tcPr>
            <w:tcW w:w="3686" w:type="dxa"/>
            <w:tcBorders>
              <w:top w:val="single" w:sz="8" w:space="0" w:color="auto"/>
              <w:left w:val="nil"/>
              <w:bottom w:val="nil"/>
              <w:right w:val="nil"/>
            </w:tcBorders>
            <w:shd w:val="clear" w:color="auto" w:fill="auto"/>
            <w:noWrap/>
            <w:vAlign w:val="center"/>
            <w:hideMark/>
          </w:tcPr>
          <w:p w14:paraId="3F69962B"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lang w:val="en-US"/>
              </w:rPr>
              <w:t>SHIP-Trend</w:t>
            </w:r>
          </w:p>
        </w:tc>
        <w:tc>
          <w:tcPr>
            <w:tcW w:w="2267" w:type="dxa"/>
            <w:tcBorders>
              <w:top w:val="single" w:sz="8" w:space="0" w:color="auto"/>
              <w:left w:val="nil"/>
              <w:bottom w:val="nil"/>
              <w:right w:val="nil"/>
            </w:tcBorders>
            <w:shd w:val="clear" w:color="auto" w:fill="auto"/>
            <w:noWrap/>
            <w:vAlign w:val="center"/>
          </w:tcPr>
          <w:p w14:paraId="50B2D659" w14:textId="77777777" w:rsidR="00DB4040" w:rsidRDefault="00762861">
            <w:pPr>
              <w:spacing w:after="0" w:line="48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1,758</w:t>
            </w:r>
          </w:p>
        </w:tc>
        <w:tc>
          <w:tcPr>
            <w:tcW w:w="2267" w:type="dxa"/>
            <w:tcBorders>
              <w:top w:val="single" w:sz="8" w:space="0" w:color="auto"/>
              <w:left w:val="nil"/>
              <w:bottom w:val="nil"/>
              <w:right w:val="nil"/>
            </w:tcBorders>
            <w:shd w:val="clear" w:color="auto" w:fill="auto"/>
            <w:noWrap/>
            <w:vAlign w:val="center"/>
          </w:tcPr>
          <w:p w14:paraId="77D5EF4B" w14:textId="77777777" w:rsidR="00DB4040" w:rsidRDefault="00762861">
            <w:pPr>
              <w:spacing w:after="0" w:line="48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107</w:t>
            </w:r>
          </w:p>
        </w:tc>
      </w:tr>
      <w:tr w:rsidR="00DB4040" w14:paraId="3883FF8A" w14:textId="77777777">
        <w:trPr>
          <w:trHeight w:val="300"/>
        </w:trPr>
        <w:tc>
          <w:tcPr>
            <w:tcW w:w="3686" w:type="dxa"/>
            <w:tcBorders>
              <w:top w:val="single" w:sz="8" w:space="0" w:color="auto"/>
              <w:left w:val="nil"/>
              <w:bottom w:val="nil"/>
              <w:right w:val="nil"/>
            </w:tcBorders>
            <w:shd w:val="clear" w:color="auto" w:fill="auto"/>
            <w:noWrap/>
            <w:vAlign w:val="center"/>
            <w:hideMark/>
          </w:tcPr>
          <w:p w14:paraId="62973DDB"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lang w:val="en-US"/>
              </w:rPr>
              <w:t>GMV (ml)</w:t>
            </w:r>
          </w:p>
        </w:tc>
        <w:tc>
          <w:tcPr>
            <w:tcW w:w="2267" w:type="dxa"/>
            <w:tcBorders>
              <w:top w:val="single" w:sz="8" w:space="0" w:color="auto"/>
              <w:left w:val="nil"/>
              <w:bottom w:val="nil"/>
              <w:right w:val="nil"/>
            </w:tcBorders>
            <w:shd w:val="clear" w:color="auto" w:fill="auto"/>
            <w:noWrap/>
          </w:tcPr>
          <w:p w14:paraId="5F2CD55F"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610 (568, 655)</w:t>
            </w:r>
          </w:p>
        </w:tc>
        <w:tc>
          <w:tcPr>
            <w:tcW w:w="2267" w:type="dxa"/>
            <w:tcBorders>
              <w:top w:val="single" w:sz="8" w:space="0" w:color="auto"/>
              <w:left w:val="nil"/>
              <w:bottom w:val="nil"/>
              <w:right w:val="nil"/>
            </w:tcBorders>
            <w:shd w:val="clear" w:color="auto" w:fill="auto"/>
            <w:noWrap/>
          </w:tcPr>
          <w:p w14:paraId="56027D0B"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585 (549, 618)</w:t>
            </w:r>
          </w:p>
        </w:tc>
      </w:tr>
      <w:tr w:rsidR="00DB4040" w14:paraId="44D26838" w14:textId="77777777">
        <w:trPr>
          <w:trHeight w:val="300"/>
        </w:trPr>
        <w:tc>
          <w:tcPr>
            <w:tcW w:w="3686" w:type="dxa"/>
            <w:tcBorders>
              <w:top w:val="nil"/>
              <w:left w:val="nil"/>
              <w:bottom w:val="nil"/>
              <w:right w:val="nil"/>
            </w:tcBorders>
            <w:shd w:val="clear" w:color="auto" w:fill="auto"/>
            <w:noWrap/>
            <w:vAlign w:val="center"/>
            <w:hideMark/>
          </w:tcPr>
          <w:p w14:paraId="3AEF243B"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WMV (ml)</w:t>
            </w:r>
          </w:p>
        </w:tc>
        <w:tc>
          <w:tcPr>
            <w:tcW w:w="2267" w:type="dxa"/>
            <w:tcBorders>
              <w:top w:val="nil"/>
              <w:left w:val="nil"/>
              <w:bottom w:val="nil"/>
              <w:right w:val="nil"/>
            </w:tcBorders>
            <w:shd w:val="clear" w:color="auto" w:fill="auto"/>
            <w:noWrap/>
          </w:tcPr>
          <w:p w14:paraId="034DAFC6"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537 (492, 589)</w:t>
            </w:r>
          </w:p>
        </w:tc>
        <w:tc>
          <w:tcPr>
            <w:tcW w:w="2267" w:type="dxa"/>
            <w:tcBorders>
              <w:top w:val="nil"/>
              <w:left w:val="nil"/>
              <w:bottom w:val="nil"/>
              <w:right w:val="nil"/>
            </w:tcBorders>
            <w:shd w:val="clear" w:color="auto" w:fill="auto"/>
            <w:noWrap/>
          </w:tcPr>
          <w:p w14:paraId="565CE53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522 (483, 567)</w:t>
            </w:r>
          </w:p>
        </w:tc>
      </w:tr>
      <w:tr w:rsidR="00DB4040" w14:paraId="6C52EE00" w14:textId="77777777">
        <w:trPr>
          <w:trHeight w:val="300"/>
        </w:trPr>
        <w:tc>
          <w:tcPr>
            <w:tcW w:w="3686" w:type="dxa"/>
            <w:tcBorders>
              <w:top w:val="nil"/>
              <w:left w:val="nil"/>
              <w:bottom w:val="nil"/>
              <w:right w:val="nil"/>
            </w:tcBorders>
            <w:shd w:val="clear" w:color="auto" w:fill="auto"/>
            <w:noWrap/>
            <w:vAlign w:val="center"/>
            <w:hideMark/>
          </w:tcPr>
          <w:p w14:paraId="56F4F2C6"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TBV (ml)</w:t>
            </w:r>
          </w:p>
        </w:tc>
        <w:tc>
          <w:tcPr>
            <w:tcW w:w="2267" w:type="dxa"/>
            <w:tcBorders>
              <w:top w:val="nil"/>
              <w:left w:val="nil"/>
              <w:bottom w:val="nil"/>
              <w:right w:val="nil"/>
            </w:tcBorders>
            <w:shd w:val="clear" w:color="auto" w:fill="auto"/>
            <w:noWrap/>
          </w:tcPr>
          <w:p w14:paraId="0E128C3F"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1,113 (1,035, 1,197)</w:t>
            </w:r>
          </w:p>
        </w:tc>
        <w:tc>
          <w:tcPr>
            <w:tcW w:w="2267" w:type="dxa"/>
            <w:tcBorders>
              <w:top w:val="nil"/>
              <w:left w:val="nil"/>
              <w:bottom w:val="nil"/>
              <w:right w:val="nil"/>
            </w:tcBorders>
            <w:shd w:val="clear" w:color="auto" w:fill="auto"/>
            <w:noWrap/>
          </w:tcPr>
          <w:p w14:paraId="789AF917"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1,066 (1,002, 1,148)</w:t>
            </w:r>
          </w:p>
        </w:tc>
      </w:tr>
      <w:tr w:rsidR="00DB4040" w14:paraId="3828F746" w14:textId="77777777">
        <w:trPr>
          <w:trHeight w:val="300"/>
        </w:trPr>
        <w:tc>
          <w:tcPr>
            <w:tcW w:w="3686" w:type="dxa"/>
            <w:tcBorders>
              <w:top w:val="nil"/>
              <w:left w:val="nil"/>
              <w:bottom w:val="nil"/>
              <w:right w:val="nil"/>
            </w:tcBorders>
            <w:shd w:val="clear" w:color="auto" w:fill="auto"/>
            <w:noWrap/>
            <w:vAlign w:val="center"/>
            <w:hideMark/>
          </w:tcPr>
          <w:p w14:paraId="44815F93"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HV (ml)</w:t>
            </w:r>
          </w:p>
        </w:tc>
        <w:tc>
          <w:tcPr>
            <w:tcW w:w="2267" w:type="dxa"/>
            <w:tcBorders>
              <w:top w:val="nil"/>
              <w:left w:val="nil"/>
              <w:bottom w:val="nil"/>
              <w:right w:val="nil"/>
            </w:tcBorders>
            <w:shd w:val="clear" w:color="auto" w:fill="auto"/>
            <w:noWrap/>
          </w:tcPr>
          <w:p w14:paraId="323C61B2"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7.96 (7.36, 8.54)</w:t>
            </w:r>
          </w:p>
        </w:tc>
        <w:tc>
          <w:tcPr>
            <w:tcW w:w="2267" w:type="dxa"/>
            <w:tcBorders>
              <w:top w:val="nil"/>
              <w:left w:val="nil"/>
              <w:bottom w:val="nil"/>
              <w:right w:val="nil"/>
            </w:tcBorders>
            <w:shd w:val="clear" w:color="auto" w:fill="auto"/>
            <w:noWrap/>
          </w:tcPr>
          <w:p w14:paraId="517CB497"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7.62 (7.19, 8.17)</w:t>
            </w:r>
          </w:p>
        </w:tc>
      </w:tr>
      <w:tr w:rsidR="00DB4040" w14:paraId="489FAD0C" w14:textId="77777777">
        <w:trPr>
          <w:trHeight w:val="300"/>
        </w:trPr>
        <w:tc>
          <w:tcPr>
            <w:tcW w:w="3686" w:type="dxa"/>
            <w:tcBorders>
              <w:top w:val="nil"/>
              <w:left w:val="nil"/>
              <w:bottom w:val="nil"/>
              <w:right w:val="nil"/>
            </w:tcBorders>
            <w:shd w:val="clear" w:color="auto" w:fill="auto"/>
            <w:noWrap/>
            <w:vAlign w:val="center"/>
          </w:tcPr>
          <w:p w14:paraId="16A2F9EB"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Left</w:t>
            </w:r>
            <w:proofErr w:type="spellEnd"/>
            <w:r>
              <w:rPr>
                <w:rFonts w:ascii="Arial" w:eastAsia="Times New Roman" w:hAnsi="Arial" w:cs="Arial"/>
                <w:color w:val="000000"/>
                <w:sz w:val="20"/>
                <w:szCs w:val="20"/>
              </w:rPr>
              <w:t xml:space="preserve"> HV (ml)</w:t>
            </w:r>
          </w:p>
        </w:tc>
        <w:tc>
          <w:tcPr>
            <w:tcW w:w="2267" w:type="dxa"/>
            <w:tcBorders>
              <w:top w:val="nil"/>
              <w:left w:val="nil"/>
              <w:bottom w:val="nil"/>
              <w:right w:val="nil"/>
            </w:tcBorders>
            <w:shd w:val="clear" w:color="auto" w:fill="auto"/>
            <w:noWrap/>
          </w:tcPr>
          <w:p w14:paraId="055A7CC6" w14:textId="77777777" w:rsidR="00DB4040" w:rsidRDefault="00762861">
            <w:pPr>
              <w:spacing w:after="0" w:line="480" w:lineRule="auto"/>
              <w:jc w:val="center"/>
              <w:rPr>
                <w:rFonts w:ascii="Arial" w:hAnsi="Arial" w:cs="Arial"/>
                <w:sz w:val="20"/>
                <w:szCs w:val="20"/>
              </w:rPr>
            </w:pPr>
            <w:r>
              <w:rPr>
                <w:rFonts w:ascii="Arial" w:hAnsi="Arial" w:cs="Arial"/>
                <w:sz w:val="20"/>
                <w:szCs w:val="20"/>
              </w:rPr>
              <w:t>3.94 (3.63, 4.23)</w:t>
            </w:r>
          </w:p>
        </w:tc>
        <w:tc>
          <w:tcPr>
            <w:tcW w:w="2267" w:type="dxa"/>
            <w:tcBorders>
              <w:top w:val="nil"/>
              <w:left w:val="nil"/>
              <w:bottom w:val="nil"/>
              <w:right w:val="nil"/>
            </w:tcBorders>
            <w:shd w:val="clear" w:color="auto" w:fill="auto"/>
            <w:noWrap/>
          </w:tcPr>
          <w:p w14:paraId="7B716795" w14:textId="77777777" w:rsidR="00DB4040" w:rsidRDefault="00762861">
            <w:pPr>
              <w:spacing w:after="0" w:line="480" w:lineRule="auto"/>
              <w:jc w:val="center"/>
              <w:rPr>
                <w:rFonts w:ascii="Arial" w:hAnsi="Arial" w:cs="Arial"/>
                <w:sz w:val="20"/>
                <w:szCs w:val="20"/>
              </w:rPr>
            </w:pPr>
            <w:r>
              <w:rPr>
                <w:rFonts w:ascii="Arial" w:hAnsi="Arial" w:cs="Arial"/>
                <w:sz w:val="20"/>
                <w:szCs w:val="20"/>
              </w:rPr>
              <w:t>3.77 (3.52, 4.04)</w:t>
            </w:r>
          </w:p>
        </w:tc>
      </w:tr>
      <w:tr w:rsidR="00DB4040" w14:paraId="6FD9C042" w14:textId="77777777">
        <w:trPr>
          <w:trHeight w:val="300"/>
        </w:trPr>
        <w:tc>
          <w:tcPr>
            <w:tcW w:w="3686" w:type="dxa"/>
            <w:tcBorders>
              <w:top w:val="nil"/>
              <w:left w:val="nil"/>
              <w:bottom w:val="nil"/>
              <w:right w:val="nil"/>
            </w:tcBorders>
            <w:shd w:val="clear" w:color="auto" w:fill="auto"/>
            <w:noWrap/>
            <w:vAlign w:val="center"/>
          </w:tcPr>
          <w:p w14:paraId="30BE912F"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Right</w:t>
            </w:r>
            <w:proofErr w:type="spellEnd"/>
            <w:r>
              <w:rPr>
                <w:rFonts w:ascii="Arial" w:eastAsia="Times New Roman" w:hAnsi="Arial" w:cs="Arial"/>
                <w:color w:val="000000"/>
                <w:sz w:val="20"/>
                <w:szCs w:val="20"/>
              </w:rPr>
              <w:t xml:space="preserve"> HV (ml)</w:t>
            </w:r>
          </w:p>
        </w:tc>
        <w:tc>
          <w:tcPr>
            <w:tcW w:w="2267" w:type="dxa"/>
            <w:tcBorders>
              <w:top w:val="nil"/>
              <w:left w:val="nil"/>
              <w:bottom w:val="nil"/>
              <w:right w:val="nil"/>
            </w:tcBorders>
            <w:shd w:val="clear" w:color="auto" w:fill="auto"/>
            <w:noWrap/>
          </w:tcPr>
          <w:p w14:paraId="19D47A2A" w14:textId="77777777" w:rsidR="00DB4040" w:rsidRDefault="00762861">
            <w:pPr>
              <w:spacing w:after="0" w:line="480" w:lineRule="auto"/>
              <w:jc w:val="center"/>
              <w:rPr>
                <w:rFonts w:ascii="Arial" w:hAnsi="Arial" w:cs="Arial"/>
                <w:sz w:val="20"/>
                <w:szCs w:val="20"/>
              </w:rPr>
            </w:pPr>
            <w:r>
              <w:rPr>
                <w:rFonts w:ascii="Arial" w:hAnsi="Arial" w:cs="Arial"/>
                <w:sz w:val="20"/>
                <w:szCs w:val="20"/>
              </w:rPr>
              <w:t>4.03 (3.72, 4.34)</w:t>
            </w:r>
          </w:p>
        </w:tc>
        <w:tc>
          <w:tcPr>
            <w:tcW w:w="2267" w:type="dxa"/>
            <w:tcBorders>
              <w:top w:val="nil"/>
              <w:left w:val="nil"/>
              <w:bottom w:val="nil"/>
              <w:right w:val="nil"/>
            </w:tcBorders>
            <w:shd w:val="clear" w:color="auto" w:fill="auto"/>
            <w:noWrap/>
          </w:tcPr>
          <w:p w14:paraId="075F58AE" w14:textId="77777777" w:rsidR="00DB4040" w:rsidRDefault="00762861">
            <w:pPr>
              <w:spacing w:after="0" w:line="480" w:lineRule="auto"/>
              <w:jc w:val="center"/>
              <w:rPr>
                <w:rFonts w:ascii="Arial" w:hAnsi="Arial" w:cs="Arial"/>
                <w:sz w:val="20"/>
                <w:szCs w:val="20"/>
              </w:rPr>
            </w:pPr>
            <w:r>
              <w:rPr>
                <w:rFonts w:ascii="Arial" w:hAnsi="Arial" w:cs="Arial"/>
                <w:sz w:val="20"/>
                <w:szCs w:val="20"/>
              </w:rPr>
              <w:t>3.86 (3.61, 4.16)</w:t>
            </w:r>
          </w:p>
        </w:tc>
      </w:tr>
      <w:tr w:rsidR="00DB4040" w14:paraId="3449E107" w14:textId="77777777">
        <w:trPr>
          <w:trHeight w:val="300"/>
        </w:trPr>
        <w:tc>
          <w:tcPr>
            <w:tcW w:w="3686" w:type="dxa"/>
            <w:tcBorders>
              <w:top w:val="nil"/>
              <w:left w:val="nil"/>
              <w:bottom w:val="nil"/>
              <w:right w:val="nil"/>
            </w:tcBorders>
            <w:shd w:val="clear" w:color="auto" w:fill="auto"/>
            <w:noWrap/>
            <w:vAlign w:val="center"/>
            <w:hideMark/>
          </w:tcPr>
          <w:p w14:paraId="0FB194E6"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ICV (ml)</w:t>
            </w:r>
          </w:p>
        </w:tc>
        <w:tc>
          <w:tcPr>
            <w:tcW w:w="2267" w:type="dxa"/>
            <w:tcBorders>
              <w:top w:val="nil"/>
              <w:left w:val="nil"/>
              <w:bottom w:val="nil"/>
              <w:right w:val="nil"/>
            </w:tcBorders>
            <w:shd w:val="clear" w:color="auto" w:fill="auto"/>
            <w:noWrap/>
          </w:tcPr>
          <w:p w14:paraId="2AA9E4D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1,576 (1,473, 1,696)</w:t>
            </w:r>
          </w:p>
        </w:tc>
        <w:tc>
          <w:tcPr>
            <w:tcW w:w="2267" w:type="dxa"/>
            <w:tcBorders>
              <w:top w:val="nil"/>
              <w:left w:val="nil"/>
              <w:bottom w:val="nil"/>
              <w:right w:val="nil"/>
            </w:tcBorders>
            <w:shd w:val="clear" w:color="auto" w:fill="auto"/>
            <w:noWrap/>
          </w:tcPr>
          <w:p w14:paraId="52BCE92A"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1,530 (1,437, 1,644)</w:t>
            </w:r>
          </w:p>
        </w:tc>
      </w:tr>
      <w:tr w:rsidR="00DB4040" w14:paraId="14C3CB2C" w14:textId="77777777">
        <w:trPr>
          <w:trHeight w:val="300"/>
        </w:trPr>
        <w:tc>
          <w:tcPr>
            <w:tcW w:w="3686" w:type="dxa"/>
            <w:tcBorders>
              <w:top w:val="nil"/>
              <w:left w:val="nil"/>
              <w:bottom w:val="nil"/>
              <w:right w:val="nil"/>
            </w:tcBorders>
            <w:shd w:val="clear" w:color="auto" w:fill="auto"/>
            <w:noWrap/>
            <w:vAlign w:val="center"/>
            <w:hideMark/>
          </w:tcPr>
          <w:p w14:paraId="114A8B2F"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Brain age (years)</w:t>
            </w:r>
          </w:p>
        </w:tc>
        <w:tc>
          <w:tcPr>
            <w:tcW w:w="2267" w:type="dxa"/>
            <w:tcBorders>
              <w:top w:val="nil"/>
              <w:left w:val="nil"/>
              <w:bottom w:val="nil"/>
              <w:right w:val="nil"/>
            </w:tcBorders>
            <w:shd w:val="clear" w:color="auto" w:fill="auto"/>
            <w:noWrap/>
          </w:tcPr>
          <w:p w14:paraId="73CA420B"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52.0 (43.2, 60.0)</w:t>
            </w:r>
          </w:p>
        </w:tc>
        <w:tc>
          <w:tcPr>
            <w:tcW w:w="2267" w:type="dxa"/>
            <w:tcBorders>
              <w:top w:val="nil"/>
              <w:left w:val="nil"/>
              <w:bottom w:val="nil"/>
              <w:right w:val="nil"/>
            </w:tcBorders>
            <w:shd w:val="clear" w:color="auto" w:fill="auto"/>
            <w:noWrap/>
          </w:tcPr>
          <w:p w14:paraId="3154942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58.4 (50.5, 66.7)</w:t>
            </w:r>
          </w:p>
        </w:tc>
      </w:tr>
      <w:tr w:rsidR="00DB4040" w14:paraId="08F55306" w14:textId="77777777">
        <w:trPr>
          <w:trHeight w:val="300"/>
        </w:trPr>
        <w:tc>
          <w:tcPr>
            <w:tcW w:w="3686" w:type="dxa"/>
            <w:tcBorders>
              <w:top w:val="nil"/>
              <w:left w:val="nil"/>
              <w:bottom w:val="nil"/>
              <w:right w:val="nil"/>
            </w:tcBorders>
            <w:shd w:val="clear" w:color="auto" w:fill="auto"/>
            <w:noWrap/>
            <w:vAlign w:val="center"/>
            <w:hideMark/>
          </w:tcPr>
          <w:p w14:paraId="36562343"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Age (</w:t>
            </w:r>
            <w:proofErr w:type="spellStart"/>
            <w:r>
              <w:rPr>
                <w:rFonts w:ascii="Arial" w:eastAsia="Times New Roman" w:hAnsi="Arial" w:cs="Arial"/>
                <w:color w:val="000000"/>
                <w:sz w:val="20"/>
                <w:szCs w:val="20"/>
              </w:rPr>
              <w:t>years</w:t>
            </w:r>
            <w:proofErr w:type="spellEnd"/>
            <w:r>
              <w:rPr>
                <w:rFonts w:ascii="Arial" w:eastAsia="Times New Roman" w:hAnsi="Arial" w:cs="Arial"/>
                <w:color w:val="000000"/>
                <w:sz w:val="20"/>
                <w:szCs w:val="20"/>
              </w:rPr>
              <w:t>)</w:t>
            </w:r>
          </w:p>
        </w:tc>
        <w:tc>
          <w:tcPr>
            <w:tcW w:w="2267" w:type="dxa"/>
            <w:tcBorders>
              <w:top w:val="nil"/>
              <w:left w:val="nil"/>
              <w:bottom w:val="nil"/>
              <w:right w:val="nil"/>
            </w:tcBorders>
            <w:shd w:val="clear" w:color="auto" w:fill="auto"/>
            <w:noWrap/>
          </w:tcPr>
          <w:p w14:paraId="219397B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51.0 (41.0, 62.0)</w:t>
            </w:r>
          </w:p>
        </w:tc>
        <w:tc>
          <w:tcPr>
            <w:tcW w:w="2267" w:type="dxa"/>
            <w:tcBorders>
              <w:top w:val="nil"/>
              <w:left w:val="nil"/>
              <w:bottom w:val="nil"/>
              <w:right w:val="nil"/>
            </w:tcBorders>
            <w:shd w:val="clear" w:color="auto" w:fill="auto"/>
            <w:noWrap/>
          </w:tcPr>
          <w:p w14:paraId="3630CB5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60.0 (50.0, 68.0)</w:t>
            </w:r>
          </w:p>
        </w:tc>
      </w:tr>
      <w:tr w:rsidR="00DB4040" w14:paraId="0A7E08A3" w14:textId="77777777">
        <w:trPr>
          <w:trHeight w:val="300"/>
        </w:trPr>
        <w:tc>
          <w:tcPr>
            <w:tcW w:w="3686" w:type="dxa"/>
            <w:tcBorders>
              <w:top w:val="nil"/>
              <w:left w:val="nil"/>
              <w:bottom w:val="nil"/>
              <w:right w:val="nil"/>
            </w:tcBorders>
            <w:shd w:val="clear" w:color="auto" w:fill="auto"/>
            <w:noWrap/>
            <w:vAlign w:val="center"/>
            <w:hideMark/>
          </w:tcPr>
          <w:p w14:paraId="467ECA2C"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Women (n,%)</w:t>
            </w:r>
          </w:p>
        </w:tc>
        <w:tc>
          <w:tcPr>
            <w:tcW w:w="2267" w:type="dxa"/>
            <w:tcBorders>
              <w:top w:val="nil"/>
              <w:left w:val="nil"/>
              <w:bottom w:val="nil"/>
              <w:right w:val="nil"/>
            </w:tcBorders>
            <w:shd w:val="clear" w:color="auto" w:fill="auto"/>
            <w:noWrap/>
          </w:tcPr>
          <w:p w14:paraId="091ECE4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1,291 (52.0)</w:t>
            </w:r>
          </w:p>
        </w:tc>
        <w:tc>
          <w:tcPr>
            <w:tcW w:w="2267" w:type="dxa"/>
            <w:tcBorders>
              <w:top w:val="nil"/>
              <w:left w:val="nil"/>
              <w:bottom w:val="nil"/>
              <w:right w:val="nil"/>
            </w:tcBorders>
            <w:shd w:val="clear" w:color="auto" w:fill="auto"/>
            <w:noWrap/>
          </w:tcPr>
          <w:p w14:paraId="7DDC60E4"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104 (61.2)</w:t>
            </w:r>
          </w:p>
        </w:tc>
      </w:tr>
      <w:tr w:rsidR="00DB4040" w14:paraId="3BDCECA0" w14:textId="77777777">
        <w:trPr>
          <w:trHeight w:val="300"/>
        </w:trPr>
        <w:tc>
          <w:tcPr>
            <w:tcW w:w="3686" w:type="dxa"/>
            <w:tcBorders>
              <w:top w:val="nil"/>
              <w:left w:val="nil"/>
              <w:bottom w:val="nil"/>
              <w:right w:val="nil"/>
            </w:tcBorders>
            <w:shd w:val="clear" w:color="auto" w:fill="auto"/>
            <w:noWrap/>
            <w:vAlign w:val="center"/>
          </w:tcPr>
          <w:p w14:paraId="201E07CB"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Brain lesion or vascular risk factor (n</w:t>
            </w:r>
            <w:proofErr w:type="gramStart"/>
            <w:r>
              <w:rPr>
                <w:rFonts w:ascii="Arial" w:eastAsia="Times New Roman" w:hAnsi="Arial" w:cs="Arial"/>
                <w:color w:val="000000"/>
                <w:sz w:val="20"/>
                <w:szCs w:val="20"/>
                <w:lang w:val="en-US"/>
              </w:rPr>
              <w:t>,%</w:t>
            </w:r>
            <w:proofErr w:type="gramEnd"/>
            <w:r>
              <w:rPr>
                <w:rFonts w:ascii="Arial" w:eastAsia="Times New Roman" w:hAnsi="Arial" w:cs="Arial"/>
                <w:color w:val="000000"/>
                <w:sz w:val="20"/>
                <w:szCs w:val="20"/>
                <w:lang w:val="en-US"/>
              </w:rPr>
              <w:t>)</w:t>
            </w:r>
          </w:p>
        </w:tc>
        <w:tc>
          <w:tcPr>
            <w:tcW w:w="2267" w:type="dxa"/>
            <w:tcBorders>
              <w:top w:val="nil"/>
              <w:left w:val="nil"/>
              <w:bottom w:val="nil"/>
              <w:right w:val="nil"/>
            </w:tcBorders>
            <w:shd w:val="clear" w:color="auto" w:fill="auto"/>
            <w:noWrap/>
          </w:tcPr>
          <w:p w14:paraId="3B1DC186"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652 (26.3)</w:t>
            </w:r>
          </w:p>
        </w:tc>
        <w:tc>
          <w:tcPr>
            <w:tcW w:w="2267" w:type="dxa"/>
            <w:tcBorders>
              <w:top w:val="nil"/>
              <w:left w:val="nil"/>
              <w:bottom w:val="nil"/>
              <w:right w:val="nil"/>
            </w:tcBorders>
            <w:shd w:val="clear" w:color="auto" w:fill="auto"/>
            <w:noWrap/>
          </w:tcPr>
          <w:p w14:paraId="7F961628" w14:textId="77777777" w:rsidR="00DB4040" w:rsidRDefault="00762861">
            <w:pPr>
              <w:spacing w:after="0" w:line="480" w:lineRule="auto"/>
              <w:jc w:val="center"/>
              <w:rPr>
                <w:rFonts w:ascii="Arial" w:eastAsia="Times New Roman" w:hAnsi="Arial" w:cs="Arial"/>
                <w:sz w:val="20"/>
                <w:szCs w:val="20"/>
              </w:rPr>
            </w:pPr>
            <w:r>
              <w:rPr>
                <w:rFonts w:ascii="Arial" w:hAnsi="Arial" w:cs="Arial"/>
                <w:sz w:val="20"/>
                <w:szCs w:val="20"/>
              </w:rPr>
              <w:t>54 (31.8)</w:t>
            </w:r>
          </w:p>
        </w:tc>
      </w:tr>
      <w:tr w:rsidR="00DB4040" w14:paraId="6DD967D8" w14:textId="77777777">
        <w:trPr>
          <w:trHeight w:val="300"/>
        </w:trPr>
        <w:tc>
          <w:tcPr>
            <w:tcW w:w="3686" w:type="dxa"/>
            <w:tcBorders>
              <w:top w:val="nil"/>
              <w:left w:val="nil"/>
              <w:bottom w:val="nil"/>
              <w:right w:val="nil"/>
            </w:tcBorders>
            <w:shd w:val="clear" w:color="auto" w:fill="auto"/>
            <w:noWrap/>
            <w:vAlign w:val="center"/>
            <w:hideMark/>
          </w:tcPr>
          <w:p w14:paraId="256E85C7"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School </w:t>
            </w:r>
            <w:proofErr w:type="spellStart"/>
            <w:r>
              <w:rPr>
                <w:rFonts w:ascii="Arial" w:eastAsia="Times New Roman" w:hAnsi="Arial" w:cs="Arial"/>
                <w:color w:val="000000"/>
                <w:sz w:val="20"/>
                <w:szCs w:val="20"/>
              </w:rPr>
              <w:t>education</w:t>
            </w:r>
            <w:proofErr w:type="spellEnd"/>
            <w:r>
              <w:rPr>
                <w:rFonts w:ascii="Arial" w:eastAsia="Times New Roman" w:hAnsi="Arial" w:cs="Arial"/>
                <w:color w:val="000000"/>
                <w:sz w:val="20"/>
                <w:szCs w:val="20"/>
              </w:rPr>
              <w:t xml:space="preserve"> (n,%)</w:t>
            </w:r>
          </w:p>
        </w:tc>
        <w:tc>
          <w:tcPr>
            <w:tcW w:w="2267" w:type="dxa"/>
            <w:tcBorders>
              <w:top w:val="nil"/>
              <w:left w:val="nil"/>
              <w:bottom w:val="nil"/>
              <w:right w:val="nil"/>
            </w:tcBorders>
            <w:shd w:val="clear" w:color="auto" w:fill="auto"/>
            <w:noWrap/>
          </w:tcPr>
          <w:p w14:paraId="1C0ED9FE" w14:textId="77777777" w:rsidR="00DB4040" w:rsidRDefault="00DB4040">
            <w:pPr>
              <w:spacing w:after="0" w:line="480" w:lineRule="auto"/>
              <w:rPr>
                <w:rFonts w:ascii="Arial" w:eastAsia="Times New Roman" w:hAnsi="Arial" w:cs="Arial"/>
                <w:color w:val="000000"/>
                <w:sz w:val="20"/>
                <w:szCs w:val="20"/>
              </w:rPr>
            </w:pPr>
          </w:p>
        </w:tc>
        <w:tc>
          <w:tcPr>
            <w:tcW w:w="2267" w:type="dxa"/>
            <w:tcBorders>
              <w:top w:val="nil"/>
              <w:left w:val="nil"/>
              <w:bottom w:val="nil"/>
              <w:right w:val="nil"/>
            </w:tcBorders>
            <w:shd w:val="clear" w:color="auto" w:fill="auto"/>
            <w:noWrap/>
          </w:tcPr>
          <w:p w14:paraId="00CDAFAE" w14:textId="77777777" w:rsidR="00DB4040" w:rsidRDefault="00DB4040">
            <w:pPr>
              <w:spacing w:after="0" w:line="480" w:lineRule="auto"/>
              <w:rPr>
                <w:rFonts w:ascii="Arial" w:eastAsia="Times New Roman" w:hAnsi="Arial" w:cs="Arial"/>
                <w:sz w:val="20"/>
                <w:szCs w:val="20"/>
              </w:rPr>
            </w:pPr>
          </w:p>
        </w:tc>
      </w:tr>
      <w:tr w:rsidR="00DB4040" w14:paraId="793D752D" w14:textId="77777777">
        <w:trPr>
          <w:trHeight w:val="300"/>
        </w:trPr>
        <w:tc>
          <w:tcPr>
            <w:tcW w:w="3686" w:type="dxa"/>
            <w:tcBorders>
              <w:top w:val="nil"/>
              <w:left w:val="nil"/>
              <w:bottom w:val="nil"/>
              <w:right w:val="nil"/>
            </w:tcBorders>
            <w:shd w:val="clear" w:color="auto" w:fill="auto"/>
            <w:noWrap/>
            <w:vAlign w:val="center"/>
            <w:hideMark/>
          </w:tcPr>
          <w:p w14:paraId="4871CE2B" w14:textId="77777777" w:rsidR="00DB4040" w:rsidRDefault="00762861">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&lt;10 </w:t>
            </w:r>
            <w:proofErr w:type="spellStart"/>
            <w:r>
              <w:rPr>
                <w:rFonts w:ascii="Arial" w:eastAsia="Times New Roman" w:hAnsi="Arial" w:cs="Arial"/>
                <w:color w:val="000000"/>
                <w:sz w:val="20"/>
                <w:szCs w:val="20"/>
              </w:rPr>
              <w:t>years</w:t>
            </w:r>
            <w:proofErr w:type="spellEnd"/>
          </w:p>
        </w:tc>
        <w:tc>
          <w:tcPr>
            <w:tcW w:w="2267" w:type="dxa"/>
            <w:tcBorders>
              <w:top w:val="nil"/>
              <w:left w:val="nil"/>
              <w:bottom w:val="nil"/>
              <w:right w:val="nil"/>
            </w:tcBorders>
            <w:shd w:val="clear" w:color="auto" w:fill="auto"/>
            <w:noWrap/>
          </w:tcPr>
          <w:p w14:paraId="50FF210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368 (14.8)</w:t>
            </w:r>
          </w:p>
        </w:tc>
        <w:tc>
          <w:tcPr>
            <w:tcW w:w="2267" w:type="dxa"/>
            <w:tcBorders>
              <w:top w:val="nil"/>
              <w:left w:val="nil"/>
              <w:bottom w:val="nil"/>
              <w:right w:val="nil"/>
            </w:tcBorders>
            <w:shd w:val="clear" w:color="auto" w:fill="auto"/>
            <w:noWrap/>
          </w:tcPr>
          <w:p w14:paraId="66A23E50"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45 (26.5)</w:t>
            </w:r>
          </w:p>
        </w:tc>
      </w:tr>
      <w:tr w:rsidR="00DB4040" w14:paraId="444B7FA0" w14:textId="77777777">
        <w:trPr>
          <w:trHeight w:val="300"/>
        </w:trPr>
        <w:tc>
          <w:tcPr>
            <w:tcW w:w="3686" w:type="dxa"/>
            <w:tcBorders>
              <w:top w:val="nil"/>
              <w:left w:val="nil"/>
              <w:bottom w:val="nil"/>
              <w:right w:val="nil"/>
            </w:tcBorders>
            <w:shd w:val="clear" w:color="auto" w:fill="auto"/>
            <w:noWrap/>
            <w:vAlign w:val="center"/>
            <w:hideMark/>
          </w:tcPr>
          <w:p w14:paraId="45C531B0" w14:textId="77777777" w:rsidR="00DB4040" w:rsidRDefault="00762861">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10 </w:t>
            </w:r>
            <w:proofErr w:type="spellStart"/>
            <w:r>
              <w:rPr>
                <w:rFonts w:ascii="Arial" w:eastAsia="Times New Roman" w:hAnsi="Arial" w:cs="Arial"/>
                <w:color w:val="000000"/>
                <w:sz w:val="20"/>
                <w:szCs w:val="20"/>
              </w:rPr>
              <w:t>years</w:t>
            </w:r>
            <w:proofErr w:type="spellEnd"/>
          </w:p>
        </w:tc>
        <w:tc>
          <w:tcPr>
            <w:tcW w:w="2267" w:type="dxa"/>
            <w:tcBorders>
              <w:top w:val="nil"/>
              <w:left w:val="nil"/>
              <w:bottom w:val="nil"/>
              <w:right w:val="nil"/>
            </w:tcBorders>
            <w:shd w:val="clear" w:color="auto" w:fill="auto"/>
            <w:noWrap/>
          </w:tcPr>
          <w:p w14:paraId="39100DF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1,388 (55.9)</w:t>
            </w:r>
          </w:p>
        </w:tc>
        <w:tc>
          <w:tcPr>
            <w:tcW w:w="2267" w:type="dxa"/>
            <w:tcBorders>
              <w:top w:val="nil"/>
              <w:left w:val="nil"/>
              <w:bottom w:val="nil"/>
              <w:right w:val="nil"/>
            </w:tcBorders>
            <w:shd w:val="clear" w:color="auto" w:fill="auto"/>
            <w:noWrap/>
          </w:tcPr>
          <w:p w14:paraId="37F4C58D"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89 (52.4)</w:t>
            </w:r>
          </w:p>
        </w:tc>
      </w:tr>
      <w:tr w:rsidR="00DB4040" w14:paraId="05107083" w14:textId="77777777">
        <w:trPr>
          <w:trHeight w:val="300"/>
        </w:trPr>
        <w:tc>
          <w:tcPr>
            <w:tcW w:w="3686" w:type="dxa"/>
            <w:tcBorders>
              <w:top w:val="nil"/>
              <w:left w:val="nil"/>
              <w:bottom w:val="nil"/>
              <w:right w:val="nil"/>
            </w:tcBorders>
            <w:shd w:val="clear" w:color="auto" w:fill="auto"/>
            <w:noWrap/>
            <w:vAlign w:val="center"/>
            <w:hideMark/>
          </w:tcPr>
          <w:p w14:paraId="1F6BE8F4" w14:textId="77777777" w:rsidR="00DB4040" w:rsidRDefault="00762861">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&gt;10 </w:t>
            </w:r>
            <w:proofErr w:type="spellStart"/>
            <w:r>
              <w:rPr>
                <w:rFonts w:ascii="Arial" w:eastAsia="Times New Roman" w:hAnsi="Arial" w:cs="Arial"/>
                <w:color w:val="000000"/>
                <w:sz w:val="20"/>
                <w:szCs w:val="20"/>
              </w:rPr>
              <w:t>years</w:t>
            </w:r>
            <w:proofErr w:type="spellEnd"/>
          </w:p>
        </w:tc>
        <w:tc>
          <w:tcPr>
            <w:tcW w:w="2267" w:type="dxa"/>
            <w:tcBorders>
              <w:top w:val="nil"/>
              <w:left w:val="nil"/>
              <w:bottom w:val="nil"/>
              <w:right w:val="nil"/>
            </w:tcBorders>
            <w:shd w:val="clear" w:color="auto" w:fill="auto"/>
            <w:noWrap/>
          </w:tcPr>
          <w:p w14:paraId="09D4AB97"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727 (29.3)</w:t>
            </w:r>
          </w:p>
        </w:tc>
        <w:tc>
          <w:tcPr>
            <w:tcW w:w="2267" w:type="dxa"/>
            <w:tcBorders>
              <w:top w:val="nil"/>
              <w:left w:val="nil"/>
              <w:bottom w:val="nil"/>
              <w:right w:val="nil"/>
            </w:tcBorders>
            <w:shd w:val="clear" w:color="auto" w:fill="auto"/>
            <w:noWrap/>
          </w:tcPr>
          <w:p w14:paraId="3EC77641"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36 (21.2)</w:t>
            </w:r>
          </w:p>
        </w:tc>
      </w:tr>
      <w:tr w:rsidR="00DB4040" w14:paraId="750E5832" w14:textId="77777777">
        <w:trPr>
          <w:trHeight w:val="300"/>
        </w:trPr>
        <w:tc>
          <w:tcPr>
            <w:tcW w:w="3686" w:type="dxa"/>
            <w:tcBorders>
              <w:top w:val="nil"/>
              <w:left w:val="nil"/>
              <w:bottom w:val="nil"/>
              <w:right w:val="nil"/>
            </w:tcBorders>
            <w:shd w:val="clear" w:color="auto" w:fill="auto"/>
            <w:noWrap/>
            <w:vAlign w:val="center"/>
            <w:hideMark/>
          </w:tcPr>
          <w:p w14:paraId="62B8FD59"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Income (€)</w:t>
            </w:r>
          </w:p>
        </w:tc>
        <w:tc>
          <w:tcPr>
            <w:tcW w:w="2267" w:type="dxa"/>
            <w:tcBorders>
              <w:top w:val="nil"/>
              <w:left w:val="nil"/>
              <w:bottom w:val="nil"/>
              <w:right w:val="nil"/>
            </w:tcBorders>
            <w:shd w:val="clear" w:color="auto" w:fill="auto"/>
            <w:noWrap/>
          </w:tcPr>
          <w:p w14:paraId="6DDC1C2A"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1255 (895, 1717)</w:t>
            </w:r>
          </w:p>
        </w:tc>
        <w:tc>
          <w:tcPr>
            <w:tcW w:w="2267" w:type="dxa"/>
            <w:tcBorders>
              <w:top w:val="nil"/>
              <w:left w:val="nil"/>
              <w:bottom w:val="nil"/>
              <w:right w:val="nil"/>
            </w:tcBorders>
            <w:shd w:val="clear" w:color="auto" w:fill="auto"/>
            <w:noWrap/>
          </w:tcPr>
          <w:p w14:paraId="3031797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1096 (778, 1450)</w:t>
            </w:r>
          </w:p>
        </w:tc>
      </w:tr>
      <w:tr w:rsidR="00DB4040" w14:paraId="03ADC63E" w14:textId="77777777">
        <w:trPr>
          <w:trHeight w:val="300"/>
        </w:trPr>
        <w:tc>
          <w:tcPr>
            <w:tcW w:w="3686" w:type="dxa"/>
            <w:tcBorders>
              <w:top w:val="nil"/>
              <w:left w:val="nil"/>
              <w:bottom w:val="nil"/>
              <w:right w:val="nil"/>
            </w:tcBorders>
            <w:shd w:val="clear" w:color="auto" w:fill="auto"/>
            <w:noWrap/>
            <w:vAlign w:val="center"/>
            <w:hideMark/>
          </w:tcPr>
          <w:p w14:paraId="425A6150"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Body mass index (kg/m</w:t>
            </w:r>
            <w:r>
              <w:rPr>
                <w:rFonts w:ascii="Arial" w:eastAsia="Times New Roman" w:hAnsi="Arial" w:cs="Arial"/>
                <w:color w:val="000000"/>
                <w:sz w:val="20"/>
                <w:szCs w:val="20"/>
                <w:vertAlign w:val="superscript"/>
                <w:lang w:val="en-US"/>
              </w:rPr>
              <w:t>2</w:t>
            </w:r>
            <w:r>
              <w:rPr>
                <w:rFonts w:ascii="Arial" w:eastAsia="Times New Roman" w:hAnsi="Arial" w:cs="Arial"/>
                <w:color w:val="000000"/>
                <w:sz w:val="20"/>
                <w:szCs w:val="20"/>
                <w:lang w:val="en-US"/>
              </w:rPr>
              <w:t>)</w:t>
            </w:r>
          </w:p>
        </w:tc>
        <w:tc>
          <w:tcPr>
            <w:tcW w:w="2267" w:type="dxa"/>
            <w:tcBorders>
              <w:top w:val="nil"/>
              <w:left w:val="nil"/>
              <w:bottom w:val="nil"/>
              <w:right w:val="nil"/>
            </w:tcBorders>
            <w:shd w:val="clear" w:color="auto" w:fill="auto"/>
            <w:noWrap/>
            <w:hideMark/>
          </w:tcPr>
          <w:p w14:paraId="20540A50" w14:textId="77777777" w:rsidR="00DB4040" w:rsidRDefault="00762861">
            <w:pPr>
              <w:spacing w:after="0" w:line="480" w:lineRule="auto"/>
              <w:jc w:val="center"/>
              <w:rPr>
                <w:rFonts w:ascii="Arial" w:eastAsia="Times New Roman" w:hAnsi="Arial" w:cs="Arial"/>
                <w:color w:val="000000"/>
                <w:sz w:val="20"/>
                <w:szCs w:val="20"/>
                <w:lang w:val="en-US"/>
              </w:rPr>
            </w:pPr>
            <w:r>
              <w:rPr>
                <w:rFonts w:ascii="Arial" w:hAnsi="Arial" w:cs="Arial"/>
                <w:sz w:val="20"/>
                <w:szCs w:val="20"/>
              </w:rPr>
              <w:t>27.0 (24.3, 30.2)</w:t>
            </w:r>
          </w:p>
        </w:tc>
        <w:tc>
          <w:tcPr>
            <w:tcW w:w="2267" w:type="dxa"/>
            <w:tcBorders>
              <w:top w:val="nil"/>
              <w:left w:val="nil"/>
              <w:bottom w:val="nil"/>
              <w:right w:val="nil"/>
            </w:tcBorders>
            <w:shd w:val="clear" w:color="auto" w:fill="auto"/>
            <w:noWrap/>
            <w:hideMark/>
          </w:tcPr>
          <w:p w14:paraId="531C6725" w14:textId="77777777" w:rsidR="00DB4040" w:rsidRDefault="00762861">
            <w:pPr>
              <w:spacing w:after="0" w:line="480" w:lineRule="auto"/>
              <w:jc w:val="center"/>
              <w:rPr>
                <w:rFonts w:ascii="Arial" w:eastAsia="Times New Roman" w:hAnsi="Arial" w:cs="Arial"/>
                <w:sz w:val="20"/>
                <w:szCs w:val="20"/>
                <w:lang w:val="en-US"/>
              </w:rPr>
            </w:pPr>
            <w:r>
              <w:rPr>
                <w:rFonts w:ascii="Arial" w:hAnsi="Arial" w:cs="Arial"/>
                <w:sz w:val="20"/>
                <w:szCs w:val="20"/>
              </w:rPr>
              <w:t>29.5 (26.8, 32.5)</w:t>
            </w:r>
          </w:p>
        </w:tc>
      </w:tr>
      <w:tr w:rsidR="00DB4040" w14:paraId="04D7960A" w14:textId="77777777">
        <w:trPr>
          <w:trHeight w:val="300"/>
        </w:trPr>
        <w:tc>
          <w:tcPr>
            <w:tcW w:w="3686" w:type="dxa"/>
            <w:tcBorders>
              <w:top w:val="nil"/>
              <w:left w:val="nil"/>
              <w:bottom w:val="nil"/>
              <w:right w:val="nil"/>
            </w:tcBorders>
            <w:shd w:val="clear" w:color="auto" w:fill="auto"/>
            <w:noWrap/>
            <w:vAlign w:val="center"/>
            <w:hideMark/>
          </w:tcPr>
          <w:p w14:paraId="3C9AFD29"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Smoking (n,%)</w:t>
            </w:r>
          </w:p>
        </w:tc>
        <w:tc>
          <w:tcPr>
            <w:tcW w:w="2267" w:type="dxa"/>
            <w:tcBorders>
              <w:top w:val="nil"/>
              <w:left w:val="nil"/>
              <w:bottom w:val="nil"/>
              <w:right w:val="nil"/>
            </w:tcBorders>
            <w:shd w:val="clear" w:color="auto" w:fill="auto"/>
            <w:noWrap/>
            <w:vAlign w:val="center"/>
          </w:tcPr>
          <w:p w14:paraId="20EED00F" w14:textId="77777777" w:rsidR="00DB4040" w:rsidRDefault="00DB4040">
            <w:pPr>
              <w:spacing w:after="0" w:line="480" w:lineRule="auto"/>
              <w:jc w:val="center"/>
              <w:rPr>
                <w:rFonts w:ascii="Arial" w:eastAsia="Times New Roman" w:hAnsi="Arial" w:cs="Arial"/>
                <w:color w:val="000000"/>
                <w:sz w:val="20"/>
                <w:szCs w:val="20"/>
              </w:rPr>
            </w:pPr>
          </w:p>
        </w:tc>
        <w:tc>
          <w:tcPr>
            <w:tcW w:w="2267" w:type="dxa"/>
            <w:tcBorders>
              <w:top w:val="nil"/>
              <w:left w:val="nil"/>
              <w:bottom w:val="nil"/>
              <w:right w:val="nil"/>
            </w:tcBorders>
            <w:shd w:val="clear" w:color="auto" w:fill="auto"/>
            <w:noWrap/>
            <w:vAlign w:val="center"/>
          </w:tcPr>
          <w:p w14:paraId="04B091D7" w14:textId="77777777" w:rsidR="00DB4040" w:rsidRDefault="00DB4040">
            <w:pPr>
              <w:spacing w:after="0" w:line="480" w:lineRule="auto"/>
              <w:jc w:val="center"/>
              <w:rPr>
                <w:rFonts w:ascii="Arial" w:eastAsia="Times New Roman" w:hAnsi="Arial" w:cs="Arial"/>
                <w:color w:val="000000"/>
                <w:sz w:val="20"/>
                <w:szCs w:val="20"/>
              </w:rPr>
            </w:pPr>
          </w:p>
        </w:tc>
      </w:tr>
      <w:tr w:rsidR="00DB4040" w14:paraId="467F38CC" w14:textId="77777777">
        <w:trPr>
          <w:trHeight w:val="300"/>
        </w:trPr>
        <w:tc>
          <w:tcPr>
            <w:tcW w:w="3686" w:type="dxa"/>
            <w:tcBorders>
              <w:top w:val="nil"/>
              <w:left w:val="nil"/>
              <w:bottom w:val="nil"/>
              <w:right w:val="nil"/>
            </w:tcBorders>
            <w:shd w:val="clear" w:color="auto" w:fill="auto"/>
            <w:noWrap/>
            <w:vAlign w:val="center"/>
            <w:hideMark/>
          </w:tcPr>
          <w:p w14:paraId="5DA3A232" w14:textId="1504CAC2" w:rsidR="00DB4040" w:rsidRDefault="00762861">
            <w:pPr>
              <w:spacing w:after="0" w:line="480" w:lineRule="auto"/>
              <w:jc w:val="right"/>
              <w:rPr>
                <w:rFonts w:ascii="Arial" w:eastAsia="Times New Roman" w:hAnsi="Arial" w:cs="Arial"/>
                <w:color w:val="000000"/>
                <w:sz w:val="20"/>
                <w:szCs w:val="20"/>
              </w:rPr>
            </w:pPr>
            <w:proofErr w:type="spellStart"/>
            <w:r>
              <w:rPr>
                <w:rFonts w:ascii="Arial" w:eastAsia="Times New Roman" w:hAnsi="Arial" w:cs="Arial"/>
                <w:color w:val="000000"/>
                <w:sz w:val="20"/>
                <w:szCs w:val="20"/>
              </w:rPr>
              <w:t>never</w:t>
            </w:r>
            <w:proofErr w:type="spellEnd"/>
          </w:p>
        </w:tc>
        <w:tc>
          <w:tcPr>
            <w:tcW w:w="2267" w:type="dxa"/>
            <w:tcBorders>
              <w:top w:val="nil"/>
              <w:left w:val="nil"/>
              <w:bottom w:val="nil"/>
              <w:right w:val="nil"/>
            </w:tcBorders>
            <w:shd w:val="clear" w:color="auto" w:fill="auto"/>
            <w:noWrap/>
          </w:tcPr>
          <w:p w14:paraId="69924A94"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976 (39.3)</w:t>
            </w:r>
          </w:p>
        </w:tc>
        <w:tc>
          <w:tcPr>
            <w:tcW w:w="2267" w:type="dxa"/>
            <w:tcBorders>
              <w:top w:val="nil"/>
              <w:left w:val="nil"/>
              <w:bottom w:val="nil"/>
              <w:right w:val="nil"/>
            </w:tcBorders>
            <w:shd w:val="clear" w:color="auto" w:fill="auto"/>
            <w:noWrap/>
          </w:tcPr>
          <w:p w14:paraId="2C43F79E"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72 (42.4)</w:t>
            </w:r>
          </w:p>
        </w:tc>
      </w:tr>
      <w:tr w:rsidR="00DB4040" w14:paraId="3CD5ED28" w14:textId="77777777">
        <w:trPr>
          <w:trHeight w:val="300"/>
        </w:trPr>
        <w:tc>
          <w:tcPr>
            <w:tcW w:w="3686" w:type="dxa"/>
            <w:tcBorders>
              <w:top w:val="nil"/>
              <w:left w:val="nil"/>
              <w:bottom w:val="nil"/>
              <w:right w:val="nil"/>
            </w:tcBorders>
            <w:shd w:val="clear" w:color="auto" w:fill="auto"/>
            <w:noWrap/>
            <w:vAlign w:val="center"/>
            <w:hideMark/>
          </w:tcPr>
          <w:p w14:paraId="19B2C021" w14:textId="77777777" w:rsidR="00DB4040" w:rsidRDefault="00762861">
            <w:pPr>
              <w:spacing w:after="0" w:line="480" w:lineRule="auto"/>
              <w:jc w:val="right"/>
              <w:rPr>
                <w:rFonts w:ascii="Arial" w:eastAsia="Times New Roman" w:hAnsi="Arial" w:cs="Arial"/>
                <w:color w:val="000000"/>
                <w:sz w:val="20"/>
                <w:szCs w:val="20"/>
              </w:rPr>
            </w:pPr>
            <w:r>
              <w:rPr>
                <w:rFonts w:ascii="Arial" w:eastAsia="Times New Roman" w:hAnsi="Arial" w:cs="Arial"/>
                <w:color w:val="000000"/>
                <w:sz w:val="20"/>
                <w:szCs w:val="20"/>
              </w:rPr>
              <w:t>ex-</w:t>
            </w:r>
            <w:proofErr w:type="spellStart"/>
            <w:r>
              <w:rPr>
                <w:rFonts w:ascii="Arial" w:eastAsia="Times New Roman" w:hAnsi="Arial" w:cs="Arial"/>
                <w:color w:val="000000"/>
                <w:sz w:val="20"/>
                <w:szCs w:val="20"/>
              </w:rPr>
              <w:t>smoker</w:t>
            </w:r>
            <w:proofErr w:type="spellEnd"/>
          </w:p>
        </w:tc>
        <w:tc>
          <w:tcPr>
            <w:tcW w:w="2267" w:type="dxa"/>
            <w:tcBorders>
              <w:top w:val="nil"/>
              <w:left w:val="nil"/>
              <w:bottom w:val="nil"/>
              <w:right w:val="nil"/>
            </w:tcBorders>
            <w:shd w:val="clear" w:color="auto" w:fill="auto"/>
            <w:noWrap/>
          </w:tcPr>
          <w:p w14:paraId="7981798B"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951 (38.3)</w:t>
            </w:r>
          </w:p>
        </w:tc>
        <w:tc>
          <w:tcPr>
            <w:tcW w:w="2267" w:type="dxa"/>
            <w:tcBorders>
              <w:top w:val="nil"/>
              <w:left w:val="nil"/>
              <w:bottom w:val="nil"/>
              <w:right w:val="nil"/>
            </w:tcBorders>
            <w:shd w:val="clear" w:color="auto" w:fill="auto"/>
            <w:noWrap/>
          </w:tcPr>
          <w:p w14:paraId="7720B53D"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66 (38.8)</w:t>
            </w:r>
          </w:p>
        </w:tc>
      </w:tr>
      <w:tr w:rsidR="00DB4040" w14:paraId="210688F2" w14:textId="77777777">
        <w:trPr>
          <w:trHeight w:val="300"/>
        </w:trPr>
        <w:tc>
          <w:tcPr>
            <w:tcW w:w="3686" w:type="dxa"/>
            <w:tcBorders>
              <w:top w:val="nil"/>
              <w:left w:val="nil"/>
              <w:bottom w:val="nil"/>
              <w:right w:val="nil"/>
            </w:tcBorders>
            <w:shd w:val="clear" w:color="auto" w:fill="auto"/>
            <w:noWrap/>
            <w:vAlign w:val="center"/>
            <w:hideMark/>
          </w:tcPr>
          <w:p w14:paraId="75F7E514" w14:textId="77777777" w:rsidR="00DB4040" w:rsidRDefault="00762861">
            <w:pPr>
              <w:spacing w:after="0" w:line="480" w:lineRule="auto"/>
              <w:jc w:val="right"/>
              <w:rPr>
                <w:rFonts w:ascii="Arial" w:eastAsia="Times New Roman" w:hAnsi="Arial" w:cs="Arial"/>
                <w:color w:val="000000"/>
                <w:sz w:val="20"/>
                <w:szCs w:val="20"/>
              </w:rPr>
            </w:pPr>
            <w:proofErr w:type="spellStart"/>
            <w:r>
              <w:rPr>
                <w:rFonts w:ascii="Arial" w:eastAsia="Times New Roman" w:hAnsi="Arial" w:cs="Arial"/>
                <w:color w:val="000000"/>
                <w:sz w:val="20"/>
                <w:szCs w:val="20"/>
              </w:rPr>
              <w:t>current</w:t>
            </w:r>
            <w:proofErr w:type="spellEnd"/>
          </w:p>
        </w:tc>
        <w:tc>
          <w:tcPr>
            <w:tcW w:w="2267" w:type="dxa"/>
            <w:tcBorders>
              <w:top w:val="nil"/>
              <w:left w:val="nil"/>
              <w:bottom w:val="nil"/>
              <w:right w:val="nil"/>
            </w:tcBorders>
            <w:shd w:val="clear" w:color="auto" w:fill="auto"/>
            <w:noWrap/>
          </w:tcPr>
          <w:p w14:paraId="421C306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556 (22.4)</w:t>
            </w:r>
          </w:p>
        </w:tc>
        <w:tc>
          <w:tcPr>
            <w:tcW w:w="2267" w:type="dxa"/>
            <w:tcBorders>
              <w:top w:val="nil"/>
              <w:left w:val="nil"/>
              <w:bottom w:val="nil"/>
              <w:right w:val="nil"/>
            </w:tcBorders>
            <w:shd w:val="clear" w:color="auto" w:fill="auto"/>
            <w:noWrap/>
          </w:tcPr>
          <w:p w14:paraId="4E795D8B"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32 (18.8)</w:t>
            </w:r>
          </w:p>
        </w:tc>
      </w:tr>
      <w:tr w:rsidR="00DB4040" w14:paraId="6C0509B2" w14:textId="77777777">
        <w:trPr>
          <w:trHeight w:val="300"/>
        </w:trPr>
        <w:tc>
          <w:tcPr>
            <w:tcW w:w="3686" w:type="dxa"/>
            <w:tcBorders>
              <w:top w:val="nil"/>
              <w:left w:val="nil"/>
              <w:bottom w:val="nil"/>
              <w:right w:val="nil"/>
            </w:tcBorders>
            <w:shd w:val="clear" w:color="auto" w:fill="auto"/>
            <w:noWrap/>
            <w:vAlign w:val="center"/>
            <w:hideMark/>
          </w:tcPr>
          <w:p w14:paraId="12C07187"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Alcohol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consumption</w:t>
            </w:r>
            <w:proofErr w:type="spellEnd"/>
            <w:r>
              <w:rPr>
                <w:rFonts w:ascii="Arial" w:eastAsia="Times New Roman" w:hAnsi="Arial" w:cs="Arial"/>
                <w:color w:val="000000"/>
                <w:sz w:val="20"/>
                <w:szCs w:val="20"/>
              </w:rPr>
              <w:t xml:space="preserve"> (g/</w:t>
            </w:r>
            <w:proofErr w:type="spellStart"/>
            <w:r>
              <w:rPr>
                <w:rFonts w:ascii="Arial" w:eastAsia="Times New Roman" w:hAnsi="Arial" w:cs="Arial"/>
                <w:color w:val="000000"/>
                <w:sz w:val="20"/>
                <w:szCs w:val="20"/>
              </w:rPr>
              <w:t>day</w:t>
            </w:r>
            <w:proofErr w:type="spellEnd"/>
            <w:r>
              <w:rPr>
                <w:rFonts w:ascii="Arial" w:eastAsia="Times New Roman" w:hAnsi="Arial" w:cs="Arial"/>
                <w:color w:val="000000"/>
                <w:sz w:val="20"/>
                <w:szCs w:val="20"/>
              </w:rPr>
              <w:t>)</w:t>
            </w:r>
          </w:p>
        </w:tc>
        <w:tc>
          <w:tcPr>
            <w:tcW w:w="2267" w:type="dxa"/>
            <w:tcBorders>
              <w:top w:val="nil"/>
              <w:left w:val="nil"/>
              <w:bottom w:val="nil"/>
              <w:right w:val="nil"/>
            </w:tcBorders>
            <w:shd w:val="clear" w:color="auto" w:fill="auto"/>
            <w:noWrap/>
          </w:tcPr>
          <w:p w14:paraId="7BCFF1B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4.0 (1.0, 11.0)</w:t>
            </w:r>
          </w:p>
        </w:tc>
        <w:tc>
          <w:tcPr>
            <w:tcW w:w="2267" w:type="dxa"/>
            <w:tcBorders>
              <w:top w:val="nil"/>
              <w:left w:val="nil"/>
              <w:bottom w:val="nil"/>
              <w:right w:val="nil"/>
            </w:tcBorders>
            <w:shd w:val="clear" w:color="auto" w:fill="auto"/>
            <w:noWrap/>
          </w:tcPr>
          <w:p w14:paraId="73785FED"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4.0 (0.9, 9.2)</w:t>
            </w:r>
          </w:p>
        </w:tc>
      </w:tr>
      <w:tr w:rsidR="00DB4040" w14:paraId="642CE576" w14:textId="77777777">
        <w:trPr>
          <w:trHeight w:val="300"/>
        </w:trPr>
        <w:tc>
          <w:tcPr>
            <w:tcW w:w="3686" w:type="dxa"/>
            <w:tcBorders>
              <w:top w:val="nil"/>
              <w:left w:val="nil"/>
              <w:bottom w:val="nil"/>
              <w:right w:val="nil"/>
            </w:tcBorders>
            <w:shd w:val="clear" w:color="auto" w:fill="auto"/>
            <w:noWrap/>
            <w:vAlign w:val="center"/>
            <w:hideMark/>
          </w:tcPr>
          <w:p w14:paraId="1851E295"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Systolic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blood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pressure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mmHg</w:t>
            </w:r>
            <w:proofErr w:type="spellEnd"/>
            <w:r>
              <w:rPr>
                <w:rFonts w:ascii="Arial" w:eastAsia="Times New Roman" w:hAnsi="Arial" w:cs="Arial"/>
                <w:color w:val="000000"/>
                <w:sz w:val="20"/>
                <w:szCs w:val="20"/>
              </w:rPr>
              <w:t>)</w:t>
            </w:r>
          </w:p>
        </w:tc>
        <w:tc>
          <w:tcPr>
            <w:tcW w:w="2267" w:type="dxa"/>
            <w:tcBorders>
              <w:top w:val="nil"/>
              <w:left w:val="nil"/>
              <w:bottom w:val="nil"/>
              <w:right w:val="nil"/>
            </w:tcBorders>
            <w:shd w:val="clear" w:color="auto" w:fill="auto"/>
            <w:noWrap/>
          </w:tcPr>
          <w:p w14:paraId="186E3DC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127.0 (115.0, 138.5)</w:t>
            </w:r>
          </w:p>
        </w:tc>
        <w:tc>
          <w:tcPr>
            <w:tcW w:w="2267" w:type="dxa"/>
            <w:tcBorders>
              <w:top w:val="nil"/>
              <w:left w:val="nil"/>
              <w:bottom w:val="nil"/>
              <w:right w:val="nil"/>
            </w:tcBorders>
            <w:shd w:val="clear" w:color="auto" w:fill="auto"/>
            <w:noWrap/>
          </w:tcPr>
          <w:p w14:paraId="5844D85A"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130.0 (119.0, 139.0)</w:t>
            </w:r>
          </w:p>
        </w:tc>
      </w:tr>
      <w:tr w:rsidR="00DB4040" w14:paraId="49E37A75" w14:textId="77777777">
        <w:trPr>
          <w:trHeight w:val="300"/>
        </w:trPr>
        <w:tc>
          <w:tcPr>
            <w:tcW w:w="3686" w:type="dxa"/>
            <w:tcBorders>
              <w:top w:val="nil"/>
              <w:left w:val="nil"/>
              <w:bottom w:val="nil"/>
              <w:right w:val="nil"/>
            </w:tcBorders>
            <w:shd w:val="clear" w:color="auto" w:fill="auto"/>
            <w:noWrap/>
            <w:vAlign w:val="center"/>
            <w:hideMark/>
          </w:tcPr>
          <w:p w14:paraId="296BC7DF"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Diastolic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blood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pressure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mmHg</w:t>
            </w:r>
            <w:proofErr w:type="spellEnd"/>
            <w:r>
              <w:rPr>
                <w:rFonts w:ascii="Arial" w:eastAsia="Times New Roman" w:hAnsi="Arial" w:cs="Arial"/>
                <w:color w:val="000000"/>
                <w:sz w:val="20"/>
                <w:szCs w:val="20"/>
              </w:rPr>
              <w:t>)</w:t>
            </w:r>
          </w:p>
        </w:tc>
        <w:tc>
          <w:tcPr>
            <w:tcW w:w="2267" w:type="dxa"/>
            <w:tcBorders>
              <w:top w:val="nil"/>
              <w:left w:val="nil"/>
              <w:bottom w:val="nil"/>
              <w:right w:val="nil"/>
            </w:tcBorders>
            <w:shd w:val="clear" w:color="auto" w:fill="auto"/>
            <w:noWrap/>
          </w:tcPr>
          <w:p w14:paraId="26DF6DF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77.5 (71.0, 84.0)</w:t>
            </w:r>
          </w:p>
        </w:tc>
        <w:tc>
          <w:tcPr>
            <w:tcW w:w="2267" w:type="dxa"/>
            <w:tcBorders>
              <w:top w:val="nil"/>
              <w:left w:val="nil"/>
              <w:bottom w:val="nil"/>
              <w:right w:val="nil"/>
            </w:tcBorders>
            <w:shd w:val="clear" w:color="auto" w:fill="auto"/>
            <w:noWrap/>
          </w:tcPr>
          <w:p w14:paraId="648B2A52"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78.0 (73.5, 83.9)</w:t>
            </w:r>
          </w:p>
        </w:tc>
      </w:tr>
      <w:tr w:rsidR="00DB4040" w14:paraId="4027EEDF" w14:textId="77777777">
        <w:trPr>
          <w:trHeight w:val="300"/>
        </w:trPr>
        <w:tc>
          <w:tcPr>
            <w:tcW w:w="3686" w:type="dxa"/>
            <w:tcBorders>
              <w:top w:val="nil"/>
              <w:left w:val="nil"/>
              <w:bottom w:val="nil"/>
              <w:right w:val="nil"/>
            </w:tcBorders>
            <w:shd w:val="clear" w:color="auto" w:fill="auto"/>
            <w:noWrap/>
            <w:vAlign w:val="center"/>
            <w:hideMark/>
          </w:tcPr>
          <w:p w14:paraId="36DDBF35"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LDL-</w:t>
            </w:r>
            <w:proofErr w:type="spellStart"/>
            <w:r>
              <w:rPr>
                <w:rFonts w:ascii="Arial" w:eastAsia="Times New Roman" w:hAnsi="Arial" w:cs="Arial"/>
                <w:color w:val="000000"/>
                <w:sz w:val="20"/>
                <w:szCs w:val="20"/>
              </w:rPr>
              <w:t>cholesterol</w:t>
            </w:r>
            <w:proofErr w:type="spellEnd"/>
            <w:r>
              <w:rPr>
                <w:rFonts w:ascii="Arial" w:eastAsia="Times New Roman" w:hAnsi="Arial" w:cs="Arial"/>
                <w:color w:val="000000"/>
                <w:sz w:val="20"/>
                <w:szCs w:val="20"/>
              </w:rPr>
              <w:t xml:space="preserve"> (mmol/l)</w:t>
            </w:r>
          </w:p>
        </w:tc>
        <w:tc>
          <w:tcPr>
            <w:tcW w:w="2267" w:type="dxa"/>
            <w:tcBorders>
              <w:top w:val="nil"/>
              <w:left w:val="nil"/>
              <w:bottom w:val="nil"/>
              <w:right w:val="nil"/>
            </w:tcBorders>
            <w:shd w:val="clear" w:color="auto" w:fill="auto"/>
            <w:noWrap/>
          </w:tcPr>
          <w:p w14:paraId="73FD32E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3.3 (2.7, 4.0)</w:t>
            </w:r>
          </w:p>
        </w:tc>
        <w:tc>
          <w:tcPr>
            <w:tcW w:w="2267" w:type="dxa"/>
            <w:tcBorders>
              <w:top w:val="nil"/>
              <w:left w:val="nil"/>
              <w:bottom w:val="nil"/>
              <w:right w:val="nil"/>
            </w:tcBorders>
            <w:shd w:val="clear" w:color="auto" w:fill="auto"/>
            <w:noWrap/>
          </w:tcPr>
          <w:p w14:paraId="5396181D"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3.6 (3.0, 4.3)</w:t>
            </w:r>
          </w:p>
        </w:tc>
      </w:tr>
      <w:tr w:rsidR="00DB4040" w14:paraId="19E9C137" w14:textId="77777777">
        <w:trPr>
          <w:trHeight w:val="300"/>
        </w:trPr>
        <w:tc>
          <w:tcPr>
            <w:tcW w:w="3686" w:type="dxa"/>
            <w:tcBorders>
              <w:top w:val="nil"/>
              <w:left w:val="nil"/>
              <w:bottom w:val="nil"/>
              <w:right w:val="nil"/>
            </w:tcBorders>
            <w:shd w:val="clear" w:color="auto" w:fill="auto"/>
            <w:noWrap/>
            <w:vAlign w:val="center"/>
            <w:hideMark/>
          </w:tcPr>
          <w:p w14:paraId="5703AEC9"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lastRenderedPageBreak/>
              <w:t>HDL-cholesterol (</w:t>
            </w:r>
            <w:proofErr w:type="spellStart"/>
            <w:r>
              <w:rPr>
                <w:rFonts w:ascii="Arial" w:eastAsia="Times New Roman" w:hAnsi="Arial" w:cs="Arial"/>
                <w:color w:val="000000"/>
                <w:sz w:val="20"/>
                <w:szCs w:val="20"/>
                <w:lang w:val="en-US"/>
              </w:rPr>
              <w:t>mmol</w:t>
            </w:r>
            <w:proofErr w:type="spellEnd"/>
            <w:r>
              <w:rPr>
                <w:rFonts w:ascii="Arial" w:eastAsia="Times New Roman" w:hAnsi="Arial" w:cs="Arial"/>
                <w:color w:val="000000"/>
                <w:sz w:val="20"/>
                <w:szCs w:val="20"/>
                <w:lang w:val="en-US"/>
              </w:rPr>
              <w:t>/l)</w:t>
            </w:r>
          </w:p>
        </w:tc>
        <w:tc>
          <w:tcPr>
            <w:tcW w:w="2267" w:type="dxa"/>
            <w:tcBorders>
              <w:top w:val="nil"/>
              <w:left w:val="nil"/>
              <w:bottom w:val="nil"/>
              <w:right w:val="nil"/>
            </w:tcBorders>
            <w:shd w:val="clear" w:color="auto" w:fill="auto"/>
            <w:noWrap/>
          </w:tcPr>
          <w:p w14:paraId="435543B0"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1.4 (1.2, 1.7)</w:t>
            </w:r>
          </w:p>
        </w:tc>
        <w:tc>
          <w:tcPr>
            <w:tcW w:w="2267" w:type="dxa"/>
            <w:tcBorders>
              <w:top w:val="nil"/>
              <w:left w:val="nil"/>
              <w:bottom w:val="nil"/>
              <w:right w:val="nil"/>
            </w:tcBorders>
            <w:shd w:val="clear" w:color="auto" w:fill="auto"/>
            <w:noWrap/>
          </w:tcPr>
          <w:p w14:paraId="39129BA4"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1.4 (1.1, 1.7)</w:t>
            </w:r>
          </w:p>
        </w:tc>
      </w:tr>
      <w:tr w:rsidR="00DB4040" w14:paraId="460C06AB" w14:textId="77777777">
        <w:trPr>
          <w:trHeight w:val="300"/>
        </w:trPr>
        <w:tc>
          <w:tcPr>
            <w:tcW w:w="3686" w:type="dxa"/>
            <w:tcBorders>
              <w:top w:val="nil"/>
              <w:left w:val="nil"/>
              <w:bottom w:val="nil"/>
              <w:right w:val="nil"/>
            </w:tcBorders>
            <w:shd w:val="clear" w:color="auto" w:fill="auto"/>
            <w:noWrap/>
            <w:vAlign w:val="center"/>
            <w:hideMark/>
          </w:tcPr>
          <w:p w14:paraId="37A61E44"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lang w:val="en-US"/>
              </w:rPr>
              <w:t>Total cholesterol/HDL-cholesterol</w:t>
            </w:r>
          </w:p>
        </w:tc>
        <w:tc>
          <w:tcPr>
            <w:tcW w:w="2267" w:type="dxa"/>
            <w:tcBorders>
              <w:top w:val="nil"/>
              <w:left w:val="nil"/>
              <w:bottom w:val="nil"/>
              <w:right w:val="nil"/>
            </w:tcBorders>
            <w:shd w:val="clear" w:color="auto" w:fill="auto"/>
            <w:noWrap/>
          </w:tcPr>
          <w:p w14:paraId="7AE3F4E2"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3.4 (2.8, 4.1)</w:t>
            </w:r>
          </w:p>
        </w:tc>
        <w:tc>
          <w:tcPr>
            <w:tcW w:w="2267" w:type="dxa"/>
            <w:tcBorders>
              <w:top w:val="nil"/>
              <w:left w:val="nil"/>
              <w:bottom w:val="nil"/>
              <w:right w:val="nil"/>
            </w:tcBorders>
            <w:shd w:val="clear" w:color="auto" w:fill="auto"/>
            <w:noWrap/>
          </w:tcPr>
          <w:p w14:paraId="16368EAB"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3.6 (3.1, 4.3)</w:t>
            </w:r>
          </w:p>
        </w:tc>
      </w:tr>
      <w:tr w:rsidR="00DB4040" w14:paraId="7E70FEC6" w14:textId="77777777">
        <w:trPr>
          <w:trHeight w:val="300"/>
        </w:trPr>
        <w:tc>
          <w:tcPr>
            <w:tcW w:w="3686" w:type="dxa"/>
            <w:tcBorders>
              <w:top w:val="nil"/>
              <w:left w:val="nil"/>
              <w:bottom w:val="nil"/>
              <w:right w:val="nil"/>
            </w:tcBorders>
            <w:shd w:val="clear" w:color="auto" w:fill="auto"/>
            <w:noWrap/>
            <w:vAlign w:val="center"/>
            <w:hideMark/>
          </w:tcPr>
          <w:p w14:paraId="5668B213"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Triglycerides</w:t>
            </w:r>
            <w:proofErr w:type="spellEnd"/>
            <w:r>
              <w:rPr>
                <w:rFonts w:ascii="Arial" w:eastAsia="Times New Roman" w:hAnsi="Arial" w:cs="Arial"/>
                <w:color w:val="000000"/>
                <w:sz w:val="20"/>
                <w:szCs w:val="20"/>
              </w:rPr>
              <w:t xml:space="preserve"> (mmol/l)</w:t>
            </w:r>
          </w:p>
        </w:tc>
        <w:tc>
          <w:tcPr>
            <w:tcW w:w="2267" w:type="dxa"/>
            <w:tcBorders>
              <w:top w:val="nil"/>
              <w:left w:val="nil"/>
              <w:bottom w:val="nil"/>
              <w:right w:val="nil"/>
            </w:tcBorders>
            <w:shd w:val="clear" w:color="auto" w:fill="auto"/>
            <w:noWrap/>
          </w:tcPr>
          <w:p w14:paraId="0984689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1.3 (0.9, 1.9)</w:t>
            </w:r>
          </w:p>
        </w:tc>
        <w:tc>
          <w:tcPr>
            <w:tcW w:w="2267" w:type="dxa"/>
            <w:tcBorders>
              <w:top w:val="nil"/>
              <w:left w:val="nil"/>
              <w:bottom w:val="nil"/>
              <w:right w:val="nil"/>
            </w:tcBorders>
            <w:shd w:val="clear" w:color="auto" w:fill="auto"/>
            <w:noWrap/>
          </w:tcPr>
          <w:p w14:paraId="37ACE24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1.7 (1.2, 2.4)</w:t>
            </w:r>
          </w:p>
        </w:tc>
      </w:tr>
      <w:tr w:rsidR="00DB4040" w14:paraId="0F2BE2FD" w14:textId="77777777">
        <w:trPr>
          <w:trHeight w:val="300"/>
        </w:trPr>
        <w:tc>
          <w:tcPr>
            <w:tcW w:w="3686" w:type="dxa"/>
            <w:tcBorders>
              <w:top w:val="nil"/>
              <w:left w:val="nil"/>
              <w:bottom w:val="nil"/>
              <w:right w:val="nil"/>
            </w:tcBorders>
            <w:shd w:val="clear" w:color="auto" w:fill="auto"/>
            <w:noWrap/>
            <w:vAlign w:val="center"/>
            <w:hideMark/>
          </w:tcPr>
          <w:p w14:paraId="4FEAFB59"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Glycated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hemoglobin</w:t>
            </w:r>
            <w:proofErr w:type="spellEnd"/>
            <w:r>
              <w:rPr>
                <w:rFonts w:ascii="Arial" w:eastAsia="Times New Roman" w:hAnsi="Arial" w:cs="Arial"/>
                <w:color w:val="000000"/>
                <w:sz w:val="20"/>
                <w:szCs w:val="20"/>
              </w:rPr>
              <w:t xml:space="preserve"> (%)</w:t>
            </w:r>
          </w:p>
        </w:tc>
        <w:tc>
          <w:tcPr>
            <w:tcW w:w="2267" w:type="dxa"/>
            <w:tcBorders>
              <w:top w:val="nil"/>
              <w:left w:val="nil"/>
              <w:bottom w:val="nil"/>
              <w:right w:val="nil"/>
            </w:tcBorders>
            <w:shd w:val="clear" w:color="auto" w:fill="auto"/>
            <w:noWrap/>
          </w:tcPr>
          <w:p w14:paraId="04B9644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5.2 (4.9, 5.6)</w:t>
            </w:r>
          </w:p>
        </w:tc>
        <w:tc>
          <w:tcPr>
            <w:tcW w:w="2267" w:type="dxa"/>
            <w:tcBorders>
              <w:top w:val="nil"/>
              <w:left w:val="nil"/>
              <w:bottom w:val="nil"/>
              <w:right w:val="nil"/>
            </w:tcBorders>
            <w:shd w:val="clear" w:color="auto" w:fill="auto"/>
            <w:noWrap/>
          </w:tcPr>
          <w:p w14:paraId="574863D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5.4 (5.1, 5.8)</w:t>
            </w:r>
          </w:p>
        </w:tc>
      </w:tr>
      <w:tr w:rsidR="00DB4040" w14:paraId="72A01E31" w14:textId="77777777">
        <w:trPr>
          <w:trHeight w:val="300"/>
        </w:trPr>
        <w:tc>
          <w:tcPr>
            <w:tcW w:w="3686" w:type="dxa"/>
            <w:tcBorders>
              <w:top w:val="nil"/>
              <w:left w:val="nil"/>
              <w:bottom w:val="nil"/>
              <w:right w:val="nil"/>
            </w:tcBorders>
            <w:shd w:val="clear" w:color="auto" w:fill="auto"/>
            <w:noWrap/>
            <w:vAlign w:val="center"/>
            <w:hideMark/>
          </w:tcPr>
          <w:p w14:paraId="21AFC540"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Anticholinergics</w:t>
            </w:r>
            <w:proofErr w:type="spellEnd"/>
            <w:r>
              <w:rPr>
                <w:rFonts w:ascii="Arial" w:eastAsia="Times New Roman" w:hAnsi="Arial" w:cs="Arial"/>
                <w:color w:val="000000"/>
                <w:sz w:val="20"/>
                <w:szCs w:val="20"/>
              </w:rPr>
              <w:t xml:space="preserve"> (n,%)</w:t>
            </w:r>
          </w:p>
        </w:tc>
        <w:tc>
          <w:tcPr>
            <w:tcW w:w="2267" w:type="dxa"/>
            <w:tcBorders>
              <w:top w:val="nil"/>
              <w:left w:val="nil"/>
              <w:bottom w:val="nil"/>
              <w:right w:val="nil"/>
            </w:tcBorders>
            <w:shd w:val="clear" w:color="auto" w:fill="auto"/>
            <w:noWrap/>
          </w:tcPr>
          <w:p w14:paraId="6F2EEAB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46 (1.9)</w:t>
            </w:r>
          </w:p>
        </w:tc>
        <w:tc>
          <w:tcPr>
            <w:tcW w:w="2267" w:type="dxa"/>
            <w:tcBorders>
              <w:top w:val="nil"/>
              <w:left w:val="nil"/>
              <w:bottom w:val="nil"/>
              <w:right w:val="nil"/>
            </w:tcBorders>
            <w:shd w:val="clear" w:color="auto" w:fill="auto"/>
            <w:noWrap/>
          </w:tcPr>
          <w:p w14:paraId="75EF2660"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13 (7.7)</w:t>
            </w:r>
          </w:p>
        </w:tc>
      </w:tr>
      <w:tr w:rsidR="00DB4040" w14:paraId="209A2522" w14:textId="77777777">
        <w:trPr>
          <w:trHeight w:val="300"/>
        </w:trPr>
        <w:tc>
          <w:tcPr>
            <w:tcW w:w="3686" w:type="dxa"/>
            <w:tcBorders>
              <w:top w:val="nil"/>
              <w:left w:val="nil"/>
              <w:bottom w:val="nil"/>
              <w:right w:val="nil"/>
            </w:tcBorders>
            <w:shd w:val="clear" w:color="auto" w:fill="auto"/>
            <w:noWrap/>
            <w:vAlign w:val="center"/>
            <w:hideMark/>
          </w:tcPr>
          <w:p w14:paraId="03B33E9B"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Antidepressants</w:t>
            </w:r>
            <w:proofErr w:type="spellEnd"/>
            <w:r>
              <w:rPr>
                <w:rFonts w:ascii="Arial" w:eastAsia="Times New Roman" w:hAnsi="Arial" w:cs="Arial"/>
                <w:color w:val="000000"/>
                <w:sz w:val="20"/>
                <w:szCs w:val="20"/>
              </w:rPr>
              <w:t xml:space="preserve"> (n,%)</w:t>
            </w:r>
          </w:p>
        </w:tc>
        <w:tc>
          <w:tcPr>
            <w:tcW w:w="2267" w:type="dxa"/>
            <w:tcBorders>
              <w:top w:val="nil"/>
              <w:left w:val="nil"/>
              <w:bottom w:val="nil"/>
              <w:right w:val="nil"/>
            </w:tcBorders>
            <w:shd w:val="clear" w:color="auto" w:fill="auto"/>
            <w:noWrap/>
          </w:tcPr>
          <w:p w14:paraId="0E757D14"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99 (4.0)</w:t>
            </w:r>
          </w:p>
        </w:tc>
        <w:tc>
          <w:tcPr>
            <w:tcW w:w="2267" w:type="dxa"/>
            <w:tcBorders>
              <w:top w:val="nil"/>
              <w:left w:val="nil"/>
              <w:bottom w:val="nil"/>
              <w:right w:val="nil"/>
            </w:tcBorders>
            <w:shd w:val="clear" w:color="auto" w:fill="auto"/>
            <w:noWrap/>
          </w:tcPr>
          <w:p w14:paraId="4C4C27A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14 (8.2)</w:t>
            </w:r>
          </w:p>
        </w:tc>
      </w:tr>
      <w:tr w:rsidR="00DB4040" w14:paraId="74D8BA06" w14:textId="77777777">
        <w:trPr>
          <w:trHeight w:val="300"/>
        </w:trPr>
        <w:tc>
          <w:tcPr>
            <w:tcW w:w="3686" w:type="dxa"/>
            <w:tcBorders>
              <w:top w:val="nil"/>
              <w:left w:val="nil"/>
              <w:bottom w:val="nil"/>
              <w:right w:val="nil"/>
            </w:tcBorders>
            <w:shd w:val="clear" w:color="auto" w:fill="auto"/>
            <w:noWrap/>
            <w:vAlign w:val="center"/>
            <w:hideMark/>
          </w:tcPr>
          <w:p w14:paraId="548F5FAB"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Antidiabetic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drugs</w:t>
            </w:r>
            <w:proofErr w:type="spellEnd"/>
            <w:r>
              <w:rPr>
                <w:rFonts w:ascii="Arial" w:eastAsia="Times New Roman" w:hAnsi="Arial" w:cs="Arial"/>
                <w:color w:val="000000"/>
                <w:sz w:val="20"/>
                <w:szCs w:val="20"/>
              </w:rPr>
              <w:t xml:space="preserve"> (n,%)</w:t>
            </w:r>
          </w:p>
        </w:tc>
        <w:tc>
          <w:tcPr>
            <w:tcW w:w="2267" w:type="dxa"/>
            <w:tcBorders>
              <w:top w:val="nil"/>
              <w:left w:val="nil"/>
              <w:bottom w:val="nil"/>
              <w:right w:val="nil"/>
            </w:tcBorders>
            <w:shd w:val="clear" w:color="auto" w:fill="auto"/>
            <w:noWrap/>
          </w:tcPr>
          <w:p w14:paraId="1B56068E"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94 (3.8)</w:t>
            </w:r>
          </w:p>
        </w:tc>
        <w:tc>
          <w:tcPr>
            <w:tcW w:w="2267" w:type="dxa"/>
            <w:tcBorders>
              <w:top w:val="nil"/>
              <w:left w:val="nil"/>
              <w:bottom w:val="nil"/>
              <w:right w:val="nil"/>
            </w:tcBorders>
            <w:shd w:val="clear" w:color="auto" w:fill="auto"/>
            <w:noWrap/>
          </w:tcPr>
          <w:p w14:paraId="4E462A7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13 (7.7)</w:t>
            </w:r>
          </w:p>
        </w:tc>
      </w:tr>
      <w:tr w:rsidR="00DB4040" w14:paraId="32EEB00A" w14:textId="77777777">
        <w:trPr>
          <w:trHeight w:val="300"/>
        </w:trPr>
        <w:tc>
          <w:tcPr>
            <w:tcW w:w="3686" w:type="dxa"/>
            <w:tcBorders>
              <w:top w:val="nil"/>
              <w:left w:val="nil"/>
              <w:bottom w:val="nil"/>
              <w:right w:val="nil"/>
            </w:tcBorders>
            <w:shd w:val="clear" w:color="auto" w:fill="auto"/>
            <w:noWrap/>
            <w:vAlign w:val="center"/>
            <w:hideMark/>
          </w:tcPr>
          <w:p w14:paraId="3965765C"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Antihypertensive</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drugs</w:t>
            </w:r>
            <w:proofErr w:type="spellEnd"/>
            <w:r>
              <w:rPr>
                <w:rFonts w:ascii="Arial" w:eastAsia="Times New Roman" w:hAnsi="Arial" w:cs="Arial"/>
                <w:color w:val="000000"/>
                <w:sz w:val="20"/>
                <w:szCs w:val="20"/>
              </w:rPr>
              <w:t xml:space="preserve"> (n,%)</w:t>
            </w:r>
          </w:p>
        </w:tc>
        <w:tc>
          <w:tcPr>
            <w:tcW w:w="2267" w:type="dxa"/>
            <w:tcBorders>
              <w:top w:val="nil"/>
              <w:left w:val="nil"/>
              <w:bottom w:val="nil"/>
              <w:right w:val="nil"/>
            </w:tcBorders>
            <w:shd w:val="clear" w:color="auto" w:fill="auto"/>
            <w:noWrap/>
          </w:tcPr>
          <w:p w14:paraId="047A7CC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765 (30.8)</w:t>
            </w:r>
          </w:p>
        </w:tc>
        <w:tc>
          <w:tcPr>
            <w:tcW w:w="2267" w:type="dxa"/>
            <w:tcBorders>
              <w:top w:val="nil"/>
              <w:left w:val="nil"/>
              <w:bottom w:val="nil"/>
              <w:right w:val="nil"/>
            </w:tcBorders>
            <w:shd w:val="clear" w:color="auto" w:fill="auto"/>
            <w:noWrap/>
          </w:tcPr>
          <w:p w14:paraId="6A1140C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110 (64.7)</w:t>
            </w:r>
          </w:p>
        </w:tc>
      </w:tr>
      <w:tr w:rsidR="00DB4040" w14:paraId="57C20E85" w14:textId="77777777">
        <w:trPr>
          <w:trHeight w:val="315"/>
        </w:trPr>
        <w:tc>
          <w:tcPr>
            <w:tcW w:w="3686" w:type="dxa"/>
            <w:tcBorders>
              <w:top w:val="nil"/>
              <w:left w:val="nil"/>
              <w:right w:val="nil"/>
            </w:tcBorders>
            <w:shd w:val="clear" w:color="auto" w:fill="auto"/>
            <w:noWrap/>
            <w:vAlign w:val="center"/>
            <w:hideMark/>
          </w:tcPr>
          <w:p w14:paraId="09E44DBF" w14:textId="77777777" w:rsidR="00DB4040" w:rsidRDefault="00762861">
            <w:pPr>
              <w:spacing w:after="0" w:line="480" w:lineRule="auto"/>
              <w:rPr>
                <w:rFonts w:ascii="Arial" w:eastAsia="Times New Roman" w:hAnsi="Arial" w:cs="Arial"/>
                <w:color w:val="000000"/>
                <w:sz w:val="20"/>
                <w:szCs w:val="20"/>
              </w:rPr>
            </w:pPr>
            <w:r>
              <w:rPr>
                <w:rFonts w:ascii="Arial" w:eastAsia="Times New Roman" w:hAnsi="Arial" w:cs="Arial"/>
                <w:color w:val="000000"/>
                <w:sz w:val="20"/>
                <w:szCs w:val="20"/>
              </w:rPr>
              <w:t>Anti-</w:t>
            </w:r>
            <w:proofErr w:type="spellStart"/>
            <w:r>
              <w:rPr>
                <w:rFonts w:ascii="Arial" w:eastAsia="Times New Roman" w:hAnsi="Arial" w:cs="Arial"/>
                <w:color w:val="000000"/>
                <w:sz w:val="20"/>
                <w:szCs w:val="20"/>
              </w:rPr>
              <w:t>inflammatory</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drugs</w:t>
            </w:r>
            <w:proofErr w:type="spellEnd"/>
            <w:r>
              <w:rPr>
                <w:rFonts w:ascii="Arial" w:eastAsia="Times New Roman" w:hAnsi="Arial" w:cs="Arial"/>
                <w:color w:val="000000"/>
                <w:sz w:val="20"/>
                <w:szCs w:val="20"/>
              </w:rPr>
              <w:t xml:space="preserve"> (n,%)</w:t>
            </w:r>
          </w:p>
        </w:tc>
        <w:tc>
          <w:tcPr>
            <w:tcW w:w="2267" w:type="dxa"/>
            <w:tcBorders>
              <w:top w:val="nil"/>
              <w:left w:val="nil"/>
              <w:right w:val="nil"/>
            </w:tcBorders>
            <w:shd w:val="clear" w:color="auto" w:fill="auto"/>
            <w:noWrap/>
          </w:tcPr>
          <w:p w14:paraId="1687514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247 (10.0)</w:t>
            </w:r>
          </w:p>
        </w:tc>
        <w:tc>
          <w:tcPr>
            <w:tcW w:w="2267" w:type="dxa"/>
            <w:tcBorders>
              <w:top w:val="nil"/>
              <w:left w:val="nil"/>
              <w:right w:val="nil"/>
            </w:tcBorders>
            <w:shd w:val="clear" w:color="auto" w:fill="auto"/>
            <w:noWrap/>
          </w:tcPr>
          <w:p w14:paraId="604525A5"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37 (21.8)</w:t>
            </w:r>
          </w:p>
        </w:tc>
      </w:tr>
      <w:tr w:rsidR="00DB4040" w14:paraId="70540C19" w14:textId="77777777">
        <w:trPr>
          <w:trHeight w:val="300"/>
        </w:trPr>
        <w:tc>
          <w:tcPr>
            <w:tcW w:w="3686" w:type="dxa"/>
            <w:tcBorders>
              <w:top w:val="nil"/>
              <w:left w:val="nil"/>
              <w:bottom w:val="single" w:sz="12" w:space="0" w:color="auto"/>
              <w:right w:val="nil"/>
            </w:tcBorders>
            <w:shd w:val="clear" w:color="auto" w:fill="auto"/>
            <w:noWrap/>
            <w:vAlign w:val="center"/>
            <w:hideMark/>
          </w:tcPr>
          <w:p w14:paraId="4AB3ED84" w14:textId="77777777" w:rsidR="00DB4040" w:rsidRDefault="00762861">
            <w:pPr>
              <w:spacing w:after="0" w:line="48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Statins</w:t>
            </w:r>
            <w:proofErr w:type="spellEnd"/>
            <w:r>
              <w:rPr>
                <w:rFonts w:ascii="Arial" w:eastAsia="Times New Roman" w:hAnsi="Arial" w:cs="Arial"/>
                <w:color w:val="000000"/>
                <w:sz w:val="20"/>
                <w:szCs w:val="20"/>
              </w:rPr>
              <w:t xml:space="preserve"> (n,%)</w:t>
            </w:r>
          </w:p>
        </w:tc>
        <w:tc>
          <w:tcPr>
            <w:tcW w:w="2267" w:type="dxa"/>
            <w:tcBorders>
              <w:top w:val="nil"/>
              <w:left w:val="nil"/>
              <w:bottom w:val="single" w:sz="12" w:space="0" w:color="auto"/>
              <w:right w:val="nil"/>
            </w:tcBorders>
            <w:shd w:val="clear" w:color="auto" w:fill="auto"/>
            <w:noWrap/>
          </w:tcPr>
          <w:p w14:paraId="73ABBBB0"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230 (9.3)</w:t>
            </w:r>
          </w:p>
        </w:tc>
        <w:tc>
          <w:tcPr>
            <w:tcW w:w="2267" w:type="dxa"/>
            <w:tcBorders>
              <w:top w:val="nil"/>
              <w:left w:val="nil"/>
              <w:bottom w:val="single" w:sz="12" w:space="0" w:color="auto"/>
              <w:right w:val="nil"/>
            </w:tcBorders>
            <w:shd w:val="clear" w:color="auto" w:fill="auto"/>
            <w:noWrap/>
          </w:tcPr>
          <w:p w14:paraId="1E4C4DDE"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36 (21.2)</w:t>
            </w:r>
          </w:p>
        </w:tc>
      </w:tr>
    </w:tbl>
    <w:p w14:paraId="6360FBBD" w14:textId="77777777" w:rsidR="00DB4040" w:rsidRDefault="00762861">
      <w:pPr>
        <w:rPr>
          <w:rFonts w:ascii="Arial" w:hAnsi="Arial" w:cs="Arial"/>
          <w:sz w:val="18"/>
          <w:szCs w:val="18"/>
          <w:lang w:val="en-US"/>
        </w:rPr>
      </w:pPr>
      <w:r>
        <w:rPr>
          <w:rFonts w:ascii="Arial" w:hAnsi="Arial" w:cs="Arial"/>
          <w:sz w:val="18"/>
          <w:szCs w:val="18"/>
          <w:lang w:val="en-US"/>
        </w:rPr>
        <w:t xml:space="preserve">Data are medians (25th, 75th percentile) or n (percentages). </w:t>
      </w:r>
    </w:p>
    <w:p w14:paraId="1AA667CA" w14:textId="77777777" w:rsidR="00DB4040" w:rsidRDefault="00762861">
      <w:pPr>
        <w:rPr>
          <w:rFonts w:ascii="Arial" w:hAnsi="Arial" w:cs="Arial"/>
          <w:sz w:val="18"/>
          <w:szCs w:val="18"/>
          <w:lang w:val="en-US"/>
        </w:rPr>
      </w:pPr>
      <w:r>
        <w:rPr>
          <w:rFonts w:ascii="Arial" w:hAnsi="Arial" w:cs="Arial"/>
          <w:sz w:val="18"/>
          <w:szCs w:val="18"/>
          <w:lang w:val="en-US"/>
        </w:rPr>
        <w:t xml:space="preserve">PPI use </w:t>
      </w:r>
      <w:proofErr w:type="gramStart"/>
      <w:r>
        <w:rPr>
          <w:rFonts w:ascii="Arial" w:hAnsi="Arial" w:cs="Arial"/>
          <w:sz w:val="18"/>
          <w:szCs w:val="18"/>
          <w:lang w:val="en-US"/>
        </w:rPr>
        <w:t>was defined</w:t>
      </w:r>
      <w:proofErr w:type="gramEnd"/>
      <w:r>
        <w:rPr>
          <w:rFonts w:ascii="Arial" w:hAnsi="Arial" w:cs="Arial"/>
          <w:sz w:val="18"/>
          <w:szCs w:val="18"/>
          <w:lang w:val="en-US"/>
        </w:rPr>
        <w:t xml:space="preserve"> as only ‘regular use’. </w:t>
      </w:r>
    </w:p>
    <w:p w14:paraId="7CE879F6" w14:textId="77777777" w:rsidR="00DB4040" w:rsidRDefault="00762861">
      <w:pPr>
        <w:spacing w:line="360" w:lineRule="auto"/>
        <w:jc w:val="both"/>
        <w:rPr>
          <w:rFonts w:ascii="Arial" w:hAnsi="Arial" w:cs="Arial"/>
          <w:b/>
          <w:lang w:val="en-US"/>
        </w:rPr>
      </w:pPr>
      <w:r>
        <w:rPr>
          <w:rFonts w:ascii="Arial" w:hAnsi="Arial" w:cs="Arial"/>
          <w:sz w:val="18"/>
          <w:szCs w:val="18"/>
          <w:lang w:val="en-US"/>
        </w:rPr>
        <w:t>GMV, Brain gray matter volume; WMV, Brain white matter volume; TBV, Total brain volume; HV, Hippocampal volume; ICV, Intracranial volume; LDL, low-density-lipoprotein HDL, high-density lipoprotein</w:t>
      </w:r>
    </w:p>
    <w:p w14:paraId="7D9BBA70" w14:textId="77777777" w:rsidR="00DB4040" w:rsidRDefault="00DB4040">
      <w:pPr>
        <w:spacing w:line="360" w:lineRule="auto"/>
        <w:jc w:val="both"/>
        <w:rPr>
          <w:rFonts w:ascii="Arial" w:hAnsi="Arial" w:cs="Arial"/>
          <w:b/>
          <w:lang w:val="en-US"/>
        </w:rPr>
      </w:pPr>
    </w:p>
    <w:p w14:paraId="5A4C666D" w14:textId="77777777" w:rsidR="00DB4040" w:rsidRDefault="00DB4040">
      <w:pPr>
        <w:spacing w:line="360" w:lineRule="auto"/>
        <w:jc w:val="both"/>
        <w:rPr>
          <w:rFonts w:ascii="Arial" w:hAnsi="Arial" w:cs="Arial"/>
          <w:b/>
          <w:lang w:val="en-US"/>
        </w:rPr>
      </w:pPr>
    </w:p>
    <w:p w14:paraId="40025AA9" w14:textId="77777777" w:rsidR="00DB4040" w:rsidRDefault="00DB4040">
      <w:pPr>
        <w:spacing w:line="360" w:lineRule="auto"/>
        <w:jc w:val="both"/>
        <w:rPr>
          <w:rFonts w:ascii="Arial" w:hAnsi="Arial" w:cs="Arial"/>
          <w:b/>
          <w:lang w:val="en-US"/>
        </w:rPr>
      </w:pPr>
    </w:p>
    <w:p w14:paraId="355CD0EC" w14:textId="77777777" w:rsidR="00DB4040" w:rsidRDefault="00DB4040">
      <w:pPr>
        <w:spacing w:line="360" w:lineRule="auto"/>
        <w:jc w:val="both"/>
        <w:rPr>
          <w:rFonts w:ascii="Arial" w:hAnsi="Arial" w:cs="Arial"/>
          <w:b/>
          <w:lang w:val="en-US"/>
        </w:rPr>
      </w:pPr>
    </w:p>
    <w:p w14:paraId="44C7CB2C" w14:textId="77777777" w:rsidR="00DB4040" w:rsidRDefault="00DB4040">
      <w:pPr>
        <w:spacing w:line="360" w:lineRule="auto"/>
        <w:jc w:val="both"/>
        <w:rPr>
          <w:rFonts w:ascii="Arial" w:hAnsi="Arial" w:cs="Arial"/>
          <w:b/>
          <w:lang w:val="en-US"/>
        </w:rPr>
        <w:sectPr w:rsidR="00DB4040">
          <w:pgSz w:w="11906" w:h="16838"/>
          <w:pgMar w:top="1418" w:right="2268" w:bottom="1134" w:left="1418" w:header="709" w:footer="709" w:gutter="0"/>
          <w:cols w:space="708"/>
          <w:docGrid w:linePitch="360"/>
        </w:sectPr>
      </w:pPr>
    </w:p>
    <w:p w14:paraId="3FCA1DDE" w14:textId="77777777" w:rsidR="00DB4040" w:rsidRDefault="00762861">
      <w:pPr>
        <w:spacing w:line="360" w:lineRule="auto"/>
        <w:jc w:val="both"/>
        <w:rPr>
          <w:rFonts w:ascii="Arial" w:hAnsi="Arial" w:cs="Arial"/>
          <w:b/>
          <w:lang w:val="en-US"/>
        </w:rPr>
      </w:pPr>
      <w:r>
        <w:rPr>
          <w:rFonts w:ascii="Arial" w:hAnsi="Arial" w:cs="Arial"/>
          <w:b/>
          <w:lang w:val="en-US"/>
        </w:rPr>
        <w:lastRenderedPageBreak/>
        <w:t>Table 3. Linear regression coefficients, SEs and 95% CIs for the associations of PPI intake with brain volumes and brain age, respectively (n=2,653)</w:t>
      </w:r>
    </w:p>
    <w:tbl>
      <w:tblPr>
        <w:tblW w:w="7013" w:type="dxa"/>
        <w:tblCellMar>
          <w:left w:w="70" w:type="dxa"/>
          <w:right w:w="70" w:type="dxa"/>
        </w:tblCellMar>
        <w:tblLook w:val="04A0" w:firstRow="1" w:lastRow="0" w:firstColumn="1" w:lastColumn="0" w:noHBand="0" w:noVBand="1"/>
      </w:tblPr>
      <w:tblGrid>
        <w:gridCol w:w="1640"/>
        <w:gridCol w:w="1931"/>
        <w:gridCol w:w="1054"/>
        <w:gridCol w:w="2388"/>
      </w:tblGrid>
      <w:tr w:rsidR="00DB4040" w14:paraId="1CBFFD04" w14:textId="77777777">
        <w:trPr>
          <w:trHeight w:val="515"/>
        </w:trPr>
        <w:tc>
          <w:tcPr>
            <w:tcW w:w="0" w:type="auto"/>
            <w:tcBorders>
              <w:top w:val="single" w:sz="4" w:space="0" w:color="auto"/>
            </w:tcBorders>
            <w:shd w:val="clear" w:color="auto" w:fill="auto"/>
            <w:noWrap/>
            <w:hideMark/>
          </w:tcPr>
          <w:p w14:paraId="47E8A10B" w14:textId="77777777" w:rsidR="00DB4040" w:rsidRDefault="00DB4040">
            <w:pPr>
              <w:spacing w:after="0" w:line="480" w:lineRule="auto"/>
              <w:rPr>
                <w:rFonts w:ascii="Arial" w:eastAsia="Times New Roman" w:hAnsi="Arial" w:cs="Arial"/>
                <w:color w:val="000000"/>
                <w:sz w:val="20"/>
                <w:szCs w:val="20"/>
                <w:lang w:val="en-US"/>
              </w:rPr>
            </w:pPr>
          </w:p>
        </w:tc>
        <w:tc>
          <w:tcPr>
            <w:tcW w:w="0" w:type="auto"/>
            <w:tcBorders>
              <w:top w:val="single" w:sz="4" w:space="0" w:color="auto"/>
              <w:bottom w:val="single" w:sz="4" w:space="0" w:color="auto"/>
            </w:tcBorders>
            <w:shd w:val="clear" w:color="auto" w:fill="auto"/>
            <w:noWrap/>
            <w:hideMark/>
          </w:tcPr>
          <w:p w14:paraId="42770334" w14:textId="77777777" w:rsidR="00DB4040" w:rsidRDefault="00762861">
            <w:pPr>
              <w:spacing w:after="0" w:line="480" w:lineRule="auto"/>
              <w:jc w:val="center"/>
              <w:rPr>
                <w:rFonts w:ascii="Arial" w:eastAsia="Times New Roman" w:hAnsi="Arial" w:cs="Arial"/>
                <w:b/>
                <w:color w:val="000000"/>
                <w:sz w:val="20"/>
                <w:szCs w:val="20"/>
              </w:rPr>
            </w:pPr>
            <w:proofErr w:type="spellStart"/>
            <w:r>
              <w:rPr>
                <w:rFonts w:ascii="Arial" w:hAnsi="Arial" w:cs="Arial"/>
                <w:b/>
                <w:sz w:val="20"/>
                <w:szCs w:val="20"/>
              </w:rPr>
              <w:t>Coefficient</w:t>
            </w:r>
            <w:proofErr w:type="spellEnd"/>
          </w:p>
        </w:tc>
        <w:tc>
          <w:tcPr>
            <w:tcW w:w="0" w:type="auto"/>
            <w:tcBorders>
              <w:top w:val="single" w:sz="4" w:space="0" w:color="auto"/>
              <w:bottom w:val="single" w:sz="4" w:space="0" w:color="auto"/>
            </w:tcBorders>
            <w:shd w:val="clear" w:color="auto" w:fill="auto"/>
            <w:noWrap/>
            <w:hideMark/>
          </w:tcPr>
          <w:p w14:paraId="6AC2C46B" w14:textId="77777777" w:rsidR="00DB4040" w:rsidRDefault="00762861">
            <w:pPr>
              <w:spacing w:after="0" w:line="480" w:lineRule="auto"/>
              <w:jc w:val="center"/>
              <w:rPr>
                <w:rFonts w:ascii="Arial" w:eastAsia="Times New Roman" w:hAnsi="Arial" w:cs="Arial"/>
                <w:b/>
                <w:color w:val="000000"/>
                <w:sz w:val="20"/>
                <w:szCs w:val="20"/>
              </w:rPr>
            </w:pPr>
            <w:r>
              <w:rPr>
                <w:rFonts w:ascii="Arial" w:hAnsi="Arial" w:cs="Arial"/>
                <w:b/>
                <w:sz w:val="20"/>
                <w:szCs w:val="20"/>
              </w:rPr>
              <w:t>SE</w:t>
            </w:r>
          </w:p>
        </w:tc>
        <w:tc>
          <w:tcPr>
            <w:tcW w:w="0" w:type="auto"/>
            <w:tcBorders>
              <w:top w:val="single" w:sz="4" w:space="0" w:color="auto"/>
              <w:bottom w:val="single" w:sz="4" w:space="0" w:color="auto"/>
            </w:tcBorders>
            <w:shd w:val="clear" w:color="auto" w:fill="auto"/>
            <w:noWrap/>
            <w:hideMark/>
          </w:tcPr>
          <w:p w14:paraId="4CF6379A" w14:textId="77777777" w:rsidR="00DB4040" w:rsidRDefault="00762861">
            <w:pPr>
              <w:spacing w:after="0" w:line="480" w:lineRule="auto"/>
              <w:jc w:val="center"/>
              <w:rPr>
                <w:rFonts w:ascii="Arial" w:eastAsia="Times New Roman" w:hAnsi="Arial" w:cs="Arial"/>
                <w:b/>
                <w:color w:val="000000"/>
                <w:sz w:val="20"/>
                <w:szCs w:val="20"/>
              </w:rPr>
            </w:pPr>
            <w:r>
              <w:rPr>
                <w:rFonts w:ascii="Arial" w:hAnsi="Arial" w:cs="Arial"/>
                <w:b/>
                <w:sz w:val="20"/>
                <w:szCs w:val="20"/>
              </w:rPr>
              <w:t>95% CI</w:t>
            </w:r>
          </w:p>
        </w:tc>
      </w:tr>
      <w:tr w:rsidR="00DB4040" w14:paraId="0772AF55" w14:textId="77777777">
        <w:trPr>
          <w:trHeight w:val="515"/>
        </w:trPr>
        <w:tc>
          <w:tcPr>
            <w:tcW w:w="0" w:type="auto"/>
            <w:shd w:val="clear" w:color="auto" w:fill="auto"/>
            <w:noWrap/>
            <w:hideMark/>
          </w:tcPr>
          <w:p w14:paraId="0C5A55C7" w14:textId="77777777" w:rsidR="00DB4040" w:rsidRDefault="00762861">
            <w:pPr>
              <w:spacing w:after="0" w:line="480" w:lineRule="auto"/>
              <w:rPr>
                <w:rFonts w:ascii="Arial" w:eastAsia="Times New Roman" w:hAnsi="Arial" w:cs="Arial"/>
                <w:color w:val="000000"/>
                <w:sz w:val="20"/>
                <w:szCs w:val="20"/>
              </w:rPr>
            </w:pPr>
            <w:r>
              <w:rPr>
                <w:rFonts w:ascii="Arial" w:hAnsi="Arial" w:cs="Arial"/>
                <w:sz w:val="20"/>
                <w:szCs w:val="20"/>
              </w:rPr>
              <w:t>GMV</w:t>
            </w:r>
          </w:p>
        </w:tc>
        <w:tc>
          <w:tcPr>
            <w:tcW w:w="0" w:type="auto"/>
            <w:tcBorders>
              <w:top w:val="single" w:sz="4" w:space="0" w:color="auto"/>
            </w:tcBorders>
            <w:shd w:val="clear" w:color="auto" w:fill="auto"/>
            <w:noWrap/>
            <w:hideMark/>
          </w:tcPr>
          <w:p w14:paraId="0099662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-1.59</w:t>
            </w:r>
          </w:p>
        </w:tc>
        <w:tc>
          <w:tcPr>
            <w:tcW w:w="0" w:type="auto"/>
            <w:tcBorders>
              <w:top w:val="single" w:sz="4" w:space="0" w:color="auto"/>
            </w:tcBorders>
            <w:shd w:val="clear" w:color="auto" w:fill="auto"/>
            <w:noWrap/>
            <w:hideMark/>
          </w:tcPr>
          <w:p w14:paraId="17F16647"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2.62</w:t>
            </w:r>
          </w:p>
        </w:tc>
        <w:tc>
          <w:tcPr>
            <w:tcW w:w="0" w:type="auto"/>
            <w:tcBorders>
              <w:top w:val="single" w:sz="4" w:space="0" w:color="auto"/>
            </w:tcBorders>
            <w:shd w:val="clear" w:color="auto" w:fill="auto"/>
            <w:noWrap/>
            <w:hideMark/>
          </w:tcPr>
          <w:p w14:paraId="22ED5F6D"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(-6.72, 3.54)</w:t>
            </w:r>
          </w:p>
        </w:tc>
      </w:tr>
      <w:tr w:rsidR="00DB4040" w14:paraId="41FE5921" w14:textId="77777777">
        <w:trPr>
          <w:trHeight w:val="515"/>
        </w:trPr>
        <w:tc>
          <w:tcPr>
            <w:tcW w:w="0" w:type="auto"/>
            <w:shd w:val="clear" w:color="auto" w:fill="auto"/>
            <w:noWrap/>
            <w:hideMark/>
          </w:tcPr>
          <w:p w14:paraId="55BCF9BA" w14:textId="77777777" w:rsidR="00DB4040" w:rsidRDefault="00762861">
            <w:pPr>
              <w:spacing w:after="0" w:line="480" w:lineRule="auto"/>
              <w:rPr>
                <w:rFonts w:ascii="Arial" w:eastAsia="Times New Roman" w:hAnsi="Arial" w:cs="Arial"/>
                <w:color w:val="000000"/>
                <w:sz w:val="20"/>
                <w:szCs w:val="20"/>
              </w:rPr>
            </w:pPr>
            <w:r>
              <w:rPr>
                <w:rFonts w:ascii="Arial" w:hAnsi="Arial" w:cs="Arial"/>
                <w:sz w:val="20"/>
                <w:szCs w:val="20"/>
              </w:rPr>
              <w:t>WMV</w:t>
            </w:r>
          </w:p>
        </w:tc>
        <w:tc>
          <w:tcPr>
            <w:tcW w:w="0" w:type="auto"/>
            <w:shd w:val="clear" w:color="auto" w:fill="auto"/>
            <w:noWrap/>
            <w:hideMark/>
          </w:tcPr>
          <w:p w14:paraId="4DC52C59"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2.52</w:t>
            </w:r>
          </w:p>
        </w:tc>
        <w:tc>
          <w:tcPr>
            <w:tcW w:w="0" w:type="auto"/>
            <w:shd w:val="clear" w:color="auto" w:fill="auto"/>
            <w:noWrap/>
            <w:hideMark/>
          </w:tcPr>
          <w:p w14:paraId="20433756"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3.18</w:t>
            </w:r>
          </w:p>
        </w:tc>
        <w:tc>
          <w:tcPr>
            <w:tcW w:w="0" w:type="auto"/>
            <w:shd w:val="clear" w:color="auto" w:fill="auto"/>
            <w:noWrap/>
            <w:hideMark/>
          </w:tcPr>
          <w:p w14:paraId="4DAEB263"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(-3.71, 8.76)</w:t>
            </w:r>
          </w:p>
        </w:tc>
      </w:tr>
      <w:tr w:rsidR="00DB4040" w14:paraId="0C340690" w14:textId="77777777">
        <w:trPr>
          <w:trHeight w:val="515"/>
        </w:trPr>
        <w:tc>
          <w:tcPr>
            <w:tcW w:w="0" w:type="auto"/>
            <w:shd w:val="clear" w:color="auto" w:fill="auto"/>
            <w:noWrap/>
            <w:hideMark/>
          </w:tcPr>
          <w:p w14:paraId="55AE26AC" w14:textId="77777777" w:rsidR="00DB4040" w:rsidRDefault="00762861">
            <w:pPr>
              <w:spacing w:after="0" w:line="480" w:lineRule="auto"/>
              <w:rPr>
                <w:rFonts w:ascii="Arial" w:eastAsia="Times New Roman" w:hAnsi="Arial" w:cs="Arial"/>
                <w:color w:val="000000"/>
                <w:sz w:val="20"/>
                <w:szCs w:val="20"/>
              </w:rPr>
            </w:pPr>
            <w:r>
              <w:rPr>
                <w:rFonts w:ascii="Arial" w:hAnsi="Arial" w:cs="Arial"/>
                <w:sz w:val="20"/>
                <w:szCs w:val="20"/>
              </w:rPr>
              <w:t>TBV</w:t>
            </w:r>
          </w:p>
        </w:tc>
        <w:tc>
          <w:tcPr>
            <w:tcW w:w="0" w:type="auto"/>
            <w:shd w:val="clear" w:color="auto" w:fill="auto"/>
            <w:noWrap/>
            <w:hideMark/>
          </w:tcPr>
          <w:p w14:paraId="150E6C9A"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0.96</w:t>
            </w:r>
          </w:p>
        </w:tc>
        <w:tc>
          <w:tcPr>
            <w:tcW w:w="0" w:type="auto"/>
            <w:shd w:val="clear" w:color="auto" w:fill="auto"/>
            <w:noWrap/>
            <w:hideMark/>
          </w:tcPr>
          <w:p w14:paraId="65691AC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3.77</w:t>
            </w:r>
          </w:p>
        </w:tc>
        <w:tc>
          <w:tcPr>
            <w:tcW w:w="0" w:type="auto"/>
            <w:shd w:val="clear" w:color="auto" w:fill="auto"/>
            <w:noWrap/>
            <w:hideMark/>
          </w:tcPr>
          <w:p w14:paraId="0C35EF8F"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(-6.42, 8.34)</w:t>
            </w:r>
          </w:p>
        </w:tc>
      </w:tr>
      <w:tr w:rsidR="00DB4040" w14:paraId="10B6A048" w14:textId="77777777">
        <w:trPr>
          <w:trHeight w:val="515"/>
        </w:trPr>
        <w:tc>
          <w:tcPr>
            <w:tcW w:w="0" w:type="auto"/>
            <w:shd w:val="clear" w:color="auto" w:fill="auto"/>
            <w:noWrap/>
            <w:hideMark/>
          </w:tcPr>
          <w:p w14:paraId="42EC6BF9" w14:textId="77777777" w:rsidR="00DB4040" w:rsidRDefault="00762861">
            <w:pPr>
              <w:spacing w:after="0" w:line="480" w:lineRule="auto"/>
              <w:rPr>
                <w:rFonts w:ascii="Arial" w:eastAsia="Times New Roman" w:hAnsi="Arial" w:cs="Arial"/>
                <w:color w:val="000000"/>
                <w:sz w:val="20"/>
                <w:szCs w:val="20"/>
              </w:rPr>
            </w:pPr>
            <w:r>
              <w:rPr>
                <w:rFonts w:ascii="Arial" w:hAnsi="Arial" w:cs="Arial"/>
                <w:sz w:val="20"/>
                <w:szCs w:val="20"/>
              </w:rPr>
              <w:t>HV</w:t>
            </w:r>
          </w:p>
        </w:tc>
        <w:tc>
          <w:tcPr>
            <w:tcW w:w="0" w:type="auto"/>
            <w:shd w:val="clear" w:color="auto" w:fill="auto"/>
            <w:noWrap/>
            <w:hideMark/>
          </w:tcPr>
          <w:p w14:paraId="02F70900"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-0.006</w:t>
            </w:r>
          </w:p>
        </w:tc>
        <w:tc>
          <w:tcPr>
            <w:tcW w:w="0" w:type="auto"/>
            <w:shd w:val="clear" w:color="auto" w:fill="auto"/>
            <w:noWrap/>
            <w:hideMark/>
          </w:tcPr>
          <w:p w14:paraId="5A20FAC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0.058</w:t>
            </w:r>
          </w:p>
        </w:tc>
        <w:tc>
          <w:tcPr>
            <w:tcW w:w="0" w:type="auto"/>
            <w:shd w:val="clear" w:color="auto" w:fill="auto"/>
            <w:noWrap/>
            <w:hideMark/>
          </w:tcPr>
          <w:p w14:paraId="3E424DFC"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(-0.120, 0.109)</w:t>
            </w:r>
          </w:p>
        </w:tc>
      </w:tr>
      <w:tr w:rsidR="00DB4040" w14:paraId="1BDA624F" w14:textId="77777777">
        <w:trPr>
          <w:trHeight w:val="515"/>
        </w:trPr>
        <w:tc>
          <w:tcPr>
            <w:tcW w:w="0" w:type="auto"/>
            <w:shd w:val="clear" w:color="auto" w:fill="auto"/>
            <w:noWrap/>
          </w:tcPr>
          <w:p w14:paraId="492F9491" w14:textId="77777777" w:rsidR="00DB4040" w:rsidRDefault="00762861">
            <w:pPr>
              <w:spacing w:after="0" w:line="480" w:lineRule="auto"/>
              <w:rPr>
                <w:rFonts w:ascii="Arial" w:hAnsi="Arial" w:cs="Arial"/>
                <w:sz w:val="20"/>
                <w:szCs w:val="20"/>
              </w:rPr>
            </w:pPr>
            <w:proofErr w:type="spellStart"/>
            <w:r>
              <w:rPr>
                <w:rFonts w:ascii="Arial" w:hAnsi="Arial" w:cs="Arial"/>
                <w:sz w:val="20"/>
                <w:szCs w:val="20"/>
              </w:rPr>
              <w:t>Left</w:t>
            </w:r>
            <w:proofErr w:type="spellEnd"/>
            <w:r>
              <w:rPr>
                <w:rFonts w:ascii="Arial" w:hAnsi="Arial" w:cs="Arial"/>
                <w:sz w:val="20"/>
                <w:szCs w:val="20"/>
              </w:rPr>
              <w:t xml:space="preserve"> HV</w:t>
            </w:r>
          </w:p>
        </w:tc>
        <w:tc>
          <w:tcPr>
            <w:tcW w:w="0" w:type="auto"/>
            <w:shd w:val="clear" w:color="auto" w:fill="auto"/>
            <w:noWrap/>
          </w:tcPr>
          <w:p w14:paraId="4163512C" w14:textId="77777777" w:rsidR="00DB4040" w:rsidRDefault="00762861">
            <w:pPr>
              <w:spacing w:after="0" w:line="480" w:lineRule="auto"/>
              <w:jc w:val="center"/>
              <w:rPr>
                <w:rFonts w:ascii="Arial" w:hAnsi="Arial" w:cs="Arial"/>
                <w:sz w:val="20"/>
                <w:szCs w:val="20"/>
              </w:rPr>
            </w:pPr>
            <w:r>
              <w:rPr>
                <w:rFonts w:ascii="Arial" w:hAnsi="Arial" w:cs="Arial"/>
                <w:sz w:val="20"/>
                <w:szCs w:val="20"/>
              </w:rPr>
              <w:t>0.009</w:t>
            </w:r>
          </w:p>
        </w:tc>
        <w:tc>
          <w:tcPr>
            <w:tcW w:w="0" w:type="auto"/>
            <w:shd w:val="clear" w:color="auto" w:fill="auto"/>
            <w:noWrap/>
          </w:tcPr>
          <w:p w14:paraId="1A2DDE4D" w14:textId="77777777" w:rsidR="00DB4040" w:rsidRDefault="00762861">
            <w:pPr>
              <w:spacing w:after="0" w:line="480" w:lineRule="auto"/>
              <w:jc w:val="center"/>
              <w:rPr>
                <w:rFonts w:ascii="Arial" w:hAnsi="Arial" w:cs="Arial"/>
                <w:sz w:val="20"/>
                <w:szCs w:val="20"/>
              </w:rPr>
            </w:pPr>
            <w:r>
              <w:rPr>
                <w:rFonts w:ascii="Arial" w:hAnsi="Arial" w:cs="Arial"/>
                <w:sz w:val="20"/>
                <w:szCs w:val="20"/>
              </w:rPr>
              <w:t>0.030</w:t>
            </w:r>
          </w:p>
        </w:tc>
        <w:tc>
          <w:tcPr>
            <w:tcW w:w="0" w:type="auto"/>
            <w:shd w:val="clear" w:color="auto" w:fill="auto"/>
            <w:noWrap/>
          </w:tcPr>
          <w:p w14:paraId="6CB5F73A" w14:textId="77777777" w:rsidR="00DB4040" w:rsidRDefault="00762861">
            <w:pPr>
              <w:spacing w:after="0" w:line="480" w:lineRule="auto"/>
              <w:jc w:val="center"/>
              <w:rPr>
                <w:rFonts w:ascii="Arial" w:hAnsi="Arial" w:cs="Arial"/>
                <w:sz w:val="20"/>
                <w:szCs w:val="20"/>
              </w:rPr>
            </w:pPr>
            <w:r>
              <w:rPr>
                <w:rFonts w:ascii="Arial" w:hAnsi="Arial" w:cs="Arial"/>
                <w:sz w:val="20"/>
                <w:szCs w:val="20"/>
              </w:rPr>
              <w:t>(-0.050, 0.069)</w:t>
            </w:r>
          </w:p>
        </w:tc>
      </w:tr>
      <w:tr w:rsidR="00DB4040" w14:paraId="5BCA85FD" w14:textId="77777777">
        <w:trPr>
          <w:trHeight w:val="515"/>
        </w:trPr>
        <w:tc>
          <w:tcPr>
            <w:tcW w:w="0" w:type="auto"/>
            <w:shd w:val="clear" w:color="auto" w:fill="auto"/>
            <w:noWrap/>
          </w:tcPr>
          <w:p w14:paraId="23FA3C74" w14:textId="77777777" w:rsidR="00DB4040" w:rsidRDefault="00762861">
            <w:pPr>
              <w:spacing w:after="0" w:line="480" w:lineRule="auto"/>
              <w:rPr>
                <w:rFonts w:ascii="Arial" w:hAnsi="Arial" w:cs="Arial"/>
                <w:sz w:val="20"/>
                <w:szCs w:val="20"/>
              </w:rPr>
            </w:pPr>
            <w:proofErr w:type="spellStart"/>
            <w:r>
              <w:rPr>
                <w:rFonts w:ascii="Arial" w:hAnsi="Arial" w:cs="Arial"/>
                <w:sz w:val="20"/>
                <w:szCs w:val="20"/>
              </w:rPr>
              <w:t>Right</w:t>
            </w:r>
            <w:proofErr w:type="spellEnd"/>
            <w:r>
              <w:rPr>
                <w:rFonts w:ascii="Arial" w:hAnsi="Arial" w:cs="Arial"/>
                <w:sz w:val="20"/>
                <w:szCs w:val="20"/>
              </w:rPr>
              <w:t xml:space="preserve"> HV</w:t>
            </w:r>
          </w:p>
        </w:tc>
        <w:tc>
          <w:tcPr>
            <w:tcW w:w="0" w:type="auto"/>
            <w:shd w:val="clear" w:color="auto" w:fill="auto"/>
            <w:noWrap/>
          </w:tcPr>
          <w:p w14:paraId="51EDFA1E" w14:textId="77777777" w:rsidR="00DB4040" w:rsidRDefault="00762861">
            <w:pPr>
              <w:spacing w:after="0" w:line="480" w:lineRule="auto"/>
              <w:jc w:val="center"/>
              <w:rPr>
                <w:rFonts w:ascii="Arial" w:hAnsi="Arial" w:cs="Arial"/>
                <w:sz w:val="20"/>
                <w:szCs w:val="20"/>
              </w:rPr>
            </w:pPr>
            <w:r>
              <w:rPr>
                <w:rFonts w:ascii="Arial" w:hAnsi="Arial" w:cs="Arial"/>
                <w:sz w:val="20"/>
                <w:szCs w:val="20"/>
              </w:rPr>
              <w:t>-0.015</w:t>
            </w:r>
          </w:p>
        </w:tc>
        <w:tc>
          <w:tcPr>
            <w:tcW w:w="0" w:type="auto"/>
            <w:shd w:val="clear" w:color="auto" w:fill="auto"/>
            <w:noWrap/>
          </w:tcPr>
          <w:p w14:paraId="31A131C8" w14:textId="77777777" w:rsidR="00DB4040" w:rsidRDefault="00762861">
            <w:pPr>
              <w:spacing w:after="0" w:line="480" w:lineRule="auto"/>
              <w:jc w:val="center"/>
              <w:rPr>
                <w:rFonts w:ascii="Arial" w:hAnsi="Arial" w:cs="Arial"/>
                <w:sz w:val="20"/>
                <w:szCs w:val="20"/>
              </w:rPr>
            </w:pPr>
            <w:r>
              <w:rPr>
                <w:rFonts w:ascii="Arial" w:hAnsi="Arial" w:cs="Arial"/>
                <w:sz w:val="20"/>
                <w:szCs w:val="20"/>
              </w:rPr>
              <w:t>0.032</w:t>
            </w:r>
          </w:p>
        </w:tc>
        <w:tc>
          <w:tcPr>
            <w:tcW w:w="0" w:type="auto"/>
            <w:shd w:val="clear" w:color="auto" w:fill="auto"/>
            <w:noWrap/>
          </w:tcPr>
          <w:p w14:paraId="0FFF9A2E" w14:textId="77777777" w:rsidR="00DB4040" w:rsidRDefault="00762861">
            <w:pPr>
              <w:spacing w:after="0" w:line="480" w:lineRule="auto"/>
              <w:jc w:val="center"/>
              <w:rPr>
                <w:rFonts w:ascii="Arial" w:hAnsi="Arial" w:cs="Arial"/>
                <w:sz w:val="20"/>
                <w:szCs w:val="20"/>
              </w:rPr>
            </w:pPr>
            <w:r>
              <w:rPr>
                <w:rFonts w:ascii="Arial" w:hAnsi="Arial" w:cs="Arial"/>
                <w:sz w:val="20"/>
                <w:szCs w:val="20"/>
              </w:rPr>
              <w:t>(-0.078, 0.049)</w:t>
            </w:r>
          </w:p>
        </w:tc>
      </w:tr>
      <w:tr w:rsidR="00DB4040" w14:paraId="5B9A80AE" w14:textId="77777777">
        <w:trPr>
          <w:trHeight w:val="515"/>
        </w:trPr>
        <w:tc>
          <w:tcPr>
            <w:tcW w:w="0" w:type="auto"/>
            <w:tcBorders>
              <w:bottom w:val="single" w:sz="4" w:space="0" w:color="auto"/>
            </w:tcBorders>
            <w:shd w:val="clear" w:color="auto" w:fill="auto"/>
            <w:noWrap/>
            <w:hideMark/>
          </w:tcPr>
          <w:p w14:paraId="03832C5B" w14:textId="77777777" w:rsidR="00DB4040" w:rsidRDefault="00762861">
            <w:pPr>
              <w:spacing w:after="0" w:line="480" w:lineRule="auto"/>
              <w:rPr>
                <w:rFonts w:ascii="Arial" w:eastAsia="Times New Roman" w:hAnsi="Arial" w:cs="Arial"/>
                <w:color w:val="000000"/>
                <w:sz w:val="20"/>
                <w:szCs w:val="20"/>
              </w:rPr>
            </w:pPr>
            <w:r>
              <w:rPr>
                <w:rFonts w:ascii="Arial" w:hAnsi="Arial" w:cs="Arial"/>
                <w:sz w:val="20"/>
                <w:szCs w:val="20"/>
              </w:rPr>
              <w:t xml:space="preserve">Brain </w:t>
            </w:r>
            <w:proofErr w:type="spellStart"/>
            <w:r>
              <w:rPr>
                <w:rFonts w:ascii="Arial" w:hAnsi="Arial" w:cs="Arial"/>
                <w:sz w:val="20"/>
                <w:szCs w:val="20"/>
              </w:rPr>
              <w:t>age</w:t>
            </w:r>
            <w:proofErr w:type="spellEnd"/>
          </w:p>
        </w:tc>
        <w:tc>
          <w:tcPr>
            <w:tcW w:w="0" w:type="auto"/>
            <w:tcBorders>
              <w:bottom w:val="single" w:sz="4" w:space="0" w:color="auto"/>
            </w:tcBorders>
            <w:shd w:val="clear" w:color="auto" w:fill="auto"/>
            <w:noWrap/>
            <w:hideMark/>
          </w:tcPr>
          <w:p w14:paraId="5A4952AF"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0.67</w:t>
            </w:r>
          </w:p>
        </w:tc>
        <w:tc>
          <w:tcPr>
            <w:tcW w:w="0" w:type="auto"/>
            <w:tcBorders>
              <w:bottom w:val="single" w:sz="4" w:space="0" w:color="auto"/>
            </w:tcBorders>
            <w:shd w:val="clear" w:color="auto" w:fill="auto"/>
            <w:noWrap/>
            <w:hideMark/>
          </w:tcPr>
          <w:p w14:paraId="49F5E32F"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0.60</w:t>
            </w:r>
          </w:p>
        </w:tc>
        <w:tc>
          <w:tcPr>
            <w:tcW w:w="0" w:type="auto"/>
            <w:tcBorders>
              <w:bottom w:val="single" w:sz="4" w:space="0" w:color="auto"/>
            </w:tcBorders>
            <w:shd w:val="clear" w:color="auto" w:fill="auto"/>
            <w:noWrap/>
            <w:hideMark/>
          </w:tcPr>
          <w:p w14:paraId="79195338" w14:textId="77777777" w:rsidR="00DB4040" w:rsidRDefault="00762861">
            <w:pPr>
              <w:spacing w:after="0" w:line="480" w:lineRule="auto"/>
              <w:jc w:val="center"/>
              <w:rPr>
                <w:rFonts w:ascii="Arial" w:eastAsia="Times New Roman" w:hAnsi="Arial" w:cs="Arial"/>
                <w:color w:val="000000"/>
                <w:sz w:val="20"/>
                <w:szCs w:val="20"/>
              </w:rPr>
            </w:pPr>
            <w:r>
              <w:rPr>
                <w:rFonts w:ascii="Arial" w:hAnsi="Arial" w:cs="Arial"/>
                <w:sz w:val="20"/>
                <w:szCs w:val="20"/>
              </w:rPr>
              <w:t>(-0.51, 1.85)</w:t>
            </w:r>
          </w:p>
        </w:tc>
      </w:tr>
    </w:tbl>
    <w:p w14:paraId="51477E6F" w14:textId="77777777" w:rsidR="00DB4040" w:rsidRDefault="00762861">
      <w:pPr>
        <w:spacing w:line="360" w:lineRule="auto"/>
        <w:jc w:val="both"/>
        <w:rPr>
          <w:rFonts w:ascii="Arial" w:hAnsi="Arial" w:cs="Arial"/>
          <w:sz w:val="18"/>
          <w:szCs w:val="18"/>
          <w:lang w:val="en-US"/>
        </w:rPr>
      </w:pPr>
      <w:r>
        <w:rPr>
          <w:rFonts w:ascii="Arial" w:hAnsi="Arial" w:cs="Arial"/>
          <w:sz w:val="18"/>
          <w:szCs w:val="18"/>
          <w:lang w:val="en-US"/>
        </w:rPr>
        <w:t xml:space="preserve"> GMV, Brain gray matter volume (ml); WMV, Brain white matter volume (ml); TBV, Total brain volume (ml); HV, </w:t>
      </w:r>
      <w:r>
        <w:rPr>
          <w:rFonts w:ascii="Arial" w:eastAsia="Times New Roman" w:hAnsi="Arial" w:cs="Arial"/>
          <w:color w:val="000000"/>
          <w:sz w:val="18"/>
          <w:szCs w:val="18"/>
          <w:lang w:val="en-US"/>
        </w:rPr>
        <w:t xml:space="preserve">Hippocampal volume </w:t>
      </w:r>
      <w:r>
        <w:rPr>
          <w:rFonts w:ascii="Arial" w:hAnsi="Arial" w:cs="Arial"/>
          <w:sz w:val="18"/>
          <w:szCs w:val="18"/>
          <w:lang w:val="en-US"/>
        </w:rPr>
        <w:t xml:space="preserve">(ml) </w:t>
      </w:r>
    </w:p>
    <w:p w14:paraId="3ECA3F64" w14:textId="3B7E4293" w:rsidR="00DB4040" w:rsidRDefault="00762861">
      <w:pPr>
        <w:spacing w:line="360" w:lineRule="auto"/>
        <w:jc w:val="both"/>
        <w:rPr>
          <w:rFonts w:ascii="Arial" w:hAnsi="Arial" w:cs="Arial"/>
          <w:lang w:val="en-US"/>
        </w:rPr>
      </w:pPr>
      <w:r>
        <w:rPr>
          <w:rFonts w:ascii="Arial" w:hAnsi="Arial" w:cs="Arial"/>
          <w:sz w:val="18"/>
          <w:szCs w:val="18"/>
          <w:lang w:val="en-US"/>
        </w:rPr>
        <w:t xml:space="preserve">Models are adjusted for age, sex, interaction between age and sex, intracranial volume, existence of brain lesion or vascular risk factor, education level, income, smoking, alcohol consumption, total cholesterol/HDL-cholesterol ratio, glycated hemoglobin (HbA1C), systolic blood pressure, body mass index (BMI), study cohort effect, use of anticholinergic drugs, antidepressants, antidiabetic drugs, antihypertensive drugs, anti-inflammatory drugs, and statins. Inverse probability weighting </w:t>
      </w:r>
      <w:proofErr w:type="gramStart"/>
      <w:r>
        <w:rPr>
          <w:rFonts w:ascii="Arial" w:hAnsi="Arial" w:cs="Arial"/>
          <w:sz w:val="18"/>
          <w:szCs w:val="18"/>
          <w:lang w:val="en-US"/>
        </w:rPr>
        <w:t>was used</w:t>
      </w:r>
      <w:proofErr w:type="gramEnd"/>
      <w:r>
        <w:rPr>
          <w:rFonts w:ascii="Arial" w:hAnsi="Arial" w:cs="Arial"/>
          <w:sz w:val="18"/>
          <w:szCs w:val="18"/>
          <w:lang w:val="en-US"/>
        </w:rPr>
        <w:t xml:space="preserve"> to correct for nonrandom MRI examination.</w:t>
      </w:r>
    </w:p>
    <w:p w14:paraId="6FEEBBB6" w14:textId="77777777" w:rsidR="00DB4040" w:rsidRDefault="00DB4040">
      <w:pPr>
        <w:spacing w:line="360" w:lineRule="auto"/>
        <w:jc w:val="both"/>
        <w:rPr>
          <w:rFonts w:ascii="Arial" w:hAnsi="Arial" w:cs="Arial"/>
          <w:b/>
          <w:lang w:val="en-US"/>
        </w:rPr>
      </w:pPr>
    </w:p>
    <w:p w14:paraId="34A433E6" w14:textId="77777777" w:rsidR="00DB4040" w:rsidRDefault="00DB4040">
      <w:pPr>
        <w:spacing w:line="360" w:lineRule="auto"/>
        <w:jc w:val="both"/>
        <w:rPr>
          <w:rFonts w:ascii="Arial" w:hAnsi="Arial" w:cs="Arial"/>
          <w:b/>
          <w:lang w:val="en-US"/>
        </w:rPr>
      </w:pPr>
    </w:p>
    <w:p w14:paraId="1A67BEEC" w14:textId="77777777" w:rsidR="00DB4040" w:rsidRDefault="00DB4040">
      <w:pPr>
        <w:spacing w:line="360" w:lineRule="auto"/>
        <w:jc w:val="both"/>
        <w:rPr>
          <w:rFonts w:ascii="Arial" w:hAnsi="Arial" w:cs="Arial"/>
          <w:b/>
          <w:lang w:val="en-US"/>
        </w:rPr>
        <w:sectPr w:rsidR="00DB4040">
          <w:pgSz w:w="11906" w:h="16838"/>
          <w:pgMar w:top="1418" w:right="2268" w:bottom="1134" w:left="1418" w:header="709" w:footer="709" w:gutter="0"/>
          <w:cols w:space="708"/>
          <w:docGrid w:linePitch="360"/>
        </w:sectPr>
      </w:pPr>
    </w:p>
    <w:p w14:paraId="19141856" w14:textId="77777777" w:rsidR="00DB4040" w:rsidRDefault="00762861">
      <w:pPr>
        <w:spacing w:line="360" w:lineRule="auto"/>
        <w:jc w:val="both"/>
        <w:rPr>
          <w:rFonts w:ascii="Arial" w:hAnsi="Arial" w:cs="Arial"/>
          <w:b/>
          <w:lang w:val="en-US"/>
        </w:rPr>
      </w:pPr>
      <w:r>
        <w:rPr>
          <w:rFonts w:ascii="Arial" w:hAnsi="Arial" w:cs="Arial"/>
          <w:b/>
          <w:lang w:val="en-US"/>
        </w:rPr>
        <w:lastRenderedPageBreak/>
        <w:t>Table 4. Characteristics of the study population who went through verbal memory assessments (n=5,711)</w:t>
      </w:r>
    </w:p>
    <w:tbl>
      <w:tblPr>
        <w:tblW w:w="5000" w:type="pct"/>
        <w:tblCellMar>
          <w:left w:w="70" w:type="dxa"/>
          <w:right w:w="70" w:type="dxa"/>
        </w:tblCellMar>
        <w:tblLook w:val="04A0" w:firstRow="1" w:lastRow="0" w:firstColumn="1" w:lastColumn="0" w:noHBand="0" w:noVBand="1"/>
      </w:tblPr>
      <w:tblGrid>
        <w:gridCol w:w="4155"/>
        <w:gridCol w:w="2532"/>
        <w:gridCol w:w="2534"/>
        <w:gridCol w:w="2531"/>
        <w:gridCol w:w="2534"/>
      </w:tblGrid>
      <w:tr w:rsidR="00DB4040" w14:paraId="243E9A52" w14:textId="77777777">
        <w:trPr>
          <w:trHeight w:val="315"/>
        </w:trPr>
        <w:tc>
          <w:tcPr>
            <w:tcW w:w="1454" w:type="pct"/>
            <w:tcBorders>
              <w:top w:val="single" w:sz="12" w:space="0" w:color="auto"/>
              <w:left w:val="nil"/>
              <w:bottom w:val="nil"/>
              <w:right w:val="nil"/>
            </w:tcBorders>
            <w:shd w:val="clear" w:color="auto" w:fill="auto"/>
            <w:noWrap/>
            <w:vAlign w:val="center"/>
            <w:hideMark/>
          </w:tcPr>
          <w:p w14:paraId="32F6625A" w14:textId="73E3446C" w:rsidR="00DB4040" w:rsidRDefault="00DB4040">
            <w:pPr>
              <w:spacing w:after="0" w:line="240" w:lineRule="auto"/>
              <w:rPr>
                <w:rFonts w:ascii="Arial" w:eastAsia="Times New Roman" w:hAnsi="Arial" w:cs="Arial"/>
                <w:color w:val="000000"/>
                <w:sz w:val="20"/>
                <w:szCs w:val="20"/>
                <w:lang w:val="en-US"/>
              </w:rPr>
            </w:pPr>
          </w:p>
        </w:tc>
        <w:tc>
          <w:tcPr>
            <w:tcW w:w="1773" w:type="pct"/>
            <w:gridSpan w:val="2"/>
            <w:tcBorders>
              <w:top w:val="single" w:sz="12" w:space="0" w:color="auto"/>
              <w:left w:val="nil"/>
              <w:bottom w:val="nil"/>
              <w:right w:val="nil"/>
            </w:tcBorders>
            <w:shd w:val="clear" w:color="auto" w:fill="auto"/>
            <w:noWrap/>
            <w:vAlign w:val="bottom"/>
            <w:hideMark/>
          </w:tcPr>
          <w:p w14:paraId="3127D8A2"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SHIP-2</w:t>
            </w:r>
          </w:p>
        </w:tc>
        <w:tc>
          <w:tcPr>
            <w:tcW w:w="1773" w:type="pct"/>
            <w:gridSpan w:val="2"/>
            <w:tcBorders>
              <w:top w:val="single" w:sz="12" w:space="0" w:color="auto"/>
              <w:left w:val="nil"/>
              <w:bottom w:val="nil"/>
              <w:right w:val="nil"/>
            </w:tcBorders>
            <w:shd w:val="clear" w:color="auto" w:fill="auto"/>
            <w:noWrap/>
            <w:vAlign w:val="bottom"/>
            <w:hideMark/>
          </w:tcPr>
          <w:p w14:paraId="60AE92B2"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SHIP-Trend</w:t>
            </w:r>
          </w:p>
        </w:tc>
      </w:tr>
      <w:tr w:rsidR="00DB4040" w14:paraId="65FB4913" w14:textId="77777777">
        <w:trPr>
          <w:trHeight w:val="300"/>
        </w:trPr>
        <w:tc>
          <w:tcPr>
            <w:tcW w:w="1454" w:type="pct"/>
            <w:tcBorders>
              <w:top w:val="nil"/>
              <w:left w:val="nil"/>
              <w:bottom w:val="nil"/>
              <w:right w:val="nil"/>
            </w:tcBorders>
            <w:shd w:val="clear" w:color="auto" w:fill="auto"/>
            <w:noWrap/>
            <w:vAlign w:val="center"/>
            <w:hideMark/>
          </w:tcPr>
          <w:p w14:paraId="10B30599" w14:textId="77777777" w:rsidR="00DB4040" w:rsidRDefault="00DB4040">
            <w:pPr>
              <w:spacing w:after="0" w:line="240" w:lineRule="auto"/>
              <w:jc w:val="center"/>
              <w:rPr>
                <w:rFonts w:ascii="Arial" w:eastAsia="Times New Roman" w:hAnsi="Arial" w:cs="Arial"/>
                <w:b/>
                <w:bCs/>
                <w:color w:val="000000"/>
                <w:sz w:val="20"/>
                <w:szCs w:val="20"/>
              </w:rPr>
            </w:pPr>
          </w:p>
        </w:tc>
        <w:tc>
          <w:tcPr>
            <w:tcW w:w="886" w:type="pct"/>
            <w:tcBorders>
              <w:top w:val="nil"/>
              <w:left w:val="nil"/>
              <w:bottom w:val="nil"/>
              <w:right w:val="nil"/>
            </w:tcBorders>
            <w:shd w:val="clear" w:color="auto" w:fill="auto"/>
            <w:noWrap/>
            <w:vAlign w:val="bottom"/>
            <w:hideMark/>
          </w:tcPr>
          <w:p w14:paraId="3EEA6ED6"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PPI non-user</w:t>
            </w:r>
          </w:p>
        </w:tc>
        <w:tc>
          <w:tcPr>
            <w:tcW w:w="887" w:type="pct"/>
            <w:tcBorders>
              <w:top w:val="nil"/>
              <w:left w:val="nil"/>
              <w:bottom w:val="nil"/>
              <w:right w:val="nil"/>
            </w:tcBorders>
            <w:shd w:val="clear" w:color="auto" w:fill="auto"/>
            <w:noWrap/>
            <w:vAlign w:val="bottom"/>
            <w:hideMark/>
          </w:tcPr>
          <w:p w14:paraId="42AAE0AF"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PPI </w:t>
            </w:r>
            <w:proofErr w:type="spellStart"/>
            <w:r>
              <w:rPr>
                <w:rFonts w:ascii="Arial" w:eastAsia="Times New Roman" w:hAnsi="Arial" w:cs="Arial"/>
                <w:b/>
                <w:bCs/>
                <w:color w:val="000000"/>
                <w:sz w:val="20"/>
                <w:szCs w:val="20"/>
              </w:rPr>
              <w:t>user</w:t>
            </w:r>
            <w:proofErr w:type="spellEnd"/>
          </w:p>
        </w:tc>
        <w:tc>
          <w:tcPr>
            <w:tcW w:w="886" w:type="pct"/>
            <w:tcBorders>
              <w:top w:val="nil"/>
              <w:left w:val="nil"/>
              <w:bottom w:val="nil"/>
              <w:right w:val="nil"/>
            </w:tcBorders>
            <w:shd w:val="clear" w:color="auto" w:fill="auto"/>
            <w:noWrap/>
            <w:vAlign w:val="bottom"/>
            <w:hideMark/>
          </w:tcPr>
          <w:p w14:paraId="307A645B"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PPI non-user</w:t>
            </w:r>
          </w:p>
        </w:tc>
        <w:tc>
          <w:tcPr>
            <w:tcW w:w="887" w:type="pct"/>
            <w:tcBorders>
              <w:top w:val="nil"/>
              <w:left w:val="nil"/>
              <w:bottom w:val="nil"/>
              <w:right w:val="nil"/>
            </w:tcBorders>
            <w:shd w:val="clear" w:color="auto" w:fill="auto"/>
            <w:noWrap/>
            <w:vAlign w:val="bottom"/>
            <w:hideMark/>
          </w:tcPr>
          <w:p w14:paraId="6268B52C"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 xml:space="preserve">PPI </w:t>
            </w:r>
            <w:proofErr w:type="spellStart"/>
            <w:r>
              <w:rPr>
                <w:rFonts w:ascii="Arial" w:eastAsia="Times New Roman" w:hAnsi="Arial" w:cs="Arial"/>
                <w:b/>
                <w:bCs/>
                <w:color w:val="000000"/>
                <w:sz w:val="20"/>
                <w:szCs w:val="20"/>
              </w:rPr>
              <w:t>user</w:t>
            </w:r>
            <w:proofErr w:type="spellEnd"/>
          </w:p>
        </w:tc>
      </w:tr>
      <w:tr w:rsidR="00DB4040" w14:paraId="17F0FD22" w14:textId="77777777">
        <w:trPr>
          <w:trHeight w:val="315"/>
        </w:trPr>
        <w:tc>
          <w:tcPr>
            <w:tcW w:w="1454" w:type="pct"/>
            <w:tcBorders>
              <w:top w:val="nil"/>
              <w:left w:val="nil"/>
              <w:bottom w:val="nil"/>
              <w:right w:val="nil"/>
            </w:tcBorders>
            <w:shd w:val="clear" w:color="auto" w:fill="auto"/>
            <w:noWrap/>
            <w:vAlign w:val="center"/>
            <w:hideMark/>
          </w:tcPr>
          <w:p w14:paraId="742F53E9" w14:textId="77777777" w:rsidR="00DB4040" w:rsidRDefault="00DB4040">
            <w:pPr>
              <w:spacing w:after="0" w:line="240" w:lineRule="auto"/>
              <w:jc w:val="center"/>
              <w:rPr>
                <w:rFonts w:ascii="Arial" w:eastAsia="Times New Roman" w:hAnsi="Arial" w:cs="Arial"/>
                <w:b/>
                <w:bCs/>
                <w:color w:val="000000"/>
                <w:sz w:val="20"/>
                <w:szCs w:val="20"/>
              </w:rPr>
            </w:pPr>
          </w:p>
        </w:tc>
        <w:tc>
          <w:tcPr>
            <w:tcW w:w="886" w:type="pct"/>
            <w:tcBorders>
              <w:top w:val="nil"/>
              <w:left w:val="nil"/>
              <w:bottom w:val="single" w:sz="8" w:space="0" w:color="auto"/>
              <w:right w:val="nil"/>
            </w:tcBorders>
            <w:shd w:val="clear" w:color="auto" w:fill="auto"/>
            <w:noWrap/>
            <w:vAlign w:val="bottom"/>
            <w:hideMark/>
          </w:tcPr>
          <w:p w14:paraId="56B31511"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(n=1,438)</w:t>
            </w:r>
          </w:p>
        </w:tc>
        <w:tc>
          <w:tcPr>
            <w:tcW w:w="887" w:type="pct"/>
            <w:tcBorders>
              <w:top w:val="nil"/>
              <w:left w:val="nil"/>
              <w:bottom w:val="single" w:sz="8" w:space="0" w:color="auto"/>
              <w:right w:val="nil"/>
            </w:tcBorders>
            <w:shd w:val="clear" w:color="auto" w:fill="auto"/>
            <w:noWrap/>
            <w:vAlign w:val="bottom"/>
            <w:hideMark/>
          </w:tcPr>
          <w:p w14:paraId="2F3C1E18"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(n=131)</w:t>
            </w:r>
          </w:p>
        </w:tc>
        <w:tc>
          <w:tcPr>
            <w:tcW w:w="886" w:type="pct"/>
            <w:tcBorders>
              <w:top w:val="nil"/>
              <w:left w:val="nil"/>
              <w:bottom w:val="single" w:sz="8" w:space="0" w:color="auto"/>
              <w:right w:val="nil"/>
            </w:tcBorders>
            <w:shd w:val="clear" w:color="auto" w:fill="auto"/>
            <w:noWrap/>
            <w:vAlign w:val="bottom"/>
            <w:hideMark/>
          </w:tcPr>
          <w:p w14:paraId="305B4E4B"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(n=3,855)</w:t>
            </w:r>
          </w:p>
        </w:tc>
        <w:tc>
          <w:tcPr>
            <w:tcW w:w="887" w:type="pct"/>
            <w:tcBorders>
              <w:top w:val="nil"/>
              <w:left w:val="nil"/>
              <w:bottom w:val="single" w:sz="8" w:space="0" w:color="auto"/>
              <w:right w:val="nil"/>
            </w:tcBorders>
            <w:shd w:val="clear" w:color="auto" w:fill="auto"/>
            <w:noWrap/>
            <w:vAlign w:val="bottom"/>
            <w:hideMark/>
          </w:tcPr>
          <w:p w14:paraId="39D76957" w14:textId="77777777" w:rsidR="00DB4040" w:rsidRDefault="00762861">
            <w:pPr>
              <w:spacing w:after="0" w:line="240" w:lineRule="auto"/>
              <w:jc w:val="center"/>
              <w:rPr>
                <w:rFonts w:ascii="Arial" w:eastAsia="Times New Roman" w:hAnsi="Arial" w:cs="Arial"/>
                <w:b/>
                <w:bCs/>
                <w:color w:val="000000"/>
                <w:sz w:val="20"/>
                <w:szCs w:val="20"/>
              </w:rPr>
            </w:pPr>
            <w:r>
              <w:rPr>
                <w:rFonts w:ascii="Arial" w:eastAsia="Times New Roman" w:hAnsi="Arial" w:cs="Arial"/>
                <w:b/>
                <w:bCs/>
                <w:color w:val="000000"/>
                <w:sz w:val="20"/>
                <w:szCs w:val="20"/>
              </w:rPr>
              <w:t>(n=287)</w:t>
            </w:r>
          </w:p>
        </w:tc>
      </w:tr>
      <w:tr w:rsidR="00DB4040" w14:paraId="7B36240D" w14:textId="77777777">
        <w:trPr>
          <w:trHeight w:val="300"/>
        </w:trPr>
        <w:tc>
          <w:tcPr>
            <w:tcW w:w="1454" w:type="pct"/>
            <w:tcBorders>
              <w:top w:val="nil"/>
              <w:left w:val="nil"/>
              <w:bottom w:val="nil"/>
              <w:right w:val="nil"/>
            </w:tcBorders>
            <w:shd w:val="clear" w:color="auto" w:fill="auto"/>
            <w:noWrap/>
            <w:vAlign w:val="center"/>
            <w:hideMark/>
          </w:tcPr>
          <w:p w14:paraId="132BC29E" w14:textId="70C4DC2A"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VLMT</w:t>
            </w:r>
          </w:p>
        </w:tc>
        <w:tc>
          <w:tcPr>
            <w:tcW w:w="886" w:type="pct"/>
            <w:tcBorders>
              <w:top w:val="nil"/>
              <w:left w:val="nil"/>
              <w:bottom w:val="nil"/>
              <w:right w:val="nil"/>
            </w:tcBorders>
            <w:shd w:val="clear" w:color="auto" w:fill="auto"/>
            <w:noWrap/>
            <w:vAlign w:val="center"/>
            <w:hideMark/>
          </w:tcPr>
          <w:p w14:paraId="10D5E2E5" w14:textId="77777777" w:rsidR="00DB4040" w:rsidRDefault="00DB4040">
            <w:pPr>
              <w:spacing w:after="0" w:line="240" w:lineRule="auto"/>
              <w:rPr>
                <w:rFonts w:ascii="Arial" w:eastAsia="Times New Roman" w:hAnsi="Arial" w:cs="Arial"/>
                <w:color w:val="000000"/>
                <w:sz w:val="20"/>
                <w:szCs w:val="20"/>
              </w:rPr>
            </w:pPr>
          </w:p>
        </w:tc>
        <w:tc>
          <w:tcPr>
            <w:tcW w:w="887" w:type="pct"/>
            <w:tcBorders>
              <w:top w:val="nil"/>
              <w:left w:val="nil"/>
              <w:bottom w:val="nil"/>
              <w:right w:val="nil"/>
            </w:tcBorders>
            <w:shd w:val="clear" w:color="auto" w:fill="auto"/>
            <w:noWrap/>
            <w:vAlign w:val="center"/>
            <w:hideMark/>
          </w:tcPr>
          <w:p w14:paraId="786E2735" w14:textId="77777777" w:rsidR="00DB4040" w:rsidRDefault="00DB4040">
            <w:pPr>
              <w:spacing w:after="0" w:line="240" w:lineRule="auto"/>
              <w:jc w:val="center"/>
              <w:rPr>
                <w:rFonts w:ascii="Arial" w:eastAsia="Times New Roman" w:hAnsi="Arial" w:cs="Arial"/>
                <w:sz w:val="20"/>
                <w:szCs w:val="20"/>
              </w:rPr>
            </w:pPr>
          </w:p>
        </w:tc>
        <w:tc>
          <w:tcPr>
            <w:tcW w:w="886" w:type="pct"/>
            <w:tcBorders>
              <w:top w:val="nil"/>
              <w:left w:val="nil"/>
              <w:bottom w:val="nil"/>
              <w:right w:val="nil"/>
            </w:tcBorders>
            <w:shd w:val="clear" w:color="auto" w:fill="auto"/>
            <w:noWrap/>
            <w:vAlign w:val="center"/>
            <w:hideMark/>
          </w:tcPr>
          <w:p w14:paraId="34E3090D" w14:textId="77777777" w:rsidR="00DB4040" w:rsidRDefault="00DB4040">
            <w:pPr>
              <w:spacing w:after="0" w:line="240" w:lineRule="auto"/>
              <w:jc w:val="center"/>
              <w:rPr>
                <w:rFonts w:ascii="Arial" w:eastAsia="Times New Roman" w:hAnsi="Arial" w:cs="Arial"/>
                <w:sz w:val="20"/>
                <w:szCs w:val="20"/>
              </w:rPr>
            </w:pPr>
          </w:p>
        </w:tc>
        <w:tc>
          <w:tcPr>
            <w:tcW w:w="887" w:type="pct"/>
            <w:tcBorders>
              <w:top w:val="nil"/>
              <w:left w:val="nil"/>
              <w:bottom w:val="nil"/>
              <w:right w:val="nil"/>
            </w:tcBorders>
            <w:shd w:val="clear" w:color="auto" w:fill="auto"/>
            <w:noWrap/>
            <w:vAlign w:val="center"/>
            <w:hideMark/>
          </w:tcPr>
          <w:p w14:paraId="04DF07AD" w14:textId="77777777" w:rsidR="00DB4040" w:rsidRDefault="00DB4040">
            <w:pPr>
              <w:spacing w:after="0" w:line="240" w:lineRule="auto"/>
              <w:jc w:val="center"/>
              <w:rPr>
                <w:rFonts w:ascii="Arial" w:eastAsia="Times New Roman" w:hAnsi="Arial" w:cs="Arial"/>
                <w:sz w:val="20"/>
                <w:szCs w:val="20"/>
              </w:rPr>
            </w:pPr>
          </w:p>
        </w:tc>
      </w:tr>
      <w:tr w:rsidR="00DB4040" w14:paraId="4133BBBD" w14:textId="77777777">
        <w:trPr>
          <w:trHeight w:val="300"/>
        </w:trPr>
        <w:tc>
          <w:tcPr>
            <w:tcW w:w="1454" w:type="pct"/>
            <w:tcBorders>
              <w:top w:val="nil"/>
              <w:left w:val="nil"/>
              <w:bottom w:val="nil"/>
              <w:right w:val="nil"/>
            </w:tcBorders>
            <w:shd w:val="clear" w:color="auto" w:fill="auto"/>
            <w:noWrap/>
            <w:vAlign w:val="center"/>
            <w:hideMark/>
          </w:tcPr>
          <w:p w14:paraId="67120D5E" w14:textId="77777777" w:rsidR="00DB4040" w:rsidRDefault="00762861">
            <w:pPr>
              <w:spacing w:after="0" w:line="240" w:lineRule="auto"/>
              <w:jc w:val="right"/>
              <w:rPr>
                <w:rFonts w:ascii="Arial" w:eastAsia="Times New Roman" w:hAnsi="Arial" w:cs="Arial"/>
                <w:color w:val="000000"/>
                <w:sz w:val="20"/>
                <w:szCs w:val="20"/>
                <w:lang w:val="en-US"/>
              </w:rPr>
            </w:pPr>
            <w:r>
              <w:rPr>
                <w:rFonts w:ascii="Arial" w:eastAsia="Times New Roman" w:hAnsi="Arial" w:cs="Arial"/>
                <w:color w:val="000000"/>
                <w:sz w:val="20"/>
                <w:szCs w:val="20"/>
                <w:lang w:val="en-US"/>
              </w:rPr>
              <w:t>Immediate recall (score range: 0 to 45)</w:t>
            </w:r>
          </w:p>
        </w:tc>
        <w:tc>
          <w:tcPr>
            <w:tcW w:w="886" w:type="pct"/>
            <w:tcBorders>
              <w:top w:val="nil"/>
              <w:left w:val="nil"/>
              <w:bottom w:val="nil"/>
              <w:right w:val="nil"/>
            </w:tcBorders>
            <w:shd w:val="clear" w:color="auto" w:fill="auto"/>
            <w:noWrap/>
            <w:vAlign w:val="center"/>
            <w:hideMark/>
          </w:tcPr>
          <w:p w14:paraId="3A97B8B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 (21, 30)</w:t>
            </w:r>
          </w:p>
        </w:tc>
        <w:tc>
          <w:tcPr>
            <w:tcW w:w="887" w:type="pct"/>
            <w:tcBorders>
              <w:top w:val="nil"/>
              <w:left w:val="nil"/>
              <w:bottom w:val="nil"/>
              <w:right w:val="nil"/>
            </w:tcBorders>
            <w:shd w:val="clear" w:color="auto" w:fill="auto"/>
            <w:noWrap/>
            <w:vAlign w:val="center"/>
            <w:hideMark/>
          </w:tcPr>
          <w:p w14:paraId="6996686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 (20, 26)</w:t>
            </w:r>
          </w:p>
        </w:tc>
        <w:tc>
          <w:tcPr>
            <w:tcW w:w="886" w:type="pct"/>
            <w:tcBorders>
              <w:top w:val="nil"/>
              <w:left w:val="nil"/>
              <w:bottom w:val="nil"/>
              <w:right w:val="nil"/>
            </w:tcBorders>
            <w:shd w:val="clear" w:color="auto" w:fill="auto"/>
            <w:noWrap/>
            <w:vAlign w:val="center"/>
            <w:hideMark/>
          </w:tcPr>
          <w:p w14:paraId="4A30E18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7" w:type="pct"/>
            <w:tcBorders>
              <w:top w:val="nil"/>
              <w:left w:val="nil"/>
              <w:bottom w:val="nil"/>
              <w:right w:val="nil"/>
            </w:tcBorders>
            <w:shd w:val="clear" w:color="auto" w:fill="auto"/>
            <w:noWrap/>
            <w:vAlign w:val="center"/>
            <w:hideMark/>
          </w:tcPr>
          <w:p w14:paraId="5049FB1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r>
      <w:tr w:rsidR="00DB4040" w14:paraId="25297EFE" w14:textId="77777777">
        <w:trPr>
          <w:trHeight w:val="300"/>
        </w:trPr>
        <w:tc>
          <w:tcPr>
            <w:tcW w:w="1454" w:type="pct"/>
            <w:tcBorders>
              <w:top w:val="nil"/>
              <w:left w:val="nil"/>
              <w:bottom w:val="nil"/>
              <w:right w:val="nil"/>
            </w:tcBorders>
            <w:shd w:val="clear" w:color="auto" w:fill="auto"/>
            <w:noWrap/>
            <w:vAlign w:val="center"/>
            <w:hideMark/>
          </w:tcPr>
          <w:p w14:paraId="78B61594" w14:textId="4B3F3E0E" w:rsidR="00DB4040" w:rsidRDefault="00762861">
            <w:pPr>
              <w:spacing w:after="0" w:line="240" w:lineRule="auto"/>
              <w:jc w:val="right"/>
              <w:rPr>
                <w:rFonts w:ascii="Arial" w:eastAsia="Times New Roman" w:hAnsi="Arial" w:cs="Arial"/>
                <w:color w:val="000000"/>
                <w:sz w:val="20"/>
                <w:szCs w:val="20"/>
              </w:rPr>
            </w:pPr>
            <w:proofErr w:type="spellStart"/>
            <w:r>
              <w:rPr>
                <w:rFonts w:ascii="Arial" w:eastAsia="Times New Roman" w:hAnsi="Arial" w:cs="Arial"/>
                <w:color w:val="000000"/>
                <w:sz w:val="20"/>
                <w:szCs w:val="20"/>
              </w:rPr>
              <w:t>Delayed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recal</w:t>
            </w:r>
            <w:proofErr w:type="spellEnd"/>
            <w:r>
              <w:rPr>
                <w:rFonts w:ascii="Arial" w:eastAsia="Times New Roman" w:hAnsi="Arial" w:cs="Arial"/>
                <w:color w:val="000000"/>
                <w:sz w:val="20"/>
                <w:szCs w:val="20"/>
              </w:rPr>
              <w:t xml:space="preserve"> (0 </w:t>
            </w:r>
            <w:proofErr w:type="spellStart"/>
            <w:r>
              <w:rPr>
                <w:rFonts w:ascii="Arial" w:eastAsia="Times New Roman" w:hAnsi="Arial" w:cs="Arial"/>
                <w:color w:val="000000"/>
                <w:sz w:val="20"/>
                <w:szCs w:val="20"/>
              </w:rPr>
              <w:t>to</w:t>
            </w:r>
            <w:proofErr w:type="spellEnd"/>
            <w:r>
              <w:rPr>
                <w:rFonts w:ascii="Arial" w:eastAsia="Times New Roman" w:hAnsi="Arial" w:cs="Arial"/>
                <w:color w:val="000000"/>
                <w:sz w:val="20"/>
                <w:szCs w:val="20"/>
              </w:rPr>
              <w:t xml:space="preserve"> 15)</w:t>
            </w:r>
          </w:p>
        </w:tc>
        <w:tc>
          <w:tcPr>
            <w:tcW w:w="886" w:type="pct"/>
            <w:tcBorders>
              <w:top w:val="nil"/>
              <w:left w:val="nil"/>
              <w:bottom w:val="nil"/>
              <w:right w:val="nil"/>
            </w:tcBorders>
            <w:shd w:val="clear" w:color="auto" w:fill="auto"/>
            <w:noWrap/>
            <w:vAlign w:val="center"/>
            <w:hideMark/>
          </w:tcPr>
          <w:p w14:paraId="7C66B96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 (6, 10)</w:t>
            </w:r>
          </w:p>
        </w:tc>
        <w:tc>
          <w:tcPr>
            <w:tcW w:w="887" w:type="pct"/>
            <w:tcBorders>
              <w:top w:val="nil"/>
              <w:left w:val="nil"/>
              <w:bottom w:val="nil"/>
              <w:right w:val="nil"/>
            </w:tcBorders>
            <w:shd w:val="clear" w:color="auto" w:fill="auto"/>
            <w:noWrap/>
            <w:vAlign w:val="center"/>
            <w:hideMark/>
          </w:tcPr>
          <w:p w14:paraId="0BE2F71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 (5, 8)</w:t>
            </w:r>
          </w:p>
        </w:tc>
        <w:tc>
          <w:tcPr>
            <w:tcW w:w="886" w:type="pct"/>
            <w:tcBorders>
              <w:top w:val="nil"/>
              <w:left w:val="nil"/>
              <w:bottom w:val="nil"/>
              <w:right w:val="nil"/>
            </w:tcBorders>
            <w:shd w:val="clear" w:color="auto" w:fill="auto"/>
            <w:noWrap/>
            <w:vAlign w:val="center"/>
            <w:hideMark/>
          </w:tcPr>
          <w:p w14:paraId="1D2DE50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7" w:type="pct"/>
            <w:tcBorders>
              <w:top w:val="nil"/>
              <w:left w:val="nil"/>
              <w:bottom w:val="nil"/>
              <w:right w:val="nil"/>
            </w:tcBorders>
            <w:shd w:val="clear" w:color="auto" w:fill="auto"/>
            <w:noWrap/>
            <w:vAlign w:val="center"/>
            <w:hideMark/>
          </w:tcPr>
          <w:p w14:paraId="04B815D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r>
      <w:tr w:rsidR="00DB4040" w14:paraId="46F8270F" w14:textId="77777777">
        <w:trPr>
          <w:trHeight w:val="300"/>
        </w:trPr>
        <w:tc>
          <w:tcPr>
            <w:tcW w:w="1454" w:type="pct"/>
            <w:tcBorders>
              <w:top w:val="nil"/>
              <w:left w:val="nil"/>
              <w:bottom w:val="nil"/>
              <w:right w:val="nil"/>
            </w:tcBorders>
            <w:shd w:val="clear" w:color="auto" w:fill="auto"/>
            <w:noWrap/>
            <w:vAlign w:val="center"/>
            <w:hideMark/>
          </w:tcPr>
          <w:p w14:paraId="43F9931E"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NAI</w:t>
            </w:r>
          </w:p>
        </w:tc>
        <w:tc>
          <w:tcPr>
            <w:tcW w:w="886" w:type="pct"/>
            <w:tcBorders>
              <w:top w:val="nil"/>
              <w:left w:val="nil"/>
              <w:bottom w:val="nil"/>
              <w:right w:val="nil"/>
            </w:tcBorders>
            <w:shd w:val="clear" w:color="auto" w:fill="auto"/>
            <w:noWrap/>
            <w:vAlign w:val="center"/>
            <w:hideMark/>
          </w:tcPr>
          <w:p w14:paraId="588DAC41" w14:textId="77777777" w:rsidR="00DB4040" w:rsidRDefault="00DB4040">
            <w:pPr>
              <w:spacing w:after="0" w:line="240" w:lineRule="auto"/>
              <w:rPr>
                <w:rFonts w:ascii="Arial" w:eastAsia="Times New Roman" w:hAnsi="Arial" w:cs="Arial"/>
                <w:color w:val="000000"/>
                <w:sz w:val="20"/>
                <w:szCs w:val="20"/>
              </w:rPr>
            </w:pPr>
          </w:p>
        </w:tc>
        <w:tc>
          <w:tcPr>
            <w:tcW w:w="887" w:type="pct"/>
            <w:tcBorders>
              <w:top w:val="nil"/>
              <w:left w:val="nil"/>
              <w:bottom w:val="nil"/>
              <w:right w:val="nil"/>
            </w:tcBorders>
            <w:shd w:val="clear" w:color="auto" w:fill="auto"/>
            <w:noWrap/>
            <w:vAlign w:val="center"/>
            <w:hideMark/>
          </w:tcPr>
          <w:p w14:paraId="4E1628F5" w14:textId="77777777" w:rsidR="00DB4040" w:rsidRDefault="00DB4040">
            <w:pPr>
              <w:spacing w:after="0" w:line="240" w:lineRule="auto"/>
              <w:jc w:val="center"/>
              <w:rPr>
                <w:rFonts w:ascii="Arial" w:eastAsia="Times New Roman" w:hAnsi="Arial" w:cs="Arial"/>
                <w:sz w:val="20"/>
                <w:szCs w:val="20"/>
              </w:rPr>
            </w:pPr>
          </w:p>
        </w:tc>
        <w:tc>
          <w:tcPr>
            <w:tcW w:w="886" w:type="pct"/>
            <w:tcBorders>
              <w:top w:val="nil"/>
              <w:left w:val="nil"/>
              <w:bottom w:val="nil"/>
              <w:right w:val="nil"/>
            </w:tcBorders>
            <w:shd w:val="clear" w:color="auto" w:fill="auto"/>
            <w:noWrap/>
            <w:vAlign w:val="center"/>
            <w:hideMark/>
          </w:tcPr>
          <w:p w14:paraId="432E15B2" w14:textId="77777777" w:rsidR="00DB4040" w:rsidRDefault="00DB4040">
            <w:pPr>
              <w:spacing w:after="0" w:line="240" w:lineRule="auto"/>
              <w:jc w:val="center"/>
              <w:rPr>
                <w:rFonts w:ascii="Arial" w:eastAsia="Times New Roman" w:hAnsi="Arial" w:cs="Arial"/>
                <w:sz w:val="20"/>
                <w:szCs w:val="20"/>
              </w:rPr>
            </w:pPr>
          </w:p>
        </w:tc>
        <w:tc>
          <w:tcPr>
            <w:tcW w:w="887" w:type="pct"/>
            <w:tcBorders>
              <w:top w:val="nil"/>
              <w:left w:val="nil"/>
              <w:bottom w:val="nil"/>
              <w:right w:val="nil"/>
            </w:tcBorders>
            <w:shd w:val="clear" w:color="auto" w:fill="auto"/>
            <w:noWrap/>
            <w:vAlign w:val="center"/>
            <w:hideMark/>
          </w:tcPr>
          <w:p w14:paraId="5A032D92" w14:textId="77777777" w:rsidR="00DB4040" w:rsidRDefault="00DB4040">
            <w:pPr>
              <w:spacing w:after="0" w:line="240" w:lineRule="auto"/>
              <w:jc w:val="center"/>
              <w:rPr>
                <w:rFonts w:ascii="Arial" w:eastAsia="Times New Roman" w:hAnsi="Arial" w:cs="Arial"/>
                <w:sz w:val="20"/>
                <w:szCs w:val="20"/>
              </w:rPr>
            </w:pPr>
          </w:p>
        </w:tc>
      </w:tr>
      <w:tr w:rsidR="00DB4040" w14:paraId="5ED8F0C2" w14:textId="77777777">
        <w:trPr>
          <w:trHeight w:val="300"/>
        </w:trPr>
        <w:tc>
          <w:tcPr>
            <w:tcW w:w="1454" w:type="pct"/>
            <w:tcBorders>
              <w:top w:val="nil"/>
              <w:left w:val="nil"/>
              <w:bottom w:val="nil"/>
              <w:right w:val="nil"/>
            </w:tcBorders>
            <w:shd w:val="clear" w:color="auto" w:fill="auto"/>
            <w:noWrap/>
            <w:vAlign w:val="center"/>
            <w:hideMark/>
          </w:tcPr>
          <w:p w14:paraId="38FF4F4E" w14:textId="543C703B" w:rsidR="00DB4040" w:rsidRDefault="00762861" w:rsidP="00E2570B">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Immediate </w:t>
            </w:r>
            <w:proofErr w:type="spellStart"/>
            <w:r>
              <w:rPr>
                <w:rFonts w:ascii="Arial" w:eastAsia="Times New Roman" w:hAnsi="Arial" w:cs="Arial"/>
                <w:color w:val="000000"/>
                <w:sz w:val="20"/>
                <w:szCs w:val="20"/>
              </w:rPr>
              <w:t>recall</w:t>
            </w:r>
            <w:proofErr w:type="spellEnd"/>
            <w:r>
              <w:rPr>
                <w:rFonts w:ascii="Arial" w:eastAsia="Times New Roman" w:hAnsi="Arial" w:cs="Arial"/>
                <w:color w:val="000000"/>
                <w:sz w:val="20"/>
                <w:szCs w:val="20"/>
              </w:rPr>
              <w:t xml:space="preserve"> (0 </w:t>
            </w:r>
            <w:proofErr w:type="spellStart"/>
            <w:r>
              <w:rPr>
                <w:rFonts w:ascii="Arial" w:eastAsia="Times New Roman" w:hAnsi="Arial" w:cs="Arial"/>
                <w:color w:val="000000"/>
                <w:sz w:val="20"/>
                <w:szCs w:val="20"/>
              </w:rPr>
              <w:t>to</w:t>
            </w:r>
            <w:proofErr w:type="spellEnd"/>
            <w:r>
              <w:rPr>
                <w:rFonts w:ascii="Arial" w:eastAsia="Times New Roman" w:hAnsi="Arial" w:cs="Arial"/>
                <w:color w:val="000000"/>
                <w:sz w:val="20"/>
                <w:szCs w:val="20"/>
              </w:rPr>
              <w:t xml:space="preserve"> 8)</w:t>
            </w:r>
          </w:p>
        </w:tc>
        <w:tc>
          <w:tcPr>
            <w:tcW w:w="886" w:type="pct"/>
            <w:tcBorders>
              <w:top w:val="nil"/>
              <w:left w:val="nil"/>
              <w:bottom w:val="nil"/>
              <w:right w:val="nil"/>
            </w:tcBorders>
            <w:shd w:val="clear" w:color="auto" w:fill="auto"/>
            <w:noWrap/>
            <w:vAlign w:val="center"/>
            <w:hideMark/>
          </w:tcPr>
          <w:p w14:paraId="3592298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7" w:type="pct"/>
            <w:tcBorders>
              <w:top w:val="nil"/>
              <w:left w:val="nil"/>
              <w:bottom w:val="nil"/>
              <w:right w:val="nil"/>
            </w:tcBorders>
            <w:shd w:val="clear" w:color="auto" w:fill="auto"/>
            <w:noWrap/>
            <w:vAlign w:val="center"/>
            <w:hideMark/>
          </w:tcPr>
          <w:p w14:paraId="43509AE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6" w:type="pct"/>
            <w:tcBorders>
              <w:top w:val="nil"/>
              <w:left w:val="nil"/>
              <w:bottom w:val="nil"/>
              <w:right w:val="nil"/>
            </w:tcBorders>
            <w:shd w:val="clear" w:color="auto" w:fill="auto"/>
            <w:noWrap/>
            <w:vAlign w:val="center"/>
            <w:hideMark/>
          </w:tcPr>
          <w:p w14:paraId="06536ED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 (4, 6)</w:t>
            </w:r>
          </w:p>
        </w:tc>
        <w:tc>
          <w:tcPr>
            <w:tcW w:w="887" w:type="pct"/>
            <w:tcBorders>
              <w:top w:val="nil"/>
              <w:left w:val="nil"/>
              <w:bottom w:val="nil"/>
              <w:right w:val="nil"/>
            </w:tcBorders>
            <w:shd w:val="clear" w:color="auto" w:fill="auto"/>
            <w:noWrap/>
            <w:vAlign w:val="center"/>
            <w:hideMark/>
          </w:tcPr>
          <w:p w14:paraId="49D0805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 (4, 6)</w:t>
            </w:r>
          </w:p>
        </w:tc>
      </w:tr>
      <w:tr w:rsidR="00DB4040" w14:paraId="04DB01B0" w14:textId="77777777">
        <w:trPr>
          <w:trHeight w:val="300"/>
        </w:trPr>
        <w:tc>
          <w:tcPr>
            <w:tcW w:w="1454" w:type="pct"/>
            <w:tcBorders>
              <w:top w:val="nil"/>
              <w:left w:val="nil"/>
              <w:bottom w:val="nil"/>
              <w:right w:val="nil"/>
            </w:tcBorders>
            <w:shd w:val="clear" w:color="auto" w:fill="auto"/>
            <w:noWrap/>
            <w:vAlign w:val="center"/>
            <w:hideMark/>
          </w:tcPr>
          <w:p w14:paraId="43992A2D" w14:textId="2DAA7CC6" w:rsidR="00DB4040" w:rsidRDefault="00762861" w:rsidP="00E2570B">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lang w:val="en-US"/>
              </w:rPr>
              <w:t xml:space="preserve">Delayed recall </w:t>
            </w:r>
            <w:r>
              <w:rPr>
                <w:rFonts w:ascii="Arial" w:eastAsia="Times New Roman" w:hAnsi="Arial" w:cs="Arial"/>
                <w:color w:val="000000"/>
                <w:sz w:val="20"/>
                <w:szCs w:val="20"/>
              </w:rPr>
              <w:t xml:space="preserve"> (-8 </w:t>
            </w:r>
            <w:proofErr w:type="spellStart"/>
            <w:r>
              <w:rPr>
                <w:rFonts w:ascii="Arial" w:eastAsia="Times New Roman" w:hAnsi="Arial" w:cs="Arial"/>
                <w:color w:val="000000"/>
                <w:sz w:val="20"/>
                <w:szCs w:val="20"/>
              </w:rPr>
              <w:t>to</w:t>
            </w:r>
            <w:proofErr w:type="spellEnd"/>
            <w:r>
              <w:rPr>
                <w:rFonts w:ascii="Arial" w:eastAsia="Times New Roman" w:hAnsi="Arial" w:cs="Arial"/>
                <w:color w:val="000000"/>
                <w:sz w:val="20"/>
                <w:szCs w:val="20"/>
              </w:rPr>
              <w:t xml:space="preserve"> 8)</w:t>
            </w:r>
          </w:p>
        </w:tc>
        <w:tc>
          <w:tcPr>
            <w:tcW w:w="886" w:type="pct"/>
            <w:tcBorders>
              <w:top w:val="nil"/>
              <w:left w:val="nil"/>
              <w:bottom w:val="nil"/>
              <w:right w:val="nil"/>
            </w:tcBorders>
            <w:shd w:val="clear" w:color="auto" w:fill="auto"/>
            <w:noWrap/>
            <w:vAlign w:val="center"/>
            <w:hideMark/>
          </w:tcPr>
          <w:p w14:paraId="65F3E92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7" w:type="pct"/>
            <w:tcBorders>
              <w:top w:val="nil"/>
              <w:left w:val="nil"/>
              <w:bottom w:val="nil"/>
              <w:right w:val="nil"/>
            </w:tcBorders>
            <w:shd w:val="clear" w:color="auto" w:fill="auto"/>
            <w:noWrap/>
            <w:vAlign w:val="center"/>
            <w:hideMark/>
          </w:tcPr>
          <w:p w14:paraId="59451B3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n/a</w:t>
            </w:r>
          </w:p>
        </w:tc>
        <w:tc>
          <w:tcPr>
            <w:tcW w:w="886" w:type="pct"/>
            <w:tcBorders>
              <w:top w:val="nil"/>
              <w:left w:val="nil"/>
              <w:bottom w:val="nil"/>
              <w:right w:val="nil"/>
            </w:tcBorders>
            <w:shd w:val="clear" w:color="auto" w:fill="auto"/>
            <w:noWrap/>
            <w:vAlign w:val="center"/>
            <w:hideMark/>
          </w:tcPr>
          <w:p w14:paraId="4B3306B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 (5, 7)</w:t>
            </w:r>
          </w:p>
        </w:tc>
        <w:tc>
          <w:tcPr>
            <w:tcW w:w="887" w:type="pct"/>
            <w:tcBorders>
              <w:top w:val="nil"/>
              <w:left w:val="nil"/>
              <w:bottom w:val="nil"/>
              <w:right w:val="nil"/>
            </w:tcBorders>
            <w:shd w:val="clear" w:color="auto" w:fill="auto"/>
            <w:noWrap/>
            <w:vAlign w:val="center"/>
            <w:hideMark/>
          </w:tcPr>
          <w:p w14:paraId="7F94A71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 (4, 7)</w:t>
            </w:r>
          </w:p>
        </w:tc>
      </w:tr>
      <w:tr w:rsidR="00DB4040" w14:paraId="6AC724A9" w14:textId="77777777">
        <w:trPr>
          <w:trHeight w:val="300"/>
        </w:trPr>
        <w:tc>
          <w:tcPr>
            <w:tcW w:w="1454" w:type="pct"/>
            <w:tcBorders>
              <w:top w:val="nil"/>
              <w:left w:val="nil"/>
              <w:bottom w:val="nil"/>
              <w:right w:val="nil"/>
            </w:tcBorders>
            <w:shd w:val="clear" w:color="auto" w:fill="auto"/>
            <w:noWrap/>
            <w:vAlign w:val="center"/>
            <w:hideMark/>
          </w:tcPr>
          <w:p w14:paraId="60DC78CE"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en-US"/>
              </w:rPr>
              <w:t xml:space="preserve">Age (years) </w:t>
            </w:r>
          </w:p>
        </w:tc>
        <w:tc>
          <w:tcPr>
            <w:tcW w:w="886" w:type="pct"/>
            <w:tcBorders>
              <w:top w:val="nil"/>
              <w:left w:val="nil"/>
              <w:bottom w:val="nil"/>
              <w:right w:val="nil"/>
            </w:tcBorders>
            <w:shd w:val="clear" w:color="auto" w:fill="auto"/>
            <w:noWrap/>
            <w:vAlign w:val="center"/>
            <w:hideMark/>
          </w:tcPr>
          <w:p w14:paraId="051355B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56.0 (45.0, 66.0)</w:t>
            </w:r>
          </w:p>
        </w:tc>
        <w:tc>
          <w:tcPr>
            <w:tcW w:w="887" w:type="pct"/>
            <w:tcBorders>
              <w:top w:val="nil"/>
              <w:left w:val="nil"/>
              <w:bottom w:val="nil"/>
              <w:right w:val="nil"/>
            </w:tcBorders>
            <w:shd w:val="clear" w:color="auto" w:fill="auto"/>
            <w:noWrap/>
            <w:vAlign w:val="center"/>
            <w:hideMark/>
          </w:tcPr>
          <w:p w14:paraId="51CB65D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lang w:val="en-US"/>
              </w:rPr>
              <w:t>64.0 (54.5, 71.5)</w:t>
            </w:r>
          </w:p>
        </w:tc>
        <w:tc>
          <w:tcPr>
            <w:tcW w:w="886" w:type="pct"/>
            <w:tcBorders>
              <w:top w:val="nil"/>
              <w:left w:val="nil"/>
              <w:bottom w:val="nil"/>
              <w:right w:val="nil"/>
            </w:tcBorders>
            <w:shd w:val="clear" w:color="auto" w:fill="auto"/>
            <w:noWrap/>
            <w:vAlign w:val="center"/>
            <w:hideMark/>
          </w:tcPr>
          <w:p w14:paraId="030F546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51.0 (39.0, 63.0)</w:t>
            </w:r>
          </w:p>
        </w:tc>
        <w:tc>
          <w:tcPr>
            <w:tcW w:w="887" w:type="pct"/>
            <w:tcBorders>
              <w:top w:val="nil"/>
              <w:left w:val="nil"/>
              <w:bottom w:val="nil"/>
              <w:right w:val="nil"/>
            </w:tcBorders>
            <w:shd w:val="clear" w:color="auto" w:fill="auto"/>
            <w:noWrap/>
            <w:vAlign w:val="center"/>
            <w:hideMark/>
          </w:tcPr>
          <w:p w14:paraId="7E24F49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63.0 (52.0, 71.5)</w:t>
            </w:r>
          </w:p>
        </w:tc>
      </w:tr>
      <w:tr w:rsidR="00DB4040" w14:paraId="40418AF6" w14:textId="77777777">
        <w:trPr>
          <w:trHeight w:val="300"/>
        </w:trPr>
        <w:tc>
          <w:tcPr>
            <w:tcW w:w="1454" w:type="pct"/>
            <w:tcBorders>
              <w:top w:val="nil"/>
              <w:left w:val="nil"/>
              <w:bottom w:val="nil"/>
              <w:right w:val="nil"/>
            </w:tcBorders>
            <w:shd w:val="clear" w:color="auto" w:fill="auto"/>
            <w:noWrap/>
            <w:vAlign w:val="center"/>
            <w:hideMark/>
          </w:tcPr>
          <w:p w14:paraId="74D64AF9"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lang w:val="en-US"/>
              </w:rPr>
              <w:t>Women (n, %)</w:t>
            </w:r>
          </w:p>
        </w:tc>
        <w:tc>
          <w:tcPr>
            <w:tcW w:w="886" w:type="pct"/>
            <w:tcBorders>
              <w:top w:val="nil"/>
              <w:left w:val="nil"/>
              <w:bottom w:val="nil"/>
              <w:right w:val="nil"/>
            </w:tcBorders>
            <w:shd w:val="clear" w:color="auto" w:fill="auto"/>
            <w:noWrap/>
            <w:vAlign w:val="center"/>
            <w:hideMark/>
          </w:tcPr>
          <w:p w14:paraId="5C071BB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747 (51.9)</w:t>
            </w:r>
          </w:p>
        </w:tc>
        <w:tc>
          <w:tcPr>
            <w:tcW w:w="887" w:type="pct"/>
            <w:tcBorders>
              <w:top w:val="nil"/>
              <w:left w:val="nil"/>
              <w:bottom w:val="nil"/>
              <w:right w:val="nil"/>
            </w:tcBorders>
            <w:shd w:val="clear" w:color="auto" w:fill="auto"/>
            <w:noWrap/>
            <w:vAlign w:val="center"/>
            <w:hideMark/>
          </w:tcPr>
          <w:p w14:paraId="17BFB6B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72 (55.0)</w:t>
            </w:r>
          </w:p>
        </w:tc>
        <w:tc>
          <w:tcPr>
            <w:tcW w:w="886" w:type="pct"/>
            <w:tcBorders>
              <w:top w:val="nil"/>
              <w:left w:val="nil"/>
              <w:bottom w:val="nil"/>
              <w:right w:val="nil"/>
            </w:tcBorders>
            <w:shd w:val="clear" w:color="auto" w:fill="auto"/>
            <w:noWrap/>
            <w:vAlign w:val="center"/>
            <w:hideMark/>
          </w:tcPr>
          <w:p w14:paraId="30D165E5"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1,992 (51.7)</w:t>
            </w:r>
          </w:p>
        </w:tc>
        <w:tc>
          <w:tcPr>
            <w:tcW w:w="887" w:type="pct"/>
            <w:tcBorders>
              <w:top w:val="nil"/>
              <w:left w:val="nil"/>
              <w:bottom w:val="nil"/>
              <w:right w:val="nil"/>
            </w:tcBorders>
            <w:shd w:val="clear" w:color="auto" w:fill="auto"/>
            <w:noWrap/>
            <w:vAlign w:val="center"/>
            <w:hideMark/>
          </w:tcPr>
          <w:p w14:paraId="6C3ECCB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146 (50.9)</w:t>
            </w:r>
          </w:p>
        </w:tc>
      </w:tr>
      <w:tr w:rsidR="00DB4040" w14:paraId="2D4D6B90" w14:textId="77777777">
        <w:trPr>
          <w:trHeight w:val="300"/>
        </w:trPr>
        <w:tc>
          <w:tcPr>
            <w:tcW w:w="1454" w:type="pct"/>
            <w:tcBorders>
              <w:top w:val="nil"/>
              <w:left w:val="nil"/>
              <w:bottom w:val="nil"/>
              <w:right w:val="nil"/>
            </w:tcBorders>
            <w:shd w:val="clear" w:color="auto" w:fill="auto"/>
            <w:noWrap/>
            <w:vAlign w:val="center"/>
            <w:hideMark/>
          </w:tcPr>
          <w:p w14:paraId="2D7CD59C"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School </w:t>
            </w:r>
            <w:proofErr w:type="spellStart"/>
            <w:r>
              <w:rPr>
                <w:rFonts w:ascii="Arial" w:eastAsia="Times New Roman" w:hAnsi="Arial" w:cs="Arial"/>
                <w:color w:val="000000"/>
                <w:sz w:val="20"/>
                <w:szCs w:val="20"/>
              </w:rPr>
              <w:t>education</w:t>
            </w:r>
            <w:proofErr w:type="spellEnd"/>
            <w:r>
              <w:rPr>
                <w:rFonts w:ascii="Arial" w:eastAsia="Times New Roman" w:hAnsi="Arial" w:cs="Arial"/>
                <w:color w:val="000000"/>
                <w:sz w:val="20"/>
                <w:szCs w:val="20"/>
              </w:rPr>
              <w:t xml:space="preserve"> (n, %)</w:t>
            </w:r>
          </w:p>
        </w:tc>
        <w:tc>
          <w:tcPr>
            <w:tcW w:w="886" w:type="pct"/>
            <w:tcBorders>
              <w:top w:val="nil"/>
              <w:left w:val="nil"/>
              <w:bottom w:val="nil"/>
              <w:right w:val="nil"/>
            </w:tcBorders>
            <w:shd w:val="clear" w:color="auto" w:fill="auto"/>
            <w:noWrap/>
            <w:hideMark/>
          </w:tcPr>
          <w:p w14:paraId="291B9E23" w14:textId="77777777" w:rsidR="00DB4040" w:rsidRDefault="00DB4040">
            <w:pPr>
              <w:spacing w:after="0" w:line="240" w:lineRule="auto"/>
              <w:rPr>
                <w:rFonts w:ascii="Arial" w:eastAsia="Times New Roman" w:hAnsi="Arial" w:cs="Arial"/>
                <w:color w:val="000000"/>
                <w:sz w:val="20"/>
                <w:szCs w:val="20"/>
              </w:rPr>
            </w:pPr>
          </w:p>
        </w:tc>
        <w:tc>
          <w:tcPr>
            <w:tcW w:w="887" w:type="pct"/>
            <w:tcBorders>
              <w:top w:val="nil"/>
              <w:left w:val="nil"/>
              <w:bottom w:val="nil"/>
              <w:right w:val="nil"/>
            </w:tcBorders>
            <w:shd w:val="clear" w:color="auto" w:fill="auto"/>
            <w:noWrap/>
            <w:hideMark/>
          </w:tcPr>
          <w:p w14:paraId="238E5DBD" w14:textId="77777777" w:rsidR="00DB4040" w:rsidRDefault="00DB4040">
            <w:pPr>
              <w:spacing w:after="0" w:line="240" w:lineRule="auto"/>
              <w:rPr>
                <w:rFonts w:ascii="Arial" w:eastAsia="Times New Roman" w:hAnsi="Arial" w:cs="Arial"/>
                <w:sz w:val="20"/>
                <w:szCs w:val="20"/>
              </w:rPr>
            </w:pPr>
          </w:p>
        </w:tc>
        <w:tc>
          <w:tcPr>
            <w:tcW w:w="886" w:type="pct"/>
            <w:tcBorders>
              <w:top w:val="nil"/>
              <w:left w:val="nil"/>
              <w:bottom w:val="nil"/>
              <w:right w:val="nil"/>
            </w:tcBorders>
            <w:shd w:val="clear" w:color="auto" w:fill="auto"/>
            <w:noWrap/>
            <w:hideMark/>
          </w:tcPr>
          <w:p w14:paraId="27AED7E8" w14:textId="77777777" w:rsidR="00DB4040" w:rsidRDefault="00DB4040">
            <w:pPr>
              <w:spacing w:after="0" w:line="240" w:lineRule="auto"/>
              <w:rPr>
                <w:rFonts w:ascii="Arial" w:eastAsia="Times New Roman" w:hAnsi="Arial" w:cs="Arial"/>
                <w:sz w:val="20"/>
                <w:szCs w:val="20"/>
              </w:rPr>
            </w:pPr>
          </w:p>
        </w:tc>
        <w:tc>
          <w:tcPr>
            <w:tcW w:w="887" w:type="pct"/>
            <w:tcBorders>
              <w:top w:val="nil"/>
              <w:left w:val="nil"/>
              <w:bottom w:val="nil"/>
              <w:right w:val="nil"/>
            </w:tcBorders>
            <w:shd w:val="clear" w:color="auto" w:fill="auto"/>
            <w:noWrap/>
            <w:hideMark/>
          </w:tcPr>
          <w:p w14:paraId="799D9441" w14:textId="77777777" w:rsidR="00DB4040" w:rsidRDefault="00DB4040">
            <w:pPr>
              <w:spacing w:after="0" w:line="240" w:lineRule="auto"/>
              <w:rPr>
                <w:rFonts w:ascii="Arial" w:eastAsia="Times New Roman" w:hAnsi="Arial" w:cs="Arial"/>
                <w:sz w:val="20"/>
                <w:szCs w:val="20"/>
              </w:rPr>
            </w:pPr>
          </w:p>
        </w:tc>
      </w:tr>
      <w:tr w:rsidR="00DB4040" w14:paraId="552D1D98" w14:textId="77777777">
        <w:trPr>
          <w:trHeight w:val="300"/>
        </w:trPr>
        <w:tc>
          <w:tcPr>
            <w:tcW w:w="1454" w:type="pct"/>
            <w:tcBorders>
              <w:top w:val="nil"/>
              <w:left w:val="nil"/>
              <w:bottom w:val="nil"/>
              <w:right w:val="nil"/>
            </w:tcBorders>
            <w:shd w:val="clear" w:color="auto" w:fill="auto"/>
            <w:noWrap/>
            <w:vAlign w:val="center"/>
            <w:hideMark/>
          </w:tcPr>
          <w:p w14:paraId="0E244729" w14:textId="77777777" w:rsidR="00DB4040" w:rsidRDefault="00762861">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&lt;10 </w:t>
            </w:r>
            <w:proofErr w:type="spellStart"/>
            <w:r>
              <w:rPr>
                <w:rFonts w:ascii="Arial" w:eastAsia="Times New Roman" w:hAnsi="Arial" w:cs="Arial"/>
                <w:color w:val="000000"/>
                <w:sz w:val="20"/>
                <w:szCs w:val="20"/>
              </w:rPr>
              <w:t>years</w:t>
            </w:r>
            <w:proofErr w:type="spellEnd"/>
          </w:p>
        </w:tc>
        <w:tc>
          <w:tcPr>
            <w:tcW w:w="886" w:type="pct"/>
            <w:tcBorders>
              <w:top w:val="nil"/>
              <w:left w:val="nil"/>
              <w:bottom w:val="nil"/>
              <w:right w:val="nil"/>
            </w:tcBorders>
            <w:shd w:val="clear" w:color="auto" w:fill="auto"/>
            <w:noWrap/>
            <w:vAlign w:val="center"/>
            <w:hideMark/>
          </w:tcPr>
          <w:p w14:paraId="20CAAD3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311 (21.6)</w:t>
            </w:r>
          </w:p>
        </w:tc>
        <w:tc>
          <w:tcPr>
            <w:tcW w:w="887" w:type="pct"/>
            <w:tcBorders>
              <w:top w:val="nil"/>
              <w:left w:val="nil"/>
              <w:bottom w:val="nil"/>
              <w:right w:val="nil"/>
            </w:tcBorders>
            <w:shd w:val="clear" w:color="auto" w:fill="auto"/>
            <w:noWrap/>
            <w:vAlign w:val="center"/>
            <w:hideMark/>
          </w:tcPr>
          <w:p w14:paraId="1A62D43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46 (35.1)</w:t>
            </w:r>
          </w:p>
        </w:tc>
        <w:tc>
          <w:tcPr>
            <w:tcW w:w="886" w:type="pct"/>
            <w:tcBorders>
              <w:top w:val="nil"/>
              <w:left w:val="nil"/>
              <w:bottom w:val="nil"/>
              <w:right w:val="nil"/>
            </w:tcBorders>
            <w:shd w:val="clear" w:color="auto" w:fill="auto"/>
            <w:noWrap/>
            <w:vAlign w:val="center"/>
            <w:hideMark/>
          </w:tcPr>
          <w:p w14:paraId="5C75252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846 (21.9)</w:t>
            </w:r>
          </w:p>
        </w:tc>
        <w:tc>
          <w:tcPr>
            <w:tcW w:w="887" w:type="pct"/>
            <w:tcBorders>
              <w:top w:val="nil"/>
              <w:left w:val="nil"/>
              <w:bottom w:val="nil"/>
              <w:right w:val="nil"/>
            </w:tcBorders>
            <w:shd w:val="clear" w:color="auto" w:fill="auto"/>
            <w:noWrap/>
            <w:vAlign w:val="center"/>
            <w:hideMark/>
          </w:tcPr>
          <w:p w14:paraId="151EAF05"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111 (38.7)</w:t>
            </w:r>
          </w:p>
        </w:tc>
      </w:tr>
      <w:tr w:rsidR="00DB4040" w14:paraId="2182059C" w14:textId="77777777">
        <w:trPr>
          <w:trHeight w:val="300"/>
        </w:trPr>
        <w:tc>
          <w:tcPr>
            <w:tcW w:w="1454" w:type="pct"/>
            <w:tcBorders>
              <w:top w:val="nil"/>
              <w:left w:val="nil"/>
              <w:bottom w:val="nil"/>
              <w:right w:val="nil"/>
            </w:tcBorders>
            <w:shd w:val="clear" w:color="auto" w:fill="auto"/>
            <w:noWrap/>
            <w:vAlign w:val="center"/>
            <w:hideMark/>
          </w:tcPr>
          <w:p w14:paraId="3ED534B3" w14:textId="77777777" w:rsidR="00DB4040" w:rsidRDefault="00762861">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10years</w:t>
            </w:r>
          </w:p>
        </w:tc>
        <w:tc>
          <w:tcPr>
            <w:tcW w:w="886" w:type="pct"/>
            <w:tcBorders>
              <w:top w:val="nil"/>
              <w:left w:val="nil"/>
              <w:bottom w:val="nil"/>
              <w:right w:val="nil"/>
            </w:tcBorders>
            <w:shd w:val="clear" w:color="auto" w:fill="auto"/>
            <w:noWrap/>
            <w:vAlign w:val="center"/>
            <w:hideMark/>
          </w:tcPr>
          <w:p w14:paraId="145380C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799 (55.6)</w:t>
            </w:r>
          </w:p>
        </w:tc>
        <w:tc>
          <w:tcPr>
            <w:tcW w:w="887" w:type="pct"/>
            <w:tcBorders>
              <w:top w:val="nil"/>
              <w:left w:val="nil"/>
              <w:bottom w:val="nil"/>
              <w:right w:val="nil"/>
            </w:tcBorders>
            <w:shd w:val="clear" w:color="auto" w:fill="auto"/>
            <w:noWrap/>
            <w:vAlign w:val="center"/>
            <w:hideMark/>
          </w:tcPr>
          <w:p w14:paraId="627F622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63 (48.1)</w:t>
            </w:r>
          </w:p>
        </w:tc>
        <w:tc>
          <w:tcPr>
            <w:tcW w:w="886" w:type="pct"/>
            <w:tcBorders>
              <w:top w:val="nil"/>
              <w:left w:val="nil"/>
              <w:bottom w:val="nil"/>
              <w:right w:val="nil"/>
            </w:tcBorders>
            <w:shd w:val="clear" w:color="auto" w:fill="auto"/>
            <w:noWrap/>
            <w:vAlign w:val="center"/>
            <w:hideMark/>
          </w:tcPr>
          <w:p w14:paraId="4BE442A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2,021 (52.5)</w:t>
            </w:r>
          </w:p>
        </w:tc>
        <w:tc>
          <w:tcPr>
            <w:tcW w:w="887" w:type="pct"/>
            <w:tcBorders>
              <w:top w:val="nil"/>
              <w:left w:val="nil"/>
              <w:bottom w:val="nil"/>
              <w:right w:val="nil"/>
            </w:tcBorders>
            <w:shd w:val="clear" w:color="auto" w:fill="auto"/>
            <w:noWrap/>
            <w:vAlign w:val="center"/>
            <w:hideMark/>
          </w:tcPr>
          <w:p w14:paraId="0EDF245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123 (42.8)</w:t>
            </w:r>
          </w:p>
        </w:tc>
      </w:tr>
      <w:tr w:rsidR="00DB4040" w14:paraId="4F1CAF93" w14:textId="77777777">
        <w:trPr>
          <w:trHeight w:val="300"/>
        </w:trPr>
        <w:tc>
          <w:tcPr>
            <w:tcW w:w="1454" w:type="pct"/>
            <w:tcBorders>
              <w:top w:val="nil"/>
              <w:left w:val="nil"/>
              <w:bottom w:val="nil"/>
              <w:right w:val="nil"/>
            </w:tcBorders>
            <w:shd w:val="clear" w:color="auto" w:fill="auto"/>
            <w:noWrap/>
            <w:vAlign w:val="center"/>
            <w:hideMark/>
          </w:tcPr>
          <w:p w14:paraId="141DE9A5" w14:textId="77777777" w:rsidR="00DB4040" w:rsidRDefault="00762861">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 xml:space="preserve">&gt;10 </w:t>
            </w:r>
            <w:proofErr w:type="spellStart"/>
            <w:r>
              <w:rPr>
                <w:rFonts w:ascii="Arial" w:eastAsia="Times New Roman" w:hAnsi="Arial" w:cs="Arial"/>
                <w:color w:val="000000"/>
                <w:sz w:val="20"/>
                <w:szCs w:val="20"/>
              </w:rPr>
              <w:t>years</w:t>
            </w:r>
            <w:proofErr w:type="spellEnd"/>
          </w:p>
        </w:tc>
        <w:tc>
          <w:tcPr>
            <w:tcW w:w="886" w:type="pct"/>
            <w:tcBorders>
              <w:top w:val="nil"/>
              <w:left w:val="nil"/>
              <w:bottom w:val="nil"/>
              <w:right w:val="nil"/>
            </w:tcBorders>
            <w:shd w:val="clear" w:color="auto" w:fill="auto"/>
            <w:noWrap/>
            <w:vAlign w:val="center"/>
            <w:hideMark/>
          </w:tcPr>
          <w:p w14:paraId="5A992CB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328 (22.8)</w:t>
            </w:r>
          </w:p>
        </w:tc>
        <w:tc>
          <w:tcPr>
            <w:tcW w:w="887" w:type="pct"/>
            <w:tcBorders>
              <w:top w:val="nil"/>
              <w:left w:val="nil"/>
              <w:bottom w:val="nil"/>
              <w:right w:val="nil"/>
            </w:tcBorders>
            <w:shd w:val="clear" w:color="auto" w:fill="auto"/>
            <w:noWrap/>
            <w:vAlign w:val="center"/>
            <w:hideMark/>
          </w:tcPr>
          <w:p w14:paraId="4155572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22 (16.8)</w:t>
            </w:r>
          </w:p>
        </w:tc>
        <w:tc>
          <w:tcPr>
            <w:tcW w:w="886" w:type="pct"/>
            <w:tcBorders>
              <w:top w:val="nil"/>
              <w:left w:val="nil"/>
              <w:bottom w:val="nil"/>
              <w:right w:val="nil"/>
            </w:tcBorders>
            <w:shd w:val="clear" w:color="auto" w:fill="auto"/>
            <w:noWrap/>
            <w:vAlign w:val="center"/>
            <w:hideMark/>
          </w:tcPr>
          <w:p w14:paraId="01FD318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988 (25.6)</w:t>
            </w:r>
          </w:p>
        </w:tc>
        <w:tc>
          <w:tcPr>
            <w:tcW w:w="887" w:type="pct"/>
            <w:tcBorders>
              <w:top w:val="nil"/>
              <w:left w:val="nil"/>
              <w:bottom w:val="nil"/>
              <w:right w:val="nil"/>
            </w:tcBorders>
            <w:shd w:val="clear" w:color="auto" w:fill="auto"/>
            <w:noWrap/>
            <w:vAlign w:val="center"/>
            <w:hideMark/>
          </w:tcPr>
          <w:p w14:paraId="696126D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 (18.5)</w:t>
            </w:r>
          </w:p>
        </w:tc>
      </w:tr>
      <w:tr w:rsidR="00DB4040" w14:paraId="2D0582F0" w14:textId="77777777">
        <w:trPr>
          <w:trHeight w:val="300"/>
        </w:trPr>
        <w:tc>
          <w:tcPr>
            <w:tcW w:w="1454" w:type="pct"/>
            <w:tcBorders>
              <w:top w:val="nil"/>
              <w:left w:val="nil"/>
              <w:bottom w:val="nil"/>
              <w:right w:val="nil"/>
            </w:tcBorders>
            <w:shd w:val="clear" w:color="auto" w:fill="auto"/>
            <w:noWrap/>
            <w:vAlign w:val="center"/>
            <w:hideMark/>
          </w:tcPr>
          <w:p w14:paraId="1A88693B"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Income (€)</w:t>
            </w:r>
          </w:p>
        </w:tc>
        <w:tc>
          <w:tcPr>
            <w:tcW w:w="886" w:type="pct"/>
            <w:tcBorders>
              <w:top w:val="nil"/>
              <w:left w:val="nil"/>
              <w:bottom w:val="nil"/>
              <w:right w:val="nil"/>
            </w:tcBorders>
            <w:shd w:val="clear" w:color="auto" w:fill="auto"/>
            <w:noWrap/>
            <w:vAlign w:val="center"/>
            <w:hideMark/>
          </w:tcPr>
          <w:p w14:paraId="7E39B33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1007 (701, 1356)</w:t>
            </w:r>
          </w:p>
        </w:tc>
        <w:tc>
          <w:tcPr>
            <w:tcW w:w="887" w:type="pct"/>
            <w:tcBorders>
              <w:top w:val="nil"/>
              <w:left w:val="nil"/>
              <w:bottom w:val="nil"/>
              <w:right w:val="nil"/>
            </w:tcBorders>
            <w:shd w:val="clear" w:color="auto" w:fill="auto"/>
            <w:noWrap/>
            <w:vAlign w:val="center"/>
            <w:hideMark/>
          </w:tcPr>
          <w:p w14:paraId="069CC9A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1086 (826, 1356)</w:t>
            </w:r>
          </w:p>
        </w:tc>
        <w:tc>
          <w:tcPr>
            <w:tcW w:w="886" w:type="pct"/>
            <w:tcBorders>
              <w:top w:val="nil"/>
              <w:left w:val="nil"/>
              <w:bottom w:val="nil"/>
              <w:right w:val="nil"/>
            </w:tcBorders>
            <w:shd w:val="clear" w:color="auto" w:fill="auto"/>
            <w:noWrap/>
            <w:vAlign w:val="center"/>
            <w:hideMark/>
          </w:tcPr>
          <w:p w14:paraId="47EFE32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1184 (895, 1761)</w:t>
            </w:r>
          </w:p>
        </w:tc>
        <w:tc>
          <w:tcPr>
            <w:tcW w:w="887" w:type="pct"/>
            <w:tcBorders>
              <w:top w:val="nil"/>
              <w:left w:val="nil"/>
              <w:bottom w:val="nil"/>
              <w:right w:val="nil"/>
            </w:tcBorders>
            <w:shd w:val="clear" w:color="auto" w:fill="auto"/>
            <w:noWrap/>
            <w:vAlign w:val="center"/>
            <w:hideMark/>
          </w:tcPr>
          <w:p w14:paraId="58EA3BD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1096 (778, 1450)</w:t>
            </w:r>
          </w:p>
        </w:tc>
      </w:tr>
      <w:tr w:rsidR="00DB4040" w14:paraId="532BB445" w14:textId="77777777">
        <w:trPr>
          <w:trHeight w:val="300"/>
        </w:trPr>
        <w:tc>
          <w:tcPr>
            <w:tcW w:w="1454" w:type="pct"/>
            <w:tcBorders>
              <w:top w:val="nil"/>
              <w:left w:val="nil"/>
              <w:bottom w:val="nil"/>
              <w:right w:val="nil"/>
            </w:tcBorders>
            <w:shd w:val="clear" w:color="auto" w:fill="auto"/>
            <w:noWrap/>
            <w:vAlign w:val="center"/>
            <w:hideMark/>
          </w:tcPr>
          <w:p w14:paraId="477D0C00" w14:textId="77777777" w:rsidR="00DB4040" w:rsidRDefault="00762861">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Body mass index (kg/m</w:t>
            </w:r>
            <w:r>
              <w:rPr>
                <w:rFonts w:ascii="Arial" w:eastAsia="Times New Roman" w:hAnsi="Arial" w:cs="Arial"/>
                <w:color w:val="000000"/>
                <w:sz w:val="20"/>
                <w:szCs w:val="20"/>
                <w:vertAlign w:val="superscript"/>
                <w:lang w:val="en-US"/>
              </w:rPr>
              <w:t>2</w:t>
            </w:r>
            <w:r>
              <w:rPr>
                <w:rFonts w:ascii="Arial" w:eastAsia="Times New Roman" w:hAnsi="Arial" w:cs="Arial"/>
                <w:color w:val="000000"/>
                <w:sz w:val="20"/>
                <w:szCs w:val="20"/>
                <w:lang w:val="en-US"/>
              </w:rPr>
              <w:t>)</w:t>
            </w:r>
          </w:p>
        </w:tc>
        <w:tc>
          <w:tcPr>
            <w:tcW w:w="886" w:type="pct"/>
            <w:tcBorders>
              <w:top w:val="nil"/>
              <w:left w:val="nil"/>
              <w:bottom w:val="nil"/>
              <w:right w:val="nil"/>
            </w:tcBorders>
            <w:shd w:val="clear" w:color="auto" w:fill="auto"/>
            <w:noWrap/>
            <w:vAlign w:val="center"/>
            <w:hideMark/>
          </w:tcPr>
          <w:p w14:paraId="23423B8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27.7 (24.8, 31.1)</w:t>
            </w:r>
          </w:p>
        </w:tc>
        <w:tc>
          <w:tcPr>
            <w:tcW w:w="887" w:type="pct"/>
            <w:tcBorders>
              <w:top w:val="nil"/>
              <w:left w:val="nil"/>
              <w:bottom w:val="nil"/>
              <w:right w:val="nil"/>
            </w:tcBorders>
            <w:shd w:val="clear" w:color="auto" w:fill="auto"/>
            <w:noWrap/>
            <w:vAlign w:val="center"/>
            <w:hideMark/>
          </w:tcPr>
          <w:p w14:paraId="3EF2C0F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27.8 (24.4, 31.7)</w:t>
            </w:r>
          </w:p>
        </w:tc>
        <w:tc>
          <w:tcPr>
            <w:tcW w:w="886" w:type="pct"/>
            <w:tcBorders>
              <w:top w:val="nil"/>
              <w:left w:val="nil"/>
              <w:bottom w:val="nil"/>
              <w:right w:val="nil"/>
            </w:tcBorders>
            <w:shd w:val="clear" w:color="auto" w:fill="auto"/>
            <w:noWrap/>
            <w:vAlign w:val="center"/>
            <w:hideMark/>
          </w:tcPr>
          <w:p w14:paraId="01E0FD6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28.0 (25.0, 31.0)</w:t>
            </w:r>
          </w:p>
        </w:tc>
        <w:tc>
          <w:tcPr>
            <w:tcW w:w="887" w:type="pct"/>
            <w:tcBorders>
              <w:top w:val="nil"/>
              <w:left w:val="nil"/>
              <w:bottom w:val="nil"/>
              <w:right w:val="nil"/>
            </w:tcBorders>
            <w:shd w:val="clear" w:color="auto" w:fill="auto"/>
            <w:noWrap/>
            <w:vAlign w:val="center"/>
            <w:hideMark/>
          </w:tcPr>
          <w:p w14:paraId="2F65103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28.2 (25.6, 31.6)</w:t>
            </w:r>
          </w:p>
        </w:tc>
      </w:tr>
      <w:tr w:rsidR="00DB4040" w14:paraId="4A6F1DC4" w14:textId="77777777">
        <w:trPr>
          <w:trHeight w:val="300"/>
        </w:trPr>
        <w:tc>
          <w:tcPr>
            <w:tcW w:w="1454" w:type="pct"/>
            <w:tcBorders>
              <w:top w:val="nil"/>
              <w:left w:val="nil"/>
              <w:bottom w:val="nil"/>
              <w:right w:val="nil"/>
            </w:tcBorders>
            <w:shd w:val="clear" w:color="auto" w:fill="auto"/>
            <w:noWrap/>
            <w:vAlign w:val="center"/>
            <w:hideMark/>
          </w:tcPr>
          <w:p w14:paraId="4EAFA4F1"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Smoking (n, %)</w:t>
            </w:r>
          </w:p>
        </w:tc>
        <w:tc>
          <w:tcPr>
            <w:tcW w:w="886" w:type="pct"/>
            <w:tcBorders>
              <w:top w:val="nil"/>
              <w:left w:val="nil"/>
              <w:bottom w:val="nil"/>
              <w:right w:val="nil"/>
            </w:tcBorders>
            <w:shd w:val="clear" w:color="auto" w:fill="auto"/>
            <w:noWrap/>
            <w:vAlign w:val="center"/>
            <w:hideMark/>
          </w:tcPr>
          <w:p w14:paraId="43577E47" w14:textId="77777777" w:rsidR="00DB4040" w:rsidRDefault="00DB4040">
            <w:pPr>
              <w:spacing w:after="0" w:line="240" w:lineRule="auto"/>
              <w:rPr>
                <w:rFonts w:ascii="Arial" w:eastAsia="Times New Roman" w:hAnsi="Arial" w:cs="Arial"/>
                <w:color w:val="000000"/>
                <w:sz w:val="20"/>
                <w:szCs w:val="20"/>
              </w:rPr>
            </w:pPr>
          </w:p>
        </w:tc>
        <w:tc>
          <w:tcPr>
            <w:tcW w:w="887" w:type="pct"/>
            <w:tcBorders>
              <w:top w:val="nil"/>
              <w:left w:val="nil"/>
              <w:bottom w:val="nil"/>
              <w:right w:val="nil"/>
            </w:tcBorders>
            <w:shd w:val="clear" w:color="auto" w:fill="auto"/>
            <w:noWrap/>
            <w:vAlign w:val="center"/>
            <w:hideMark/>
          </w:tcPr>
          <w:p w14:paraId="0E9443A3" w14:textId="77777777" w:rsidR="00DB4040" w:rsidRDefault="00DB4040">
            <w:pPr>
              <w:spacing w:after="0" w:line="240" w:lineRule="auto"/>
              <w:rPr>
                <w:rFonts w:ascii="Arial" w:eastAsia="Times New Roman" w:hAnsi="Arial" w:cs="Arial"/>
                <w:sz w:val="20"/>
                <w:szCs w:val="20"/>
              </w:rPr>
            </w:pPr>
          </w:p>
        </w:tc>
        <w:tc>
          <w:tcPr>
            <w:tcW w:w="886" w:type="pct"/>
            <w:tcBorders>
              <w:top w:val="nil"/>
              <w:left w:val="nil"/>
              <w:bottom w:val="nil"/>
              <w:right w:val="nil"/>
            </w:tcBorders>
            <w:shd w:val="clear" w:color="auto" w:fill="auto"/>
            <w:noWrap/>
            <w:vAlign w:val="center"/>
            <w:hideMark/>
          </w:tcPr>
          <w:p w14:paraId="68F36F85" w14:textId="77777777" w:rsidR="00DB4040" w:rsidRDefault="00DB4040">
            <w:pPr>
              <w:spacing w:after="0" w:line="240" w:lineRule="auto"/>
              <w:rPr>
                <w:rFonts w:ascii="Arial" w:eastAsia="Times New Roman" w:hAnsi="Arial" w:cs="Arial"/>
                <w:sz w:val="20"/>
                <w:szCs w:val="20"/>
              </w:rPr>
            </w:pPr>
          </w:p>
        </w:tc>
        <w:tc>
          <w:tcPr>
            <w:tcW w:w="887" w:type="pct"/>
            <w:tcBorders>
              <w:top w:val="nil"/>
              <w:left w:val="nil"/>
              <w:bottom w:val="nil"/>
              <w:right w:val="nil"/>
            </w:tcBorders>
            <w:shd w:val="clear" w:color="auto" w:fill="auto"/>
            <w:noWrap/>
            <w:vAlign w:val="center"/>
            <w:hideMark/>
          </w:tcPr>
          <w:p w14:paraId="5E0A4111" w14:textId="77777777" w:rsidR="00DB4040" w:rsidRDefault="00DB4040">
            <w:pPr>
              <w:spacing w:after="0" w:line="240" w:lineRule="auto"/>
              <w:rPr>
                <w:rFonts w:ascii="Arial" w:eastAsia="Times New Roman" w:hAnsi="Arial" w:cs="Arial"/>
                <w:sz w:val="20"/>
                <w:szCs w:val="20"/>
              </w:rPr>
            </w:pPr>
          </w:p>
        </w:tc>
      </w:tr>
      <w:tr w:rsidR="00DB4040" w14:paraId="08218AC8" w14:textId="77777777">
        <w:trPr>
          <w:trHeight w:val="300"/>
        </w:trPr>
        <w:tc>
          <w:tcPr>
            <w:tcW w:w="1454" w:type="pct"/>
            <w:tcBorders>
              <w:top w:val="nil"/>
              <w:left w:val="nil"/>
              <w:bottom w:val="nil"/>
              <w:right w:val="nil"/>
            </w:tcBorders>
            <w:shd w:val="clear" w:color="auto" w:fill="auto"/>
            <w:noWrap/>
            <w:vAlign w:val="center"/>
            <w:hideMark/>
          </w:tcPr>
          <w:p w14:paraId="23D5B3F5" w14:textId="00817CA5" w:rsidR="00DB4040" w:rsidRDefault="00762861" w:rsidP="00E2570B">
            <w:pPr>
              <w:spacing w:after="0" w:line="240" w:lineRule="auto"/>
              <w:jc w:val="right"/>
              <w:rPr>
                <w:rFonts w:ascii="Arial" w:eastAsia="Times New Roman" w:hAnsi="Arial" w:cs="Arial"/>
                <w:color w:val="000000"/>
                <w:sz w:val="20"/>
                <w:szCs w:val="20"/>
              </w:rPr>
            </w:pPr>
            <w:proofErr w:type="spellStart"/>
            <w:r>
              <w:rPr>
                <w:rFonts w:ascii="Arial" w:eastAsia="Times New Roman" w:hAnsi="Arial" w:cs="Arial"/>
                <w:color w:val="000000"/>
                <w:sz w:val="20"/>
                <w:szCs w:val="20"/>
              </w:rPr>
              <w:t>never</w:t>
            </w:r>
            <w:proofErr w:type="spellEnd"/>
          </w:p>
        </w:tc>
        <w:tc>
          <w:tcPr>
            <w:tcW w:w="886" w:type="pct"/>
            <w:tcBorders>
              <w:top w:val="nil"/>
              <w:left w:val="nil"/>
              <w:bottom w:val="nil"/>
              <w:right w:val="nil"/>
            </w:tcBorders>
            <w:shd w:val="clear" w:color="auto" w:fill="auto"/>
            <w:noWrap/>
            <w:vAlign w:val="center"/>
            <w:hideMark/>
          </w:tcPr>
          <w:p w14:paraId="586589F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544 (37.8)</w:t>
            </w:r>
          </w:p>
        </w:tc>
        <w:tc>
          <w:tcPr>
            <w:tcW w:w="887" w:type="pct"/>
            <w:tcBorders>
              <w:top w:val="nil"/>
              <w:left w:val="nil"/>
              <w:bottom w:val="nil"/>
              <w:right w:val="nil"/>
            </w:tcBorders>
            <w:shd w:val="clear" w:color="auto" w:fill="auto"/>
            <w:noWrap/>
            <w:vAlign w:val="center"/>
            <w:hideMark/>
          </w:tcPr>
          <w:p w14:paraId="4A6B431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 (42.0)</w:t>
            </w:r>
          </w:p>
        </w:tc>
        <w:tc>
          <w:tcPr>
            <w:tcW w:w="886" w:type="pct"/>
            <w:tcBorders>
              <w:top w:val="nil"/>
              <w:left w:val="nil"/>
              <w:bottom w:val="nil"/>
              <w:right w:val="nil"/>
            </w:tcBorders>
            <w:shd w:val="clear" w:color="auto" w:fill="auto"/>
            <w:noWrap/>
            <w:vAlign w:val="center"/>
            <w:hideMark/>
          </w:tcPr>
          <w:p w14:paraId="0FF8B7B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1,391 (36.1)</w:t>
            </w:r>
          </w:p>
        </w:tc>
        <w:tc>
          <w:tcPr>
            <w:tcW w:w="887" w:type="pct"/>
            <w:tcBorders>
              <w:top w:val="nil"/>
              <w:left w:val="nil"/>
              <w:bottom w:val="nil"/>
              <w:right w:val="nil"/>
            </w:tcBorders>
            <w:shd w:val="clear" w:color="auto" w:fill="auto"/>
            <w:noWrap/>
            <w:vAlign w:val="center"/>
            <w:hideMark/>
          </w:tcPr>
          <w:p w14:paraId="53ABFD4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107 (37.3)</w:t>
            </w:r>
          </w:p>
        </w:tc>
      </w:tr>
      <w:tr w:rsidR="00DB4040" w14:paraId="4995484B" w14:textId="77777777">
        <w:trPr>
          <w:trHeight w:val="300"/>
        </w:trPr>
        <w:tc>
          <w:tcPr>
            <w:tcW w:w="1454" w:type="pct"/>
            <w:tcBorders>
              <w:top w:val="nil"/>
              <w:left w:val="nil"/>
              <w:bottom w:val="nil"/>
              <w:right w:val="nil"/>
            </w:tcBorders>
            <w:shd w:val="clear" w:color="auto" w:fill="auto"/>
            <w:noWrap/>
            <w:vAlign w:val="center"/>
            <w:hideMark/>
          </w:tcPr>
          <w:p w14:paraId="09D5CE49" w14:textId="77777777" w:rsidR="00DB4040" w:rsidRDefault="00762861">
            <w:pPr>
              <w:spacing w:after="0" w:line="240" w:lineRule="auto"/>
              <w:jc w:val="right"/>
              <w:rPr>
                <w:rFonts w:ascii="Arial" w:eastAsia="Times New Roman" w:hAnsi="Arial" w:cs="Arial"/>
                <w:color w:val="000000"/>
                <w:sz w:val="20"/>
                <w:szCs w:val="20"/>
              </w:rPr>
            </w:pPr>
            <w:r>
              <w:rPr>
                <w:rFonts w:ascii="Arial" w:eastAsia="Times New Roman" w:hAnsi="Arial" w:cs="Arial"/>
                <w:color w:val="000000"/>
                <w:sz w:val="20"/>
                <w:szCs w:val="20"/>
              </w:rPr>
              <w:t>ex-</w:t>
            </w:r>
            <w:proofErr w:type="spellStart"/>
            <w:r>
              <w:rPr>
                <w:rFonts w:ascii="Arial" w:eastAsia="Times New Roman" w:hAnsi="Arial" w:cs="Arial"/>
                <w:color w:val="000000"/>
                <w:sz w:val="20"/>
                <w:szCs w:val="20"/>
              </w:rPr>
              <w:t>smoker</w:t>
            </w:r>
            <w:proofErr w:type="spellEnd"/>
          </w:p>
        </w:tc>
        <w:tc>
          <w:tcPr>
            <w:tcW w:w="886" w:type="pct"/>
            <w:tcBorders>
              <w:top w:val="nil"/>
              <w:left w:val="nil"/>
              <w:bottom w:val="nil"/>
              <w:right w:val="nil"/>
            </w:tcBorders>
            <w:shd w:val="clear" w:color="auto" w:fill="auto"/>
            <w:noWrap/>
            <w:vAlign w:val="center"/>
            <w:hideMark/>
          </w:tcPr>
          <w:p w14:paraId="6A577FC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609 (42.4)</w:t>
            </w:r>
          </w:p>
        </w:tc>
        <w:tc>
          <w:tcPr>
            <w:tcW w:w="887" w:type="pct"/>
            <w:tcBorders>
              <w:top w:val="nil"/>
              <w:left w:val="nil"/>
              <w:bottom w:val="nil"/>
              <w:right w:val="nil"/>
            </w:tcBorders>
            <w:shd w:val="clear" w:color="auto" w:fill="auto"/>
            <w:noWrap/>
            <w:vAlign w:val="center"/>
            <w:hideMark/>
          </w:tcPr>
          <w:p w14:paraId="39CD535A"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59 (45.0)</w:t>
            </w:r>
          </w:p>
        </w:tc>
        <w:tc>
          <w:tcPr>
            <w:tcW w:w="886" w:type="pct"/>
            <w:tcBorders>
              <w:top w:val="nil"/>
              <w:left w:val="nil"/>
              <w:bottom w:val="nil"/>
              <w:right w:val="nil"/>
            </w:tcBorders>
            <w:shd w:val="clear" w:color="auto" w:fill="auto"/>
            <w:noWrap/>
            <w:vAlign w:val="center"/>
            <w:hideMark/>
          </w:tcPr>
          <w:p w14:paraId="150372A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1,416 (36.7)</w:t>
            </w:r>
          </w:p>
        </w:tc>
        <w:tc>
          <w:tcPr>
            <w:tcW w:w="887" w:type="pct"/>
            <w:tcBorders>
              <w:top w:val="nil"/>
              <w:left w:val="nil"/>
              <w:bottom w:val="nil"/>
              <w:right w:val="nil"/>
            </w:tcBorders>
            <w:shd w:val="clear" w:color="auto" w:fill="auto"/>
            <w:noWrap/>
            <w:vAlign w:val="center"/>
            <w:hideMark/>
          </w:tcPr>
          <w:p w14:paraId="4052F53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123 (42.8)</w:t>
            </w:r>
          </w:p>
        </w:tc>
      </w:tr>
      <w:tr w:rsidR="00DB4040" w14:paraId="0CC9870D" w14:textId="77777777">
        <w:trPr>
          <w:trHeight w:val="300"/>
        </w:trPr>
        <w:tc>
          <w:tcPr>
            <w:tcW w:w="1454" w:type="pct"/>
            <w:tcBorders>
              <w:top w:val="nil"/>
              <w:left w:val="nil"/>
              <w:bottom w:val="nil"/>
              <w:right w:val="nil"/>
            </w:tcBorders>
            <w:shd w:val="clear" w:color="auto" w:fill="auto"/>
            <w:noWrap/>
            <w:vAlign w:val="center"/>
            <w:hideMark/>
          </w:tcPr>
          <w:p w14:paraId="7F0349DF" w14:textId="77777777" w:rsidR="00DB4040" w:rsidRDefault="00762861">
            <w:pPr>
              <w:spacing w:after="0" w:line="240" w:lineRule="auto"/>
              <w:jc w:val="right"/>
              <w:rPr>
                <w:rFonts w:ascii="Arial" w:eastAsia="Times New Roman" w:hAnsi="Arial" w:cs="Arial"/>
                <w:color w:val="000000"/>
                <w:sz w:val="20"/>
                <w:szCs w:val="20"/>
              </w:rPr>
            </w:pPr>
            <w:proofErr w:type="spellStart"/>
            <w:r>
              <w:rPr>
                <w:rFonts w:ascii="Arial" w:eastAsia="Times New Roman" w:hAnsi="Arial" w:cs="Arial"/>
                <w:color w:val="000000"/>
                <w:sz w:val="20"/>
                <w:szCs w:val="20"/>
              </w:rPr>
              <w:t>current</w:t>
            </w:r>
            <w:proofErr w:type="spellEnd"/>
          </w:p>
        </w:tc>
        <w:tc>
          <w:tcPr>
            <w:tcW w:w="886" w:type="pct"/>
            <w:tcBorders>
              <w:top w:val="nil"/>
              <w:left w:val="nil"/>
              <w:bottom w:val="nil"/>
              <w:right w:val="nil"/>
            </w:tcBorders>
            <w:shd w:val="clear" w:color="auto" w:fill="auto"/>
            <w:noWrap/>
            <w:vAlign w:val="center"/>
            <w:hideMark/>
          </w:tcPr>
          <w:p w14:paraId="3C35EE0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285 (19.8)</w:t>
            </w:r>
          </w:p>
        </w:tc>
        <w:tc>
          <w:tcPr>
            <w:tcW w:w="887" w:type="pct"/>
            <w:tcBorders>
              <w:top w:val="nil"/>
              <w:left w:val="nil"/>
              <w:bottom w:val="nil"/>
              <w:right w:val="nil"/>
            </w:tcBorders>
            <w:shd w:val="clear" w:color="auto" w:fill="auto"/>
            <w:noWrap/>
            <w:vAlign w:val="center"/>
            <w:hideMark/>
          </w:tcPr>
          <w:p w14:paraId="7BF9E38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 (13.0)</w:t>
            </w:r>
          </w:p>
        </w:tc>
        <w:tc>
          <w:tcPr>
            <w:tcW w:w="886" w:type="pct"/>
            <w:tcBorders>
              <w:top w:val="nil"/>
              <w:left w:val="nil"/>
              <w:bottom w:val="nil"/>
              <w:right w:val="nil"/>
            </w:tcBorders>
            <w:shd w:val="clear" w:color="auto" w:fill="auto"/>
            <w:noWrap/>
            <w:vAlign w:val="center"/>
            <w:hideMark/>
          </w:tcPr>
          <w:p w14:paraId="3C9B83F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1,048 (27.2)</w:t>
            </w:r>
          </w:p>
        </w:tc>
        <w:tc>
          <w:tcPr>
            <w:tcW w:w="887" w:type="pct"/>
            <w:tcBorders>
              <w:top w:val="nil"/>
              <w:left w:val="nil"/>
              <w:bottom w:val="nil"/>
              <w:right w:val="nil"/>
            </w:tcBorders>
            <w:shd w:val="clear" w:color="auto" w:fill="auto"/>
            <w:noWrap/>
            <w:vAlign w:val="center"/>
            <w:hideMark/>
          </w:tcPr>
          <w:p w14:paraId="3522A2BA"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57 (19.9)</w:t>
            </w:r>
          </w:p>
        </w:tc>
      </w:tr>
      <w:tr w:rsidR="00DB4040" w14:paraId="2074E404" w14:textId="77777777">
        <w:trPr>
          <w:trHeight w:val="300"/>
        </w:trPr>
        <w:tc>
          <w:tcPr>
            <w:tcW w:w="1454" w:type="pct"/>
            <w:tcBorders>
              <w:top w:val="nil"/>
              <w:left w:val="nil"/>
              <w:bottom w:val="nil"/>
              <w:right w:val="nil"/>
            </w:tcBorders>
            <w:shd w:val="clear" w:color="auto" w:fill="auto"/>
            <w:noWrap/>
            <w:vAlign w:val="center"/>
            <w:hideMark/>
          </w:tcPr>
          <w:p w14:paraId="2A4EAA28"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Alcohol</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consumption</w:t>
            </w:r>
            <w:proofErr w:type="spellEnd"/>
            <w:r>
              <w:rPr>
                <w:rFonts w:ascii="Arial" w:eastAsia="Times New Roman" w:hAnsi="Arial" w:cs="Arial"/>
                <w:color w:val="000000"/>
                <w:sz w:val="20"/>
                <w:szCs w:val="20"/>
              </w:rPr>
              <w:t xml:space="preserve"> (g/</w:t>
            </w:r>
            <w:proofErr w:type="spellStart"/>
            <w:r>
              <w:rPr>
                <w:rFonts w:ascii="Arial" w:eastAsia="Times New Roman" w:hAnsi="Arial" w:cs="Arial"/>
                <w:color w:val="000000"/>
                <w:sz w:val="20"/>
                <w:szCs w:val="20"/>
              </w:rPr>
              <w:t>day</w:t>
            </w:r>
            <w:proofErr w:type="spellEnd"/>
            <w:r>
              <w:rPr>
                <w:rFonts w:ascii="Arial" w:eastAsia="Times New Roman" w:hAnsi="Arial" w:cs="Arial"/>
                <w:color w:val="000000"/>
                <w:sz w:val="20"/>
                <w:szCs w:val="20"/>
              </w:rPr>
              <w:t>)</w:t>
            </w:r>
          </w:p>
        </w:tc>
        <w:tc>
          <w:tcPr>
            <w:tcW w:w="886" w:type="pct"/>
            <w:tcBorders>
              <w:top w:val="nil"/>
              <w:left w:val="nil"/>
              <w:bottom w:val="nil"/>
              <w:right w:val="nil"/>
            </w:tcBorders>
            <w:shd w:val="clear" w:color="auto" w:fill="auto"/>
            <w:noWrap/>
            <w:vAlign w:val="center"/>
            <w:hideMark/>
          </w:tcPr>
          <w:p w14:paraId="26E28F5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5.0 (2.0, 14.0)</w:t>
            </w:r>
          </w:p>
        </w:tc>
        <w:tc>
          <w:tcPr>
            <w:tcW w:w="887" w:type="pct"/>
            <w:tcBorders>
              <w:top w:val="nil"/>
              <w:left w:val="nil"/>
              <w:bottom w:val="nil"/>
              <w:right w:val="nil"/>
            </w:tcBorders>
            <w:shd w:val="clear" w:color="auto" w:fill="auto"/>
            <w:noWrap/>
            <w:vAlign w:val="center"/>
            <w:hideMark/>
          </w:tcPr>
          <w:p w14:paraId="5CA2733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4.1 (1.4, 13.1)</w:t>
            </w:r>
          </w:p>
        </w:tc>
        <w:tc>
          <w:tcPr>
            <w:tcW w:w="886" w:type="pct"/>
            <w:tcBorders>
              <w:top w:val="nil"/>
              <w:left w:val="nil"/>
              <w:bottom w:val="nil"/>
              <w:right w:val="nil"/>
            </w:tcBorders>
            <w:shd w:val="clear" w:color="auto" w:fill="auto"/>
            <w:noWrap/>
            <w:vAlign w:val="center"/>
            <w:hideMark/>
          </w:tcPr>
          <w:p w14:paraId="5F2A168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 (0.7, 10..9)</w:t>
            </w:r>
          </w:p>
        </w:tc>
        <w:tc>
          <w:tcPr>
            <w:tcW w:w="887" w:type="pct"/>
            <w:tcBorders>
              <w:top w:val="nil"/>
              <w:left w:val="nil"/>
              <w:bottom w:val="nil"/>
              <w:right w:val="nil"/>
            </w:tcBorders>
            <w:shd w:val="clear" w:color="auto" w:fill="auto"/>
            <w:noWrap/>
            <w:vAlign w:val="center"/>
            <w:hideMark/>
          </w:tcPr>
          <w:p w14:paraId="6CAF69A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 (0.0, 7.5)</w:t>
            </w:r>
          </w:p>
        </w:tc>
      </w:tr>
      <w:tr w:rsidR="00DB4040" w14:paraId="7708ACE5" w14:textId="77777777">
        <w:trPr>
          <w:trHeight w:val="300"/>
        </w:trPr>
        <w:tc>
          <w:tcPr>
            <w:tcW w:w="1454" w:type="pct"/>
            <w:tcBorders>
              <w:top w:val="nil"/>
              <w:left w:val="nil"/>
              <w:bottom w:val="nil"/>
              <w:right w:val="nil"/>
            </w:tcBorders>
            <w:shd w:val="clear" w:color="auto" w:fill="auto"/>
            <w:noWrap/>
            <w:vAlign w:val="center"/>
            <w:hideMark/>
          </w:tcPr>
          <w:p w14:paraId="3F5C37B5" w14:textId="77777777" w:rsidR="00DB4040" w:rsidRDefault="00762861">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Systolic blood pressure (mm Hg)</w:t>
            </w:r>
          </w:p>
        </w:tc>
        <w:tc>
          <w:tcPr>
            <w:tcW w:w="886" w:type="pct"/>
            <w:tcBorders>
              <w:top w:val="nil"/>
              <w:left w:val="nil"/>
              <w:bottom w:val="nil"/>
              <w:right w:val="nil"/>
            </w:tcBorders>
            <w:shd w:val="clear" w:color="auto" w:fill="auto"/>
            <w:noWrap/>
            <w:vAlign w:val="center"/>
            <w:hideMark/>
          </w:tcPr>
          <w:p w14:paraId="4FD1F4D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131.5 (119.5, 144.6)</w:t>
            </w:r>
          </w:p>
        </w:tc>
        <w:tc>
          <w:tcPr>
            <w:tcW w:w="887" w:type="pct"/>
            <w:tcBorders>
              <w:top w:val="nil"/>
              <w:left w:val="nil"/>
              <w:bottom w:val="nil"/>
              <w:right w:val="nil"/>
            </w:tcBorders>
            <w:shd w:val="clear" w:color="auto" w:fill="auto"/>
            <w:noWrap/>
            <w:vAlign w:val="center"/>
            <w:hideMark/>
          </w:tcPr>
          <w:p w14:paraId="44A9DC8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131.0 (118.5, 142.5)</w:t>
            </w:r>
          </w:p>
        </w:tc>
        <w:tc>
          <w:tcPr>
            <w:tcW w:w="886" w:type="pct"/>
            <w:tcBorders>
              <w:top w:val="nil"/>
              <w:left w:val="nil"/>
              <w:bottom w:val="nil"/>
              <w:right w:val="nil"/>
            </w:tcBorders>
            <w:shd w:val="clear" w:color="auto" w:fill="auto"/>
            <w:noWrap/>
            <w:vAlign w:val="center"/>
            <w:hideMark/>
          </w:tcPr>
          <w:p w14:paraId="437D0DE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132.0 (119.0, 144.0)</w:t>
            </w:r>
          </w:p>
        </w:tc>
        <w:tc>
          <w:tcPr>
            <w:tcW w:w="887" w:type="pct"/>
            <w:tcBorders>
              <w:top w:val="nil"/>
              <w:left w:val="nil"/>
              <w:bottom w:val="nil"/>
              <w:right w:val="nil"/>
            </w:tcBorders>
            <w:shd w:val="clear" w:color="auto" w:fill="auto"/>
            <w:noWrap/>
            <w:vAlign w:val="center"/>
            <w:hideMark/>
          </w:tcPr>
          <w:p w14:paraId="2F8AB32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134.0 (120.5, 147.5)</w:t>
            </w:r>
          </w:p>
        </w:tc>
      </w:tr>
      <w:tr w:rsidR="00DB4040" w14:paraId="4367C7B8" w14:textId="77777777">
        <w:trPr>
          <w:trHeight w:val="300"/>
        </w:trPr>
        <w:tc>
          <w:tcPr>
            <w:tcW w:w="1454" w:type="pct"/>
            <w:tcBorders>
              <w:top w:val="nil"/>
              <w:left w:val="nil"/>
              <w:bottom w:val="nil"/>
              <w:right w:val="nil"/>
            </w:tcBorders>
            <w:shd w:val="clear" w:color="auto" w:fill="auto"/>
            <w:noWrap/>
            <w:vAlign w:val="center"/>
            <w:hideMark/>
          </w:tcPr>
          <w:p w14:paraId="22DDCE72" w14:textId="77777777" w:rsidR="00DB4040" w:rsidRDefault="00762861">
            <w:pPr>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Diastolic blood pressure (mm Hg)</w:t>
            </w:r>
          </w:p>
        </w:tc>
        <w:tc>
          <w:tcPr>
            <w:tcW w:w="886" w:type="pct"/>
            <w:tcBorders>
              <w:top w:val="nil"/>
              <w:left w:val="nil"/>
              <w:bottom w:val="nil"/>
              <w:right w:val="nil"/>
            </w:tcBorders>
            <w:shd w:val="clear" w:color="auto" w:fill="auto"/>
            <w:noWrap/>
            <w:vAlign w:val="center"/>
            <w:hideMark/>
          </w:tcPr>
          <w:p w14:paraId="3245ABA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80.0 (73.0, 86.5)</w:t>
            </w:r>
          </w:p>
        </w:tc>
        <w:tc>
          <w:tcPr>
            <w:tcW w:w="887" w:type="pct"/>
            <w:tcBorders>
              <w:top w:val="nil"/>
              <w:left w:val="nil"/>
              <w:bottom w:val="nil"/>
              <w:right w:val="nil"/>
            </w:tcBorders>
            <w:shd w:val="clear" w:color="auto" w:fill="auto"/>
            <w:noWrap/>
            <w:vAlign w:val="center"/>
            <w:hideMark/>
          </w:tcPr>
          <w:p w14:paraId="35D60C8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77.5 (71.0, 83.0)</w:t>
            </w:r>
          </w:p>
        </w:tc>
        <w:tc>
          <w:tcPr>
            <w:tcW w:w="886" w:type="pct"/>
            <w:tcBorders>
              <w:top w:val="nil"/>
              <w:left w:val="nil"/>
              <w:bottom w:val="nil"/>
              <w:right w:val="nil"/>
            </w:tcBorders>
            <w:shd w:val="clear" w:color="auto" w:fill="auto"/>
            <w:noWrap/>
            <w:vAlign w:val="center"/>
            <w:hideMark/>
          </w:tcPr>
          <w:p w14:paraId="6FAAF34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79.0 (72.0, 86.0)</w:t>
            </w:r>
          </w:p>
        </w:tc>
        <w:tc>
          <w:tcPr>
            <w:tcW w:w="887" w:type="pct"/>
            <w:tcBorders>
              <w:top w:val="nil"/>
              <w:left w:val="nil"/>
              <w:bottom w:val="nil"/>
              <w:right w:val="nil"/>
            </w:tcBorders>
            <w:shd w:val="clear" w:color="auto" w:fill="auto"/>
            <w:noWrap/>
            <w:vAlign w:val="center"/>
            <w:hideMark/>
          </w:tcPr>
          <w:p w14:paraId="0C44B88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79.0 (71.5, 85.5)</w:t>
            </w:r>
          </w:p>
        </w:tc>
      </w:tr>
      <w:tr w:rsidR="00DB4040" w14:paraId="543937CC" w14:textId="77777777">
        <w:trPr>
          <w:trHeight w:val="300"/>
        </w:trPr>
        <w:tc>
          <w:tcPr>
            <w:tcW w:w="1454" w:type="pct"/>
            <w:tcBorders>
              <w:top w:val="nil"/>
              <w:left w:val="nil"/>
              <w:bottom w:val="nil"/>
              <w:right w:val="nil"/>
            </w:tcBorders>
            <w:shd w:val="clear" w:color="auto" w:fill="auto"/>
            <w:noWrap/>
            <w:vAlign w:val="center"/>
            <w:hideMark/>
          </w:tcPr>
          <w:p w14:paraId="7F65ABEA"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LDL-</w:t>
            </w:r>
            <w:proofErr w:type="spellStart"/>
            <w:r>
              <w:rPr>
                <w:rFonts w:ascii="Arial" w:eastAsia="Times New Roman" w:hAnsi="Arial" w:cs="Arial"/>
                <w:color w:val="000000"/>
                <w:sz w:val="20"/>
                <w:szCs w:val="20"/>
              </w:rPr>
              <w:t>cholesterol</w:t>
            </w:r>
            <w:proofErr w:type="spellEnd"/>
            <w:r>
              <w:rPr>
                <w:rFonts w:ascii="Arial" w:eastAsia="Times New Roman" w:hAnsi="Arial" w:cs="Arial"/>
                <w:color w:val="000000"/>
                <w:sz w:val="20"/>
                <w:szCs w:val="20"/>
              </w:rPr>
              <w:t xml:space="preserve"> (mmol/l)</w:t>
            </w:r>
          </w:p>
        </w:tc>
        <w:tc>
          <w:tcPr>
            <w:tcW w:w="886" w:type="pct"/>
            <w:tcBorders>
              <w:top w:val="nil"/>
              <w:left w:val="nil"/>
              <w:bottom w:val="nil"/>
              <w:right w:val="nil"/>
            </w:tcBorders>
            <w:shd w:val="clear" w:color="auto" w:fill="auto"/>
            <w:noWrap/>
            <w:vAlign w:val="center"/>
            <w:hideMark/>
          </w:tcPr>
          <w:p w14:paraId="7A813A8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 (2.7, 3.9)</w:t>
            </w:r>
          </w:p>
        </w:tc>
        <w:tc>
          <w:tcPr>
            <w:tcW w:w="887" w:type="pct"/>
            <w:tcBorders>
              <w:top w:val="nil"/>
              <w:left w:val="nil"/>
              <w:bottom w:val="nil"/>
              <w:right w:val="nil"/>
            </w:tcBorders>
            <w:shd w:val="clear" w:color="auto" w:fill="auto"/>
            <w:noWrap/>
            <w:vAlign w:val="center"/>
            <w:hideMark/>
          </w:tcPr>
          <w:p w14:paraId="4AB0078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 (2.8, 4.2)</w:t>
            </w:r>
          </w:p>
        </w:tc>
        <w:tc>
          <w:tcPr>
            <w:tcW w:w="886" w:type="pct"/>
            <w:tcBorders>
              <w:top w:val="nil"/>
              <w:left w:val="nil"/>
              <w:bottom w:val="nil"/>
              <w:right w:val="nil"/>
            </w:tcBorders>
            <w:shd w:val="clear" w:color="auto" w:fill="auto"/>
            <w:noWrap/>
            <w:vAlign w:val="center"/>
            <w:hideMark/>
          </w:tcPr>
          <w:p w14:paraId="5E1D3A2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3.3 (2.7, 4.0)</w:t>
            </w:r>
          </w:p>
        </w:tc>
        <w:tc>
          <w:tcPr>
            <w:tcW w:w="887" w:type="pct"/>
            <w:tcBorders>
              <w:top w:val="nil"/>
              <w:left w:val="nil"/>
              <w:bottom w:val="nil"/>
              <w:right w:val="nil"/>
            </w:tcBorders>
            <w:shd w:val="clear" w:color="auto" w:fill="auto"/>
            <w:noWrap/>
            <w:vAlign w:val="center"/>
            <w:hideMark/>
          </w:tcPr>
          <w:p w14:paraId="224BE26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3.4 (2.7, 4.0)</w:t>
            </w:r>
          </w:p>
        </w:tc>
      </w:tr>
      <w:tr w:rsidR="00DB4040" w14:paraId="545A001B" w14:textId="77777777">
        <w:trPr>
          <w:trHeight w:val="300"/>
        </w:trPr>
        <w:tc>
          <w:tcPr>
            <w:tcW w:w="1454" w:type="pct"/>
            <w:tcBorders>
              <w:top w:val="nil"/>
              <w:left w:val="nil"/>
              <w:bottom w:val="nil"/>
              <w:right w:val="nil"/>
            </w:tcBorders>
            <w:shd w:val="clear" w:color="auto" w:fill="auto"/>
            <w:noWrap/>
            <w:vAlign w:val="center"/>
            <w:hideMark/>
          </w:tcPr>
          <w:p w14:paraId="321E77A9"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lastRenderedPageBreak/>
              <w:t>HDL-</w:t>
            </w:r>
            <w:proofErr w:type="spellStart"/>
            <w:r>
              <w:rPr>
                <w:rFonts w:ascii="Arial" w:eastAsia="Times New Roman" w:hAnsi="Arial" w:cs="Arial"/>
                <w:color w:val="000000"/>
                <w:sz w:val="20"/>
                <w:szCs w:val="20"/>
              </w:rPr>
              <w:t>cholesterol</w:t>
            </w:r>
            <w:proofErr w:type="spellEnd"/>
            <w:r>
              <w:rPr>
                <w:rFonts w:ascii="Arial" w:eastAsia="Times New Roman" w:hAnsi="Arial" w:cs="Arial"/>
                <w:color w:val="000000"/>
                <w:sz w:val="20"/>
                <w:szCs w:val="20"/>
              </w:rPr>
              <w:t xml:space="preserve"> (mmol/l)</w:t>
            </w:r>
          </w:p>
        </w:tc>
        <w:tc>
          <w:tcPr>
            <w:tcW w:w="886" w:type="pct"/>
            <w:tcBorders>
              <w:top w:val="nil"/>
              <w:left w:val="nil"/>
              <w:bottom w:val="nil"/>
              <w:right w:val="nil"/>
            </w:tcBorders>
            <w:shd w:val="clear" w:color="auto" w:fill="auto"/>
            <w:noWrap/>
            <w:vAlign w:val="center"/>
            <w:hideMark/>
          </w:tcPr>
          <w:p w14:paraId="55E14D1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(1.2, 1.7)</w:t>
            </w:r>
          </w:p>
        </w:tc>
        <w:tc>
          <w:tcPr>
            <w:tcW w:w="887" w:type="pct"/>
            <w:tcBorders>
              <w:top w:val="nil"/>
              <w:left w:val="nil"/>
              <w:bottom w:val="nil"/>
              <w:right w:val="nil"/>
            </w:tcBorders>
            <w:shd w:val="clear" w:color="auto" w:fill="auto"/>
            <w:noWrap/>
            <w:vAlign w:val="center"/>
            <w:hideMark/>
          </w:tcPr>
          <w:p w14:paraId="3F58064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(1.1, 1.6)</w:t>
            </w:r>
          </w:p>
        </w:tc>
        <w:tc>
          <w:tcPr>
            <w:tcW w:w="886" w:type="pct"/>
            <w:tcBorders>
              <w:top w:val="nil"/>
              <w:left w:val="nil"/>
              <w:bottom w:val="nil"/>
              <w:right w:val="nil"/>
            </w:tcBorders>
            <w:shd w:val="clear" w:color="auto" w:fill="auto"/>
            <w:noWrap/>
            <w:vAlign w:val="center"/>
            <w:hideMark/>
          </w:tcPr>
          <w:p w14:paraId="2EF5F39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(1.2, 1.7)</w:t>
            </w:r>
          </w:p>
        </w:tc>
        <w:tc>
          <w:tcPr>
            <w:tcW w:w="887" w:type="pct"/>
            <w:tcBorders>
              <w:top w:val="nil"/>
              <w:left w:val="nil"/>
              <w:bottom w:val="nil"/>
              <w:right w:val="nil"/>
            </w:tcBorders>
            <w:shd w:val="clear" w:color="auto" w:fill="auto"/>
            <w:noWrap/>
            <w:vAlign w:val="center"/>
            <w:hideMark/>
          </w:tcPr>
          <w:p w14:paraId="2C8DBB5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 (1.1, 1.6)</w:t>
            </w:r>
          </w:p>
        </w:tc>
      </w:tr>
      <w:tr w:rsidR="00DB4040" w14:paraId="650C2338" w14:textId="77777777">
        <w:trPr>
          <w:trHeight w:val="300"/>
        </w:trPr>
        <w:tc>
          <w:tcPr>
            <w:tcW w:w="1454" w:type="pct"/>
            <w:tcBorders>
              <w:top w:val="nil"/>
              <w:left w:val="nil"/>
              <w:bottom w:val="nil"/>
              <w:right w:val="nil"/>
            </w:tcBorders>
            <w:shd w:val="clear" w:color="auto" w:fill="auto"/>
            <w:noWrap/>
            <w:vAlign w:val="center"/>
            <w:hideMark/>
          </w:tcPr>
          <w:p w14:paraId="1BC2E86C" w14:textId="029768B6"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Total </w:t>
            </w:r>
            <w:proofErr w:type="spellStart"/>
            <w:r>
              <w:rPr>
                <w:rFonts w:ascii="Arial" w:eastAsia="Times New Roman" w:hAnsi="Arial" w:cs="Arial"/>
                <w:color w:val="000000"/>
                <w:sz w:val="20"/>
                <w:szCs w:val="20"/>
              </w:rPr>
              <w:t>cholesterol</w:t>
            </w:r>
            <w:proofErr w:type="spellEnd"/>
            <w:r>
              <w:rPr>
                <w:rFonts w:ascii="Arial" w:eastAsia="Times New Roman" w:hAnsi="Arial" w:cs="Arial"/>
                <w:color w:val="000000"/>
                <w:sz w:val="20"/>
                <w:szCs w:val="20"/>
              </w:rPr>
              <w:t>/HDL-</w:t>
            </w:r>
            <w:proofErr w:type="spellStart"/>
            <w:r>
              <w:rPr>
                <w:rFonts w:ascii="Arial" w:eastAsia="Times New Roman" w:hAnsi="Arial" w:cs="Arial"/>
                <w:color w:val="000000"/>
                <w:sz w:val="20"/>
                <w:szCs w:val="20"/>
              </w:rPr>
              <w:t>cholesterol</w:t>
            </w:r>
            <w:proofErr w:type="spellEnd"/>
          </w:p>
        </w:tc>
        <w:tc>
          <w:tcPr>
            <w:tcW w:w="886" w:type="pct"/>
            <w:tcBorders>
              <w:top w:val="nil"/>
              <w:left w:val="nil"/>
              <w:bottom w:val="nil"/>
              <w:right w:val="nil"/>
            </w:tcBorders>
            <w:shd w:val="clear" w:color="auto" w:fill="auto"/>
            <w:noWrap/>
            <w:vAlign w:val="center"/>
            <w:hideMark/>
          </w:tcPr>
          <w:p w14:paraId="1F5B3E3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3.4 (2.8, 4.0)</w:t>
            </w:r>
          </w:p>
        </w:tc>
        <w:tc>
          <w:tcPr>
            <w:tcW w:w="887" w:type="pct"/>
            <w:tcBorders>
              <w:top w:val="nil"/>
              <w:left w:val="nil"/>
              <w:bottom w:val="nil"/>
              <w:right w:val="nil"/>
            </w:tcBorders>
            <w:shd w:val="clear" w:color="auto" w:fill="auto"/>
            <w:noWrap/>
            <w:vAlign w:val="center"/>
            <w:hideMark/>
          </w:tcPr>
          <w:p w14:paraId="0A6DB82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 (3.0, 4.3)</w:t>
            </w:r>
          </w:p>
        </w:tc>
        <w:tc>
          <w:tcPr>
            <w:tcW w:w="886" w:type="pct"/>
            <w:tcBorders>
              <w:top w:val="nil"/>
              <w:left w:val="nil"/>
              <w:bottom w:val="nil"/>
              <w:right w:val="nil"/>
            </w:tcBorders>
            <w:shd w:val="clear" w:color="auto" w:fill="auto"/>
            <w:noWrap/>
            <w:vAlign w:val="center"/>
            <w:hideMark/>
          </w:tcPr>
          <w:p w14:paraId="2E3EFF5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3.4 (2.8, 4.1)</w:t>
            </w:r>
          </w:p>
        </w:tc>
        <w:tc>
          <w:tcPr>
            <w:tcW w:w="887" w:type="pct"/>
            <w:tcBorders>
              <w:top w:val="nil"/>
              <w:left w:val="nil"/>
              <w:bottom w:val="nil"/>
              <w:right w:val="nil"/>
            </w:tcBorders>
            <w:shd w:val="clear" w:color="auto" w:fill="auto"/>
            <w:noWrap/>
            <w:vAlign w:val="center"/>
            <w:hideMark/>
          </w:tcPr>
          <w:p w14:paraId="41D6B5E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3.5 (3.0, 4.2)</w:t>
            </w:r>
          </w:p>
        </w:tc>
      </w:tr>
      <w:tr w:rsidR="00DB4040" w14:paraId="08C8F716" w14:textId="77777777">
        <w:trPr>
          <w:trHeight w:val="300"/>
        </w:trPr>
        <w:tc>
          <w:tcPr>
            <w:tcW w:w="1454" w:type="pct"/>
            <w:tcBorders>
              <w:top w:val="nil"/>
              <w:left w:val="nil"/>
              <w:bottom w:val="nil"/>
              <w:right w:val="nil"/>
            </w:tcBorders>
            <w:shd w:val="clear" w:color="auto" w:fill="auto"/>
            <w:noWrap/>
            <w:vAlign w:val="center"/>
            <w:hideMark/>
          </w:tcPr>
          <w:p w14:paraId="1DB01B2D"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Triglycerides</w:t>
            </w:r>
            <w:proofErr w:type="spellEnd"/>
            <w:r>
              <w:rPr>
                <w:rFonts w:ascii="Arial" w:eastAsia="Times New Roman" w:hAnsi="Arial" w:cs="Arial"/>
                <w:color w:val="000000"/>
                <w:sz w:val="20"/>
                <w:szCs w:val="20"/>
              </w:rPr>
              <w:t xml:space="preserve"> (mmol/l)</w:t>
            </w:r>
          </w:p>
        </w:tc>
        <w:tc>
          <w:tcPr>
            <w:tcW w:w="886" w:type="pct"/>
            <w:tcBorders>
              <w:top w:val="nil"/>
              <w:left w:val="nil"/>
              <w:bottom w:val="nil"/>
              <w:right w:val="nil"/>
            </w:tcBorders>
            <w:shd w:val="clear" w:color="auto" w:fill="auto"/>
            <w:noWrap/>
            <w:vAlign w:val="center"/>
            <w:hideMark/>
          </w:tcPr>
          <w:p w14:paraId="080F3C2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 (1.0, 2.3)</w:t>
            </w:r>
          </w:p>
        </w:tc>
        <w:tc>
          <w:tcPr>
            <w:tcW w:w="887" w:type="pct"/>
            <w:tcBorders>
              <w:top w:val="nil"/>
              <w:left w:val="nil"/>
              <w:bottom w:val="nil"/>
              <w:right w:val="nil"/>
            </w:tcBorders>
            <w:shd w:val="clear" w:color="auto" w:fill="auto"/>
            <w:noWrap/>
            <w:vAlign w:val="center"/>
            <w:hideMark/>
          </w:tcPr>
          <w:p w14:paraId="4B84785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1.8 (1.3, 2.6)</w:t>
            </w:r>
          </w:p>
        </w:tc>
        <w:tc>
          <w:tcPr>
            <w:tcW w:w="886" w:type="pct"/>
            <w:tcBorders>
              <w:top w:val="nil"/>
              <w:left w:val="nil"/>
              <w:bottom w:val="nil"/>
              <w:right w:val="nil"/>
            </w:tcBorders>
            <w:shd w:val="clear" w:color="auto" w:fill="auto"/>
            <w:noWrap/>
            <w:vAlign w:val="center"/>
            <w:hideMark/>
          </w:tcPr>
          <w:p w14:paraId="3409945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(0.9, 2.0)</w:t>
            </w:r>
          </w:p>
        </w:tc>
        <w:tc>
          <w:tcPr>
            <w:tcW w:w="887" w:type="pct"/>
            <w:tcBorders>
              <w:top w:val="nil"/>
              <w:left w:val="nil"/>
              <w:bottom w:val="nil"/>
              <w:right w:val="nil"/>
            </w:tcBorders>
            <w:shd w:val="clear" w:color="auto" w:fill="auto"/>
            <w:noWrap/>
            <w:vAlign w:val="center"/>
            <w:hideMark/>
          </w:tcPr>
          <w:p w14:paraId="6E8BEB26"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 (1.3, 2.6)</w:t>
            </w:r>
          </w:p>
        </w:tc>
      </w:tr>
      <w:tr w:rsidR="00DB4040" w14:paraId="41ABDEE8" w14:textId="77777777">
        <w:trPr>
          <w:trHeight w:val="300"/>
        </w:trPr>
        <w:tc>
          <w:tcPr>
            <w:tcW w:w="1454" w:type="pct"/>
            <w:tcBorders>
              <w:top w:val="nil"/>
              <w:left w:val="nil"/>
              <w:bottom w:val="nil"/>
              <w:right w:val="nil"/>
            </w:tcBorders>
            <w:shd w:val="clear" w:color="auto" w:fill="auto"/>
            <w:noWrap/>
            <w:vAlign w:val="center"/>
            <w:hideMark/>
          </w:tcPr>
          <w:p w14:paraId="20BBB839"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Glycated</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hemoglobin</w:t>
            </w:r>
            <w:proofErr w:type="spellEnd"/>
            <w:r>
              <w:rPr>
                <w:rFonts w:ascii="Arial" w:eastAsia="Times New Roman" w:hAnsi="Arial" w:cs="Arial"/>
                <w:color w:val="000000"/>
                <w:sz w:val="20"/>
                <w:szCs w:val="20"/>
              </w:rPr>
              <w:t xml:space="preserve"> (%)</w:t>
            </w:r>
          </w:p>
        </w:tc>
        <w:tc>
          <w:tcPr>
            <w:tcW w:w="886" w:type="pct"/>
            <w:tcBorders>
              <w:top w:val="nil"/>
              <w:left w:val="nil"/>
              <w:bottom w:val="nil"/>
              <w:right w:val="nil"/>
            </w:tcBorders>
            <w:shd w:val="clear" w:color="auto" w:fill="auto"/>
            <w:noWrap/>
            <w:vAlign w:val="center"/>
            <w:hideMark/>
          </w:tcPr>
          <w:p w14:paraId="5C972325"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5.3 (5.0, 5.7)</w:t>
            </w:r>
          </w:p>
        </w:tc>
        <w:tc>
          <w:tcPr>
            <w:tcW w:w="887" w:type="pct"/>
            <w:tcBorders>
              <w:top w:val="nil"/>
              <w:left w:val="nil"/>
              <w:bottom w:val="nil"/>
              <w:right w:val="nil"/>
            </w:tcBorders>
            <w:shd w:val="clear" w:color="auto" w:fill="auto"/>
            <w:noWrap/>
            <w:vAlign w:val="center"/>
            <w:hideMark/>
          </w:tcPr>
          <w:p w14:paraId="2D2C246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5.6 (5.1, 5.9)</w:t>
            </w:r>
          </w:p>
        </w:tc>
        <w:tc>
          <w:tcPr>
            <w:tcW w:w="886" w:type="pct"/>
            <w:tcBorders>
              <w:top w:val="nil"/>
              <w:left w:val="nil"/>
              <w:bottom w:val="nil"/>
              <w:right w:val="nil"/>
            </w:tcBorders>
            <w:shd w:val="clear" w:color="auto" w:fill="auto"/>
            <w:noWrap/>
            <w:vAlign w:val="center"/>
            <w:hideMark/>
          </w:tcPr>
          <w:p w14:paraId="117C39D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5.2 (4.9, 5.6)</w:t>
            </w:r>
          </w:p>
        </w:tc>
        <w:tc>
          <w:tcPr>
            <w:tcW w:w="887" w:type="pct"/>
            <w:tcBorders>
              <w:top w:val="nil"/>
              <w:left w:val="nil"/>
              <w:bottom w:val="nil"/>
              <w:right w:val="nil"/>
            </w:tcBorders>
            <w:shd w:val="clear" w:color="auto" w:fill="auto"/>
            <w:noWrap/>
            <w:vAlign w:val="center"/>
            <w:hideMark/>
          </w:tcPr>
          <w:p w14:paraId="65C49598"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5.5 (5.2, 6.0)</w:t>
            </w:r>
          </w:p>
        </w:tc>
      </w:tr>
      <w:tr w:rsidR="00DB4040" w14:paraId="09DDC797" w14:textId="77777777">
        <w:trPr>
          <w:trHeight w:val="300"/>
        </w:trPr>
        <w:tc>
          <w:tcPr>
            <w:tcW w:w="1454" w:type="pct"/>
            <w:tcBorders>
              <w:top w:val="nil"/>
              <w:left w:val="nil"/>
              <w:bottom w:val="nil"/>
              <w:right w:val="nil"/>
            </w:tcBorders>
            <w:shd w:val="clear" w:color="auto" w:fill="auto"/>
            <w:noWrap/>
            <w:vAlign w:val="center"/>
            <w:hideMark/>
          </w:tcPr>
          <w:p w14:paraId="79933954"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Anticholinergics</w:t>
            </w:r>
            <w:proofErr w:type="spellEnd"/>
            <w:r>
              <w:rPr>
                <w:rFonts w:ascii="Arial" w:eastAsia="Times New Roman" w:hAnsi="Arial" w:cs="Arial"/>
                <w:color w:val="000000"/>
                <w:sz w:val="20"/>
                <w:szCs w:val="20"/>
              </w:rPr>
              <w:t xml:space="preserve"> (n, %)</w:t>
            </w:r>
          </w:p>
        </w:tc>
        <w:tc>
          <w:tcPr>
            <w:tcW w:w="886" w:type="pct"/>
            <w:tcBorders>
              <w:top w:val="nil"/>
              <w:left w:val="nil"/>
              <w:bottom w:val="nil"/>
              <w:right w:val="nil"/>
            </w:tcBorders>
            <w:shd w:val="clear" w:color="auto" w:fill="auto"/>
            <w:noWrap/>
            <w:vAlign w:val="center"/>
            <w:hideMark/>
          </w:tcPr>
          <w:p w14:paraId="200B3D8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36 (2.5)</w:t>
            </w:r>
          </w:p>
        </w:tc>
        <w:tc>
          <w:tcPr>
            <w:tcW w:w="887" w:type="pct"/>
            <w:tcBorders>
              <w:top w:val="nil"/>
              <w:left w:val="nil"/>
              <w:bottom w:val="nil"/>
              <w:right w:val="nil"/>
            </w:tcBorders>
            <w:shd w:val="clear" w:color="auto" w:fill="auto"/>
            <w:noWrap/>
            <w:vAlign w:val="center"/>
            <w:hideMark/>
          </w:tcPr>
          <w:p w14:paraId="6A455C1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(10.7)</w:t>
            </w:r>
          </w:p>
        </w:tc>
        <w:tc>
          <w:tcPr>
            <w:tcW w:w="886" w:type="pct"/>
            <w:tcBorders>
              <w:top w:val="nil"/>
              <w:left w:val="nil"/>
              <w:bottom w:val="nil"/>
              <w:right w:val="nil"/>
            </w:tcBorders>
            <w:shd w:val="clear" w:color="auto" w:fill="auto"/>
            <w:noWrap/>
            <w:vAlign w:val="center"/>
            <w:hideMark/>
          </w:tcPr>
          <w:p w14:paraId="01EB6AC1"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81 (2.1)</w:t>
            </w:r>
          </w:p>
        </w:tc>
        <w:tc>
          <w:tcPr>
            <w:tcW w:w="887" w:type="pct"/>
            <w:tcBorders>
              <w:top w:val="nil"/>
              <w:left w:val="nil"/>
              <w:bottom w:val="nil"/>
              <w:right w:val="nil"/>
            </w:tcBorders>
            <w:shd w:val="clear" w:color="auto" w:fill="auto"/>
            <w:noWrap/>
            <w:vAlign w:val="center"/>
            <w:hideMark/>
          </w:tcPr>
          <w:p w14:paraId="3F6B13A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 (4.5)</w:t>
            </w:r>
          </w:p>
        </w:tc>
      </w:tr>
      <w:tr w:rsidR="00DB4040" w14:paraId="60D6205F" w14:textId="77777777">
        <w:trPr>
          <w:trHeight w:val="300"/>
        </w:trPr>
        <w:tc>
          <w:tcPr>
            <w:tcW w:w="1454" w:type="pct"/>
            <w:tcBorders>
              <w:top w:val="nil"/>
              <w:left w:val="nil"/>
              <w:bottom w:val="nil"/>
              <w:right w:val="nil"/>
            </w:tcBorders>
            <w:shd w:val="clear" w:color="auto" w:fill="auto"/>
            <w:noWrap/>
            <w:vAlign w:val="center"/>
            <w:hideMark/>
          </w:tcPr>
          <w:p w14:paraId="1C3E8EC6"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Antidepressants</w:t>
            </w:r>
            <w:proofErr w:type="spellEnd"/>
            <w:r>
              <w:rPr>
                <w:rFonts w:ascii="Arial" w:eastAsia="Times New Roman" w:hAnsi="Arial" w:cs="Arial"/>
                <w:color w:val="000000"/>
                <w:sz w:val="20"/>
                <w:szCs w:val="20"/>
              </w:rPr>
              <w:t xml:space="preserve"> (n, %)</w:t>
            </w:r>
          </w:p>
        </w:tc>
        <w:tc>
          <w:tcPr>
            <w:tcW w:w="886" w:type="pct"/>
            <w:tcBorders>
              <w:top w:val="nil"/>
              <w:left w:val="nil"/>
              <w:bottom w:val="nil"/>
              <w:right w:val="nil"/>
            </w:tcBorders>
            <w:shd w:val="clear" w:color="auto" w:fill="auto"/>
            <w:noWrap/>
            <w:vAlign w:val="center"/>
            <w:hideMark/>
          </w:tcPr>
          <w:p w14:paraId="26F80E22"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62 (4.3)</w:t>
            </w:r>
          </w:p>
        </w:tc>
        <w:tc>
          <w:tcPr>
            <w:tcW w:w="887" w:type="pct"/>
            <w:tcBorders>
              <w:top w:val="nil"/>
              <w:left w:val="nil"/>
              <w:bottom w:val="nil"/>
              <w:right w:val="nil"/>
            </w:tcBorders>
            <w:shd w:val="clear" w:color="auto" w:fill="auto"/>
            <w:noWrap/>
            <w:vAlign w:val="center"/>
            <w:hideMark/>
          </w:tcPr>
          <w:p w14:paraId="1542FDC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14 (10.7)</w:t>
            </w:r>
          </w:p>
        </w:tc>
        <w:tc>
          <w:tcPr>
            <w:tcW w:w="886" w:type="pct"/>
            <w:tcBorders>
              <w:top w:val="nil"/>
              <w:left w:val="nil"/>
              <w:bottom w:val="nil"/>
              <w:right w:val="nil"/>
            </w:tcBorders>
            <w:shd w:val="clear" w:color="auto" w:fill="auto"/>
            <w:noWrap/>
            <w:vAlign w:val="center"/>
            <w:hideMark/>
          </w:tcPr>
          <w:p w14:paraId="460E837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171 (4.4)</w:t>
            </w:r>
          </w:p>
        </w:tc>
        <w:tc>
          <w:tcPr>
            <w:tcW w:w="887" w:type="pct"/>
            <w:tcBorders>
              <w:top w:val="nil"/>
              <w:left w:val="nil"/>
              <w:bottom w:val="nil"/>
              <w:right w:val="nil"/>
            </w:tcBorders>
            <w:shd w:val="clear" w:color="auto" w:fill="auto"/>
            <w:noWrap/>
            <w:vAlign w:val="center"/>
            <w:hideMark/>
          </w:tcPr>
          <w:p w14:paraId="35D5A98C"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32 (11.1)</w:t>
            </w:r>
          </w:p>
        </w:tc>
      </w:tr>
      <w:tr w:rsidR="00DB4040" w14:paraId="28C63A74" w14:textId="77777777">
        <w:trPr>
          <w:trHeight w:val="300"/>
        </w:trPr>
        <w:tc>
          <w:tcPr>
            <w:tcW w:w="1454" w:type="pct"/>
            <w:tcBorders>
              <w:top w:val="nil"/>
              <w:left w:val="nil"/>
              <w:bottom w:val="nil"/>
              <w:right w:val="nil"/>
            </w:tcBorders>
            <w:shd w:val="clear" w:color="auto" w:fill="auto"/>
            <w:noWrap/>
            <w:vAlign w:val="center"/>
            <w:hideMark/>
          </w:tcPr>
          <w:p w14:paraId="11A4C56A"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Antidiabetic</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medication</w:t>
            </w:r>
            <w:proofErr w:type="spellEnd"/>
            <w:r>
              <w:rPr>
                <w:rFonts w:ascii="Arial" w:eastAsia="Times New Roman" w:hAnsi="Arial" w:cs="Arial"/>
                <w:color w:val="000000"/>
                <w:sz w:val="20"/>
                <w:szCs w:val="20"/>
              </w:rPr>
              <w:t xml:space="preserve"> (n, %)</w:t>
            </w:r>
          </w:p>
        </w:tc>
        <w:tc>
          <w:tcPr>
            <w:tcW w:w="886" w:type="pct"/>
            <w:tcBorders>
              <w:top w:val="nil"/>
              <w:left w:val="nil"/>
              <w:bottom w:val="nil"/>
              <w:right w:val="nil"/>
            </w:tcBorders>
            <w:shd w:val="clear" w:color="auto" w:fill="auto"/>
            <w:noWrap/>
            <w:vAlign w:val="center"/>
            <w:hideMark/>
          </w:tcPr>
          <w:p w14:paraId="7936325F"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110 (7.7)</w:t>
            </w:r>
          </w:p>
        </w:tc>
        <w:tc>
          <w:tcPr>
            <w:tcW w:w="887" w:type="pct"/>
            <w:tcBorders>
              <w:top w:val="nil"/>
              <w:left w:val="nil"/>
              <w:bottom w:val="nil"/>
              <w:right w:val="nil"/>
            </w:tcBorders>
            <w:shd w:val="clear" w:color="auto" w:fill="auto"/>
            <w:noWrap/>
            <w:vAlign w:val="center"/>
            <w:hideMark/>
          </w:tcPr>
          <w:p w14:paraId="2F374F90"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16 (12.2)</w:t>
            </w:r>
          </w:p>
        </w:tc>
        <w:tc>
          <w:tcPr>
            <w:tcW w:w="886" w:type="pct"/>
            <w:tcBorders>
              <w:top w:val="nil"/>
              <w:left w:val="nil"/>
              <w:bottom w:val="nil"/>
              <w:right w:val="nil"/>
            </w:tcBorders>
            <w:shd w:val="clear" w:color="auto" w:fill="auto"/>
            <w:noWrap/>
            <w:vAlign w:val="center"/>
            <w:hideMark/>
          </w:tcPr>
          <w:p w14:paraId="77F4144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266 (6.9)</w:t>
            </w:r>
          </w:p>
        </w:tc>
        <w:tc>
          <w:tcPr>
            <w:tcW w:w="887" w:type="pct"/>
            <w:tcBorders>
              <w:top w:val="nil"/>
              <w:left w:val="nil"/>
              <w:bottom w:val="nil"/>
              <w:right w:val="nil"/>
            </w:tcBorders>
            <w:shd w:val="clear" w:color="auto" w:fill="auto"/>
            <w:noWrap/>
            <w:vAlign w:val="center"/>
            <w:hideMark/>
          </w:tcPr>
          <w:p w14:paraId="69BA3D15"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44 (15.3)</w:t>
            </w:r>
          </w:p>
        </w:tc>
      </w:tr>
      <w:tr w:rsidR="00DB4040" w14:paraId="31DAA109" w14:textId="77777777">
        <w:trPr>
          <w:trHeight w:val="300"/>
        </w:trPr>
        <w:tc>
          <w:tcPr>
            <w:tcW w:w="1454" w:type="pct"/>
            <w:tcBorders>
              <w:top w:val="nil"/>
              <w:left w:val="nil"/>
              <w:bottom w:val="nil"/>
              <w:right w:val="nil"/>
            </w:tcBorders>
            <w:shd w:val="clear" w:color="auto" w:fill="auto"/>
            <w:noWrap/>
            <w:vAlign w:val="center"/>
            <w:hideMark/>
          </w:tcPr>
          <w:p w14:paraId="57BD363A" w14:textId="77777777" w:rsidR="00DB4040" w:rsidRDefault="00762861">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 xml:space="preserve">Anti-HTN </w:t>
            </w:r>
            <w:proofErr w:type="spellStart"/>
            <w:r>
              <w:rPr>
                <w:rFonts w:ascii="Arial" w:eastAsia="Times New Roman" w:hAnsi="Arial" w:cs="Arial"/>
                <w:color w:val="000000"/>
                <w:sz w:val="20"/>
                <w:szCs w:val="20"/>
              </w:rPr>
              <w:t>medication</w:t>
            </w:r>
            <w:proofErr w:type="spellEnd"/>
            <w:r>
              <w:rPr>
                <w:rFonts w:ascii="Arial" w:eastAsia="Times New Roman" w:hAnsi="Arial" w:cs="Arial"/>
                <w:color w:val="000000"/>
                <w:sz w:val="20"/>
                <w:szCs w:val="20"/>
              </w:rPr>
              <w:t xml:space="preserve"> (n, %)</w:t>
            </w:r>
          </w:p>
        </w:tc>
        <w:tc>
          <w:tcPr>
            <w:tcW w:w="886" w:type="pct"/>
            <w:tcBorders>
              <w:top w:val="nil"/>
              <w:left w:val="nil"/>
              <w:bottom w:val="nil"/>
              <w:right w:val="nil"/>
            </w:tcBorders>
            <w:shd w:val="clear" w:color="auto" w:fill="auto"/>
            <w:noWrap/>
            <w:vAlign w:val="center"/>
            <w:hideMark/>
          </w:tcPr>
          <w:p w14:paraId="10D630D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600 (41.7)</w:t>
            </w:r>
          </w:p>
        </w:tc>
        <w:tc>
          <w:tcPr>
            <w:tcW w:w="887" w:type="pct"/>
            <w:tcBorders>
              <w:top w:val="nil"/>
              <w:left w:val="nil"/>
              <w:bottom w:val="nil"/>
              <w:right w:val="nil"/>
            </w:tcBorders>
            <w:shd w:val="clear" w:color="auto" w:fill="auto"/>
            <w:noWrap/>
            <w:vAlign w:val="center"/>
            <w:hideMark/>
          </w:tcPr>
          <w:p w14:paraId="041CF69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89 (67.9)</w:t>
            </w:r>
          </w:p>
        </w:tc>
        <w:tc>
          <w:tcPr>
            <w:tcW w:w="886" w:type="pct"/>
            <w:tcBorders>
              <w:top w:val="nil"/>
              <w:left w:val="nil"/>
              <w:bottom w:val="nil"/>
              <w:right w:val="nil"/>
            </w:tcBorders>
            <w:shd w:val="clear" w:color="auto" w:fill="auto"/>
            <w:noWrap/>
            <w:vAlign w:val="center"/>
            <w:hideMark/>
          </w:tcPr>
          <w:p w14:paraId="662D8939"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1361 (35.3)</w:t>
            </w:r>
          </w:p>
        </w:tc>
        <w:tc>
          <w:tcPr>
            <w:tcW w:w="887" w:type="pct"/>
            <w:tcBorders>
              <w:top w:val="nil"/>
              <w:left w:val="nil"/>
              <w:bottom w:val="nil"/>
              <w:right w:val="nil"/>
            </w:tcBorders>
            <w:shd w:val="clear" w:color="auto" w:fill="auto"/>
            <w:noWrap/>
            <w:vAlign w:val="center"/>
            <w:hideMark/>
          </w:tcPr>
          <w:p w14:paraId="7BF645A4"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210 (73.2)</w:t>
            </w:r>
          </w:p>
        </w:tc>
      </w:tr>
      <w:tr w:rsidR="00DB4040" w14:paraId="6A505AF5" w14:textId="77777777">
        <w:trPr>
          <w:trHeight w:val="300"/>
        </w:trPr>
        <w:tc>
          <w:tcPr>
            <w:tcW w:w="1454" w:type="pct"/>
            <w:tcBorders>
              <w:top w:val="nil"/>
              <w:left w:val="nil"/>
              <w:right w:val="nil"/>
            </w:tcBorders>
            <w:shd w:val="clear" w:color="auto" w:fill="auto"/>
            <w:noWrap/>
            <w:vAlign w:val="center"/>
            <w:hideMark/>
          </w:tcPr>
          <w:p w14:paraId="2B60A4DF"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Antiinflammatory</w:t>
            </w:r>
            <w:proofErr w:type="spellEnd"/>
            <w:r>
              <w:rPr>
                <w:rFonts w:ascii="Arial" w:eastAsia="Times New Roman" w:hAnsi="Arial" w:cs="Arial"/>
                <w:color w:val="000000"/>
                <w:sz w:val="20"/>
                <w:szCs w:val="20"/>
              </w:rPr>
              <w:t xml:space="preserve"> </w:t>
            </w:r>
            <w:proofErr w:type="spellStart"/>
            <w:r>
              <w:rPr>
                <w:rFonts w:ascii="Arial" w:eastAsia="Times New Roman" w:hAnsi="Arial" w:cs="Arial"/>
                <w:color w:val="000000"/>
                <w:sz w:val="20"/>
                <w:szCs w:val="20"/>
              </w:rPr>
              <w:t>medication</w:t>
            </w:r>
            <w:proofErr w:type="spellEnd"/>
            <w:r>
              <w:rPr>
                <w:rFonts w:ascii="Arial" w:eastAsia="Times New Roman" w:hAnsi="Arial" w:cs="Arial"/>
                <w:color w:val="000000"/>
                <w:sz w:val="20"/>
                <w:szCs w:val="20"/>
              </w:rPr>
              <w:t xml:space="preserve"> (n, %)</w:t>
            </w:r>
          </w:p>
        </w:tc>
        <w:tc>
          <w:tcPr>
            <w:tcW w:w="886" w:type="pct"/>
            <w:tcBorders>
              <w:top w:val="nil"/>
              <w:left w:val="nil"/>
              <w:right w:val="nil"/>
            </w:tcBorders>
            <w:shd w:val="clear" w:color="auto" w:fill="auto"/>
            <w:noWrap/>
            <w:vAlign w:val="center"/>
            <w:hideMark/>
          </w:tcPr>
          <w:p w14:paraId="35A1C73E"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213 (14.8)</w:t>
            </w:r>
          </w:p>
        </w:tc>
        <w:tc>
          <w:tcPr>
            <w:tcW w:w="887" w:type="pct"/>
            <w:tcBorders>
              <w:top w:val="nil"/>
              <w:left w:val="nil"/>
              <w:right w:val="nil"/>
            </w:tcBorders>
            <w:shd w:val="clear" w:color="auto" w:fill="auto"/>
            <w:noWrap/>
            <w:vAlign w:val="center"/>
            <w:hideMark/>
          </w:tcPr>
          <w:p w14:paraId="1A657343"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46 (35.1)</w:t>
            </w:r>
          </w:p>
        </w:tc>
        <w:tc>
          <w:tcPr>
            <w:tcW w:w="886" w:type="pct"/>
            <w:tcBorders>
              <w:top w:val="nil"/>
              <w:left w:val="nil"/>
              <w:right w:val="nil"/>
            </w:tcBorders>
            <w:shd w:val="clear" w:color="auto" w:fill="auto"/>
            <w:noWrap/>
            <w:vAlign w:val="center"/>
            <w:hideMark/>
          </w:tcPr>
          <w:p w14:paraId="41038DBB"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472 (12.2)</w:t>
            </w:r>
          </w:p>
        </w:tc>
        <w:tc>
          <w:tcPr>
            <w:tcW w:w="887" w:type="pct"/>
            <w:tcBorders>
              <w:top w:val="nil"/>
              <w:left w:val="nil"/>
              <w:right w:val="nil"/>
            </w:tcBorders>
            <w:shd w:val="clear" w:color="auto" w:fill="auto"/>
            <w:noWrap/>
            <w:vAlign w:val="center"/>
            <w:hideMark/>
          </w:tcPr>
          <w:p w14:paraId="40612835"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101 (35.2)</w:t>
            </w:r>
          </w:p>
        </w:tc>
      </w:tr>
      <w:tr w:rsidR="00DB4040" w14:paraId="182975CF" w14:textId="77777777">
        <w:trPr>
          <w:trHeight w:val="300"/>
        </w:trPr>
        <w:tc>
          <w:tcPr>
            <w:tcW w:w="1454" w:type="pct"/>
            <w:tcBorders>
              <w:top w:val="nil"/>
              <w:left w:val="nil"/>
              <w:bottom w:val="single" w:sz="12" w:space="0" w:color="auto"/>
              <w:right w:val="nil"/>
            </w:tcBorders>
            <w:shd w:val="clear" w:color="auto" w:fill="auto"/>
            <w:noWrap/>
            <w:vAlign w:val="center"/>
            <w:hideMark/>
          </w:tcPr>
          <w:p w14:paraId="27BE63D0" w14:textId="77777777" w:rsidR="00DB4040" w:rsidRDefault="00762861">
            <w:pPr>
              <w:spacing w:after="0" w:line="240" w:lineRule="auto"/>
              <w:rPr>
                <w:rFonts w:ascii="Arial" w:eastAsia="Times New Roman" w:hAnsi="Arial" w:cs="Arial"/>
                <w:color w:val="000000"/>
                <w:sz w:val="20"/>
                <w:szCs w:val="20"/>
              </w:rPr>
            </w:pPr>
            <w:proofErr w:type="spellStart"/>
            <w:r>
              <w:rPr>
                <w:rFonts w:ascii="Arial" w:eastAsia="Times New Roman" w:hAnsi="Arial" w:cs="Arial"/>
                <w:color w:val="000000"/>
                <w:sz w:val="20"/>
                <w:szCs w:val="20"/>
              </w:rPr>
              <w:t>Statins</w:t>
            </w:r>
            <w:proofErr w:type="spellEnd"/>
            <w:r>
              <w:rPr>
                <w:rFonts w:ascii="Arial" w:eastAsia="Times New Roman" w:hAnsi="Arial" w:cs="Arial"/>
                <w:color w:val="000000"/>
                <w:sz w:val="20"/>
                <w:szCs w:val="20"/>
              </w:rPr>
              <w:t xml:space="preserve"> (n, %)</w:t>
            </w:r>
          </w:p>
        </w:tc>
        <w:tc>
          <w:tcPr>
            <w:tcW w:w="886" w:type="pct"/>
            <w:tcBorders>
              <w:top w:val="nil"/>
              <w:left w:val="nil"/>
              <w:bottom w:val="single" w:sz="12" w:space="0" w:color="auto"/>
              <w:right w:val="nil"/>
            </w:tcBorders>
            <w:shd w:val="clear" w:color="auto" w:fill="auto"/>
            <w:noWrap/>
            <w:vAlign w:val="center"/>
            <w:hideMark/>
          </w:tcPr>
          <w:p w14:paraId="4E07F13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202 (14.0)</w:t>
            </w:r>
          </w:p>
        </w:tc>
        <w:tc>
          <w:tcPr>
            <w:tcW w:w="887" w:type="pct"/>
            <w:tcBorders>
              <w:top w:val="nil"/>
              <w:left w:val="nil"/>
              <w:bottom w:val="single" w:sz="12" w:space="0" w:color="auto"/>
              <w:right w:val="nil"/>
            </w:tcBorders>
            <w:shd w:val="clear" w:color="auto" w:fill="auto"/>
            <w:noWrap/>
            <w:vAlign w:val="center"/>
            <w:hideMark/>
          </w:tcPr>
          <w:p w14:paraId="21BE805D"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48 (36.6)</w:t>
            </w:r>
          </w:p>
        </w:tc>
        <w:tc>
          <w:tcPr>
            <w:tcW w:w="886" w:type="pct"/>
            <w:tcBorders>
              <w:top w:val="nil"/>
              <w:left w:val="nil"/>
              <w:bottom w:val="single" w:sz="12" w:space="0" w:color="auto"/>
              <w:right w:val="nil"/>
            </w:tcBorders>
            <w:shd w:val="clear" w:color="auto" w:fill="auto"/>
            <w:noWrap/>
            <w:vAlign w:val="center"/>
            <w:hideMark/>
          </w:tcPr>
          <w:p w14:paraId="244F230A"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445 (11.5)</w:t>
            </w:r>
          </w:p>
        </w:tc>
        <w:tc>
          <w:tcPr>
            <w:tcW w:w="887" w:type="pct"/>
            <w:tcBorders>
              <w:top w:val="nil"/>
              <w:left w:val="nil"/>
              <w:bottom w:val="single" w:sz="12" w:space="0" w:color="auto"/>
              <w:right w:val="nil"/>
            </w:tcBorders>
            <w:shd w:val="clear" w:color="auto" w:fill="auto"/>
            <w:noWrap/>
            <w:vAlign w:val="center"/>
            <w:hideMark/>
          </w:tcPr>
          <w:p w14:paraId="0AFFF367" w14:textId="77777777" w:rsidR="00DB4040" w:rsidRDefault="00762861">
            <w:pPr>
              <w:spacing w:after="0" w:line="240" w:lineRule="auto"/>
              <w:jc w:val="center"/>
              <w:rPr>
                <w:rFonts w:ascii="Arial" w:eastAsia="Times New Roman" w:hAnsi="Arial" w:cs="Arial"/>
                <w:color w:val="000000"/>
                <w:sz w:val="20"/>
                <w:szCs w:val="20"/>
              </w:rPr>
            </w:pPr>
            <w:r>
              <w:rPr>
                <w:rFonts w:ascii="Arial" w:eastAsia="Times New Roman" w:hAnsi="Arial" w:cs="Arial"/>
                <w:color w:val="000000"/>
                <w:sz w:val="20"/>
                <w:szCs w:val="20"/>
              </w:rPr>
              <w:t>81 (28.2)</w:t>
            </w:r>
          </w:p>
        </w:tc>
      </w:tr>
    </w:tbl>
    <w:p w14:paraId="0999534E" w14:textId="77777777" w:rsidR="00DB4040" w:rsidRDefault="00762861">
      <w:pPr>
        <w:rPr>
          <w:rFonts w:ascii="Arial" w:hAnsi="Arial" w:cs="Arial"/>
          <w:sz w:val="18"/>
          <w:szCs w:val="18"/>
          <w:lang w:val="en-US"/>
        </w:rPr>
      </w:pPr>
      <w:r>
        <w:rPr>
          <w:rFonts w:ascii="Arial" w:hAnsi="Arial" w:cs="Arial"/>
          <w:sz w:val="18"/>
          <w:szCs w:val="18"/>
          <w:lang w:val="en-US"/>
        </w:rPr>
        <w:t>Data are medians (25th, 75th percentile) or n (percentages).</w:t>
      </w:r>
    </w:p>
    <w:p w14:paraId="5A1D874A" w14:textId="77777777" w:rsidR="00DB4040" w:rsidRDefault="00762861">
      <w:pPr>
        <w:spacing w:after="0" w:line="360" w:lineRule="auto"/>
        <w:jc w:val="both"/>
        <w:rPr>
          <w:rFonts w:ascii="Arial" w:hAnsi="Arial" w:cs="Arial"/>
          <w:sz w:val="18"/>
          <w:szCs w:val="18"/>
          <w:lang w:val="en-US"/>
        </w:rPr>
      </w:pPr>
      <w:r>
        <w:rPr>
          <w:rFonts w:ascii="Arial" w:hAnsi="Arial" w:cs="Arial"/>
          <w:sz w:val="18"/>
          <w:szCs w:val="18"/>
          <w:lang w:val="en-US"/>
        </w:rPr>
        <w:t xml:space="preserve">PPI use </w:t>
      </w:r>
      <w:proofErr w:type="gramStart"/>
      <w:r>
        <w:rPr>
          <w:rFonts w:ascii="Arial" w:hAnsi="Arial" w:cs="Arial"/>
          <w:sz w:val="18"/>
          <w:szCs w:val="18"/>
          <w:lang w:val="en-US"/>
        </w:rPr>
        <w:t>was defined</w:t>
      </w:r>
      <w:proofErr w:type="gramEnd"/>
      <w:r>
        <w:rPr>
          <w:rFonts w:ascii="Arial" w:hAnsi="Arial" w:cs="Arial"/>
          <w:sz w:val="18"/>
          <w:szCs w:val="18"/>
          <w:lang w:val="en-US"/>
        </w:rPr>
        <w:t xml:space="preserve"> as only ‘regular use’. VLMT, Verbal learning and memory test; NAI, Nuremberg Age Inventory; LDL, low-density-lipoprotein HDL, high-density lipoprotein </w:t>
      </w:r>
    </w:p>
    <w:p w14:paraId="3536294F" w14:textId="77777777" w:rsidR="00A265DF" w:rsidRDefault="00762861" w:rsidP="00E2570B">
      <w:pPr>
        <w:spacing w:after="0" w:line="360" w:lineRule="auto"/>
        <w:jc w:val="both"/>
        <w:rPr>
          <w:rFonts w:ascii="Arial" w:hAnsi="Arial" w:cs="Arial"/>
          <w:sz w:val="18"/>
          <w:szCs w:val="18"/>
          <w:lang w:val="en-US"/>
        </w:rPr>
      </w:pPr>
      <w:r>
        <w:rPr>
          <w:rFonts w:ascii="Arial" w:hAnsi="Arial" w:cs="Arial"/>
          <w:sz w:val="18"/>
          <w:szCs w:val="18"/>
          <w:lang w:val="en-US"/>
        </w:rPr>
        <w:t>Participants who took the verbal learning and memory assessment were included regardless of conduct of MRI examinations.</w:t>
      </w:r>
    </w:p>
    <w:p w14:paraId="39AAC2C7" w14:textId="77777777" w:rsidR="00A265DF" w:rsidRDefault="00A265DF" w:rsidP="00E2570B">
      <w:pPr>
        <w:spacing w:after="0" w:line="360" w:lineRule="auto"/>
        <w:jc w:val="both"/>
        <w:rPr>
          <w:rFonts w:ascii="Arial" w:hAnsi="Arial" w:cs="Arial"/>
          <w:sz w:val="18"/>
          <w:szCs w:val="18"/>
          <w:lang w:val="en-US"/>
        </w:rPr>
      </w:pPr>
    </w:p>
    <w:p w14:paraId="4F10D393" w14:textId="77777777" w:rsidR="00A265DF" w:rsidRDefault="00A265DF" w:rsidP="00E2570B">
      <w:pPr>
        <w:spacing w:after="0" w:line="360" w:lineRule="auto"/>
        <w:jc w:val="both"/>
        <w:rPr>
          <w:rFonts w:ascii="Arial" w:hAnsi="Arial" w:cs="Arial"/>
          <w:sz w:val="18"/>
          <w:szCs w:val="18"/>
          <w:lang w:val="en-US"/>
        </w:rPr>
      </w:pPr>
    </w:p>
    <w:p w14:paraId="5D8AB916" w14:textId="77777777" w:rsidR="00A265DF" w:rsidRDefault="00A265DF" w:rsidP="00E2570B">
      <w:pPr>
        <w:spacing w:after="0" w:line="360" w:lineRule="auto"/>
        <w:jc w:val="both"/>
        <w:rPr>
          <w:rFonts w:ascii="Arial" w:hAnsi="Arial" w:cs="Arial"/>
          <w:sz w:val="18"/>
          <w:szCs w:val="18"/>
          <w:lang w:val="en-US"/>
        </w:rPr>
      </w:pPr>
    </w:p>
    <w:p w14:paraId="09E0676A" w14:textId="77777777" w:rsidR="00A265DF" w:rsidRDefault="00A265DF" w:rsidP="00E2570B">
      <w:pPr>
        <w:spacing w:after="0" w:line="360" w:lineRule="auto"/>
        <w:jc w:val="both"/>
        <w:rPr>
          <w:rFonts w:ascii="Arial" w:hAnsi="Arial" w:cs="Arial"/>
          <w:sz w:val="18"/>
          <w:szCs w:val="18"/>
          <w:lang w:val="en-US"/>
        </w:rPr>
      </w:pPr>
    </w:p>
    <w:p w14:paraId="0CAC7E1A" w14:textId="77777777" w:rsidR="00A265DF" w:rsidRDefault="00A265DF" w:rsidP="00E2570B">
      <w:pPr>
        <w:spacing w:after="0" w:line="360" w:lineRule="auto"/>
        <w:jc w:val="both"/>
        <w:rPr>
          <w:rFonts w:ascii="Arial" w:hAnsi="Arial" w:cs="Arial"/>
          <w:sz w:val="18"/>
          <w:szCs w:val="18"/>
          <w:lang w:val="en-US"/>
        </w:rPr>
      </w:pPr>
    </w:p>
    <w:p w14:paraId="1182A7C8" w14:textId="77777777" w:rsidR="00A265DF" w:rsidRDefault="00A265DF" w:rsidP="00E2570B">
      <w:pPr>
        <w:spacing w:after="0" w:line="360" w:lineRule="auto"/>
        <w:jc w:val="both"/>
        <w:rPr>
          <w:rFonts w:ascii="Arial" w:hAnsi="Arial" w:cs="Arial"/>
          <w:sz w:val="18"/>
          <w:szCs w:val="18"/>
          <w:lang w:val="en-US"/>
        </w:rPr>
      </w:pPr>
    </w:p>
    <w:p w14:paraId="47610143" w14:textId="77777777" w:rsidR="00A265DF" w:rsidRDefault="00A265DF" w:rsidP="00E2570B">
      <w:pPr>
        <w:spacing w:after="0" w:line="360" w:lineRule="auto"/>
        <w:jc w:val="both"/>
        <w:rPr>
          <w:rFonts w:ascii="Arial" w:hAnsi="Arial" w:cs="Arial"/>
          <w:sz w:val="18"/>
          <w:szCs w:val="18"/>
          <w:lang w:val="en-US"/>
        </w:rPr>
      </w:pPr>
    </w:p>
    <w:p w14:paraId="30B7BB12" w14:textId="77777777" w:rsidR="00A265DF" w:rsidRDefault="00A265DF" w:rsidP="00E2570B">
      <w:pPr>
        <w:spacing w:after="0" w:line="360" w:lineRule="auto"/>
        <w:jc w:val="both"/>
        <w:rPr>
          <w:rFonts w:ascii="Arial" w:hAnsi="Arial" w:cs="Arial"/>
          <w:sz w:val="18"/>
          <w:szCs w:val="18"/>
          <w:lang w:val="en-US"/>
        </w:rPr>
      </w:pPr>
    </w:p>
    <w:p w14:paraId="62F3EC8D" w14:textId="77777777" w:rsidR="00A265DF" w:rsidRDefault="00A265DF" w:rsidP="00E2570B">
      <w:pPr>
        <w:spacing w:after="0" w:line="360" w:lineRule="auto"/>
        <w:jc w:val="both"/>
        <w:rPr>
          <w:rFonts w:ascii="Arial" w:hAnsi="Arial" w:cs="Arial"/>
          <w:sz w:val="18"/>
          <w:szCs w:val="18"/>
          <w:lang w:val="en-US"/>
        </w:rPr>
      </w:pPr>
    </w:p>
    <w:p w14:paraId="3BA53C71" w14:textId="77777777" w:rsidR="00A265DF" w:rsidRDefault="00A265DF" w:rsidP="00E2570B">
      <w:pPr>
        <w:spacing w:after="0" w:line="360" w:lineRule="auto"/>
        <w:jc w:val="both"/>
        <w:rPr>
          <w:rFonts w:ascii="Arial" w:hAnsi="Arial" w:cs="Arial"/>
          <w:sz w:val="18"/>
          <w:szCs w:val="18"/>
          <w:lang w:val="en-US"/>
        </w:rPr>
      </w:pPr>
    </w:p>
    <w:p w14:paraId="46CC082C" w14:textId="77777777" w:rsidR="00A265DF" w:rsidRDefault="00A265DF" w:rsidP="00E2570B">
      <w:pPr>
        <w:spacing w:after="0" w:line="360" w:lineRule="auto"/>
        <w:jc w:val="both"/>
        <w:rPr>
          <w:rFonts w:ascii="Arial" w:hAnsi="Arial" w:cs="Arial"/>
          <w:sz w:val="18"/>
          <w:szCs w:val="18"/>
          <w:lang w:val="en-US"/>
        </w:rPr>
      </w:pPr>
    </w:p>
    <w:p w14:paraId="1F584AA8" w14:textId="77777777" w:rsidR="00A265DF" w:rsidRDefault="00A265DF" w:rsidP="00E2570B">
      <w:pPr>
        <w:spacing w:after="0" w:line="360" w:lineRule="auto"/>
        <w:jc w:val="both"/>
        <w:rPr>
          <w:rFonts w:ascii="Arial" w:hAnsi="Arial" w:cs="Arial"/>
          <w:b/>
          <w:lang w:val="en-US"/>
        </w:rPr>
      </w:pPr>
    </w:p>
    <w:p w14:paraId="50AB8772" w14:textId="77777777" w:rsidR="00A265DF" w:rsidRDefault="00A265DF" w:rsidP="00E2570B">
      <w:pPr>
        <w:spacing w:after="0" w:line="360" w:lineRule="auto"/>
        <w:jc w:val="both"/>
        <w:rPr>
          <w:rFonts w:ascii="Arial" w:hAnsi="Arial" w:cs="Arial"/>
          <w:b/>
          <w:lang w:val="en-US"/>
        </w:rPr>
      </w:pPr>
    </w:p>
    <w:p w14:paraId="48C4A953" w14:textId="6ECD2FB1" w:rsidR="00DB4040" w:rsidRDefault="00762861" w:rsidP="00E2570B">
      <w:pPr>
        <w:spacing w:after="0" w:line="360" w:lineRule="auto"/>
        <w:jc w:val="both"/>
        <w:rPr>
          <w:rFonts w:ascii="Arial" w:hAnsi="Arial" w:cs="Arial"/>
          <w:b/>
          <w:lang w:val="en-US"/>
        </w:rPr>
      </w:pPr>
      <w:r>
        <w:rPr>
          <w:rFonts w:ascii="Arial" w:hAnsi="Arial" w:cs="Arial"/>
          <w:b/>
          <w:lang w:val="en-US"/>
        </w:rPr>
        <w:lastRenderedPageBreak/>
        <w:t>Table 5. Linear regression coefficients, SEs and 95% CIs for the association of PPI intake with verbal memory assessments (n=5,711)</w:t>
      </w:r>
    </w:p>
    <w:tbl>
      <w:tblPr>
        <w:tblW w:w="4610" w:type="pct"/>
        <w:tblCellMar>
          <w:left w:w="70" w:type="dxa"/>
          <w:right w:w="70" w:type="dxa"/>
        </w:tblCellMar>
        <w:tblLook w:val="04A0" w:firstRow="1" w:lastRow="0" w:firstColumn="1" w:lastColumn="0" w:noHBand="0" w:noVBand="1"/>
      </w:tblPr>
      <w:tblGrid>
        <w:gridCol w:w="1121"/>
        <w:gridCol w:w="2094"/>
        <w:gridCol w:w="1660"/>
        <w:gridCol w:w="1660"/>
        <w:gridCol w:w="1660"/>
        <w:gridCol w:w="1660"/>
        <w:gridCol w:w="1660"/>
        <w:gridCol w:w="1657"/>
      </w:tblGrid>
      <w:tr w:rsidR="00DB4040" w14:paraId="4C520115" w14:textId="77777777">
        <w:trPr>
          <w:trHeight w:val="300"/>
        </w:trPr>
        <w:tc>
          <w:tcPr>
            <w:tcW w:w="426" w:type="pct"/>
            <w:tcBorders>
              <w:top w:val="single" w:sz="4" w:space="0" w:color="auto"/>
            </w:tcBorders>
            <w:shd w:val="clear" w:color="auto" w:fill="auto"/>
            <w:noWrap/>
            <w:vAlign w:val="center"/>
            <w:hideMark/>
          </w:tcPr>
          <w:p w14:paraId="3BA0B822" w14:textId="77777777" w:rsidR="00DB4040" w:rsidRDefault="00DB4040">
            <w:pPr>
              <w:spacing w:after="0" w:line="480" w:lineRule="auto"/>
              <w:jc w:val="center"/>
              <w:rPr>
                <w:rFonts w:ascii="Arial" w:eastAsia="Times New Roman" w:hAnsi="Arial" w:cs="Arial"/>
                <w:b/>
                <w:color w:val="000000"/>
                <w:sz w:val="20"/>
                <w:szCs w:val="20"/>
                <w:lang w:val="en-US"/>
              </w:rPr>
            </w:pPr>
          </w:p>
        </w:tc>
        <w:tc>
          <w:tcPr>
            <w:tcW w:w="795" w:type="pct"/>
            <w:tcBorders>
              <w:top w:val="single" w:sz="4" w:space="0" w:color="auto"/>
            </w:tcBorders>
          </w:tcPr>
          <w:p w14:paraId="1FC4C82B" w14:textId="77777777" w:rsidR="00DB4040" w:rsidRDefault="00DB4040">
            <w:pPr>
              <w:spacing w:after="0" w:line="480" w:lineRule="auto"/>
              <w:jc w:val="center"/>
              <w:rPr>
                <w:rFonts w:ascii="Arial" w:eastAsia="Times New Roman" w:hAnsi="Arial" w:cs="Arial"/>
                <w:b/>
                <w:color w:val="000000"/>
                <w:sz w:val="20"/>
                <w:szCs w:val="20"/>
                <w:lang w:val="en-US"/>
              </w:rPr>
            </w:pPr>
          </w:p>
        </w:tc>
        <w:tc>
          <w:tcPr>
            <w:tcW w:w="1890" w:type="pct"/>
            <w:gridSpan w:val="3"/>
            <w:tcBorders>
              <w:top w:val="single" w:sz="4" w:space="0" w:color="auto"/>
              <w:right w:val="single" w:sz="4" w:space="0" w:color="auto"/>
            </w:tcBorders>
            <w:shd w:val="clear" w:color="auto" w:fill="auto"/>
            <w:noWrap/>
            <w:vAlign w:val="center"/>
          </w:tcPr>
          <w:p w14:paraId="5B3FEEF7"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Unstandardized outcomes</w:t>
            </w:r>
          </w:p>
        </w:tc>
        <w:tc>
          <w:tcPr>
            <w:tcW w:w="1890" w:type="pct"/>
            <w:gridSpan w:val="3"/>
            <w:tcBorders>
              <w:top w:val="single" w:sz="4" w:space="0" w:color="auto"/>
              <w:left w:val="single" w:sz="4" w:space="0" w:color="auto"/>
            </w:tcBorders>
            <w:shd w:val="clear" w:color="auto" w:fill="auto"/>
            <w:noWrap/>
            <w:vAlign w:val="center"/>
          </w:tcPr>
          <w:p w14:paraId="3EBF4F4D"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Standardized outcomes</w:t>
            </w:r>
          </w:p>
        </w:tc>
      </w:tr>
      <w:tr w:rsidR="00DB4040" w14:paraId="7E8E53A0" w14:textId="77777777">
        <w:trPr>
          <w:trHeight w:val="300"/>
        </w:trPr>
        <w:tc>
          <w:tcPr>
            <w:tcW w:w="426" w:type="pct"/>
            <w:shd w:val="clear" w:color="auto" w:fill="auto"/>
            <w:noWrap/>
            <w:vAlign w:val="center"/>
          </w:tcPr>
          <w:p w14:paraId="010060BE" w14:textId="77777777" w:rsidR="00DB4040" w:rsidRDefault="00DB4040">
            <w:pPr>
              <w:spacing w:after="0" w:line="480" w:lineRule="auto"/>
              <w:jc w:val="center"/>
              <w:rPr>
                <w:rFonts w:ascii="Arial" w:eastAsia="Times New Roman" w:hAnsi="Arial" w:cs="Arial"/>
                <w:b/>
                <w:color w:val="000000"/>
                <w:sz w:val="20"/>
                <w:szCs w:val="20"/>
                <w:lang w:val="en-US"/>
              </w:rPr>
            </w:pPr>
          </w:p>
        </w:tc>
        <w:tc>
          <w:tcPr>
            <w:tcW w:w="795" w:type="pct"/>
            <w:tcBorders>
              <w:bottom w:val="single" w:sz="4" w:space="0" w:color="auto"/>
            </w:tcBorders>
          </w:tcPr>
          <w:p w14:paraId="068C11E6" w14:textId="77777777" w:rsidR="00DB4040" w:rsidRDefault="00DB4040">
            <w:pPr>
              <w:spacing w:after="0" w:line="480" w:lineRule="auto"/>
              <w:jc w:val="center"/>
              <w:rPr>
                <w:rFonts w:ascii="Arial" w:eastAsia="Times New Roman" w:hAnsi="Arial" w:cs="Arial"/>
                <w:b/>
                <w:color w:val="000000"/>
                <w:sz w:val="20"/>
                <w:szCs w:val="20"/>
                <w:lang w:val="en-US"/>
              </w:rPr>
            </w:pPr>
          </w:p>
        </w:tc>
        <w:tc>
          <w:tcPr>
            <w:tcW w:w="630" w:type="pct"/>
            <w:tcBorders>
              <w:bottom w:val="single" w:sz="4" w:space="0" w:color="auto"/>
            </w:tcBorders>
            <w:shd w:val="clear" w:color="auto" w:fill="auto"/>
            <w:noWrap/>
            <w:vAlign w:val="center"/>
          </w:tcPr>
          <w:p w14:paraId="469752DD"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Coefficient</w:t>
            </w:r>
          </w:p>
        </w:tc>
        <w:tc>
          <w:tcPr>
            <w:tcW w:w="630" w:type="pct"/>
            <w:tcBorders>
              <w:bottom w:val="single" w:sz="4" w:space="0" w:color="auto"/>
            </w:tcBorders>
          </w:tcPr>
          <w:p w14:paraId="3652B100"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SE</w:t>
            </w:r>
          </w:p>
        </w:tc>
        <w:tc>
          <w:tcPr>
            <w:tcW w:w="630" w:type="pct"/>
            <w:tcBorders>
              <w:bottom w:val="single" w:sz="4" w:space="0" w:color="auto"/>
              <w:right w:val="single" w:sz="4" w:space="0" w:color="auto"/>
            </w:tcBorders>
            <w:shd w:val="clear" w:color="auto" w:fill="auto"/>
            <w:noWrap/>
            <w:vAlign w:val="center"/>
          </w:tcPr>
          <w:p w14:paraId="1D5D16E2"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95% CI</w:t>
            </w:r>
          </w:p>
        </w:tc>
        <w:tc>
          <w:tcPr>
            <w:tcW w:w="630" w:type="pct"/>
            <w:tcBorders>
              <w:left w:val="single" w:sz="4" w:space="0" w:color="auto"/>
              <w:bottom w:val="single" w:sz="4" w:space="0" w:color="auto"/>
            </w:tcBorders>
            <w:shd w:val="clear" w:color="auto" w:fill="auto"/>
            <w:noWrap/>
            <w:vAlign w:val="center"/>
          </w:tcPr>
          <w:p w14:paraId="17439354" w14:textId="77777777" w:rsidR="00DB4040" w:rsidRDefault="00762861">
            <w:pPr>
              <w:spacing w:after="0" w:line="480" w:lineRule="auto"/>
              <w:jc w:val="center"/>
              <w:rPr>
                <w:rStyle w:val="Kommentarzeichen"/>
              </w:rPr>
            </w:pPr>
            <w:r>
              <w:rPr>
                <w:rFonts w:ascii="Arial" w:eastAsia="Times New Roman" w:hAnsi="Arial" w:cs="Arial"/>
                <w:b/>
                <w:color w:val="000000"/>
                <w:sz w:val="20"/>
                <w:szCs w:val="20"/>
                <w:lang w:val="en-US"/>
              </w:rPr>
              <w:t>Coefficient</w:t>
            </w:r>
          </w:p>
        </w:tc>
        <w:tc>
          <w:tcPr>
            <w:tcW w:w="630" w:type="pct"/>
            <w:tcBorders>
              <w:bottom w:val="single" w:sz="4" w:space="0" w:color="auto"/>
            </w:tcBorders>
          </w:tcPr>
          <w:p w14:paraId="1677ABF9"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SE</w:t>
            </w:r>
          </w:p>
        </w:tc>
        <w:tc>
          <w:tcPr>
            <w:tcW w:w="630" w:type="pct"/>
            <w:tcBorders>
              <w:bottom w:val="single" w:sz="4" w:space="0" w:color="auto"/>
            </w:tcBorders>
            <w:vAlign w:val="center"/>
          </w:tcPr>
          <w:p w14:paraId="080D3A9D" w14:textId="77777777" w:rsidR="00DB4040" w:rsidRDefault="00762861">
            <w:pPr>
              <w:spacing w:after="0" w:line="480" w:lineRule="auto"/>
              <w:jc w:val="center"/>
              <w:rPr>
                <w:rFonts w:ascii="Arial" w:eastAsia="Times New Roman" w:hAnsi="Arial" w:cs="Arial"/>
                <w:b/>
                <w:color w:val="000000"/>
                <w:sz w:val="20"/>
                <w:szCs w:val="20"/>
                <w:lang w:val="en-US"/>
              </w:rPr>
            </w:pPr>
            <w:r>
              <w:rPr>
                <w:rFonts w:ascii="Arial" w:eastAsia="Times New Roman" w:hAnsi="Arial" w:cs="Arial"/>
                <w:b/>
                <w:color w:val="000000"/>
                <w:sz w:val="20"/>
                <w:szCs w:val="20"/>
                <w:lang w:val="en-US"/>
              </w:rPr>
              <w:t>95% CI</w:t>
            </w:r>
          </w:p>
        </w:tc>
      </w:tr>
      <w:tr w:rsidR="00DB4040" w14:paraId="678906BA" w14:textId="77777777">
        <w:trPr>
          <w:trHeight w:val="300"/>
        </w:trPr>
        <w:tc>
          <w:tcPr>
            <w:tcW w:w="426" w:type="pct"/>
            <w:shd w:val="clear" w:color="auto" w:fill="auto"/>
            <w:noWrap/>
          </w:tcPr>
          <w:p w14:paraId="352B22FA" w14:textId="77777777" w:rsidR="00DB4040" w:rsidRDefault="00762861">
            <w:pPr>
              <w:spacing w:after="0" w:line="480" w:lineRule="auto"/>
              <w:rPr>
                <w:rFonts w:ascii="Arial" w:eastAsia="Times New Roman" w:hAnsi="Arial" w:cs="Arial"/>
                <w:color w:val="000000"/>
                <w:sz w:val="20"/>
                <w:szCs w:val="20"/>
                <w:lang w:val="en-US"/>
              </w:rPr>
            </w:pPr>
            <w:r>
              <w:rPr>
                <w:rFonts w:ascii="Arial" w:hAnsi="Arial" w:cs="Arial"/>
                <w:sz w:val="20"/>
                <w:szCs w:val="20"/>
              </w:rPr>
              <w:t>VLMT</w:t>
            </w:r>
          </w:p>
        </w:tc>
        <w:tc>
          <w:tcPr>
            <w:tcW w:w="795" w:type="pct"/>
            <w:tcBorders>
              <w:top w:val="single" w:sz="4" w:space="0" w:color="auto"/>
            </w:tcBorders>
          </w:tcPr>
          <w:p w14:paraId="52E9A26B" w14:textId="77777777" w:rsidR="00DB4040" w:rsidRDefault="00762861">
            <w:pPr>
              <w:spacing w:after="0" w:line="480" w:lineRule="auto"/>
              <w:rPr>
                <w:rFonts w:ascii="Arial" w:eastAsia="Times New Roman" w:hAnsi="Arial" w:cs="Arial"/>
                <w:color w:val="000000"/>
                <w:sz w:val="20"/>
                <w:szCs w:val="20"/>
                <w:lang w:val="en-US"/>
              </w:rPr>
            </w:pPr>
            <w:r>
              <w:rPr>
                <w:rFonts w:ascii="Arial" w:hAnsi="Arial" w:cs="Arial"/>
                <w:sz w:val="20"/>
                <w:szCs w:val="20"/>
              </w:rPr>
              <w:t xml:space="preserve">Immediate </w:t>
            </w:r>
            <w:proofErr w:type="spellStart"/>
            <w:r>
              <w:rPr>
                <w:rFonts w:ascii="Arial" w:hAnsi="Arial" w:cs="Arial"/>
                <w:sz w:val="20"/>
                <w:szCs w:val="20"/>
              </w:rPr>
              <w:t>recall</w:t>
            </w:r>
            <w:proofErr w:type="spellEnd"/>
          </w:p>
        </w:tc>
        <w:tc>
          <w:tcPr>
            <w:tcW w:w="630" w:type="pct"/>
            <w:tcBorders>
              <w:top w:val="single" w:sz="4" w:space="0" w:color="auto"/>
            </w:tcBorders>
            <w:shd w:val="clear" w:color="auto" w:fill="auto"/>
            <w:noWrap/>
          </w:tcPr>
          <w:p w14:paraId="6808B54A" w14:textId="77777777" w:rsidR="00DB4040" w:rsidRDefault="00762861">
            <w:pPr>
              <w:spacing w:after="0" w:line="480" w:lineRule="auto"/>
              <w:jc w:val="center"/>
              <w:rPr>
                <w:rFonts w:ascii="Arial" w:hAnsi="Arial" w:cs="Arial"/>
                <w:sz w:val="20"/>
                <w:szCs w:val="20"/>
              </w:rPr>
            </w:pPr>
            <w:r>
              <w:rPr>
                <w:rFonts w:ascii="Arial" w:hAnsi="Arial" w:cs="Arial"/>
                <w:sz w:val="20"/>
                <w:szCs w:val="20"/>
              </w:rPr>
              <w:t>-1.11</w:t>
            </w:r>
          </w:p>
        </w:tc>
        <w:tc>
          <w:tcPr>
            <w:tcW w:w="630" w:type="pct"/>
            <w:tcBorders>
              <w:top w:val="single" w:sz="4" w:space="0" w:color="auto"/>
            </w:tcBorders>
          </w:tcPr>
          <w:p w14:paraId="311FD098" w14:textId="77777777" w:rsidR="00DB4040" w:rsidRDefault="00762861">
            <w:pPr>
              <w:spacing w:after="0" w:line="480" w:lineRule="auto"/>
              <w:jc w:val="center"/>
              <w:rPr>
                <w:rFonts w:ascii="Arial" w:hAnsi="Arial" w:cs="Arial"/>
                <w:sz w:val="20"/>
                <w:szCs w:val="20"/>
              </w:rPr>
            </w:pPr>
            <w:r>
              <w:rPr>
                <w:rFonts w:ascii="Arial" w:hAnsi="Arial" w:cs="Arial"/>
                <w:sz w:val="20"/>
                <w:szCs w:val="20"/>
              </w:rPr>
              <w:t>0.48</w:t>
            </w:r>
          </w:p>
        </w:tc>
        <w:tc>
          <w:tcPr>
            <w:tcW w:w="630" w:type="pct"/>
            <w:tcBorders>
              <w:top w:val="single" w:sz="4" w:space="0" w:color="auto"/>
              <w:right w:val="single" w:sz="4" w:space="0" w:color="auto"/>
            </w:tcBorders>
            <w:shd w:val="clear" w:color="auto" w:fill="auto"/>
            <w:noWrap/>
          </w:tcPr>
          <w:p w14:paraId="2C922299" w14:textId="77777777" w:rsidR="00DB4040" w:rsidRDefault="00762861">
            <w:pPr>
              <w:spacing w:after="0" w:line="480" w:lineRule="auto"/>
              <w:jc w:val="center"/>
              <w:rPr>
                <w:rFonts w:ascii="Arial" w:hAnsi="Arial" w:cs="Arial"/>
                <w:sz w:val="20"/>
                <w:szCs w:val="20"/>
              </w:rPr>
            </w:pPr>
            <w:r>
              <w:rPr>
                <w:rFonts w:ascii="Arial" w:hAnsi="Arial" w:cs="Arial"/>
                <w:sz w:val="20"/>
                <w:szCs w:val="20"/>
              </w:rPr>
              <w:t>(-2.06, -0.16)</w:t>
            </w:r>
          </w:p>
        </w:tc>
        <w:tc>
          <w:tcPr>
            <w:tcW w:w="630" w:type="pct"/>
            <w:tcBorders>
              <w:top w:val="single" w:sz="4" w:space="0" w:color="auto"/>
              <w:left w:val="single" w:sz="4" w:space="0" w:color="auto"/>
            </w:tcBorders>
            <w:shd w:val="clear" w:color="auto" w:fill="auto"/>
            <w:noWrap/>
          </w:tcPr>
          <w:p w14:paraId="7D461714" w14:textId="77777777" w:rsidR="00DB4040" w:rsidRDefault="00762861">
            <w:pPr>
              <w:spacing w:after="0" w:line="480" w:lineRule="auto"/>
              <w:jc w:val="center"/>
              <w:rPr>
                <w:rFonts w:ascii="Arial" w:hAnsi="Arial" w:cs="Arial"/>
                <w:sz w:val="20"/>
                <w:szCs w:val="20"/>
              </w:rPr>
            </w:pPr>
            <w:r>
              <w:rPr>
                <w:rFonts w:ascii="Arial" w:hAnsi="Arial" w:cs="Arial"/>
                <w:sz w:val="20"/>
                <w:szCs w:val="20"/>
              </w:rPr>
              <w:t>-0.18</w:t>
            </w:r>
          </w:p>
        </w:tc>
        <w:tc>
          <w:tcPr>
            <w:tcW w:w="630" w:type="pct"/>
            <w:tcBorders>
              <w:top w:val="single" w:sz="4" w:space="0" w:color="auto"/>
            </w:tcBorders>
          </w:tcPr>
          <w:p w14:paraId="04F04FC2" w14:textId="77777777" w:rsidR="00DB4040" w:rsidRDefault="00762861">
            <w:pPr>
              <w:spacing w:after="0" w:line="480" w:lineRule="auto"/>
              <w:jc w:val="center"/>
              <w:rPr>
                <w:rFonts w:ascii="Arial" w:hAnsi="Arial" w:cs="Arial"/>
                <w:sz w:val="20"/>
                <w:szCs w:val="20"/>
              </w:rPr>
            </w:pPr>
            <w:r>
              <w:rPr>
                <w:rFonts w:ascii="Arial" w:hAnsi="Arial" w:cs="Arial"/>
                <w:sz w:val="20"/>
                <w:szCs w:val="20"/>
              </w:rPr>
              <w:t>0.08</w:t>
            </w:r>
          </w:p>
        </w:tc>
        <w:tc>
          <w:tcPr>
            <w:tcW w:w="630" w:type="pct"/>
            <w:tcBorders>
              <w:top w:val="single" w:sz="4" w:space="0" w:color="auto"/>
            </w:tcBorders>
          </w:tcPr>
          <w:p w14:paraId="123071C3" w14:textId="77777777" w:rsidR="00DB4040" w:rsidRDefault="00762861">
            <w:pPr>
              <w:spacing w:after="0" w:line="480" w:lineRule="auto"/>
              <w:jc w:val="center"/>
              <w:rPr>
                <w:rFonts w:ascii="Arial" w:hAnsi="Arial" w:cs="Arial"/>
                <w:sz w:val="20"/>
                <w:szCs w:val="20"/>
              </w:rPr>
            </w:pPr>
            <w:r>
              <w:rPr>
                <w:rFonts w:ascii="Arial" w:hAnsi="Arial" w:cs="Arial"/>
                <w:sz w:val="20"/>
                <w:szCs w:val="20"/>
              </w:rPr>
              <w:t>(-0.34, -0.03)</w:t>
            </w:r>
          </w:p>
        </w:tc>
      </w:tr>
      <w:tr w:rsidR="00DB4040" w14:paraId="0A871063" w14:textId="77777777">
        <w:trPr>
          <w:trHeight w:val="300"/>
        </w:trPr>
        <w:tc>
          <w:tcPr>
            <w:tcW w:w="426" w:type="pct"/>
            <w:shd w:val="clear" w:color="auto" w:fill="auto"/>
            <w:noWrap/>
          </w:tcPr>
          <w:p w14:paraId="0ED3F2F4" w14:textId="77777777" w:rsidR="00DB4040" w:rsidRDefault="00DB4040">
            <w:pPr>
              <w:spacing w:after="0" w:line="480" w:lineRule="auto"/>
              <w:rPr>
                <w:rFonts w:ascii="Arial" w:eastAsia="Times New Roman" w:hAnsi="Arial" w:cs="Arial"/>
                <w:color w:val="000000"/>
                <w:sz w:val="20"/>
                <w:szCs w:val="20"/>
                <w:lang w:val="en-US"/>
              </w:rPr>
            </w:pPr>
          </w:p>
        </w:tc>
        <w:tc>
          <w:tcPr>
            <w:tcW w:w="795" w:type="pct"/>
          </w:tcPr>
          <w:p w14:paraId="741C24E6" w14:textId="77777777" w:rsidR="00DB4040" w:rsidRDefault="00762861">
            <w:pPr>
              <w:spacing w:after="0" w:line="480" w:lineRule="auto"/>
              <w:rPr>
                <w:rFonts w:ascii="Arial" w:eastAsia="Times New Roman" w:hAnsi="Arial" w:cs="Arial"/>
                <w:color w:val="000000"/>
                <w:sz w:val="20"/>
                <w:szCs w:val="20"/>
                <w:lang w:val="en-US"/>
              </w:rPr>
            </w:pPr>
            <w:proofErr w:type="spellStart"/>
            <w:r>
              <w:rPr>
                <w:rFonts w:ascii="Arial" w:hAnsi="Arial" w:cs="Arial"/>
                <w:sz w:val="20"/>
                <w:szCs w:val="20"/>
              </w:rPr>
              <w:t>Delayed</w:t>
            </w:r>
            <w:proofErr w:type="spellEnd"/>
            <w:r>
              <w:rPr>
                <w:rFonts w:ascii="Arial" w:hAnsi="Arial" w:cs="Arial"/>
                <w:sz w:val="20"/>
                <w:szCs w:val="20"/>
              </w:rPr>
              <w:t xml:space="preserve"> </w:t>
            </w:r>
            <w:proofErr w:type="spellStart"/>
            <w:r>
              <w:rPr>
                <w:rFonts w:ascii="Arial" w:hAnsi="Arial" w:cs="Arial"/>
                <w:sz w:val="20"/>
                <w:szCs w:val="20"/>
              </w:rPr>
              <w:t>recall</w:t>
            </w:r>
            <w:proofErr w:type="spellEnd"/>
          </w:p>
        </w:tc>
        <w:tc>
          <w:tcPr>
            <w:tcW w:w="630" w:type="pct"/>
            <w:shd w:val="clear" w:color="auto" w:fill="auto"/>
            <w:noWrap/>
          </w:tcPr>
          <w:p w14:paraId="76C07679" w14:textId="77777777" w:rsidR="00DB4040" w:rsidRDefault="00762861">
            <w:pPr>
              <w:spacing w:after="0" w:line="480" w:lineRule="auto"/>
              <w:jc w:val="center"/>
              <w:rPr>
                <w:rFonts w:ascii="Arial" w:hAnsi="Arial" w:cs="Arial"/>
                <w:sz w:val="20"/>
                <w:szCs w:val="20"/>
              </w:rPr>
            </w:pPr>
            <w:r>
              <w:rPr>
                <w:rFonts w:ascii="Arial" w:hAnsi="Arial" w:cs="Arial"/>
                <w:sz w:val="20"/>
                <w:szCs w:val="20"/>
              </w:rPr>
              <w:t>-0.72</w:t>
            </w:r>
          </w:p>
        </w:tc>
        <w:tc>
          <w:tcPr>
            <w:tcW w:w="630" w:type="pct"/>
          </w:tcPr>
          <w:p w14:paraId="508E07F4" w14:textId="77777777" w:rsidR="00DB4040" w:rsidRDefault="00762861">
            <w:pPr>
              <w:spacing w:after="0" w:line="480" w:lineRule="auto"/>
              <w:jc w:val="center"/>
              <w:rPr>
                <w:rFonts w:ascii="Arial" w:hAnsi="Arial" w:cs="Arial"/>
                <w:sz w:val="20"/>
                <w:szCs w:val="20"/>
              </w:rPr>
            </w:pPr>
            <w:r>
              <w:rPr>
                <w:rFonts w:ascii="Arial" w:hAnsi="Arial" w:cs="Arial"/>
                <w:sz w:val="20"/>
                <w:szCs w:val="20"/>
              </w:rPr>
              <w:t>0.26</w:t>
            </w:r>
          </w:p>
        </w:tc>
        <w:tc>
          <w:tcPr>
            <w:tcW w:w="630" w:type="pct"/>
            <w:tcBorders>
              <w:right w:val="single" w:sz="4" w:space="0" w:color="auto"/>
            </w:tcBorders>
            <w:shd w:val="clear" w:color="auto" w:fill="auto"/>
            <w:noWrap/>
          </w:tcPr>
          <w:p w14:paraId="73D3E930" w14:textId="77777777" w:rsidR="00DB4040" w:rsidRDefault="00762861">
            <w:pPr>
              <w:spacing w:after="0" w:line="480" w:lineRule="auto"/>
              <w:jc w:val="center"/>
              <w:rPr>
                <w:rFonts w:ascii="Arial" w:hAnsi="Arial" w:cs="Arial"/>
                <w:sz w:val="20"/>
                <w:szCs w:val="20"/>
              </w:rPr>
            </w:pPr>
            <w:r>
              <w:rPr>
                <w:rFonts w:ascii="Arial" w:hAnsi="Arial" w:cs="Arial"/>
                <w:sz w:val="20"/>
                <w:szCs w:val="20"/>
              </w:rPr>
              <w:t>(-1.22, -0.22)</w:t>
            </w:r>
          </w:p>
        </w:tc>
        <w:tc>
          <w:tcPr>
            <w:tcW w:w="630" w:type="pct"/>
            <w:tcBorders>
              <w:left w:val="single" w:sz="4" w:space="0" w:color="auto"/>
            </w:tcBorders>
            <w:shd w:val="clear" w:color="auto" w:fill="auto"/>
            <w:noWrap/>
          </w:tcPr>
          <w:p w14:paraId="23A5D691" w14:textId="77777777" w:rsidR="00DB4040" w:rsidRDefault="00762861">
            <w:pPr>
              <w:spacing w:after="0" w:line="480" w:lineRule="auto"/>
              <w:jc w:val="center"/>
              <w:rPr>
                <w:rFonts w:ascii="Arial" w:hAnsi="Arial" w:cs="Arial"/>
                <w:sz w:val="20"/>
                <w:szCs w:val="20"/>
              </w:rPr>
            </w:pPr>
            <w:r>
              <w:rPr>
                <w:rFonts w:ascii="Arial" w:hAnsi="Arial" w:cs="Arial"/>
                <w:sz w:val="20"/>
                <w:szCs w:val="20"/>
              </w:rPr>
              <w:t>-0.24</w:t>
            </w:r>
          </w:p>
        </w:tc>
        <w:tc>
          <w:tcPr>
            <w:tcW w:w="630" w:type="pct"/>
          </w:tcPr>
          <w:p w14:paraId="2C254388" w14:textId="77777777" w:rsidR="00DB4040" w:rsidRDefault="00762861">
            <w:pPr>
              <w:spacing w:after="0" w:line="480" w:lineRule="auto"/>
              <w:jc w:val="center"/>
              <w:rPr>
                <w:rFonts w:ascii="Arial" w:hAnsi="Arial" w:cs="Arial"/>
                <w:sz w:val="20"/>
                <w:szCs w:val="20"/>
              </w:rPr>
            </w:pPr>
            <w:r>
              <w:rPr>
                <w:rFonts w:ascii="Arial" w:hAnsi="Arial" w:cs="Arial"/>
                <w:sz w:val="20"/>
                <w:szCs w:val="20"/>
              </w:rPr>
              <w:t>0.08</w:t>
            </w:r>
          </w:p>
        </w:tc>
        <w:tc>
          <w:tcPr>
            <w:tcW w:w="630" w:type="pct"/>
          </w:tcPr>
          <w:p w14:paraId="2C9C7D7E" w14:textId="77777777" w:rsidR="00DB4040" w:rsidRDefault="00762861">
            <w:pPr>
              <w:spacing w:after="0" w:line="480" w:lineRule="auto"/>
              <w:jc w:val="center"/>
              <w:rPr>
                <w:rFonts w:ascii="Arial" w:hAnsi="Arial" w:cs="Arial"/>
                <w:sz w:val="20"/>
                <w:szCs w:val="20"/>
              </w:rPr>
            </w:pPr>
            <w:r>
              <w:rPr>
                <w:rFonts w:ascii="Arial" w:hAnsi="Arial" w:cs="Arial"/>
                <w:sz w:val="20"/>
                <w:szCs w:val="20"/>
              </w:rPr>
              <w:t>(-0.40, -0.07)</w:t>
            </w:r>
          </w:p>
        </w:tc>
      </w:tr>
      <w:tr w:rsidR="00DB4040" w14:paraId="7F00C808" w14:textId="77777777">
        <w:trPr>
          <w:trHeight w:val="300"/>
        </w:trPr>
        <w:tc>
          <w:tcPr>
            <w:tcW w:w="426" w:type="pct"/>
            <w:shd w:val="clear" w:color="auto" w:fill="auto"/>
            <w:noWrap/>
            <w:vAlign w:val="center"/>
            <w:hideMark/>
          </w:tcPr>
          <w:p w14:paraId="7A8C4F9F"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NAI</w:t>
            </w:r>
          </w:p>
        </w:tc>
        <w:tc>
          <w:tcPr>
            <w:tcW w:w="795" w:type="pct"/>
          </w:tcPr>
          <w:p w14:paraId="73D786A9" w14:textId="77777777" w:rsidR="00DB4040" w:rsidRDefault="00762861">
            <w:pPr>
              <w:spacing w:after="0" w:line="48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Immediate recall</w:t>
            </w:r>
          </w:p>
        </w:tc>
        <w:tc>
          <w:tcPr>
            <w:tcW w:w="630" w:type="pct"/>
            <w:shd w:val="clear" w:color="auto" w:fill="auto"/>
            <w:noWrap/>
            <w:hideMark/>
          </w:tcPr>
          <w:p w14:paraId="2E5603FF" w14:textId="77777777" w:rsidR="00DB4040" w:rsidRDefault="00762861">
            <w:pPr>
              <w:spacing w:after="0" w:line="480" w:lineRule="auto"/>
              <w:jc w:val="center"/>
              <w:rPr>
                <w:rFonts w:ascii="Arial" w:eastAsia="Times New Roman" w:hAnsi="Arial" w:cs="Arial"/>
                <w:color w:val="000000"/>
                <w:sz w:val="20"/>
                <w:szCs w:val="20"/>
                <w:lang w:val="en-US"/>
              </w:rPr>
            </w:pPr>
            <w:r>
              <w:rPr>
                <w:rFonts w:ascii="Arial" w:hAnsi="Arial" w:cs="Arial"/>
                <w:sz w:val="20"/>
                <w:szCs w:val="20"/>
              </w:rPr>
              <w:t>0.01</w:t>
            </w:r>
          </w:p>
        </w:tc>
        <w:tc>
          <w:tcPr>
            <w:tcW w:w="630" w:type="pct"/>
          </w:tcPr>
          <w:p w14:paraId="34E41831" w14:textId="77777777" w:rsidR="00DB4040" w:rsidRDefault="00762861">
            <w:pPr>
              <w:spacing w:after="0" w:line="480" w:lineRule="auto"/>
              <w:jc w:val="center"/>
              <w:rPr>
                <w:rFonts w:ascii="Arial" w:hAnsi="Arial" w:cs="Arial"/>
                <w:sz w:val="20"/>
                <w:szCs w:val="20"/>
              </w:rPr>
            </w:pPr>
            <w:r>
              <w:rPr>
                <w:rFonts w:ascii="Arial" w:hAnsi="Arial" w:cs="Arial"/>
                <w:sz w:val="20"/>
                <w:szCs w:val="20"/>
              </w:rPr>
              <w:t>0.07</w:t>
            </w:r>
          </w:p>
        </w:tc>
        <w:tc>
          <w:tcPr>
            <w:tcW w:w="630" w:type="pct"/>
            <w:tcBorders>
              <w:right w:val="single" w:sz="4" w:space="0" w:color="auto"/>
            </w:tcBorders>
            <w:shd w:val="clear" w:color="auto" w:fill="auto"/>
            <w:noWrap/>
            <w:hideMark/>
          </w:tcPr>
          <w:p w14:paraId="2D80DF60" w14:textId="77777777" w:rsidR="00DB4040" w:rsidRDefault="00762861">
            <w:pPr>
              <w:spacing w:after="0" w:line="480" w:lineRule="auto"/>
              <w:jc w:val="center"/>
              <w:rPr>
                <w:rFonts w:ascii="Arial" w:eastAsia="Times New Roman" w:hAnsi="Arial" w:cs="Arial"/>
                <w:color w:val="000000"/>
                <w:sz w:val="20"/>
                <w:szCs w:val="20"/>
                <w:lang w:val="en-US"/>
              </w:rPr>
            </w:pPr>
            <w:r>
              <w:rPr>
                <w:rFonts w:ascii="Arial" w:hAnsi="Arial" w:cs="Arial"/>
                <w:sz w:val="20"/>
                <w:szCs w:val="20"/>
              </w:rPr>
              <w:t>(-0.14, 0.15)</w:t>
            </w:r>
          </w:p>
        </w:tc>
        <w:tc>
          <w:tcPr>
            <w:tcW w:w="630" w:type="pct"/>
            <w:tcBorders>
              <w:left w:val="single" w:sz="4" w:space="0" w:color="auto"/>
            </w:tcBorders>
            <w:shd w:val="clear" w:color="auto" w:fill="auto"/>
            <w:noWrap/>
          </w:tcPr>
          <w:p w14:paraId="44063BF8" w14:textId="77777777" w:rsidR="00DB4040" w:rsidRDefault="00762861">
            <w:pPr>
              <w:spacing w:after="0" w:line="480" w:lineRule="auto"/>
              <w:jc w:val="center"/>
              <w:rPr>
                <w:rFonts w:ascii="Arial" w:eastAsia="Times New Roman" w:hAnsi="Arial" w:cs="Arial"/>
                <w:color w:val="000000"/>
                <w:sz w:val="20"/>
                <w:szCs w:val="20"/>
                <w:lang w:val="en-US"/>
              </w:rPr>
            </w:pPr>
            <w:r>
              <w:rPr>
                <w:rFonts w:ascii="Arial" w:hAnsi="Arial" w:cs="Arial"/>
                <w:sz w:val="20"/>
                <w:szCs w:val="20"/>
              </w:rPr>
              <w:t>0.004</w:t>
            </w:r>
          </w:p>
        </w:tc>
        <w:tc>
          <w:tcPr>
            <w:tcW w:w="630" w:type="pct"/>
          </w:tcPr>
          <w:p w14:paraId="3E37679E" w14:textId="77777777" w:rsidR="00DB4040" w:rsidRDefault="00762861">
            <w:pPr>
              <w:spacing w:after="0" w:line="480" w:lineRule="auto"/>
              <w:jc w:val="center"/>
              <w:rPr>
                <w:rFonts w:ascii="Arial" w:hAnsi="Arial" w:cs="Arial"/>
                <w:sz w:val="20"/>
                <w:szCs w:val="20"/>
              </w:rPr>
            </w:pPr>
            <w:r>
              <w:rPr>
                <w:rFonts w:ascii="Arial" w:hAnsi="Arial" w:cs="Arial"/>
                <w:sz w:val="20"/>
                <w:szCs w:val="20"/>
              </w:rPr>
              <w:t>0.05</w:t>
            </w:r>
          </w:p>
        </w:tc>
        <w:tc>
          <w:tcPr>
            <w:tcW w:w="630" w:type="pct"/>
          </w:tcPr>
          <w:p w14:paraId="6E8F0006" w14:textId="77777777" w:rsidR="00DB4040" w:rsidRDefault="00762861">
            <w:pPr>
              <w:spacing w:after="0" w:line="480" w:lineRule="auto"/>
              <w:jc w:val="center"/>
              <w:rPr>
                <w:rFonts w:ascii="Arial" w:hAnsi="Arial" w:cs="Arial"/>
                <w:sz w:val="20"/>
                <w:szCs w:val="20"/>
              </w:rPr>
            </w:pPr>
            <w:r>
              <w:rPr>
                <w:rFonts w:ascii="Arial" w:hAnsi="Arial" w:cs="Arial"/>
                <w:sz w:val="20"/>
                <w:szCs w:val="20"/>
              </w:rPr>
              <w:t xml:space="preserve">(-0.10, 0.11) </w:t>
            </w:r>
          </w:p>
        </w:tc>
      </w:tr>
      <w:tr w:rsidR="00DB4040" w14:paraId="7D23BE51" w14:textId="77777777">
        <w:trPr>
          <w:trHeight w:val="300"/>
        </w:trPr>
        <w:tc>
          <w:tcPr>
            <w:tcW w:w="426" w:type="pct"/>
            <w:tcBorders>
              <w:bottom w:val="single" w:sz="12" w:space="0" w:color="auto"/>
            </w:tcBorders>
            <w:shd w:val="clear" w:color="auto" w:fill="auto"/>
            <w:noWrap/>
            <w:vAlign w:val="center"/>
          </w:tcPr>
          <w:p w14:paraId="5C06E3CD" w14:textId="77777777" w:rsidR="00DB4040" w:rsidRDefault="00DB4040">
            <w:pPr>
              <w:spacing w:after="0" w:line="480" w:lineRule="auto"/>
              <w:jc w:val="both"/>
              <w:rPr>
                <w:rFonts w:ascii="Arial" w:eastAsia="Times New Roman" w:hAnsi="Arial" w:cs="Arial"/>
                <w:color w:val="000000"/>
                <w:sz w:val="20"/>
                <w:szCs w:val="20"/>
                <w:lang w:val="en-US"/>
              </w:rPr>
            </w:pPr>
          </w:p>
        </w:tc>
        <w:tc>
          <w:tcPr>
            <w:tcW w:w="795" w:type="pct"/>
            <w:tcBorders>
              <w:bottom w:val="single" w:sz="12" w:space="0" w:color="auto"/>
            </w:tcBorders>
          </w:tcPr>
          <w:p w14:paraId="0F5E03EC" w14:textId="77777777" w:rsidR="00DB4040" w:rsidRDefault="00762861">
            <w:pPr>
              <w:spacing w:after="0" w:line="480" w:lineRule="auto"/>
              <w:jc w:val="both"/>
              <w:rPr>
                <w:rFonts w:ascii="Arial" w:eastAsia="Times New Roman" w:hAnsi="Arial" w:cs="Arial"/>
                <w:color w:val="000000"/>
                <w:sz w:val="20"/>
                <w:szCs w:val="20"/>
                <w:lang w:val="en-US"/>
              </w:rPr>
            </w:pPr>
            <w:r>
              <w:rPr>
                <w:rFonts w:ascii="Arial" w:eastAsia="Times New Roman" w:hAnsi="Arial" w:cs="Arial"/>
                <w:color w:val="000000"/>
                <w:sz w:val="20"/>
                <w:szCs w:val="20"/>
                <w:lang w:val="en-US"/>
              </w:rPr>
              <w:t>Delayed recall</w:t>
            </w:r>
          </w:p>
        </w:tc>
        <w:tc>
          <w:tcPr>
            <w:tcW w:w="630" w:type="pct"/>
            <w:tcBorders>
              <w:bottom w:val="single" w:sz="12" w:space="0" w:color="auto"/>
            </w:tcBorders>
            <w:shd w:val="clear" w:color="auto" w:fill="auto"/>
            <w:noWrap/>
          </w:tcPr>
          <w:p w14:paraId="24C91D0C" w14:textId="77777777" w:rsidR="00DB4040" w:rsidRDefault="00762861">
            <w:pPr>
              <w:spacing w:after="0" w:line="480" w:lineRule="auto"/>
              <w:jc w:val="center"/>
              <w:rPr>
                <w:rFonts w:ascii="Arial" w:hAnsi="Arial" w:cs="Arial"/>
                <w:sz w:val="20"/>
                <w:szCs w:val="20"/>
                <w:lang w:val="en-US"/>
              </w:rPr>
            </w:pPr>
            <w:r>
              <w:rPr>
                <w:rFonts w:ascii="Arial" w:hAnsi="Arial" w:cs="Arial"/>
                <w:sz w:val="20"/>
                <w:szCs w:val="20"/>
              </w:rPr>
              <w:t>-0.17</w:t>
            </w:r>
          </w:p>
        </w:tc>
        <w:tc>
          <w:tcPr>
            <w:tcW w:w="630" w:type="pct"/>
            <w:tcBorders>
              <w:bottom w:val="single" w:sz="12" w:space="0" w:color="auto"/>
            </w:tcBorders>
          </w:tcPr>
          <w:p w14:paraId="526C248F" w14:textId="77777777" w:rsidR="00DB4040" w:rsidRDefault="00762861">
            <w:pPr>
              <w:spacing w:after="0" w:line="480" w:lineRule="auto"/>
              <w:jc w:val="center"/>
              <w:rPr>
                <w:rFonts w:ascii="Arial" w:hAnsi="Arial" w:cs="Arial"/>
                <w:sz w:val="20"/>
                <w:szCs w:val="20"/>
              </w:rPr>
            </w:pPr>
            <w:r>
              <w:rPr>
                <w:rFonts w:ascii="Arial" w:hAnsi="Arial" w:cs="Arial"/>
                <w:sz w:val="20"/>
                <w:szCs w:val="20"/>
              </w:rPr>
              <w:t>0.10</w:t>
            </w:r>
          </w:p>
        </w:tc>
        <w:tc>
          <w:tcPr>
            <w:tcW w:w="630" w:type="pct"/>
            <w:tcBorders>
              <w:bottom w:val="single" w:sz="12" w:space="0" w:color="auto"/>
              <w:right w:val="single" w:sz="4" w:space="0" w:color="auto"/>
            </w:tcBorders>
            <w:shd w:val="clear" w:color="auto" w:fill="auto"/>
            <w:noWrap/>
          </w:tcPr>
          <w:p w14:paraId="19C35B91" w14:textId="77777777" w:rsidR="00DB4040" w:rsidRDefault="00762861">
            <w:pPr>
              <w:spacing w:after="0" w:line="480" w:lineRule="auto"/>
              <w:jc w:val="center"/>
              <w:rPr>
                <w:rFonts w:ascii="Arial" w:hAnsi="Arial" w:cs="Arial"/>
                <w:sz w:val="20"/>
                <w:szCs w:val="20"/>
                <w:lang w:val="en-US"/>
              </w:rPr>
            </w:pPr>
            <w:r>
              <w:rPr>
                <w:rFonts w:ascii="Arial" w:hAnsi="Arial" w:cs="Arial"/>
                <w:sz w:val="20"/>
                <w:szCs w:val="20"/>
              </w:rPr>
              <w:t>(-0.36, 0.03)</w:t>
            </w:r>
          </w:p>
        </w:tc>
        <w:tc>
          <w:tcPr>
            <w:tcW w:w="630" w:type="pct"/>
            <w:tcBorders>
              <w:left w:val="single" w:sz="4" w:space="0" w:color="auto"/>
              <w:bottom w:val="single" w:sz="12" w:space="0" w:color="auto"/>
            </w:tcBorders>
            <w:shd w:val="clear" w:color="auto" w:fill="auto"/>
            <w:noWrap/>
          </w:tcPr>
          <w:p w14:paraId="769C8671" w14:textId="77777777" w:rsidR="00DB4040" w:rsidRDefault="00762861">
            <w:pPr>
              <w:spacing w:after="0" w:line="480" w:lineRule="auto"/>
              <w:jc w:val="center"/>
              <w:rPr>
                <w:rFonts w:ascii="Arial" w:hAnsi="Arial" w:cs="Arial"/>
                <w:sz w:val="20"/>
                <w:szCs w:val="20"/>
                <w:lang w:val="en-US"/>
              </w:rPr>
            </w:pPr>
            <w:r>
              <w:rPr>
                <w:rFonts w:ascii="Arial" w:hAnsi="Arial" w:cs="Arial"/>
                <w:sz w:val="20"/>
                <w:szCs w:val="20"/>
              </w:rPr>
              <w:t>-0.10</w:t>
            </w:r>
          </w:p>
        </w:tc>
        <w:tc>
          <w:tcPr>
            <w:tcW w:w="630" w:type="pct"/>
            <w:tcBorders>
              <w:bottom w:val="single" w:sz="12" w:space="0" w:color="auto"/>
            </w:tcBorders>
          </w:tcPr>
          <w:p w14:paraId="6DDE82CD" w14:textId="77777777" w:rsidR="00DB4040" w:rsidRDefault="00762861">
            <w:pPr>
              <w:spacing w:after="0" w:line="480" w:lineRule="auto"/>
              <w:jc w:val="center"/>
              <w:rPr>
                <w:rFonts w:ascii="Arial" w:hAnsi="Arial" w:cs="Arial"/>
                <w:sz w:val="20"/>
                <w:szCs w:val="20"/>
              </w:rPr>
            </w:pPr>
            <w:r>
              <w:rPr>
                <w:rFonts w:ascii="Arial" w:hAnsi="Arial" w:cs="Arial"/>
                <w:sz w:val="20"/>
                <w:szCs w:val="20"/>
              </w:rPr>
              <w:t>0.06</w:t>
            </w:r>
          </w:p>
        </w:tc>
        <w:tc>
          <w:tcPr>
            <w:tcW w:w="630" w:type="pct"/>
            <w:tcBorders>
              <w:bottom w:val="single" w:sz="12" w:space="0" w:color="auto"/>
            </w:tcBorders>
          </w:tcPr>
          <w:p w14:paraId="0C4CE617" w14:textId="77777777" w:rsidR="00DB4040" w:rsidRDefault="00762861">
            <w:pPr>
              <w:spacing w:after="0" w:line="480" w:lineRule="auto"/>
              <w:jc w:val="center"/>
              <w:rPr>
                <w:rFonts w:ascii="Arial" w:hAnsi="Arial" w:cs="Arial"/>
                <w:sz w:val="20"/>
                <w:szCs w:val="20"/>
              </w:rPr>
            </w:pPr>
            <w:r>
              <w:rPr>
                <w:rFonts w:ascii="Arial" w:hAnsi="Arial" w:cs="Arial"/>
                <w:sz w:val="20"/>
                <w:szCs w:val="20"/>
              </w:rPr>
              <w:t>(-0.21, 0.02)</w:t>
            </w:r>
          </w:p>
        </w:tc>
      </w:tr>
    </w:tbl>
    <w:p w14:paraId="5F4931F2" w14:textId="77777777" w:rsidR="00DB4040" w:rsidRDefault="00762861">
      <w:pPr>
        <w:spacing w:after="0" w:line="360" w:lineRule="auto"/>
        <w:jc w:val="both"/>
        <w:rPr>
          <w:rFonts w:ascii="Arial" w:hAnsi="Arial" w:cs="Arial"/>
          <w:sz w:val="18"/>
          <w:szCs w:val="18"/>
          <w:lang w:val="en-US"/>
        </w:rPr>
      </w:pPr>
      <w:r>
        <w:rPr>
          <w:rFonts w:ascii="Arial" w:hAnsi="Arial" w:cs="Arial"/>
          <w:sz w:val="18"/>
          <w:szCs w:val="18"/>
          <w:lang w:val="en-US"/>
        </w:rPr>
        <w:t>VLMT, Verbal learning and memory test (n=1,569); NAI, Nuremberg Age Inventory (n=4,142)</w:t>
      </w:r>
    </w:p>
    <w:p w14:paraId="160DE8F5" w14:textId="77777777" w:rsidR="00DB4040" w:rsidRDefault="00762861">
      <w:pPr>
        <w:spacing w:line="360" w:lineRule="auto"/>
        <w:jc w:val="both"/>
        <w:rPr>
          <w:rFonts w:ascii="Arial" w:hAnsi="Arial" w:cs="Arial"/>
          <w:sz w:val="18"/>
          <w:szCs w:val="18"/>
          <w:lang w:val="en-US"/>
        </w:rPr>
      </w:pPr>
      <w:r>
        <w:rPr>
          <w:rFonts w:ascii="Arial" w:hAnsi="Arial" w:cs="Arial"/>
          <w:sz w:val="18"/>
          <w:szCs w:val="18"/>
          <w:lang w:val="en-US"/>
        </w:rPr>
        <w:t xml:space="preserve">Models </w:t>
      </w:r>
      <w:proofErr w:type="gramStart"/>
      <w:r>
        <w:rPr>
          <w:rFonts w:ascii="Arial" w:hAnsi="Arial" w:cs="Arial"/>
          <w:sz w:val="18"/>
          <w:szCs w:val="18"/>
          <w:lang w:val="en-US"/>
        </w:rPr>
        <w:t>are adjusted</w:t>
      </w:r>
      <w:proofErr w:type="gramEnd"/>
      <w:r>
        <w:rPr>
          <w:rFonts w:ascii="Arial" w:hAnsi="Arial" w:cs="Arial"/>
          <w:sz w:val="18"/>
          <w:szCs w:val="18"/>
          <w:lang w:val="en-US"/>
        </w:rPr>
        <w:t xml:space="preserve"> for age, sex, interaction between age and sex, education level, income, smoking, alcohol consumption, total cholesterol/HDL-cholesterol, glycated hemoglobin (HbA1C), systolic blood pressure, body mass index (BMI), use of anticholinergic drugs, antidepressants, antidiabetic drugs, antihypertensive drugs, anti-inflammatory drugs, and statins.</w:t>
      </w:r>
    </w:p>
    <w:p w14:paraId="2EAEC2E4" w14:textId="77777777" w:rsidR="00DB4040" w:rsidRDefault="00DB4040">
      <w:pPr>
        <w:spacing w:line="360" w:lineRule="auto"/>
        <w:jc w:val="both"/>
        <w:rPr>
          <w:rFonts w:ascii="Arial" w:hAnsi="Arial" w:cs="Arial"/>
          <w:lang w:val="en-US"/>
        </w:rPr>
      </w:pPr>
    </w:p>
    <w:p w14:paraId="01776E0A" w14:textId="77777777" w:rsidR="00DB4040" w:rsidRDefault="00DB4040">
      <w:pPr>
        <w:spacing w:line="360" w:lineRule="auto"/>
        <w:jc w:val="both"/>
        <w:rPr>
          <w:rFonts w:ascii="Arial" w:hAnsi="Arial" w:cs="Arial"/>
          <w:lang w:val="en-US"/>
        </w:rPr>
      </w:pPr>
    </w:p>
    <w:sectPr w:rsidR="00DB4040">
      <w:pgSz w:w="16838" w:h="11906" w:orient="landscape" w:code="9"/>
      <w:pgMar w:top="1418" w:right="1418" w:bottom="2268" w:left="1134" w:header="709"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C848E3" w16cid:durableId="222E1138"/>
  <w16cid:commentId w16cid:paraId="643B3609" w16cid:durableId="22308D9F"/>
  <w16cid:commentId w16cid:paraId="1F1739C3" w16cid:durableId="222E1139"/>
  <w16cid:commentId w16cid:paraId="0481D11E" w16cid:durableId="222E113A"/>
  <w16cid:commentId w16cid:paraId="71254108" w16cid:durableId="22308FDB"/>
  <w16cid:commentId w16cid:paraId="1009551D" w16cid:durableId="22308DA2"/>
  <w16cid:commentId w16cid:paraId="444B477D" w16cid:durableId="222E113B"/>
  <w16cid:commentId w16cid:paraId="6AF41C78" w16cid:durableId="222E113C"/>
  <w16cid:commentId w16cid:paraId="12C92F2E" w16cid:durableId="222E113D"/>
  <w16cid:commentId w16cid:paraId="6042B820" w16cid:durableId="222E113E"/>
  <w16cid:commentId w16cid:paraId="6BCAA39F" w16cid:durableId="22308DA7"/>
  <w16cid:commentId w16cid:paraId="0AA01C71" w16cid:durableId="222E113F"/>
  <w16cid:commentId w16cid:paraId="1A8E5F99" w16cid:durableId="222E1140"/>
  <w16cid:commentId w16cid:paraId="144B1139" w16cid:durableId="22309610"/>
  <w16cid:commentId w16cid:paraId="0E60D34F" w16cid:durableId="223096C5"/>
  <w16cid:commentId w16cid:paraId="343311FE" w16cid:durableId="2230978E"/>
  <w16cid:commentId w16cid:paraId="3A0D060D" w16cid:durableId="2230983D"/>
  <w16cid:commentId w16cid:paraId="2972E759" w16cid:durableId="222E1141"/>
  <w16cid:commentId w16cid:paraId="7DC9D419" w16cid:durableId="222E1142"/>
  <w16cid:commentId w16cid:paraId="72C586A8" w16cid:durableId="2230994C"/>
  <w16cid:commentId w16cid:paraId="14052C2F" w16cid:durableId="2230999E"/>
  <w16cid:commentId w16cid:paraId="5CCE074C" w16cid:durableId="223099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56DC3" w14:textId="77777777" w:rsidR="000C4BF9" w:rsidRDefault="000C4BF9">
      <w:pPr>
        <w:spacing w:after="0" w:line="240" w:lineRule="auto"/>
      </w:pPr>
      <w:r>
        <w:separator/>
      </w:r>
    </w:p>
  </w:endnote>
  <w:endnote w:type="continuationSeparator" w:id="0">
    <w:p w14:paraId="1D6DDD7E" w14:textId="77777777" w:rsidR="000C4BF9" w:rsidRDefault="000C4B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tsrpbAdvTT3713a231">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vOT987ad488">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B46C80" w14:textId="77777777" w:rsidR="000C4BF9" w:rsidRDefault="000C4BF9">
      <w:pPr>
        <w:spacing w:after="0" w:line="240" w:lineRule="auto"/>
      </w:pPr>
      <w:r>
        <w:separator/>
      </w:r>
    </w:p>
  </w:footnote>
  <w:footnote w:type="continuationSeparator" w:id="0">
    <w:p w14:paraId="5990CC6E" w14:textId="77777777" w:rsidR="000C4BF9" w:rsidRDefault="000C4B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883339"/>
      <w:docPartObj>
        <w:docPartGallery w:val="Page Numbers (Top of Page)"/>
        <w:docPartUnique/>
      </w:docPartObj>
    </w:sdtPr>
    <w:sdtEndPr/>
    <w:sdtContent>
      <w:p w14:paraId="48EB72E9" w14:textId="6B13099B" w:rsidR="00762861" w:rsidRDefault="00762861">
        <w:pPr>
          <w:pStyle w:val="Kopfzeile"/>
          <w:jc w:val="right"/>
        </w:pPr>
        <w:r>
          <w:t xml:space="preserve">Ahn </w:t>
        </w:r>
        <w:r>
          <w:fldChar w:fldCharType="begin"/>
        </w:r>
        <w:r>
          <w:instrText>PAGE   \* MERGEFORMAT</w:instrText>
        </w:r>
        <w:r>
          <w:fldChar w:fldCharType="separate"/>
        </w:r>
        <w:r w:rsidR="00C9322A">
          <w:rPr>
            <w:noProof/>
          </w:rPr>
          <w:t>2</w:t>
        </w:r>
        <w:r>
          <w:fldChar w:fldCharType="end"/>
        </w:r>
      </w:p>
    </w:sdtContent>
  </w:sdt>
  <w:p w14:paraId="0BA43FDF" w14:textId="77777777" w:rsidR="00762861" w:rsidRDefault="0076286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A1CE7"/>
    <w:multiLevelType w:val="hybridMultilevel"/>
    <w:tmpl w:val="E68E885C"/>
    <w:lvl w:ilvl="0" w:tplc="06D46CB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5405F"/>
    <w:multiLevelType w:val="multilevel"/>
    <w:tmpl w:val="87961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79552A"/>
    <w:multiLevelType w:val="hybridMultilevel"/>
    <w:tmpl w:val="BB5EBE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45913"/>
    <w:multiLevelType w:val="hybridMultilevel"/>
    <w:tmpl w:val="F70E68BE"/>
    <w:lvl w:ilvl="0" w:tplc="EA600BAA">
      <w:start w:val="1"/>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66522923"/>
    <w:multiLevelType w:val="multilevel"/>
    <w:tmpl w:val="9FB8F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B717A8C"/>
    <w:multiLevelType w:val="hybridMultilevel"/>
    <w:tmpl w:val="8A4A9D40"/>
    <w:lvl w:ilvl="0" w:tplc="751AD150">
      <w:numFmt w:val="bullet"/>
      <w:lvlText w:val=""/>
      <w:lvlJc w:val="left"/>
      <w:pPr>
        <w:ind w:left="720" w:hanging="360"/>
      </w:pPr>
      <w:rPr>
        <w:rFonts w:ascii="Wingdings" w:eastAsiaTheme="minorEastAsia" w:hAnsi="Wingdings" w:cs="QtsrpbAdvTT3713a23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de-DE" w:vendorID="64" w:dllVersion="6" w:nlCheck="1" w:checkStyle="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en-US" w:vendorID="64" w:dllVersion="131078" w:nlCheck="1" w:checkStyle="0"/>
  <w:activeWritingStyle w:appName="MSWord" w:lang="de-DE" w:vendorID="64" w:dllVersion="131078" w:nlCheck="1" w:checkStyle="0"/>
  <w:activeWritingStyle w:appName="MSWord" w:lang="en-GB" w:vendorID="64" w:dllVersion="131078" w:nlCheck="1" w:checkStyle="1"/>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OzMDIwNjQyM7UEEko6SsGpxcWZ+XkgBUa1AMOTBx4sAAAA"/>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2tfeaffpfpfeqea2vo52rae0vv50spszr0v&quot;&gt;RiDe-PPI_studyprotocol&lt;record-ids&gt;&lt;item&gt;248&lt;/item&gt;&lt;item&gt;249&lt;/item&gt;&lt;/record-ids&gt;&lt;/item&gt;&lt;/Libraries&gt;"/>
  </w:docVars>
  <w:rsids>
    <w:rsidRoot w:val="00DB4040"/>
    <w:rsid w:val="000540D3"/>
    <w:rsid w:val="000C4BF9"/>
    <w:rsid w:val="002B5424"/>
    <w:rsid w:val="003A43DF"/>
    <w:rsid w:val="003B353F"/>
    <w:rsid w:val="00476C56"/>
    <w:rsid w:val="004A5D3B"/>
    <w:rsid w:val="005016BF"/>
    <w:rsid w:val="005664D7"/>
    <w:rsid w:val="005D6ACF"/>
    <w:rsid w:val="00620AE1"/>
    <w:rsid w:val="00634F24"/>
    <w:rsid w:val="0069314F"/>
    <w:rsid w:val="006F7A62"/>
    <w:rsid w:val="00762861"/>
    <w:rsid w:val="008A6707"/>
    <w:rsid w:val="008C66EB"/>
    <w:rsid w:val="00903F90"/>
    <w:rsid w:val="00964938"/>
    <w:rsid w:val="009975A8"/>
    <w:rsid w:val="009B361F"/>
    <w:rsid w:val="00A265DF"/>
    <w:rsid w:val="00AA333A"/>
    <w:rsid w:val="00B32F01"/>
    <w:rsid w:val="00B40FD8"/>
    <w:rsid w:val="00B50E30"/>
    <w:rsid w:val="00BB5D8F"/>
    <w:rsid w:val="00C01EE0"/>
    <w:rsid w:val="00C33E6F"/>
    <w:rsid w:val="00C60F62"/>
    <w:rsid w:val="00C9322A"/>
    <w:rsid w:val="00CD2F06"/>
    <w:rsid w:val="00D422C2"/>
    <w:rsid w:val="00DA3ABC"/>
    <w:rsid w:val="00DB3AAD"/>
    <w:rsid w:val="00DB4040"/>
    <w:rsid w:val="00E12A56"/>
    <w:rsid w:val="00E2570B"/>
    <w:rsid w:val="00EE6032"/>
    <w:rsid w:val="00F013AE"/>
  </w:rsids>
  <m:mathPr>
    <m:mathFont m:val="Cambria Math"/>
    <m:brkBin m:val="before"/>
    <m:brkBinSub m:val="--"/>
    <m:smallFrac m:val="0"/>
    <m:dispDef/>
    <m:lMargin m:val="0"/>
    <m:rMargin m:val="0"/>
    <m:defJc m:val="centerGroup"/>
    <m:wrapIndent m:val="1440"/>
    <m:intLim m:val="subSup"/>
    <m:naryLim m:val="undOvr"/>
  </m:mathPr>
  <w:themeFontLang w:val="de-DE" w:eastAsia="ko-K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F55538A"/>
  <w15:docId w15:val="{3756817B-60CB-7540-9060-CEE06D878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2">
    <w:name w:val="heading 2"/>
    <w:basedOn w:val="Standard"/>
    <w:next w:val="Standard"/>
    <w:link w:val="berschrift2Zchn"/>
    <w:uiPriority w:val="9"/>
    <w:unhideWhenUsed/>
    <w:qFormat/>
    <w:pPr>
      <w:keepNext/>
      <w:tabs>
        <w:tab w:val="left" w:pos="567"/>
      </w:tabs>
      <w:spacing w:before="240" w:after="120" w:line="480" w:lineRule="auto"/>
      <w:jc w:val="both"/>
      <w:outlineLvl w:val="1"/>
    </w:pPr>
    <w:rPr>
      <w:rFonts w:ascii="Arial" w:eastAsiaTheme="majorEastAsia" w:hAnsi="Arial" w:cstheme="majorBidi"/>
      <w:bCs/>
      <w:i/>
      <w:iCs/>
      <w:sz w:val="24"/>
      <w:szCs w:val="28"/>
      <w:lang w:eastAsia="ja-JP"/>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 w:val="20"/>
      <w:szCs w:val="20"/>
    </w:rPr>
  </w:style>
  <w:style w:type="character" w:customStyle="1" w:styleId="KommentartextZchn">
    <w:name w:val="Kommentartext Zchn"/>
    <w:basedOn w:val="Absatz-Standardschriftart"/>
    <w:link w:val="Kommentartext"/>
    <w:uiPriority w:val="99"/>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character" w:styleId="Hyperlink">
    <w:name w:val="Hyperlink"/>
    <w:basedOn w:val="Absatz-Standardschriftart"/>
    <w:uiPriority w:val="99"/>
    <w:unhideWhenUsed/>
    <w:rPr>
      <w:color w:val="0000FF"/>
      <w:u w:val="single"/>
    </w:rPr>
  </w:style>
  <w:style w:type="paragraph" w:styleId="Listenabsatz">
    <w:name w:val="List Paragraph"/>
    <w:basedOn w:val="Standard"/>
    <w:uiPriority w:val="34"/>
    <w:qFormat/>
    <w:pPr>
      <w:ind w:left="720"/>
      <w:contextualSpacing/>
    </w:pPr>
  </w:style>
  <w:style w:type="paragraph" w:styleId="berarbeitung">
    <w:name w:val="Revision"/>
    <w:hidden/>
    <w:uiPriority w:val="99"/>
    <w:semiHidden/>
    <w:pPr>
      <w:spacing w:after="0" w:line="240" w:lineRule="auto"/>
    </w:pPr>
  </w:style>
  <w:style w:type="paragraph" w:styleId="StandardWeb">
    <w:name w:val="Normal (Web)"/>
    <w:basedOn w:val="Standard"/>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Fett">
    <w:name w:val="Strong"/>
    <w:basedOn w:val="Absatz-Standardschriftart"/>
    <w:uiPriority w:val="22"/>
    <w:qFormat/>
    <w:rPr>
      <w:b/>
      <w:bCs/>
    </w:rPr>
  </w:style>
  <w:style w:type="paragraph" w:customStyle="1" w:styleId="EndNoteBibliographyTitle">
    <w:name w:val="EndNote Bibliography Title"/>
    <w:basedOn w:val="Standard"/>
    <w:link w:val="EndNoteBibliographyTitleZchn"/>
    <w:pPr>
      <w:spacing w:after="0"/>
      <w:jc w:val="center"/>
    </w:pPr>
    <w:rPr>
      <w:rFonts w:ascii="Calibri" w:hAnsi="Calibri" w:cs="Calibri"/>
      <w:noProof/>
    </w:rPr>
  </w:style>
  <w:style w:type="character" w:customStyle="1" w:styleId="EndNoteBibliographyTitleZchn">
    <w:name w:val="EndNote Bibliography Title Zchn"/>
    <w:basedOn w:val="Absatz-Standardschriftart"/>
    <w:link w:val="EndNoteBibliographyTitle"/>
    <w:rPr>
      <w:rFonts w:ascii="Calibri" w:hAnsi="Calibri" w:cs="Calibri"/>
      <w:noProof/>
    </w:rPr>
  </w:style>
  <w:style w:type="paragraph" w:customStyle="1" w:styleId="EndNoteBibliography">
    <w:name w:val="EndNote Bibliography"/>
    <w:basedOn w:val="Standard"/>
    <w:link w:val="EndNoteBibliographyZchn"/>
    <w:pPr>
      <w:spacing w:line="240" w:lineRule="auto"/>
      <w:jc w:val="both"/>
    </w:pPr>
    <w:rPr>
      <w:rFonts w:ascii="Calibri" w:hAnsi="Calibri" w:cs="Calibri"/>
      <w:noProof/>
    </w:rPr>
  </w:style>
  <w:style w:type="character" w:customStyle="1" w:styleId="EndNoteBibliographyZchn">
    <w:name w:val="EndNote Bibliography Zchn"/>
    <w:basedOn w:val="Absatz-Standardschriftart"/>
    <w:link w:val="EndNoteBibliography"/>
    <w:rPr>
      <w:rFonts w:ascii="Calibri" w:hAnsi="Calibri" w:cs="Calibri"/>
      <w:noProof/>
    </w:rPr>
  </w:style>
  <w:style w:type="character" w:customStyle="1" w:styleId="fontstyle01">
    <w:name w:val="fontstyle01"/>
    <w:basedOn w:val="Absatz-Standardschriftart"/>
    <w:rPr>
      <w:rFonts w:ascii="AdvOT987ad488" w:hAnsi="AdvOT987ad488" w:hint="default"/>
      <w:b w:val="0"/>
      <w:bCs w:val="0"/>
      <w:i w:val="0"/>
      <w:iCs w:val="0"/>
      <w:color w:val="000000"/>
      <w:sz w:val="22"/>
      <w:szCs w:val="22"/>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ghwire-cite-title">
    <w:name w:val="highwire-cite-title"/>
    <w:basedOn w:val="Absatz-Standardschriftart"/>
  </w:style>
  <w:style w:type="character" w:customStyle="1" w:styleId="highwire-citation-authors">
    <w:name w:val="highwire-citation-authors"/>
    <w:basedOn w:val="Absatz-Standardschriftart"/>
  </w:style>
  <w:style w:type="character" w:customStyle="1" w:styleId="highwire-citation-author">
    <w:name w:val="highwire-citation-author"/>
    <w:basedOn w:val="Absatz-Standardschriftart"/>
  </w:style>
  <w:style w:type="character" w:customStyle="1" w:styleId="nlm-given-names">
    <w:name w:val="nlm-given-names"/>
    <w:basedOn w:val="Absatz-Standardschriftart"/>
  </w:style>
  <w:style w:type="character" w:customStyle="1" w:styleId="nlm-surname">
    <w:name w:val="nlm-surname"/>
    <w:basedOn w:val="Absatz-Standardschriftart"/>
  </w:style>
  <w:style w:type="character" w:customStyle="1" w:styleId="highwire-citation-author-suffix">
    <w:name w:val="highwire-citation-author-suffix"/>
    <w:basedOn w:val="Absatz-Standardschriftart"/>
  </w:style>
  <w:style w:type="character" w:customStyle="1" w:styleId="highwire-cite-metadata-date">
    <w:name w:val="highwire-cite-metadata-date"/>
    <w:basedOn w:val="Absatz-Standardschriftart"/>
  </w:style>
  <w:style w:type="paragraph" w:customStyle="1" w:styleId="Default">
    <w:name w:val="Default"/>
    <w:pPr>
      <w:autoSpaceDE w:val="0"/>
      <w:autoSpaceDN w:val="0"/>
      <w:adjustRightInd w:val="0"/>
      <w:spacing w:after="0" w:line="240" w:lineRule="auto"/>
    </w:pPr>
    <w:rPr>
      <w:rFonts w:ascii="Trebuchet MS" w:hAnsi="Trebuchet MS" w:cs="Trebuchet MS"/>
      <w:color w:val="000000"/>
      <w:sz w:val="24"/>
      <w:szCs w:val="24"/>
      <w:lang w:val="en-US"/>
    </w:rPr>
  </w:style>
  <w:style w:type="paragraph" w:styleId="Kopfzeile">
    <w:name w:val="header"/>
    <w:basedOn w:val="Standard"/>
    <w:link w:val="KopfzeileZchn"/>
    <w:uiPriority w:val="99"/>
    <w:unhideWhenUsed/>
    <w:pPr>
      <w:tabs>
        <w:tab w:val="center" w:pos="4680"/>
        <w:tab w:val="right" w:pos="9360"/>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680"/>
        <w:tab w:val="right" w:pos="9360"/>
      </w:tabs>
      <w:spacing w:after="0" w:line="240" w:lineRule="auto"/>
    </w:pPr>
  </w:style>
  <w:style w:type="character" w:customStyle="1" w:styleId="FuzeileZchn">
    <w:name w:val="Fußzeile Zchn"/>
    <w:basedOn w:val="Absatz-Standardschriftart"/>
    <w:link w:val="Fuzeile"/>
    <w:uiPriority w:val="99"/>
  </w:style>
  <w:style w:type="character" w:customStyle="1" w:styleId="identifier">
    <w:name w:val="identifier"/>
    <w:basedOn w:val="Absatz-Standardschriftart"/>
  </w:style>
  <w:style w:type="character" w:customStyle="1" w:styleId="id-label">
    <w:name w:val="id-label"/>
    <w:basedOn w:val="Absatz-Standardschriftart"/>
  </w:style>
  <w:style w:type="character" w:styleId="BesuchterLink">
    <w:name w:val="FollowedHyperlink"/>
    <w:basedOn w:val="Absatz-Standardschriftart"/>
    <w:uiPriority w:val="99"/>
    <w:semiHidden/>
    <w:unhideWhenUsed/>
    <w:rPr>
      <w:color w:val="954F72" w:themeColor="followedHyperlink"/>
      <w:u w:val="single"/>
    </w:rPr>
  </w:style>
  <w:style w:type="character" w:customStyle="1" w:styleId="berschrift2Zchn">
    <w:name w:val="Überschrift 2 Zchn"/>
    <w:basedOn w:val="Absatz-Standardschriftart"/>
    <w:link w:val="berschrift2"/>
    <w:uiPriority w:val="9"/>
    <w:rPr>
      <w:rFonts w:ascii="Arial" w:eastAsiaTheme="majorEastAsia" w:hAnsi="Arial" w:cstheme="majorBidi"/>
      <w:bCs/>
      <w:i/>
      <w:iCs/>
      <w:sz w:val="24"/>
      <w:szCs w:val="28"/>
      <w:lang w:eastAsia="ja-JP"/>
    </w:rPr>
  </w:style>
  <w:style w:type="paragraph" w:customStyle="1" w:styleId="f-body--xs">
    <w:name w:val="f-body--xs"/>
    <w:basedOn w:val="Standar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nlmstring-name">
    <w:name w:val="nlm_string-name"/>
    <w:basedOn w:val="Absatz-Standardschriftart"/>
  </w:style>
  <w:style w:type="character" w:customStyle="1" w:styleId="nlmyear">
    <w:name w:val="nlm_year"/>
    <w:basedOn w:val="Absatz-Standardschriftart"/>
  </w:style>
  <w:style w:type="character" w:customStyle="1" w:styleId="nlmfpage">
    <w:name w:val="nlm_fpage"/>
    <w:basedOn w:val="Absatz-Standardschriftart"/>
  </w:style>
  <w:style w:type="character" w:customStyle="1" w:styleId="nlmlpage">
    <w:name w:val="nlm_lpage"/>
    <w:basedOn w:val="Absatz-Standardschriftart"/>
  </w:style>
  <w:style w:type="character" w:customStyle="1" w:styleId="sr-only">
    <w:name w:val="sr-only"/>
    <w:basedOn w:val="Absatz-Standardschriftar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82094">
      <w:bodyDiv w:val="1"/>
      <w:marLeft w:val="0"/>
      <w:marRight w:val="0"/>
      <w:marTop w:val="0"/>
      <w:marBottom w:val="0"/>
      <w:divBdr>
        <w:top w:val="none" w:sz="0" w:space="0" w:color="auto"/>
        <w:left w:val="none" w:sz="0" w:space="0" w:color="auto"/>
        <w:bottom w:val="none" w:sz="0" w:space="0" w:color="auto"/>
        <w:right w:val="none" w:sz="0" w:space="0" w:color="auto"/>
      </w:divBdr>
    </w:div>
    <w:div w:id="246039684">
      <w:bodyDiv w:val="1"/>
      <w:marLeft w:val="0"/>
      <w:marRight w:val="0"/>
      <w:marTop w:val="0"/>
      <w:marBottom w:val="0"/>
      <w:divBdr>
        <w:top w:val="none" w:sz="0" w:space="0" w:color="auto"/>
        <w:left w:val="none" w:sz="0" w:space="0" w:color="auto"/>
        <w:bottom w:val="none" w:sz="0" w:space="0" w:color="auto"/>
        <w:right w:val="none" w:sz="0" w:space="0" w:color="auto"/>
      </w:divBdr>
    </w:div>
    <w:div w:id="377097379">
      <w:bodyDiv w:val="1"/>
      <w:marLeft w:val="0"/>
      <w:marRight w:val="0"/>
      <w:marTop w:val="0"/>
      <w:marBottom w:val="0"/>
      <w:divBdr>
        <w:top w:val="none" w:sz="0" w:space="0" w:color="auto"/>
        <w:left w:val="none" w:sz="0" w:space="0" w:color="auto"/>
        <w:bottom w:val="none" w:sz="0" w:space="0" w:color="auto"/>
        <w:right w:val="none" w:sz="0" w:space="0" w:color="auto"/>
      </w:divBdr>
    </w:div>
    <w:div w:id="407850796">
      <w:bodyDiv w:val="1"/>
      <w:marLeft w:val="0"/>
      <w:marRight w:val="0"/>
      <w:marTop w:val="0"/>
      <w:marBottom w:val="0"/>
      <w:divBdr>
        <w:top w:val="none" w:sz="0" w:space="0" w:color="auto"/>
        <w:left w:val="none" w:sz="0" w:space="0" w:color="auto"/>
        <w:bottom w:val="none" w:sz="0" w:space="0" w:color="auto"/>
        <w:right w:val="none" w:sz="0" w:space="0" w:color="auto"/>
      </w:divBdr>
    </w:div>
    <w:div w:id="440877850">
      <w:bodyDiv w:val="1"/>
      <w:marLeft w:val="0"/>
      <w:marRight w:val="0"/>
      <w:marTop w:val="0"/>
      <w:marBottom w:val="0"/>
      <w:divBdr>
        <w:top w:val="none" w:sz="0" w:space="0" w:color="auto"/>
        <w:left w:val="none" w:sz="0" w:space="0" w:color="auto"/>
        <w:bottom w:val="none" w:sz="0" w:space="0" w:color="auto"/>
        <w:right w:val="none" w:sz="0" w:space="0" w:color="auto"/>
      </w:divBdr>
    </w:div>
    <w:div w:id="536964262">
      <w:bodyDiv w:val="1"/>
      <w:marLeft w:val="0"/>
      <w:marRight w:val="0"/>
      <w:marTop w:val="0"/>
      <w:marBottom w:val="0"/>
      <w:divBdr>
        <w:top w:val="none" w:sz="0" w:space="0" w:color="auto"/>
        <w:left w:val="none" w:sz="0" w:space="0" w:color="auto"/>
        <w:bottom w:val="none" w:sz="0" w:space="0" w:color="auto"/>
        <w:right w:val="none" w:sz="0" w:space="0" w:color="auto"/>
      </w:divBdr>
    </w:div>
    <w:div w:id="620647295">
      <w:bodyDiv w:val="1"/>
      <w:marLeft w:val="0"/>
      <w:marRight w:val="0"/>
      <w:marTop w:val="0"/>
      <w:marBottom w:val="0"/>
      <w:divBdr>
        <w:top w:val="none" w:sz="0" w:space="0" w:color="auto"/>
        <w:left w:val="none" w:sz="0" w:space="0" w:color="auto"/>
        <w:bottom w:val="none" w:sz="0" w:space="0" w:color="auto"/>
        <w:right w:val="none" w:sz="0" w:space="0" w:color="auto"/>
      </w:divBdr>
    </w:div>
    <w:div w:id="658458765">
      <w:bodyDiv w:val="1"/>
      <w:marLeft w:val="0"/>
      <w:marRight w:val="0"/>
      <w:marTop w:val="0"/>
      <w:marBottom w:val="0"/>
      <w:divBdr>
        <w:top w:val="none" w:sz="0" w:space="0" w:color="auto"/>
        <w:left w:val="none" w:sz="0" w:space="0" w:color="auto"/>
        <w:bottom w:val="none" w:sz="0" w:space="0" w:color="auto"/>
        <w:right w:val="none" w:sz="0" w:space="0" w:color="auto"/>
      </w:divBdr>
    </w:div>
    <w:div w:id="660430177">
      <w:bodyDiv w:val="1"/>
      <w:marLeft w:val="0"/>
      <w:marRight w:val="0"/>
      <w:marTop w:val="0"/>
      <w:marBottom w:val="0"/>
      <w:divBdr>
        <w:top w:val="none" w:sz="0" w:space="0" w:color="auto"/>
        <w:left w:val="none" w:sz="0" w:space="0" w:color="auto"/>
        <w:bottom w:val="none" w:sz="0" w:space="0" w:color="auto"/>
        <w:right w:val="none" w:sz="0" w:space="0" w:color="auto"/>
      </w:divBdr>
    </w:div>
    <w:div w:id="717168690">
      <w:bodyDiv w:val="1"/>
      <w:marLeft w:val="0"/>
      <w:marRight w:val="0"/>
      <w:marTop w:val="0"/>
      <w:marBottom w:val="0"/>
      <w:divBdr>
        <w:top w:val="none" w:sz="0" w:space="0" w:color="auto"/>
        <w:left w:val="none" w:sz="0" w:space="0" w:color="auto"/>
        <w:bottom w:val="none" w:sz="0" w:space="0" w:color="auto"/>
        <w:right w:val="none" w:sz="0" w:space="0" w:color="auto"/>
      </w:divBdr>
    </w:div>
    <w:div w:id="780222999">
      <w:bodyDiv w:val="1"/>
      <w:marLeft w:val="0"/>
      <w:marRight w:val="0"/>
      <w:marTop w:val="0"/>
      <w:marBottom w:val="0"/>
      <w:divBdr>
        <w:top w:val="none" w:sz="0" w:space="0" w:color="auto"/>
        <w:left w:val="none" w:sz="0" w:space="0" w:color="auto"/>
        <w:bottom w:val="none" w:sz="0" w:space="0" w:color="auto"/>
        <w:right w:val="none" w:sz="0" w:space="0" w:color="auto"/>
      </w:divBdr>
    </w:div>
    <w:div w:id="888567292">
      <w:bodyDiv w:val="1"/>
      <w:marLeft w:val="0"/>
      <w:marRight w:val="0"/>
      <w:marTop w:val="0"/>
      <w:marBottom w:val="0"/>
      <w:divBdr>
        <w:top w:val="none" w:sz="0" w:space="0" w:color="auto"/>
        <w:left w:val="none" w:sz="0" w:space="0" w:color="auto"/>
        <w:bottom w:val="none" w:sz="0" w:space="0" w:color="auto"/>
        <w:right w:val="none" w:sz="0" w:space="0" w:color="auto"/>
      </w:divBdr>
    </w:div>
    <w:div w:id="908462676">
      <w:bodyDiv w:val="1"/>
      <w:marLeft w:val="0"/>
      <w:marRight w:val="0"/>
      <w:marTop w:val="0"/>
      <w:marBottom w:val="0"/>
      <w:divBdr>
        <w:top w:val="none" w:sz="0" w:space="0" w:color="auto"/>
        <w:left w:val="none" w:sz="0" w:space="0" w:color="auto"/>
        <w:bottom w:val="none" w:sz="0" w:space="0" w:color="auto"/>
        <w:right w:val="none" w:sz="0" w:space="0" w:color="auto"/>
      </w:divBdr>
    </w:div>
    <w:div w:id="956719516">
      <w:bodyDiv w:val="1"/>
      <w:marLeft w:val="0"/>
      <w:marRight w:val="0"/>
      <w:marTop w:val="0"/>
      <w:marBottom w:val="0"/>
      <w:divBdr>
        <w:top w:val="none" w:sz="0" w:space="0" w:color="auto"/>
        <w:left w:val="none" w:sz="0" w:space="0" w:color="auto"/>
        <w:bottom w:val="none" w:sz="0" w:space="0" w:color="auto"/>
        <w:right w:val="none" w:sz="0" w:space="0" w:color="auto"/>
      </w:divBdr>
    </w:div>
    <w:div w:id="1007486513">
      <w:bodyDiv w:val="1"/>
      <w:marLeft w:val="0"/>
      <w:marRight w:val="0"/>
      <w:marTop w:val="0"/>
      <w:marBottom w:val="0"/>
      <w:divBdr>
        <w:top w:val="none" w:sz="0" w:space="0" w:color="auto"/>
        <w:left w:val="none" w:sz="0" w:space="0" w:color="auto"/>
        <w:bottom w:val="none" w:sz="0" w:space="0" w:color="auto"/>
        <w:right w:val="none" w:sz="0" w:space="0" w:color="auto"/>
      </w:divBdr>
    </w:div>
    <w:div w:id="1067537640">
      <w:bodyDiv w:val="1"/>
      <w:marLeft w:val="0"/>
      <w:marRight w:val="0"/>
      <w:marTop w:val="0"/>
      <w:marBottom w:val="0"/>
      <w:divBdr>
        <w:top w:val="none" w:sz="0" w:space="0" w:color="auto"/>
        <w:left w:val="none" w:sz="0" w:space="0" w:color="auto"/>
        <w:bottom w:val="none" w:sz="0" w:space="0" w:color="auto"/>
        <w:right w:val="none" w:sz="0" w:space="0" w:color="auto"/>
      </w:divBdr>
    </w:div>
    <w:div w:id="1303539085">
      <w:bodyDiv w:val="1"/>
      <w:marLeft w:val="0"/>
      <w:marRight w:val="0"/>
      <w:marTop w:val="0"/>
      <w:marBottom w:val="0"/>
      <w:divBdr>
        <w:top w:val="none" w:sz="0" w:space="0" w:color="auto"/>
        <w:left w:val="none" w:sz="0" w:space="0" w:color="auto"/>
        <w:bottom w:val="none" w:sz="0" w:space="0" w:color="auto"/>
        <w:right w:val="none" w:sz="0" w:space="0" w:color="auto"/>
      </w:divBdr>
    </w:div>
    <w:div w:id="1441292959">
      <w:bodyDiv w:val="1"/>
      <w:marLeft w:val="0"/>
      <w:marRight w:val="0"/>
      <w:marTop w:val="0"/>
      <w:marBottom w:val="0"/>
      <w:divBdr>
        <w:top w:val="none" w:sz="0" w:space="0" w:color="auto"/>
        <w:left w:val="none" w:sz="0" w:space="0" w:color="auto"/>
        <w:bottom w:val="none" w:sz="0" w:space="0" w:color="auto"/>
        <w:right w:val="none" w:sz="0" w:space="0" w:color="auto"/>
      </w:divBdr>
    </w:div>
    <w:div w:id="1473405060">
      <w:bodyDiv w:val="1"/>
      <w:marLeft w:val="0"/>
      <w:marRight w:val="0"/>
      <w:marTop w:val="0"/>
      <w:marBottom w:val="0"/>
      <w:divBdr>
        <w:top w:val="none" w:sz="0" w:space="0" w:color="auto"/>
        <w:left w:val="none" w:sz="0" w:space="0" w:color="auto"/>
        <w:bottom w:val="none" w:sz="0" w:space="0" w:color="auto"/>
        <w:right w:val="none" w:sz="0" w:space="0" w:color="auto"/>
      </w:divBdr>
    </w:div>
    <w:div w:id="1515455597">
      <w:bodyDiv w:val="1"/>
      <w:marLeft w:val="0"/>
      <w:marRight w:val="0"/>
      <w:marTop w:val="0"/>
      <w:marBottom w:val="0"/>
      <w:divBdr>
        <w:top w:val="none" w:sz="0" w:space="0" w:color="auto"/>
        <w:left w:val="none" w:sz="0" w:space="0" w:color="auto"/>
        <w:bottom w:val="none" w:sz="0" w:space="0" w:color="auto"/>
        <w:right w:val="none" w:sz="0" w:space="0" w:color="auto"/>
      </w:divBdr>
    </w:div>
    <w:div w:id="1667587655">
      <w:bodyDiv w:val="1"/>
      <w:marLeft w:val="0"/>
      <w:marRight w:val="0"/>
      <w:marTop w:val="0"/>
      <w:marBottom w:val="0"/>
      <w:divBdr>
        <w:top w:val="none" w:sz="0" w:space="0" w:color="auto"/>
        <w:left w:val="none" w:sz="0" w:space="0" w:color="auto"/>
        <w:bottom w:val="none" w:sz="0" w:space="0" w:color="auto"/>
        <w:right w:val="none" w:sz="0" w:space="0" w:color="auto"/>
      </w:divBdr>
    </w:div>
    <w:div w:id="1683390376">
      <w:bodyDiv w:val="1"/>
      <w:marLeft w:val="0"/>
      <w:marRight w:val="0"/>
      <w:marTop w:val="0"/>
      <w:marBottom w:val="0"/>
      <w:divBdr>
        <w:top w:val="none" w:sz="0" w:space="0" w:color="auto"/>
        <w:left w:val="none" w:sz="0" w:space="0" w:color="auto"/>
        <w:bottom w:val="none" w:sz="0" w:space="0" w:color="auto"/>
        <w:right w:val="none" w:sz="0" w:space="0" w:color="auto"/>
      </w:divBdr>
    </w:div>
    <w:div w:id="1818376754">
      <w:bodyDiv w:val="1"/>
      <w:marLeft w:val="0"/>
      <w:marRight w:val="0"/>
      <w:marTop w:val="0"/>
      <w:marBottom w:val="0"/>
      <w:divBdr>
        <w:top w:val="none" w:sz="0" w:space="0" w:color="auto"/>
        <w:left w:val="none" w:sz="0" w:space="0" w:color="auto"/>
        <w:bottom w:val="none" w:sz="0" w:space="0" w:color="auto"/>
        <w:right w:val="none" w:sz="0" w:space="0" w:color="auto"/>
      </w:divBdr>
    </w:div>
    <w:div w:id="1836411769">
      <w:bodyDiv w:val="1"/>
      <w:marLeft w:val="0"/>
      <w:marRight w:val="0"/>
      <w:marTop w:val="0"/>
      <w:marBottom w:val="0"/>
      <w:divBdr>
        <w:top w:val="none" w:sz="0" w:space="0" w:color="auto"/>
        <w:left w:val="none" w:sz="0" w:space="0" w:color="auto"/>
        <w:bottom w:val="none" w:sz="0" w:space="0" w:color="auto"/>
        <w:right w:val="none" w:sz="0" w:space="0" w:color="auto"/>
      </w:divBdr>
    </w:div>
    <w:div w:id="1917324347">
      <w:bodyDiv w:val="1"/>
      <w:marLeft w:val="0"/>
      <w:marRight w:val="0"/>
      <w:marTop w:val="0"/>
      <w:marBottom w:val="0"/>
      <w:divBdr>
        <w:top w:val="none" w:sz="0" w:space="0" w:color="auto"/>
        <w:left w:val="none" w:sz="0" w:space="0" w:color="auto"/>
        <w:bottom w:val="none" w:sz="0" w:space="0" w:color="auto"/>
        <w:right w:val="none" w:sz="0" w:space="0" w:color="auto"/>
      </w:divBdr>
    </w:div>
    <w:div w:id="1974290682">
      <w:bodyDiv w:val="1"/>
      <w:marLeft w:val="0"/>
      <w:marRight w:val="0"/>
      <w:marTop w:val="0"/>
      <w:marBottom w:val="0"/>
      <w:divBdr>
        <w:top w:val="none" w:sz="0" w:space="0" w:color="auto"/>
        <w:left w:val="none" w:sz="0" w:space="0" w:color="auto"/>
        <w:bottom w:val="none" w:sz="0" w:space="0" w:color="auto"/>
        <w:right w:val="none" w:sz="0" w:space="0" w:color="auto"/>
      </w:divBdr>
      <w:divsChild>
        <w:div w:id="796798001">
          <w:marLeft w:val="0"/>
          <w:marRight w:val="0"/>
          <w:marTop w:val="0"/>
          <w:marBottom w:val="0"/>
          <w:divBdr>
            <w:top w:val="none" w:sz="0" w:space="0" w:color="auto"/>
            <w:left w:val="none" w:sz="0" w:space="0" w:color="auto"/>
            <w:bottom w:val="none" w:sz="0" w:space="0" w:color="auto"/>
            <w:right w:val="none" w:sz="0" w:space="0" w:color="auto"/>
          </w:divBdr>
        </w:div>
        <w:div w:id="2010787212">
          <w:marLeft w:val="0"/>
          <w:marRight w:val="0"/>
          <w:marTop w:val="0"/>
          <w:marBottom w:val="0"/>
          <w:divBdr>
            <w:top w:val="none" w:sz="0" w:space="0" w:color="auto"/>
            <w:left w:val="none" w:sz="0" w:space="0" w:color="auto"/>
            <w:bottom w:val="none" w:sz="0" w:space="0" w:color="auto"/>
            <w:right w:val="none" w:sz="0" w:space="0" w:color="auto"/>
          </w:divBdr>
        </w:div>
      </w:divsChild>
    </w:div>
    <w:div w:id="1992709978">
      <w:bodyDiv w:val="1"/>
      <w:marLeft w:val="0"/>
      <w:marRight w:val="0"/>
      <w:marTop w:val="0"/>
      <w:marBottom w:val="0"/>
      <w:divBdr>
        <w:top w:val="none" w:sz="0" w:space="0" w:color="auto"/>
        <w:left w:val="none" w:sz="0" w:space="0" w:color="auto"/>
        <w:bottom w:val="none" w:sz="0" w:space="0" w:color="auto"/>
        <w:right w:val="none" w:sz="0" w:space="0" w:color="auto"/>
      </w:divBdr>
    </w:div>
    <w:div w:id="2019967760">
      <w:bodyDiv w:val="1"/>
      <w:marLeft w:val="0"/>
      <w:marRight w:val="0"/>
      <w:marTop w:val="0"/>
      <w:marBottom w:val="0"/>
      <w:divBdr>
        <w:top w:val="none" w:sz="0" w:space="0" w:color="auto"/>
        <w:left w:val="none" w:sz="0" w:space="0" w:color="auto"/>
        <w:bottom w:val="none" w:sz="0" w:space="0" w:color="auto"/>
        <w:right w:val="none" w:sz="0" w:space="0" w:color="auto"/>
      </w:divBdr>
    </w:div>
    <w:div w:id="2046758132">
      <w:bodyDiv w:val="1"/>
      <w:marLeft w:val="0"/>
      <w:marRight w:val="0"/>
      <w:marTop w:val="0"/>
      <w:marBottom w:val="0"/>
      <w:divBdr>
        <w:top w:val="none" w:sz="0" w:space="0" w:color="auto"/>
        <w:left w:val="none" w:sz="0" w:space="0" w:color="auto"/>
        <w:bottom w:val="none" w:sz="0" w:space="0" w:color="auto"/>
        <w:right w:val="none" w:sz="0" w:space="0" w:color="auto"/>
      </w:divBdr>
    </w:div>
    <w:div w:id="2107187378">
      <w:bodyDiv w:val="1"/>
      <w:marLeft w:val="0"/>
      <w:marRight w:val="0"/>
      <w:marTop w:val="0"/>
      <w:marBottom w:val="0"/>
      <w:divBdr>
        <w:top w:val="none" w:sz="0" w:space="0" w:color="auto"/>
        <w:left w:val="none" w:sz="0" w:space="0" w:color="auto"/>
        <w:bottom w:val="none" w:sz="0" w:space="0" w:color="auto"/>
        <w:right w:val="none" w:sz="0" w:space="0" w:color="auto"/>
      </w:divBdr>
    </w:div>
    <w:div w:id="212862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hn@unika-t.d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vcm.med.uni-greifswald.de/" TargetMode="Externa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04CB27-A732-484C-86C3-6EA3030BC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6028</Words>
  <Characters>37980</Characters>
  <Application>Microsoft Office Word</Application>
  <DocSecurity>0</DocSecurity>
  <Lines>316</Lines>
  <Paragraphs>87</Paragraphs>
  <ScaleCrop>false</ScaleCrop>
  <HeadingPairs>
    <vt:vector size="2" baseType="variant">
      <vt:variant>
        <vt:lpstr>Titel</vt:lpstr>
      </vt:variant>
      <vt:variant>
        <vt:i4>1</vt:i4>
      </vt:variant>
    </vt:vector>
  </HeadingPairs>
  <TitlesOfParts>
    <vt:vector size="1" baseType="lpstr">
      <vt:lpstr/>
    </vt:vector>
  </TitlesOfParts>
  <Company>UNI Augsburg</Company>
  <LinksUpToDate>false</LinksUpToDate>
  <CharactersWithSpaces>43921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Nayeon Ahn</dc:creator>
  <cp:keywords/>
  <dc:description/>
  <cp:lastModifiedBy>Nayeon Ahn</cp:lastModifiedBy>
  <cp:revision>23</cp:revision>
  <cp:lastPrinted>2020-03-18T07:41:00Z</cp:lastPrinted>
  <dcterms:created xsi:type="dcterms:W3CDTF">2020-04-21T15:15:00Z</dcterms:created>
  <dcterms:modified xsi:type="dcterms:W3CDTF">2020-04-22T09:14:00Z</dcterms:modified>
</cp:coreProperties>
</file>