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B3" w:rsidRDefault="00F478B3" w:rsidP="00F478B3">
      <w:pPr>
        <w:spacing w:line="360" w:lineRule="auto"/>
        <w:rPr>
          <w:rFonts w:ascii="Times New Roman" w:hAnsi="Times New Roman" w:cs="Times New Roman"/>
          <w:b/>
          <w:szCs w:val="16"/>
        </w:rPr>
      </w:pPr>
      <w:r w:rsidRPr="00A934DF">
        <w:rPr>
          <w:rFonts w:ascii="Times New Roman" w:hAnsi="Times New Roman" w:cs="Times New Roman"/>
          <w:b/>
          <w:szCs w:val="16"/>
        </w:rPr>
        <w:t>SUPPLEMENTARY DATA</w:t>
      </w:r>
    </w:p>
    <w:p w:rsidR="00F478B3" w:rsidRPr="00D931B0" w:rsidRDefault="00F478B3" w:rsidP="00F478B3">
      <w:pPr>
        <w:spacing w:after="0" w:line="480" w:lineRule="auto"/>
        <w:rPr>
          <w:rFonts w:ascii="Times New Roman" w:hAnsi="Times New Roman" w:cs="Times New Roman"/>
          <w:b/>
        </w:rPr>
      </w:pPr>
      <w:r w:rsidRPr="000C1C1E">
        <w:rPr>
          <w:rFonts w:ascii="Times New Roman" w:hAnsi="Times New Roman" w:cs="Times New Roman"/>
          <w:b/>
          <w:color w:val="FF0000"/>
        </w:rPr>
        <w:t xml:space="preserve">For: Engineered versus hybrid cellular vesicles as efficient drug delivery systems: A comparative study with brain targeted vesicles </w:t>
      </w:r>
    </w:p>
    <w:p w:rsidR="00F478B3" w:rsidRPr="00D931B0" w:rsidRDefault="00F478B3" w:rsidP="00F478B3">
      <w:pPr>
        <w:spacing w:after="120" w:line="240" w:lineRule="auto"/>
        <w:rPr>
          <w:rFonts w:ascii="Times New Roman" w:hAnsi="Times New Roman" w:cs="Times New Roman"/>
          <w:b/>
        </w:rPr>
      </w:pPr>
      <w:r w:rsidRPr="0021404C">
        <w:rPr>
          <w:rFonts w:ascii="Times New Roman" w:hAnsi="Times New Roman" w:cs="Times New Roman"/>
          <w:b/>
          <w:color w:val="FF0000"/>
        </w:rPr>
        <w:t>M.Kannavou</w:t>
      </w:r>
      <w:r w:rsidRPr="0021404C">
        <w:rPr>
          <w:rFonts w:ascii="Times New Roman" w:hAnsi="Times New Roman" w:cs="Times New Roman"/>
          <w:b/>
          <w:color w:val="FF0000"/>
          <w:vertAlign w:val="superscript"/>
        </w:rPr>
        <w:t>1</w:t>
      </w:r>
      <w:proofErr w:type="gramStart"/>
      <w:r w:rsidRPr="0021404C">
        <w:rPr>
          <w:rFonts w:ascii="Times New Roman" w:hAnsi="Times New Roman" w:cs="Times New Roman"/>
          <w:b/>
          <w:color w:val="FF0000"/>
          <w:vertAlign w:val="superscript"/>
        </w:rPr>
        <w:t>,2</w:t>
      </w:r>
      <w:proofErr w:type="gramEnd"/>
      <w:r w:rsidRPr="0021404C">
        <w:rPr>
          <w:rFonts w:ascii="Times New Roman" w:hAnsi="Times New Roman" w:cs="Times New Roman"/>
          <w:b/>
          <w:color w:val="FF0000"/>
          <w:vertAlign w:val="superscript"/>
        </w:rPr>
        <w:t>,&amp;</w:t>
      </w:r>
      <w:r w:rsidRPr="0021404C">
        <w:rPr>
          <w:rFonts w:ascii="Times New Roman" w:hAnsi="Times New Roman" w:cs="Times New Roman"/>
          <w:b/>
          <w:color w:val="FF0000"/>
        </w:rPr>
        <w:t>, A. Marazioti</w:t>
      </w:r>
      <w:r w:rsidRPr="0021404C">
        <w:rPr>
          <w:rFonts w:ascii="Times New Roman" w:hAnsi="Times New Roman" w:cs="Times New Roman"/>
          <w:b/>
          <w:color w:val="FF0000"/>
          <w:vertAlign w:val="superscript"/>
        </w:rPr>
        <w:t>1</w:t>
      </w:r>
      <w:r w:rsidRPr="00D931B0">
        <w:rPr>
          <w:rFonts w:ascii="Times New Roman" w:hAnsi="Times New Roman" w:cs="Times New Roman"/>
          <w:b/>
          <w:vertAlign w:val="superscript"/>
        </w:rPr>
        <w:t>,2</w:t>
      </w:r>
      <w:r>
        <w:rPr>
          <w:rFonts w:ascii="Times New Roman" w:hAnsi="Times New Roman" w:cs="Times New Roman"/>
          <w:b/>
          <w:vertAlign w:val="superscript"/>
        </w:rPr>
        <w:t>.&amp;</w:t>
      </w:r>
      <w:r>
        <w:rPr>
          <w:rFonts w:ascii="Times New Roman" w:hAnsi="Times New Roman" w:cs="Times New Roman"/>
          <w:b/>
        </w:rPr>
        <w:t>,</w:t>
      </w:r>
      <w:r w:rsidRPr="0061041A">
        <w:rPr>
          <w:rFonts w:ascii="Times New Roman" w:hAnsi="Times New Roman" w:cs="Times New Roman"/>
          <w:b/>
        </w:rPr>
        <w:t xml:space="preserve"> G.T. Stathopoulos</w:t>
      </w:r>
      <w:r w:rsidRPr="0061041A">
        <w:rPr>
          <w:rFonts w:ascii="Times New Roman" w:hAnsi="Times New Roman" w:cs="Times New Roman"/>
          <w:b/>
          <w:vertAlign w:val="superscript"/>
        </w:rPr>
        <w:t>3,4</w:t>
      </w:r>
      <w:r w:rsidRPr="0061041A">
        <w:rPr>
          <w:rFonts w:ascii="Times New Roman" w:hAnsi="Times New Roman" w:cs="Times New Roman"/>
          <w:b/>
        </w:rPr>
        <w:t>, S.G.</w:t>
      </w:r>
      <w:r w:rsidRPr="00D931B0">
        <w:rPr>
          <w:rFonts w:ascii="Times New Roman" w:hAnsi="Times New Roman" w:cs="Times New Roman"/>
          <w:b/>
        </w:rPr>
        <w:t xml:space="preserve"> Antimisiaris</w:t>
      </w:r>
      <w:r w:rsidRPr="00D931B0">
        <w:rPr>
          <w:rFonts w:ascii="Times New Roman" w:hAnsi="Times New Roman" w:cs="Times New Roman"/>
          <w:b/>
          <w:vertAlign w:val="superscript"/>
        </w:rPr>
        <w:t>1,2</w:t>
      </w:r>
      <w:r w:rsidRPr="00D931B0">
        <w:rPr>
          <w:rFonts w:ascii="Times New Roman" w:hAnsi="Times New Roman" w:cs="Times New Roman"/>
          <w:b/>
        </w:rPr>
        <w:t>,</w:t>
      </w:r>
      <w:r>
        <w:rPr>
          <w:rFonts w:ascii="Times New Roman" w:hAnsi="Times New Roman" w:cs="Times New Roman"/>
          <w:b/>
        </w:rPr>
        <w:t>*</w:t>
      </w:r>
    </w:p>
    <w:p w:rsidR="00F478B3" w:rsidRPr="00D931B0" w:rsidRDefault="00F478B3" w:rsidP="00F478B3">
      <w:pPr>
        <w:spacing w:after="120" w:line="240" w:lineRule="auto"/>
        <w:rPr>
          <w:rFonts w:ascii="Times New Roman" w:hAnsi="Times New Roman" w:cs="Times New Roman"/>
        </w:rPr>
      </w:pPr>
      <w:r w:rsidRPr="00D931B0">
        <w:rPr>
          <w:rFonts w:ascii="Times New Roman" w:hAnsi="Times New Roman" w:cs="Times New Roman"/>
          <w:vertAlign w:val="superscript"/>
        </w:rPr>
        <w:t>1</w:t>
      </w:r>
      <w:r w:rsidRPr="00D931B0">
        <w:rPr>
          <w:rFonts w:ascii="Times New Roman" w:hAnsi="Times New Roman" w:cs="Times New Roman"/>
        </w:rPr>
        <w:t xml:space="preserve">Laboratory of Pharmaceutical Technology, Department of Pharmacy, University of </w:t>
      </w:r>
      <w:proofErr w:type="spellStart"/>
      <w:r w:rsidRPr="00D931B0">
        <w:rPr>
          <w:rFonts w:ascii="Times New Roman" w:hAnsi="Times New Roman" w:cs="Times New Roman"/>
        </w:rPr>
        <w:t>Patras</w:t>
      </w:r>
      <w:proofErr w:type="spellEnd"/>
      <w:r w:rsidRPr="00D931B0">
        <w:rPr>
          <w:rFonts w:ascii="Times New Roman" w:hAnsi="Times New Roman" w:cs="Times New Roman"/>
        </w:rPr>
        <w:t>, Rio 26510, Greece</w:t>
      </w:r>
    </w:p>
    <w:p w:rsidR="00F478B3" w:rsidRPr="00D931B0" w:rsidRDefault="00F478B3" w:rsidP="00F478B3">
      <w:pPr>
        <w:spacing w:after="120" w:line="240" w:lineRule="auto"/>
        <w:rPr>
          <w:rFonts w:ascii="Times New Roman" w:hAnsi="Times New Roman" w:cs="Times New Roman"/>
        </w:rPr>
      </w:pPr>
      <w:r w:rsidRPr="00D931B0">
        <w:rPr>
          <w:rFonts w:ascii="Times New Roman" w:hAnsi="Times New Roman" w:cs="Times New Roman"/>
          <w:vertAlign w:val="superscript"/>
        </w:rPr>
        <w:t>2</w:t>
      </w:r>
      <w:r w:rsidRPr="00D931B0">
        <w:rPr>
          <w:rFonts w:ascii="Times New Roman" w:hAnsi="Times New Roman" w:cs="Times New Roman"/>
        </w:rPr>
        <w:t xml:space="preserve">Foundation for Research and Technology Hellas, Institute of Chemical Engineering Sciences, FORTH/ICE-HT, Rio 26504, Greece </w:t>
      </w:r>
    </w:p>
    <w:p w:rsidR="00F478B3" w:rsidRDefault="00F478B3" w:rsidP="00F478B3">
      <w:pPr>
        <w:spacing w:after="120" w:line="240" w:lineRule="auto"/>
        <w:rPr>
          <w:rFonts w:ascii="Times New Roman" w:hAnsi="Times New Roman" w:cs="Times New Roman"/>
        </w:rPr>
      </w:pPr>
      <w:r w:rsidRPr="0061041A">
        <w:rPr>
          <w:rFonts w:ascii="Times New Roman" w:hAnsi="Times New Roman" w:cs="Times New Roman"/>
          <w:vertAlign w:val="superscript"/>
        </w:rPr>
        <w:t>3</w:t>
      </w:r>
      <w:r w:rsidRPr="0061041A">
        <w:rPr>
          <w:rFonts w:ascii="Times New Roman" w:hAnsi="Times New Roman" w:cs="Times New Roman"/>
        </w:rPr>
        <w:t xml:space="preserve"> Laboratory for Molecular Respiratory Carcinogenesis, Department of Physiology, Faculty of Medicine, University of </w:t>
      </w:r>
      <w:proofErr w:type="spellStart"/>
      <w:r w:rsidRPr="0061041A">
        <w:rPr>
          <w:rFonts w:ascii="Times New Roman" w:hAnsi="Times New Roman" w:cs="Times New Roman"/>
        </w:rPr>
        <w:t>Patras</w:t>
      </w:r>
      <w:proofErr w:type="spellEnd"/>
      <w:r w:rsidRPr="0061041A">
        <w:rPr>
          <w:rFonts w:ascii="Times New Roman" w:hAnsi="Times New Roman" w:cs="Times New Roman"/>
        </w:rPr>
        <w:t>, Rio 26510, Greece</w:t>
      </w:r>
    </w:p>
    <w:p w:rsidR="00F478B3" w:rsidRPr="00774BAB" w:rsidRDefault="00F478B3" w:rsidP="00F478B3">
      <w:pPr>
        <w:spacing w:after="120" w:line="240" w:lineRule="auto"/>
        <w:rPr>
          <w:rFonts w:ascii="Times New Roman" w:hAnsi="Times New Roman" w:cs="Times New Roman"/>
          <w:iCs/>
          <w:lang w:val="en-GB"/>
        </w:rPr>
      </w:pPr>
      <w:r>
        <w:rPr>
          <w:rFonts w:ascii="Times New Roman" w:hAnsi="Times New Roman" w:cs="Times New Roman"/>
          <w:vertAlign w:val="superscript"/>
        </w:rPr>
        <w:t>4</w:t>
      </w:r>
      <w:r w:rsidRPr="00774BAB">
        <w:rPr>
          <w:rFonts w:ascii="Times New Roman" w:hAnsi="Times New Roman" w:cs="Times New Roman"/>
          <w:lang w:val="en-GB"/>
        </w:rPr>
        <w:t xml:space="preserve">Comprehensive </w:t>
      </w:r>
      <w:proofErr w:type="spellStart"/>
      <w:r w:rsidRPr="00774BAB">
        <w:rPr>
          <w:rFonts w:ascii="Times New Roman" w:hAnsi="Times New Roman" w:cs="Times New Roman"/>
          <w:lang w:val="en-GB"/>
        </w:rPr>
        <w:t>PneumologyCenter</w:t>
      </w:r>
      <w:proofErr w:type="spellEnd"/>
      <w:r w:rsidRPr="00774BAB">
        <w:rPr>
          <w:rFonts w:ascii="Times New Roman" w:hAnsi="Times New Roman" w:cs="Times New Roman"/>
          <w:lang w:val="en-GB"/>
        </w:rPr>
        <w:t xml:space="preserve"> (CPC) and Institute for Lung Biology and Disease (</w:t>
      </w:r>
      <w:proofErr w:type="spellStart"/>
      <w:r w:rsidRPr="00774BAB">
        <w:rPr>
          <w:rFonts w:ascii="Times New Roman" w:hAnsi="Times New Roman" w:cs="Times New Roman"/>
          <w:lang w:val="en-GB"/>
        </w:rPr>
        <w:t>iLBD</w:t>
      </w:r>
      <w:proofErr w:type="spellEnd"/>
      <w:r w:rsidRPr="00774BAB">
        <w:rPr>
          <w:rFonts w:ascii="Times New Roman" w:hAnsi="Times New Roman" w:cs="Times New Roman"/>
          <w:lang w:val="en-GB"/>
        </w:rPr>
        <w:t xml:space="preserve">); Helmholtz </w:t>
      </w:r>
      <w:proofErr w:type="spellStart"/>
      <w:r w:rsidRPr="00774BAB">
        <w:rPr>
          <w:rFonts w:ascii="Times New Roman" w:hAnsi="Times New Roman" w:cs="Times New Roman"/>
          <w:lang w:val="en-GB"/>
        </w:rPr>
        <w:t>Center</w:t>
      </w:r>
      <w:proofErr w:type="spellEnd"/>
      <w:r w:rsidRPr="00774BAB">
        <w:rPr>
          <w:rFonts w:ascii="Times New Roman" w:hAnsi="Times New Roman" w:cs="Times New Roman"/>
          <w:lang w:val="en-GB"/>
        </w:rPr>
        <w:t xml:space="preserve"> Munich–German Research </w:t>
      </w:r>
      <w:proofErr w:type="spellStart"/>
      <w:r w:rsidRPr="00774BAB">
        <w:rPr>
          <w:rFonts w:ascii="Times New Roman" w:hAnsi="Times New Roman" w:cs="Times New Roman"/>
          <w:lang w:val="en-GB"/>
        </w:rPr>
        <w:t>Center</w:t>
      </w:r>
      <w:proofErr w:type="spellEnd"/>
      <w:r w:rsidRPr="00774BAB">
        <w:rPr>
          <w:rFonts w:ascii="Times New Roman" w:hAnsi="Times New Roman" w:cs="Times New Roman"/>
          <w:lang w:val="en-GB"/>
        </w:rPr>
        <w:t xml:space="preserve"> for Environmental Health; Member of the German </w:t>
      </w:r>
      <w:proofErr w:type="spellStart"/>
      <w:r w:rsidRPr="00774BAB">
        <w:rPr>
          <w:rFonts w:ascii="Times New Roman" w:hAnsi="Times New Roman" w:cs="Times New Roman"/>
          <w:lang w:val="en-GB"/>
        </w:rPr>
        <w:t>Center</w:t>
      </w:r>
      <w:proofErr w:type="spellEnd"/>
      <w:r w:rsidRPr="00774BAB">
        <w:rPr>
          <w:rFonts w:ascii="Times New Roman" w:hAnsi="Times New Roman" w:cs="Times New Roman"/>
          <w:lang w:val="en-GB"/>
        </w:rPr>
        <w:t xml:space="preserve"> for Lung Research; Munich, Bavaria, 81377; Germany.</w:t>
      </w:r>
    </w:p>
    <w:p w:rsidR="00F478B3" w:rsidRPr="006D5847" w:rsidRDefault="00F478B3" w:rsidP="00F478B3">
      <w:pPr>
        <w:spacing w:after="120" w:line="240" w:lineRule="auto"/>
        <w:rPr>
          <w:rFonts w:ascii="Times New Roman" w:hAnsi="Times New Roman" w:cs="Times New Roman"/>
          <w:b/>
          <w:szCs w:val="16"/>
          <w:lang w:val="en-GB"/>
        </w:rPr>
      </w:pPr>
    </w:p>
    <w:p w:rsidR="00F478B3" w:rsidRPr="000C1C1E" w:rsidRDefault="00F478B3" w:rsidP="00F478B3">
      <w:pPr>
        <w:rPr>
          <w:rFonts w:ascii="Times New Roman" w:hAnsi="Times New Roman" w:cs="Times New Roman"/>
          <w:color w:val="FF0000"/>
        </w:rPr>
      </w:pPr>
      <w:r w:rsidRPr="000C1C1E">
        <w:rPr>
          <w:rFonts w:ascii="Times New Roman" w:hAnsi="Times New Roman" w:cs="Times New Roman"/>
          <w:b/>
          <w:color w:val="FF0000"/>
        </w:rPr>
        <w:t>Table S1</w:t>
      </w:r>
      <w:r w:rsidRPr="000C1C1E">
        <w:rPr>
          <w:rFonts w:ascii="Times New Roman" w:hAnsi="Times New Roman" w:cs="Times New Roman"/>
          <w:color w:val="FF0000"/>
        </w:rPr>
        <w:t xml:space="preserve">.  PEG/lipid (theoretical) ratio, and measured rations of </w:t>
      </w:r>
      <w:proofErr w:type="spellStart"/>
      <w:r w:rsidRPr="000C1C1E">
        <w:rPr>
          <w:rFonts w:ascii="Times New Roman" w:hAnsi="Times New Roman" w:cs="Times New Roman"/>
          <w:color w:val="FF0000"/>
        </w:rPr>
        <w:t>Chol</w:t>
      </w:r>
      <w:proofErr w:type="spellEnd"/>
      <w:r w:rsidRPr="000C1C1E">
        <w:rPr>
          <w:rFonts w:ascii="Times New Roman" w:hAnsi="Times New Roman" w:cs="Times New Roman"/>
          <w:color w:val="FF0000"/>
        </w:rPr>
        <w:t xml:space="preserve">/lipid, and </w:t>
      </w:r>
      <w:proofErr w:type="spellStart"/>
      <w:r w:rsidRPr="000C1C1E">
        <w:rPr>
          <w:rFonts w:ascii="Times New Roman" w:hAnsi="Times New Roman" w:cs="Times New Roman"/>
          <w:color w:val="FF0000"/>
        </w:rPr>
        <w:t>Chol</w:t>
      </w:r>
      <w:proofErr w:type="spellEnd"/>
      <w:r w:rsidRPr="000C1C1E">
        <w:rPr>
          <w:rFonts w:ascii="Times New Roman" w:hAnsi="Times New Roman" w:cs="Times New Roman"/>
          <w:color w:val="FF0000"/>
        </w:rPr>
        <w:t>/protein, for the different types of vesicles used. Values for CVs derived from HEK cells, were measured for comparison.</w:t>
      </w:r>
    </w:p>
    <w:tbl>
      <w:tblPr>
        <w:tblStyle w:val="a4"/>
        <w:tblW w:w="9091" w:type="dxa"/>
        <w:jc w:val="center"/>
        <w:tblInd w:w="-269" w:type="dxa"/>
        <w:tblLook w:val="04A0" w:firstRow="1" w:lastRow="0" w:firstColumn="1" w:lastColumn="0" w:noHBand="0" w:noVBand="1"/>
      </w:tblPr>
      <w:tblGrid>
        <w:gridCol w:w="1794"/>
        <w:gridCol w:w="1965"/>
        <w:gridCol w:w="1965"/>
        <w:gridCol w:w="1953"/>
        <w:gridCol w:w="1414"/>
      </w:tblGrid>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Formulation code</w:t>
            </w:r>
          </w:p>
        </w:tc>
        <w:tc>
          <w:tcPr>
            <w:tcW w:w="1625"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PEG/Phospholipid (</w:t>
            </w:r>
            <w:proofErr w:type="spellStart"/>
            <w:proofErr w:type="gramStart"/>
            <w:r w:rsidRPr="000C1C1E">
              <w:rPr>
                <w:rFonts w:ascii="Times New Roman" w:hAnsi="Times New Roman" w:cs="Times New Roman"/>
                <w:b/>
                <w:color w:val="FF0000"/>
              </w:rPr>
              <w:t>mol</w:t>
            </w:r>
            <w:proofErr w:type="spellEnd"/>
            <w:r w:rsidRPr="000C1C1E">
              <w:rPr>
                <w:rFonts w:ascii="Times New Roman" w:hAnsi="Times New Roman" w:cs="Times New Roman"/>
                <w:b/>
                <w:color w:val="FF0000"/>
              </w:rPr>
              <w:t>%</w:t>
            </w:r>
            <w:proofErr w:type="gramEnd"/>
            <w:r w:rsidRPr="000C1C1E">
              <w:rPr>
                <w:rFonts w:ascii="Times New Roman" w:hAnsi="Times New Roman" w:cs="Times New Roman"/>
                <w:b/>
                <w:color w:val="FF0000"/>
              </w:rPr>
              <w:t>)</w:t>
            </w:r>
          </w:p>
        </w:tc>
        <w:tc>
          <w:tcPr>
            <w:tcW w:w="1965" w:type="dxa"/>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Surface exposed PEG/Phospholipid (</w:t>
            </w:r>
            <w:proofErr w:type="spellStart"/>
            <w:proofErr w:type="gramStart"/>
            <w:r w:rsidRPr="000C1C1E">
              <w:rPr>
                <w:rFonts w:ascii="Times New Roman" w:hAnsi="Times New Roman" w:cs="Times New Roman"/>
                <w:b/>
                <w:color w:val="FF0000"/>
              </w:rPr>
              <w:t>mol</w:t>
            </w:r>
            <w:proofErr w:type="spellEnd"/>
            <w:r w:rsidRPr="000C1C1E">
              <w:rPr>
                <w:rFonts w:ascii="Times New Roman" w:hAnsi="Times New Roman" w:cs="Times New Roman"/>
                <w:b/>
                <w:color w:val="FF0000"/>
              </w:rPr>
              <w:t>%</w:t>
            </w:r>
            <w:proofErr w:type="gramEnd"/>
            <w:r w:rsidRPr="000C1C1E">
              <w:rPr>
                <w:rFonts w:ascii="Times New Roman" w:hAnsi="Times New Roman" w:cs="Times New Roman"/>
                <w:b/>
                <w:color w:val="FF0000"/>
              </w:rPr>
              <w:t>)</w:t>
            </w:r>
          </w:p>
        </w:tc>
        <w:tc>
          <w:tcPr>
            <w:tcW w:w="1953" w:type="dxa"/>
          </w:tcPr>
          <w:p w:rsidR="00F478B3" w:rsidRPr="000C1C1E" w:rsidRDefault="00F478B3" w:rsidP="005A710F">
            <w:pPr>
              <w:jc w:val="center"/>
              <w:rPr>
                <w:rFonts w:ascii="Times New Roman" w:hAnsi="Times New Roman" w:cs="Times New Roman"/>
                <w:b/>
                <w:color w:val="FF0000"/>
              </w:rPr>
            </w:pPr>
            <w:proofErr w:type="spellStart"/>
            <w:r w:rsidRPr="000C1C1E">
              <w:rPr>
                <w:rFonts w:ascii="Times New Roman" w:hAnsi="Times New Roman" w:cs="Times New Roman"/>
                <w:b/>
                <w:color w:val="FF0000"/>
              </w:rPr>
              <w:t>Chol</w:t>
            </w:r>
            <w:proofErr w:type="spellEnd"/>
            <w:r w:rsidRPr="000C1C1E">
              <w:rPr>
                <w:rFonts w:ascii="Times New Roman" w:hAnsi="Times New Roman" w:cs="Times New Roman"/>
                <w:b/>
                <w:color w:val="FF0000"/>
              </w:rPr>
              <w:t>/phospholipid (w/w)</w:t>
            </w:r>
          </w:p>
        </w:tc>
        <w:tc>
          <w:tcPr>
            <w:tcW w:w="1414" w:type="dxa"/>
          </w:tcPr>
          <w:p w:rsidR="00F478B3" w:rsidRPr="000C1C1E" w:rsidRDefault="00F478B3" w:rsidP="005A710F">
            <w:pPr>
              <w:jc w:val="center"/>
              <w:rPr>
                <w:rFonts w:ascii="Times New Roman" w:hAnsi="Times New Roman" w:cs="Times New Roman"/>
                <w:b/>
                <w:color w:val="FF0000"/>
              </w:rPr>
            </w:pPr>
            <w:proofErr w:type="spellStart"/>
            <w:r w:rsidRPr="000C1C1E">
              <w:rPr>
                <w:rFonts w:ascii="Times New Roman" w:hAnsi="Times New Roman" w:cs="Times New Roman"/>
                <w:b/>
                <w:color w:val="FF0000"/>
              </w:rPr>
              <w:t>Chol</w:t>
            </w:r>
            <w:proofErr w:type="spellEnd"/>
            <w:r w:rsidRPr="000C1C1E">
              <w:rPr>
                <w:rFonts w:ascii="Times New Roman" w:hAnsi="Times New Roman" w:cs="Times New Roman"/>
                <w:b/>
                <w:color w:val="FF0000"/>
              </w:rPr>
              <w:t>/protein (w/w)</w:t>
            </w:r>
          </w:p>
        </w:tc>
      </w:tr>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b/>
                <w:color w:val="FF0000"/>
              </w:rPr>
              <w:t xml:space="preserve">PEG-LIP </w:t>
            </w:r>
            <w:r w:rsidRPr="000C1C1E">
              <w:rPr>
                <w:rFonts w:ascii="Times New Roman" w:hAnsi="Times New Roman" w:cs="Times New Roman"/>
                <w:color w:val="FF0000"/>
              </w:rPr>
              <w:t>(PC/</w:t>
            </w:r>
            <w:proofErr w:type="spellStart"/>
            <w:r w:rsidRPr="000C1C1E">
              <w:rPr>
                <w:rFonts w:ascii="Times New Roman" w:hAnsi="Times New Roman" w:cs="Times New Roman"/>
                <w:color w:val="FF0000"/>
              </w:rPr>
              <w:t>Chol</w:t>
            </w:r>
            <w:proofErr w:type="spellEnd"/>
            <w:r w:rsidRPr="000C1C1E">
              <w:rPr>
                <w:rFonts w:ascii="Times New Roman" w:hAnsi="Times New Roman" w:cs="Times New Roman"/>
                <w:color w:val="FF0000"/>
              </w:rPr>
              <w:t>/PEG 2/1/0</w:t>
            </w:r>
            <w:r>
              <w:rPr>
                <w:rFonts w:ascii="Times New Roman" w:hAnsi="Times New Roman" w:cs="Times New Roman"/>
                <w:color w:val="FF0000"/>
              </w:rPr>
              <w:t>.</w:t>
            </w:r>
            <w:r w:rsidRPr="000C1C1E">
              <w:rPr>
                <w:rFonts w:ascii="Times New Roman" w:hAnsi="Times New Roman" w:cs="Times New Roman"/>
                <w:color w:val="FF0000"/>
              </w:rPr>
              <w:t>25)</w:t>
            </w:r>
          </w:p>
        </w:tc>
        <w:tc>
          <w:tcPr>
            <w:tcW w:w="162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12.5</w:t>
            </w: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6.25</w:t>
            </w:r>
          </w:p>
        </w:tc>
        <w:tc>
          <w:tcPr>
            <w:tcW w:w="1953"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0.25</w:t>
            </w:r>
          </w:p>
        </w:tc>
        <w:tc>
          <w:tcPr>
            <w:tcW w:w="1414"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w:t>
            </w:r>
          </w:p>
        </w:tc>
      </w:tr>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Hybrids</w:t>
            </w:r>
          </w:p>
        </w:tc>
        <w:tc>
          <w:tcPr>
            <w:tcW w:w="162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6.245</w:t>
            </w: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3.12</w:t>
            </w:r>
          </w:p>
        </w:tc>
        <w:tc>
          <w:tcPr>
            <w:tcW w:w="1953"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0.340 ± 0.015</w:t>
            </w:r>
          </w:p>
        </w:tc>
        <w:tc>
          <w:tcPr>
            <w:tcW w:w="1414"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3.38 ± 0.14</w:t>
            </w:r>
          </w:p>
        </w:tc>
      </w:tr>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CVs (</w:t>
            </w:r>
            <w:proofErr w:type="spellStart"/>
            <w:r w:rsidRPr="000C1C1E">
              <w:rPr>
                <w:rFonts w:ascii="Times New Roman" w:hAnsi="Times New Roman" w:cs="Times New Roman"/>
                <w:b/>
                <w:color w:val="FF0000"/>
              </w:rPr>
              <w:t>hCMEC</w:t>
            </w:r>
            <w:proofErr w:type="spellEnd"/>
            <w:r w:rsidRPr="000C1C1E">
              <w:rPr>
                <w:rFonts w:ascii="Times New Roman" w:hAnsi="Times New Roman" w:cs="Times New Roman"/>
                <w:b/>
                <w:color w:val="FF0000"/>
              </w:rPr>
              <w:t>/D3)</w:t>
            </w:r>
          </w:p>
        </w:tc>
        <w:tc>
          <w:tcPr>
            <w:tcW w:w="162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w:t>
            </w: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w:t>
            </w:r>
          </w:p>
        </w:tc>
        <w:tc>
          <w:tcPr>
            <w:tcW w:w="1953"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0.431 ± 0.026</w:t>
            </w:r>
          </w:p>
        </w:tc>
        <w:tc>
          <w:tcPr>
            <w:tcW w:w="1414"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2.06 ± 0.22</w:t>
            </w:r>
          </w:p>
        </w:tc>
      </w:tr>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e-CVs (</w:t>
            </w:r>
            <w:proofErr w:type="spellStart"/>
            <w:r w:rsidRPr="000C1C1E">
              <w:rPr>
                <w:rFonts w:ascii="Times New Roman" w:hAnsi="Times New Roman" w:cs="Times New Roman"/>
                <w:b/>
                <w:color w:val="FF0000"/>
              </w:rPr>
              <w:t>hCMEC</w:t>
            </w:r>
            <w:proofErr w:type="spellEnd"/>
            <w:r w:rsidRPr="000C1C1E">
              <w:rPr>
                <w:rFonts w:ascii="Times New Roman" w:hAnsi="Times New Roman" w:cs="Times New Roman"/>
                <w:b/>
                <w:color w:val="FF0000"/>
              </w:rPr>
              <w:t>/D3)</w:t>
            </w:r>
          </w:p>
        </w:tc>
        <w:tc>
          <w:tcPr>
            <w:tcW w:w="162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10</w:t>
            </w:r>
            <w:r>
              <w:rPr>
                <w:rFonts w:ascii="Times New Roman" w:hAnsi="Times New Roman" w:cs="Times New Roman"/>
                <w:color w:val="FF0000"/>
              </w:rPr>
              <w:t xml:space="preserve"> </w:t>
            </w: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10</w:t>
            </w:r>
          </w:p>
        </w:tc>
        <w:tc>
          <w:tcPr>
            <w:tcW w:w="1953"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0.502 ± 0.030</w:t>
            </w:r>
          </w:p>
        </w:tc>
        <w:tc>
          <w:tcPr>
            <w:tcW w:w="1414"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3.40 ± 0.11</w:t>
            </w:r>
          </w:p>
        </w:tc>
      </w:tr>
      <w:tr w:rsidR="00F478B3" w:rsidRPr="000C1C1E" w:rsidTr="005A710F">
        <w:trPr>
          <w:jc w:val="center"/>
        </w:trPr>
        <w:tc>
          <w:tcPr>
            <w:tcW w:w="2134" w:type="dxa"/>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CVs (B16)</w:t>
            </w:r>
          </w:p>
        </w:tc>
        <w:tc>
          <w:tcPr>
            <w:tcW w:w="1625" w:type="dxa"/>
          </w:tcPr>
          <w:p w:rsidR="00F478B3" w:rsidRPr="000C1C1E" w:rsidRDefault="00F478B3" w:rsidP="005A710F">
            <w:pPr>
              <w:jc w:val="center"/>
              <w:rPr>
                <w:rFonts w:ascii="Times New Roman" w:hAnsi="Times New Roman" w:cs="Times New Roman"/>
                <w:color w:val="FF0000"/>
              </w:rPr>
            </w:pP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w:t>
            </w:r>
          </w:p>
        </w:tc>
        <w:tc>
          <w:tcPr>
            <w:tcW w:w="1953" w:type="dxa"/>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0.97 ± 0.16</w:t>
            </w:r>
          </w:p>
        </w:tc>
        <w:tc>
          <w:tcPr>
            <w:tcW w:w="1414" w:type="dxa"/>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3.32 ± 0.40</w:t>
            </w:r>
          </w:p>
        </w:tc>
      </w:tr>
      <w:tr w:rsidR="00F478B3" w:rsidRPr="000C1C1E" w:rsidTr="005A710F">
        <w:trPr>
          <w:jc w:val="center"/>
        </w:trPr>
        <w:tc>
          <w:tcPr>
            <w:tcW w:w="2134" w:type="dxa"/>
            <w:vAlign w:val="center"/>
          </w:tcPr>
          <w:p w:rsidR="00F478B3" w:rsidRPr="000C1C1E" w:rsidRDefault="00F478B3" w:rsidP="005A710F">
            <w:pPr>
              <w:jc w:val="center"/>
              <w:rPr>
                <w:rFonts w:ascii="Times New Roman" w:hAnsi="Times New Roman" w:cs="Times New Roman"/>
                <w:b/>
                <w:color w:val="FF0000"/>
              </w:rPr>
            </w:pPr>
            <w:r w:rsidRPr="000C1C1E">
              <w:rPr>
                <w:rFonts w:ascii="Times New Roman" w:hAnsi="Times New Roman" w:cs="Times New Roman"/>
                <w:b/>
                <w:color w:val="FF0000"/>
              </w:rPr>
              <w:t>CVs (HEK)</w:t>
            </w:r>
          </w:p>
        </w:tc>
        <w:tc>
          <w:tcPr>
            <w:tcW w:w="1625" w:type="dxa"/>
          </w:tcPr>
          <w:p w:rsidR="00F478B3" w:rsidRPr="000C1C1E" w:rsidRDefault="00F478B3" w:rsidP="005A710F">
            <w:pPr>
              <w:jc w:val="center"/>
              <w:rPr>
                <w:rFonts w:ascii="Times New Roman" w:hAnsi="Times New Roman" w:cs="Times New Roman"/>
                <w:color w:val="FF0000"/>
              </w:rPr>
            </w:pPr>
          </w:p>
        </w:tc>
        <w:tc>
          <w:tcPr>
            <w:tcW w:w="1965" w:type="dxa"/>
            <w:vAlign w:val="center"/>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w:t>
            </w:r>
          </w:p>
        </w:tc>
        <w:tc>
          <w:tcPr>
            <w:tcW w:w="1953" w:type="dxa"/>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0.965 ± 0.063</w:t>
            </w:r>
          </w:p>
        </w:tc>
        <w:tc>
          <w:tcPr>
            <w:tcW w:w="1414" w:type="dxa"/>
          </w:tcPr>
          <w:p w:rsidR="00F478B3" w:rsidRPr="000C1C1E" w:rsidRDefault="00F478B3" w:rsidP="005A710F">
            <w:pPr>
              <w:jc w:val="center"/>
              <w:rPr>
                <w:rFonts w:ascii="Times New Roman" w:hAnsi="Times New Roman" w:cs="Times New Roman"/>
                <w:color w:val="FF0000"/>
              </w:rPr>
            </w:pPr>
            <w:r w:rsidRPr="000C1C1E">
              <w:rPr>
                <w:rFonts w:ascii="Times New Roman" w:hAnsi="Times New Roman" w:cs="Times New Roman"/>
                <w:color w:val="FF0000"/>
              </w:rPr>
              <w:t>3.38 ± 0.32</w:t>
            </w:r>
          </w:p>
        </w:tc>
      </w:tr>
    </w:tbl>
    <w:p w:rsidR="00F478B3" w:rsidRPr="000C1C1E" w:rsidRDefault="00F478B3" w:rsidP="00F478B3">
      <w:pPr>
        <w:rPr>
          <w:color w:val="FF0000"/>
        </w:rPr>
      </w:pPr>
    </w:p>
    <w:p w:rsidR="00F478B3" w:rsidRDefault="00F478B3" w:rsidP="00F478B3">
      <w:pPr>
        <w:rPr>
          <w:rFonts w:ascii="Times New Roman" w:hAnsi="Times New Roman" w:cs="Times New Roman"/>
          <w:b/>
        </w:rPr>
      </w:pPr>
      <w:r>
        <w:rPr>
          <w:rFonts w:ascii="Times New Roman" w:hAnsi="Times New Roman" w:cs="Times New Roman"/>
          <w:b/>
        </w:rPr>
        <w:br w:type="page"/>
      </w:r>
    </w:p>
    <w:p w:rsidR="00F478B3" w:rsidRPr="006D5847" w:rsidRDefault="00F478B3" w:rsidP="00F478B3">
      <w:pPr>
        <w:spacing w:line="360" w:lineRule="auto"/>
        <w:rPr>
          <w:rFonts w:ascii="Times New Roman" w:hAnsi="Times New Roman" w:cs="Times New Roman"/>
          <w:b/>
        </w:rPr>
      </w:pPr>
      <w:r w:rsidRPr="006D5847">
        <w:rPr>
          <w:rFonts w:ascii="Times New Roman" w:hAnsi="Times New Roman" w:cs="Times New Roman"/>
          <w:b/>
        </w:rPr>
        <w:lastRenderedPageBreak/>
        <w:t>Figure S1:</w:t>
      </w:r>
    </w:p>
    <w:p w:rsidR="00F478B3" w:rsidRPr="006D5847" w:rsidRDefault="00F478B3" w:rsidP="00F478B3">
      <w:pPr>
        <w:spacing w:line="240" w:lineRule="auto"/>
        <w:rPr>
          <w:rFonts w:ascii="Times New Roman" w:hAnsi="Times New Roman" w:cs="Times New Roman"/>
        </w:rPr>
      </w:pPr>
      <w:r w:rsidRPr="00005732">
        <w:rPr>
          <w:rFonts w:ascii="Times New Roman" w:hAnsi="Times New Roman" w:cs="Times New Roman"/>
          <w:noProof/>
        </w:rPr>
        <w:drawing>
          <wp:inline distT="0" distB="0" distL="0" distR="0" wp14:anchorId="64F6A9E4" wp14:editId="65E07EDF">
            <wp:extent cx="5652655" cy="4044471"/>
            <wp:effectExtent l="0" t="0" r="0" b="0"/>
            <wp:docPr id="1"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4513" cy="4045800"/>
                    </a:xfrm>
                    <a:prstGeom prst="rect">
                      <a:avLst/>
                    </a:prstGeom>
                    <a:noFill/>
                  </pic:spPr>
                </pic:pic>
              </a:graphicData>
            </a:graphic>
          </wp:inline>
        </w:drawing>
      </w:r>
      <w:r w:rsidRPr="00005732">
        <w:rPr>
          <w:rFonts w:ascii="Times New Roman" w:hAnsi="Times New Roman" w:cs="Times New Roman"/>
          <w:b/>
        </w:rPr>
        <w:t>Figure S1</w:t>
      </w:r>
      <w:r w:rsidRPr="00005732">
        <w:rPr>
          <w:rFonts w:ascii="Times New Roman" w:hAnsi="Times New Roman" w:cs="Times New Roman"/>
        </w:rPr>
        <w:t>.  Vesicle mean diameters (A, C, E, G, J) and PDI values (B, D, F, H, K) measured during and after application of different vesicle fusion protocols (details are presented in Table 1), between: (</w:t>
      </w:r>
      <w:proofErr w:type="spellStart"/>
      <w:r w:rsidRPr="00005732">
        <w:rPr>
          <w:rFonts w:ascii="Times New Roman" w:hAnsi="Times New Roman" w:cs="Times New Roman"/>
        </w:rPr>
        <w:t>i</w:t>
      </w:r>
      <w:proofErr w:type="spellEnd"/>
      <w:r w:rsidRPr="00005732">
        <w:rPr>
          <w:rFonts w:ascii="Times New Roman" w:hAnsi="Times New Roman" w:cs="Times New Roman"/>
        </w:rPr>
        <w:t>)  non-charged (PC/</w:t>
      </w:r>
      <w:proofErr w:type="spellStart"/>
      <w:r w:rsidRPr="00005732">
        <w:rPr>
          <w:rFonts w:ascii="Times New Roman" w:hAnsi="Times New Roman" w:cs="Times New Roman"/>
        </w:rPr>
        <w:t>Chol</w:t>
      </w:r>
      <w:proofErr w:type="spellEnd"/>
      <w:r w:rsidRPr="00005732">
        <w:rPr>
          <w:rFonts w:ascii="Times New Roman" w:hAnsi="Times New Roman" w:cs="Times New Roman"/>
        </w:rPr>
        <w:t xml:space="preserve">) liposomes (A-D) [S1];  (ii)  </w:t>
      </w:r>
      <w:proofErr w:type="spellStart"/>
      <w:r w:rsidRPr="00005732">
        <w:rPr>
          <w:rFonts w:ascii="Times New Roman" w:hAnsi="Times New Roman" w:cs="Times New Roman"/>
        </w:rPr>
        <w:t>Pegylated</w:t>
      </w:r>
      <w:proofErr w:type="spellEnd"/>
      <w:r w:rsidRPr="00005732">
        <w:rPr>
          <w:rFonts w:ascii="Times New Roman" w:hAnsi="Times New Roman" w:cs="Times New Roman"/>
        </w:rPr>
        <w:t xml:space="preserve"> liposomes and negatively charged liposomes (E-H) [S2] and (iii) CVs from </w:t>
      </w:r>
      <w:proofErr w:type="spellStart"/>
      <w:r w:rsidRPr="00005732">
        <w:rPr>
          <w:rFonts w:ascii="Times New Roman" w:hAnsi="Times New Roman" w:cs="Times New Roman"/>
        </w:rPr>
        <w:t>hCMEC</w:t>
      </w:r>
      <w:proofErr w:type="spellEnd"/>
      <w:r w:rsidRPr="00005732">
        <w:rPr>
          <w:rFonts w:ascii="Times New Roman" w:hAnsi="Times New Roman" w:cs="Times New Roman"/>
        </w:rPr>
        <w:t xml:space="preserve">/D3 cells and </w:t>
      </w:r>
      <w:proofErr w:type="spellStart"/>
      <w:r w:rsidRPr="00005732">
        <w:rPr>
          <w:rFonts w:ascii="Times New Roman" w:hAnsi="Times New Roman" w:cs="Times New Roman"/>
        </w:rPr>
        <w:t>Pegylated</w:t>
      </w:r>
      <w:proofErr w:type="spellEnd"/>
      <w:r w:rsidRPr="00005732">
        <w:rPr>
          <w:rFonts w:ascii="Times New Roman" w:hAnsi="Times New Roman" w:cs="Times New Roman"/>
        </w:rPr>
        <w:t xml:space="preserve"> liposomes (J, K)</w:t>
      </w:r>
      <w:r>
        <w:rPr>
          <w:rFonts w:ascii="Times New Roman" w:hAnsi="Times New Roman" w:cs="Times New Roman"/>
        </w:rPr>
        <w:t xml:space="preserve"> [S3]. Each value is the mean f</w:t>
      </w:r>
      <w:r w:rsidRPr="00005732">
        <w:rPr>
          <w:rFonts w:ascii="Times New Roman" w:hAnsi="Times New Roman" w:cs="Times New Roman"/>
        </w:rPr>
        <w:t>r</w:t>
      </w:r>
      <w:r>
        <w:rPr>
          <w:rFonts w:ascii="Times New Roman" w:hAnsi="Times New Roman" w:cs="Times New Roman"/>
        </w:rPr>
        <w:t>o</w:t>
      </w:r>
      <w:r w:rsidRPr="00005732">
        <w:rPr>
          <w:rFonts w:ascii="Times New Roman" w:hAnsi="Times New Roman" w:cs="Times New Roman"/>
        </w:rPr>
        <w:t>m at least three different samples, and the SD</w:t>
      </w:r>
      <w:r>
        <w:rPr>
          <w:rFonts w:ascii="Times New Roman" w:hAnsi="Times New Roman" w:cs="Times New Roman"/>
        </w:rPr>
        <w:t xml:space="preserve">’s </w:t>
      </w:r>
      <w:r w:rsidRPr="00005732">
        <w:rPr>
          <w:rFonts w:ascii="Times New Roman" w:hAnsi="Times New Roman" w:cs="Times New Roman"/>
        </w:rPr>
        <w:t>of each me</w:t>
      </w:r>
      <w:r>
        <w:rPr>
          <w:rFonts w:ascii="Times New Roman" w:hAnsi="Times New Roman" w:cs="Times New Roman"/>
        </w:rPr>
        <w:t>a</w:t>
      </w:r>
      <w:r w:rsidRPr="00005732">
        <w:rPr>
          <w:rFonts w:ascii="Times New Roman" w:hAnsi="Times New Roman" w:cs="Times New Roman"/>
        </w:rPr>
        <w:t xml:space="preserve">n value are presented as bars. </w:t>
      </w:r>
    </w:p>
    <w:p w:rsidR="00F478B3" w:rsidRDefault="00F478B3" w:rsidP="00F478B3">
      <w:pPr>
        <w:rPr>
          <w:rFonts w:ascii="Times New Roman" w:hAnsi="Times New Roman" w:cs="Times New Roman"/>
          <w:b/>
          <w:szCs w:val="16"/>
        </w:rPr>
      </w:pPr>
      <w:r>
        <w:rPr>
          <w:rFonts w:ascii="Times New Roman" w:hAnsi="Times New Roman" w:cs="Times New Roman"/>
          <w:b/>
          <w:szCs w:val="16"/>
        </w:rPr>
        <w:br w:type="page"/>
      </w:r>
    </w:p>
    <w:p w:rsidR="00F478B3" w:rsidRDefault="00F478B3" w:rsidP="00F478B3">
      <w:pPr>
        <w:spacing w:line="360" w:lineRule="auto"/>
        <w:rPr>
          <w:rFonts w:ascii="Times New Roman" w:hAnsi="Times New Roman" w:cs="Times New Roman"/>
          <w:b/>
          <w:szCs w:val="16"/>
        </w:rPr>
      </w:pPr>
      <w:r>
        <w:rPr>
          <w:rFonts w:ascii="Times New Roman" w:hAnsi="Times New Roman" w:cs="Times New Roman"/>
          <w:b/>
          <w:szCs w:val="16"/>
        </w:rPr>
        <w:lastRenderedPageBreak/>
        <w:t>Figure S2</w:t>
      </w:r>
    </w:p>
    <w:p w:rsidR="00F478B3" w:rsidRDefault="00F478B3" w:rsidP="00F478B3">
      <w:pPr>
        <w:spacing w:line="360" w:lineRule="auto"/>
        <w:rPr>
          <w:rFonts w:ascii="Times New Roman" w:hAnsi="Times New Roman" w:cs="Times New Roman"/>
          <w:b/>
          <w:szCs w:val="16"/>
        </w:rPr>
      </w:pPr>
      <w:r w:rsidRPr="005E5CB1">
        <w:rPr>
          <w:rFonts w:ascii="Times New Roman" w:hAnsi="Times New Roman" w:cs="Times New Roman"/>
          <w:b/>
          <w:noProof/>
          <w:szCs w:val="16"/>
        </w:rPr>
        <w:drawing>
          <wp:inline distT="0" distB="0" distL="0" distR="0" wp14:anchorId="7070200E" wp14:editId="188A9A45">
            <wp:extent cx="4554220" cy="385889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54220" cy="3858895"/>
                    </a:xfrm>
                    <a:prstGeom prst="rect">
                      <a:avLst/>
                    </a:prstGeom>
                    <a:noFill/>
                  </pic:spPr>
                </pic:pic>
              </a:graphicData>
            </a:graphic>
          </wp:inline>
        </w:drawing>
      </w:r>
    </w:p>
    <w:p w:rsidR="00F478B3" w:rsidRPr="00005732" w:rsidRDefault="00F478B3" w:rsidP="00F478B3">
      <w:pPr>
        <w:spacing w:line="240" w:lineRule="auto"/>
        <w:rPr>
          <w:rFonts w:ascii="Times New Roman" w:hAnsi="Times New Roman" w:cs="Times New Roman"/>
        </w:rPr>
      </w:pPr>
      <w:r w:rsidRPr="00005732">
        <w:rPr>
          <w:rFonts w:ascii="Times New Roman" w:hAnsi="Times New Roman" w:cs="Times New Roman"/>
          <w:b/>
        </w:rPr>
        <w:t>Figure S</w:t>
      </w:r>
      <w:r>
        <w:rPr>
          <w:rFonts w:ascii="Times New Roman" w:hAnsi="Times New Roman" w:cs="Times New Roman"/>
          <w:b/>
        </w:rPr>
        <w:t>2</w:t>
      </w:r>
      <w:r w:rsidRPr="00005732">
        <w:rPr>
          <w:rFonts w:ascii="Times New Roman" w:hAnsi="Times New Roman" w:cs="Times New Roman"/>
        </w:rPr>
        <w:t xml:space="preserve">. </w:t>
      </w:r>
      <w:proofErr w:type="spellStart"/>
      <w:proofErr w:type="gramStart"/>
      <w:r>
        <w:rPr>
          <w:rFonts w:ascii="Times New Roman" w:hAnsi="Times New Roman" w:cs="Times New Roman"/>
        </w:rPr>
        <w:t>hCMEC</w:t>
      </w:r>
      <w:proofErr w:type="spellEnd"/>
      <w:r>
        <w:rPr>
          <w:rFonts w:ascii="Times New Roman" w:hAnsi="Times New Roman" w:cs="Times New Roman"/>
        </w:rPr>
        <w:t>/D3</w:t>
      </w:r>
      <w:proofErr w:type="gramEnd"/>
      <w:r>
        <w:rPr>
          <w:rFonts w:ascii="Times New Roman" w:hAnsi="Times New Roman" w:cs="Times New Roman"/>
        </w:rPr>
        <w:t xml:space="preserve"> cell viability (% of Control) following incubation with PEG-</w:t>
      </w:r>
      <w:r w:rsidRPr="005E5CB1">
        <w:rPr>
          <w:rFonts w:ascii="Times New Roman" w:hAnsi="Times New Roman" w:cs="Times New Roman"/>
          <w:color w:val="FF0000"/>
        </w:rPr>
        <w:t>LIP</w:t>
      </w:r>
      <w:r>
        <w:rPr>
          <w:rFonts w:ascii="Times New Roman" w:hAnsi="Times New Roman" w:cs="Times New Roman"/>
        </w:rPr>
        <w:t xml:space="preserve">, CVs from </w:t>
      </w:r>
      <w:proofErr w:type="spellStart"/>
      <w:r>
        <w:rPr>
          <w:rFonts w:ascii="Times New Roman" w:hAnsi="Times New Roman" w:cs="Times New Roman"/>
        </w:rPr>
        <w:t>hCMEC</w:t>
      </w:r>
      <w:proofErr w:type="spellEnd"/>
      <w:r>
        <w:rPr>
          <w:rFonts w:ascii="Times New Roman" w:hAnsi="Times New Roman" w:cs="Times New Roman"/>
        </w:rPr>
        <w:t>/D3 cells, and Hybrids, for 4h and 48 h. Each value is the mean f</w:t>
      </w:r>
      <w:r w:rsidRPr="00005732">
        <w:rPr>
          <w:rFonts w:ascii="Times New Roman" w:hAnsi="Times New Roman" w:cs="Times New Roman"/>
        </w:rPr>
        <w:t>r</w:t>
      </w:r>
      <w:r>
        <w:rPr>
          <w:rFonts w:ascii="Times New Roman" w:hAnsi="Times New Roman" w:cs="Times New Roman"/>
        </w:rPr>
        <w:t>o</w:t>
      </w:r>
      <w:r w:rsidRPr="00005732">
        <w:rPr>
          <w:rFonts w:ascii="Times New Roman" w:hAnsi="Times New Roman" w:cs="Times New Roman"/>
        </w:rPr>
        <w:t>m at least three different samples, and the SD of each me</w:t>
      </w:r>
      <w:r>
        <w:rPr>
          <w:rFonts w:ascii="Times New Roman" w:hAnsi="Times New Roman" w:cs="Times New Roman"/>
        </w:rPr>
        <w:t>a</w:t>
      </w:r>
      <w:r w:rsidRPr="00005732">
        <w:rPr>
          <w:rFonts w:ascii="Times New Roman" w:hAnsi="Times New Roman" w:cs="Times New Roman"/>
        </w:rPr>
        <w:t xml:space="preserve">n value </w:t>
      </w:r>
      <w:r>
        <w:rPr>
          <w:rFonts w:ascii="Times New Roman" w:hAnsi="Times New Roman" w:cs="Times New Roman"/>
        </w:rPr>
        <w:t>is</w:t>
      </w:r>
      <w:r w:rsidRPr="00005732">
        <w:rPr>
          <w:rFonts w:ascii="Times New Roman" w:hAnsi="Times New Roman" w:cs="Times New Roman"/>
        </w:rPr>
        <w:t xml:space="preserve"> presented as bars. </w:t>
      </w:r>
    </w:p>
    <w:p w:rsidR="00F478B3" w:rsidRPr="002668FD" w:rsidRDefault="00F478B3" w:rsidP="00F478B3">
      <w:pPr>
        <w:spacing w:line="360" w:lineRule="auto"/>
        <w:rPr>
          <w:rFonts w:ascii="Times New Roman" w:hAnsi="Times New Roman" w:cs="Times New Roman"/>
          <w:b/>
          <w:szCs w:val="16"/>
        </w:rPr>
      </w:pPr>
    </w:p>
    <w:p w:rsidR="00F478B3" w:rsidRPr="00E87D82" w:rsidRDefault="00F478B3" w:rsidP="00F478B3">
      <w:pPr>
        <w:rPr>
          <w:rFonts w:ascii="Calibri" w:hAnsi="Calibri"/>
        </w:rPr>
      </w:pPr>
    </w:p>
    <w:p w:rsidR="00F478B3" w:rsidRPr="00A934DF" w:rsidRDefault="00F478B3" w:rsidP="00F478B3">
      <w:pPr>
        <w:spacing w:line="360" w:lineRule="auto"/>
        <w:rPr>
          <w:rFonts w:ascii="Times New Roman" w:hAnsi="Times New Roman" w:cs="Times New Roman"/>
          <w:b/>
          <w:szCs w:val="16"/>
        </w:rPr>
      </w:pPr>
    </w:p>
    <w:p w:rsidR="00957B8E" w:rsidRDefault="00F478B3">
      <w:bookmarkStart w:id="0" w:name="_GoBack"/>
      <w:bookmarkEnd w:id="0"/>
    </w:p>
    <w:sectPr w:rsidR="00957B8E" w:rsidSect="00C4286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0928"/>
      <w:docPartObj>
        <w:docPartGallery w:val="Page Numbers (Bottom of Page)"/>
        <w:docPartUnique/>
      </w:docPartObj>
    </w:sdtPr>
    <w:sdtEndPr/>
    <w:sdtContent>
      <w:p w:rsidR="00454A2F" w:rsidRDefault="00F478B3">
        <w:pPr>
          <w:pStyle w:val="a3"/>
          <w:jc w:val="right"/>
        </w:pPr>
        <w:r>
          <w:fldChar w:fldCharType="begin"/>
        </w:r>
        <w:r>
          <w:instrText xml:space="preserve"> PAGE   \* MERGEFORMAT </w:instrText>
        </w:r>
        <w:r>
          <w:fldChar w:fldCharType="separate"/>
        </w:r>
        <w:r>
          <w:rPr>
            <w:noProof/>
          </w:rPr>
          <w:t>2</w:t>
        </w:r>
        <w:r>
          <w:rPr>
            <w:noProof/>
          </w:rPr>
          <w:fldChar w:fldCharType="end"/>
        </w:r>
      </w:p>
    </w:sdtContent>
  </w:sdt>
  <w:p w:rsidR="00454A2F" w:rsidRDefault="00F478B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A2"/>
    <w:rsid w:val="0059737A"/>
    <w:rsid w:val="00A057A2"/>
    <w:rsid w:val="00F437EC"/>
    <w:rsid w:val="00F4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B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478B3"/>
    <w:pPr>
      <w:tabs>
        <w:tab w:val="center" w:pos="4680"/>
        <w:tab w:val="right" w:pos="9360"/>
      </w:tabs>
      <w:spacing w:after="0" w:line="240" w:lineRule="auto"/>
    </w:pPr>
  </w:style>
  <w:style w:type="character" w:customStyle="1" w:styleId="Char">
    <w:name w:val="Υποσέλιδο Char"/>
    <w:basedOn w:val="a0"/>
    <w:link w:val="a3"/>
    <w:uiPriority w:val="99"/>
    <w:rsid w:val="00F478B3"/>
    <w:rPr>
      <w:rFonts w:eastAsiaTheme="minorEastAsia"/>
    </w:rPr>
  </w:style>
  <w:style w:type="table" w:styleId="a4">
    <w:name w:val="Table Grid"/>
    <w:basedOn w:val="a1"/>
    <w:uiPriority w:val="59"/>
    <w:rsid w:val="00F478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F478B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478B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B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478B3"/>
    <w:pPr>
      <w:tabs>
        <w:tab w:val="center" w:pos="4680"/>
        <w:tab w:val="right" w:pos="9360"/>
      </w:tabs>
      <w:spacing w:after="0" w:line="240" w:lineRule="auto"/>
    </w:pPr>
  </w:style>
  <w:style w:type="character" w:customStyle="1" w:styleId="Char">
    <w:name w:val="Υποσέλιδο Char"/>
    <w:basedOn w:val="a0"/>
    <w:link w:val="a3"/>
    <w:uiPriority w:val="99"/>
    <w:rsid w:val="00F478B3"/>
    <w:rPr>
      <w:rFonts w:eastAsiaTheme="minorEastAsia"/>
    </w:rPr>
  </w:style>
  <w:style w:type="table" w:styleId="a4">
    <w:name w:val="Table Grid"/>
    <w:basedOn w:val="a1"/>
    <w:uiPriority w:val="59"/>
    <w:rsid w:val="00F478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F478B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478B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1916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Sophia_A</dc:creator>
  <cp:keywords/>
  <dc:description/>
  <cp:lastModifiedBy>Sophia_A</cp:lastModifiedBy>
  <cp:revision>2</cp:revision>
  <dcterms:created xsi:type="dcterms:W3CDTF">2020-12-10T10:19:00Z</dcterms:created>
  <dcterms:modified xsi:type="dcterms:W3CDTF">2020-12-10T10:20:00Z</dcterms:modified>
</cp:coreProperties>
</file>