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Heading1"/>
        <w:rPr>
          <w:rFonts w:ascii="Times New Roman" w:hAnsi="Times New Roman" w:cs="Times New Roman"/>
          <w:sz w:val="24"/>
          <w:szCs w:val="24"/>
        </w:rPr>
      </w:pPr>
      <w:r>
        <w:rPr>
          <w:rFonts w:ascii="Times New Roman" w:hAnsi="Times New Roman" w:cs="Times New Roman"/>
          <w:sz w:val="24"/>
          <w:szCs w:val="24"/>
        </w:rPr>
        <w:t>Determination of organochlorine pesticides in human umbilical cord and association with orofacial clefts in offspring</w:t>
      </w:r>
    </w:p>
    <w:p>
      <w:pPr>
        <w:pStyle w:val="a0"/>
        <w:rPr>
          <w:rFonts w:cs="Times New Roman"/>
        </w:rPr>
      </w:pPr>
      <w:proofErr w:type="spellStart"/>
      <w:r>
        <w:t>Wenlei</w:t>
      </w:r>
      <w:proofErr w:type="spellEnd"/>
      <w:r>
        <w:t xml:space="preserve"> Yang</w:t>
      </w:r>
      <w:r>
        <w:rPr>
          <w:vertAlign w:val="superscript"/>
        </w:rPr>
        <w:t>a#</w:t>
      </w:r>
      <w:r>
        <w:t xml:space="preserve">, </w:t>
      </w:r>
      <w:proofErr w:type="spellStart"/>
      <w:r>
        <w:t>Wenli</w:t>
      </w:r>
      <w:proofErr w:type="spellEnd"/>
      <w:r>
        <w:t xml:space="preserve"> </w:t>
      </w:r>
      <w:proofErr w:type="spellStart"/>
      <w:r>
        <w:t>Ni</w:t>
      </w:r>
      <w:r>
        <w:rPr>
          <w:vertAlign w:val="superscript"/>
        </w:rPr>
        <w:t>a,b</w:t>
      </w:r>
      <w:proofErr w:type="spellEnd"/>
      <w:r>
        <w:rPr>
          <w:vertAlign w:val="superscript"/>
        </w:rPr>
        <w:t xml:space="preserve"> #</w:t>
      </w:r>
      <w:r>
        <w:t xml:space="preserve">, Lei </w:t>
      </w:r>
      <w:proofErr w:type="spellStart"/>
      <w:r>
        <w:t>Jin</w:t>
      </w:r>
      <w:r>
        <w:rPr>
          <w:vertAlign w:val="superscript"/>
        </w:rPr>
        <w:t>a</w:t>
      </w:r>
      <w:proofErr w:type="spellEnd"/>
      <w:r>
        <w:t xml:space="preserve">, </w:t>
      </w:r>
      <w:proofErr w:type="spellStart"/>
      <w:r>
        <w:t>Jufen</w:t>
      </w:r>
      <w:proofErr w:type="spellEnd"/>
      <w:r>
        <w:t xml:space="preserve"> </w:t>
      </w:r>
      <w:proofErr w:type="spellStart"/>
      <w:r>
        <w:t>Liu</w:t>
      </w:r>
      <w:r>
        <w:rPr>
          <w:vertAlign w:val="superscript"/>
        </w:rPr>
        <w:t>a</w:t>
      </w:r>
      <w:proofErr w:type="spellEnd"/>
      <w:r>
        <w:t xml:space="preserve">, </w:t>
      </w:r>
      <w:proofErr w:type="spellStart"/>
      <w:r>
        <w:t>Zhiwen</w:t>
      </w:r>
      <w:proofErr w:type="spellEnd"/>
      <w:r>
        <w:t xml:space="preserve"> Li</w:t>
      </w:r>
      <w:r>
        <w:rPr>
          <w:vertAlign w:val="superscript"/>
        </w:rPr>
        <w:t>a</w:t>
      </w:r>
      <w:r>
        <w:t xml:space="preserve">, </w:t>
      </w:r>
      <w:proofErr w:type="spellStart"/>
      <w:r>
        <w:t>Linlin</w:t>
      </w:r>
      <w:proofErr w:type="spellEnd"/>
      <w:r>
        <w:t xml:space="preserve"> </w:t>
      </w:r>
      <w:proofErr w:type="spellStart"/>
      <w:r>
        <w:t>Wang</w:t>
      </w:r>
      <w:r>
        <w:rPr>
          <w:vertAlign w:val="superscript"/>
        </w:rPr>
        <w:t>a</w:t>
      </w:r>
      <w:proofErr w:type="spellEnd"/>
      <w:r>
        <w:rPr>
          <w:vertAlign w:val="superscript"/>
        </w:rPr>
        <w:t>*</w:t>
      </w:r>
      <w:r>
        <w:t xml:space="preserve">, </w:t>
      </w:r>
      <w:proofErr w:type="spellStart"/>
      <w:r>
        <w:t>Aiguo</w:t>
      </w:r>
      <w:proofErr w:type="spellEnd"/>
      <w:r>
        <w:t xml:space="preserve"> Ren</w:t>
      </w:r>
      <w:r>
        <w:rPr>
          <w:vertAlign w:val="superscript"/>
        </w:rPr>
        <w:t>a</w:t>
      </w:r>
    </w:p>
    <w:p>
      <w:pPr>
        <w:spacing w:before="100" w:line="480" w:lineRule="auto"/>
        <w:rPr>
          <w:rFonts w:ascii="Times New Roman" w:hAnsi="Times New Roman" w:cs="Times New Roman"/>
          <w:b/>
          <w:bCs/>
          <w:sz w:val="24"/>
          <w:szCs w:val="24"/>
        </w:rPr>
      </w:pPr>
      <w:bookmarkStart w:id="0" w:name="_GoBack"/>
      <w:bookmarkEnd w:id="0"/>
    </w:p>
    <w:p>
      <w:pPr>
        <w:spacing w:before="100" w:line="480" w:lineRule="auto"/>
        <w:rPr>
          <w:rFonts w:ascii="Times New Roman" w:hAnsi="Times New Roman" w:cs="Times New Roman"/>
          <w:b/>
          <w:bCs/>
          <w:sz w:val="24"/>
          <w:szCs w:val="24"/>
        </w:rPr>
      </w:pPr>
    </w:p>
    <w:p>
      <w:pPr>
        <w:spacing w:before="100" w:line="480" w:lineRule="auto"/>
        <w:rPr>
          <w:rFonts w:ascii="Times New Roman" w:hAnsi="Times New Roman" w:cs="Times New Roman"/>
          <w:sz w:val="24"/>
          <w:szCs w:val="24"/>
        </w:rPr>
      </w:pPr>
      <w:r>
        <w:rPr>
          <w:rFonts w:ascii="Times New Roman" w:hAnsi="Times New Roman" w:cs="Times New Roman"/>
          <w:b/>
          <w:bCs/>
          <w:sz w:val="24"/>
          <w:szCs w:val="24"/>
        </w:rPr>
        <w:t xml:space="preserve">Affiliations: </w:t>
      </w:r>
      <w:r>
        <w:rPr>
          <w:rFonts w:ascii="Times New Roman" w:hAnsi="Times New Roman" w:cs="Times New Roman"/>
          <w:sz w:val="24"/>
          <w:szCs w:val="24"/>
          <w:vertAlign w:val="superscript"/>
        </w:rPr>
        <w:t>a</w:t>
      </w:r>
      <w:r>
        <w:rPr>
          <w:rFonts w:ascii="Times New Roman" w:hAnsi="Times New Roman" w:cs="Times New Roman"/>
          <w:sz w:val="24"/>
          <w:szCs w:val="24"/>
        </w:rPr>
        <w:t xml:space="preserve"> Institute of Reproductive and Child Health, National Health Commission Key Laboratory of Reproductive Health, Department of Epidemiology and Biostatistics, School of Public Health, Peking University Health Science Center, Beijing, China</w:t>
      </w:r>
    </w:p>
    <w:p>
      <w:pPr>
        <w:spacing w:before="100" w:line="480" w:lineRule="auto"/>
        <w:rPr>
          <w:rFonts w:ascii="Times New Roman" w:hAnsi="Times New Roman" w:cs="Times New Roman"/>
          <w:sz w:val="24"/>
          <w:szCs w:val="24"/>
        </w:rPr>
      </w:pPr>
      <w:proofErr w:type="gramStart"/>
      <w:r>
        <w:rPr>
          <w:rFonts w:ascii="Times New Roman" w:hAnsi="Times New Roman" w:cs="Times New Roman"/>
          <w:sz w:val="24"/>
          <w:szCs w:val="24"/>
          <w:vertAlign w:val="superscript"/>
        </w:rPr>
        <w:t>b</w:t>
      </w:r>
      <w:proofErr w:type="gramEnd"/>
      <w:r>
        <w:rPr>
          <w:rFonts w:ascii="Times New Roman" w:hAnsi="Times New Roman" w:cs="Times New Roman"/>
          <w:sz w:val="24"/>
          <w:szCs w:val="24"/>
        </w:rPr>
        <w:t xml:space="preserve"> </w:t>
      </w:r>
      <w:r>
        <w:rPr>
          <w:rFonts w:ascii="Times New Roman" w:hAnsi="Times New Roman" w:cs="Times New Roman"/>
          <w:color w:val="212121"/>
          <w:sz w:val="24"/>
          <w:szCs w:val="24"/>
          <w:shd w:val="clear" w:color="auto" w:fill="FFFFFF"/>
        </w:rPr>
        <w:t xml:space="preserve">Institute of Epidemiology, Helmholtz </w:t>
      </w:r>
      <w:proofErr w:type="spellStart"/>
      <w:r>
        <w:rPr>
          <w:rFonts w:ascii="Times New Roman" w:hAnsi="Times New Roman" w:cs="Times New Roman"/>
          <w:color w:val="212121"/>
          <w:sz w:val="24"/>
          <w:szCs w:val="24"/>
          <w:shd w:val="clear" w:color="auto" w:fill="FFFFFF"/>
        </w:rPr>
        <w:t>Zentrum</w:t>
      </w:r>
      <w:proofErr w:type="spellEnd"/>
      <w:r>
        <w:rPr>
          <w:rFonts w:ascii="Times New Roman" w:hAnsi="Times New Roman" w:cs="Times New Roman"/>
          <w:color w:val="212121"/>
          <w:sz w:val="24"/>
          <w:szCs w:val="24"/>
          <w:shd w:val="clear" w:color="auto" w:fill="FFFFFF"/>
        </w:rPr>
        <w:t xml:space="preserve"> </w:t>
      </w:r>
      <w:proofErr w:type="spellStart"/>
      <w:r>
        <w:rPr>
          <w:rFonts w:ascii="Times New Roman" w:hAnsi="Times New Roman" w:cs="Times New Roman"/>
          <w:color w:val="212121"/>
          <w:sz w:val="24"/>
          <w:szCs w:val="24"/>
          <w:shd w:val="clear" w:color="auto" w:fill="FFFFFF"/>
        </w:rPr>
        <w:t>München</w:t>
      </w:r>
      <w:proofErr w:type="spellEnd"/>
      <w:r>
        <w:rPr>
          <w:rFonts w:ascii="Times New Roman" w:hAnsi="Times New Roman" w:cs="Times New Roman"/>
          <w:color w:val="212121"/>
          <w:sz w:val="24"/>
          <w:szCs w:val="24"/>
          <w:shd w:val="clear" w:color="auto" w:fill="FFFFFF"/>
        </w:rPr>
        <w:t xml:space="preserve"> - German Research Center for Environmental Health, </w:t>
      </w:r>
      <w:proofErr w:type="spellStart"/>
      <w:r>
        <w:rPr>
          <w:rFonts w:ascii="Times New Roman" w:hAnsi="Times New Roman" w:cs="Times New Roman"/>
          <w:color w:val="212121"/>
          <w:sz w:val="24"/>
          <w:szCs w:val="24"/>
          <w:shd w:val="clear" w:color="auto" w:fill="FFFFFF"/>
        </w:rPr>
        <w:t>Neuherberg</w:t>
      </w:r>
      <w:proofErr w:type="spellEnd"/>
      <w:r>
        <w:rPr>
          <w:rFonts w:ascii="Times New Roman" w:hAnsi="Times New Roman" w:cs="Times New Roman"/>
          <w:color w:val="212121"/>
          <w:sz w:val="24"/>
          <w:szCs w:val="24"/>
          <w:shd w:val="clear" w:color="auto" w:fill="FFFFFF"/>
        </w:rPr>
        <w:t>, Germany</w:t>
      </w:r>
    </w:p>
    <w:p>
      <w:pPr>
        <w:spacing w:line="480" w:lineRule="auto"/>
        <w:rPr>
          <w:rFonts w:ascii="Times New Roman" w:hAnsi="Times New Roman" w:cs="Times New Roman"/>
          <w:sz w:val="28"/>
        </w:rPr>
      </w:pPr>
    </w:p>
    <w:p>
      <w:pPr>
        <w:spacing w:line="480" w:lineRule="auto"/>
        <w:rPr>
          <w:rFonts w:ascii="Times New Roman" w:hAnsi="Times New Roman" w:cs="Times New Roman"/>
          <w:sz w:val="24"/>
          <w:szCs w:val="20"/>
        </w:rPr>
      </w:pPr>
      <w:r>
        <w:rPr>
          <w:rFonts w:ascii="Times New Roman" w:hAnsi="Times New Roman" w:cs="Times New Roman"/>
          <w:sz w:val="24"/>
          <w:szCs w:val="20"/>
        </w:rPr>
        <w:t>#</w:t>
      </w:r>
      <w:proofErr w:type="gramStart"/>
      <w:r>
        <w:rPr>
          <w:rFonts w:ascii="Times New Roman" w:hAnsi="Times New Roman" w:cs="Times New Roman"/>
          <w:sz w:val="24"/>
          <w:szCs w:val="20"/>
        </w:rPr>
        <w:t>These</w:t>
      </w:r>
      <w:proofErr w:type="gramEnd"/>
      <w:r>
        <w:rPr>
          <w:rFonts w:ascii="Times New Roman" w:hAnsi="Times New Roman" w:cs="Times New Roman"/>
          <w:sz w:val="24"/>
          <w:szCs w:val="20"/>
        </w:rPr>
        <w:t xml:space="preserve"> authors contributed equally to this work.</w:t>
      </w:r>
    </w:p>
    <w:p>
      <w:pPr>
        <w:spacing w:line="480" w:lineRule="auto"/>
        <w:rPr>
          <w:rFonts w:ascii="Times New Roman" w:hAnsi="Times New Roman" w:cs="Times New Roman"/>
          <w:sz w:val="24"/>
          <w:szCs w:val="20"/>
        </w:rPr>
      </w:pPr>
    </w:p>
    <w:p>
      <w:pPr>
        <w:spacing w:line="480" w:lineRule="auto"/>
      </w:pPr>
      <w:r>
        <w:rPr>
          <w:rFonts w:ascii="Times New Roman" w:hAnsi="Times New Roman" w:cs="Times New Roman"/>
          <w:b/>
          <w:bCs/>
          <w:sz w:val="24"/>
          <w:szCs w:val="24"/>
        </w:rPr>
        <w:t>Address correspondence to</w:t>
      </w:r>
      <w:r>
        <w:rPr>
          <w:rFonts w:ascii="Times New Roman" w:hAnsi="Times New Roman" w:cs="Times New Roman"/>
          <w:sz w:val="24"/>
          <w:szCs w:val="24"/>
        </w:rPr>
        <w:t xml:space="preserve">: Dr. </w:t>
      </w:r>
      <w:proofErr w:type="spellStart"/>
      <w:r>
        <w:rPr>
          <w:rFonts w:ascii="Times New Roman" w:hAnsi="Times New Roman" w:cs="Times New Roman"/>
          <w:sz w:val="24"/>
          <w:szCs w:val="24"/>
        </w:rPr>
        <w:t>Linlin</w:t>
      </w:r>
      <w:proofErr w:type="spellEnd"/>
      <w:r>
        <w:rPr>
          <w:rFonts w:ascii="Times New Roman" w:hAnsi="Times New Roman" w:cs="Times New Roman"/>
          <w:sz w:val="24"/>
          <w:szCs w:val="24"/>
        </w:rPr>
        <w:t xml:space="preserve"> Wang, Institute of Reproductive and Child Health, Peking University, Beijing 100191, China. Telephone: +86(10)82802976. E-mail address: </w:t>
      </w:r>
      <w:hyperlink r:id="rId7" w:history="1">
        <w:r>
          <w:rPr>
            <w:rFonts w:ascii="Times New Roman" w:hAnsi="Times New Roman" w:cs="Times New Roman"/>
            <w:sz w:val="24"/>
            <w:szCs w:val="24"/>
            <w:u w:val="single"/>
          </w:rPr>
          <w:t>linlinwang@bjmu.edu.cn</w:t>
        </w:r>
      </w:hyperlink>
    </w:p>
    <w:p>
      <w:pPr>
        <w:pStyle w:val="Heading1"/>
        <w:spacing w:line="480" w:lineRule="auto"/>
        <w:rPr>
          <w:rStyle w:val="Heading2Char"/>
          <w:rFonts w:eastAsiaTheme="minorEastAsia" w:cs="Times New Roman"/>
          <w:b/>
          <w:bCs/>
          <w:szCs w:val="24"/>
        </w:rPr>
        <w:sectPr>
          <w:footerReference w:type="default" r:id="rId8"/>
          <w:pgSz w:w="11906" w:h="16838"/>
          <w:pgMar w:top="1440" w:right="1800" w:bottom="1440" w:left="1800" w:header="851" w:footer="992" w:gutter="0"/>
          <w:lnNumType w:countBy="1" w:restart="continuous"/>
          <w:cols w:space="425"/>
          <w:docGrid w:type="lines" w:linePitch="312"/>
        </w:sectPr>
      </w:pPr>
    </w:p>
    <w:p>
      <w:pPr>
        <w:pStyle w:val="Heading1"/>
        <w:spacing w:line="480" w:lineRule="auto"/>
        <w:rPr>
          <w:rStyle w:val="Heading1Char"/>
          <w:rFonts w:ascii="Times New Roman" w:hAnsi="Times New Roman" w:cs="Times New Roman"/>
          <w:b/>
          <w:bCs/>
          <w:sz w:val="24"/>
          <w:szCs w:val="24"/>
        </w:rPr>
      </w:pPr>
      <w:r>
        <w:rPr>
          <w:rStyle w:val="Heading2Char"/>
          <w:rFonts w:eastAsiaTheme="minorEastAsia" w:cs="Times New Roman"/>
          <w:b/>
          <w:bCs/>
          <w:szCs w:val="24"/>
        </w:rPr>
        <w:lastRenderedPageBreak/>
        <w:t>Abstract</w:t>
      </w:r>
    </w:p>
    <w:p>
      <w:pPr>
        <w:autoSpaceDE w:val="0"/>
        <w:autoSpaceDN w:val="0"/>
        <w:adjustRightInd w:val="0"/>
        <w:spacing w:line="480" w:lineRule="auto"/>
        <w:rPr>
          <w:rFonts w:ascii="Times New Roman" w:hAnsi="Times New Roman" w:cs="Times New Roman"/>
          <w:sz w:val="24"/>
          <w:szCs w:val="24"/>
        </w:rPr>
      </w:pPr>
      <w:bookmarkStart w:id="1" w:name="OLE_LINK21"/>
      <w:r>
        <w:rPr>
          <w:rFonts w:ascii="Times New Roman" w:hAnsi="Times New Roman"/>
          <w:bCs/>
          <w:sz w:val="24"/>
          <w:szCs w:val="24"/>
        </w:rPr>
        <w:t xml:space="preserve">Studies based on questionnaires suggested that maternal exposure to </w:t>
      </w:r>
      <w:r>
        <w:rPr>
          <w:rFonts w:ascii="Times New Roman" w:hAnsi="Times New Roman" w:hint="eastAsia"/>
          <w:bCs/>
          <w:sz w:val="24"/>
          <w:szCs w:val="24"/>
        </w:rPr>
        <w:t>p</w:t>
      </w:r>
      <w:r>
        <w:rPr>
          <w:rFonts w:ascii="Times New Roman" w:hAnsi="Times New Roman"/>
          <w:bCs/>
          <w:sz w:val="24"/>
          <w:szCs w:val="24"/>
        </w:rPr>
        <w:t>esticides</w:t>
      </w:r>
      <w:r>
        <w:rPr>
          <w:rFonts w:ascii="Times New Roman" w:hAnsi="Times New Roman" w:hint="eastAsia"/>
          <w:bCs/>
          <w:sz w:val="24"/>
          <w:szCs w:val="24"/>
        </w:rPr>
        <w:t xml:space="preserve"> </w:t>
      </w:r>
      <w:r>
        <w:rPr>
          <w:rFonts w:ascii="Times New Roman" w:hAnsi="Times New Roman"/>
          <w:bCs/>
          <w:sz w:val="24"/>
          <w:szCs w:val="24"/>
        </w:rPr>
        <w:t>increases</w:t>
      </w:r>
      <w:r>
        <w:rPr>
          <w:rFonts w:ascii="Times New Roman" w:hAnsi="Times New Roman" w:hint="eastAsia"/>
          <w:bCs/>
          <w:sz w:val="24"/>
          <w:szCs w:val="24"/>
        </w:rPr>
        <w:t xml:space="preserve"> the risk for </w:t>
      </w:r>
      <w:r>
        <w:rPr>
          <w:rFonts w:ascii="Times New Roman" w:hAnsi="Times New Roman"/>
          <w:bCs/>
          <w:sz w:val="24"/>
          <w:szCs w:val="24"/>
        </w:rPr>
        <w:t xml:space="preserve">orofacial clefts (OFCs). However, whether </w:t>
      </w:r>
      <w:r>
        <w:rPr>
          <w:rFonts w:ascii="Times New Roman" w:hAnsi="Times New Roman" w:hint="eastAsia"/>
          <w:bCs/>
          <w:sz w:val="24"/>
          <w:szCs w:val="24"/>
        </w:rPr>
        <w:t>o</w:t>
      </w:r>
      <w:r>
        <w:rPr>
          <w:rFonts w:ascii="Times New Roman" w:hAnsi="Times New Roman"/>
          <w:bCs/>
          <w:sz w:val="24"/>
          <w:szCs w:val="24"/>
        </w:rPr>
        <w:t xml:space="preserve">rganochlorine pesticides (OCPs) exposure </w:t>
      </w:r>
      <w:r>
        <w:rPr>
          <w:rFonts w:ascii="Times New Roman" w:hAnsi="Times New Roman"/>
          <w:bCs/>
          <w:i/>
          <w:sz w:val="24"/>
          <w:szCs w:val="24"/>
        </w:rPr>
        <w:t>in vivo</w:t>
      </w:r>
      <w:r>
        <w:rPr>
          <w:rFonts w:ascii="Times New Roman" w:hAnsi="Times New Roman"/>
          <w:bCs/>
          <w:sz w:val="24"/>
          <w:szCs w:val="24"/>
        </w:rPr>
        <w:t xml:space="preserve"> affect</w:t>
      </w:r>
      <w:r>
        <w:rPr>
          <w:rFonts w:ascii="Times New Roman" w:hAnsi="Times New Roman" w:hint="eastAsia"/>
          <w:bCs/>
          <w:sz w:val="24"/>
          <w:szCs w:val="24"/>
        </w:rPr>
        <w:t>s</w:t>
      </w:r>
      <w:r>
        <w:rPr>
          <w:rFonts w:ascii="Times New Roman" w:hAnsi="Times New Roman"/>
          <w:bCs/>
          <w:sz w:val="24"/>
          <w:szCs w:val="24"/>
        </w:rPr>
        <w:t xml:space="preserve"> the occurrence of OFCs remains unclear</w:t>
      </w:r>
      <w:r>
        <w:rPr>
          <w:rFonts w:ascii="Times New Roman" w:hAnsi="Times New Roman" w:cs="Times New Roman"/>
          <w:bCs/>
          <w:sz w:val="24"/>
          <w:szCs w:val="24"/>
        </w:rPr>
        <w:t>.</w:t>
      </w:r>
      <w:r>
        <w:rPr>
          <w:rFonts w:ascii="Times New Roman" w:hAnsi="Times New Roman" w:cs="Times New Roman"/>
          <w:b/>
          <w:sz w:val="24"/>
          <w:szCs w:val="24"/>
        </w:rPr>
        <w:t xml:space="preserve"> </w:t>
      </w:r>
      <w:r>
        <w:rPr>
          <w:rFonts w:ascii="Times New Roman" w:eastAsia="Microsoft YaHei" w:hAnsi="Times New Roman" w:cs="Times New Roman"/>
          <w:color w:val="000000"/>
          <w:sz w:val="24"/>
          <w:szCs w:val="24"/>
          <w:shd w:val="clear" w:color="auto" w:fill="FFFFFF"/>
        </w:rPr>
        <w:t>The aims of this study are to investigate the association of OCP exposure with the risk of OFCs by examining the concentrations of OCPs in human umbilical cords</w:t>
      </w:r>
      <w:r>
        <w:rPr>
          <w:rFonts w:ascii="Times New Roman" w:hAnsi="Times New Roman" w:cs="Times New Roman"/>
          <w:sz w:val="24"/>
          <w:szCs w:val="24"/>
        </w:rPr>
        <w:t>, and investigate the potential dietary sources of OCPs in umbilical cord tissues.</w:t>
      </w:r>
      <w:r>
        <w:rPr>
          <w:rFonts w:ascii="Times New Roman" w:hAnsi="Times New Roman"/>
          <w:b/>
          <w:sz w:val="24"/>
          <w:szCs w:val="24"/>
        </w:rPr>
        <w:t xml:space="preserve"> </w:t>
      </w:r>
      <w:r>
        <w:rPr>
          <w:rFonts w:ascii="Times New Roman" w:hAnsi="Times New Roman" w:hint="eastAsia"/>
          <w:sz w:val="24"/>
          <w:szCs w:val="24"/>
        </w:rPr>
        <w:t>A</w:t>
      </w:r>
      <w:r>
        <w:rPr>
          <w:rFonts w:ascii="Times New Roman" w:hAnsi="Times New Roman"/>
          <w:sz w:val="24"/>
          <w:szCs w:val="24"/>
        </w:rPr>
        <w:t xml:space="preserve"> case-control study consisting of 89 OFC</w:t>
      </w:r>
      <w:r>
        <w:rPr>
          <w:rFonts w:ascii="Times New Roman" w:hAnsi="Times New Roman" w:hint="eastAsia"/>
          <w:sz w:val="24"/>
          <w:szCs w:val="24"/>
        </w:rPr>
        <w:t xml:space="preserve"> </w:t>
      </w:r>
      <w:r>
        <w:rPr>
          <w:rFonts w:ascii="Times New Roman" w:hAnsi="Times New Roman"/>
          <w:sz w:val="24"/>
          <w:szCs w:val="24"/>
        </w:rPr>
        <w:t>cases and 129 nonmalformed controls</w:t>
      </w:r>
      <w:r>
        <w:t xml:space="preserve"> </w:t>
      </w:r>
      <w:r>
        <w:rPr>
          <w:rFonts w:ascii="Times New Roman" w:hAnsi="Times New Roman"/>
          <w:sz w:val="24"/>
          <w:szCs w:val="24"/>
        </w:rPr>
        <w:t>with available tissues</w:t>
      </w:r>
      <w:r>
        <w:rPr>
          <w:rFonts w:ascii="Times New Roman" w:hAnsi="Times New Roman" w:hint="eastAsia"/>
          <w:sz w:val="24"/>
          <w:szCs w:val="24"/>
        </w:rPr>
        <w:t xml:space="preserve"> of</w:t>
      </w:r>
      <w:r>
        <w:rPr>
          <w:rFonts w:ascii="Times New Roman" w:hAnsi="Times New Roman"/>
          <w:sz w:val="24"/>
          <w:szCs w:val="24"/>
        </w:rPr>
        <w:t xml:space="preserve"> </w:t>
      </w:r>
      <w:r>
        <w:rPr>
          <w:rFonts w:ascii="Times New Roman" w:hAnsi="Times New Roman" w:hint="eastAsia"/>
          <w:sz w:val="24"/>
          <w:szCs w:val="24"/>
        </w:rPr>
        <w:t>umbilical cord</w:t>
      </w:r>
      <w:r>
        <w:rPr>
          <w:rFonts w:ascii="Times New Roman" w:hAnsi="Times New Roman"/>
          <w:sz w:val="24"/>
          <w:szCs w:val="24"/>
        </w:rPr>
        <w:t xml:space="preserve"> was conducted</w:t>
      </w:r>
      <w:r>
        <w:rPr>
          <w:rFonts w:ascii="Times New Roman" w:hAnsi="Times New Roman" w:hint="eastAsia"/>
          <w:sz w:val="24"/>
          <w:szCs w:val="24"/>
        </w:rPr>
        <w:t>.</w:t>
      </w:r>
      <w:r>
        <w:rPr>
          <w:rFonts w:ascii="Times New Roman" w:hAnsi="Times New Roman"/>
          <w:sz w:val="24"/>
          <w:szCs w:val="24"/>
        </w:rPr>
        <w:t xml:space="preserve"> </w:t>
      </w:r>
      <w:r>
        <w:rPr>
          <w:rFonts w:ascii="Times New Roman" w:hAnsi="Times New Roman" w:cs="Times New Roman"/>
          <w:sz w:val="24"/>
          <w:szCs w:val="24"/>
        </w:rPr>
        <w:t>Concentrations of twenty specific OCPs were determined in the umbilical cord</w:t>
      </w:r>
      <w:r>
        <w:rPr>
          <w:rFonts w:ascii="Times New Roman" w:hAnsi="Times New Roman"/>
          <w:sz w:val="24"/>
          <w:szCs w:val="24"/>
        </w:rPr>
        <w:t xml:space="preserve"> by gas</w:t>
      </w:r>
      <w:r>
        <w:rPr>
          <w:rFonts w:ascii="Times New Roman" w:hAnsi="Times New Roman" w:hint="eastAsia"/>
          <w:sz w:val="24"/>
          <w:szCs w:val="24"/>
        </w:rPr>
        <w:t xml:space="preserve"> </w:t>
      </w:r>
      <w:r>
        <w:rPr>
          <w:rFonts w:ascii="Times New Roman" w:hAnsi="Times New Roman"/>
          <w:sz w:val="24"/>
          <w:szCs w:val="24"/>
        </w:rPr>
        <w:t xml:space="preserve">chromatograph-mass spectrometry, </w:t>
      </w:r>
      <w:r>
        <w:rPr>
          <w:rFonts w:ascii="Times New Roman" w:hAnsi="Times New Roman" w:hint="eastAsia"/>
          <w:sz w:val="24"/>
          <w:szCs w:val="24"/>
        </w:rPr>
        <w:t xml:space="preserve">and </w:t>
      </w:r>
      <w:r>
        <w:rPr>
          <w:rFonts w:ascii="Times New Roman" w:hAnsi="Times New Roman"/>
          <w:sz w:val="24"/>
          <w:szCs w:val="24"/>
        </w:rPr>
        <w:t xml:space="preserve">seven OCPs with </w:t>
      </w:r>
      <w:r>
        <w:rPr>
          <w:rFonts w:ascii="Times New Roman" w:hAnsi="Times New Roman" w:cs="Times New Roman"/>
          <w:sz w:val="24"/>
          <w:szCs w:val="24"/>
        </w:rPr>
        <w:t xml:space="preserve">detection rate larger than 50% were included in analyses. </w:t>
      </w:r>
      <w:r>
        <w:rPr>
          <w:rFonts w:ascii="Times New Roman" w:hAnsi="Times New Roman" w:cs="Times New Roman" w:hint="eastAsia"/>
          <w:sz w:val="24"/>
          <w:szCs w:val="24"/>
        </w:rPr>
        <w:t>T</w:t>
      </w:r>
      <w:r>
        <w:rPr>
          <w:rFonts w:ascii="Times New Roman" w:hAnsi="Times New Roman" w:cs="Times New Roman"/>
          <w:sz w:val="24"/>
          <w:szCs w:val="24"/>
        </w:rPr>
        <w:t>he individual effect and joint effect of multiple OCPs in umbilical cord</w:t>
      </w:r>
      <w:r>
        <w:rPr>
          <w:rFonts w:ascii="Times New Roman" w:hAnsi="Times New Roman" w:cs="Times New Roman" w:hint="eastAsia"/>
          <w:sz w:val="24"/>
          <w:szCs w:val="24"/>
        </w:rPr>
        <w:t>s</w:t>
      </w:r>
      <w:r>
        <w:rPr>
          <w:rFonts w:ascii="Times New Roman" w:hAnsi="Times New Roman" w:cs="Times New Roman"/>
          <w:sz w:val="24"/>
          <w:szCs w:val="24"/>
        </w:rPr>
        <w:t xml:space="preserve"> on the risk for OFCs </w:t>
      </w:r>
      <w:r>
        <w:rPr>
          <w:rFonts w:ascii="Times New Roman" w:hAnsi="Times New Roman" w:cs="Times New Roman" w:hint="eastAsia"/>
          <w:sz w:val="24"/>
          <w:szCs w:val="24"/>
        </w:rPr>
        <w:t xml:space="preserve">were </w:t>
      </w:r>
      <w:r>
        <w:rPr>
          <w:rFonts w:ascii="Times New Roman" w:hAnsi="Times New Roman" w:cs="Times New Roman"/>
          <w:sz w:val="24"/>
          <w:szCs w:val="24"/>
          <w:lang w:eastAsia="de-DE"/>
        </w:rPr>
        <w:t>investigated</w:t>
      </w:r>
      <w:r>
        <w:rPr>
          <w:rFonts w:ascii="Times New Roman" w:hAnsi="Times New Roman" w:cs="Times New Roman"/>
          <w:sz w:val="24"/>
          <w:szCs w:val="24"/>
        </w:rPr>
        <w:t xml:space="preserve"> using multivariate logistic models and </w:t>
      </w:r>
      <w:bookmarkStart w:id="2" w:name="OLE_LINK33"/>
      <w:bookmarkStart w:id="3" w:name="OLE_LINK34"/>
      <w:bookmarkStart w:id="4" w:name="OLE_LINK8"/>
      <w:r>
        <w:rPr>
          <w:rFonts w:ascii="Times New Roman" w:hAnsi="Times New Roman" w:cs="Times New Roman"/>
          <w:sz w:val="24"/>
          <w:szCs w:val="24"/>
        </w:rPr>
        <w:t>Bayesian Kernel Machine Regression</w:t>
      </w:r>
      <w:bookmarkEnd w:id="2"/>
      <w:bookmarkEnd w:id="3"/>
      <w:bookmarkEnd w:id="4"/>
      <w:r>
        <w:rPr>
          <w:rFonts w:ascii="Times New Roman" w:hAnsi="Times New Roman" w:cs="Times New Roman"/>
          <w:sz w:val="24"/>
          <w:szCs w:val="24"/>
        </w:rPr>
        <w:t xml:space="preserve"> </w:t>
      </w:r>
      <w:r>
        <w:rPr>
          <w:rFonts w:ascii="Times New Roman" w:hAnsi="Times New Roman" w:cs="Times New Roman" w:hint="eastAsia"/>
          <w:sz w:val="24"/>
          <w:szCs w:val="24"/>
        </w:rPr>
        <w:t>(</w:t>
      </w:r>
      <w:r>
        <w:rPr>
          <w:rFonts w:ascii="Times New Roman" w:hAnsi="Times New Roman" w:cs="Times New Roman"/>
          <w:sz w:val="24"/>
          <w:szCs w:val="24"/>
        </w:rPr>
        <w:t>BKMR</w:t>
      </w:r>
      <w:r>
        <w:rPr>
          <w:rFonts w:ascii="Times New Roman" w:hAnsi="Times New Roman" w:cs="Times New Roman" w:hint="eastAsia"/>
          <w:sz w:val="24"/>
          <w:szCs w:val="24"/>
        </w:rPr>
        <w:t>)</w:t>
      </w:r>
      <w:r>
        <w:rPr>
          <w:rFonts w:ascii="Times New Roman" w:hAnsi="Times New Roman" w:cs="Times New Roman"/>
          <w:sz w:val="24"/>
          <w:szCs w:val="24"/>
        </w:rPr>
        <w:t>.</w:t>
      </w:r>
      <w:r>
        <w:rPr>
          <w:rFonts w:ascii="Times New Roman" w:hAnsi="Times New Roman"/>
          <w:sz w:val="24"/>
          <w:szCs w:val="24"/>
        </w:rPr>
        <w:t xml:space="preserve"> N</w:t>
      </w:r>
      <w:r>
        <w:rPr>
          <w:rFonts w:ascii="Times New Roman" w:hAnsi="Times New Roman" w:cs="Times New Roman"/>
          <w:kern w:val="0"/>
          <w:sz w:val="24"/>
          <w:szCs w:val="24"/>
        </w:rPr>
        <w:t xml:space="preserve">o </w:t>
      </w:r>
      <w:r>
        <w:rPr>
          <w:rFonts w:ascii="Times New Roman" w:hAnsi="Times New Roman" w:cs="Times New Roman"/>
          <w:sz w:val="24"/>
          <w:szCs w:val="24"/>
        </w:rPr>
        <w:t>difference</w:t>
      </w:r>
      <w:r>
        <w:rPr>
          <w:rFonts w:ascii="Times New Roman" w:hAnsi="Times New Roman" w:cs="Times New Roman"/>
          <w:kern w:val="0"/>
          <w:sz w:val="24"/>
          <w:szCs w:val="24"/>
        </w:rPr>
        <w:t xml:space="preserve"> was found</w:t>
      </w:r>
      <w:r>
        <w:rPr>
          <w:rFonts w:ascii="Times New Roman" w:hAnsi="Times New Roman" w:cs="Times New Roman" w:hint="eastAsia"/>
          <w:kern w:val="0"/>
          <w:sz w:val="24"/>
          <w:szCs w:val="24"/>
        </w:rPr>
        <w:t xml:space="preserve"> in</w:t>
      </w:r>
      <w:r>
        <w:rPr>
          <w:rFonts w:ascii="Times New Roman" w:hAnsi="Times New Roman" w:cs="Times New Roman"/>
          <w:kern w:val="0"/>
          <w:sz w:val="24"/>
          <w:szCs w:val="24"/>
        </w:rPr>
        <w:t xml:space="preserve"> the median </w:t>
      </w:r>
      <w:r>
        <w:rPr>
          <w:rFonts w:ascii="Times New Roman" w:hAnsi="Times New Roman" w:cs="Times New Roman" w:hint="eastAsia"/>
          <w:kern w:val="0"/>
          <w:sz w:val="24"/>
          <w:szCs w:val="24"/>
        </w:rPr>
        <w:t>levels</w:t>
      </w:r>
      <w:r>
        <w:rPr>
          <w:rFonts w:ascii="Times New Roman" w:hAnsi="Times New Roman" w:cs="Times New Roman"/>
          <w:kern w:val="0"/>
          <w:sz w:val="24"/>
          <w:szCs w:val="24"/>
        </w:rPr>
        <w:t xml:space="preserve"> of ΣOCPs between case</w:t>
      </w:r>
      <w:r>
        <w:rPr>
          <w:rFonts w:ascii="Times New Roman" w:hAnsi="Times New Roman" w:cs="Times New Roman" w:hint="eastAsia"/>
          <w:kern w:val="0"/>
          <w:sz w:val="24"/>
          <w:szCs w:val="24"/>
        </w:rPr>
        <w:t>s</w:t>
      </w:r>
      <w:r>
        <w:rPr>
          <w:rFonts w:ascii="Times New Roman" w:hAnsi="Times New Roman" w:cs="Times New Roman"/>
          <w:kern w:val="0"/>
          <w:sz w:val="24"/>
          <w:szCs w:val="24"/>
        </w:rPr>
        <w:t xml:space="preserve"> (1.04 ng/</w:t>
      </w:r>
      <w:r>
        <w:rPr>
          <w:rFonts w:ascii="Times New Roman" w:hAnsi="Times New Roman" w:cs="Times New Roman" w:hint="eastAsia"/>
          <w:kern w:val="0"/>
          <w:sz w:val="24"/>
          <w:szCs w:val="24"/>
        </w:rPr>
        <w:t>g</w:t>
      </w:r>
      <w:r>
        <w:rPr>
          <w:rFonts w:ascii="Times New Roman" w:hAnsi="Times New Roman" w:cs="Times New Roman"/>
          <w:kern w:val="0"/>
          <w:sz w:val="24"/>
          <w:szCs w:val="24"/>
        </w:rPr>
        <w:t>) and controls (1</w:t>
      </w:r>
      <w:r>
        <w:rPr>
          <w:rFonts w:ascii="Times New Roman" w:eastAsia="SimSun" w:hAnsi="Times New Roman" w:cs="Times New Roman"/>
          <w:kern w:val="0"/>
          <w:sz w:val="24"/>
          <w:szCs w:val="24"/>
        </w:rPr>
        <w:t>.03 ng/g)</w:t>
      </w:r>
      <w:r>
        <w:rPr>
          <w:rFonts w:ascii="Times New Roman" w:hAnsi="Times New Roman" w:cs="Times New Roman"/>
          <w:sz w:val="24"/>
          <w:szCs w:val="24"/>
        </w:rPr>
        <w:t>.</w:t>
      </w:r>
      <w:r>
        <w:rPr>
          <w:rFonts w:ascii="Times New Roman" w:hAnsi="Times New Roman" w:cs="Times New Roman"/>
          <w:kern w:val="0"/>
          <w:sz w:val="24"/>
          <w:szCs w:val="24"/>
        </w:rPr>
        <w:t xml:space="preserve"> No </w:t>
      </w:r>
      <w:r>
        <w:rPr>
          <w:rFonts w:ascii="Times New Roman" w:hAnsi="Times New Roman" w:cs="Times New Roman"/>
          <w:sz w:val="24"/>
          <w:szCs w:val="24"/>
        </w:rPr>
        <w:t>significant associations</w:t>
      </w:r>
      <w:r>
        <w:rPr>
          <w:rFonts w:ascii="Times New Roman" w:hAnsi="Times New Roman" w:cs="Times New Roman" w:hint="eastAsia"/>
          <w:sz w:val="24"/>
          <w:szCs w:val="24"/>
        </w:rPr>
        <w:t xml:space="preserve"> </w:t>
      </w:r>
      <w:r>
        <w:rPr>
          <w:rFonts w:ascii="Times New Roman" w:hAnsi="Times New Roman" w:cs="Times New Roman"/>
          <w:sz w:val="24"/>
          <w:szCs w:val="24"/>
        </w:rPr>
        <w:t>were</w:t>
      </w:r>
      <w:r>
        <w:rPr>
          <w:rFonts w:ascii="Times New Roman" w:hAnsi="Times New Roman" w:cs="Times New Roman" w:hint="eastAsia"/>
          <w:sz w:val="24"/>
          <w:szCs w:val="24"/>
        </w:rPr>
        <w:t xml:space="preserve"> observed</w:t>
      </w:r>
      <w:r>
        <w:rPr>
          <w:rFonts w:ascii="Times New Roman" w:hAnsi="Times New Roman" w:cs="Times New Roman"/>
          <w:sz w:val="24"/>
          <w:szCs w:val="24"/>
        </w:rPr>
        <w:t xml:space="preserve"> between levels of OCPs in umbilical cord</w:t>
      </w:r>
      <w:r>
        <w:rPr>
          <w:rFonts w:ascii="Times New Roman" w:hAnsi="Times New Roman" w:cs="Times New Roman" w:hint="eastAsia"/>
          <w:sz w:val="24"/>
          <w:szCs w:val="24"/>
        </w:rPr>
        <w:t>s</w:t>
      </w:r>
      <w:r>
        <w:rPr>
          <w:rFonts w:ascii="Times New Roman" w:hAnsi="Times New Roman" w:cs="Times New Roman"/>
          <w:kern w:val="0"/>
          <w:sz w:val="24"/>
          <w:szCs w:val="24"/>
        </w:rPr>
        <w:t xml:space="preserve"> and risk for OFCs in either</w:t>
      </w:r>
      <w:r>
        <w:rPr>
          <w:rFonts w:ascii="Times New Roman" w:hAnsi="Times New Roman" w:cs="Times New Roman"/>
          <w:sz w:val="24"/>
          <w:szCs w:val="24"/>
        </w:rPr>
        <w:t xml:space="preserve"> multivariate logistic models or BKMR </w:t>
      </w:r>
      <w:r>
        <w:rPr>
          <w:rFonts w:ascii="Times New Roman" w:hAnsi="Times New Roman" w:cs="Times New Roman" w:hint="eastAsia"/>
          <w:sz w:val="24"/>
          <w:szCs w:val="24"/>
        </w:rPr>
        <w:t>model</w:t>
      </w:r>
      <w:r>
        <w:rPr>
          <w:rFonts w:ascii="Times New Roman" w:hAnsi="Times New Roman" w:cs="Times New Roman"/>
          <w:sz w:val="24"/>
          <w:szCs w:val="24"/>
        </w:rPr>
        <w:t>s.</w:t>
      </w:r>
      <w:r>
        <w:rPr>
          <w:rFonts w:ascii="Times New Roman" w:hAnsi="Times New Roman" w:cs="Times New Roman"/>
          <w:kern w:val="0"/>
          <w:sz w:val="24"/>
          <w:szCs w:val="24"/>
        </w:rPr>
        <w:t xml:space="preserve"> </w:t>
      </w:r>
      <w:r>
        <w:rPr>
          <w:rFonts w:ascii="Times New Roman" w:hAnsi="Times New Roman" w:cs="Times New Roman"/>
          <w:sz w:val="24"/>
          <w:szCs w:val="24"/>
        </w:rPr>
        <w:t>M</w:t>
      </w:r>
      <w:r>
        <w:rPr>
          <w:rFonts w:ascii="Times New Roman" w:hAnsi="Times New Roman" w:cs="Times New Roman"/>
          <w:kern w:val="0"/>
          <w:sz w:val="24"/>
          <w:szCs w:val="24"/>
        </w:rPr>
        <w:t xml:space="preserve">aternal </w:t>
      </w:r>
      <w:r>
        <w:rPr>
          <w:rFonts w:ascii="Times New Roman" w:eastAsia="TimesNewRomanPSMT" w:hAnsi="Times New Roman" w:cs="Times New Roman"/>
          <w:kern w:val="0"/>
          <w:sz w:val="24"/>
          <w:szCs w:val="24"/>
        </w:rPr>
        <w:t xml:space="preserve">consumptions </w:t>
      </w:r>
      <w:r>
        <w:rPr>
          <w:rFonts w:ascii="Times New Roman" w:hAnsi="Times New Roman" w:cs="Times New Roman"/>
          <w:sz w:val="24"/>
          <w:szCs w:val="24"/>
        </w:rPr>
        <w:t xml:space="preserve">of beans or bean products </w:t>
      </w:r>
      <w:r>
        <w:rPr>
          <w:rFonts w:ascii="Times New Roman" w:eastAsia="TimesNewRomanPSMT" w:hAnsi="Times New Roman" w:cs="Times New Roman"/>
          <w:kern w:val="0"/>
          <w:sz w:val="24"/>
          <w:szCs w:val="24"/>
        </w:rPr>
        <w:t>were positively correlated with</w:t>
      </w:r>
      <w:r>
        <w:rPr>
          <w:rFonts w:ascii="Times New Roman" w:hAnsi="Times New Roman" w:cs="Times New Roman"/>
          <w:sz w:val="24"/>
          <w:szCs w:val="24"/>
        </w:rPr>
        <w:t xml:space="preserve"> levels of </w:t>
      </w:r>
      <w:r>
        <w:rPr>
          <w:rFonts w:ascii="Times New Roman" w:eastAsia="DengXian" w:hAnsi="Times New Roman" w:cs="Times New Roman"/>
          <w:kern w:val="0"/>
          <w:sz w:val="24"/>
          <w:szCs w:val="24"/>
        </w:rPr>
        <w:t>β-</w:t>
      </w:r>
      <w:proofErr w:type="spellStart"/>
      <w:r>
        <w:rPr>
          <w:rFonts w:ascii="Times New Roman" w:eastAsia="DengXian" w:hAnsi="Times New Roman" w:cs="Times New Roman"/>
          <w:kern w:val="0"/>
          <w:sz w:val="24"/>
          <w:szCs w:val="24"/>
        </w:rPr>
        <w:t>hexachlorocyclohexane</w:t>
      </w:r>
      <w:proofErr w:type="spellEnd"/>
      <w:r>
        <w:rPr>
          <w:rFonts w:ascii="Times New Roman" w:eastAsia="SimSun" w:hAnsi="Times New Roman" w:cs="Times New Roman"/>
          <w:kern w:val="0"/>
          <w:sz w:val="24"/>
          <w:szCs w:val="24"/>
        </w:rPr>
        <w:t xml:space="preserve">, </w:t>
      </w:r>
      <w:r>
        <w:rPr>
          <w:rFonts w:ascii="Times New Roman" w:eastAsia="DengXian" w:hAnsi="Times New Roman" w:cs="Times New Roman"/>
          <w:kern w:val="0"/>
          <w:sz w:val="24"/>
          <w:szCs w:val="24"/>
        </w:rPr>
        <w:t>heptachlor epoxide</w:t>
      </w:r>
      <w:r>
        <w:rPr>
          <w:rFonts w:ascii="Times New Roman" w:eastAsia="SimSun" w:hAnsi="Times New Roman" w:cs="Times New Roman"/>
          <w:kern w:val="0"/>
          <w:sz w:val="24"/>
          <w:szCs w:val="24"/>
        </w:rPr>
        <w:t xml:space="preserve">, </w:t>
      </w:r>
      <w:proofErr w:type="spellStart"/>
      <w:r>
        <w:rPr>
          <w:rFonts w:ascii="Times New Roman" w:hAnsi="Times New Roman" w:cs="Times New Roman"/>
          <w:sz w:val="24"/>
          <w:szCs w:val="24"/>
          <w:shd w:val="clear" w:color="auto" w:fill="FFFFFF"/>
        </w:rPr>
        <w:t>p</w:t>
      </w:r>
      <w:proofErr w:type="gramStart"/>
      <w:r>
        <w:rPr>
          <w:rFonts w:ascii="Times New Roman" w:hAnsi="Times New Roman" w:cs="Times New Roman"/>
          <w:sz w:val="24"/>
          <w:szCs w:val="24"/>
          <w:shd w:val="clear" w:color="auto" w:fill="FFFFFF"/>
        </w:rPr>
        <w:t>,p</w:t>
      </w:r>
      <w:proofErr w:type="spellEnd"/>
      <w:proofErr w:type="gramEnd"/>
      <w:r>
        <w:rPr>
          <w:rFonts w:ascii="Times New Roman" w:hAnsi="Times New Roman" w:cs="Times New Roman"/>
          <w:sz w:val="24"/>
          <w:szCs w:val="24"/>
          <w:shd w:val="clear" w:color="auto" w:fill="FFFFFF"/>
        </w:rPr>
        <w:t>′-DDE</w:t>
      </w:r>
      <w:r>
        <w:rPr>
          <w:rFonts w:ascii="Times New Roman" w:eastAsia="SimSun" w:hAnsi="Times New Roman" w:cs="Times New Roman"/>
          <w:kern w:val="0"/>
          <w:sz w:val="24"/>
          <w:szCs w:val="24"/>
        </w:rPr>
        <w:t xml:space="preserve">, </w:t>
      </w:r>
      <w:r>
        <w:rPr>
          <w:rFonts w:ascii="Times New Roman" w:eastAsia="SimSun" w:hAnsi="Times New Roman" w:cs="Times New Roman" w:hint="eastAsia"/>
          <w:kern w:val="0"/>
          <w:sz w:val="24"/>
          <w:szCs w:val="24"/>
        </w:rPr>
        <w:t>a</w:t>
      </w:r>
      <w:r>
        <w:rPr>
          <w:rFonts w:ascii="Times New Roman" w:eastAsia="SimSun" w:hAnsi="Times New Roman" w:cs="Times New Roman"/>
          <w:kern w:val="0"/>
          <w:sz w:val="24"/>
          <w:szCs w:val="24"/>
        </w:rPr>
        <w:t>nd ∑OCPs</w:t>
      </w:r>
      <w:r>
        <w:rPr>
          <w:rFonts w:ascii="Times New Roman" w:hAnsi="Times New Roman" w:cs="Times New Roman"/>
          <w:sz w:val="24"/>
          <w:szCs w:val="24"/>
        </w:rPr>
        <w:t xml:space="preserve"> in umbilical cord</w:t>
      </w:r>
      <w:r>
        <w:rPr>
          <w:rFonts w:ascii="Times New Roman" w:hAnsi="Times New Roman" w:cs="Times New Roman" w:hint="eastAsia"/>
          <w:sz w:val="24"/>
          <w:szCs w:val="24"/>
        </w:rPr>
        <w:t>,</w:t>
      </w:r>
      <w:r>
        <w:rPr>
          <w:rFonts w:ascii="Times New Roman" w:hAnsi="Times New Roman" w:cs="Times New Roman"/>
          <w:sz w:val="24"/>
          <w:szCs w:val="24"/>
        </w:rPr>
        <w:t xml:space="preserve"> respectively. In conclusion,</w:t>
      </w:r>
      <w:r>
        <w:rPr>
          <w:rFonts w:ascii="Times New Roman" w:hAnsi="Times New Roman"/>
          <w:b/>
          <w:sz w:val="24"/>
          <w:szCs w:val="24"/>
        </w:rPr>
        <w:t xml:space="preserve"> </w:t>
      </w:r>
      <w:r>
        <w:rPr>
          <w:rFonts w:ascii="Times New Roman" w:hAnsi="Times New Roman"/>
          <w:sz w:val="24"/>
          <w:szCs w:val="24"/>
        </w:rPr>
        <w:t xml:space="preserve">we </w:t>
      </w:r>
      <w:r>
        <w:rPr>
          <w:rFonts w:ascii="Times New Roman" w:hAnsi="Times New Roman" w:hint="eastAsia"/>
          <w:sz w:val="24"/>
          <w:szCs w:val="24"/>
        </w:rPr>
        <w:t>didn</w:t>
      </w:r>
      <w:r>
        <w:rPr>
          <w:rFonts w:ascii="Times New Roman" w:hAnsi="Times New Roman"/>
          <w:sz w:val="24"/>
          <w:szCs w:val="24"/>
        </w:rPr>
        <w:t>’</w:t>
      </w:r>
      <w:r>
        <w:rPr>
          <w:rFonts w:ascii="Times New Roman" w:hAnsi="Times New Roman" w:hint="eastAsia"/>
          <w:sz w:val="24"/>
          <w:szCs w:val="24"/>
        </w:rPr>
        <w:t xml:space="preserve">t </w:t>
      </w:r>
      <w:r>
        <w:rPr>
          <w:rFonts w:ascii="Times New Roman" w:hAnsi="Times New Roman"/>
          <w:sz w:val="24"/>
          <w:szCs w:val="24"/>
        </w:rPr>
        <w:t xml:space="preserve">find </w:t>
      </w:r>
      <w:r>
        <w:rPr>
          <w:rFonts w:ascii="Times New Roman" w:hAnsi="Times New Roman" w:hint="eastAsia"/>
          <w:sz w:val="24"/>
          <w:szCs w:val="24"/>
        </w:rPr>
        <w:t>the</w:t>
      </w:r>
      <w:r>
        <w:rPr>
          <w:rFonts w:ascii="Times New Roman" w:hAnsi="Times New Roman"/>
          <w:sz w:val="24"/>
          <w:szCs w:val="24"/>
        </w:rPr>
        <w:t xml:space="preserve"> association between </w:t>
      </w:r>
      <w:r>
        <w:rPr>
          <w:rFonts w:ascii="Times New Roman" w:hAnsi="Times New Roman" w:cs="Times New Roman"/>
          <w:i/>
          <w:sz w:val="24"/>
          <w:szCs w:val="24"/>
        </w:rPr>
        <w:t>in utero</w:t>
      </w:r>
      <w:r>
        <w:rPr>
          <w:rFonts w:ascii="Times New Roman" w:hAnsi="Times New Roman" w:cs="Times New Roman"/>
          <w:sz w:val="24"/>
          <w:szCs w:val="24"/>
        </w:rPr>
        <w:t xml:space="preserve"> exposure to OCPs </w:t>
      </w:r>
      <w:r>
        <w:rPr>
          <w:rFonts w:ascii="Times New Roman" w:hAnsi="Times New Roman"/>
          <w:sz w:val="24"/>
          <w:szCs w:val="24"/>
        </w:rPr>
        <w:t xml:space="preserve">and </w:t>
      </w:r>
      <w:r>
        <w:rPr>
          <w:rFonts w:ascii="Times New Roman" w:hAnsi="Times New Roman" w:cs="Times New Roman"/>
          <w:sz w:val="24"/>
          <w:szCs w:val="24"/>
        </w:rPr>
        <w:t>the risk for OFCs.</w:t>
      </w:r>
      <w:r>
        <w:rPr>
          <w:rFonts w:ascii="Times New Roman" w:hAnsi="Times New Roman" w:cs="Times New Roman" w:hint="eastAsia"/>
          <w:sz w:val="24"/>
          <w:szCs w:val="24"/>
        </w:rPr>
        <w:t xml:space="preserve"> Maternal </w:t>
      </w:r>
      <w:r>
        <w:rPr>
          <w:rFonts w:ascii="Times New Roman" w:eastAsia="TimesNewRomanPSMT" w:hAnsi="Times New Roman" w:cs="Times New Roman"/>
          <w:kern w:val="0"/>
          <w:sz w:val="24"/>
          <w:szCs w:val="24"/>
        </w:rPr>
        <w:t xml:space="preserve">consumptions </w:t>
      </w:r>
      <w:r>
        <w:rPr>
          <w:rFonts w:ascii="Times New Roman" w:hAnsi="Times New Roman" w:cs="Times New Roman"/>
          <w:sz w:val="24"/>
          <w:szCs w:val="24"/>
        </w:rPr>
        <w:t>of beans or bean products may be a source of OCPs exposure.</w:t>
      </w:r>
    </w:p>
    <w:p>
      <w:pPr>
        <w:pStyle w:val="Heading1"/>
        <w:spacing w:line="480" w:lineRule="auto"/>
        <w:rPr>
          <w:rFonts w:ascii="Times New Roman" w:hAnsi="Times New Roman" w:cs="Times New Roman"/>
          <w:sz w:val="24"/>
          <w:szCs w:val="24"/>
        </w:rPr>
      </w:pPr>
      <w:r>
        <w:rPr>
          <w:rFonts w:ascii="Times New Roman" w:hAnsi="Times New Roman" w:cs="Times New Roman"/>
          <w:sz w:val="24"/>
          <w:szCs w:val="24"/>
        </w:rPr>
        <w:lastRenderedPageBreak/>
        <w:t>Key words</w:t>
      </w:r>
      <w:bookmarkEnd w:id="1"/>
    </w:p>
    <w:p>
      <w:pPr>
        <w:autoSpaceDE w:val="0"/>
        <w:autoSpaceDN w:val="0"/>
        <w:adjustRightInd w:val="0"/>
        <w:spacing w:line="480" w:lineRule="auto"/>
        <w:rPr>
          <w:rFonts w:ascii="Times New Roman" w:hAnsi="Times New Roman" w:cs="Times New Roman"/>
          <w:sz w:val="24"/>
          <w:szCs w:val="24"/>
        </w:rPr>
      </w:pPr>
      <w:bookmarkStart w:id="5" w:name="OLE_LINK18"/>
      <w:bookmarkStart w:id="6" w:name="OLE_LINK19"/>
      <w:bookmarkStart w:id="7" w:name="OLE_LINK23"/>
      <w:bookmarkStart w:id="8" w:name="OLE_LINK24"/>
      <w:r>
        <w:rPr>
          <w:rFonts w:ascii="Times New Roman" w:hAnsi="Times New Roman" w:cs="Times New Roman"/>
          <w:sz w:val="24"/>
          <w:szCs w:val="24"/>
        </w:rPr>
        <w:t>Umbilical cord tissue; orofacial clefts; organochlorine pesticides; joint effects</w:t>
      </w:r>
    </w:p>
    <w:bookmarkEnd w:id="5"/>
    <w:bookmarkEnd w:id="6"/>
    <w:p>
      <w:pPr>
        <w:autoSpaceDE w:val="0"/>
        <w:autoSpaceDN w:val="0"/>
        <w:adjustRightInd w:val="0"/>
        <w:spacing w:line="480" w:lineRule="auto"/>
        <w:rPr>
          <w:rFonts w:ascii="Times New Roman" w:hAnsi="Times New Roman" w:cs="Times New Roman"/>
          <w:b/>
          <w:sz w:val="24"/>
          <w:szCs w:val="24"/>
        </w:rPr>
        <w:sectPr>
          <w:pgSz w:w="11906" w:h="16838"/>
          <w:pgMar w:top="1440" w:right="1800" w:bottom="1440" w:left="1800" w:header="851" w:footer="992" w:gutter="0"/>
          <w:lnNumType w:countBy="1" w:restart="continuous"/>
          <w:cols w:space="425"/>
          <w:docGrid w:type="lines" w:linePitch="312"/>
        </w:sectPr>
      </w:pPr>
    </w:p>
    <w:bookmarkEnd w:id="7"/>
    <w:bookmarkEnd w:id="8"/>
    <w:p>
      <w:pPr>
        <w:pStyle w:val="Heading1"/>
        <w:numPr>
          <w:ilvl w:val="0"/>
          <w:numId w:val="21"/>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Introduction</w:t>
      </w:r>
    </w:p>
    <w:p>
      <w:pPr>
        <w:spacing w:line="480" w:lineRule="auto"/>
        <w:rPr>
          <w:rFonts w:ascii="Times New Roman" w:eastAsia="MinionPro-Regular" w:hAnsi="Times New Roman" w:cs="Times New Roman"/>
          <w:kern w:val="0"/>
          <w:sz w:val="24"/>
          <w:szCs w:val="24"/>
        </w:rPr>
      </w:pPr>
      <w:r>
        <w:rPr>
          <w:rFonts w:ascii="Times New Roman" w:eastAsia="MinionPro-Regular" w:hAnsi="Times New Roman" w:cs="Times New Roman"/>
          <w:kern w:val="0"/>
          <w:sz w:val="24"/>
          <w:szCs w:val="24"/>
        </w:rPr>
        <w:t>Orofacial clefts (OFCs)</w:t>
      </w:r>
      <w:bookmarkStart w:id="9" w:name="_Hlk32688014"/>
      <w:r>
        <w:rPr>
          <w:rFonts w:ascii="Times New Roman" w:eastAsia="MinionPro-Regular" w:hAnsi="Times New Roman" w:cs="Times New Roman"/>
          <w:kern w:val="0"/>
          <w:sz w:val="24"/>
          <w:szCs w:val="24"/>
        </w:rPr>
        <w:t xml:space="preserve"> </w:t>
      </w:r>
      <w:r>
        <w:rPr>
          <w:rFonts w:ascii="Times New Roman" w:hAnsi="Times New Roman" w:cs="Times New Roman"/>
          <w:color w:val="2A2A2A"/>
          <w:sz w:val="23"/>
          <w:szCs w:val="23"/>
          <w:shd w:val="clear" w:color="auto" w:fill="FFFFFF"/>
        </w:rPr>
        <w:t>are among the most common and burdensome birth defects</w:t>
      </w:r>
      <w:bookmarkEnd w:id="9"/>
      <w:r>
        <w:rPr>
          <w:rFonts w:ascii="Times New Roman" w:hAnsi="Times New Roman" w:cs="Times New Roman"/>
          <w:color w:val="2A2A2A"/>
          <w:sz w:val="23"/>
          <w:szCs w:val="23"/>
          <w:shd w:val="clear" w:color="auto" w:fill="FFFFFF"/>
        </w:rPr>
        <w:t xml:space="preserve">, which </w:t>
      </w:r>
      <w:r>
        <w:rPr>
          <w:rFonts w:ascii="Times New Roman" w:eastAsia="MinionPro-Regular" w:hAnsi="Times New Roman" w:cs="Times New Roman"/>
          <w:kern w:val="0"/>
          <w:sz w:val="24"/>
          <w:szCs w:val="24"/>
        </w:rPr>
        <w:t>arise in about 1 in 700 livebirths,</w:t>
      </w:r>
      <w:r>
        <w:t xml:space="preserve"> </w:t>
      </w:r>
      <w:r>
        <w:rPr>
          <w:rFonts w:ascii="Times New Roman" w:eastAsia="MinionPro-Regular" w:hAnsi="Times New Roman" w:cs="Times New Roman"/>
          <w:kern w:val="0"/>
          <w:sz w:val="24"/>
          <w:szCs w:val="24"/>
        </w:rPr>
        <w:t xml:space="preserve">with ethnic and geographic variation </w:t>
      </w:r>
      <w:r>
        <w:rPr>
          <w:rFonts w:ascii="Times New Roman" w:eastAsia="MinionPro-Regular" w:hAnsi="Times New Roman" w:cs="Times New Roman"/>
          <w:noProof/>
          <w:kern w:val="0"/>
          <w:sz w:val="24"/>
          <w:szCs w:val="24"/>
        </w:rPr>
        <w:t>(Mossey et al. 2009)</w:t>
      </w:r>
      <w:r>
        <w:rPr>
          <w:rFonts w:ascii="Times New Roman" w:hAnsi="Times New Roman" w:cs="Times New Roman"/>
          <w:kern w:val="0"/>
          <w:sz w:val="24"/>
          <w:szCs w:val="24"/>
        </w:rPr>
        <w:t xml:space="preserve">. Generally, children with </w:t>
      </w:r>
      <w:r>
        <w:rPr>
          <w:rFonts w:ascii="Times New Roman" w:eastAsia="MinionPro-Regular" w:hAnsi="Times New Roman" w:cs="Times New Roman"/>
          <w:kern w:val="0"/>
          <w:sz w:val="24"/>
          <w:szCs w:val="24"/>
        </w:rPr>
        <w:t>OFCs</w:t>
      </w:r>
      <w:r>
        <w:rPr>
          <w:rFonts w:ascii="Times New Roman" w:hAnsi="Times New Roman" w:cs="Times New Roman"/>
          <w:kern w:val="0"/>
          <w:sz w:val="24"/>
          <w:szCs w:val="24"/>
        </w:rPr>
        <w:t xml:space="preserve"> need multidisciplinary care from birth to adulthood and have higher morbidity and mortality throughout life than do unaffected individuals </w:t>
      </w:r>
      <w:r>
        <w:rPr>
          <w:rFonts w:ascii="Times New Roman" w:hAnsi="Times New Roman" w:cs="Times New Roman"/>
          <w:noProof/>
          <w:kern w:val="0"/>
          <w:sz w:val="24"/>
          <w:szCs w:val="24"/>
        </w:rPr>
        <w:t>(Mossey et al. 2009)</w:t>
      </w:r>
      <w:r>
        <w:rPr>
          <w:rFonts w:ascii="Times New Roman" w:hAnsi="Times New Roman" w:cs="Times New Roman"/>
          <w:kern w:val="0"/>
          <w:sz w:val="24"/>
          <w:szCs w:val="24"/>
        </w:rPr>
        <w:t xml:space="preserve">. Although </w:t>
      </w:r>
      <w:bookmarkStart w:id="10" w:name="OLE_LINK7"/>
      <w:r>
        <w:rPr>
          <w:rFonts w:ascii="Times New Roman" w:hAnsi="Times New Roman" w:cs="Times New Roman"/>
          <w:kern w:val="0"/>
          <w:sz w:val="24"/>
          <w:szCs w:val="24"/>
        </w:rPr>
        <w:t xml:space="preserve">there has been progress </w:t>
      </w:r>
      <w:bookmarkEnd w:id="10"/>
      <w:r>
        <w:rPr>
          <w:rFonts w:ascii="Times New Roman" w:hAnsi="Times New Roman" w:cs="Times New Roman"/>
          <w:kern w:val="0"/>
          <w:sz w:val="24"/>
          <w:szCs w:val="24"/>
        </w:rPr>
        <w:t xml:space="preserve">in identifying </w:t>
      </w:r>
      <w:r>
        <w:rPr>
          <w:rFonts w:ascii="Times New Roman" w:eastAsia="MinionPro-Regular" w:hAnsi="Times New Roman" w:cs="Times New Roman"/>
          <w:kern w:val="0"/>
          <w:sz w:val="24"/>
          <w:szCs w:val="24"/>
        </w:rPr>
        <w:t>environmental and genetic factors</w:t>
      </w:r>
      <w:r>
        <w:rPr>
          <w:rFonts w:ascii="Times New Roman" w:hAnsi="Times New Roman" w:cs="Times New Roman"/>
          <w:kern w:val="0"/>
          <w:sz w:val="24"/>
          <w:szCs w:val="24"/>
        </w:rPr>
        <w:t xml:space="preserve"> for </w:t>
      </w:r>
      <w:r>
        <w:rPr>
          <w:rFonts w:ascii="Times New Roman" w:eastAsia="MinionPro-Regular" w:hAnsi="Times New Roman" w:cs="Times New Roman"/>
          <w:kern w:val="0"/>
          <w:sz w:val="24"/>
          <w:szCs w:val="24"/>
        </w:rPr>
        <w:t>OFCs</w:t>
      </w:r>
      <w:r>
        <w:rPr>
          <w:rFonts w:ascii="Times New Roman" w:hAnsi="Times New Roman" w:cs="Times New Roman"/>
          <w:kern w:val="0"/>
          <w:sz w:val="24"/>
          <w:szCs w:val="24"/>
        </w:rPr>
        <w:t xml:space="preserve">, the etiology of </w:t>
      </w:r>
      <w:r>
        <w:rPr>
          <w:rFonts w:ascii="Times New Roman" w:eastAsia="MinionPro-Regular" w:hAnsi="Times New Roman" w:cs="Times New Roman"/>
          <w:kern w:val="0"/>
          <w:sz w:val="24"/>
          <w:szCs w:val="24"/>
        </w:rPr>
        <w:t>OFCs</w:t>
      </w:r>
      <w:r>
        <w:rPr>
          <w:rFonts w:ascii="Times New Roman" w:hAnsi="Times New Roman" w:cs="Times New Roman"/>
          <w:kern w:val="0"/>
          <w:sz w:val="24"/>
          <w:szCs w:val="24"/>
        </w:rPr>
        <w:t xml:space="preserve"> remains poorly </w:t>
      </w:r>
      <w:r>
        <w:rPr>
          <w:rFonts w:ascii="Times New Roman" w:eastAsia="MinionPro-Regular" w:hAnsi="Times New Roman" w:cs="Times New Roman"/>
          <w:kern w:val="0"/>
          <w:sz w:val="24"/>
          <w:szCs w:val="24"/>
        </w:rPr>
        <w:t xml:space="preserve">elucidated </w:t>
      </w:r>
      <w:r>
        <w:rPr>
          <w:rFonts w:ascii="Times New Roman" w:eastAsia="MinionPro-Regular" w:hAnsi="Times New Roman" w:cs="Times New Roman"/>
          <w:noProof/>
          <w:kern w:val="0"/>
          <w:sz w:val="24"/>
          <w:szCs w:val="24"/>
        </w:rPr>
        <w:t>(Dixon et al. 2011)</w:t>
      </w:r>
      <w:r>
        <w:rPr>
          <w:rFonts w:ascii="Times New Roman" w:eastAsia="MinionPro-Regular" w:hAnsi="Times New Roman" w:cs="Times New Roman"/>
          <w:kern w:val="0"/>
          <w:sz w:val="24"/>
          <w:szCs w:val="24"/>
        </w:rPr>
        <w:t xml:space="preserve">. Some environmental risk factors have been identified for OFCs, including maternal exposure </w:t>
      </w:r>
      <w:r>
        <w:rPr>
          <w:rFonts w:ascii="Times New Roman" w:hAnsi="Times New Roman" w:cs="Times New Roman"/>
          <w:color w:val="2A2A2A"/>
          <w:sz w:val="23"/>
          <w:szCs w:val="23"/>
          <w:shd w:val="clear" w:color="auto" w:fill="FFFFFF"/>
        </w:rPr>
        <w:t>to</w:t>
      </w:r>
      <w:r>
        <w:rPr>
          <w:rFonts w:ascii="Times New Roman" w:eastAsia="MinionPro-Regular" w:hAnsi="Times New Roman" w:cs="Times New Roman"/>
          <w:kern w:val="0"/>
          <w:sz w:val="24"/>
          <w:szCs w:val="24"/>
        </w:rPr>
        <w:t xml:space="preserve"> indoor air pollution, tobacco smoke, dioxins, and PM</w:t>
      </w:r>
      <w:r>
        <w:rPr>
          <w:rFonts w:ascii="Times New Roman" w:eastAsia="MinionPro-Regular" w:hAnsi="Times New Roman" w:cs="Times New Roman"/>
          <w:kern w:val="0"/>
          <w:sz w:val="24"/>
          <w:szCs w:val="24"/>
          <w:vertAlign w:val="subscript"/>
        </w:rPr>
        <w:t>2.5</w:t>
      </w:r>
      <w:r>
        <w:rPr>
          <w:rFonts w:ascii="Times New Roman" w:eastAsia="MinionPro-Regular" w:hAnsi="Times New Roman" w:cs="Times New Roman"/>
          <w:kern w:val="0"/>
          <w:sz w:val="24"/>
          <w:szCs w:val="24"/>
        </w:rPr>
        <w:t xml:space="preserve"> </w:t>
      </w:r>
      <w:r>
        <w:rPr>
          <w:rFonts w:ascii="Times New Roman" w:eastAsia="MinionPro-Regular" w:hAnsi="Times New Roman" w:cs="Times New Roman"/>
          <w:noProof/>
          <w:kern w:val="0"/>
          <w:sz w:val="24"/>
          <w:szCs w:val="24"/>
        </w:rPr>
        <w:t>(Honein et al. 2007; Leskow et al. 2019; Liu et al. 2016; Zhou et al. 2017)</w:t>
      </w:r>
      <w:r>
        <w:rPr>
          <w:rFonts w:ascii="Times New Roman" w:eastAsia="MinionPro-Regular" w:hAnsi="Times New Roman" w:cs="Times New Roman"/>
          <w:kern w:val="0"/>
          <w:sz w:val="24"/>
          <w:szCs w:val="24"/>
        </w:rPr>
        <w:t>.</w:t>
      </w:r>
      <w:bookmarkStart w:id="11" w:name="OLE_LINK45"/>
      <w:bookmarkStart w:id="12" w:name="OLE_LINK49"/>
      <w:bookmarkStart w:id="13" w:name="OLE_LINK30"/>
      <w:bookmarkStart w:id="14" w:name="OLE_LINK31"/>
    </w:p>
    <w:p>
      <w:pPr>
        <w:widowControl/>
        <w:autoSpaceDE w:val="0"/>
        <w:autoSpaceDN w:val="0"/>
        <w:adjustRightInd w:val="0"/>
        <w:spacing w:line="480" w:lineRule="auto"/>
        <w:rPr>
          <w:rFonts w:ascii="Times New Roman" w:hAnsi="Times New Roman" w:cs="Times New Roman"/>
          <w:color w:val="FF0000"/>
          <w:sz w:val="24"/>
          <w:szCs w:val="24"/>
          <w:shd w:val="clear" w:color="auto" w:fill="F7F8FA"/>
        </w:rPr>
      </w:pPr>
      <w:r>
        <w:rPr>
          <w:rFonts w:ascii="Times New Roman" w:eastAsia="MinionPro-Regular" w:hAnsi="Times New Roman" w:cs="Times New Roman"/>
          <w:kern w:val="0"/>
          <w:sz w:val="24"/>
          <w:szCs w:val="24"/>
        </w:rPr>
        <w:t>Organochlorine pesticides</w:t>
      </w:r>
      <w:bookmarkEnd w:id="11"/>
      <w:bookmarkEnd w:id="12"/>
      <w:r>
        <w:rPr>
          <w:rFonts w:ascii="Times New Roman" w:eastAsia="MinionPro-Regular" w:hAnsi="Times New Roman" w:cs="Times New Roman"/>
          <w:kern w:val="0"/>
          <w:sz w:val="24"/>
          <w:szCs w:val="24"/>
        </w:rPr>
        <w:t> (OCPs) are a group of important organic pollutants, which</w:t>
      </w:r>
      <w:r>
        <w:rPr>
          <w:rFonts w:ascii="Times New Roman" w:hAnsi="Times New Roman" w:cs="Times New Roman"/>
          <w:color w:val="000000"/>
          <w:sz w:val="24"/>
          <w:szCs w:val="24"/>
          <w:shd w:val="clear" w:color="auto" w:fill="FFFFFF"/>
        </w:rPr>
        <w:t xml:space="preserve"> have been widely used worldwide because of low cost and their good performance against plant disease and </w:t>
      </w:r>
      <w:r>
        <w:rPr>
          <w:rFonts w:ascii="Times New Roman" w:hAnsi="Times New Roman" w:cs="Times New Roman"/>
          <w:color w:val="000000"/>
          <w:sz w:val="24"/>
          <w:szCs w:val="24"/>
        </w:rPr>
        <w:t xml:space="preserve">various </w:t>
      </w:r>
      <w:r>
        <w:rPr>
          <w:rFonts w:ascii="Times New Roman" w:hAnsi="Times New Roman" w:cs="Times New Roman"/>
          <w:sz w:val="24"/>
          <w:szCs w:val="24"/>
        </w:rPr>
        <w:t xml:space="preserve">pests </w:t>
      </w:r>
      <w:r>
        <w:rPr>
          <w:rFonts w:ascii="Times New Roman" w:hAnsi="Times New Roman" w:cs="Times New Roman"/>
          <w:noProof/>
          <w:color w:val="000000"/>
          <w:sz w:val="24"/>
          <w:szCs w:val="24"/>
          <w:shd w:val="clear" w:color="auto" w:fill="FFFFFF"/>
        </w:rPr>
        <w:t>(Li et al. 2014; Pirsaheb et al. 2015)</w:t>
      </w:r>
      <w:r>
        <w:rPr>
          <w:rFonts w:ascii="Times New Roman" w:hAnsi="Times New Roman" w:cs="Times New Roman"/>
          <w:color w:val="000000"/>
          <w:sz w:val="24"/>
          <w:szCs w:val="24"/>
          <w:shd w:val="clear" w:color="auto" w:fill="FFFFFF"/>
        </w:rPr>
        <w:t xml:space="preserve">. </w:t>
      </w:r>
      <w:r>
        <w:rPr>
          <w:rFonts w:ascii="Times New Roman" w:eastAsia="SimSun" w:hAnsi="Times New Roman" w:cs="Times New Roman"/>
          <w:kern w:val="0"/>
          <w:sz w:val="24"/>
          <w:szCs w:val="24"/>
        </w:rPr>
        <w:t xml:space="preserve">Although </w:t>
      </w:r>
      <w:bookmarkStart w:id="15" w:name="_Hlk55945279"/>
      <w:r>
        <w:rPr>
          <w:rFonts w:ascii="Times New Roman" w:hAnsi="Times New Roman" w:cs="Times New Roman"/>
          <w:color w:val="000000"/>
          <w:sz w:val="24"/>
          <w:szCs w:val="24"/>
        </w:rPr>
        <w:t xml:space="preserve">the </w:t>
      </w:r>
      <w:r>
        <w:rPr>
          <w:rFonts w:ascii="Times New Roman" w:hAnsi="Times New Roman" w:cs="Times New Roman"/>
          <w:sz w:val="24"/>
          <w:szCs w:val="24"/>
        </w:rPr>
        <w:t>use of OCPs</w:t>
      </w:r>
      <w:r>
        <w:rPr>
          <w:rFonts w:ascii="Times New Roman" w:hAnsi="Times New Roman" w:cs="Times New Roman"/>
          <w:color w:val="000000"/>
          <w:sz w:val="24"/>
          <w:szCs w:val="24"/>
        </w:rPr>
        <w:t xml:space="preserve"> </w:t>
      </w:r>
      <w:r>
        <w:rPr>
          <w:rFonts w:ascii="Times New Roman" w:hAnsi="Times New Roman" w:cs="Times New Roman" w:hint="eastAsia"/>
          <w:color w:val="000000"/>
          <w:sz w:val="24"/>
          <w:szCs w:val="24"/>
        </w:rPr>
        <w:t xml:space="preserve">was </w:t>
      </w:r>
      <w:bookmarkStart w:id="16" w:name="OLE_LINK26"/>
      <w:bookmarkStart w:id="17" w:name="OLE_LINK27"/>
      <w:r>
        <w:rPr>
          <w:rFonts w:ascii="Times New Roman" w:hAnsi="Times New Roman" w:cs="Times New Roman"/>
          <w:color w:val="000000"/>
          <w:sz w:val="24"/>
          <w:szCs w:val="24"/>
        </w:rPr>
        <w:t>ban</w:t>
      </w:r>
      <w:bookmarkEnd w:id="16"/>
      <w:bookmarkEnd w:id="17"/>
      <w:r>
        <w:rPr>
          <w:rFonts w:ascii="Times New Roman" w:hAnsi="Times New Roman" w:cs="Times New Roman"/>
          <w:color w:val="000000"/>
          <w:sz w:val="24"/>
          <w:szCs w:val="24"/>
        </w:rPr>
        <w:t>ned worldwide</w:t>
      </w:r>
      <w:r>
        <w:rPr>
          <w:rFonts w:ascii="Times New Roman" w:hAnsi="Times New Roman" w:cs="Times New Roman"/>
          <w:sz w:val="24"/>
          <w:szCs w:val="24"/>
        </w:rPr>
        <w:t xml:space="preserve"> since 1970s</w:t>
      </w:r>
      <w:bookmarkEnd w:id="15"/>
      <w:r>
        <w:rPr>
          <w:rFonts w:ascii="Times New Roman" w:hAnsi="Times New Roman" w:cs="Times New Roman"/>
          <w:sz w:val="24"/>
          <w:szCs w:val="24"/>
        </w:rPr>
        <w:t xml:space="preserve">, </w:t>
      </w:r>
      <w:r>
        <w:rPr>
          <w:rFonts w:ascii="Times New Roman" w:hAnsi="Times New Roman" w:cs="Times New Roman"/>
          <w:kern w:val="0"/>
          <w:sz w:val="24"/>
          <w:szCs w:val="24"/>
        </w:rPr>
        <w:t xml:space="preserve">the residues of different OCPs have been reported </w:t>
      </w:r>
      <w:r>
        <w:rPr>
          <w:rFonts w:ascii="Times New Roman" w:hAnsi="Times New Roman" w:cs="Times New Roman"/>
          <w:sz w:val="24"/>
          <w:szCs w:val="24"/>
        </w:rPr>
        <w:t xml:space="preserve">in human blood, fatty tissues, and </w:t>
      </w:r>
      <w:r>
        <w:rPr>
          <w:rFonts w:ascii="Times New Roman" w:hAnsi="Times New Roman" w:cs="Times New Roman"/>
          <w:bCs/>
          <w:kern w:val="0"/>
          <w:sz w:val="24"/>
          <w:szCs w:val="24"/>
        </w:rPr>
        <w:t xml:space="preserve">breast </w:t>
      </w:r>
      <w:r>
        <w:rPr>
          <w:rFonts w:ascii="Times New Roman" w:hAnsi="Times New Roman" w:cs="Times New Roman"/>
          <w:sz w:val="24"/>
          <w:szCs w:val="24"/>
        </w:rPr>
        <w:t xml:space="preserve">milk </w:t>
      </w:r>
      <w:r>
        <w:rPr>
          <w:rFonts w:ascii="Times New Roman" w:eastAsia="SimSun" w:hAnsi="Times New Roman" w:cs="Times New Roman"/>
          <w:noProof/>
          <w:kern w:val="0"/>
          <w:sz w:val="24"/>
          <w:szCs w:val="24"/>
        </w:rPr>
        <w:t>(Konishi et al. 2001; Liu et al. 2004; Ma et al. 2013; Song et al. 2012; Yu et al. 2006)</w:t>
      </w:r>
      <w:r>
        <w:rPr>
          <w:rFonts w:ascii="Times New Roman" w:eastAsia="SimSun" w:hAnsi="Times New Roman" w:cs="Times New Roman"/>
          <w:kern w:val="0"/>
          <w:sz w:val="24"/>
          <w:szCs w:val="24"/>
        </w:rPr>
        <w:t xml:space="preserve">. Additionally, dichlorodiphenyltrichloroethane (DDT) </w:t>
      </w:r>
      <w:r>
        <w:rPr>
          <w:rFonts w:ascii="Times New Roman" w:eastAsia="Microsoft YaHei" w:hAnsi="Times New Roman" w:cs="Times New Roman"/>
          <w:color w:val="000000"/>
          <w:sz w:val="24"/>
          <w:szCs w:val="24"/>
          <w:shd w:val="clear" w:color="auto" w:fill="FFFFFF"/>
        </w:rPr>
        <w:t>was identified as new main source of OCPs</w:t>
      </w:r>
      <w:r>
        <w:rPr>
          <w:rFonts w:ascii="Times New Roman" w:eastAsia="SimSun" w:hAnsi="Times New Roman" w:cs="Times New Roman"/>
          <w:kern w:val="0"/>
          <w:sz w:val="24"/>
          <w:szCs w:val="24"/>
        </w:rPr>
        <w:t xml:space="preserve"> in recent years </w:t>
      </w:r>
      <w:r>
        <w:rPr>
          <w:rFonts w:ascii="Times New Roman" w:eastAsia="SimSun" w:hAnsi="Times New Roman" w:cs="Times New Roman"/>
          <w:noProof/>
          <w:kern w:val="0"/>
          <w:sz w:val="24"/>
          <w:szCs w:val="24"/>
        </w:rPr>
        <w:t>(Qiu et al. 2005)</w:t>
      </w:r>
      <w:r>
        <w:rPr>
          <w:rFonts w:ascii="Times New Roman" w:eastAsia="SimSun" w:hAnsi="Times New Roman" w:cs="Times New Roman"/>
          <w:kern w:val="0"/>
          <w:sz w:val="24"/>
          <w:szCs w:val="24"/>
        </w:rPr>
        <w:t>,</w:t>
      </w:r>
      <w:r>
        <w:rPr>
          <w:rFonts w:ascii="Times New Roman" w:hAnsi="Times New Roman" w:cs="Times New Roman"/>
          <w:sz w:val="24"/>
          <w:szCs w:val="24"/>
        </w:rPr>
        <w:t xml:space="preserve"> which resulted </w:t>
      </w:r>
      <w:r>
        <w:rPr>
          <w:rFonts w:ascii="Times New Roman" w:hAnsi="Times New Roman" w:cs="Times New Roman"/>
          <w:color w:val="000000"/>
          <w:sz w:val="24"/>
          <w:szCs w:val="24"/>
        </w:rPr>
        <w:t xml:space="preserve">in OCPs </w:t>
      </w:r>
      <w:bookmarkStart w:id="18" w:name="OLE_LINK13"/>
      <w:r>
        <w:rPr>
          <w:rFonts w:ascii="Times New Roman" w:hAnsi="Times New Roman" w:cs="Times New Roman"/>
          <w:color w:val="000000"/>
          <w:sz w:val="24"/>
          <w:szCs w:val="24"/>
        </w:rPr>
        <w:t>becoming</w:t>
      </w:r>
      <w:r>
        <w:rPr>
          <w:rFonts w:ascii="Times New Roman" w:hAnsi="Times New Roman" w:cs="Times New Roman"/>
          <w:color w:val="000000"/>
          <w:sz w:val="24"/>
          <w:szCs w:val="24"/>
          <w:shd w:val="clear" w:color="auto" w:fill="FFFFFF"/>
        </w:rPr>
        <w:t xml:space="preserve"> ubiquitously occurring environmental contaminants</w:t>
      </w:r>
      <w:bookmarkEnd w:id="18"/>
      <w:r>
        <w:rPr>
          <w:rFonts w:ascii="Times New Roman" w:eastAsia="SimSun" w:hAnsi="Times New Roman" w:cs="Times New Roman"/>
          <w:kern w:val="0"/>
          <w:sz w:val="24"/>
          <w:szCs w:val="24"/>
        </w:rPr>
        <w:t xml:space="preserve">. </w:t>
      </w:r>
      <w:bookmarkStart w:id="19" w:name="_Hlk32687303"/>
      <w:r>
        <w:rPr>
          <w:rFonts w:ascii="Times New Roman" w:eastAsia="SimSun" w:hAnsi="Times New Roman" w:cs="Times New Roman"/>
          <w:kern w:val="0"/>
          <w:sz w:val="24"/>
          <w:szCs w:val="24"/>
        </w:rPr>
        <w:t>The adverse effects of the OCPs on humans’ health</w:t>
      </w:r>
      <w:r>
        <w:rPr>
          <w:rFonts w:ascii="Times New Roman" w:hAnsi="Times New Roman" w:cs="Times New Roman"/>
          <w:color w:val="000000"/>
          <w:sz w:val="24"/>
          <w:szCs w:val="24"/>
        </w:rPr>
        <w:t xml:space="preserve"> are of high concern because of</w:t>
      </w:r>
      <w:r>
        <w:rPr>
          <w:rFonts w:ascii="Times New Roman" w:hAnsi="Times New Roman" w:cs="Times New Roman"/>
          <w:color w:val="000000"/>
          <w:sz w:val="24"/>
          <w:szCs w:val="24"/>
          <w:shd w:val="clear" w:color="auto" w:fill="FFFFFF"/>
        </w:rPr>
        <w:t xml:space="preserve"> its worldwide use, its accumulation in </w:t>
      </w:r>
      <w:r>
        <w:rPr>
          <w:rFonts w:ascii="Times New Roman" w:hAnsi="Times New Roman" w:cs="Times New Roman"/>
          <w:color w:val="000000"/>
          <w:sz w:val="24"/>
          <w:szCs w:val="24"/>
        </w:rPr>
        <w:t>the human food chain, and its long half-life in human tissues due to its lipophilicity</w:t>
      </w:r>
      <w:bookmarkEnd w:id="19"/>
      <w:r>
        <w:rPr>
          <w:rFonts w:ascii="Times New Roman" w:hAnsi="Times New Roman" w:cs="Times New Roman"/>
          <w:color w:val="000000"/>
          <w:sz w:val="24"/>
          <w:szCs w:val="24"/>
        </w:rPr>
        <w:t xml:space="preserve"> </w:t>
      </w:r>
      <w:r>
        <w:rPr>
          <w:rFonts w:ascii="Times New Roman" w:eastAsia="SimSun" w:hAnsi="Times New Roman" w:cs="Times New Roman"/>
          <w:noProof/>
          <w:kern w:val="0"/>
          <w:sz w:val="24"/>
          <w:szCs w:val="24"/>
        </w:rPr>
        <w:t xml:space="preserve">(Konishi et al. 2001; Liu </w:t>
      </w:r>
      <w:r>
        <w:rPr>
          <w:rFonts w:ascii="Times New Roman" w:eastAsia="SimSun" w:hAnsi="Times New Roman" w:cs="Times New Roman"/>
          <w:noProof/>
          <w:kern w:val="0"/>
          <w:sz w:val="24"/>
          <w:szCs w:val="24"/>
        </w:rPr>
        <w:lastRenderedPageBreak/>
        <w:t>et al. 2004; Ma et al. 2013; Song et al. 2012; Yu et al. 2006)</w:t>
      </w:r>
      <w:r>
        <w:rPr>
          <w:rFonts w:ascii="Times New Roman" w:hAnsi="Times New Roman" w:cs="Times New Roman"/>
          <w:color w:val="000000"/>
          <w:sz w:val="24"/>
          <w:szCs w:val="24"/>
        </w:rPr>
        <w:t>.</w:t>
      </w:r>
      <w:r>
        <w:rPr>
          <w:rFonts w:ascii="Times New Roman" w:eastAsia="SimSun" w:hAnsi="Times New Roman" w:cs="Times New Roman"/>
          <w:kern w:val="0"/>
          <w:sz w:val="24"/>
          <w:szCs w:val="24"/>
        </w:rPr>
        <w:t xml:space="preserve"> More importantly, </w:t>
      </w:r>
      <w:r>
        <w:rPr>
          <w:rFonts w:ascii="Times New Roman" w:hAnsi="Times New Roman" w:cs="Times New Roman"/>
          <w:sz w:val="24"/>
          <w:szCs w:val="24"/>
        </w:rPr>
        <w:t xml:space="preserve">OCPs have the ability to transfer </w:t>
      </w:r>
      <w:bookmarkStart w:id="20" w:name="_Hlk32687378"/>
      <w:r>
        <w:rPr>
          <w:rFonts w:ascii="Times New Roman" w:hAnsi="Times New Roman" w:cs="Times New Roman"/>
          <w:sz w:val="24"/>
          <w:szCs w:val="24"/>
        </w:rPr>
        <w:t>from mother to fetus/</w:t>
      </w:r>
      <w:r>
        <w:rPr>
          <w:rFonts w:ascii="Times New Roman" w:hAnsi="Times New Roman" w:cs="Times New Roman"/>
          <w:color w:val="333333"/>
          <w:sz w:val="24"/>
          <w:szCs w:val="24"/>
        </w:rPr>
        <w:t>baby</w:t>
      </w:r>
      <w:r>
        <w:rPr>
          <w:rFonts w:ascii="Times New Roman" w:hAnsi="Times New Roman" w:cs="Times New Roman"/>
          <w:sz w:val="24"/>
          <w:szCs w:val="24"/>
        </w:rPr>
        <w:t xml:space="preserve"> through placental transport or breastfeeding</w:t>
      </w:r>
      <w:bookmarkEnd w:id="20"/>
      <w:r>
        <w:rPr>
          <w:rFonts w:ascii="Times New Roman" w:hAnsi="Times New Roman" w:cs="Times New Roman"/>
        </w:rPr>
        <w:t xml:space="preserve"> </w:t>
      </w:r>
      <w:r>
        <w:rPr>
          <w:rFonts w:ascii="Times New Roman" w:eastAsia="SimSun" w:hAnsi="Times New Roman" w:cs="Times New Roman"/>
          <w:noProof/>
          <w:kern w:val="0"/>
          <w:sz w:val="24"/>
          <w:szCs w:val="24"/>
        </w:rPr>
        <w:t>(Mishra and Sharma 2011; Sala et al. 2001)</w:t>
      </w:r>
      <w:r>
        <w:rPr>
          <w:rFonts w:ascii="Times New Roman" w:eastAsia="SimSun" w:hAnsi="Times New Roman" w:cs="Times New Roman"/>
          <w:kern w:val="0"/>
          <w:sz w:val="24"/>
          <w:szCs w:val="24"/>
        </w:rPr>
        <w:t xml:space="preserve">. </w:t>
      </w:r>
      <w:r>
        <w:rPr>
          <w:rFonts w:ascii="Times New Roman" w:hAnsi="Times New Roman" w:cs="Times New Roman"/>
          <w:sz w:val="24"/>
          <w:szCs w:val="24"/>
          <w:shd w:val="clear" w:color="auto" w:fill="FFFFFF"/>
        </w:rPr>
        <w:t xml:space="preserve">Exposure to OCPs, such as </w:t>
      </w:r>
      <w:proofErr w:type="spellStart"/>
      <w:r>
        <w:rPr>
          <w:rFonts w:ascii="Times New Roman" w:hAnsi="Times New Roman" w:cs="Times New Roman"/>
          <w:sz w:val="24"/>
          <w:szCs w:val="24"/>
          <w:shd w:val="clear" w:color="auto" w:fill="FFFFFF"/>
        </w:rPr>
        <w:t>Hexachlorocyclohexanes</w:t>
      </w:r>
      <w:proofErr w:type="spellEnd"/>
      <w:r>
        <w:rPr>
          <w:rFonts w:ascii="Times New Roman" w:hAnsi="Times New Roman" w:cs="Times New Roman"/>
          <w:sz w:val="24"/>
          <w:szCs w:val="24"/>
          <w:shd w:val="clear" w:color="auto" w:fill="FFFFFF"/>
        </w:rPr>
        <w:t xml:space="preserve"> (HCHs), p,p′-</w:t>
      </w:r>
      <w:proofErr w:type="spellStart"/>
      <w:r>
        <w:rPr>
          <w:rFonts w:ascii="Times New Roman" w:hAnsi="Times New Roman" w:cs="Times New Roman"/>
          <w:sz w:val="24"/>
          <w:szCs w:val="24"/>
          <w:shd w:val="clear" w:color="auto" w:fill="FFFFFF"/>
        </w:rPr>
        <w:t>dichlorodiphenyldichloroethylene</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p,p</w:t>
      </w:r>
      <w:proofErr w:type="spellEnd"/>
      <w:r>
        <w:rPr>
          <w:rFonts w:ascii="Times New Roman" w:hAnsi="Times New Roman" w:cs="Times New Roman"/>
          <w:sz w:val="24"/>
          <w:szCs w:val="24"/>
          <w:shd w:val="clear" w:color="auto" w:fill="FFFFFF"/>
        </w:rPr>
        <w:t xml:space="preserve">′-DDE) and </w:t>
      </w:r>
      <w:proofErr w:type="spellStart"/>
      <w:r>
        <w:rPr>
          <w:rFonts w:ascii="Times New Roman" w:hAnsi="Times New Roman" w:cs="Times New Roman"/>
          <w:sz w:val="24"/>
          <w:szCs w:val="24"/>
          <w:shd w:val="clear" w:color="auto" w:fill="FFFFFF"/>
        </w:rPr>
        <w:t>hexachlorbenzene</w:t>
      </w:r>
      <w:proofErr w:type="spellEnd"/>
      <w:r>
        <w:rPr>
          <w:rFonts w:ascii="Times New Roman" w:hAnsi="Times New Roman" w:cs="Times New Roman"/>
          <w:sz w:val="24"/>
          <w:szCs w:val="24"/>
          <w:shd w:val="clear" w:color="auto" w:fill="FFFFFF"/>
        </w:rPr>
        <w:t xml:space="preserve"> (HCB) </w:t>
      </w:r>
      <w:r>
        <w:rPr>
          <w:rFonts w:ascii="Times New Roman" w:eastAsia="Microsoft YaHei" w:hAnsi="Times New Roman" w:cs="Times New Roman"/>
          <w:color w:val="000000"/>
          <w:sz w:val="24"/>
          <w:szCs w:val="24"/>
          <w:shd w:val="clear" w:color="auto" w:fill="FFFFFF"/>
        </w:rPr>
        <w:t>are related to birth defects</w:t>
      </w:r>
      <w:r>
        <w:rPr>
          <w:rFonts w:ascii="Times New Roman" w:hAnsi="Times New Roman" w:cs="Times New Roman"/>
          <w:sz w:val="24"/>
          <w:szCs w:val="24"/>
        </w:rPr>
        <w:t>, such as neural tube defects</w:t>
      </w:r>
      <w:r>
        <w:rPr>
          <w:rFonts w:ascii="Times New Roman" w:hAnsi="Times New Roman" w:cs="Times New Roman"/>
          <w:color w:val="333333"/>
          <w:sz w:val="24"/>
          <w:szCs w:val="24"/>
        </w:rPr>
        <w:t xml:space="preserve"> </w:t>
      </w:r>
      <w:r>
        <w:rPr>
          <w:rFonts w:ascii="Times New Roman" w:hAnsi="Times New Roman" w:cs="Times New Roman"/>
          <w:noProof/>
          <w:color w:val="2A2A2A"/>
          <w:sz w:val="24"/>
          <w:szCs w:val="24"/>
        </w:rPr>
        <w:t>(Ren et al. 2011)</w:t>
      </w:r>
      <w:r>
        <w:rPr>
          <w:rFonts w:ascii="Times New Roman" w:hAnsi="Times New Roman" w:cs="Times New Roman"/>
          <w:sz w:val="24"/>
          <w:szCs w:val="24"/>
        </w:rPr>
        <w:t xml:space="preserve">, hypospadias </w:t>
      </w:r>
      <w:r>
        <w:rPr>
          <w:rFonts w:ascii="Times New Roman" w:hAnsi="Times New Roman" w:cs="Times New Roman"/>
          <w:noProof/>
          <w:sz w:val="24"/>
          <w:szCs w:val="24"/>
        </w:rPr>
        <w:t>(Rignell-Hydbom et al. 2012)</w:t>
      </w:r>
      <w:r>
        <w:rPr>
          <w:rFonts w:ascii="Times New Roman" w:hAnsi="Times New Roman" w:cs="Times New Roman"/>
          <w:color w:val="333333"/>
          <w:sz w:val="24"/>
          <w:szCs w:val="24"/>
        </w:rPr>
        <w:t xml:space="preserve">. Previous case-control studies based on questionnaires suggested that maternal exposure to pesticides increases the risk for OFCs </w:t>
      </w:r>
      <w:r>
        <w:rPr>
          <w:rFonts w:ascii="Times New Roman" w:hAnsi="Times New Roman" w:cs="Times New Roman"/>
          <w:noProof/>
          <w:color w:val="333333"/>
          <w:sz w:val="24"/>
          <w:szCs w:val="24"/>
        </w:rPr>
        <w:t>(Garcia et al. 1999; Hao et al. 2015; Xu et al. 2015)</w:t>
      </w:r>
      <w:r>
        <w:rPr>
          <w:rFonts w:ascii="Times New Roman" w:hAnsi="Times New Roman" w:cs="Times New Roman"/>
          <w:color w:val="333333"/>
          <w:sz w:val="24"/>
          <w:szCs w:val="24"/>
        </w:rPr>
        <w:t xml:space="preserve">. However, these associations may be interfered due to the recall bias and reporting bias. </w:t>
      </w:r>
      <w:r>
        <w:rPr>
          <w:rFonts w:ascii="Times New Roman" w:hAnsi="Times New Roman" w:cs="Times New Roman"/>
          <w:sz w:val="24"/>
          <w:szCs w:val="24"/>
          <w:lang w:eastAsia="de-DE"/>
        </w:rPr>
        <w:t xml:space="preserve">To date, no study has explored the association between </w:t>
      </w:r>
      <w:r>
        <w:rPr>
          <w:rFonts w:ascii="Times New Roman" w:eastAsia="MinionPro-Regular" w:hAnsi="Times New Roman" w:cs="Times New Roman" w:hint="eastAsia"/>
          <w:i/>
          <w:kern w:val="0"/>
          <w:sz w:val="24"/>
          <w:szCs w:val="24"/>
        </w:rPr>
        <w:t xml:space="preserve">in </w:t>
      </w:r>
      <w:r>
        <w:rPr>
          <w:rFonts w:ascii="Times New Roman" w:eastAsia="MinionPro-Regular" w:hAnsi="Times New Roman" w:cs="Times New Roman"/>
          <w:i/>
          <w:kern w:val="0"/>
          <w:sz w:val="24"/>
          <w:szCs w:val="24"/>
        </w:rPr>
        <w:t>utero</w:t>
      </w:r>
      <w:r>
        <w:rPr>
          <w:rFonts w:ascii="Times New Roman" w:eastAsia="MinionPro-Regular" w:hAnsi="Times New Roman" w:cs="Times New Roman" w:hint="eastAsia"/>
          <w:kern w:val="0"/>
          <w:sz w:val="24"/>
          <w:szCs w:val="24"/>
        </w:rPr>
        <w:t xml:space="preserve"> </w:t>
      </w:r>
      <w:r>
        <w:rPr>
          <w:rFonts w:ascii="Times New Roman" w:eastAsia="MinionPro-Regular" w:hAnsi="Times New Roman" w:cs="Times New Roman"/>
          <w:kern w:val="0"/>
          <w:sz w:val="24"/>
          <w:szCs w:val="24"/>
        </w:rPr>
        <w:t xml:space="preserve">exposures to OCPs, </w:t>
      </w:r>
      <w:r>
        <w:rPr>
          <w:rFonts w:ascii="Times New Roman" w:hAnsi="Times New Roman" w:cs="Times New Roman"/>
          <w:sz w:val="24"/>
          <w:szCs w:val="24"/>
          <w:lang w:eastAsia="de-DE"/>
        </w:rPr>
        <w:t xml:space="preserve">and </w:t>
      </w:r>
      <w:r>
        <w:rPr>
          <w:rFonts w:ascii="Times New Roman" w:eastAsia="MinionPro-Regular" w:hAnsi="Times New Roman" w:cs="Times New Roman"/>
          <w:kern w:val="0"/>
          <w:sz w:val="24"/>
          <w:szCs w:val="24"/>
        </w:rPr>
        <w:t>the occurrence of OFCs.</w:t>
      </w:r>
    </w:p>
    <w:p>
      <w:pPr>
        <w:widowControl/>
        <w:autoSpaceDE w:val="0"/>
        <w:autoSpaceDN w:val="0"/>
        <w:adjustRightInd w:val="0"/>
        <w:spacing w:line="480" w:lineRule="auto"/>
        <w:rPr>
          <w:rFonts w:ascii="Times New Roman" w:hAnsi="Times New Roman" w:cs="Times New Roman"/>
          <w:sz w:val="24"/>
          <w:szCs w:val="24"/>
        </w:rPr>
      </w:pPr>
      <w:r>
        <w:rPr>
          <w:rStyle w:val="tgt"/>
          <w:rFonts w:ascii="Times New Roman" w:hAnsi="Times New Roman" w:cs="Times New Roman"/>
          <w:sz w:val="24"/>
          <w:szCs w:val="24"/>
        </w:rPr>
        <w:t xml:space="preserve">Previous studies have found that </w:t>
      </w:r>
      <w:bookmarkStart w:id="21" w:name="OLE_LINK3"/>
      <w:bookmarkStart w:id="22" w:name="OLE_LINK4"/>
      <w:r>
        <w:rPr>
          <w:rStyle w:val="tgt"/>
          <w:rFonts w:ascii="Times New Roman" w:hAnsi="Times New Roman" w:cs="Times New Roman"/>
          <w:sz w:val="24"/>
          <w:szCs w:val="24"/>
        </w:rPr>
        <w:t>human</w:t>
      </w:r>
      <w:bookmarkEnd w:id="21"/>
      <w:bookmarkEnd w:id="22"/>
      <w:r>
        <w:rPr>
          <w:rStyle w:val="tgt"/>
          <w:rFonts w:ascii="Times New Roman" w:hAnsi="Times New Roman" w:cs="Times New Roman"/>
          <w:sz w:val="24"/>
          <w:szCs w:val="24"/>
        </w:rPr>
        <w:t xml:space="preserve"> is generally exposed to multiple environmental pollutants, rather than just a single environmental pollutant at the same time</w:t>
      </w:r>
      <w:r>
        <w:rPr>
          <w:rFonts w:ascii="Times New Roman" w:hAnsi="Times New Roman" w:cs="Times New Roman"/>
          <w:sz w:val="24"/>
          <w:szCs w:val="24"/>
        </w:rPr>
        <w:t xml:space="preserve"> </w:t>
      </w:r>
      <w:r>
        <w:rPr>
          <w:rFonts w:ascii="Times New Roman" w:hAnsi="Times New Roman" w:cs="Times New Roman"/>
          <w:noProof/>
          <w:sz w:val="24"/>
          <w:szCs w:val="24"/>
        </w:rPr>
        <w:t>(Crinnion 2010; Woodruff et al. 2011)</w:t>
      </w:r>
      <w:r>
        <w:rPr>
          <w:rFonts w:ascii="Times New Roman" w:hAnsi="Times New Roman" w:cs="Times New Roman" w:hint="eastAsia"/>
          <w:sz w:val="24"/>
          <w:szCs w:val="24"/>
        </w:rPr>
        <w:t>.</w:t>
      </w:r>
      <w:r>
        <w:rPr>
          <w:rFonts w:ascii="Times New Roman" w:hAnsi="Times New Roman" w:cs="Times New Roman"/>
          <w:sz w:val="24"/>
          <w:szCs w:val="24"/>
        </w:rPr>
        <w:t xml:space="preserve"> Most pollutants are highly correlated to each other, so that an additive or synergic effect cannot be excluded </w:t>
      </w:r>
      <w:r>
        <w:rPr>
          <w:rFonts w:ascii="Times New Roman" w:hAnsi="Times New Roman" w:cs="Times New Roman"/>
          <w:noProof/>
          <w:sz w:val="24"/>
          <w:szCs w:val="24"/>
        </w:rPr>
        <w:t>(Billionnet et al. 2012)</w:t>
      </w:r>
      <w:r>
        <w:rPr>
          <w:rFonts w:ascii="Times New Roman" w:hAnsi="Times New Roman" w:cs="Times New Roman"/>
          <w:sz w:val="24"/>
          <w:szCs w:val="24"/>
        </w:rPr>
        <w:t>.</w:t>
      </w:r>
      <w:r>
        <w:rPr>
          <w:rStyle w:val="tgt"/>
          <w:rFonts w:ascii="Times New Roman" w:hAnsi="Times New Roman" w:cs="Times New Roman"/>
          <w:sz w:val="24"/>
          <w:szCs w:val="24"/>
        </w:rPr>
        <w:t xml:space="preserve"> Recently, </w:t>
      </w:r>
      <w:r>
        <w:rPr>
          <w:rFonts w:ascii="Times New Roman" w:hAnsi="Times New Roman" w:cs="Times New Roman"/>
          <w:sz w:val="24"/>
          <w:szCs w:val="24"/>
        </w:rPr>
        <w:t xml:space="preserve">an increasing number of studies have used </w:t>
      </w:r>
      <w:bookmarkStart w:id="23" w:name="_Hlk32688209"/>
      <w:r>
        <w:rPr>
          <w:rFonts w:ascii="Times New Roman" w:hAnsi="Times New Roman" w:cs="Times New Roman"/>
          <w:sz w:val="24"/>
          <w:szCs w:val="24"/>
        </w:rPr>
        <w:t>multi-pollutant analysis</w:t>
      </w:r>
      <w:bookmarkEnd w:id="23"/>
      <w:r>
        <w:rPr>
          <w:rFonts w:ascii="Times New Roman" w:hAnsi="Times New Roman" w:cs="Times New Roman"/>
          <w:sz w:val="24"/>
          <w:szCs w:val="24"/>
        </w:rPr>
        <w:t xml:space="preserve"> to assess the association between the environmental pollutants mixture exposure and health effects, instead of analyzing the effects of single pollutants </w:t>
      </w:r>
      <w:r>
        <w:rPr>
          <w:rFonts w:ascii="Times New Roman" w:hAnsi="Times New Roman" w:cs="Times New Roman"/>
          <w:noProof/>
          <w:sz w:val="24"/>
          <w:szCs w:val="24"/>
        </w:rPr>
        <w:t>(Lim et al. 2019; Valeri et al. 2017)</w:t>
      </w:r>
      <w:r>
        <w:rPr>
          <w:rStyle w:val="tgt"/>
          <w:rFonts w:ascii="Times New Roman" w:hAnsi="Times New Roman" w:cs="Times New Roman"/>
          <w:sz w:val="24"/>
          <w:szCs w:val="24"/>
        </w:rPr>
        <w:t xml:space="preserve">. However, traditional methods to analyze </w:t>
      </w:r>
      <w:r>
        <w:rPr>
          <w:rFonts w:ascii="Times New Roman" w:hAnsi="Times New Roman" w:cs="Times New Roman"/>
          <w:sz w:val="24"/>
          <w:szCs w:val="24"/>
        </w:rPr>
        <w:t xml:space="preserve">pollutants </w:t>
      </w:r>
      <w:r>
        <w:rPr>
          <w:rStyle w:val="tgt"/>
          <w:rFonts w:ascii="Times New Roman" w:hAnsi="Times New Roman" w:cs="Times New Roman"/>
          <w:sz w:val="24"/>
          <w:szCs w:val="24"/>
        </w:rPr>
        <w:t xml:space="preserve">mixtures in association studies have methodological limitations </w:t>
      </w:r>
      <w:r>
        <w:rPr>
          <w:rStyle w:val="tgt"/>
          <w:rFonts w:ascii="Times New Roman" w:hAnsi="Times New Roman" w:cs="Times New Roman"/>
          <w:noProof/>
          <w:sz w:val="24"/>
          <w:szCs w:val="24"/>
        </w:rPr>
        <w:t>(Billionnet et al. 2012)</w:t>
      </w:r>
      <w:r>
        <w:rPr>
          <w:rStyle w:val="tgt"/>
          <w:rFonts w:ascii="Times New Roman" w:hAnsi="Times New Roman" w:cs="Times New Roman"/>
          <w:sz w:val="24"/>
          <w:szCs w:val="24"/>
        </w:rPr>
        <w:t xml:space="preserve">. </w:t>
      </w:r>
      <w:bookmarkStart w:id="24" w:name="_Hlk32688221"/>
      <w:r>
        <w:rPr>
          <w:rFonts w:ascii="Times New Roman" w:hAnsi="Times New Roman" w:cs="Times New Roman"/>
          <w:sz w:val="24"/>
          <w:szCs w:val="24"/>
        </w:rPr>
        <w:t>Bayesian Kernel Machine Regression (BKMR)</w:t>
      </w:r>
      <w:bookmarkEnd w:id="24"/>
      <w:r>
        <w:rPr>
          <w:rFonts w:ascii="Times New Roman" w:hAnsi="Times New Roman" w:cs="Times New Roman"/>
          <w:sz w:val="24"/>
          <w:szCs w:val="24"/>
        </w:rPr>
        <w:t>, a recently proposed method, is used to estima</w:t>
      </w:r>
      <w:r>
        <w:rPr>
          <w:rFonts w:ascii="Times New Roman" w:hAnsi="Times New Roman" w:cs="Times New Roman" w:hint="eastAsia"/>
          <w:sz w:val="24"/>
          <w:szCs w:val="24"/>
        </w:rPr>
        <w:t>te</w:t>
      </w:r>
      <w:r>
        <w:rPr>
          <w:rFonts w:ascii="Times New Roman" w:hAnsi="Times New Roman" w:cs="Times New Roman"/>
          <w:sz w:val="24"/>
          <w:szCs w:val="24"/>
        </w:rPr>
        <w:t xml:space="preserve"> the health effects </w:t>
      </w:r>
      <w:r>
        <w:rPr>
          <w:rFonts w:ascii="Times New Roman" w:hAnsi="Times New Roman" w:cs="Times New Roman"/>
          <w:sz w:val="24"/>
          <w:szCs w:val="24"/>
        </w:rPr>
        <w:lastRenderedPageBreak/>
        <w:t xml:space="preserve">of multi-pollutant mixtures </w:t>
      </w:r>
      <w:r>
        <w:rPr>
          <w:rFonts w:ascii="Times New Roman" w:hAnsi="Times New Roman" w:cs="Times New Roman"/>
          <w:noProof/>
          <w:sz w:val="24"/>
          <w:szCs w:val="24"/>
        </w:rPr>
        <w:t>(Bobb et al. 2015; Bobb et al. 2018)</w:t>
      </w:r>
      <w:r>
        <w:rPr>
          <w:rFonts w:ascii="Times New Roman" w:hAnsi="Times New Roman" w:cs="Times New Roman" w:hint="eastAsia"/>
          <w:sz w:val="24"/>
          <w:szCs w:val="24"/>
        </w:rPr>
        <w:t>.</w:t>
      </w:r>
      <w:r>
        <w:rPr>
          <w:rFonts w:ascii="Times New Roman" w:hAnsi="Times New Roman" w:cs="Times New Roman"/>
          <w:color w:val="FF0000"/>
          <w:sz w:val="24"/>
          <w:szCs w:val="24"/>
        </w:rPr>
        <w:t xml:space="preserve"> </w:t>
      </w:r>
      <w:r>
        <w:rPr>
          <w:rFonts w:ascii="Times New Roman" w:hAnsi="Times New Roman" w:cs="Times New Roman"/>
          <w:sz w:val="24"/>
          <w:szCs w:val="24"/>
        </w:rPr>
        <w:t>At present, no studies have investigated the combined effects of multiple OCPs on human health.</w:t>
      </w:r>
    </w:p>
    <w:p>
      <w:pPr>
        <w:widowControl/>
        <w:autoSpaceDE w:val="0"/>
        <w:autoSpaceDN w:val="0"/>
        <w:adjustRightInd w:val="0"/>
        <w:spacing w:line="480" w:lineRule="auto"/>
        <w:rPr>
          <w:sz w:val="24"/>
          <w:szCs w:val="24"/>
        </w:rPr>
      </w:pPr>
      <w:r>
        <w:rPr>
          <w:rFonts w:ascii="Times New Roman" w:hAnsi="Times New Roman" w:cs="Times New Roman"/>
          <w:color w:val="000000"/>
          <w:sz w:val="24"/>
          <w:szCs w:val="24"/>
          <w:shd w:val="clear" w:color="auto" w:fill="FFFFFF"/>
        </w:rPr>
        <w:t xml:space="preserve">Humans could be exposed to pesticides through different pathways including air, dermal penetration and ingesting contaminated food. The two former pathways comprise only approximately less than 2% of the total absorption of pesticides, and the ingesting contaminated food is considered as the main </w:t>
      </w:r>
      <w:r>
        <w:rPr>
          <w:rFonts w:ascii="Times New Roman" w:hAnsi="Times New Roman" w:cs="Times New Roman"/>
          <w:color w:val="2E2E2E"/>
          <w:sz w:val="24"/>
          <w:szCs w:val="24"/>
        </w:rPr>
        <w:t xml:space="preserve">potential for exposure to pesticides </w:t>
      </w:r>
      <w:r>
        <w:rPr>
          <w:rFonts w:ascii="Times New Roman" w:hAnsi="Times New Roman" w:cs="Times New Roman"/>
          <w:noProof/>
          <w:color w:val="000000"/>
          <w:sz w:val="24"/>
          <w:szCs w:val="24"/>
          <w:shd w:val="clear" w:color="auto" w:fill="FFFFFF"/>
        </w:rPr>
        <w:t>(Hu et al. 2004; Lu et al. 2004; Morgan et al. 2007; Pirsaheb et al. 2015)</w:t>
      </w:r>
      <w:r>
        <w:rPr>
          <w:rFonts w:ascii="Times New Roman" w:hAnsi="Times New Roman" w:cs="Times New Roman"/>
          <w:color w:val="2E2E2E"/>
          <w:sz w:val="27"/>
          <w:szCs w:val="27"/>
        </w:rPr>
        <w:t>.</w:t>
      </w:r>
    </w:p>
    <w:p>
      <w:pPr>
        <w:pStyle w:val="Default"/>
        <w:spacing w:line="480" w:lineRule="auto"/>
        <w:jc w:val="both"/>
        <w:rPr>
          <w:rFonts w:cs="Times New Roman"/>
        </w:rPr>
      </w:pPr>
      <w:r>
        <w:rPr>
          <w:rFonts w:cs="Times New Roman"/>
          <w:color w:val="auto"/>
        </w:rPr>
        <w:t xml:space="preserve">Therefore, this study </w:t>
      </w:r>
      <w:r>
        <w:rPr>
          <w:rFonts w:cs="Times New Roman" w:hint="eastAsia"/>
          <w:color w:val="auto"/>
        </w:rPr>
        <w:t xml:space="preserve">aimed to </w:t>
      </w:r>
      <w:r>
        <w:rPr>
          <w:rFonts w:cs="Times New Roman"/>
          <w:color w:val="auto"/>
        </w:rPr>
        <w:t xml:space="preserve">examine the association between </w:t>
      </w:r>
      <w:r>
        <w:rPr>
          <w:rFonts w:cs="Times New Roman"/>
        </w:rPr>
        <w:t>concentrations of OCPs in umbilical cord tissues and risk for OFCs using multivariate logistic models and BKMR models in a case-control study. In addition, we investigated the potential dietary sources of OCPs in umbilical cord tissues.</w:t>
      </w:r>
    </w:p>
    <w:bookmarkEnd w:id="13"/>
    <w:bookmarkEnd w:id="14"/>
    <w:p>
      <w:pPr>
        <w:pStyle w:val="Heading1"/>
        <w:numPr>
          <w:ilvl w:val="0"/>
          <w:numId w:val="20"/>
        </w:numPr>
        <w:rPr>
          <w:rFonts w:ascii="Times New Roman" w:hAnsi="Times New Roman" w:cs="Times New Roman"/>
          <w:sz w:val="24"/>
          <w:szCs w:val="24"/>
        </w:rPr>
      </w:pPr>
      <w:r>
        <w:rPr>
          <w:rFonts w:ascii="Times New Roman" w:hAnsi="Times New Roman" w:cs="Times New Roman"/>
          <w:sz w:val="24"/>
          <w:szCs w:val="24"/>
        </w:rPr>
        <w:t>Materials and methods</w:t>
      </w:r>
    </w:p>
    <w:p>
      <w:pPr>
        <w:pStyle w:val="Heading2"/>
        <w:rPr>
          <w:rFonts w:cs="Times New Roman"/>
          <w:szCs w:val="24"/>
        </w:rPr>
      </w:pPr>
      <w:r>
        <w:rPr>
          <w:rFonts w:cs="Times New Roman"/>
          <w:szCs w:val="24"/>
        </w:rPr>
        <w:t>2.1 Study Population and sample collection</w:t>
      </w:r>
    </w:p>
    <w:p>
      <w:pPr>
        <w:autoSpaceDE w:val="0"/>
        <w:autoSpaceDN w:val="0"/>
        <w:adjustRightInd w:val="0"/>
        <w:spacing w:line="480" w:lineRule="auto"/>
        <w:rPr>
          <w:rFonts w:ascii="Times New Roman" w:hAnsi="Times New Roman" w:cs="Times New Roman"/>
          <w:kern w:val="0"/>
          <w:sz w:val="24"/>
          <w:szCs w:val="24"/>
        </w:rPr>
      </w:pPr>
      <w:r>
        <w:rPr>
          <w:rFonts w:ascii="Times New Roman" w:hAnsi="Times New Roman" w:cs="Times New Roman"/>
          <w:kern w:val="0"/>
          <w:sz w:val="24"/>
          <w:szCs w:val="24"/>
        </w:rPr>
        <w:t>We have carried out an on-going population-based case-control study since 2002, and details have been described elsewhere</w:t>
      </w:r>
      <w:r>
        <w:rPr>
          <w:rFonts w:ascii="Times New Roman" w:hAnsi="Times New Roman" w:cs="Times New Roman"/>
          <w:sz w:val="24"/>
          <w:szCs w:val="24"/>
        </w:rPr>
        <w:t xml:space="preserve"> </w:t>
      </w:r>
      <w:r>
        <w:rPr>
          <w:rFonts w:ascii="Times New Roman" w:hAnsi="Times New Roman" w:cs="Times New Roman"/>
          <w:noProof/>
          <w:sz w:val="24"/>
          <w:szCs w:val="24"/>
        </w:rPr>
        <w:t>(Pi et al. 2018; Ren et al. 2011)</w:t>
      </w:r>
      <w:r>
        <w:rPr>
          <w:rFonts w:ascii="Times New Roman" w:hAnsi="Times New Roman" w:cs="Times New Roman"/>
          <w:sz w:val="24"/>
          <w:szCs w:val="24"/>
        </w:rPr>
        <w:t xml:space="preserve">. Briefly, </w:t>
      </w:r>
      <w:r>
        <w:rPr>
          <w:rFonts w:ascii="Times New Roman" w:hAnsi="Times New Roman" w:cs="Times New Roman" w:hint="eastAsia"/>
          <w:sz w:val="24"/>
          <w:szCs w:val="24"/>
        </w:rPr>
        <w:t>t</w:t>
      </w:r>
      <w:r>
        <w:rPr>
          <w:rFonts w:ascii="Times New Roman" w:hAnsi="Times New Roman" w:cs="Times New Roman"/>
          <w:sz w:val="24"/>
          <w:szCs w:val="24"/>
        </w:rPr>
        <w:t>he subjects were recruited from five rural counties (</w:t>
      </w:r>
      <w:proofErr w:type="spellStart"/>
      <w:r>
        <w:rPr>
          <w:rFonts w:ascii="Times New Roman" w:hAnsi="Times New Roman" w:cs="Times New Roman"/>
          <w:sz w:val="24"/>
          <w:szCs w:val="24"/>
        </w:rPr>
        <w:t>Xiyang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Taigu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Pingding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Zezhou</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Shouyang</w:t>
      </w:r>
      <w:proofErr w:type="spellEnd"/>
      <w:r>
        <w:rPr>
          <w:rFonts w:ascii="Times New Roman" w:hAnsi="Times New Roman" w:cs="Times New Roman"/>
          <w:sz w:val="24"/>
          <w:szCs w:val="24"/>
        </w:rPr>
        <w:t>) of Shanxi Province in northern China</w:t>
      </w:r>
      <w:r>
        <w:rPr>
          <w:rFonts w:ascii="Times New Roman" w:hAnsi="Times New Roman" w:cs="Times New Roman" w:hint="eastAsia"/>
          <w:sz w:val="24"/>
          <w:szCs w:val="24"/>
        </w:rPr>
        <w:t>.</w:t>
      </w:r>
      <w:r>
        <w:rPr>
          <w:rFonts w:ascii="Times New Roman" w:hAnsi="Times New Roman" w:cs="Times New Roman"/>
          <w:sz w:val="24"/>
          <w:szCs w:val="24"/>
        </w:rPr>
        <w:t xml:space="preserve"> </w:t>
      </w:r>
      <w:r>
        <w:rPr>
          <w:rFonts w:ascii="Times New Roman" w:hAnsi="Times New Roman" w:cs="Times New Roman" w:hint="eastAsia"/>
          <w:sz w:val="24"/>
          <w:szCs w:val="24"/>
        </w:rPr>
        <w:t>F</w:t>
      </w:r>
      <w:r>
        <w:rPr>
          <w:rFonts w:ascii="Times New Roman" w:hAnsi="Times New Roman" w:cs="Times New Roman"/>
          <w:sz w:val="24"/>
          <w:szCs w:val="24"/>
        </w:rPr>
        <w:t>or each fetus or newborn diagnosed with birth defect, a non-malformed newborn was selected as a control</w:t>
      </w:r>
      <w:r>
        <w:rPr>
          <w:rFonts w:ascii="Times New Roman" w:hAnsi="Times New Roman" w:cs="Times New Roman"/>
          <w:kern w:val="0"/>
          <w:sz w:val="24"/>
          <w:szCs w:val="24"/>
        </w:rPr>
        <w:t xml:space="preserve"> </w:t>
      </w:r>
      <w:r>
        <w:rPr>
          <w:rFonts w:ascii="Times New Roman" w:hAnsi="Times New Roman" w:cs="Times New Roman"/>
          <w:sz w:val="24"/>
          <w:szCs w:val="24"/>
        </w:rPr>
        <w:t xml:space="preserve">in the same hospital </w:t>
      </w:r>
      <w:r>
        <w:rPr>
          <w:rFonts w:ascii="Times New Roman" w:hAnsi="Times New Roman" w:cs="Times New Roman"/>
          <w:kern w:val="0"/>
          <w:sz w:val="24"/>
          <w:szCs w:val="24"/>
        </w:rPr>
        <w:t>match</w:t>
      </w:r>
      <w:r>
        <w:rPr>
          <w:rFonts w:ascii="Times New Roman" w:hAnsi="Times New Roman" w:cs="Times New Roman" w:hint="eastAsia"/>
          <w:kern w:val="0"/>
          <w:sz w:val="24"/>
          <w:szCs w:val="24"/>
        </w:rPr>
        <w:t>ing</w:t>
      </w:r>
      <w:r>
        <w:rPr>
          <w:rFonts w:ascii="Times New Roman" w:hAnsi="Times New Roman" w:cs="Times New Roman"/>
          <w:kern w:val="0"/>
          <w:sz w:val="24"/>
          <w:szCs w:val="24"/>
        </w:rPr>
        <w:t xml:space="preserve"> </w:t>
      </w:r>
      <w:r>
        <w:rPr>
          <w:rFonts w:ascii="Times New Roman" w:hAnsi="Times New Roman" w:cs="Times New Roman" w:hint="eastAsia"/>
          <w:kern w:val="0"/>
          <w:sz w:val="24"/>
          <w:szCs w:val="24"/>
        </w:rPr>
        <w:t>with</w:t>
      </w:r>
      <w:r>
        <w:rPr>
          <w:rFonts w:ascii="Times New Roman" w:hAnsi="Times New Roman" w:cs="Times New Roman"/>
          <w:sz w:val="24"/>
          <w:szCs w:val="24"/>
        </w:rPr>
        <w:t xml:space="preserve"> last menstrual period (plus or minus 4 weeks), </w:t>
      </w:r>
      <w:r>
        <w:rPr>
          <w:rFonts w:ascii="Times New Roman" w:hAnsi="Times New Roman" w:cs="Times New Roman"/>
          <w:kern w:val="0"/>
          <w:sz w:val="24"/>
          <w:szCs w:val="24"/>
        </w:rPr>
        <w:t xml:space="preserve">residence of the mother (the same county), </w:t>
      </w:r>
      <w:r>
        <w:rPr>
          <w:rFonts w:ascii="Times New Roman" w:hAnsi="Times New Roman" w:cs="Times New Roman"/>
          <w:sz w:val="24"/>
          <w:szCs w:val="24"/>
        </w:rPr>
        <w:t>and infant gender</w:t>
      </w:r>
      <w:r>
        <w:rPr>
          <w:rFonts w:ascii="Times New Roman" w:hAnsi="Times New Roman" w:cs="Times New Roman" w:hint="eastAsia"/>
          <w:sz w:val="24"/>
          <w:szCs w:val="24"/>
        </w:rPr>
        <w:t>.</w:t>
      </w:r>
      <w:r>
        <w:rPr>
          <w:rFonts w:ascii="Times New Roman" w:hAnsi="Times New Roman" w:cs="Times New Roman"/>
          <w:sz w:val="24"/>
          <w:szCs w:val="24"/>
        </w:rPr>
        <w:t xml:space="preserve"> Diagnoses were confirmed using physical examination and/or prenatal ultrasound examination by trained health workers. </w:t>
      </w:r>
      <w:r>
        <w:rPr>
          <w:rFonts w:ascii="Times New Roman" w:hAnsi="Times New Roman" w:cs="Times New Roman"/>
          <w:kern w:val="0"/>
          <w:sz w:val="24"/>
          <w:szCs w:val="24"/>
        </w:rPr>
        <w:lastRenderedPageBreak/>
        <w:t>U</w:t>
      </w:r>
      <w:r>
        <w:rPr>
          <w:rFonts w:ascii="Times New Roman" w:hAnsi="Times New Roman" w:cs="Times New Roman"/>
          <w:sz w:val="24"/>
          <w:szCs w:val="24"/>
        </w:rPr>
        <w:t xml:space="preserve">mbilical cord tissues were </w:t>
      </w:r>
      <w:r>
        <w:rPr>
          <w:rStyle w:val="Emphasis"/>
          <w:rFonts w:ascii="Times New Roman" w:hAnsi="Times New Roman" w:cs="Times New Roman"/>
          <w:i w:val="0"/>
          <w:iCs w:val="0"/>
          <w:sz w:val="24"/>
          <w:szCs w:val="24"/>
          <w:shd w:val="clear" w:color="auto" w:fill="FFFFFF"/>
        </w:rPr>
        <w:t>obtained</w:t>
      </w:r>
      <w:r>
        <w:rPr>
          <w:rFonts w:ascii="Times New Roman" w:hAnsi="Times New Roman" w:cs="Times New Roman"/>
          <w:sz w:val="24"/>
          <w:szCs w:val="24"/>
        </w:rPr>
        <w:t xml:space="preserve"> from the neonatal umbilicus after delivery, and immediately stored at −20°C. In the present study, 89 OFC cases (48 with cleft lip with cleft palate, 36 with cleft lip only, and 5 with cleft palate only) and 129 controls collected from 2003 to 2016, and with available umbilical cord samples (≥7g wet weight) were included.</w:t>
      </w:r>
    </w:p>
    <w:p>
      <w:pPr>
        <w:autoSpaceDE w:val="0"/>
        <w:autoSpaceDN w:val="0"/>
        <w:adjustRightInd w:val="0"/>
        <w:spacing w:line="480" w:lineRule="auto"/>
        <w:rPr>
          <w:rFonts w:ascii="Times New Roman" w:hAnsi="Times New Roman" w:cs="Times New Roman"/>
          <w:kern w:val="0"/>
          <w:sz w:val="24"/>
          <w:szCs w:val="24"/>
        </w:rPr>
      </w:pPr>
      <w:bookmarkStart w:id="25" w:name="_Hlk56625865"/>
      <w:bookmarkStart w:id="26" w:name="_Hlk55939254"/>
      <w:r>
        <w:rPr>
          <w:rFonts w:ascii="Times New Roman" w:hAnsi="Times New Roman" w:cs="Times New Roman"/>
          <w:kern w:val="0"/>
          <w:sz w:val="24"/>
          <w:szCs w:val="24"/>
        </w:rPr>
        <w:t xml:space="preserve">Maternal face-to face interviews were conducted </w:t>
      </w:r>
      <w:r>
        <w:rPr>
          <w:rFonts w:ascii="Times New Roman" w:hAnsi="Times New Roman" w:cs="Times New Roman"/>
          <w:sz w:val="24"/>
          <w:szCs w:val="24"/>
        </w:rPr>
        <w:t>by trained local health workers</w:t>
      </w:r>
      <w:r>
        <w:rPr>
          <w:rFonts w:ascii="Times New Roman" w:hAnsi="Times New Roman" w:cs="Times New Roman"/>
          <w:kern w:val="0"/>
          <w:sz w:val="24"/>
          <w:szCs w:val="24"/>
        </w:rPr>
        <w:t xml:space="preserve"> using a structured questionnaire, within a week after delivery.</w:t>
      </w:r>
      <w:bookmarkEnd w:id="25"/>
      <w:r>
        <w:rPr>
          <w:rFonts w:ascii="Times New Roman" w:hAnsi="Times New Roman" w:cs="Times New Roman"/>
          <w:kern w:val="0"/>
          <w:sz w:val="24"/>
          <w:szCs w:val="24"/>
        </w:rPr>
        <w:t xml:space="preserve"> </w:t>
      </w:r>
      <w:bookmarkEnd w:id="26"/>
      <w:r>
        <w:rPr>
          <w:rFonts w:ascii="Times New Roman" w:hAnsi="Times New Roman" w:cs="Times New Roman"/>
          <w:kern w:val="0"/>
          <w:sz w:val="24"/>
          <w:szCs w:val="24"/>
        </w:rPr>
        <w:t>We collected information regarding maternal age at pregnancy, body mass index (</w:t>
      </w:r>
      <w:r>
        <w:rPr>
          <w:rFonts w:ascii="Times New Roman" w:eastAsia="DengXian" w:hAnsi="Times New Roman" w:cs="Times New Roman"/>
          <w:kern w:val="0"/>
          <w:sz w:val="24"/>
          <w:szCs w:val="24"/>
        </w:rPr>
        <w:t>BMI)</w:t>
      </w:r>
      <w:r>
        <w:rPr>
          <w:rFonts w:ascii="Times New Roman" w:hAnsi="Times New Roman" w:cs="Times New Roman"/>
          <w:kern w:val="0"/>
          <w:sz w:val="24"/>
          <w:szCs w:val="24"/>
        </w:rPr>
        <w:t>, infant sex (male or female), education (“</w:t>
      </w:r>
      <w:r>
        <w:rPr>
          <w:rFonts w:ascii="Times New Roman" w:eastAsia="DengXian" w:hAnsi="Times New Roman" w:cs="Times New Roman"/>
          <w:kern w:val="0"/>
          <w:sz w:val="24"/>
          <w:szCs w:val="24"/>
        </w:rPr>
        <w:t>Primary school or lower</w:t>
      </w:r>
      <w:r>
        <w:rPr>
          <w:rFonts w:ascii="Times New Roman" w:hAnsi="Times New Roman" w:cs="Times New Roman"/>
          <w:kern w:val="0"/>
          <w:sz w:val="24"/>
          <w:szCs w:val="24"/>
        </w:rPr>
        <w:t>”, “</w:t>
      </w:r>
      <w:r>
        <w:rPr>
          <w:rFonts w:ascii="Times New Roman" w:eastAsia="DengXian" w:hAnsi="Times New Roman" w:cs="Times New Roman"/>
          <w:kern w:val="0"/>
          <w:sz w:val="24"/>
          <w:szCs w:val="24"/>
        </w:rPr>
        <w:t>Junior high school</w:t>
      </w:r>
      <w:r>
        <w:rPr>
          <w:rFonts w:ascii="Times New Roman" w:hAnsi="Times New Roman" w:cs="Times New Roman"/>
          <w:kern w:val="0"/>
          <w:sz w:val="24"/>
          <w:szCs w:val="24"/>
        </w:rPr>
        <w:t>” or “</w:t>
      </w:r>
      <w:r>
        <w:rPr>
          <w:rFonts w:ascii="Times New Roman" w:eastAsia="DengXian" w:hAnsi="Times New Roman" w:cs="Times New Roman"/>
          <w:kern w:val="0"/>
          <w:sz w:val="24"/>
          <w:szCs w:val="24"/>
        </w:rPr>
        <w:t>High school or above</w:t>
      </w:r>
      <w:r>
        <w:rPr>
          <w:rFonts w:ascii="Times New Roman" w:hAnsi="Times New Roman" w:cs="Times New Roman"/>
          <w:kern w:val="0"/>
          <w:sz w:val="24"/>
          <w:szCs w:val="24"/>
        </w:rPr>
        <w:t>”), occupation (farmer or other), gravidity (1, 2 or &gt;2 times), history of birth defects (yes or no), periconceptional use of a folic acid supplement (yes or no), and alcohol consumption (yes or no). Smoking exposure was defined as maternal active or passive smoking from any source (at home or in public places) measured through self-reported exposure (at least once per week, and at least one cigarette at a time) from one month before and two months after conception</w:t>
      </w:r>
      <w:r>
        <w:rPr>
          <w:rFonts w:ascii="Times New Roman" w:hAnsi="Times New Roman" w:cs="Times New Roman"/>
          <w:color w:val="00B0F0"/>
          <w:sz w:val="24"/>
          <w:szCs w:val="24"/>
        </w:rPr>
        <w:t xml:space="preserve">. </w:t>
      </w:r>
      <w:r>
        <w:rPr>
          <w:rFonts w:ascii="Times New Roman" w:hAnsi="Times New Roman" w:cs="Times New Roman"/>
          <w:color w:val="000000" w:themeColor="text1"/>
          <w:sz w:val="24"/>
          <w:szCs w:val="24"/>
        </w:rPr>
        <w:t>Information on dietary intake habits was also collected, including frequency of consumption of fish or meat (&lt;1, 1–3, 4–6, &gt;6 times per week), frequency of consumption of milk or eggs (&lt;1, 1–3, 4–6, &gt;6 times per week), frequency of consumption of fresh green vegetables (&lt;1, 1–3, 4–6, &gt;6 times per week), frequency of consumption of fresh fruit (&lt;1, 1–3, 4–6, &gt;6 times per week), and frequency of consumption of beans or bean products (&lt;1, 1–3, 4–6, &gt;6 times per week)</w:t>
      </w:r>
      <w:r>
        <w:rPr>
          <w:rFonts w:ascii="Times New Roman" w:hAnsi="Times New Roman" w:cs="Times New Roman"/>
          <w:color w:val="000000" w:themeColor="text1"/>
          <w:kern w:val="0"/>
          <w:sz w:val="24"/>
          <w:szCs w:val="24"/>
        </w:rPr>
        <w:t>.</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 xml:space="preserve">Our study was approved by the Institutional Review Board of Peking University. </w:t>
      </w:r>
      <w:r>
        <w:rPr>
          <w:rFonts w:ascii="Times New Roman" w:hAnsi="Times New Roman" w:cs="Times New Roman"/>
          <w:kern w:val="0"/>
          <w:sz w:val="24"/>
          <w:szCs w:val="24"/>
        </w:rPr>
        <w:t>All participating mothers provided written informed consent.</w:t>
      </w:r>
    </w:p>
    <w:p>
      <w:pPr>
        <w:pStyle w:val="Heading2"/>
        <w:rPr>
          <w:rFonts w:cs="Times New Roman"/>
          <w:szCs w:val="24"/>
        </w:rPr>
      </w:pPr>
      <w:r>
        <w:rPr>
          <w:rFonts w:cs="Times New Roman"/>
          <w:szCs w:val="24"/>
        </w:rPr>
        <w:lastRenderedPageBreak/>
        <w:t>2.2 D</w:t>
      </w:r>
      <w:r>
        <w:rPr>
          <w:rFonts w:cs="Times New Roman" w:hint="eastAsia"/>
          <w:szCs w:val="24"/>
        </w:rPr>
        <w:t>etermination</w:t>
      </w:r>
      <w:r>
        <w:rPr>
          <w:rFonts w:cs="Times New Roman"/>
          <w:szCs w:val="24"/>
        </w:rPr>
        <w:t xml:space="preserve"> of umbilical cord OCPs </w:t>
      </w:r>
    </w:p>
    <w:p>
      <w:pPr>
        <w:widowControl/>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 xml:space="preserve">Gas chromatography-mass spectrometry (GC-MS, Agilent </w:t>
      </w:r>
      <w:r>
        <w:rPr>
          <w:rFonts w:ascii="Times New Roman" w:eastAsia="SimSun" w:hAnsi="Times New Roman" w:cs="Times New Roman"/>
          <w:kern w:val="0"/>
          <w:sz w:val="24"/>
          <w:szCs w:val="24"/>
        </w:rPr>
        <w:t>7890B-5977A</w:t>
      </w:r>
      <w:r>
        <w:rPr>
          <w:rFonts w:ascii="Times New Roman" w:hAnsi="Times New Roman" w:cs="Times New Roman"/>
          <w:sz w:val="24"/>
          <w:szCs w:val="24"/>
        </w:rPr>
        <w:t xml:space="preserve">, USA) </w:t>
      </w:r>
      <w:r>
        <w:rPr>
          <w:rFonts w:ascii="Times New Roman" w:hAnsi="Times New Roman" w:cs="Times New Roman"/>
          <w:kern w:val="0"/>
          <w:sz w:val="24"/>
          <w:szCs w:val="24"/>
        </w:rPr>
        <w:t xml:space="preserve">was used to quantify the concentrations of </w:t>
      </w:r>
      <w:r>
        <w:rPr>
          <w:rFonts w:ascii="Times New Roman" w:hAnsi="Times New Roman" w:cs="Times New Roman" w:hint="eastAsia"/>
          <w:kern w:val="0"/>
          <w:sz w:val="24"/>
          <w:szCs w:val="24"/>
        </w:rPr>
        <w:t>t</w:t>
      </w:r>
      <w:r>
        <w:rPr>
          <w:rFonts w:ascii="Times New Roman" w:hAnsi="Times New Roman" w:cs="Times New Roman"/>
          <w:kern w:val="0"/>
          <w:sz w:val="24"/>
          <w:szCs w:val="24"/>
        </w:rPr>
        <w:t>wenty</w:t>
      </w:r>
      <w:r>
        <w:rPr>
          <w:rFonts w:ascii="Times New Roman" w:hAnsi="Times New Roman" w:cs="Times New Roman"/>
          <w:color w:val="000000" w:themeColor="text1"/>
          <w:kern w:val="0"/>
          <w:sz w:val="24"/>
          <w:szCs w:val="24"/>
        </w:rPr>
        <w:t xml:space="preserve"> </w:t>
      </w:r>
      <w:r>
        <w:rPr>
          <w:rFonts w:ascii="Times New Roman" w:hAnsi="Times New Roman" w:cs="Times New Roman"/>
          <w:color w:val="000000" w:themeColor="text1"/>
          <w:sz w:val="24"/>
          <w:szCs w:val="24"/>
        </w:rPr>
        <w:t xml:space="preserve">specific </w:t>
      </w:r>
      <w:r>
        <w:rPr>
          <w:rFonts w:ascii="Times New Roman" w:hAnsi="Times New Roman" w:cs="Times New Roman"/>
          <w:kern w:val="0"/>
          <w:sz w:val="24"/>
          <w:szCs w:val="24"/>
        </w:rPr>
        <w:t xml:space="preserve">OCPs. The detailed descriptions of the method are listed on </w:t>
      </w:r>
      <w:r>
        <w:rPr>
          <w:rFonts w:ascii="Times New Roman" w:hAnsi="Times New Roman" w:cs="Times New Roman"/>
          <w:sz w:val="24"/>
          <w:szCs w:val="24"/>
        </w:rPr>
        <w:t xml:space="preserve">the Supplementary materials. Firstly, </w:t>
      </w:r>
      <w:bookmarkStart w:id="27" w:name="OLE_LINK1"/>
      <w:bookmarkStart w:id="28" w:name="OLE_LINK2"/>
      <w:r>
        <w:rPr>
          <w:rFonts w:ascii="Times New Roman" w:hAnsi="Times New Roman" w:cs="Times New Roman"/>
          <w:sz w:val="24"/>
          <w:szCs w:val="24"/>
        </w:rPr>
        <w:t xml:space="preserve">about 0.700 g of lyophilized umbilical cord tissue sample was spiked with </w:t>
      </w:r>
      <w:r>
        <w:rPr>
          <w:rFonts w:ascii="Times New Roman" w:eastAsia="SimSun" w:hAnsi="Times New Roman" w:cs="Times New Roman"/>
          <w:sz w:val="24"/>
          <w:szCs w:val="24"/>
        </w:rPr>
        <w:t>20 ng</w:t>
      </w:r>
      <w:r>
        <w:rPr>
          <w:rFonts w:ascii="Times New Roman" w:hAnsi="Times New Roman" w:cs="Times New Roman"/>
          <w:sz w:val="24"/>
          <w:szCs w:val="24"/>
        </w:rPr>
        <w:t xml:space="preserve"> of two recovery surrogates (</w:t>
      </w:r>
      <w:r>
        <w:rPr>
          <w:rFonts w:ascii="Times New Roman" w:hAnsi="Times New Roman" w:cs="Times New Roman"/>
          <w:bCs/>
          <w:sz w:val="24"/>
          <w:szCs w:val="24"/>
        </w:rPr>
        <w:t>polybrominated</w:t>
      </w:r>
      <w:r>
        <w:rPr>
          <w:rStyle w:val="apple-converted-space"/>
          <w:rFonts w:ascii="Times New Roman" w:hAnsi="Times New Roman" w:cs="Times New Roman"/>
          <w:sz w:val="24"/>
          <w:szCs w:val="24"/>
        </w:rPr>
        <w:t> </w:t>
      </w:r>
      <w:r>
        <w:rPr>
          <w:rFonts w:ascii="Times New Roman" w:hAnsi="Times New Roman" w:cs="Times New Roman"/>
          <w:bCs/>
          <w:sz w:val="24"/>
          <w:szCs w:val="24"/>
        </w:rPr>
        <w:t>diphenyl</w:t>
      </w:r>
      <w:r>
        <w:rPr>
          <w:rStyle w:val="apple-converted-space"/>
          <w:rFonts w:ascii="Times New Roman" w:hAnsi="Times New Roman" w:cs="Times New Roman"/>
          <w:sz w:val="24"/>
          <w:szCs w:val="24"/>
        </w:rPr>
        <w:t> </w:t>
      </w:r>
      <w:r>
        <w:rPr>
          <w:rFonts w:ascii="Times New Roman" w:hAnsi="Times New Roman" w:cs="Times New Roman"/>
          <w:bCs/>
          <w:sz w:val="24"/>
          <w:szCs w:val="24"/>
        </w:rPr>
        <w:t>ethers</w:t>
      </w:r>
      <w:r>
        <w:rPr>
          <w:rFonts w:ascii="Times New Roman" w:hAnsi="Times New Roman" w:cs="Times New Roman"/>
          <w:sz w:val="24"/>
          <w:szCs w:val="24"/>
        </w:rPr>
        <w:t xml:space="preserve">-77 and </w:t>
      </w:r>
      <w:r>
        <w:rPr>
          <w:rFonts w:ascii="Times New Roman" w:hAnsi="Times New Roman" w:cs="Times New Roman"/>
          <w:bCs/>
          <w:sz w:val="24"/>
          <w:szCs w:val="24"/>
        </w:rPr>
        <w:t>polybrominated</w:t>
      </w:r>
      <w:r>
        <w:rPr>
          <w:rStyle w:val="apple-converted-space"/>
          <w:rFonts w:ascii="Times New Roman" w:hAnsi="Times New Roman" w:cs="Times New Roman"/>
          <w:sz w:val="24"/>
          <w:szCs w:val="24"/>
        </w:rPr>
        <w:t> </w:t>
      </w:r>
      <w:r>
        <w:rPr>
          <w:rFonts w:ascii="Times New Roman" w:hAnsi="Times New Roman" w:cs="Times New Roman"/>
          <w:bCs/>
          <w:sz w:val="24"/>
          <w:szCs w:val="24"/>
        </w:rPr>
        <w:t>diphenyl</w:t>
      </w:r>
      <w:r>
        <w:rPr>
          <w:rStyle w:val="apple-converted-space"/>
          <w:rFonts w:ascii="Times New Roman" w:hAnsi="Times New Roman" w:cs="Times New Roman"/>
          <w:sz w:val="24"/>
          <w:szCs w:val="24"/>
        </w:rPr>
        <w:t> </w:t>
      </w:r>
      <w:r>
        <w:rPr>
          <w:rFonts w:ascii="Times New Roman" w:hAnsi="Times New Roman" w:cs="Times New Roman"/>
          <w:bCs/>
          <w:sz w:val="24"/>
          <w:szCs w:val="24"/>
        </w:rPr>
        <w:t>ethers</w:t>
      </w:r>
      <w:r>
        <w:rPr>
          <w:rFonts w:ascii="Times New Roman" w:hAnsi="Times New Roman" w:cs="Times New Roman"/>
          <w:sz w:val="24"/>
          <w:szCs w:val="24"/>
        </w:rPr>
        <w:t xml:space="preserve">-128, Dr. </w:t>
      </w:r>
      <w:proofErr w:type="spellStart"/>
      <w:r>
        <w:rPr>
          <w:rFonts w:ascii="Times New Roman" w:hAnsi="Times New Roman" w:cs="Times New Roman"/>
          <w:sz w:val="24"/>
          <w:szCs w:val="24"/>
        </w:rPr>
        <w:t>Ehrenstorfer</w:t>
      </w:r>
      <w:proofErr w:type="spellEnd"/>
      <w:r>
        <w:rPr>
          <w:rFonts w:ascii="Times New Roman" w:hAnsi="Times New Roman" w:cs="Times New Roman"/>
          <w:sz w:val="24"/>
          <w:szCs w:val="24"/>
        </w:rPr>
        <w:t xml:space="preserve">, Germany) and then Soxhlet-extracted with 120 mL of dichloromethane for 24 hours. </w:t>
      </w:r>
      <w:bookmarkEnd w:id="27"/>
      <w:bookmarkEnd w:id="28"/>
      <w:r>
        <w:rPr>
          <w:rFonts w:ascii="Times New Roman" w:hAnsi="Times New Roman" w:cs="Times New Roman"/>
          <w:sz w:val="24"/>
          <w:szCs w:val="24"/>
        </w:rPr>
        <w:t>All the extracts were concent</w:t>
      </w:r>
      <w:r>
        <w:rPr>
          <w:rFonts w:ascii="Times New Roman" w:hAnsi="Times New Roman" w:cs="Times New Roman"/>
          <w:color w:val="2E2E2E"/>
          <w:sz w:val="24"/>
          <w:szCs w:val="24"/>
        </w:rPr>
        <w:t>rated</w:t>
      </w:r>
      <w:r>
        <w:rPr>
          <w:rFonts w:ascii="Times New Roman" w:hAnsi="Times New Roman" w:cs="Times New Roman"/>
          <w:sz w:val="24"/>
          <w:szCs w:val="24"/>
        </w:rPr>
        <w:t xml:space="preserve"> and their lipophilic material in extractions was filtrated using gel </w:t>
      </w:r>
      <w:r>
        <w:rPr>
          <w:rFonts w:ascii="Times New Roman" w:hAnsi="Times New Roman" w:cs="Times New Roman" w:hint="eastAsia"/>
          <w:sz w:val="24"/>
          <w:szCs w:val="24"/>
        </w:rPr>
        <w:t>p</w:t>
      </w:r>
      <w:r>
        <w:rPr>
          <w:rFonts w:ascii="Times New Roman" w:hAnsi="Times New Roman" w:cs="Times New Roman"/>
          <w:sz w:val="24"/>
          <w:szCs w:val="24"/>
        </w:rPr>
        <w:t>ermeation chromatograph GPC. After that, a silica/alumina gel cleanup column was used to further </w:t>
      </w:r>
      <w:hyperlink r:id="rId9" w:tooltip="Learn more about Purification from ScienceDirect's AI-generated Topic Pages" w:history="1">
        <w:r>
          <w:rPr>
            <w:rFonts w:ascii="Times New Roman" w:hAnsi="Times New Roman" w:cs="Times New Roman"/>
            <w:sz w:val="24"/>
            <w:szCs w:val="24"/>
          </w:rPr>
          <w:t>purification</w:t>
        </w:r>
      </w:hyperlink>
      <w:r>
        <w:rPr>
          <w:rFonts w:ascii="Times New Roman" w:hAnsi="Times New Roman" w:cs="Times New Roman"/>
          <w:sz w:val="24"/>
          <w:szCs w:val="24"/>
        </w:rPr>
        <w:t>. The sequential eluents were 20 mL n-hexane/dichloromethane (1:1, v/v). Pentachloronitrobenzene was then added as the injection internal standard. The fractions containing OCPs</w:t>
      </w:r>
      <w:r>
        <w:rPr>
          <w:rFonts w:ascii="Times New Roman" w:hAnsi="Times New Roman" w:cs="Times New Roman"/>
          <w:color w:val="2E2E2E"/>
          <w:sz w:val="24"/>
          <w:szCs w:val="24"/>
        </w:rPr>
        <w:t xml:space="preserve"> </w:t>
      </w:r>
      <w:r>
        <w:rPr>
          <w:rFonts w:ascii="Times New Roman" w:hAnsi="Times New Roman" w:cs="Times New Roman"/>
          <w:sz w:val="24"/>
          <w:szCs w:val="24"/>
        </w:rPr>
        <w:t xml:space="preserve">were further concentrated to about 100 </w:t>
      </w:r>
      <w:proofErr w:type="spellStart"/>
      <w:r>
        <w:rPr>
          <w:rFonts w:ascii="Times New Roman" w:hAnsi="Times New Roman" w:cs="Times New Roman"/>
          <w:sz w:val="24"/>
          <w:szCs w:val="24"/>
        </w:rPr>
        <w:t>μL</w:t>
      </w:r>
      <w:proofErr w:type="spellEnd"/>
      <w:r>
        <w:rPr>
          <w:rFonts w:ascii="Times New Roman" w:hAnsi="Times New Roman" w:cs="Times New Roman"/>
          <w:sz w:val="24"/>
          <w:szCs w:val="24"/>
        </w:rPr>
        <w:t xml:space="preserve"> prior to quantitative analysis. Finally, a total of twenty priority OCPs, including</w:t>
      </w:r>
      <w:bookmarkStart w:id="29" w:name="OLE_LINK35"/>
      <w:bookmarkStart w:id="30" w:name="OLE_LINK36"/>
      <w:r>
        <w:rPr>
          <w:rFonts w:ascii="Times New Roman" w:hAnsi="Times New Roman" w:cs="Times New Roman"/>
          <w:sz w:val="24"/>
          <w:szCs w:val="24"/>
        </w:rPr>
        <w:t xml:space="preserve"> </w:t>
      </w:r>
      <w:proofErr w:type="spellStart"/>
      <w:r>
        <w:rPr>
          <w:rFonts w:ascii="Times New Roman" w:eastAsia="SimSun" w:hAnsi="Times New Roman" w:cs="Times New Roman"/>
          <w:kern w:val="0"/>
          <w:sz w:val="24"/>
          <w:szCs w:val="24"/>
        </w:rPr>
        <w:t>hexachlorobezene</w:t>
      </w:r>
      <w:proofErr w:type="spellEnd"/>
      <w:r>
        <w:rPr>
          <w:rFonts w:ascii="Times New Roman" w:hAnsi="Times New Roman" w:cs="Times New Roman"/>
          <w:sz w:val="24"/>
          <w:szCs w:val="24"/>
        </w:rPr>
        <w:t xml:space="preserve"> (HCB), </w:t>
      </w:r>
      <w:r>
        <w:rPr>
          <w:rFonts w:ascii="Times New Roman" w:eastAsia="SimSun" w:hAnsi="Times New Roman" w:cs="Times New Roman"/>
          <w:kern w:val="0"/>
          <w:sz w:val="24"/>
          <w:szCs w:val="24"/>
        </w:rPr>
        <w:t>α-</w:t>
      </w:r>
      <w:proofErr w:type="spellStart"/>
      <w:r>
        <w:rPr>
          <w:rFonts w:ascii="Times New Roman" w:eastAsia="SimSun" w:hAnsi="Times New Roman" w:cs="Times New Roman"/>
          <w:kern w:val="0"/>
          <w:sz w:val="24"/>
          <w:szCs w:val="24"/>
        </w:rPr>
        <w:t>hexachlorocyclohexane</w:t>
      </w:r>
      <w:proofErr w:type="spellEnd"/>
      <w:r>
        <w:rPr>
          <w:rFonts w:ascii="Times New Roman" w:hAnsi="Times New Roman" w:cs="Times New Roman"/>
          <w:sz w:val="24"/>
          <w:szCs w:val="24"/>
        </w:rPr>
        <w:t xml:space="preserve"> (</w:t>
      </w:r>
      <w:r>
        <w:rPr>
          <w:rFonts w:ascii="Times New Roman" w:eastAsia="SimSun" w:hAnsi="Times New Roman" w:cs="Times New Roman"/>
          <w:kern w:val="0"/>
          <w:sz w:val="24"/>
          <w:szCs w:val="24"/>
        </w:rPr>
        <w:t>α-HCH</w:t>
      </w:r>
      <w:r>
        <w:rPr>
          <w:rFonts w:ascii="Times New Roman" w:hAnsi="Times New Roman" w:cs="Times New Roman"/>
          <w:sz w:val="24"/>
          <w:szCs w:val="24"/>
        </w:rPr>
        <w:t xml:space="preserve">), </w:t>
      </w:r>
      <w:r>
        <w:rPr>
          <w:rFonts w:ascii="Times New Roman" w:eastAsia="SimSun" w:hAnsi="Times New Roman" w:cs="Times New Roman"/>
          <w:kern w:val="0"/>
          <w:sz w:val="24"/>
          <w:szCs w:val="24"/>
        </w:rPr>
        <w:t>β-hexachlorocyclohexane</w:t>
      </w:r>
      <w:r>
        <w:rPr>
          <w:rFonts w:ascii="Times New Roman" w:hAnsi="Times New Roman" w:cs="Times New Roman"/>
          <w:sz w:val="24"/>
          <w:szCs w:val="24"/>
        </w:rPr>
        <w:t xml:space="preserve"> (</w:t>
      </w:r>
      <w:r>
        <w:rPr>
          <w:rFonts w:ascii="Times New Roman" w:eastAsia="SimSun" w:hAnsi="Times New Roman" w:cs="Times New Roman"/>
          <w:kern w:val="0"/>
          <w:sz w:val="24"/>
          <w:szCs w:val="24"/>
        </w:rPr>
        <w:t>β-HCH</w:t>
      </w:r>
      <w:r>
        <w:rPr>
          <w:rFonts w:ascii="Times New Roman" w:hAnsi="Times New Roman" w:cs="Times New Roman"/>
          <w:sz w:val="24"/>
          <w:szCs w:val="24"/>
        </w:rPr>
        <w:t xml:space="preserve">), </w:t>
      </w:r>
      <w:r>
        <w:rPr>
          <w:rFonts w:ascii="Times New Roman" w:eastAsia="SimSun" w:hAnsi="Times New Roman" w:cs="Times New Roman"/>
          <w:kern w:val="0"/>
          <w:sz w:val="24"/>
          <w:szCs w:val="24"/>
        </w:rPr>
        <w:t>γ-hexachlorocyclohexane</w:t>
      </w:r>
      <w:r>
        <w:rPr>
          <w:rFonts w:ascii="Times New Roman" w:hAnsi="Times New Roman" w:cs="Times New Roman"/>
          <w:sz w:val="24"/>
          <w:szCs w:val="24"/>
        </w:rPr>
        <w:t xml:space="preserve"> (</w:t>
      </w:r>
      <w:r>
        <w:rPr>
          <w:rFonts w:ascii="Times New Roman" w:eastAsia="SimSun" w:hAnsi="Times New Roman" w:cs="Times New Roman"/>
          <w:kern w:val="0"/>
          <w:sz w:val="24"/>
          <w:szCs w:val="24"/>
        </w:rPr>
        <w:t>γ-HCH</w:t>
      </w:r>
      <w:r>
        <w:rPr>
          <w:rFonts w:ascii="Times New Roman" w:hAnsi="Times New Roman" w:cs="Times New Roman"/>
          <w:sz w:val="24"/>
          <w:szCs w:val="24"/>
        </w:rPr>
        <w:t xml:space="preserve">), </w:t>
      </w:r>
      <w:r>
        <w:rPr>
          <w:rFonts w:ascii="Times New Roman" w:eastAsia="SimSun" w:hAnsi="Times New Roman" w:cs="Times New Roman"/>
          <w:kern w:val="0"/>
          <w:sz w:val="24"/>
          <w:szCs w:val="24"/>
        </w:rPr>
        <w:t>δ-hexachlorocyclohexane</w:t>
      </w:r>
      <w:r>
        <w:rPr>
          <w:rFonts w:ascii="Times New Roman" w:hAnsi="Times New Roman" w:cs="Times New Roman"/>
          <w:sz w:val="24"/>
          <w:szCs w:val="24"/>
        </w:rPr>
        <w:t xml:space="preserve"> (</w:t>
      </w:r>
      <w:r>
        <w:rPr>
          <w:rFonts w:ascii="Times New Roman" w:eastAsia="SimSun" w:hAnsi="Times New Roman" w:cs="Times New Roman"/>
          <w:kern w:val="0"/>
          <w:sz w:val="24"/>
          <w:szCs w:val="24"/>
        </w:rPr>
        <w:t>δ-HCH</w:t>
      </w:r>
      <w:r>
        <w:rPr>
          <w:rFonts w:ascii="Times New Roman" w:hAnsi="Times New Roman" w:cs="Times New Roman"/>
          <w:sz w:val="24"/>
          <w:szCs w:val="24"/>
        </w:rPr>
        <w:t xml:space="preserve">), </w:t>
      </w:r>
      <w:r>
        <w:rPr>
          <w:rFonts w:ascii="Times New Roman" w:eastAsia="SimSun" w:hAnsi="Times New Roman" w:cs="Times New Roman"/>
          <w:kern w:val="0"/>
          <w:sz w:val="24"/>
          <w:szCs w:val="24"/>
        </w:rPr>
        <w:t>heptachlor</w:t>
      </w:r>
      <w:r>
        <w:rPr>
          <w:rFonts w:ascii="Times New Roman" w:hAnsi="Times New Roman" w:cs="Times New Roman"/>
          <w:sz w:val="24"/>
          <w:szCs w:val="24"/>
        </w:rPr>
        <w:t xml:space="preserve"> (HEC), </w:t>
      </w:r>
      <w:r>
        <w:rPr>
          <w:rFonts w:ascii="Times New Roman" w:eastAsia="SimSun" w:hAnsi="Times New Roman" w:cs="Times New Roman"/>
          <w:kern w:val="0"/>
          <w:sz w:val="24"/>
          <w:szCs w:val="24"/>
        </w:rPr>
        <w:t>heptachlor epoxide</w:t>
      </w:r>
      <w:r>
        <w:rPr>
          <w:rFonts w:ascii="Times New Roman" w:hAnsi="Times New Roman" w:cs="Times New Roman"/>
          <w:sz w:val="24"/>
          <w:szCs w:val="24"/>
        </w:rPr>
        <w:t xml:space="preserve"> (HCEAB), </w:t>
      </w:r>
      <w:r>
        <w:rPr>
          <w:rFonts w:ascii="Times New Roman" w:eastAsia="SimSun" w:hAnsi="Times New Roman" w:cs="Times New Roman"/>
          <w:kern w:val="0"/>
          <w:sz w:val="24"/>
          <w:szCs w:val="24"/>
        </w:rPr>
        <w:t>aldrin</w:t>
      </w:r>
      <w:r>
        <w:rPr>
          <w:rFonts w:ascii="Times New Roman" w:hAnsi="Times New Roman" w:cs="Times New Roman"/>
          <w:sz w:val="24"/>
          <w:szCs w:val="24"/>
        </w:rPr>
        <w:t xml:space="preserve"> (ALD), </w:t>
      </w:r>
      <w:proofErr w:type="spellStart"/>
      <w:r>
        <w:rPr>
          <w:rFonts w:ascii="Times New Roman" w:eastAsia="SimSun" w:hAnsi="Times New Roman" w:cs="Times New Roman"/>
          <w:kern w:val="0"/>
          <w:sz w:val="24"/>
          <w:szCs w:val="24"/>
        </w:rPr>
        <w:t>endrin</w:t>
      </w:r>
      <w:proofErr w:type="spellEnd"/>
      <w:r>
        <w:rPr>
          <w:rFonts w:ascii="Times New Roman" w:hAnsi="Times New Roman" w:cs="Times New Roman"/>
          <w:sz w:val="24"/>
          <w:szCs w:val="24"/>
        </w:rPr>
        <w:t xml:space="preserve"> (END), </w:t>
      </w:r>
      <w:proofErr w:type="spellStart"/>
      <w:r>
        <w:rPr>
          <w:rFonts w:ascii="Times New Roman" w:eastAsia="SimSun" w:hAnsi="Times New Roman" w:cs="Times New Roman"/>
          <w:kern w:val="0"/>
          <w:sz w:val="24"/>
          <w:szCs w:val="24"/>
        </w:rPr>
        <w:t>isodrin</w:t>
      </w:r>
      <w:proofErr w:type="spellEnd"/>
      <w:r>
        <w:rPr>
          <w:rFonts w:ascii="Times New Roman" w:hAnsi="Times New Roman" w:cs="Times New Roman"/>
          <w:sz w:val="24"/>
          <w:szCs w:val="24"/>
        </w:rPr>
        <w:t xml:space="preserve"> (IDR), </w:t>
      </w:r>
      <w:r>
        <w:rPr>
          <w:rFonts w:ascii="Times New Roman" w:eastAsia="SimSun" w:hAnsi="Times New Roman" w:cs="Times New Roman"/>
          <w:kern w:val="0"/>
          <w:sz w:val="24"/>
          <w:szCs w:val="24"/>
        </w:rPr>
        <w:t>α-</w:t>
      </w:r>
      <w:proofErr w:type="spellStart"/>
      <w:r>
        <w:rPr>
          <w:rFonts w:ascii="Times New Roman" w:eastAsia="SimSun" w:hAnsi="Times New Roman" w:cs="Times New Roman"/>
          <w:kern w:val="0"/>
          <w:sz w:val="24"/>
          <w:szCs w:val="24"/>
        </w:rPr>
        <w:t>endosulfan</w:t>
      </w:r>
      <w:proofErr w:type="spellEnd"/>
      <w:r>
        <w:rPr>
          <w:rFonts w:ascii="Times New Roman" w:hAnsi="Times New Roman" w:cs="Times New Roman"/>
          <w:sz w:val="24"/>
          <w:szCs w:val="24"/>
        </w:rPr>
        <w:t xml:space="preserve"> (</w:t>
      </w:r>
      <w:r>
        <w:rPr>
          <w:rFonts w:ascii="Times New Roman" w:eastAsia="SimSun" w:hAnsi="Times New Roman" w:cs="Times New Roman"/>
          <w:kern w:val="0"/>
          <w:sz w:val="24"/>
          <w:szCs w:val="24"/>
        </w:rPr>
        <w:t>ENS I</w:t>
      </w:r>
      <w:r>
        <w:rPr>
          <w:rFonts w:ascii="Times New Roman" w:hAnsi="Times New Roman" w:cs="Times New Roman"/>
          <w:sz w:val="24"/>
          <w:szCs w:val="24"/>
        </w:rPr>
        <w:t xml:space="preserve">), </w:t>
      </w:r>
      <w:r>
        <w:rPr>
          <w:rFonts w:ascii="Times New Roman" w:eastAsia="SimSun" w:hAnsi="Times New Roman" w:cs="Times New Roman"/>
          <w:kern w:val="0"/>
          <w:sz w:val="24"/>
          <w:szCs w:val="24"/>
        </w:rPr>
        <w:t>β-</w:t>
      </w:r>
      <w:proofErr w:type="spellStart"/>
      <w:r>
        <w:rPr>
          <w:rFonts w:ascii="Times New Roman" w:eastAsia="SimSun" w:hAnsi="Times New Roman" w:cs="Times New Roman"/>
          <w:kern w:val="0"/>
          <w:sz w:val="24"/>
          <w:szCs w:val="24"/>
        </w:rPr>
        <w:t>endosulfan</w:t>
      </w:r>
      <w:proofErr w:type="spellEnd"/>
      <w:r>
        <w:rPr>
          <w:rFonts w:ascii="Times New Roman" w:hAnsi="Times New Roman" w:cs="Times New Roman"/>
          <w:sz w:val="24"/>
          <w:szCs w:val="24"/>
        </w:rPr>
        <w:t xml:space="preserve"> (</w:t>
      </w:r>
      <w:r>
        <w:rPr>
          <w:rFonts w:ascii="Times New Roman" w:eastAsia="SimSun" w:hAnsi="Times New Roman" w:cs="Times New Roman"/>
          <w:kern w:val="0"/>
          <w:sz w:val="24"/>
          <w:szCs w:val="24"/>
        </w:rPr>
        <w:t>ENS II</w:t>
      </w:r>
      <w:r>
        <w:rPr>
          <w:rFonts w:ascii="Times New Roman" w:hAnsi="Times New Roman" w:cs="Times New Roman"/>
          <w:sz w:val="24"/>
          <w:szCs w:val="24"/>
        </w:rPr>
        <w:t xml:space="preserve">), </w:t>
      </w:r>
      <w:proofErr w:type="spellStart"/>
      <w:r>
        <w:rPr>
          <w:rFonts w:ascii="Times New Roman" w:eastAsia="SimSun" w:hAnsi="Times New Roman" w:cs="Times New Roman"/>
          <w:kern w:val="0"/>
          <w:sz w:val="24"/>
          <w:szCs w:val="24"/>
        </w:rPr>
        <w:t>o,p</w:t>
      </w:r>
      <w:proofErr w:type="spellEnd"/>
      <w:r>
        <w:rPr>
          <w:rFonts w:ascii="Times New Roman" w:eastAsia="SimSun" w:hAnsi="Times New Roman" w:cs="Times New Roman"/>
          <w:kern w:val="0"/>
          <w:sz w:val="24"/>
          <w:szCs w:val="24"/>
        </w:rPr>
        <w:t>’-DDE</w:t>
      </w:r>
      <w:r>
        <w:rPr>
          <w:rFonts w:ascii="Times New Roman" w:hAnsi="Times New Roman" w:cs="Times New Roman"/>
          <w:sz w:val="24"/>
          <w:szCs w:val="24"/>
        </w:rPr>
        <w:t xml:space="preserve"> (</w:t>
      </w:r>
      <w:r>
        <w:rPr>
          <w:rFonts w:ascii="Times New Roman" w:eastAsia="SimSun" w:hAnsi="Times New Roman" w:cs="Times New Roman"/>
          <w:kern w:val="0"/>
          <w:sz w:val="24"/>
          <w:szCs w:val="24"/>
        </w:rPr>
        <w:t>op-DDE</w:t>
      </w:r>
      <w:r>
        <w:rPr>
          <w:rFonts w:ascii="Times New Roman" w:hAnsi="Times New Roman" w:cs="Times New Roman"/>
          <w:sz w:val="24"/>
          <w:szCs w:val="24"/>
        </w:rPr>
        <w:t xml:space="preserve">), </w:t>
      </w:r>
      <w:proofErr w:type="spellStart"/>
      <w:r>
        <w:rPr>
          <w:rFonts w:ascii="Times New Roman" w:eastAsia="SimSun" w:hAnsi="Times New Roman" w:cs="Times New Roman"/>
          <w:kern w:val="0"/>
          <w:sz w:val="24"/>
          <w:szCs w:val="24"/>
        </w:rPr>
        <w:t>o,p</w:t>
      </w:r>
      <w:proofErr w:type="spellEnd"/>
      <w:r>
        <w:rPr>
          <w:rFonts w:ascii="Times New Roman" w:eastAsia="SimSun" w:hAnsi="Times New Roman" w:cs="Times New Roman"/>
          <w:kern w:val="0"/>
          <w:sz w:val="24"/>
          <w:szCs w:val="24"/>
        </w:rPr>
        <w:t>’-DDT</w:t>
      </w:r>
      <w:r>
        <w:rPr>
          <w:rFonts w:ascii="Times New Roman" w:hAnsi="Times New Roman" w:cs="Times New Roman"/>
          <w:sz w:val="24"/>
          <w:szCs w:val="24"/>
        </w:rPr>
        <w:t xml:space="preserve"> (</w:t>
      </w:r>
      <w:r>
        <w:rPr>
          <w:rFonts w:ascii="Times New Roman" w:eastAsia="SimSun" w:hAnsi="Times New Roman" w:cs="Times New Roman"/>
          <w:kern w:val="0"/>
          <w:sz w:val="24"/>
          <w:szCs w:val="24"/>
        </w:rPr>
        <w:t>op-DDT</w:t>
      </w:r>
      <w:r>
        <w:rPr>
          <w:rFonts w:ascii="Times New Roman" w:hAnsi="Times New Roman" w:cs="Times New Roman"/>
          <w:sz w:val="24"/>
          <w:szCs w:val="24"/>
        </w:rPr>
        <w:t xml:space="preserve">), </w:t>
      </w:r>
      <w:proofErr w:type="spellStart"/>
      <w:r>
        <w:rPr>
          <w:rFonts w:ascii="Times New Roman" w:eastAsia="SimSun" w:hAnsi="Times New Roman" w:cs="Times New Roman"/>
          <w:kern w:val="0"/>
          <w:sz w:val="24"/>
          <w:szCs w:val="24"/>
        </w:rPr>
        <w:t>o,p</w:t>
      </w:r>
      <w:proofErr w:type="spellEnd"/>
      <w:r>
        <w:rPr>
          <w:rFonts w:ascii="Times New Roman" w:eastAsia="SimSun" w:hAnsi="Times New Roman" w:cs="Times New Roman"/>
          <w:kern w:val="0"/>
          <w:sz w:val="24"/>
          <w:szCs w:val="24"/>
        </w:rPr>
        <w:t>’-DDD</w:t>
      </w:r>
      <w:r>
        <w:rPr>
          <w:rFonts w:ascii="Times New Roman" w:hAnsi="Times New Roman" w:cs="Times New Roman"/>
          <w:sz w:val="24"/>
          <w:szCs w:val="24"/>
        </w:rPr>
        <w:t xml:space="preserve"> (</w:t>
      </w:r>
      <w:r>
        <w:rPr>
          <w:rFonts w:ascii="Times New Roman" w:eastAsia="SimSun" w:hAnsi="Times New Roman" w:cs="Times New Roman"/>
          <w:kern w:val="0"/>
          <w:sz w:val="24"/>
          <w:szCs w:val="24"/>
        </w:rPr>
        <w:t>op-DDD</w:t>
      </w:r>
      <w:r>
        <w:rPr>
          <w:rFonts w:ascii="Times New Roman" w:hAnsi="Times New Roman" w:cs="Times New Roman"/>
          <w:sz w:val="24"/>
          <w:szCs w:val="24"/>
        </w:rPr>
        <w:t xml:space="preserve">), </w:t>
      </w:r>
      <w:proofErr w:type="spellStart"/>
      <w:r>
        <w:rPr>
          <w:rFonts w:ascii="Times New Roman" w:eastAsia="SimSun" w:hAnsi="Times New Roman" w:cs="Times New Roman"/>
          <w:kern w:val="0"/>
          <w:sz w:val="24"/>
          <w:szCs w:val="24"/>
        </w:rPr>
        <w:t>p,p</w:t>
      </w:r>
      <w:proofErr w:type="spellEnd"/>
      <w:r>
        <w:rPr>
          <w:rFonts w:ascii="Times New Roman" w:eastAsia="SimSun" w:hAnsi="Times New Roman" w:cs="Times New Roman"/>
          <w:kern w:val="0"/>
          <w:sz w:val="24"/>
          <w:szCs w:val="24"/>
        </w:rPr>
        <w:t>’-DDE</w:t>
      </w:r>
      <w:r>
        <w:rPr>
          <w:rFonts w:ascii="Times New Roman" w:hAnsi="Times New Roman" w:cs="Times New Roman"/>
          <w:sz w:val="24"/>
          <w:szCs w:val="24"/>
        </w:rPr>
        <w:t xml:space="preserve"> (</w:t>
      </w:r>
      <w:r>
        <w:rPr>
          <w:rFonts w:ascii="Times New Roman" w:eastAsia="SimSun" w:hAnsi="Times New Roman" w:cs="Times New Roman"/>
          <w:kern w:val="0"/>
          <w:sz w:val="24"/>
          <w:szCs w:val="24"/>
        </w:rPr>
        <w:t>pp-DDE</w:t>
      </w:r>
      <w:r>
        <w:rPr>
          <w:rFonts w:ascii="Times New Roman" w:hAnsi="Times New Roman" w:cs="Times New Roman"/>
          <w:sz w:val="24"/>
          <w:szCs w:val="24"/>
        </w:rPr>
        <w:t xml:space="preserve">), </w:t>
      </w:r>
      <w:proofErr w:type="spellStart"/>
      <w:r>
        <w:rPr>
          <w:rFonts w:ascii="Times New Roman" w:eastAsia="SimSun" w:hAnsi="Times New Roman" w:cs="Times New Roman"/>
          <w:kern w:val="0"/>
          <w:sz w:val="24"/>
          <w:szCs w:val="24"/>
        </w:rPr>
        <w:t>p,p</w:t>
      </w:r>
      <w:proofErr w:type="spellEnd"/>
      <w:r>
        <w:rPr>
          <w:rFonts w:ascii="Times New Roman" w:eastAsia="SimSun" w:hAnsi="Times New Roman" w:cs="Times New Roman"/>
          <w:kern w:val="0"/>
          <w:sz w:val="24"/>
          <w:szCs w:val="24"/>
        </w:rPr>
        <w:t>’-DDT</w:t>
      </w:r>
      <w:r>
        <w:rPr>
          <w:rFonts w:ascii="Times New Roman" w:hAnsi="Times New Roman" w:cs="Times New Roman"/>
          <w:sz w:val="24"/>
          <w:szCs w:val="24"/>
        </w:rPr>
        <w:t xml:space="preserve"> (</w:t>
      </w:r>
      <w:r>
        <w:rPr>
          <w:rFonts w:ascii="Times New Roman" w:eastAsia="SimSun" w:hAnsi="Times New Roman" w:cs="Times New Roman"/>
          <w:kern w:val="0"/>
          <w:sz w:val="24"/>
          <w:szCs w:val="24"/>
        </w:rPr>
        <w:t>pp-DDT</w:t>
      </w:r>
      <w:r>
        <w:rPr>
          <w:rFonts w:ascii="Times New Roman" w:hAnsi="Times New Roman" w:cs="Times New Roman"/>
          <w:sz w:val="24"/>
          <w:szCs w:val="24"/>
        </w:rPr>
        <w:t xml:space="preserve">), </w:t>
      </w:r>
      <w:proofErr w:type="spellStart"/>
      <w:r>
        <w:rPr>
          <w:rFonts w:ascii="Times New Roman" w:eastAsia="SimSun" w:hAnsi="Times New Roman" w:cs="Times New Roman"/>
          <w:kern w:val="0"/>
          <w:sz w:val="24"/>
          <w:szCs w:val="24"/>
        </w:rPr>
        <w:t>p,p</w:t>
      </w:r>
      <w:proofErr w:type="spellEnd"/>
      <w:r>
        <w:rPr>
          <w:rFonts w:ascii="Times New Roman" w:eastAsia="SimSun" w:hAnsi="Times New Roman" w:cs="Times New Roman"/>
          <w:kern w:val="0"/>
          <w:sz w:val="24"/>
          <w:szCs w:val="24"/>
        </w:rPr>
        <w:t>’-DDD</w:t>
      </w:r>
      <w:r>
        <w:rPr>
          <w:rFonts w:ascii="Times New Roman" w:hAnsi="Times New Roman" w:cs="Times New Roman"/>
          <w:sz w:val="24"/>
          <w:szCs w:val="24"/>
        </w:rPr>
        <w:t xml:space="preserve"> (</w:t>
      </w:r>
      <w:r>
        <w:rPr>
          <w:rFonts w:ascii="Times New Roman" w:eastAsia="SimSun" w:hAnsi="Times New Roman" w:cs="Times New Roman"/>
          <w:kern w:val="0"/>
          <w:sz w:val="24"/>
          <w:szCs w:val="24"/>
        </w:rPr>
        <w:t>pp-DDD</w:t>
      </w:r>
      <w:r>
        <w:rPr>
          <w:rFonts w:ascii="Times New Roman" w:hAnsi="Times New Roman" w:cs="Times New Roman"/>
          <w:sz w:val="24"/>
          <w:szCs w:val="24"/>
        </w:rPr>
        <w:t>),</w:t>
      </w:r>
      <w:r>
        <w:rPr>
          <w:rFonts w:ascii="Times New Roman" w:eastAsia="SimSun" w:hAnsi="Times New Roman" w:cs="Times New Roman"/>
          <w:kern w:val="0"/>
          <w:sz w:val="24"/>
          <w:szCs w:val="24"/>
        </w:rPr>
        <w:t xml:space="preserve"> </w:t>
      </w:r>
      <w:proofErr w:type="spellStart"/>
      <w:r>
        <w:rPr>
          <w:rFonts w:ascii="Times New Roman" w:eastAsia="SimSun" w:hAnsi="Times New Roman" w:cs="Times New Roman"/>
          <w:kern w:val="0"/>
          <w:sz w:val="24"/>
          <w:szCs w:val="24"/>
        </w:rPr>
        <w:t>mirex</w:t>
      </w:r>
      <w:proofErr w:type="spellEnd"/>
      <w:r>
        <w:rPr>
          <w:rFonts w:ascii="Times New Roman" w:eastAsia="SimSun" w:hAnsi="Times New Roman" w:cs="Times New Roman"/>
          <w:kern w:val="0"/>
          <w:sz w:val="24"/>
          <w:szCs w:val="24"/>
        </w:rPr>
        <w:t xml:space="preserve"> (MRI)</w:t>
      </w:r>
      <w:r>
        <w:rPr>
          <w:rFonts w:ascii="Times New Roman" w:hAnsi="Times New Roman" w:cs="Times New Roman"/>
          <w:sz w:val="24"/>
          <w:szCs w:val="24"/>
        </w:rPr>
        <w:t xml:space="preserve">, and </w:t>
      </w:r>
      <w:proofErr w:type="spellStart"/>
      <w:r>
        <w:rPr>
          <w:rFonts w:ascii="Times New Roman" w:eastAsia="SimSun" w:hAnsi="Times New Roman" w:cs="Times New Roman"/>
          <w:kern w:val="0"/>
          <w:sz w:val="24"/>
          <w:szCs w:val="24"/>
        </w:rPr>
        <w:t>dieidrin</w:t>
      </w:r>
      <w:proofErr w:type="spellEnd"/>
      <w:r>
        <w:rPr>
          <w:rFonts w:ascii="Times New Roman" w:eastAsia="Times New Roman" w:hAnsi="Times New Roman" w:cs="Times New Roman"/>
          <w:kern w:val="0"/>
          <w:sz w:val="24"/>
          <w:szCs w:val="24"/>
        </w:rPr>
        <w:t xml:space="preserve"> (DIE</w:t>
      </w:r>
      <w:r>
        <w:rPr>
          <w:rFonts w:ascii="Times New Roman" w:hAnsi="Times New Roman" w:cs="Times New Roman"/>
          <w:sz w:val="24"/>
          <w:szCs w:val="24"/>
        </w:rPr>
        <w:t>)</w:t>
      </w:r>
      <w:bookmarkEnd w:id="29"/>
      <w:bookmarkEnd w:id="30"/>
      <w:r>
        <w:rPr>
          <w:rFonts w:ascii="Times New Roman" w:hAnsi="Times New Roman" w:cs="Times New Roman"/>
          <w:sz w:val="24"/>
          <w:szCs w:val="24"/>
        </w:rPr>
        <w:t>, were determined with a gas chromatography coupled to GC-MS.</w:t>
      </w:r>
    </w:p>
    <w:p>
      <w:pPr>
        <w:pStyle w:val="Heading2"/>
        <w:rPr>
          <w:rFonts w:cs="Times New Roman"/>
          <w:szCs w:val="24"/>
        </w:rPr>
      </w:pPr>
      <w:r>
        <w:rPr>
          <w:rFonts w:cs="Times New Roman"/>
          <w:szCs w:val="24"/>
        </w:rPr>
        <w:lastRenderedPageBreak/>
        <w:t>2.3 Quality control</w:t>
      </w:r>
    </w:p>
    <w:p>
      <w:pPr>
        <w:widowControl/>
        <w:autoSpaceDE w:val="0"/>
        <w:autoSpaceDN w:val="0"/>
        <w:adjustRightInd w:val="0"/>
        <w:spacing w:line="480" w:lineRule="auto"/>
        <w:rPr>
          <w:rFonts w:ascii="Times New Roman" w:eastAsia="CharisSIL" w:hAnsi="Times New Roman" w:cs="Times New Roman"/>
          <w:kern w:val="0"/>
          <w:sz w:val="24"/>
          <w:szCs w:val="24"/>
        </w:rPr>
      </w:pPr>
      <w:r>
        <w:rPr>
          <w:rFonts w:ascii="Times New Roman" w:hAnsi="Times New Roman" w:cs="Times New Roman"/>
          <w:sz w:val="24"/>
          <w:szCs w:val="24"/>
        </w:rPr>
        <w:t xml:space="preserve">Two analytical procedure blank samples were prepared with each batch of the fourteen umbilical cord samples. The operators were blinded to case/control status, and similar number of cases and controls were randomly ordered in each batch and GC-MS measurements. This system was calibrated using </w:t>
      </w:r>
      <w:r>
        <w:rPr>
          <w:rFonts w:ascii="Times New Roman" w:hAnsi="Times New Roman" w:cs="Times New Roman"/>
          <w:sz w:val="24"/>
          <w:szCs w:val="24"/>
          <w:shd w:val="clear" w:color="auto" w:fill="FFFFFF"/>
        </w:rPr>
        <w:t>pentachloronitrobenzene</w:t>
      </w:r>
      <w:r>
        <w:rPr>
          <w:rFonts w:ascii="Times New Roman" w:hAnsi="Times New Roman" w:cs="Times New Roman"/>
          <w:sz w:val="24"/>
          <w:szCs w:val="24"/>
        </w:rPr>
        <w:t xml:space="preserve"> (Dr. </w:t>
      </w:r>
      <w:proofErr w:type="spellStart"/>
      <w:r>
        <w:rPr>
          <w:rFonts w:ascii="Times New Roman" w:hAnsi="Times New Roman" w:cs="Times New Roman"/>
          <w:sz w:val="24"/>
          <w:szCs w:val="24"/>
        </w:rPr>
        <w:t>Ehrenstorfer</w:t>
      </w:r>
      <w:proofErr w:type="spellEnd"/>
      <w:r>
        <w:rPr>
          <w:rFonts w:ascii="Times New Roman" w:hAnsi="Times New Roman" w:cs="Times New Roman"/>
          <w:sz w:val="24"/>
          <w:szCs w:val="24"/>
        </w:rPr>
        <w:t>, Germany) as the internal reference</w:t>
      </w:r>
      <w:r>
        <w:rPr>
          <w:rFonts w:ascii="Times New Roman" w:hAnsi="Times New Roman" w:cs="Times New Roman" w:hint="eastAsia"/>
          <w:sz w:val="24"/>
          <w:szCs w:val="24"/>
        </w:rPr>
        <w:t>.</w:t>
      </w:r>
    </w:p>
    <w:p>
      <w:pPr>
        <w:pStyle w:val="Heading2"/>
        <w:rPr>
          <w:rFonts w:cs="Times New Roman"/>
          <w:szCs w:val="24"/>
        </w:rPr>
      </w:pPr>
      <w:r>
        <w:rPr>
          <w:rFonts w:cs="Times New Roman"/>
          <w:szCs w:val="24"/>
        </w:rPr>
        <w:t>2.4 Statistical analysis</w:t>
      </w:r>
    </w:p>
    <w:p>
      <w:pPr>
        <w:widowControl/>
        <w:autoSpaceDE w:val="0"/>
        <w:autoSpaceDN w:val="0"/>
        <w:adjustRightInd w:val="0"/>
        <w:spacing w:line="480" w:lineRule="auto"/>
        <w:rPr>
          <w:rFonts w:ascii="Times New Roman" w:hAnsi="Times New Roman" w:cs="Times New Roman"/>
          <w:kern w:val="0"/>
          <w:sz w:val="24"/>
          <w:szCs w:val="24"/>
        </w:rPr>
      </w:pPr>
      <w:r>
        <w:rPr>
          <w:rFonts w:ascii="Times New Roman" w:eastAsia="AdvGulliv-R" w:hAnsi="Times New Roman" w:cs="Times New Roman"/>
          <w:kern w:val="0"/>
          <w:sz w:val="24"/>
          <w:szCs w:val="24"/>
        </w:rPr>
        <w:t>Subject characteristics in</w:t>
      </w:r>
      <w:r>
        <w:rPr>
          <w:rFonts w:ascii="Times New Roman" w:hAnsi="Times New Roman" w:cs="Times New Roman"/>
          <w:kern w:val="0"/>
          <w:sz w:val="24"/>
          <w:szCs w:val="24"/>
        </w:rPr>
        <w:t xml:space="preserve"> </w:t>
      </w:r>
      <w:r>
        <w:rPr>
          <w:rFonts w:ascii="Times New Roman" w:eastAsia="AdvGulliv-R" w:hAnsi="Times New Roman" w:cs="Times New Roman"/>
          <w:kern w:val="0"/>
          <w:sz w:val="24"/>
          <w:szCs w:val="24"/>
        </w:rPr>
        <w:t>case and control groups</w:t>
      </w:r>
      <w:r>
        <w:rPr>
          <w:rFonts w:ascii="Times New Roman" w:hAnsi="Times New Roman" w:cs="Times New Roman"/>
          <w:kern w:val="0"/>
          <w:sz w:val="24"/>
          <w:szCs w:val="24"/>
        </w:rPr>
        <w:t xml:space="preserve"> were compared by </w:t>
      </w:r>
      <w:r>
        <w:rPr>
          <w:rFonts w:ascii="Times New Roman" w:eastAsia="AdvGulliv-R" w:hAnsi="Times New Roman" w:cs="Times New Roman"/>
          <w:kern w:val="0"/>
          <w:sz w:val="24"/>
          <w:szCs w:val="24"/>
        </w:rPr>
        <w:t xml:space="preserve">Chi-squared test </w:t>
      </w:r>
      <w:r>
        <w:rPr>
          <w:rFonts w:ascii="Times New Roman" w:hAnsi="Times New Roman" w:cs="Times New Roman"/>
          <w:sz w:val="24"/>
          <w:szCs w:val="24"/>
        </w:rPr>
        <w:t xml:space="preserve">or Fisher’s exact test </w:t>
      </w:r>
      <w:r>
        <w:rPr>
          <w:rStyle w:val="st1"/>
          <w:rFonts w:ascii="Times New Roman" w:eastAsiaTheme="majorEastAsia" w:hAnsi="Times New Roman" w:cs="Times New Roman"/>
          <w:sz w:val="24"/>
          <w:szCs w:val="24"/>
        </w:rPr>
        <w:t xml:space="preserve">for categorical variables, and </w:t>
      </w:r>
      <w:r>
        <w:rPr>
          <w:rFonts w:ascii="Times New Roman" w:eastAsia="Arial" w:hAnsi="Times New Roman" w:cs="Times New Roman"/>
          <w:sz w:val="24"/>
          <w:szCs w:val="24"/>
        </w:rPr>
        <w:t>t-test for</w:t>
      </w:r>
      <w:r>
        <w:rPr>
          <w:rStyle w:val="st1"/>
          <w:rFonts w:ascii="Times New Roman" w:eastAsiaTheme="majorEastAsia" w:hAnsi="Times New Roman" w:cs="Times New Roman"/>
          <w:sz w:val="24"/>
          <w:szCs w:val="24"/>
        </w:rPr>
        <w:t xml:space="preserve"> continuous variables</w:t>
      </w:r>
      <w:r>
        <w:rPr>
          <w:rFonts w:ascii="Times New Roman" w:hAnsi="Times New Roman" w:cs="Times New Roman"/>
          <w:kern w:val="0"/>
          <w:sz w:val="24"/>
          <w:szCs w:val="24"/>
        </w:rPr>
        <w:t xml:space="preserve">. </w:t>
      </w:r>
      <w:r>
        <w:rPr>
          <w:rFonts w:ascii="Times New Roman" w:hAnsi="Times New Roman" w:cs="Times New Roman"/>
          <w:sz w:val="24"/>
          <w:szCs w:val="24"/>
        </w:rPr>
        <w:t xml:space="preserve">The concentrations of OCPs were described using the median with interquartile range because of the skewed distribution, </w:t>
      </w:r>
      <w:r>
        <w:rPr>
          <w:rFonts w:ascii="Times New Roman" w:eastAsia="CharisSIL" w:hAnsi="Times New Roman" w:cs="Times New Roman"/>
          <w:kern w:val="0"/>
          <w:sz w:val="24"/>
          <w:szCs w:val="24"/>
        </w:rPr>
        <w:t xml:space="preserve">and the difference between cases and controls were evaluated by the </w:t>
      </w:r>
      <w:r>
        <w:rPr>
          <w:rStyle w:val="st1"/>
          <w:rFonts w:ascii="Times New Roman" w:hAnsi="Times New Roman"/>
          <w:sz w:val="24"/>
          <w:szCs w:val="24"/>
        </w:rPr>
        <w:t>Wilcoxon rank sum test</w:t>
      </w:r>
      <w:r>
        <w:rPr>
          <w:rFonts w:ascii="Times New Roman" w:hAnsi="Times New Roman" w:cs="Times New Roman"/>
          <w:sz w:val="24"/>
          <w:szCs w:val="24"/>
        </w:rPr>
        <w:t>. OCP concentrations</w:t>
      </w:r>
      <w:r>
        <w:rPr>
          <w:rFonts w:ascii="Times New Roman" w:hAnsi="Times New Roman" w:cs="Times New Roman"/>
          <w:kern w:val="0"/>
          <w:sz w:val="24"/>
          <w:szCs w:val="24"/>
        </w:rPr>
        <w:t xml:space="preserve"> were categorized in </w:t>
      </w:r>
      <w:r>
        <w:rPr>
          <w:rFonts w:ascii="Times New Roman" w:hAnsi="Times New Roman" w:cs="Times New Roman"/>
          <w:bCs/>
          <w:sz w:val="24"/>
          <w:szCs w:val="24"/>
          <w:shd w:val="clear" w:color="auto" w:fill="FFFFFF"/>
        </w:rPr>
        <w:t>dichotomy</w:t>
      </w:r>
      <w:r>
        <w:rPr>
          <w:rStyle w:val="apple-converted-space"/>
          <w:rFonts w:ascii="Times New Roman" w:hAnsi="Times New Roman" w:cs="Times New Roman"/>
          <w:sz w:val="24"/>
          <w:szCs w:val="24"/>
          <w:shd w:val="clear" w:color="auto" w:fill="FFFFFF"/>
        </w:rPr>
        <w:t> </w:t>
      </w:r>
      <w:r>
        <w:rPr>
          <w:rFonts w:ascii="Times New Roman" w:hAnsi="Times New Roman" w:cs="Times New Roman"/>
          <w:kern w:val="0"/>
          <w:sz w:val="24"/>
          <w:szCs w:val="24"/>
        </w:rPr>
        <w:t xml:space="preserve">based on the </w:t>
      </w:r>
      <w:r>
        <w:rPr>
          <w:rFonts w:ascii="Times New Roman" w:hAnsi="Times New Roman" w:cs="Times New Roman" w:hint="eastAsia"/>
          <w:kern w:val="0"/>
          <w:sz w:val="24"/>
          <w:szCs w:val="24"/>
        </w:rPr>
        <w:t>median</w:t>
      </w:r>
      <w:r>
        <w:rPr>
          <w:rFonts w:ascii="Times New Roman" w:hAnsi="Times New Roman" w:cs="Times New Roman"/>
          <w:kern w:val="0"/>
          <w:sz w:val="24"/>
          <w:szCs w:val="24"/>
        </w:rPr>
        <w:t xml:space="preserve"> values among all subjects. </w:t>
      </w:r>
      <w:r>
        <w:rPr>
          <w:rFonts w:ascii="Times New Roman" w:eastAsia="AdvP7C2E" w:hAnsi="Times New Roman" w:cs="Times New Roman"/>
          <w:kern w:val="0"/>
          <w:sz w:val="24"/>
          <w:szCs w:val="24"/>
        </w:rPr>
        <w:t>Multivariate logistic regression models</w:t>
      </w:r>
      <w:r>
        <w:rPr>
          <w:rFonts w:ascii="Times New Roman" w:hAnsi="Times New Roman" w:cs="Times New Roman"/>
          <w:kern w:val="0"/>
          <w:sz w:val="24"/>
          <w:szCs w:val="24"/>
        </w:rPr>
        <w:t xml:space="preserve"> were used to estimate </w:t>
      </w:r>
      <w:r>
        <w:rPr>
          <w:rFonts w:ascii="Times New Roman" w:hAnsi="Times New Roman" w:cs="Times New Roman"/>
          <w:sz w:val="24"/>
          <w:szCs w:val="24"/>
        </w:rPr>
        <w:t xml:space="preserve">the associations between each of OCPs and risk for OFCs. </w:t>
      </w:r>
      <w:r>
        <w:rPr>
          <w:rFonts w:ascii="Times New Roman" w:hAnsi="Times New Roman" w:cs="Times New Roman"/>
          <w:color w:val="000000" w:themeColor="text1"/>
          <w:sz w:val="24"/>
          <w:szCs w:val="24"/>
        </w:rPr>
        <w:t>Maternal age and BMI are the most important basic characteristics of subjects,</w:t>
      </w:r>
      <w:r>
        <w:rPr>
          <w:color w:val="000000" w:themeColor="text1"/>
        </w:rPr>
        <w:t xml:space="preserve"> </w:t>
      </w:r>
      <w:r>
        <w:rPr>
          <w:rFonts w:ascii="Times New Roman" w:hAnsi="Times New Roman" w:cs="Times New Roman"/>
          <w:color w:val="000000" w:themeColor="text1"/>
          <w:sz w:val="24"/>
          <w:szCs w:val="24"/>
        </w:rPr>
        <w:t>and we empirically adjusted them in the model</w:t>
      </w:r>
      <w:r>
        <w:rPr>
          <w:rFonts w:ascii="Times New Roman" w:hAnsi="Times New Roman" w:cs="Times New Roman"/>
          <w:iCs/>
          <w:color w:val="000000" w:themeColor="text1"/>
          <w:sz w:val="24"/>
          <w:szCs w:val="24"/>
        </w:rPr>
        <w:t xml:space="preserve">. </w:t>
      </w:r>
      <w:r>
        <w:rPr>
          <w:rFonts w:ascii="Times New Roman" w:hAnsi="Times New Roman" w:cs="Times New Roman"/>
          <w:color w:val="000000" w:themeColor="text1"/>
          <w:sz w:val="24"/>
          <w:szCs w:val="24"/>
        </w:rPr>
        <w:t>Gestational age and maternal smoking showed significant statistical differences between the case and control groups, therefore we also adjusted them in the model.</w:t>
      </w:r>
      <w:r>
        <w:rPr>
          <w:rFonts w:ascii="Times New Roman" w:hAnsi="Times New Roman" w:cs="Times New Roman"/>
          <w:color w:val="00B0F0"/>
          <w:sz w:val="24"/>
          <w:szCs w:val="24"/>
        </w:rPr>
        <w:t xml:space="preserve"> </w:t>
      </w:r>
      <w:r>
        <w:rPr>
          <w:rFonts w:ascii="Times New Roman" w:hAnsi="Times New Roman" w:cs="Times New Roman"/>
          <w:sz w:val="24"/>
          <w:szCs w:val="24"/>
        </w:rPr>
        <w:t xml:space="preserve">Odds ratio (OR) and 95% confidence interval (CI) were used to assess the risk. Although the etiology of the two subtypes of orofacial clefts (cleft lip with or without cleft palate and cleft palate) is different, the sample size of the cleft palate (5) was so small that we did not perform a subgroup </w:t>
      </w:r>
      <w:r>
        <w:rPr>
          <w:rFonts w:ascii="Times New Roman" w:hAnsi="Times New Roman" w:cs="Times New Roman"/>
          <w:sz w:val="24"/>
          <w:szCs w:val="24"/>
        </w:rPr>
        <w:lastRenderedPageBreak/>
        <w:t xml:space="preserve">analysis of cleft palate. </w:t>
      </w:r>
      <w:r>
        <w:rPr>
          <w:rFonts w:ascii="Times New Roman" w:eastAsia="AdvP7C2E" w:hAnsi="Times New Roman" w:cs="Times New Roman"/>
          <w:kern w:val="0"/>
          <w:sz w:val="24"/>
          <w:szCs w:val="24"/>
        </w:rPr>
        <w:t>Furthermore,</w:t>
      </w:r>
      <w:r>
        <w:rPr>
          <w:rFonts w:ascii="Times New Roman" w:hAnsi="Times New Roman" w:cs="Times New Roman"/>
          <w:kern w:val="0"/>
          <w:sz w:val="24"/>
          <w:szCs w:val="24"/>
        </w:rPr>
        <w:t xml:space="preserve"> as a sensitivity analysis, we restricted association analyses to isolated OFCs.</w:t>
      </w:r>
    </w:p>
    <w:p>
      <w:pPr>
        <w:widowControl/>
        <w:autoSpaceDE w:val="0"/>
        <w:autoSpaceDN w:val="0"/>
        <w:adjustRightInd w:val="0"/>
        <w:spacing w:line="480" w:lineRule="auto"/>
        <w:rPr>
          <w:rFonts w:ascii="CharisSIL" w:eastAsia="CharisSIL" w:cs="CharisSIL"/>
          <w:kern w:val="0"/>
          <w:sz w:val="16"/>
          <w:szCs w:val="16"/>
        </w:rPr>
      </w:pPr>
      <w:r>
        <w:rPr>
          <w:rFonts w:ascii="Times New Roman" w:hAnsi="Times New Roman" w:cs="Times New Roman"/>
          <w:sz w:val="24"/>
          <w:szCs w:val="24"/>
        </w:rPr>
        <w:t>To allow for potential synergistic and nonlinear effects among mixture components, in addition to the single-pollutant exposure model, we further applied Bayesian kernel machin</w:t>
      </w:r>
      <w:r>
        <w:rPr>
          <w:rFonts w:ascii="Times New Roman" w:hAnsi="Times New Roman" w:cs="Times New Roman"/>
          <w:kern w:val="0"/>
          <w:sz w:val="24"/>
          <w:szCs w:val="24"/>
        </w:rPr>
        <w:t>e regression (BKMR)</w:t>
      </w:r>
      <w:r>
        <w:rPr>
          <w:rFonts w:ascii="Times New Roman" w:eastAsia="CharisSIL" w:hAnsi="Times New Roman" w:cs="Times New Roman"/>
          <w:kern w:val="0"/>
          <w:sz w:val="24"/>
          <w:szCs w:val="24"/>
        </w:rPr>
        <w:t xml:space="preserve">, which </w:t>
      </w:r>
      <w:r>
        <w:rPr>
          <w:rFonts w:ascii="Times New Roman" w:hAnsi="Times New Roman" w:cs="Times New Roman"/>
          <w:sz w:val="24"/>
          <w:szCs w:val="24"/>
        </w:rPr>
        <w:t>combines Bayesian and machine learning methods to regress an exposure-response function iteratively through the Gaussian kernel function.</w:t>
      </w:r>
      <w:r>
        <w:rPr>
          <w:rFonts w:ascii="Times New Roman" w:eastAsia="CharisSIL" w:hAnsi="Times New Roman" w:cs="Times New Roman"/>
          <w:kern w:val="0"/>
          <w:sz w:val="24"/>
          <w:szCs w:val="24"/>
        </w:rPr>
        <w:t xml:space="preserve"> BKMR </w:t>
      </w:r>
      <w:r>
        <w:rPr>
          <w:rFonts w:ascii="Times New Roman" w:hAnsi="Times New Roman" w:cs="Times New Roman"/>
          <w:sz w:val="24"/>
          <w:szCs w:val="24"/>
        </w:rPr>
        <w:t xml:space="preserve">utilizes a non-parametric approach to </w:t>
      </w:r>
      <w:r>
        <w:rPr>
          <w:rFonts w:ascii="Times New Roman" w:hAnsi="Times New Roman" w:cs="Times New Roman"/>
          <w:kern w:val="0"/>
          <w:sz w:val="24"/>
          <w:szCs w:val="24"/>
        </w:rPr>
        <w:t xml:space="preserve">flexibly model the </w:t>
      </w:r>
      <w:r>
        <w:rPr>
          <w:rFonts w:ascii="Times New Roman" w:hAnsi="Times New Roman" w:cs="Times New Roman"/>
          <w:sz w:val="24"/>
          <w:szCs w:val="24"/>
        </w:rPr>
        <w:t xml:space="preserve">joint effect of environmental mixtures </w:t>
      </w:r>
      <w:r>
        <w:rPr>
          <w:rFonts w:ascii="Times New Roman" w:hAnsi="Times New Roman" w:cs="Times New Roman"/>
          <w:noProof/>
          <w:sz w:val="24"/>
          <w:szCs w:val="24"/>
        </w:rPr>
        <w:t>(Bobb et al. 2015; Bobb et al. 2018)</w:t>
      </w:r>
      <w:r>
        <w:rPr>
          <w:rFonts w:ascii="Times New Roman" w:hAnsi="Times New Roman" w:cs="Times New Roman"/>
          <w:sz w:val="24"/>
          <w:szCs w:val="24"/>
        </w:rPr>
        <w:t xml:space="preserve">. BKMR allows the visualization of the exposure-response association for each component of a mixture, while taking into account the correlation between the mixture components. </w:t>
      </w:r>
      <w:r>
        <w:rPr>
          <w:rFonts w:ascii="Times New Roman" w:hAnsi="Times New Roman" w:cs="Times New Roman"/>
          <w:kern w:val="0"/>
          <w:sz w:val="24"/>
          <w:szCs w:val="24"/>
        </w:rPr>
        <w:t xml:space="preserve">The </w:t>
      </w:r>
      <w:proofErr w:type="spellStart"/>
      <w:r>
        <w:rPr>
          <w:rFonts w:ascii="Times New Roman" w:hAnsi="Times New Roman" w:cs="Times New Roman"/>
          <w:kern w:val="0"/>
          <w:sz w:val="24"/>
          <w:szCs w:val="24"/>
        </w:rPr>
        <w:t>probit</w:t>
      </w:r>
      <w:proofErr w:type="spellEnd"/>
      <w:r>
        <w:rPr>
          <w:rFonts w:ascii="Times New Roman" w:hAnsi="Times New Roman" w:cs="Times New Roman"/>
          <w:kern w:val="0"/>
          <w:sz w:val="24"/>
          <w:szCs w:val="24"/>
        </w:rPr>
        <w:t xml:space="preserve"> BKMR model used in this study is below: Y</w:t>
      </w:r>
      <w:r>
        <w:rPr>
          <w:rFonts w:ascii="Times New Roman" w:hAnsi="Times New Roman" w:cs="Times New Roman"/>
          <w:kern w:val="0"/>
          <w:sz w:val="24"/>
          <w:szCs w:val="24"/>
          <w:vertAlign w:val="subscript"/>
        </w:rPr>
        <w:t>i</w:t>
      </w:r>
      <w:r>
        <w:rPr>
          <w:rFonts w:ascii="Times New Roman" w:eastAsia="HphybqAdvP4C4E74" w:hAnsi="Times New Roman" w:cs="Times New Roman"/>
          <w:kern w:val="0"/>
          <w:sz w:val="24"/>
          <w:szCs w:val="24"/>
        </w:rPr>
        <w:t>=h (</w:t>
      </w:r>
      <w:r>
        <w:rPr>
          <w:rFonts w:ascii="Times New Roman" w:eastAsia="Times New Roman" w:hAnsi="Times New Roman" w:cs="Times New Roman"/>
          <w:kern w:val="0"/>
          <w:sz w:val="22"/>
        </w:rPr>
        <w:t>HCB</w:t>
      </w:r>
      <w:r>
        <w:rPr>
          <w:rFonts w:ascii="Times New Roman" w:hAnsi="Times New Roman" w:cs="Times New Roman"/>
          <w:kern w:val="0"/>
          <w:sz w:val="24"/>
          <w:szCs w:val="24"/>
        </w:rPr>
        <w:t xml:space="preserve">, </w:t>
      </w:r>
      <w:r>
        <w:rPr>
          <w:rFonts w:ascii="Times New Roman" w:eastAsia="Times New Roman" w:hAnsi="Times New Roman" w:cs="Times New Roman"/>
          <w:kern w:val="0"/>
          <w:sz w:val="22"/>
        </w:rPr>
        <w:t>β-HCH</w:t>
      </w:r>
      <w:r>
        <w:rPr>
          <w:rFonts w:ascii="Times New Roman" w:hAnsi="Times New Roman" w:cs="Times New Roman"/>
          <w:kern w:val="0"/>
          <w:sz w:val="24"/>
          <w:szCs w:val="24"/>
        </w:rPr>
        <w:t xml:space="preserve">, </w:t>
      </w:r>
      <w:r>
        <w:rPr>
          <w:rFonts w:ascii="Times New Roman" w:eastAsia="Times New Roman" w:hAnsi="Times New Roman" w:cs="Times New Roman"/>
          <w:kern w:val="0"/>
          <w:sz w:val="22"/>
        </w:rPr>
        <w:t>γ-HCH</w:t>
      </w:r>
      <w:r>
        <w:rPr>
          <w:rFonts w:ascii="Times New Roman" w:hAnsi="Times New Roman" w:cs="Times New Roman"/>
          <w:kern w:val="0"/>
          <w:sz w:val="24"/>
          <w:szCs w:val="24"/>
        </w:rPr>
        <w:t xml:space="preserve">, </w:t>
      </w:r>
      <w:r>
        <w:rPr>
          <w:rFonts w:ascii="Times New Roman" w:eastAsia="Times New Roman" w:hAnsi="Times New Roman" w:cs="Times New Roman"/>
          <w:kern w:val="0"/>
          <w:sz w:val="22"/>
        </w:rPr>
        <w:t>IDR</w:t>
      </w:r>
      <w:r>
        <w:rPr>
          <w:rFonts w:ascii="Times New Roman" w:hAnsi="Times New Roman" w:cs="Times New Roman"/>
          <w:kern w:val="0"/>
          <w:sz w:val="24"/>
          <w:szCs w:val="24"/>
        </w:rPr>
        <w:t xml:space="preserve">, </w:t>
      </w:r>
      <w:r>
        <w:rPr>
          <w:rFonts w:ascii="Times New Roman" w:eastAsia="Times New Roman" w:hAnsi="Times New Roman" w:cs="Times New Roman"/>
          <w:kern w:val="0"/>
          <w:sz w:val="22"/>
        </w:rPr>
        <w:t>HCEAB</w:t>
      </w:r>
      <w:r>
        <w:rPr>
          <w:rFonts w:ascii="Times New Roman" w:hAnsi="Times New Roman" w:cs="Times New Roman"/>
          <w:kern w:val="0"/>
          <w:sz w:val="24"/>
          <w:szCs w:val="24"/>
        </w:rPr>
        <w:t xml:space="preserve">, </w:t>
      </w:r>
      <w:proofErr w:type="gramStart"/>
      <w:r>
        <w:rPr>
          <w:rFonts w:ascii="Times New Roman" w:eastAsia="SimSun" w:hAnsi="Times New Roman" w:cs="Times New Roman"/>
          <w:kern w:val="0"/>
          <w:sz w:val="24"/>
          <w:szCs w:val="24"/>
        </w:rPr>
        <w:t>ENS</w:t>
      </w:r>
      <w:proofErr w:type="gramEnd"/>
      <w:r>
        <w:rPr>
          <w:rFonts w:ascii="Times New Roman" w:eastAsia="SimSun" w:hAnsi="Times New Roman" w:cs="Times New Roman"/>
          <w:kern w:val="0"/>
          <w:sz w:val="24"/>
          <w:szCs w:val="24"/>
        </w:rPr>
        <w:t xml:space="preserve"> I</w:t>
      </w:r>
      <w:r>
        <w:rPr>
          <w:rFonts w:ascii="Times New Roman" w:hAnsi="Times New Roman" w:cs="Times New Roman"/>
          <w:kern w:val="0"/>
          <w:sz w:val="24"/>
          <w:szCs w:val="24"/>
        </w:rPr>
        <w:t xml:space="preserve">, and </w:t>
      </w:r>
      <w:r>
        <w:rPr>
          <w:rFonts w:ascii="Times New Roman" w:eastAsia="Times New Roman" w:hAnsi="Times New Roman" w:cs="Times New Roman"/>
          <w:kern w:val="0"/>
          <w:sz w:val="22"/>
        </w:rPr>
        <w:t>pp-DDE</w:t>
      </w:r>
      <w:r>
        <w:rPr>
          <w:rFonts w:ascii="Times New Roman" w:hAnsi="Times New Roman" w:cs="Times New Roman"/>
          <w:kern w:val="0"/>
          <w:sz w:val="24"/>
          <w:szCs w:val="24"/>
        </w:rPr>
        <w:t>) + β</w:t>
      </w:r>
      <w:r>
        <w:rPr>
          <w:rFonts w:ascii="Times New Roman" w:hAnsi="Times New Roman" w:cs="Times New Roman"/>
          <w:kern w:val="0"/>
          <w:sz w:val="24"/>
          <w:szCs w:val="24"/>
          <w:vertAlign w:val="superscript"/>
        </w:rPr>
        <w:t xml:space="preserve">T </w:t>
      </w:r>
      <w:proofErr w:type="spellStart"/>
      <w:r>
        <w:rPr>
          <w:rFonts w:ascii="Times New Roman" w:hAnsi="Times New Roman" w:cs="Times New Roman"/>
          <w:kern w:val="0"/>
          <w:sz w:val="24"/>
          <w:szCs w:val="24"/>
        </w:rPr>
        <w:t>Z</w:t>
      </w:r>
      <w:r>
        <w:rPr>
          <w:rFonts w:ascii="Times New Roman" w:hAnsi="Times New Roman" w:cs="Times New Roman"/>
          <w:kern w:val="0"/>
          <w:sz w:val="24"/>
          <w:szCs w:val="24"/>
          <w:vertAlign w:val="subscript"/>
        </w:rPr>
        <w:t>i</w:t>
      </w:r>
      <w:proofErr w:type="spellEnd"/>
      <w:r>
        <w:rPr>
          <w:rFonts w:ascii="Times New Roman" w:hAnsi="Times New Roman" w:cs="Times New Roman"/>
          <w:kern w:val="0"/>
          <w:sz w:val="24"/>
          <w:szCs w:val="24"/>
        </w:rPr>
        <w:t xml:space="preserve"> + </w:t>
      </w:r>
      <w:proofErr w:type="spellStart"/>
      <w:r>
        <w:rPr>
          <w:rFonts w:ascii="Times New Roman" w:hAnsi="Times New Roman" w:cs="Times New Roman"/>
          <w:kern w:val="0"/>
          <w:sz w:val="24"/>
          <w:szCs w:val="24"/>
        </w:rPr>
        <w:t>e</w:t>
      </w:r>
      <w:r>
        <w:rPr>
          <w:rFonts w:ascii="Times New Roman" w:hAnsi="Times New Roman" w:cs="Times New Roman"/>
          <w:kern w:val="0"/>
          <w:sz w:val="24"/>
          <w:szCs w:val="24"/>
          <w:vertAlign w:val="subscript"/>
        </w:rPr>
        <w:t>i</w:t>
      </w:r>
      <w:proofErr w:type="spellEnd"/>
      <w:r>
        <w:rPr>
          <w:rFonts w:ascii="Times New Roman" w:hAnsi="Times New Roman" w:cs="Times New Roman"/>
          <w:kern w:val="0"/>
          <w:sz w:val="24"/>
          <w:szCs w:val="24"/>
        </w:rPr>
        <w:t>. The function h (exposure) is an exposure-response function that accommodates nonlinearity and/or interaction among the mixture components and seven OCPs were included in this model with the detection rate &gt;50%</w:t>
      </w:r>
      <w:r>
        <w:rPr>
          <w:rFonts w:ascii="Times New Roman" w:hAnsi="Times New Roman" w:cs="Times New Roman"/>
          <w:sz w:val="24"/>
          <w:szCs w:val="24"/>
        </w:rPr>
        <w:t xml:space="preserve">. </w:t>
      </w:r>
      <w:r>
        <w:rPr>
          <w:rFonts w:ascii="Times New Roman" w:hAnsi="Times New Roman" w:cs="Times New Roman"/>
          <w:kern w:val="0"/>
          <w:sz w:val="24"/>
          <w:szCs w:val="24"/>
        </w:rPr>
        <w:t xml:space="preserve">The coefficients </w:t>
      </w:r>
      <w:r>
        <w:rPr>
          <w:rFonts w:ascii="Times New Roman" w:hAnsi="Times New Roman" w:cs="Times New Roman"/>
          <w:sz w:val="24"/>
          <w:szCs w:val="24"/>
        </w:rPr>
        <w:t>β</w:t>
      </w:r>
      <w:r>
        <w:rPr>
          <w:rFonts w:ascii="Times New Roman" w:hAnsi="Times New Roman" w:cs="Times New Roman"/>
          <w:i/>
          <w:iCs/>
          <w:kern w:val="0"/>
          <w:sz w:val="24"/>
          <w:szCs w:val="24"/>
        </w:rPr>
        <w:t xml:space="preserve"> </w:t>
      </w:r>
      <w:r>
        <w:rPr>
          <w:rFonts w:ascii="Times New Roman" w:hAnsi="Times New Roman" w:cs="Times New Roman"/>
          <w:kern w:val="0"/>
          <w:sz w:val="24"/>
          <w:szCs w:val="24"/>
        </w:rPr>
        <w:t xml:space="preserve">are the effect estimates of the </w:t>
      </w:r>
      <w:r>
        <w:rPr>
          <w:rStyle w:val="Emphasis"/>
          <w:rFonts w:ascii="Times New Roman" w:hAnsi="Times New Roman" w:cs="Times New Roman"/>
          <w:sz w:val="24"/>
          <w:szCs w:val="24"/>
        </w:rPr>
        <w:t>Z</w:t>
      </w:r>
      <w:r>
        <w:rPr>
          <w:rStyle w:val="Emphasis"/>
          <w:rFonts w:ascii="Times New Roman" w:hAnsi="Times New Roman" w:cs="Times New Roman"/>
          <w:sz w:val="24"/>
          <w:szCs w:val="24"/>
          <w:vertAlign w:val="subscript"/>
        </w:rPr>
        <w:t>i</w:t>
      </w:r>
      <w:r>
        <w:rPr>
          <w:rFonts w:ascii="Times New Roman" w:hAnsi="Times New Roman" w:cs="Times New Roman"/>
          <w:kern w:val="0"/>
          <w:sz w:val="24"/>
          <w:szCs w:val="24"/>
        </w:rPr>
        <w:t xml:space="preserve"> covariate. </w:t>
      </w:r>
      <w:r>
        <w:rPr>
          <w:rFonts w:ascii="Times New Roman" w:hAnsi="Times New Roman" w:cs="Times New Roman"/>
          <w:sz w:val="24"/>
          <w:szCs w:val="24"/>
        </w:rPr>
        <w:t xml:space="preserve">The same covariates included in the </w:t>
      </w:r>
      <w:r>
        <w:rPr>
          <w:rFonts w:ascii="Times New Roman" w:eastAsia="AdvP7C2E" w:hAnsi="Times New Roman" w:cs="Times New Roman"/>
          <w:kern w:val="0"/>
          <w:sz w:val="24"/>
          <w:szCs w:val="24"/>
        </w:rPr>
        <w:t>multivariate logistic regression models</w:t>
      </w:r>
      <w:r>
        <w:rPr>
          <w:rFonts w:ascii="Times New Roman" w:hAnsi="Times New Roman" w:cs="Times New Roman"/>
          <w:kern w:val="0"/>
          <w:sz w:val="24"/>
          <w:szCs w:val="24"/>
        </w:rPr>
        <w:t xml:space="preserve"> </w:t>
      </w:r>
      <w:r>
        <w:rPr>
          <w:rFonts w:ascii="Times New Roman" w:hAnsi="Times New Roman" w:cs="Times New Roman"/>
          <w:sz w:val="24"/>
          <w:szCs w:val="24"/>
        </w:rPr>
        <w:t xml:space="preserve">were included in the BKMR model for confounding adjustment. OCPs concentrations were log-transformed in the BKMR model to </w:t>
      </w:r>
      <w:r>
        <w:rPr>
          <w:rFonts w:ascii="Times New Roman" w:eastAsia="CharisSIL" w:hAnsi="Times New Roman" w:cs="Times New Roman"/>
          <w:kern w:val="0"/>
          <w:sz w:val="24"/>
          <w:szCs w:val="24"/>
        </w:rPr>
        <w:t>improve model fit.</w:t>
      </w:r>
    </w:p>
    <w:p>
      <w:pPr>
        <w:widowControl/>
        <w:autoSpaceDE w:val="0"/>
        <w:autoSpaceDN w:val="0"/>
        <w:adjustRightInd w:val="0"/>
        <w:spacing w:line="480" w:lineRule="auto"/>
        <w:rPr>
          <w:rFonts w:ascii="Times New Roman" w:hAnsi="Times New Roman" w:cs="Times New Roman"/>
          <w:kern w:val="0"/>
          <w:sz w:val="24"/>
          <w:szCs w:val="24"/>
        </w:rPr>
      </w:pPr>
      <w:r>
        <w:rPr>
          <w:rFonts w:ascii="Times New Roman" w:hAnsi="Times New Roman" w:cs="Times New Roman"/>
          <w:kern w:val="0"/>
          <w:sz w:val="24"/>
          <w:szCs w:val="24"/>
        </w:rPr>
        <w:t xml:space="preserve">Spearman </w:t>
      </w:r>
      <w:r>
        <w:rPr>
          <w:rFonts w:ascii="Times New Roman" w:eastAsia="CharisSIL" w:hAnsi="Times New Roman" w:cs="Times New Roman"/>
          <w:kern w:val="0"/>
          <w:sz w:val="24"/>
          <w:szCs w:val="24"/>
        </w:rPr>
        <w:t>correlation tests were performed to examine the correlations between concentrations of each of OCPs</w:t>
      </w:r>
      <w:r>
        <w:rPr>
          <w:rFonts w:ascii="Times New Roman" w:hAnsi="Times New Roman" w:cs="Times New Roman"/>
          <w:kern w:val="0"/>
          <w:sz w:val="24"/>
          <w:szCs w:val="24"/>
        </w:rPr>
        <w:t xml:space="preserve">, </w:t>
      </w:r>
      <w:r>
        <w:rPr>
          <w:rFonts w:ascii="Times New Roman" w:hAnsi="Times New Roman" w:cs="Times New Roman"/>
          <w:sz w:val="24"/>
          <w:szCs w:val="24"/>
        </w:rPr>
        <w:t>between</w:t>
      </w:r>
      <w:r>
        <w:rPr>
          <w:rFonts w:ascii="Times New Roman" w:hAnsi="Times New Roman" w:cs="Times New Roman"/>
          <w:kern w:val="0"/>
          <w:sz w:val="24"/>
          <w:szCs w:val="24"/>
        </w:rPr>
        <w:t xml:space="preserve"> </w:t>
      </w:r>
      <w:r>
        <w:rPr>
          <w:rFonts w:ascii="Times New Roman" w:hAnsi="Times New Roman" w:cs="Times New Roman"/>
          <w:sz w:val="24"/>
          <w:szCs w:val="24"/>
        </w:rPr>
        <w:t xml:space="preserve">gestational age and concentrations of OCPs, and </w:t>
      </w:r>
      <w:bookmarkStart w:id="31" w:name="OLE_LINK5"/>
      <w:bookmarkStart w:id="32" w:name="OLE_LINK6"/>
      <w:r>
        <w:rPr>
          <w:rFonts w:ascii="Times New Roman" w:hAnsi="Times New Roman" w:cs="Times New Roman"/>
          <w:sz w:val="24"/>
          <w:szCs w:val="24"/>
        </w:rPr>
        <w:t>between</w:t>
      </w:r>
      <w:r>
        <w:rPr>
          <w:rFonts w:ascii="Times New Roman" w:hAnsi="Times New Roman" w:cs="Times New Roman"/>
          <w:kern w:val="0"/>
          <w:sz w:val="24"/>
          <w:szCs w:val="24"/>
        </w:rPr>
        <w:t xml:space="preserve"> dietary intake habits</w:t>
      </w:r>
      <w:r>
        <w:rPr>
          <w:rFonts w:ascii="Times New Roman" w:hAnsi="Times New Roman" w:cs="Times New Roman"/>
          <w:sz w:val="24"/>
          <w:szCs w:val="24"/>
        </w:rPr>
        <w:t xml:space="preserve"> and concentrations of OCPs</w:t>
      </w:r>
      <w:bookmarkEnd w:id="31"/>
      <w:bookmarkEnd w:id="32"/>
      <w:r>
        <w:rPr>
          <w:rFonts w:ascii="Times New Roman" w:hAnsi="Times New Roman" w:cs="Times New Roman"/>
          <w:sz w:val="24"/>
          <w:szCs w:val="24"/>
        </w:rPr>
        <w:t>.</w:t>
      </w:r>
    </w:p>
    <w:p>
      <w:pPr>
        <w:widowControl/>
        <w:autoSpaceDE w:val="0"/>
        <w:autoSpaceDN w:val="0"/>
        <w:adjustRightInd w:val="0"/>
        <w:spacing w:line="480" w:lineRule="auto"/>
        <w:rPr>
          <w:rFonts w:ascii="Times New Roman" w:hAnsi="Times New Roman" w:cs="Times New Roman"/>
          <w:sz w:val="24"/>
          <w:szCs w:val="24"/>
        </w:rPr>
      </w:pPr>
      <w:r>
        <w:rPr>
          <w:rStyle w:val="st1"/>
          <w:rFonts w:ascii="Times New Roman" w:hAnsi="Times New Roman"/>
          <w:sz w:val="24"/>
          <w:szCs w:val="24"/>
        </w:rPr>
        <w:lastRenderedPageBreak/>
        <w:t xml:space="preserve">Wilcoxon rank sum </w:t>
      </w:r>
      <w:r>
        <w:rPr>
          <w:rFonts w:ascii="Times New Roman" w:hAnsi="Times New Roman" w:cs="Times New Roman"/>
          <w:sz w:val="24"/>
          <w:szCs w:val="24"/>
        </w:rPr>
        <w:t xml:space="preserve">test and </w:t>
      </w:r>
      <w:r>
        <w:rPr>
          <w:rFonts w:ascii="Times New Roman" w:eastAsia="AdvP7C2E" w:hAnsi="Times New Roman" w:cs="Times New Roman"/>
          <w:kern w:val="0"/>
          <w:sz w:val="24"/>
          <w:szCs w:val="24"/>
        </w:rPr>
        <w:t>multivariate logistic regression</w:t>
      </w:r>
      <w:r>
        <w:rPr>
          <w:rFonts w:ascii="Times New Roman" w:hAnsi="Times New Roman" w:cs="Times New Roman"/>
          <w:sz w:val="24"/>
          <w:szCs w:val="24"/>
        </w:rPr>
        <w:t xml:space="preserve"> controlled the type I errors on multiple comparisons by the </w:t>
      </w:r>
      <w:bookmarkStart w:id="33" w:name="OLE_LINK41"/>
      <w:bookmarkStart w:id="34" w:name="OLE_LINK42"/>
      <w:r>
        <w:rPr>
          <w:rFonts w:ascii="Times New Roman" w:hAnsi="Times New Roman" w:cs="Times New Roman"/>
          <w:sz w:val="24"/>
          <w:szCs w:val="24"/>
        </w:rPr>
        <w:t>Bonferroni</w:t>
      </w:r>
      <w:bookmarkEnd w:id="33"/>
      <w:bookmarkEnd w:id="34"/>
      <w:r>
        <w:rPr>
          <w:rFonts w:ascii="Times New Roman" w:hAnsi="Times New Roman" w:cs="Times New Roman"/>
          <w:sz w:val="24"/>
          <w:szCs w:val="24"/>
        </w:rPr>
        <w:t xml:space="preserve"> correction, the significance level of the association analyses was calculated as 0.05/7 (the number of OCPs detected) = 0.007.</w:t>
      </w:r>
      <w:r>
        <w:t xml:space="preserve"> </w:t>
      </w:r>
      <w:r>
        <w:rPr>
          <w:rFonts w:ascii="Times New Roman" w:hAnsi="Times New Roman" w:cs="Times New Roman"/>
          <w:sz w:val="24"/>
          <w:szCs w:val="24"/>
        </w:rPr>
        <w:t xml:space="preserve">Statistical tests were two-tailed and all </w:t>
      </w:r>
      <w:r>
        <w:rPr>
          <w:rFonts w:ascii="Times New Roman" w:hAnsi="Times New Roman" w:cs="Times New Roman"/>
          <w:i/>
          <w:iCs/>
          <w:sz w:val="24"/>
          <w:szCs w:val="24"/>
        </w:rPr>
        <w:t>P</w:t>
      </w:r>
      <w:r>
        <w:rPr>
          <w:rFonts w:ascii="Times New Roman" w:hAnsi="Times New Roman" w:cs="Times New Roman"/>
          <w:sz w:val="24"/>
          <w:szCs w:val="24"/>
        </w:rPr>
        <w:t xml:space="preserve"> values &lt; 0.05 were conventionally regarded as statistically significant.</w:t>
      </w:r>
      <w:r>
        <w:rPr>
          <w:rFonts w:ascii="Times New Roman" w:hAnsi="Times New Roman" w:cs="Times New Roman"/>
          <w:i/>
          <w:iCs/>
          <w:sz w:val="24"/>
          <w:szCs w:val="24"/>
        </w:rPr>
        <w:t xml:space="preserve"> </w:t>
      </w:r>
      <w:r>
        <w:rPr>
          <w:rFonts w:ascii="Times New Roman" w:hAnsi="Times New Roman" w:cs="Times New Roman"/>
          <w:sz w:val="24"/>
          <w:szCs w:val="24"/>
        </w:rPr>
        <w:t xml:space="preserve">Analyses were performed with SPSS 23.0 software (SPSS, Chicago, IL, USA). The BKMR analysis was implemented with the R package </w:t>
      </w:r>
      <w:proofErr w:type="spellStart"/>
      <w:r>
        <w:rPr>
          <w:rFonts w:ascii="Times New Roman" w:hAnsi="Times New Roman" w:cs="Times New Roman"/>
          <w:sz w:val="24"/>
          <w:szCs w:val="24"/>
        </w:rPr>
        <w:t>bkmr</w:t>
      </w:r>
      <w:proofErr w:type="spellEnd"/>
      <w:r>
        <w:rPr>
          <w:rFonts w:ascii="Times New Roman" w:hAnsi="Times New Roman" w:cs="Times New Roman"/>
          <w:sz w:val="24"/>
          <w:szCs w:val="24"/>
        </w:rPr>
        <w:t xml:space="preserve"> (version 3.5.1; R Development Core Team).</w:t>
      </w:r>
    </w:p>
    <w:p>
      <w:pPr>
        <w:pStyle w:val="Heading1"/>
        <w:numPr>
          <w:ilvl w:val="0"/>
          <w:numId w:val="20"/>
        </w:numPr>
        <w:rPr>
          <w:rFonts w:ascii="Times New Roman" w:hAnsi="Times New Roman" w:cs="Times New Roman"/>
          <w:sz w:val="24"/>
          <w:szCs w:val="24"/>
        </w:rPr>
      </w:pPr>
      <w:r>
        <w:rPr>
          <w:rFonts w:ascii="Times New Roman" w:hAnsi="Times New Roman" w:cs="Times New Roman"/>
          <w:sz w:val="24"/>
          <w:szCs w:val="24"/>
        </w:rPr>
        <w:t>Results</w:t>
      </w:r>
    </w:p>
    <w:p>
      <w:pPr>
        <w:pStyle w:val="Heading2"/>
        <w:numPr>
          <w:ilvl w:val="1"/>
          <w:numId w:val="6"/>
        </w:numPr>
        <w:ind w:left="357" w:hanging="357"/>
        <w:rPr>
          <w:rFonts w:cs="Times New Roman"/>
          <w:szCs w:val="24"/>
        </w:rPr>
      </w:pPr>
      <w:r>
        <w:rPr>
          <w:rFonts w:cs="Times New Roman"/>
          <w:szCs w:val="24"/>
        </w:rPr>
        <w:t>Study population Characteristics</w:t>
      </w:r>
    </w:p>
    <w:p>
      <w:pPr>
        <w:pStyle w:val="Default"/>
        <w:spacing w:line="480" w:lineRule="auto"/>
        <w:jc w:val="both"/>
        <w:rPr>
          <w:rFonts w:cs="Times New Roman"/>
          <w:color w:val="auto"/>
        </w:rPr>
      </w:pPr>
      <w:r>
        <w:rPr>
          <w:rFonts w:cs="Times New Roman"/>
        </w:rPr>
        <w:t xml:space="preserve">The demographic characteristics of subjects </w:t>
      </w:r>
      <w:r>
        <w:rPr>
          <w:rFonts w:eastAsia="AdvP7C2E" w:cs="Times New Roman"/>
        </w:rPr>
        <w:t>summarized by case</w:t>
      </w:r>
      <w:r>
        <w:rPr>
          <w:rFonts w:eastAsia="AdvP7C2E" w:cs="Times New Roman" w:hint="eastAsia"/>
        </w:rPr>
        <w:t>-</w:t>
      </w:r>
      <w:r>
        <w:rPr>
          <w:rFonts w:eastAsia="AdvP7C2E" w:cs="Times New Roman"/>
        </w:rPr>
        <w:t>control status are presented in Table S1</w:t>
      </w:r>
      <w:r>
        <w:rPr>
          <w:rFonts w:cs="Times New Roman"/>
        </w:rPr>
        <w:t xml:space="preserve">. </w:t>
      </w:r>
      <w:r>
        <w:rPr>
          <w:rFonts w:cs="Times New Roman"/>
          <w:shd w:val="clear" w:color="auto" w:fill="FFFFFF"/>
        </w:rPr>
        <w:t xml:space="preserve">The majority of the mothers were </w:t>
      </w:r>
      <w:r>
        <w:rPr>
          <w:rFonts w:cs="Times New Roman"/>
        </w:rPr>
        <w:t xml:space="preserve">identified as Han ethnicity (98.9%). </w:t>
      </w:r>
      <w:r>
        <w:rPr>
          <w:rFonts w:eastAsia="AdvP7C2E" w:cs="Times New Roman"/>
        </w:rPr>
        <w:t xml:space="preserve">Mothers of infant with </w:t>
      </w:r>
      <w:r>
        <w:rPr>
          <w:rFonts w:cs="Times New Roman"/>
        </w:rPr>
        <w:t xml:space="preserve">OFC cases were more likely to have smoking exposure during early pregnancy and have shorter gestation age, as compared with the control group. </w:t>
      </w:r>
      <w:r>
        <w:rPr>
          <w:rStyle w:val="normaltextrun"/>
          <w:rFonts w:cs="Times New Roman"/>
          <w:color w:val="auto"/>
          <w:bdr w:val="none" w:sz="0" w:space="0" w:color="auto" w:frame="1"/>
        </w:rPr>
        <w:t>We did not observe</w:t>
      </w:r>
      <w:r>
        <w:rPr>
          <w:rFonts w:cs="Times New Roman"/>
          <w:color w:val="auto"/>
        </w:rPr>
        <w:t xml:space="preserve"> differences between the OFC cases and controls for other demographic characteristics.</w:t>
      </w:r>
    </w:p>
    <w:p>
      <w:pPr>
        <w:pStyle w:val="Heading2"/>
        <w:rPr>
          <w:rFonts w:cs="Times New Roman"/>
          <w:szCs w:val="24"/>
        </w:rPr>
      </w:pPr>
      <w:r>
        <w:rPr>
          <w:rFonts w:cs="Times New Roman"/>
          <w:szCs w:val="24"/>
        </w:rPr>
        <w:t>3.2 Concentrations of OCPs in umbilical cord tissues</w:t>
      </w:r>
    </w:p>
    <w:p>
      <w:pPr>
        <w:pStyle w:val="Default"/>
        <w:spacing w:line="480" w:lineRule="auto"/>
        <w:jc w:val="both"/>
        <w:rPr>
          <w:rFonts w:cs="Times New Roman"/>
          <w:color w:val="auto"/>
        </w:rPr>
      </w:pPr>
      <w:r>
        <w:rPr>
          <w:rFonts w:cs="Times New Roman"/>
          <w:color w:val="auto"/>
        </w:rPr>
        <w:t xml:space="preserve">The levels of OCPs in umbilical cord tissues </w:t>
      </w:r>
      <w:r>
        <w:rPr>
          <w:rFonts w:cs="Times New Roman" w:hint="eastAsia"/>
          <w:color w:val="auto"/>
        </w:rPr>
        <w:t xml:space="preserve">of </w:t>
      </w:r>
      <w:r>
        <w:rPr>
          <w:rFonts w:cs="Times New Roman"/>
          <w:color w:val="auto"/>
        </w:rPr>
        <w:t>OFC cases and control</w:t>
      </w:r>
      <w:r>
        <w:rPr>
          <w:rFonts w:cs="Times New Roman" w:hint="eastAsia"/>
          <w:color w:val="auto"/>
        </w:rPr>
        <w:t>s</w:t>
      </w:r>
      <w:r>
        <w:rPr>
          <w:rFonts w:cs="Times New Roman"/>
          <w:color w:val="auto"/>
        </w:rPr>
        <w:t xml:space="preserve"> were shown </w:t>
      </w:r>
      <w:r>
        <w:rPr>
          <w:rFonts w:cs="Times New Roman" w:hint="eastAsia"/>
          <w:color w:val="auto"/>
        </w:rPr>
        <w:t>in</w:t>
      </w:r>
      <w:r>
        <w:rPr>
          <w:rFonts w:cs="Times New Roman"/>
          <w:color w:val="auto"/>
        </w:rPr>
        <w:t xml:space="preserve"> Table 1. There was no significant difference between OFC cases and control groups. For α-HCH, δ-HCH, HEC, ALD, END, ENS II, op-DDE, op-DDT, op-DDD, pp-DDT, pp-DDD, MRI, and DIE, more than 50% of the subjects had levels lower than the limit of quantification (Table S2), therefore these chemicals were not analyzed in this study. </w:t>
      </w:r>
      <w:bookmarkStart w:id="35" w:name="OLE_LINK9"/>
      <w:bookmarkStart w:id="36" w:name="OLE_LINK10"/>
      <w:r>
        <w:lastRenderedPageBreak/>
        <w:t>There were low to moderate correlations among the seven OCPs in umbilical cord (r values ranging from 0.18 to 0.47, Figure S1).</w:t>
      </w:r>
      <w:bookmarkEnd w:id="35"/>
      <w:bookmarkEnd w:id="36"/>
    </w:p>
    <w:p>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sz w:val="24"/>
          <w:szCs w:val="24"/>
        </w:rPr>
        <w:t>A statistical difference in gestational age was observed between OFCs and controls. If the OCPs concentration changes with gestation age, gestation age will be an important confounding factor in this study. Hence, spearman correlation was used in this study to evaluate the correlation between OCPs concentrations in umbilical cord tissues and gestational age. We did not find correlation between OCP concentrations in umbilical cord tissues with gestational age (</w:t>
      </w:r>
      <w:bookmarkStart w:id="37" w:name="bappsec1"/>
      <w:r>
        <w:rPr>
          <w:rFonts w:ascii="Times New Roman" w:hAnsi="Times New Roman" w:cs="Times New Roman"/>
          <w:sz w:val="24"/>
          <w:szCs w:val="24"/>
        </w:rPr>
        <w:t>Table S</w:t>
      </w:r>
      <w:bookmarkEnd w:id="37"/>
      <w:r>
        <w:rPr>
          <w:rFonts w:ascii="Times New Roman" w:hAnsi="Times New Roman" w:cs="Times New Roman"/>
          <w:sz w:val="24"/>
          <w:szCs w:val="24"/>
        </w:rPr>
        <w:t>3).</w:t>
      </w:r>
    </w:p>
    <w:p>
      <w:pPr>
        <w:pStyle w:val="a0"/>
        <w:jc w:val="center"/>
        <w:rPr>
          <w:b/>
          <w:bCs/>
        </w:rPr>
      </w:pPr>
      <w:r>
        <w:rPr>
          <w:rFonts w:eastAsia="MinionPro-Regular"/>
          <w:b/>
          <w:bCs/>
          <w:kern w:val="0"/>
        </w:rPr>
        <w:t xml:space="preserve">Table 1 </w:t>
      </w:r>
      <w:r>
        <w:rPr>
          <w:b/>
          <w:bCs/>
        </w:rPr>
        <w:t>Concentrations of OCPs in umbilical cord samples from cases with OFCs and controls</w:t>
      </w:r>
    </w:p>
    <w:tbl>
      <w:tblPr>
        <w:tblW w:w="5000" w:type="pct"/>
        <w:tblLook w:val="04A0" w:firstRow="1" w:lastRow="0" w:firstColumn="1" w:lastColumn="0" w:noHBand="0" w:noVBand="1"/>
      </w:tblPr>
      <w:tblGrid>
        <w:gridCol w:w="1917"/>
        <w:gridCol w:w="2523"/>
        <w:gridCol w:w="334"/>
        <w:gridCol w:w="2135"/>
        <w:gridCol w:w="1065"/>
        <w:gridCol w:w="332"/>
      </w:tblGrid>
      <w:tr>
        <w:trPr>
          <w:trHeight w:val="630"/>
        </w:trPr>
        <w:tc>
          <w:tcPr>
            <w:tcW w:w="1154" w:type="pct"/>
            <w:vMerge w:val="restart"/>
            <w:tcBorders>
              <w:top w:val="single" w:sz="12" w:space="0" w:color="auto"/>
              <w:left w:val="nil"/>
              <w:bottom w:val="single" w:sz="4" w:space="0" w:color="000000"/>
              <w:right w:val="nil"/>
            </w:tcBorders>
            <w:shd w:val="clear" w:color="auto" w:fill="auto"/>
            <w:vAlign w:val="center"/>
            <w:hideMark/>
          </w:tcPr>
          <w:p>
            <w:pPr>
              <w:widowControl/>
              <w:jc w:val="center"/>
              <w:rPr>
                <w:rFonts w:ascii="Times New Roman" w:eastAsia="DengXian" w:hAnsi="Times New Roman" w:cs="Times New Roman"/>
                <w:kern w:val="0"/>
                <w:sz w:val="22"/>
              </w:rPr>
            </w:pPr>
            <w:r>
              <w:rPr>
                <w:rFonts w:ascii="Times New Roman" w:eastAsia="DengXian" w:hAnsi="Times New Roman" w:cs="Times New Roman"/>
                <w:kern w:val="0"/>
                <w:sz w:val="22"/>
              </w:rPr>
              <w:t>OCPs (ng/g)</w:t>
            </w:r>
            <w:r>
              <w:rPr>
                <w:rFonts w:ascii="Times New Roman" w:eastAsia="DengXian" w:hAnsi="Times New Roman" w:cs="Times New Roman"/>
                <w:i/>
                <w:iCs/>
                <w:kern w:val="0"/>
                <w:sz w:val="22"/>
                <w:vertAlign w:val="superscript"/>
              </w:rPr>
              <w:t xml:space="preserve"> a</w:t>
            </w:r>
          </w:p>
        </w:tc>
        <w:tc>
          <w:tcPr>
            <w:tcW w:w="1519" w:type="pct"/>
            <w:tcBorders>
              <w:top w:val="single" w:sz="12" w:space="0" w:color="auto"/>
              <w:left w:val="nil"/>
              <w:bottom w:val="single" w:sz="6" w:space="0" w:color="auto"/>
              <w:right w:val="nil"/>
            </w:tcBorders>
            <w:shd w:val="clear" w:color="auto" w:fill="auto"/>
            <w:vAlign w:val="center"/>
            <w:hideMark/>
          </w:tcPr>
          <w:p>
            <w:pPr>
              <w:widowControl/>
              <w:jc w:val="center"/>
              <w:rPr>
                <w:rFonts w:ascii="Times New Roman" w:eastAsia="DengXian" w:hAnsi="Times New Roman" w:cs="Times New Roman"/>
                <w:kern w:val="0"/>
                <w:sz w:val="22"/>
              </w:rPr>
            </w:pPr>
            <w:r>
              <w:rPr>
                <w:rFonts w:ascii="Times New Roman" w:eastAsia="DengXian" w:hAnsi="Times New Roman" w:cs="Times New Roman"/>
                <w:kern w:val="0"/>
                <w:sz w:val="22"/>
              </w:rPr>
              <w:t>Controls (n=129)</w:t>
            </w:r>
          </w:p>
        </w:tc>
        <w:tc>
          <w:tcPr>
            <w:tcW w:w="201" w:type="pct"/>
            <w:tcBorders>
              <w:top w:val="single" w:sz="12" w:space="0" w:color="auto"/>
              <w:left w:val="nil"/>
              <w:bottom w:val="nil"/>
              <w:right w:val="nil"/>
            </w:tcBorders>
            <w:shd w:val="clear" w:color="auto" w:fill="auto"/>
            <w:vAlign w:val="center"/>
            <w:hideMark/>
          </w:tcPr>
          <w:p>
            <w:pPr>
              <w:widowControl/>
              <w:jc w:val="center"/>
              <w:rPr>
                <w:rFonts w:ascii="Times New Roman" w:eastAsia="DengXian" w:hAnsi="Times New Roman" w:cs="Times New Roman"/>
                <w:kern w:val="0"/>
                <w:sz w:val="22"/>
              </w:rPr>
            </w:pPr>
            <w:r>
              <w:rPr>
                <w:rFonts w:ascii="Times New Roman" w:eastAsia="DengXian" w:hAnsi="Times New Roman" w:cs="Times New Roman"/>
                <w:kern w:val="0"/>
                <w:sz w:val="22"/>
              </w:rPr>
              <w:t xml:space="preserve">　</w:t>
            </w:r>
          </w:p>
        </w:tc>
        <w:tc>
          <w:tcPr>
            <w:tcW w:w="1926" w:type="pct"/>
            <w:gridSpan w:val="2"/>
            <w:tcBorders>
              <w:top w:val="single" w:sz="12" w:space="0" w:color="auto"/>
              <w:left w:val="nil"/>
              <w:bottom w:val="single" w:sz="6" w:space="0" w:color="auto"/>
              <w:right w:val="nil"/>
            </w:tcBorders>
            <w:shd w:val="clear" w:color="auto" w:fill="auto"/>
            <w:vAlign w:val="center"/>
            <w:hideMark/>
          </w:tcPr>
          <w:p>
            <w:pPr>
              <w:widowControl/>
              <w:jc w:val="center"/>
              <w:rPr>
                <w:rFonts w:ascii="Times New Roman" w:eastAsia="DengXian" w:hAnsi="Times New Roman" w:cs="Times New Roman"/>
                <w:kern w:val="0"/>
                <w:sz w:val="22"/>
              </w:rPr>
            </w:pPr>
            <w:r>
              <w:rPr>
                <w:rFonts w:ascii="Times New Roman" w:eastAsia="DengXian" w:hAnsi="Times New Roman" w:cs="Times New Roman"/>
                <w:kern w:val="0"/>
                <w:sz w:val="22"/>
              </w:rPr>
              <w:t>OFCs (n=89)</w:t>
            </w:r>
          </w:p>
        </w:tc>
        <w:tc>
          <w:tcPr>
            <w:tcW w:w="200" w:type="pct"/>
            <w:tcBorders>
              <w:top w:val="single" w:sz="12" w:space="0" w:color="auto"/>
              <w:left w:val="nil"/>
              <w:bottom w:val="nil"/>
              <w:right w:val="nil"/>
            </w:tcBorders>
            <w:shd w:val="clear" w:color="auto" w:fill="auto"/>
            <w:vAlign w:val="center"/>
            <w:hideMark/>
          </w:tcPr>
          <w:p>
            <w:pPr>
              <w:widowControl/>
              <w:jc w:val="center"/>
              <w:rPr>
                <w:rFonts w:ascii="Times New Roman" w:eastAsia="DengXian" w:hAnsi="Times New Roman" w:cs="Times New Roman"/>
                <w:kern w:val="0"/>
                <w:sz w:val="22"/>
              </w:rPr>
            </w:pPr>
          </w:p>
        </w:tc>
      </w:tr>
      <w:tr>
        <w:trPr>
          <w:trHeight w:val="600"/>
        </w:trPr>
        <w:tc>
          <w:tcPr>
            <w:tcW w:w="1154" w:type="pct"/>
            <w:vMerge/>
            <w:tcBorders>
              <w:top w:val="single" w:sz="4" w:space="0" w:color="auto"/>
              <w:left w:val="nil"/>
              <w:bottom w:val="single" w:sz="6" w:space="0" w:color="auto"/>
              <w:right w:val="nil"/>
            </w:tcBorders>
            <w:shd w:val="clear" w:color="auto" w:fill="auto"/>
            <w:vAlign w:val="center"/>
            <w:hideMark/>
          </w:tcPr>
          <w:p>
            <w:pPr>
              <w:widowControl/>
              <w:jc w:val="left"/>
              <w:rPr>
                <w:rFonts w:ascii="Times New Roman" w:eastAsia="DengXian" w:hAnsi="Times New Roman" w:cs="Times New Roman"/>
                <w:kern w:val="0"/>
                <w:sz w:val="22"/>
              </w:rPr>
            </w:pPr>
          </w:p>
        </w:tc>
        <w:tc>
          <w:tcPr>
            <w:tcW w:w="1519" w:type="pct"/>
            <w:tcBorders>
              <w:top w:val="single" w:sz="6" w:space="0" w:color="auto"/>
              <w:left w:val="nil"/>
              <w:bottom w:val="single" w:sz="6" w:space="0" w:color="auto"/>
              <w:right w:val="nil"/>
            </w:tcBorders>
            <w:shd w:val="clear" w:color="auto" w:fill="auto"/>
            <w:vAlign w:val="center"/>
            <w:hideMark/>
          </w:tcPr>
          <w:p>
            <w:pPr>
              <w:widowControl/>
              <w:jc w:val="center"/>
              <w:rPr>
                <w:rFonts w:ascii="Times New Roman" w:eastAsia="DengXian" w:hAnsi="Times New Roman" w:cs="Times New Roman"/>
                <w:kern w:val="0"/>
                <w:sz w:val="22"/>
              </w:rPr>
            </w:pPr>
            <w:r>
              <w:rPr>
                <w:rFonts w:ascii="Times New Roman" w:eastAsia="DengXian" w:hAnsi="Times New Roman" w:cs="Times New Roman"/>
                <w:kern w:val="0"/>
                <w:sz w:val="22"/>
              </w:rPr>
              <w:t xml:space="preserve">Median </w:t>
            </w:r>
            <w:r>
              <w:rPr>
                <w:rFonts w:ascii="Times New Roman" w:eastAsia="DengXian" w:hAnsi="Times New Roman" w:cs="Times New Roman"/>
                <w:kern w:val="0"/>
                <w:sz w:val="22"/>
              </w:rPr>
              <w:br/>
              <w:t>(P</w:t>
            </w:r>
            <w:r>
              <w:rPr>
                <w:rFonts w:ascii="Times New Roman" w:eastAsia="DengXian" w:hAnsi="Times New Roman" w:cs="Times New Roman"/>
                <w:kern w:val="0"/>
                <w:sz w:val="22"/>
                <w:vertAlign w:val="subscript"/>
              </w:rPr>
              <w:t>25</w:t>
            </w:r>
            <w:r>
              <w:rPr>
                <w:rFonts w:ascii="Times New Roman" w:eastAsia="DengXian" w:hAnsi="Times New Roman" w:cs="Times New Roman"/>
                <w:kern w:val="0"/>
                <w:sz w:val="22"/>
              </w:rPr>
              <w:t>–P</w:t>
            </w:r>
            <w:r>
              <w:rPr>
                <w:rFonts w:ascii="Times New Roman" w:eastAsia="DengXian" w:hAnsi="Times New Roman" w:cs="Times New Roman"/>
                <w:kern w:val="0"/>
                <w:sz w:val="22"/>
                <w:vertAlign w:val="subscript"/>
              </w:rPr>
              <w:t>75</w:t>
            </w:r>
            <w:r>
              <w:rPr>
                <w:rFonts w:ascii="Times New Roman" w:eastAsia="DengXian" w:hAnsi="Times New Roman" w:cs="Times New Roman"/>
                <w:kern w:val="0"/>
                <w:sz w:val="22"/>
              </w:rPr>
              <w:t>)</w:t>
            </w:r>
          </w:p>
        </w:tc>
        <w:tc>
          <w:tcPr>
            <w:tcW w:w="201" w:type="pct"/>
            <w:tcBorders>
              <w:top w:val="nil"/>
              <w:left w:val="nil"/>
              <w:bottom w:val="single" w:sz="6" w:space="0" w:color="auto"/>
              <w:right w:val="nil"/>
            </w:tcBorders>
            <w:shd w:val="clear" w:color="auto" w:fill="auto"/>
            <w:vAlign w:val="center"/>
            <w:hideMark/>
          </w:tcPr>
          <w:p>
            <w:pPr>
              <w:widowControl/>
              <w:jc w:val="center"/>
              <w:rPr>
                <w:rFonts w:ascii="Times New Roman" w:eastAsia="DengXian" w:hAnsi="Times New Roman" w:cs="Times New Roman"/>
                <w:kern w:val="0"/>
                <w:sz w:val="22"/>
              </w:rPr>
            </w:pPr>
            <w:r>
              <w:rPr>
                <w:rFonts w:ascii="Times New Roman" w:eastAsia="DengXian" w:hAnsi="Times New Roman" w:cs="Times New Roman"/>
                <w:kern w:val="0"/>
                <w:sz w:val="22"/>
              </w:rPr>
              <w:t xml:space="preserve">　</w:t>
            </w:r>
          </w:p>
        </w:tc>
        <w:tc>
          <w:tcPr>
            <w:tcW w:w="1285" w:type="pct"/>
            <w:tcBorders>
              <w:top w:val="single" w:sz="6" w:space="0" w:color="auto"/>
              <w:left w:val="nil"/>
              <w:bottom w:val="single" w:sz="6" w:space="0" w:color="auto"/>
              <w:right w:val="nil"/>
            </w:tcBorders>
            <w:shd w:val="clear" w:color="auto" w:fill="auto"/>
            <w:vAlign w:val="center"/>
            <w:hideMark/>
          </w:tcPr>
          <w:p>
            <w:pPr>
              <w:widowControl/>
              <w:jc w:val="center"/>
              <w:rPr>
                <w:rFonts w:ascii="Times New Roman" w:eastAsia="DengXian" w:hAnsi="Times New Roman" w:cs="Times New Roman"/>
                <w:kern w:val="0"/>
                <w:sz w:val="22"/>
              </w:rPr>
            </w:pPr>
            <w:r>
              <w:rPr>
                <w:rFonts w:ascii="Times New Roman" w:eastAsia="DengXian" w:hAnsi="Times New Roman" w:cs="Times New Roman"/>
                <w:kern w:val="0"/>
                <w:sz w:val="22"/>
              </w:rPr>
              <w:t>Median</w:t>
            </w:r>
            <w:r>
              <w:rPr>
                <w:rFonts w:ascii="Times New Roman" w:eastAsia="DengXian" w:hAnsi="Times New Roman" w:cs="Times New Roman"/>
                <w:kern w:val="0"/>
                <w:sz w:val="22"/>
              </w:rPr>
              <w:br/>
              <w:t xml:space="preserve"> (P</w:t>
            </w:r>
            <w:r>
              <w:rPr>
                <w:rFonts w:ascii="Times New Roman" w:eastAsia="DengXian" w:hAnsi="Times New Roman" w:cs="Times New Roman"/>
                <w:kern w:val="0"/>
                <w:sz w:val="22"/>
                <w:vertAlign w:val="subscript"/>
              </w:rPr>
              <w:t>25</w:t>
            </w:r>
            <w:r>
              <w:rPr>
                <w:rFonts w:ascii="Times New Roman" w:eastAsia="DengXian" w:hAnsi="Times New Roman" w:cs="Times New Roman"/>
                <w:kern w:val="0"/>
                <w:sz w:val="22"/>
              </w:rPr>
              <w:t>–P</w:t>
            </w:r>
            <w:r>
              <w:rPr>
                <w:rFonts w:ascii="Times New Roman" w:eastAsia="DengXian" w:hAnsi="Times New Roman" w:cs="Times New Roman"/>
                <w:kern w:val="0"/>
                <w:sz w:val="22"/>
                <w:vertAlign w:val="subscript"/>
              </w:rPr>
              <w:t>75</w:t>
            </w:r>
            <w:r>
              <w:rPr>
                <w:rFonts w:ascii="Times New Roman" w:eastAsia="DengXian" w:hAnsi="Times New Roman" w:cs="Times New Roman"/>
                <w:kern w:val="0"/>
                <w:sz w:val="22"/>
              </w:rPr>
              <w:t>)</w:t>
            </w:r>
          </w:p>
        </w:tc>
        <w:tc>
          <w:tcPr>
            <w:tcW w:w="641" w:type="pct"/>
            <w:tcBorders>
              <w:top w:val="single" w:sz="6" w:space="0" w:color="auto"/>
              <w:left w:val="nil"/>
              <w:bottom w:val="single" w:sz="6" w:space="0" w:color="auto"/>
              <w:right w:val="nil"/>
            </w:tcBorders>
            <w:shd w:val="clear" w:color="auto" w:fill="auto"/>
            <w:vAlign w:val="center"/>
            <w:hideMark/>
          </w:tcPr>
          <w:p>
            <w:pPr>
              <w:widowControl/>
              <w:jc w:val="center"/>
              <w:rPr>
                <w:rFonts w:ascii="Times New Roman" w:eastAsia="DengXian" w:hAnsi="Times New Roman" w:cs="Times New Roman"/>
                <w:i/>
                <w:iCs/>
                <w:kern w:val="0"/>
                <w:sz w:val="22"/>
              </w:rPr>
            </w:pPr>
            <w:r>
              <w:rPr>
                <w:rFonts w:ascii="Times New Roman" w:eastAsia="DengXian" w:hAnsi="Times New Roman" w:cs="Times New Roman"/>
                <w:i/>
                <w:iCs/>
                <w:kern w:val="0"/>
                <w:sz w:val="22"/>
              </w:rPr>
              <w:t xml:space="preserve">P </w:t>
            </w:r>
            <w:r>
              <w:rPr>
                <w:rFonts w:ascii="Times New Roman" w:eastAsia="DengXian" w:hAnsi="Times New Roman" w:cs="Times New Roman"/>
                <w:i/>
                <w:iCs/>
                <w:kern w:val="0"/>
                <w:sz w:val="22"/>
                <w:vertAlign w:val="superscript"/>
              </w:rPr>
              <w:t>b</w:t>
            </w:r>
          </w:p>
        </w:tc>
        <w:tc>
          <w:tcPr>
            <w:tcW w:w="200" w:type="pct"/>
            <w:tcBorders>
              <w:top w:val="nil"/>
              <w:left w:val="nil"/>
              <w:bottom w:val="single" w:sz="6" w:space="0" w:color="auto"/>
              <w:right w:val="nil"/>
            </w:tcBorders>
            <w:shd w:val="clear" w:color="auto" w:fill="auto"/>
            <w:vAlign w:val="center"/>
            <w:hideMark/>
          </w:tcPr>
          <w:p>
            <w:pPr>
              <w:widowControl/>
              <w:jc w:val="center"/>
              <w:rPr>
                <w:rFonts w:ascii="Times New Roman" w:eastAsia="DengXian" w:hAnsi="Times New Roman" w:cs="Times New Roman"/>
                <w:i/>
                <w:iCs/>
                <w:kern w:val="0"/>
                <w:sz w:val="22"/>
              </w:rPr>
            </w:pPr>
            <w:r>
              <w:rPr>
                <w:rFonts w:ascii="Times New Roman" w:eastAsia="DengXian" w:hAnsi="Times New Roman" w:cs="Times New Roman"/>
                <w:i/>
                <w:iCs/>
                <w:kern w:val="0"/>
                <w:sz w:val="22"/>
              </w:rPr>
              <w:t xml:space="preserve">　</w:t>
            </w:r>
          </w:p>
        </w:tc>
      </w:tr>
      <w:tr>
        <w:trPr>
          <w:trHeight w:val="315"/>
        </w:trPr>
        <w:tc>
          <w:tcPr>
            <w:tcW w:w="1154" w:type="pct"/>
            <w:tcBorders>
              <w:top w:val="single" w:sz="6" w:space="0" w:color="auto"/>
              <w:left w:val="nil"/>
              <w:bottom w:val="nil"/>
              <w:right w:val="nil"/>
            </w:tcBorders>
            <w:shd w:val="clear" w:color="auto" w:fill="auto"/>
            <w:vAlign w:val="center"/>
            <w:hideMark/>
          </w:tcPr>
          <w:p>
            <w:pPr>
              <w:widowControl/>
              <w:spacing w:before="20" w:after="20"/>
              <w:jc w:val="left"/>
              <w:rPr>
                <w:rFonts w:ascii="Times New Roman" w:eastAsia="SimSun" w:hAnsi="Times New Roman" w:cs="Times New Roman"/>
                <w:color w:val="000000"/>
                <w:kern w:val="0"/>
                <w:sz w:val="22"/>
              </w:rPr>
            </w:pPr>
            <w:r>
              <w:rPr>
                <w:rFonts w:ascii="Times New Roman" w:eastAsia="SimSun" w:hAnsi="Times New Roman" w:cs="Times New Roman"/>
                <w:color w:val="000000"/>
                <w:kern w:val="0"/>
                <w:sz w:val="22"/>
              </w:rPr>
              <w:t xml:space="preserve">HCB </w:t>
            </w:r>
          </w:p>
        </w:tc>
        <w:tc>
          <w:tcPr>
            <w:tcW w:w="1519" w:type="pct"/>
            <w:tcBorders>
              <w:top w:val="single" w:sz="6" w:space="0" w:color="auto"/>
              <w:left w:val="nil"/>
              <w:bottom w:val="nil"/>
              <w:right w:val="nil"/>
            </w:tcBorders>
            <w:shd w:val="clear" w:color="auto" w:fill="auto"/>
            <w:vAlign w:val="center"/>
            <w:hideMark/>
          </w:tcPr>
          <w:p>
            <w:pPr>
              <w:widowControl/>
              <w:spacing w:before="20" w:after="20"/>
              <w:jc w:val="center"/>
              <w:rPr>
                <w:rFonts w:ascii="Times New Roman" w:eastAsia="SimSun" w:hAnsi="Times New Roman" w:cs="Times New Roman"/>
                <w:color w:val="000000"/>
                <w:kern w:val="0"/>
                <w:sz w:val="22"/>
              </w:rPr>
            </w:pPr>
            <w:r>
              <w:rPr>
                <w:rFonts w:ascii="Times New Roman" w:eastAsia="SimSun" w:hAnsi="Times New Roman" w:cs="Times New Roman"/>
                <w:color w:val="000000"/>
                <w:kern w:val="0"/>
                <w:sz w:val="22"/>
              </w:rPr>
              <w:t>0.04</w:t>
            </w:r>
            <w:r>
              <w:rPr>
                <w:rFonts w:ascii="Times New Roman" w:eastAsia="SimSun" w:hAnsi="Times New Roman" w:cs="Times New Roman"/>
                <w:color w:val="000000"/>
                <w:kern w:val="0"/>
                <w:sz w:val="22"/>
              </w:rPr>
              <w:br/>
              <w:t>(0.02-0.07)</w:t>
            </w:r>
          </w:p>
        </w:tc>
        <w:tc>
          <w:tcPr>
            <w:tcW w:w="201" w:type="pct"/>
            <w:tcBorders>
              <w:top w:val="single" w:sz="6" w:space="0" w:color="auto"/>
              <w:left w:val="nil"/>
              <w:bottom w:val="nil"/>
              <w:right w:val="nil"/>
            </w:tcBorders>
            <w:shd w:val="clear" w:color="auto" w:fill="auto"/>
            <w:vAlign w:val="center"/>
            <w:hideMark/>
          </w:tcPr>
          <w:p>
            <w:pPr>
              <w:widowControl/>
              <w:spacing w:before="20" w:after="20"/>
              <w:jc w:val="center"/>
              <w:rPr>
                <w:rFonts w:ascii="Times New Roman" w:eastAsia="SimSun" w:hAnsi="Times New Roman" w:cs="Times New Roman"/>
                <w:color w:val="000000"/>
                <w:kern w:val="0"/>
                <w:sz w:val="22"/>
              </w:rPr>
            </w:pPr>
          </w:p>
        </w:tc>
        <w:tc>
          <w:tcPr>
            <w:tcW w:w="1285" w:type="pct"/>
            <w:tcBorders>
              <w:top w:val="single" w:sz="6" w:space="0" w:color="auto"/>
              <w:left w:val="nil"/>
              <w:bottom w:val="nil"/>
              <w:right w:val="nil"/>
            </w:tcBorders>
            <w:shd w:val="clear" w:color="auto" w:fill="auto"/>
            <w:vAlign w:val="center"/>
            <w:hideMark/>
          </w:tcPr>
          <w:p>
            <w:pPr>
              <w:widowControl/>
              <w:spacing w:before="20" w:after="20"/>
              <w:jc w:val="center"/>
              <w:rPr>
                <w:rFonts w:ascii="Times New Roman" w:eastAsia="SimSun" w:hAnsi="Times New Roman" w:cs="Times New Roman"/>
                <w:color w:val="000000"/>
                <w:kern w:val="0"/>
                <w:sz w:val="22"/>
              </w:rPr>
            </w:pPr>
            <w:r>
              <w:rPr>
                <w:rFonts w:ascii="Times New Roman" w:eastAsia="SimSun" w:hAnsi="Times New Roman" w:cs="Times New Roman"/>
                <w:color w:val="000000"/>
                <w:kern w:val="0"/>
                <w:sz w:val="22"/>
              </w:rPr>
              <w:t>0.04</w:t>
            </w:r>
            <w:r>
              <w:rPr>
                <w:rFonts w:ascii="Times New Roman" w:eastAsia="SimSun" w:hAnsi="Times New Roman" w:cs="Times New Roman"/>
                <w:color w:val="000000"/>
                <w:kern w:val="0"/>
                <w:sz w:val="22"/>
              </w:rPr>
              <w:br/>
              <w:t>(0.03-0.08)</w:t>
            </w:r>
          </w:p>
        </w:tc>
        <w:tc>
          <w:tcPr>
            <w:tcW w:w="641" w:type="pct"/>
            <w:tcBorders>
              <w:top w:val="single" w:sz="6" w:space="0" w:color="auto"/>
              <w:left w:val="nil"/>
              <w:bottom w:val="nil"/>
              <w:right w:val="nil"/>
            </w:tcBorders>
            <w:shd w:val="clear" w:color="auto" w:fill="auto"/>
            <w:vAlign w:val="center"/>
            <w:hideMark/>
          </w:tcPr>
          <w:p>
            <w:pPr>
              <w:widowControl/>
              <w:spacing w:before="20" w:after="20"/>
              <w:jc w:val="center"/>
              <w:rPr>
                <w:rFonts w:ascii="Times New Roman" w:eastAsia="SimSun" w:hAnsi="Times New Roman" w:cs="Times New Roman"/>
                <w:color w:val="000000"/>
                <w:kern w:val="0"/>
                <w:sz w:val="22"/>
              </w:rPr>
            </w:pPr>
            <w:r>
              <w:rPr>
                <w:rFonts w:ascii="Times New Roman" w:eastAsia="SimSun" w:hAnsi="Times New Roman" w:cs="Times New Roman"/>
                <w:color w:val="000000"/>
                <w:kern w:val="0"/>
                <w:sz w:val="22"/>
              </w:rPr>
              <w:t>0.259</w:t>
            </w:r>
          </w:p>
        </w:tc>
        <w:tc>
          <w:tcPr>
            <w:tcW w:w="200" w:type="pct"/>
            <w:tcBorders>
              <w:top w:val="single" w:sz="6" w:space="0" w:color="auto"/>
              <w:left w:val="nil"/>
              <w:bottom w:val="nil"/>
              <w:right w:val="nil"/>
            </w:tcBorders>
            <w:shd w:val="clear" w:color="auto" w:fill="auto"/>
            <w:vAlign w:val="center"/>
            <w:hideMark/>
          </w:tcPr>
          <w:p>
            <w:pPr>
              <w:widowControl/>
              <w:spacing w:before="20" w:after="20"/>
              <w:jc w:val="center"/>
              <w:rPr>
                <w:rFonts w:ascii="Times New Roman" w:eastAsia="SimSun" w:hAnsi="Times New Roman" w:cs="Times New Roman"/>
                <w:color w:val="000000"/>
                <w:kern w:val="0"/>
                <w:sz w:val="22"/>
              </w:rPr>
            </w:pPr>
          </w:p>
        </w:tc>
      </w:tr>
      <w:tr>
        <w:trPr>
          <w:trHeight w:val="600"/>
        </w:trPr>
        <w:tc>
          <w:tcPr>
            <w:tcW w:w="1154" w:type="pct"/>
            <w:tcBorders>
              <w:top w:val="nil"/>
              <w:left w:val="nil"/>
              <w:bottom w:val="nil"/>
              <w:right w:val="nil"/>
            </w:tcBorders>
            <w:shd w:val="clear" w:color="auto" w:fill="auto"/>
            <w:vAlign w:val="center"/>
            <w:hideMark/>
          </w:tcPr>
          <w:p>
            <w:pPr>
              <w:widowControl/>
              <w:spacing w:before="20" w:after="20"/>
              <w:jc w:val="left"/>
              <w:rPr>
                <w:rFonts w:ascii="Times New Roman" w:eastAsia="SimSun" w:hAnsi="Times New Roman" w:cs="Times New Roman"/>
                <w:color w:val="000000"/>
                <w:kern w:val="0"/>
                <w:sz w:val="22"/>
              </w:rPr>
            </w:pPr>
            <w:r>
              <w:rPr>
                <w:rFonts w:ascii="Times New Roman" w:eastAsia="SimSun" w:hAnsi="Times New Roman" w:cs="Times New Roman"/>
                <w:color w:val="000000"/>
                <w:kern w:val="0"/>
                <w:sz w:val="22"/>
              </w:rPr>
              <w:t>β-HCH</w:t>
            </w:r>
          </w:p>
        </w:tc>
        <w:tc>
          <w:tcPr>
            <w:tcW w:w="1519" w:type="pct"/>
            <w:tcBorders>
              <w:top w:val="nil"/>
              <w:left w:val="nil"/>
              <w:bottom w:val="nil"/>
              <w:right w:val="nil"/>
            </w:tcBorders>
            <w:shd w:val="clear" w:color="auto" w:fill="auto"/>
            <w:vAlign w:val="center"/>
            <w:hideMark/>
          </w:tcPr>
          <w:p>
            <w:pPr>
              <w:widowControl/>
              <w:spacing w:before="20" w:after="20"/>
              <w:jc w:val="center"/>
              <w:rPr>
                <w:rFonts w:ascii="Times New Roman" w:eastAsia="SimSun" w:hAnsi="Times New Roman" w:cs="Times New Roman"/>
                <w:color w:val="000000"/>
                <w:kern w:val="0"/>
                <w:sz w:val="22"/>
              </w:rPr>
            </w:pPr>
            <w:r>
              <w:rPr>
                <w:rFonts w:ascii="Times New Roman" w:eastAsia="SimSun" w:hAnsi="Times New Roman" w:cs="Times New Roman"/>
                <w:color w:val="000000"/>
                <w:kern w:val="0"/>
                <w:sz w:val="22"/>
              </w:rPr>
              <w:t>0.66</w:t>
            </w:r>
            <w:r>
              <w:rPr>
                <w:rFonts w:ascii="Times New Roman" w:eastAsia="SimSun" w:hAnsi="Times New Roman" w:cs="Times New Roman"/>
                <w:color w:val="000000"/>
                <w:kern w:val="0"/>
                <w:sz w:val="22"/>
              </w:rPr>
              <w:br/>
              <w:t>(0.53-0.93)</w:t>
            </w:r>
          </w:p>
        </w:tc>
        <w:tc>
          <w:tcPr>
            <w:tcW w:w="201" w:type="pct"/>
            <w:tcBorders>
              <w:top w:val="nil"/>
              <w:left w:val="nil"/>
              <w:bottom w:val="nil"/>
              <w:right w:val="nil"/>
            </w:tcBorders>
            <w:shd w:val="clear" w:color="auto" w:fill="auto"/>
            <w:vAlign w:val="center"/>
            <w:hideMark/>
          </w:tcPr>
          <w:p>
            <w:pPr>
              <w:widowControl/>
              <w:spacing w:before="20" w:after="20"/>
              <w:jc w:val="center"/>
              <w:rPr>
                <w:rFonts w:ascii="Times New Roman" w:eastAsia="SimSun" w:hAnsi="Times New Roman" w:cs="Times New Roman"/>
                <w:color w:val="000000"/>
                <w:kern w:val="0"/>
                <w:sz w:val="22"/>
              </w:rPr>
            </w:pPr>
          </w:p>
        </w:tc>
        <w:tc>
          <w:tcPr>
            <w:tcW w:w="1285" w:type="pct"/>
            <w:tcBorders>
              <w:top w:val="nil"/>
              <w:left w:val="nil"/>
              <w:bottom w:val="nil"/>
              <w:right w:val="nil"/>
            </w:tcBorders>
            <w:shd w:val="clear" w:color="auto" w:fill="auto"/>
            <w:vAlign w:val="center"/>
            <w:hideMark/>
          </w:tcPr>
          <w:p>
            <w:pPr>
              <w:widowControl/>
              <w:spacing w:before="20" w:after="20"/>
              <w:jc w:val="center"/>
              <w:rPr>
                <w:rFonts w:ascii="Times New Roman" w:eastAsia="SimSun" w:hAnsi="Times New Roman" w:cs="Times New Roman"/>
                <w:color w:val="000000"/>
                <w:kern w:val="0"/>
                <w:sz w:val="22"/>
              </w:rPr>
            </w:pPr>
            <w:r>
              <w:rPr>
                <w:rFonts w:ascii="Times New Roman" w:eastAsia="SimSun" w:hAnsi="Times New Roman" w:cs="Times New Roman"/>
                <w:color w:val="000000"/>
                <w:kern w:val="0"/>
                <w:sz w:val="22"/>
              </w:rPr>
              <w:t>0.74</w:t>
            </w:r>
            <w:r>
              <w:rPr>
                <w:rFonts w:ascii="Times New Roman" w:eastAsia="SimSun" w:hAnsi="Times New Roman" w:cs="Times New Roman"/>
                <w:color w:val="000000"/>
                <w:kern w:val="0"/>
                <w:sz w:val="22"/>
              </w:rPr>
              <w:br/>
              <w:t>(0.44-1.05)</w:t>
            </w:r>
          </w:p>
        </w:tc>
        <w:tc>
          <w:tcPr>
            <w:tcW w:w="641" w:type="pct"/>
            <w:tcBorders>
              <w:top w:val="nil"/>
              <w:left w:val="nil"/>
              <w:bottom w:val="nil"/>
              <w:right w:val="nil"/>
            </w:tcBorders>
            <w:shd w:val="clear" w:color="auto" w:fill="auto"/>
            <w:vAlign w:val="center"/>
            <w:hideMark/>
          </w:tcPr>
          <w:p>
            <w:pPr>
              <w:widowControl/>
              <w:spacing w:before="20" w:after="20"/>
              <w:jc w:val="center"/>
              <w:rPr>
                <w:rFonts w:ascii="Times New Roman" w:eastAsia="SimSun" w:hAnsi="Times New Roman" w:cs="Times New Roman"/>
                <w:color w:val="000000"/>
                <w:kern w:val="0"/>
                <w:sz w:val="22"/>
              </w:rPr>
            </w:pPr>
            <w:r>
              <w:rPr>
                <w:rFonts w:ascii="Times New Roman" w:eastAsia="SimSun" w:hAnsi="Times New Roman" w:cs="Times New Roman"/>
                <w:color w:val="000000"/>
                <w:kern w:val="0"/>
                <w:sz w:val="22"/>
              </w:rPr>
              <w:t>0.487</w:t>
            </w:r>
          </w:p>
        </w:tc>
        <w:tc>
          <w:tcPr>
            <w:tcW w:w="200" w:type="pct"/>
            <w:tcBorders>
              <w:top w:val="nil"/>
              <w:left w:val="nil"/>
              <w:bottom w:val="nil"/>
              <w:right w:val="nil"/>
            </w:tcBorders>
            <w:shd w:val="clear" w:color="auto" w:fill="auto"/>
            <w:vAlign w:val="center"/>
            <w:hideMark/>
          </w:tcPr>
          <w:p>
            <w:pPr>
              <w:widowControl/>
              <w:spacing w:before="20" w:after="20"/>
              <w:jc w:val="center"/>
              <w:rPr>
                <w:rFonts w:ascii="Times New Roman" w:eastAsia="SimSun" w:hAnsi="Times New Roman" w:cs="Times New Roman"/>
                <w:color w:val="000000"/>
                <w:kern w:val="0"/>
                <w:sz w:val="22"/>
              </w:rPr>
            </w:pPr>
          </w:p>
        </w:tc>
      </w:tr>
      <w:tr>
        <w:trPr>
          <w:trHeight w:val="900"/>
        </w:trPr>
        <w:tc>
          <w:tcPr>
            <w:tcW w:w="1154" w:type="pct"/>
            <w:tcBorders>
              <w:top w:val="nil"/>
              <w:left w:val="nil"/>
              <w:bottom w:val="nil"/>
              <w:right w:val="nil"/>
            </w:tcBorders>
            <w:shd w:val="clear" w:color="auto" w:fill="auto"/>
            <w:vAlign w:val="center"/>
            <w:hideMark/>
          </w:tcPr>
          <w:p>
            <w:pPr>
              <w:widowControl/>
              <w:spacing w:before="20" w:after="20"/>
              <w:jc w:val="left"/>
              <w:rPr>
                <w:rFonts w:ascii="Times New Roman" w:eastAsia="SimSun" w:hAnsi="Times New Roman" w:cs="Times New Roman"/>
                <w:color w:val="000000"/>
                <w:kern w:val="0"/>
                <w:sz w:val="22"/>
              </w:rPr>
            </w:pPr>
            <w:r>
              <w:rPr>
                <w:rFonts w:ascii="Times New Roman" w:eastAsia="SimSun" w:hAnsi="Times New Roman" w:cs="Times New Roman"/>
                <w:color w:val="000000"/>
                <w:kern w:val="0"/>
                <w:sz w:val="22"/>
              </w:rPr>
              <w:t>γ-HCH</w:t>
            </w:r>
          </w:p>
        </w:tc>
        <w:tc>
          <w:tcPr>
            <w:tcW w:w="1519" w:type="pct"/>
            <w:tcBorders>
              <w:top w:val="nil"/>
              <w:left w:val="nil"/>
              <w:bottom w:val="nil"/>
              <w:right w:val="nil"/>
            </w:tcBorders>
            <w:shd w:val="clear" w:color="auto" w:fill="auto"/>
            <w:vAlign w:val="center"/>
            <w:hideMark/>
          </w:tcPr>
          <w:p>
            <w:pPr>
              <w:widowControl/>
              <w:spacing w:before="20" w:after="20"/>
              <w:jc w:val="center"/>
              <w:rPr>
                <w:rFonts w:ascii="Times New Roman" w:eastAsia="SimSun" w:hAnsi="Times New Roman" w:cs="Times New Roman"/>
                <w:color w:val="000000"/>
                <w:kern w:val="0"/>
                <w:sz w:val="22"/>
              </w:rPr>
            </w:pPr>
            <w:r>
              <w:rPr>
                <w:rFonts w:ascii="Times New Roman" w:eastAsia="SimSun" w:hAnsi="Times New Roman" w:cs="Times New Roman"/>
                <w:color w:val="000000"/>
                <w:kern w:val="0"/>
                <w:sz w:val="22"/>
              </w:rPr>
              <w:t>0.15</w:t>
            </w:r>
            <w:r>
              <w:rPr>
                <w:rFonts w:ascii="Times New Roman" w:eastAsia="SimSun" w:hAnsi="Times New Roman" w:cs="Times New Roman"/>
                <w:color w:val="000000"/>
                <w:kern w:val="0"/>
                <w:sz w:val="22"/>
              </w:rPr>
              <w:br/>
              <w:t>(0.01-0.02)</w:t>
            </w:r>
          </w:p>
        </w:tc>
        <w:tc>
          <w:tcPr>
            <w:tcW w:w="201" w:type="pct"/>
            <w:tcBorders>
              <w:top w:val="nil"/>
              <w:left w:val="nil"/>
              <w:bottom w:val="nil"/>
              <w:right w:val="nil"/>
            </w:tcBorders>
            <w:shd w:val="clear" w:color="auto" w:fill="auto"/>
            <w:vAlign w:val="center"/>
            <w:hideMark/>
          </w:tcPr>
          <w:p>
            <w:pPr>
              <w:widowControl/>
              <w:spacing w:before="20" w:after="20"/>
              <w:jc w:val="center"/>
              <w:rPr>
                <w:rFonts w:ascii="Times New Roman" w:eastAsia="SimSun" w:hAnsi="Times New Roman" w:cs="Times New Roman"/>
                <w:color w:val="000000"/>
                <w:kern w:val="0"/>
                <w:sz w:val="22"/>
              </w:rPr>
            </w:pPr>
          </w:p>
        </w:tc>
        <w:tc>
          <w:tcPr>
            <w:tcW w:w="1285" w:type="pct"/>
            <w:tcBorders>
              <w:top w:val="nil"/>
              <w:left w:val="nil"/>
              <w:bottom w:val="nil"/>
              <w:right w:val="nil"/>
            </w:tcBorders>
            <w:shd w:val="clear" w:color="auto" w:fill="auto"/>
            <w:vAlign w:val="center"/>
            <w:hideMark/>
          </w:tcPr>
          <w:p>
            <w:pPr>
              <w:widowControl/>
              <w:spacing w:before="20" w:after="20"/>
              <w:jc w:val="center"/>
              <w:rPr>
                <w:rFonts w:ascii="Times New Roman" w:eastAsia="SimSun" w:hAnsi="Times New Roman" w:cs="Times New Roman"/>
                <w:color w:val="000000"/>
                <w:kern w:val="0"/>
                <w:sz w:val="22"/>
              </w:rPr>
            </w:pPr>
            <w:r>
              <w:rPr>
                <w:rFonts w:ascii="Times New Roman" w:eastAsia="SimSun" w:hAnsi="Times New Roman" w:cs="Times New Roman"/>
                <w:color w:val="000000"/>
                <w:kern w:val="0"/>
                <w:sz w:val="22"/>
              </w:rPr>
              <w:t>0.01</w:t>
            </w:r>
            <w:r>
              <w:rPr>
                <w:rFonts w:ascii="Times New Roman" w:eastAsia="SimSun" w:hAnsi="Times New Roman" w:cs="Times New Roman"/>
                <w:color w:val="000000"/>
                <w:kern w:val="0"/>
                <w:sz w:val="22"/>
              </w:rPr>
              <w:br/>
              <w:t>(0.01-0.02)</w:t>
            </w:r>
          </w:p>
        </w:tc>
        <w:tc>
          <w:tcPr>
            <w:tcW w:w="641" w:type="pct"/>
            <w:tcBorders>
              <w:top w:val="nil"/>
              <w:left w:val="nil"/>
              <w:bottom w:val="nil"/>
              <w:right w:val="nil"/>
            </w:tcBorders>
            <w:shd w:val="clear" w:color="auto" w:fill="auto"/>
            <w:vAlign w:val="center"/>
            <w:hideMark/>
          </w:tcPr>
          <w:p>
            <w:pPr>
              <w:widowControl/>
              <w:spacing w:before="20" w:after="20"/>
              <w:jc w:val="center"/>
              <w:rPr>
                <w:rFonts w:ascii="Times New Roman" w:eastAsia="SimSun" w:hAnsi="Times New Roman" w:cs="Times New Roman"/>
                <w:kern w:val="0"/>
                <w:sz w:val="22"/>
              </w:rPr>
            </w:pPr>
            <w:r>
              <w:rPr>
                <w:rFonts w:ascii="Times New Roman" w:eastAsia="SimSun" w:hAnsi="Times New Roman" w:cs="Times New Roman"/>
                <w:kern w:val="0"/>
                <w:sz w:val="22"/>
              </w:rPr>
              <w:t>0.645</w:t>
            </w:r>
          </w:p>
        </w:tc>
        <w:tc>
          <w:tcPr>
            <w:tcW w:w="200" w:type="pct"/>
            <w:tcBorders>
              <w:top w:val="nil"/>
              <w:left w:val="nil"/>
              <w:bottom w:val="nil"/>
              <w:right w:val="nil"/>
            </w:tcBorders>
            <w:shd w:val="clear" w:color="auto" w:fill="auto"/>
            <w:vAlign w:val="center"/>
            <w:hideMark/>
          </w:tcPr>
          <w:p>
            <w:pPr>
              <w:widowControl/>
              <w:spacing w:before="20" w:after="20"/>
              <w:jc w:val="center"/>
              <w:rPr>
                <w:rFonts w:ascii="Times New Roman" w:eastAsia="SimSun" w:hAnsi="Times New Roman" w:cs="Times New Roman"/>
                <w:kern w:val="0"/>
                <w:sz w:val="22"/>
              </w:rPr>
            </w:pPr>
          </w:p>
        </w:tc>
      </w:tr>
      <w:tr>
        <w:trPr>
          <w:trHeight w:val="600"/>
        </w:trPr>
        <w:tc>
          <w:tcPr>
            <w:tcW w:w="1154" w:type="pct"/>
            <w:tcBorders>
              <w:top w:val="nil"/>
              <w:left w:val="nil"/>
              <w:bottom w:val="nil"/>
              <w:right w:val="nil"/>
            </w:tcBorders>
            <w:shd w:val="clear" w:color="auto" w:fill="auto"/>
            <w:vAlign w:val="center"/>
            <w:hideMark/>
          </w:tcPr>
          <w:p>
            <w:pPr>
              <w:widowControl/>
              <w:spacing w:before="20" w:after="20"/>
              <w:jc w:val="left"/>
              <w:rPr>
                <w:rFonts w:ascii="Times New Roman" w:eastAsia="SimSun" w:hAnsi="Times New Roman" w:cs="Times New Roman"/>
                <w:color w:val="000000"/>
                <w:kern w:val="0"/>
                <w:sz w:val="22"/>
              </w:rPr>
            </w:pPr>
            <w:r>
              <w:rPr>
                <w:rFonts w:ascii="Times New Roman" w:eastAsia="SimSun" w:hAnsi="Times New Roman" w:cs="Times New Roman"/>
                <w:color w:val="000000"/>
                <w:kern w:val="0"/>
                <w:sz w:val="22"/>
              </w:rPr>
              <w:t>IDR</w:t>
            </w:r>
          </w:p>
        </w:tc>
        <w:tc>
          <w:tcPr>
            <w:tcW w:w="1519" w:type="pct"/>
            <w:tcBorders>
              <w:top w:val="nil"/>
              <w:left w:val="nil"/>
              <w:bottom w:val="nil"/>
              <w:right w:val="nil"/>
            </w:tcBorders>
            <w:shd w:val="clear" w:color="auto" w:fill="auto"/>
            <w:vAlign w:val="center"/>
            <w:hideMark/>
          </w:tcPr>
          <w:p>
            <w:pPr>
              <w:widowControl/>
              <w:spacing w:before="20" w:after="20"/>
              <w:jc w:val="center"/>
              <w:rPr>
                <w:rFonts w:ascii="Times New Roman" w:eastAsia="SimSun" w:hAnsi="Times New Roman" w:cs="Times New Roman"/>
                <w:color w:val="000000"/>
                <w:kern w:val="0"/>
                <w:sz w:val="22"/>
              </w:rPr>
            </w:pPr>
            <w:r>
              <w:rPr>
                <w:rFonts w:ascii="Times New Roman" w:eastAsia="SimSun" w:hAnsi="Times New Roman" w:cs="Times New Roman"/>
                <w:color w:val="000000"/>
                <w:kern w:val="0"/>
                <w:sz w:val="22"/>
              </w:rPr>
              <w:t>0.03</w:t>
            </w:r>
            <w:r>
              <w:rPr>
                <w:rFonts w:ascii="Times New Roman" w:eastAsia="SimSun" w:hAnsi="Times New Roman" w:cs="Times New Roman"/>
                <w:color w:val="000000"/>
                <w:kern w:val="0"/>
                <w:sz w:val="22"/>
              </w:rPr>
              <w:br/>
              <w:t>(0.02-0.05)</w:t>
            </w:r>
          </w:p>
        </w:tc>
        <w:tc>
          <w:tcPr>
            <w:tcW w:w="201" w:type="pct"/>
            <w:tcBorders>
              <w:top w:val="nil"/>
              <w:left w:val="nil"/>
              <w:bottom w:val="nil"/>
              <w:right w:val="nil"/>
            </w:tcBorders>
            <w:shd w:val="clear" w:color="auto" w:fill="auto"/>
            <w:vAlign w:val="center"/>
            <w:hideMark/>
          </w:tcPr>
          <w:p>
            <w:pPr>
              <w:widowControl/>
              <w:spacing w:before="20" w:after="20"/>
              <w:jc w:val="center"/>
              <w:rPr>
                <w:rFonts w:ascii="Times New Roman" w:eastAsia="SimSun" w:hAnsi="Times New Roman" w:cs="Times New Roman"/>
                <w:color w:val="000000"/>
                <w:kern w:val="0"/>
                <w:sz w:val="22"/>
              </w:rPr>
            </w:pPr>
          </w:p>
        </w:tc>
        <w:tc>
          <w:tcPr>
            <w:tcW w:w="1285" w:type="pct"/>
            <w:tcBorders>
              <w:top w:val="nil"/>
              <w:left w:val="nil"/>
              <w:bottom w:val="nil"/>
              <w:right w:val="nil"/>
            </w:tcBorders>
            <w:shd w:val="clear" w:color="auto" w:fill="auto"/>
            <w:vAlign w:val="center"/>
            <w:hideMark/>
          </w:tcPr>
          <w:p>
            <w:pPr>
              <w:widowControl/>
              <w:spacing w:before="20" w:after="20"/>
              <w:jc w:val="center"/>
              <w:rPr>
                <w:rFonts w:ascii="Times New Roman" w:eastAsia="SimSun" w:hAnsi="Times New Roman" w:cs="Times New Roman"/>
                <w:color w:val="000000"/>
                <w:kern w:val="0"/>
                <w:sz w:val="22"/>
              </w:rPr>
            </w:pPr>
            <w:r>
              <w:rPr>
                <w:rFonts w:ascii="Times New Roman" w:eastAsia="SimSun" w:hAnsi="Times New Roman" w:cs="Times New Roman"/>
                <w:color w:val="000000"/>
                <w:kern w:val="0"/>
                <w:sz w:val="22"/>
              </w:rPr>
              <w:t>0.04</w:t>
            </w:r>
            <w:r>
              <w:rPr>
                <w:rFonts w:ascii="Times New Roman" w:eastAsia="SimSun" w:hAnsi="Times New Roman" w:cs="Times New Roman"/>
                <w:color w:val="000000"/>
                <w:kern w:val="0"/>
                <w:sz w:val="22"/>
              </w:rPr>
              <w:br/>
              <w:t>(0.02-0.07)</w:t>
            </w:r>
          </w:p>
        </w:tc>
        <w:tc>
          <w:tcPr>
            <w:tcW w:w="641" w:type="pct"/>
            <w:tcBorders>
              <w:top w:val="nil"/>
              <w:left w:val="nil"/>
              <w:bottom w:val="nil"/>
              <w:right w:val="nil"/>
            </w:tcBorders>
            <w:shd w:val="clear" w:color="auto" w:fill="auto"/>
            <w:vAlign w:val="center"/>
            <w:hideMark/>
          </w:tcPr>
          <w:p>
            <w:pPr>
              <w:widowControl/>
              <w:spacing w:before="20" w:after="20"/>
              <w:jc w:val="center"/>
              <w:rPr>
                <w:rFonts w:ascii="Times New Roman" w:eastAsia="SimSun" w:hAnsi="Times New Roman" w:cs="Times New Roman"/>
                <w:kern w:val="0"/>
                <w:sz w:val="22"/>
              </w:rPr>
            </w:pPr>
            <w:r>
              <w:rPr>
                <w:rFonts w:ascii="Times New Roman" w:eastAsia="SimSun" w:hAnsi="Times New Roman" w:cs="Times New Roman"/>
                <w:kern w:val="0"/>
                <w:sz w:val="22"/>
              </w:rPr>
              <w:t>0.087</w:t>
            </w:r>
          </w:p>
        </w:tc>
        <w:tc>
          <w:tcPr>
            <w:tcW w:w="200" w:type="pct"/>
            <w:tcBorders>
              <w:top w:val="nil"/>
              <w:left w:val="nil"/>
              <w:bottom w:val="nil"/>
              <w:right w:val="nil"/>
            </w:tcBorders>
            <w:shd w:val="clear" w:color="auto" w:fill="auto"/>
            <w:vAlign w:val="center"/>
            <w:hideMark/>
          </w:tcPr>
          <w:p>
            <w:pPr>
              <w:widowControl/>
              <w:spacing w:before="20" w:after="20"/>
              <w:jc w:val="center"/>
              <w:rPr>
                <w:rFonts w:ascii="Times New Roman" w:eastAsia="SimSun" w:hAnsi="Times New Roman" w:cs="Times New Roman"/>
                <w:kern w:val="0"/>
                <w:sz w:val="22"/>
              </w:rPr>
            </w:pPr>
          </w:p>
        </w:tc>
      </w:tr>
      <w:tr>
        <w:trPr>
          <w:trHeight w:val="600"/>
        </w:trPr>
        <w:tc>
          <w:tcPr>
            <w:tcW w:w="1154" w:type="pct"/>
            <w:tcBorders>
              <w:top w:val="nil"/>
              <w:left w:val="nil"/>
              <w:bottom w:val="nil"/>
              <w:right w:val="nil"/>
            </w:tcBorders>
            <w:shd w:val="clear" w:color="auto" w:fill="auto"/>
            <w:vAlign w:val="center"/>
            <w:hideMark/>
          </w:tcPr>
          <w:p>
            <w:pPr>
              <w:widowControl/>
              <w:spacing w:before="20" w:after="20"/>
              <w:jc w:val="left"/>
              <w:rPr>
                <w:rFonts w:ascii="Times New Roman" w:eastAsia="SimSun" w:hAnsi="Times New Roman" w:cs="Times New Roman"/>
                <w:color w:val="000000"/>
                <w:kern w:val="0"/>
                <w:sz w:val="22"/>
              </w:rPr>
            </w:pPr>
            <w:r>
              <w:rPr>
                <w:rFonts w:ascii="Times New Roman" w:eastAsia="SimSun" w:hAnsi="Times New Roman" w:cs="Times New Roman"/>
                <w:color w:val="000000"/>
                <w:kern w:val="0"/>
                <w:sz w:val="22"/>
              </w:rPr>
              <w:t xml:space="preserve">HCEAB </w:t>
            </w:r>
          </w:p>
        </w:tc>
        <w:tc>
          <w:tcPr>
            <w:tcW w:w="1519" w:type="pct"/>
            <w:tcBorders>
              <w:top w:val="nil"/>
              <w:left w:val="nil"/>
              <w:bottom w:val="nil"/>
              <w:right w:val="nil"/>
            </w:tcBorders>
            <w:shd w:val="clear" w:color="auto" w:fill="auto"/>
            <w:vAlign w:val="center"/>
            <w:hideMark/>
          </w:tcPr>
          <w:p>
            <w:pPr>
              <w:widowControl/>
              <w:spacing w:before="20" w:after="20"/>
              <w:jc w:val="center"/>
              <w:rPr>
                <w:rFonts w:ascii="Times New Roman" w:eastAsia="SimSun" w:hAnsi="Times New Roman" w:cs="Times New Roman"/>
                <w:color w:val="000000"/>
                <w:kern w:val="0"/>
                <w:sz w:val="22"/>
              </w:rPr>
            </w:pPr>
            <w:r>
              <w:rPr>
                <w:rFonts w:ascii="Times New Roman" w:eastAsia="SimSun" w:hAnsi="Times New Roman" w:cs="Times New Roman"/>
                <w:color w:val="000000"/>
                <w:kern w:val="0"/>
                <w:sz w:val="22"/>
              </w:rPr>
              <w:t>0.14</w:t>
            </w:r>
            <w:r>
              <w:rPr>
                <w:rFonts w:ascii="Times New Roman" w:eastAsia="SimSun" w:hAnsi="Times New Roman" w:cs="Times New Roman"/>
                <w:color w:val="000000"/>
                <w:kern w:val="0"/>
                <w:sz w:val="22"/>
              </w:rPr>
              <w:br/>
              <w:t>(0.01-0.02)</w:t>
            </w:r>
          </w:p>
        </w:tc>
        <w:tc>
          <w:tcPr>
            <w:tcW w:w="201" w:type="pct"/>
            <w:tcBorders>
              <w:top w:val="nil"/>
              <w:left w:val="nil"/>
              <w:bottom w:val="nil"/>
              <w:right w:val="nil"/>
            </w:tcBorders>
            <w:shd w:val="clear" w:color="auto" w:fill="auto"/>
            <w:vAlign w:val="center"/>
            <w:hideMark/>
          </w:tcPr>
          <w:p>
            <w:pPr>
              <w:widowControl/>
              <w:spacing w:before="20" w:after="20"/>
              <w:jc w:val="center"/>
              <w:rPr>
                <w:rFonts w:ascii="Times New Roman" w:eastAsia="SimSun" w:hAnsi="Times New Roman" w:cs="Times New Roman"/>
                <w:color w:val="000000"/>
                <w:kern w:val="0"/>
                <w:sz w:val="22"/>
              </w:rPr>
            </w:pPr>
          </w:p>
        </w:tc>
        <w:tc>
          <w:tcPr>
            <w:tcW w:w="1285" w:type="pct"/>
            <w:tcBorders>
              <w:top w:val="nil"/>
              <w:left w:val="nil"/>
              <w:bottom w:val="nil"/>
              <w:right w:val="nil"/>
            </w:tcBorders>
            <w:shd w:val="clear" w:color="auto" w:fill="auto"/>
            <w:vAlign w:val="center"/>
            <w:hideMark/>
          </w:tcPr>
          <w:p>
            <w:pPr>
              <w:widowControl/>
              <w:spacing w:before="20" w:after="20"/>
              <w:jc w:val="center"/>
              <w:rPr>
                <w:rFonts w:ascii="Times New Roman" w:eastAsia="SimSun" w:hAnsi="Times New Roman" w:cs="Times New Roman"/>
                <w:color w:val="000000"/>
                <w:kern w:val="0"/>
                <w:sz w:val="22"/>
              </w:rPr>
            </w:pPr>
            <w:r>
              <w:rPr>
                <w:rFonts w:ascii="Times New Roman" w:eastAsia="SimSun" w:hAnsi="Times New Roman" w:cs="Times New Roman"/>
                <w:color w:val="000000"/>
                <w:kern w:val="0"/>
                <w:sz w:val="22"/>
              </w:rPr>
              <w:t>0.01</w:t>
            </w:r>
            <w:r>
              <w:rPr>
                <w:rFonts w:ascii="Times New Roman" w:eastAsia="SimSun" w:hAnsi="Times New Roman" w:cs="Times New Roman"/>
                <w:color w:val="000000"/>
                <w:kern w:val="0"/>
                <w:sz w:val="22"/>
              </w:rPr>
              <w:br/>
              <w:t>(0.01-0.04)</w:t>
            </w:r>
          </w:p>
        </w:tc>
        <w:tc>
          <w:tcPr>
            <w:tcW w:w="641" w:type="pct"/>
            <w:tcBorders>
              <w:top w:val="nil"/>
              <w:left w:val="nil"/>
              <w:bottom w:val="nil"/>
              <w:right w:val="nil"/>
            </w:tcBorders>
            <w:shd w:val="clear" w:color="auto" w:fill="auto"/>
            <w:vAlign w:val="center"/>
            <w:hideMark/>
          </w:tcPr>
          <w:p>
            <w:pPr>
              <w:widowControl/>
              <w:spacing w:before="20" w:after="20"/>
              <w:jc w:val="center"/>
              <w:rPr>
                <w:rFonts w:ascii="Times New Roman" w:eastAsia="SimSun" w:hAnsi="Times New Roman" w:cs="Times New Roman"/>
                <w:kern w:val="0"/>
                <w:sz w:val="22"/>
              </w:rPr>
            </w:pPr>
            <w:r>
              <w:rPr>
                <w:rFonts w:ascii="Times New Roman" w:eastAsia="SimSun" w:hAnsi="Times New Roman" w:cs="Times New Roman"/>
                <w:kern w:val="0"/>
                <w:sz w:val="22"/>
              </w:rPr>
              <w:t>0.480</w:t>
            </w:r>
          </w:p>
        </w:tc>
        <w:tc>
          <w:tcPr>
            <w:tcW w:w="200" w:type="pct"/>
            <w:tcBorders>
              <w:top w:val="nil"/>
              <w:left w:val="nil"/>
              <w:bottom w:val="nil"/>
              <w:right w:val="nil"/>
            </w:tcBorders>
            <w:shd w:val="clear" w:color="auto" w:fill="auto"/>
            <w:vAlign w:val="center"/>
            <w:hideMark/>
          </w:tcPr>
          <w:p>
            <w:pPr>
              <w:widowControl/>
              <w:spacing w:before="20" w:after="20"/>
              <w:jc w:val="center"/>
              <w:rPr>
                <w:rFonts w:ascii="Times New Roman" w:eastAsia="SimSun" w:hAnsi="Times New Roman" w:cs="Times New Roman"/>
                <w:kern w:val="0"/>
                <w:sz w:val="22"/>
              </w:rPr>
            </w:pPr>
          </w:p>
        </w:tc>
      </w:tr>
      <w:tr>
        <w:trPr>
          <w:trHeight w:val="600"/>
        </w:trPr>
        <w:tc>
          <w:tcPr>
            <w:tcW w:w="1154" w:type="pct"/>
            <w:tcBorders>
              <w:top w:val="nil"/>
              <w:left w:val="nil"/>
              <w:bottom w:val="nil"/>
              <w:right w:val="nil"/>
            </w:tcBorders>
            <w:shd w:val="clear" w:color="auto" w:fill="auto"/>
            <w:vAlign w:val="center"/>
            <w:hideMark/>
          </w:tcPr>
          <w:p>
            <w:pPr>
              <w:widowControl/>
              <w:spacing w:before="20" w:after="20"/>
              <w:jc w:val="left"/>
              <w:rPr>
                <w:rFonts w:ascii="Times New Roman" w:eastAsia="SimSun" w:hAnsi="Times New Roman" w:cs="Times New Roman"/>
                <w:color w:val="000000"/>
                <w:kern w:val="0"/>
                <w:sz w:val="22"/>
              </w:rPr>
            </w:pPr>
            <w:r>
              <w:rPr>
                <w:rFonts w:ascii="Times New Roman" w:eastAsia="SimSun" w:hAnsi="Times New Roman" w:cs="Times New Roman"/>
                <w:kern w:val="0"/>
                <w:sz w:val="22"/>
              </w:rPr>
              <w:t>ENS I</w:t>
            </w:r>
          </w:p>
        </w:tc>
        <w:tc>
          <w:tcPr>
            <w:tcW w:w="1519" w:type="pct"/>
            <w:tcBorders>
              <w:top w:val="nil"/>
              <w:left w:val="nil"/>
              <w:bottom w:val="nil"/>
              <w:right w:val="nil"/>
            </w:tcBorders>
            <w:shd w:val="clear" w:color="auto" w:fill="auto"/>
            <w:vAlign w:val="center"/>
            <w:hideMark/>
          </w:tcPr>
          <w:p>
            <w:pPr>
              <w:widowControl/>
              <w:spacing w:before="20" w:after="20"/>
              <w:jc w:val="center"/>
              <w:rPr>
                <w:rFonts w:ascii="Times New Roman" w:eastAsia="SimSun" w:hAnsi="Times New Roman" w:cs="Times New Roman"/>
                <w:color w:val="000000"/>
                <w:kern w:val="0"/>
                <w:sz w:val="22"/>
              </w:rPr>
            </w:pPr>
            <w:r>
              <w:rPr>
                <w:rFonts w:ascii="Times New Roman" w:eastAsia="SimSun" w:hAnsi="Times New Roman" w:cs="Times New Roman"/>
                <w:color w:val="000000"/>
                <w:kern w:val="0"/>
                <w:sz w:val="22"/>
              </w:rPr>
              <w:t>0.14</w:t>
            </w:r>
            <w:r>
              <w:rPr>
                <w:rFonts w:ascii="Times New Roman" w:eastAsia="SimSun" w:hAnsi="Times New Roman" w:cs="Times New Roman"/>
                <w:color w:val="000000"/>
                <w:kern w:val="0"/>
                <w:sz w:val="22"/>
              </w:rPr>
              <w:br/>
              <w:t>(0.01-0.02)</w:t>
            </w:r>
          </w:p>
        </w:tc>
        <w:tc>
          <w:tcPr>
            <w:tcW w:w="201" w:type="pct"/>
            <w:tcBorders>
              <w:top w:val="nil"/>
              <w:left w:val="nil"/>
              <w:bottom w:val="nil"/>
              <w:right w:val="nil"/>
            </w:tcBorders>
            <w:shd w:val="clear" w:color="auto" w:fill="auto"/>
            <w:vAlign w:val="center"/>
            <w:hideMark/>
          </w:tcPr>
          <w:p>
            <w:pPr>
              <w:widowControl/>
              <w:spacing w:before="20" w:after="20"/>
              <w:jc w:val="center"/>
              <w:rPr>
                <w:rFonts w:ascii="Times New Roman" w:eastAsia="SimSun" w:hAnsi="Times New Roman" w:cs="Times New Roman"/>
                <w:color w:val="000000"/>
                <w:kern w:val="0"/>
                <w:sz w:val="22"/>
              </w:rPr>
            </w:pPr>
          </w:p>
        </w:tc>
        <w:tc>
          <w:tcPr>
            <w:tcW w:w="1285" w:type="pct"/>
            <w:tcBorders>
              <w:top w:val="nil"/>
              <w:left w:val="nil"/>
              <w:bottom w:val="nil"/>
              <w:right w:val="nil"/>
            </w:tcBorders>
            <w:shd w:val="clear" w:color="auto" w:fill="auto"/>
            <w:vAlign w:val="center"/>
            <w:hideMark/>
          </w:tcPr>
          <w:p>
            <w:pPr>
              <w:widowControl/>
              <w:spacing w:before="20" w:after="20"/>
              <w:jc w:val="center"/>
              <w:rPr>
                <w:rFonts w:ascii="Times New Roman" w:eastAsia="SimSun" w:hAnsi="Times New Roman" w:cs="Times New Roman"/>
                <w:color w:val="000000"/>
                <w:kern w:val="0"/>
                <w:sz w:val="22"/>
              </w:rPr>
            </w:pPr>
            <w:r>
              <w:rPr>
                <w:rFonts w:ascii="Times New Roman" w:eastAsia="SimSun" w:hAnsi="Times New Roman" w:cs="Times New Roman"/>
                <w:color w:val="000000"/>
                <w:kern w:val="0"/>
                <w:sz w:val="22"/>
              </w:rPr>
              <w:t>0.02</w:t>
            </w:r>
            <w:r>
              <w:rPr>
                <w:rFonts w:ascii="Times New Roman" w:eastAsia="SimSun" w:hAnsi="Times New Roman" w:cs="Times New Roman"/>
                <w:color w:val="000000"/>
                <w:kern w:val="0"/>
                <w:sz w:val="22"/>
              </w:rPr>
              <w:br/>
              <w:t>(0.01-0.02)</w:t>
            </w:r>
          </w:p>
        </w:tc>
        <w:tc>
          <w:tcPr>
            <w:tcW w:w="641" w:type="pct"/>
            <w:tcBorders>
              <w:top w:val="nil"/>
              <w:left w:val="nil"/>
              <w:bottom w:val="nil"/>
              <w:right w:val="nil"/>
            </w:tcBorders>
            <w:shd w:val="clear" w:color="auto" w:fill="auto"/>
            <w:vAlign w:val="center"/>
            <w:hideMark/>
          </w:tcPr>
          <w:p>
            <w:pPr>
              <w:widowControl/>
              <w:spacing w:before="20" w:after="20"/>
              <w:jc w:val="center"/>
              <w:rPr>
                <w:rFonts w:ascii="Times New Roman" w:eastAsia="SimSun" w:hAnsi="Times New Roman" w:cs="Times New Roman"/>
                <w:kern w:val="0"/>
                <w:sz w:val="22"/>
              </w:rPr>
            </w:pPr>
            <w:r>
              <w:rPr>
                <w:rFonts w:ascii="Times New Roman" w:eastAsia="SimSun" w:hAnsi="Times New Roman" w:cs="Times New Roman"/>
                <w:kern w:val="0"/>
                <w:sz w:val="22"/>
              </w:rPr>
              <w:t>0.354</w:t>
            </w:r>
          </w:p>
        </w:tc>
        <w:tc>
          <w:tcPr>
            <w:tcW w:w="200" w:type="pct"/>
            <w:tcBorders>
              <w:top w:val="nil"/>
              <w:left w:val="nil"/>
              <w:bottom w:val="nil"/>
              <w:right w:val="nil"/>
            </w:tcBorders>
            <w:shd w:val="clear" w:color="auto" w:fill="auto"/>
            <w:vAlign w:val="center"/>
            <w:hideMark/>
          </w:tcPr>
          <w:p>
            <w:pPr>
              <w:widowControl/>
              <w:spacing w:before="20" w:after="20"/>
              <w:jc w:val="center"/>
              <w:rPr>
                <w:rFonts w:ascii="Times New Roman" w:eastAsia="SimSun" w:hAnsi="Times New Roman" w:cs="Times New Roman"/>
                <w:kern w:val="0"/>
                <w:sz w:val="22"/>
              </w:rPr>
            </w:pPr>
          </w:p>
        </w:tc>
      </w:tr>
      <w:tr>
        <w:trPr>
          <w:trHeight w:val="600"/>
        </w:trPr>
        <w:tc>
          <w:tcPr>
            <w:tcW w:w="1154" w:type="pct"/>
            <w:tcBorders>
              <w:top w:val="nil"/>
              <w:left w:val="nil"/>
              <w:right w:val="nil"/>
            </w:tcBorders>
            <w:shd w:val="clear" w:color="auto" w:fill="auto"/>
            <w:vAlign w:val="center"/>
            <w:hideMark/>
          </w:tcPr>
          <w:p>
            <w:pPr>
              <w:widowControl/>
              <w:spacing w:before="20" w:after="20"/>
              <w:jc w:val="left"/>
              <w:rPr>
                <w:rFonts w:ascii="Times New Roman" w:eastAsia="SimSun" w:hAnsi="Times New Roman" w:cs="Times New Roman"/>
                <w:color w:val="000000"/>
                <w:kern w:val="0"/>
                <w:sz w:val="22"/>
              </w:rPr>
            </w:pPr>
            <w:r>
              <w:rPr>
                <w:rFonts w:ascii="Times New Roman" w:eastAsia="SimSun" w:hAnsi="Times New Roman" w:cs="Times New Roman"/>
                <w:color w:val="000000"/>
                <w:kern w:val="0"/>
                <w:sz w:val="22"/>
              </w:rPr>
              <w:t>pp-DDE</w:t>
            </w:r>
          </w:p>
        </w:tc>
        <w:tc>
          <w:tcPr>
            <w:tcW w:w="1519" w:type="pct"/>
            <w:tcBorders>
              <w:top w:val="nil"/>
              <w:left w:val="nil"/>
              <w:right w:val="nil"/>
            </w:tcBorders>
            <w:shd w:val="clear" w:color="auto" w:fill="auto"/>
            <w:vAlign w:val="center"/>
            <w:hideMark/>
          </w:tcPr>
          <w:p>
            <w:pPr>
              <w:widowControl/>
              <w:spacing w:before="20" w:after="20"/>
              <w:jc w:val="center"/>
              <w:rPr>
                <w:rFonts w:ascii="Times New Roman" w:eastAsia="SimSun" w:hAnsi="Times New Roman" w:cs="Times New Roman"/>
                <w:color w:val="000000"/>
                <w:kern w:val="0"/>
                <w:sz w:val="22"/>
              </w:rPr>
            </w:pPr>
            <w:r>
              <w:rPr>
                <w:rFonts w:ascii="Times New Roman" w:eastAsia="SimSun" w:hAnsi="Times New Roman" w:cs="Times New Roman"/>
                <w:color w:val="000000"/>
                <w:kern w:val="0"/>
                <w:sz w:val="22"/>
              </w:rPr>
              <w:t>0.10</w:t>
            </w:r>
            <w:r>
              <w:rPr>
                <w:rFonts w:ascii="Times New Roman" w:eastAsia="SimSun" w:hAnsi="Times New Roman" w:cs="Times New Roman"/>
                <w:color w:val="000000"/>
                <w:kern w:val="0"/>
                <w:sz w:val="22"/>
              </w:rPr>
              <w:br/>
              <w:t>(0.04-0.30)</w:t>
            </w:r>
          </w:p>
        </w:tc>
        <w:tc>
          <w:tcPr>
            <w:tcW w:w="201" w:type="pct"/>
            <w:tcBorders>
              <w:top w:val="nil"/>
              <w:left w:val="nil"/>
              <w:right w:val="nil"/>
            </w:tcBorders>
            <w:shd w:val="clear" w:color="auto" w:fill="auto"/>
            <w:vAlign w:val="center"/>
            <w:hideMark/>
          </w:tcPr>
          <w:p>
            <w:pPr>
              <w:widowControl/>
              <w:spacing w:before="20" w:after="20"/>
              <w:jc w:val="center"/>
              <w:rPr>
                <w:rFonts w:ascii="Times New Roman" w:eastAsia="SimSun" w:hAnsi="Times New Roman" w:cs="Times New Roman"/>
                <w:color w:val="000000"/>
                <w:kern w:val="0"/>
                <w:sz w:val="22"/>
              </w:rPr>
            </w:pPr>
          </w:p>
        </w:tc>
        <w:tc>
          <w:tcPr>
            <w:tcW w:w="1285" w:type="pct"/>
            <w:tcBorders>
              <w:top w:val="nil"/>
              <w:left w:val="nil"/>
              <w:right w:val="nil"/>
            </w:tcBorders>
            <w:shd w:val="clear" w:color="auto" w:fill="auto"/>
            <w:vAlign w:val="center"/>
            <w:hideMark/>
          </w:tcPr>
          <w:p>
            <w:pPr>
              <w:widowControl/>
              <w:spacing w:before="20" w:after="20"/>
              <w:jc w:val="center"/>
              <w:rPr>
                <w:rFonts w:ascii="Times New Roman" w:eastAsia="SimSun" w:hAnsi="Times New Roman" w:cs="Times New Roman"/>
                <w:color w:val="000000"/>
                <w:kern w:val="0"/>
                <w:sz w:val="22"/>
              </w:rPr>
            </w:pPr>
            <w:r>
              <w:rPr>
                <w:rFonts w:ascii="Times New Roman" w:eastAsia="SimSun" w:hAnsi="Times New Roman" w:cs="Times New Roman"/>
                <w:color w:val="000000"/>
                <w:kern w:val="0"/>
                <w:sz w:val="22"/>
              </w:rPr>
              <w:t>0.11</w:t>
            </w:r>
            <w:r>
              <w:rPr>
                <w:rFonts w:ascii="Times New Roman" w:eastAsia="SimSun" w:hAnsi="Times New Roman" w:cs="Times New Roman"/>
                <w:color w:val="000000"/>
                <w:kern w:val="0"/>
                <w:sz w:val="22"/>
              </w:rPr>
              <w:br/>
              <w:t>(0.05-0.24)</w:t>
            </w:r>
          </w:p>
        </w:tc>
        <w:tc>
          <w:tcPr>
            <w:tcW w:w="641" w:type="pct"/>
            <w:tcBorders>
              <w:top w:val="nil"/>
              <w:left w:val="nil"/>
              <w:right w:val="nil"/>
            </w:tcBorders>
            <w:shd w:val="clear" w:color="auto" w:fill="auto"/>
            <w:vAlign w:val="center"/>
            <w:hideMark/>
          </w:tcPr>
          <w:p>
            <w:pPr>
              <w:widowControl/>
              <w:spacing w:before="20" w:after="20"/>
              <w:jc w:val="center"/>
              <w:rPr>
                <w:rFonts w:ascii="Times New Roman" w:eastAsia="SimSun" w:hAnsi="Times New Roman" w:cs="Times New Roman"/>
                <w:kern w:val="0"/>
                <w:sz w:val="22"/>
              </w:rPr>
            </w:pPr>
            <w:r>
              <w:rPr>
                <w:rFonts w:ascii="Times New Roman" w:eastAsia="SimSun" w:hAnsi="Times New Roman" w:cs="Times New Roman"/>
                <w:kern w:val="0"/>
                <w:sz w:val="22"/>
              </w:rPr>
              <w:t>0.890</w:t>
            </w:r>
          </w:p>
        </w:tc>
        <w:tc>
          <w:tcPr>
            <w:tcW w:w="200" w:type="pct"/>
            <w:tcBorders>
              <w:top w:val="nil"/>
              <w:left w:val="nil"/>
              <w:right w:val="nil"/>
            </w:tcBorders>
            <w:shd w:val="clear" w:color="auto" w:fill="auto"/>
            <w:vAlign w:val="center"/>
            <w:hideMark/>
          </w:tcPr>
          <w:p>
            <w:pPr>
              <w:widowControl/>
              <w:spacing w:before="20" w:after="20"/>
              <w:jc w:val="center"/>
              <w:rPr>
                <w:rFonts w:ascii="Times New Roman" w:eastAsia="SimSun" w:hAnsi="Times New Roman" w:cs="Times New Roman"/>
                <w:kern w:val="0"/>
                <w:sz w:val="22"/>
              </w:rPr>
            </w:pPr>
          </w:p>
        </w:tc>
      </w:tr>
      <w:tr>
        <w:trPr>
          <w:trHeight w:val="315"/>
        </w:trPr>
        <w:tc>
          <w:tcPr>
            <w:tcW w:w="1154" w:type="pct"/>
            <w:tcBorders>
              <w:top w:val="nil"/>
              <w:left w:val="nil"/>
              <w:bottom w:val="single" w:sz="12" w:space="0" w:color="auto"/>
              <w:right w:val="nil"/>
            </w:tcBorders>
            <w:shd w:val="clear" w:color="auto" w:fill="auto"/>
            <w:vAlign w:val="center"/>
            <w:hideMark/>
          </w:tcPr>
          <w:p>
            <w:pPr>
              <w:widowControl/>
              <w:spacing w:before="20" w:after="20"/>
              <w:jc w:val="left"/>
              <w:rPr>
                <w:rFonts w:ascii="Times New Roman" w:eastAsia="SimSun" w:hAnsi="Times New Roman" w:cs="Times New Roman"/>
                <w:color w:val="000000"/>
                <w:kern w:val="0"/>
                <w:sz w:val="22"/>
              </w:rPr>
            </w:pPr>
            <w:r>
              <w:rPr>
                <w:rFonts w:ascii="Times New Roman" w:eastAsia="SimSun" w:hAnsi="Times New Roman" w:cs="Times New Roman"/>
                <w:color w:val="000000"/>
                <w:kern w:val="0"/>
                <w:sz w:val="22"/>
              </w:rPr>
              <w:t>∑OCPs</w:t>
            </w:r>
          </w:p>
        </w:tc>
        <w:tc>
          <w:tcPr>
            <w:tcW w:w="1519" w:type="pct"/>
            <w:tcBorders>
              <w:top w:val="nil"/>
              <w:left w:val="nil"/>
              <w:bottom w:val="single" w:sz="12" w:space="0" w:color="auto"/>
              <w:right w:val="nil"/>
            </w:tcBorders>
            <w:shd w:val="clear" w:color="auto" w:fill="auto"/>
            <w:vAlign w:val="center"/>
            <w:hideMark/>
          </w:tcPr>
          <w:p>
            <w:pPr>
              <w:widowControl/>
              <w:spacing w:before="20" w:after="20"/>
              <w:jc w:val="center"/>
              <w:rPr>
                <w:rFonts w:ascii="Times New Roman" w:eastAsia="SimSun" w:hAnsi="Times New Roman" w:cs="Times New Roman"/>
                <w:color w:val="000000"/>
                <w:kern w:val="0"/>
                <w:sz w:val="22"/>
              </w:rPr>
            </w:pPr>
            <w:r>
              <w:rPr>
                <w:rFonts w:ascii="Times New Roman" w:eastAsia="SimSun" w:hAnsi="Times New Roman" w:cs="Times New Roman"/>
                <w:color w:val="000000"/>
                <w:kern w:val="0"/>
                <w:sz w:val="22"/>
              </w:rPr>
              <w:t>1.03</w:t>
            </w:r>
            <w:r>
              <w:rPr>
                <w:rFonts w:ascii="Times New Roman" w:eastAsia="SimSun" w:hAnsi="Times New Roman" w:cs="Times New Roman"/>
                <w:color w:val="000000"/>
                <w:kern w:val="0"/>
                <w:sz w:val="22"/>
              </w:rPr>
              <w:br/>
              <w:t>(0.72-1.45)</w:t>
            </w:r>
          </w:p>
        </w:tc>
        <w:tc>
          <w:tcPr>
            <w:tcW w:w="201" w:type="pct"/>
            <w:tcBorders>
              <w:top w:val="nil"/>
              <w:left w:val="nil"/>
              <w:bottom w:val="single" w:sz="12" w:space="0" w:color="auto"/>
              <w:right w:val="nil"/>
            </w:tcBorders>
            <w:shd w:val="clear" w:color="auto" w:fill="auto"/>
            <w:vAlign w:val="center"/>
            <w:hideMark/>
          </w:tcPr>
          <w:p>
            <w:pPr>
              <w:widowControl/>
              <w:spacing w:before="20" w:after="20"/>
              <w:jc w:val="center"/>
              <w:rPr>
                <w:rFonts w:ascii="Times New Roman" w:eastAsia="SimSun" w:hAnsi="Times New Roman" w:cs="Times New Roman"/>
                <w:color w:val="000000"/>
                <w:kern w:val="0"/>
                <w:sz w:val="22"/>
              </w:rPr>
            </w:pPr>
            <w:r>
              <w:rPr>
                <w:rFonts w:ascii="Times New Roman" w:eastAsia="SimSun" w:hAnsi="Times New Roman" w:cs="Times New Roman"/>
                <w:color w:val="000000"/>
                <w:kern w:val="0"/>
                <w:sz w:val="22"/>
              </w:rPr>
              <w:t xml:space="preserve">　</w:t>
            </w:r>
          </w:p>
        </w:tc>
        <w:tc>
          <w:tcPr>
            <w:tcW w:w="1285" w:type="pct"/>
            <w:tcBorders>
              <w:top w:val="nil"/>
              <w:left w:val="nil"/>
              <w:bottom w:val="single" w:sz="12" w:space="0" w:color="auto"/>
              <w:right w:val="nil"/>
            </w:tcBorders>
            <w:shd w:val="clear" w:color="auto" w:fill="auto"/>
            <w:vAlign w:val="center"/>
            <w:hideMark/>
          </w:tcPr>
          <w:p>
            <w:pPr>
              <w:widowControl/>
              <w:spacing w:before="20" w:after="20"/>
              <w:jc w:val="center"/>
              <w:rPr>
                <w:rFonts w:ascii="Times New Roman" w:eastAsia="SimSun" w:hAnsi="Times New Roman" w:cs="Times New Roman"/>
                <w:color w:val="000000"/>
                <w:kern w:val="0"/>
                <w:sz w:val="22"/>
              </w:rPr>
            </w:pPr>
            <w:r>
              <w:rPr>
                <w:rFonts w:ascii="Times New Roman" w:eastAsia="SimSun" w:hAnsi="Times New Roman" w:cs="Times New Roman"/>
                <w:color w:val="000000"/>
                <w:kern w:val="0"/>
                <w:sz w:val="22"/>
              </w:rPr>
              <w:t>1.04</w:t>
            </w:r>
            <w:r>
              <w:rPr>
                <w:rFonts w:ascii="Times New Roman" w:eastAsia="SimSun" w:hAnsi="Times New Roman" w:cs="Times New Roman"/>
                <w:color w:val="000000"/>
                <w:kern w:val="0"/>
                <w:sz w:val="22"/>
              </w:rPr>
              <w:br/>
              <w:t>(0.66-1.60)</w:t>
            </w:r>
          </w:p>
        </w:tc>
        <w:tc>
          <w:tcPr>
            <w:tcW w:w="641" w:type="pct"/>
            <w:tcBorders>
              <w:top w:val="nil"/>
              <w:left w:val="nil"/>
              <w:bottom w:val="single" w:sz="12" w:space="0" w:color="auto"/>
              <w:right w:val="nil"/>
            </w:tcBorders>
            <w:shd w:val="clear" w:color="auto" w:fill="auto"/>
            <w:vAlign w:val="center"/>
            <w:hideMark/>
          </w:tcPr>
          <w:p>
            <w:pPr>
              <w:widowControl/>
              <w:spacing w:before="20" w:after="20"/>
              <w:jc w:val="center"/>
              <w:rPr>
                <w:rFonts w:ascii="Times New Roman" w:eastAsia="SimSun" w:hAnsi="Times New Roman" w:cs="Times New Roman"/>
                <w:kern w:val="0"/>
                <w:sz w:val="22"/>
              </w:rPr>
            </w:pPr>
            <w:r>
              <w:rPr>
                <w:rFonts w:ascii="Times New Roman" w:eastAsia="SimSun" w:hAnsi="Times New Roman" w:cs="Times New Roman"/>
                <w:kern w:val="0"/>
                <w:sz w:val="22"/>
              </w:rPr>
              <w:t>0.565</w:t>
            </w:r>
          </w:p>
        </w:tc>
        <w:tc>
          <w:tcPr>
            <w:tcW w:w="200" w:type="pct"/>
            <w:tcBorders>
              <w:top w:val="nil"/>
              <w:left w:val="nil"/>
              <w:bottom w:val="single" w:sz="12" w:space="0" w:color="auto"/>
              <w:right w:val="nil"/>
            </w:tcBorders>
            <w:shd w:val="clear" w:color="auto" w:fill="auto"/>
            <w:vAlign w:val="center"/>
            <w:hideMark/>
          </w:tcPr>
          <w:p>
            <w:pPr>
              <w:widowControl/>
              <w:spacing w:before="20" w:after="20"/>
              <w:jc w:val="center"/>
              <w:rPr>
                <w:rFonts w:ascii="Times New Roman" w:eastAsia="SimSun" w:hAnsi="Times New Roman" w:cs="Times New Roman"/>
                <w:kern w:val="0"/>
                <w:sz w:val="22"/>
              </w:rPr>
            </w:pPr>
            <w:r>
              <w:rPr>
                <w:rFonts w:ascii="Times New Roman" w:eastAsia="SimSun" w:hAnsi="Times New Roman" w:cs="Times New Roman"/>
                <w:kern w:val="0"/>
                <w:sz w:val="22"/>
              </w:rPr>
              <w:t xml:space="preserve">　</w:t>
            </w:r>
          </w:p>
        </w:tc>
      </w:tr>
    </w:tbl>
    <w:p>
      <w:pPr>
        <w:autoSpaceDE w:val="0"/>
        <w:autoSpaceDN w:val="0"/>
        <w:adjustRightInd w:val="0"/>
        <w:spacing w:line="480" w:lineRule="auto"/>
        <w:rPr>
          <w:rFonts w:ascii="Times New Roman" w:hAnsi="Times New Roman" w:cs="Times New Roman"/>
          <w:kern w:val="0"/>
          <w:sz w:val="24"/>
          <w:szCs w:val="24"/>
        </w:rPr>
      </w:pPr>
      <w:r>
        <w:rPr>
          <w:rFonts w:ascii="Times New Roman" w:hAnsi="Times New Roman" w:cs="Times New Roman"/>
          <w:sz w:val="24"/>
          <w:szCs w:val="24"/>
        </w:rPr>
        <w:t xml:space="preserve">HCB, </w:t>
      </w:r>
      <w:proofErr w:type="spellStart"/>
      <w:r>
        <w:rPr>
          <w:rFonts w:ascii="Times New Roman" w:eastAsia="SimSun" w:hAnsi="Times New Roman" w:cs="Times New Roman"/>
          <w:kern w:val="0"/>
          <w:sz w:val="24"/>
          <w:szCs w:val="24"/>
        </w:rPr>
        <w:t>hexachlorobezene</w:t>
      </w:r>
      <w:proofErr w:type="spellEnd"/>
      <w:r>
        <w:rPr>
          <w:rFonts w:ascii="Times New Roman" w:eastAsia="SimSun" w:hAnsi="Times New Roman" w:cs="Times New Roman"/>
          <w:kern w:val="0"/>
          <w:sz w:val="24"/>
          <w:szCs w:val="24"/>
        </w:rPr>
        <w:t>; β-HCH, β-</w:t>
      </w:r>
      <w:proofErr w:type="spellStart"/>
      <w:r>
        <w:rPr>
          <w:rFonts w:ascii="Times New Roman" w:eastAsia="SimSun" w:hAnsi="Times New Roman" w:cs="Times New Roman"/>
          <w:kern w:val="0"/>
          <w:sz w:val="24"/>
          <w:szCs w:val="24"/>
        </w:rPr>
        <w:t>hexachlorocyclohexane</w:t>
      </w:r>
      <w:proofErr w:type="spellEnd"/>
      <w:r>
        <w:rPr>
          <w:rFonts w:ascii="Times New Roman" w:hAnsi="Times New Roman" w:cs="Times New Roman"/>
          <w:sz w:val="24"/>
          <w:szCs w:val="24"/>
        </w:rPr>
        <w:t xml:space="preserve">; </w:t>
      </w:r>
      <w:r>
        <w:rPr>
          <w:rFonts w:ascii="Times New Roman" w:eastAsia="SimSun" w:hAnsi="Times New Roman" w:cs="Times New Roman"/>
          <w:kern w:val="0"/>
          <w:sz w:val="24"/>
          <w:szCs w:val="24"/>
        </w:rPr>
        <w:t>γ-HCH, γ-</w:t>
      </w:r>
      <w:r>
        <w:rPr>
          <w:rFonts w:ascii="Times New Roman" w:eastAsia="SimSun" w:hAnsi="Times New Roman" w:cs="Times New Roman"/>
          <w:kern w:val="0"/>
          <w:sz w:val="24"/>
          <w:szCs w:val="24"/>
        </w:rPr>
        <w:lastRenderedPageBreak/>
        <w:t>hexachlorocyclohexane</w:t>
      </w:r>
      <w:r>
        <w:rPr>
          <w:rFonts w:ascii="Times New Roman" w:hAnsi="Times New Roman" w:cs="Times New Roman"/>
          <w:sz w:val="24"/>
          <w:szCs w:val="24"/>
        </w:rPr>
        <w:t>; HCEAB</w:t>
      </w:r>
      <w:r>
        <w:rPr>
          <w:rFonts w:ascii="Times New Roman" w:eastAsia="SimSun" w:hAnsi="Times New Roman" w:cs="Times New Roman"/>
          <w:kern w:val="0"/>
          <w:sz w:val="24"/>
          <w:szCs w:val="24"/>
        </w:rPr>
        <w:t>, heptachlor epoxide</w:t>
      </w:r>
      <w:r>
        <w:rPr>
          <w:rFonts w:ascii="Times New Roman" w:hAnsi="Times New Roman" w:cs="Times New Roman"/>
          <w:sz w:val="24"/>
          <w:szCs w:val="24"/>
        </w:rPr>
        <w:t>; IDR</w:t>
      </w:r>
      <w:r>
        <w:rPr>
          <w:rFonts w:ascii="Times New Roman" w:eastAsia="SimSun" w:hAnsi="Times New Roman" w:cs="Times New Roman"/>
          <w:kern w:val="0"/>
          <w:sz w:val="24"/>
          <w:szCs w:val="24"/>
        </w:rPr>
        <w:t xml:space="preserve">, </w:t>
      </w:r>
      <w:proofErr w:type="spellStart"/>
      <w:r>
        <w:rPr>
          <w:rFonts w:ascii="Times New Roman" w:eastAsia="SimSun" w:hAnsi="Times New Roman" w:cs="Times New Roman"/>
          <w:kern w:val="0"/>
          <w:sz w:val="24"/>
          <w:szCs w:val="24"/>
        </w:rPr>
        <w:t>isodrin</w:t>
      </w:r>
      <w:proofErr w:type="spellEnd"/>
      <w:r>
        <w:rPr>
          <w:rFonts w:ascii="Times New Roman" w:hAnsi="Times New Roman" w:cs="Times New Roman"/>
          <w:sz w:val="24"/>
          <w:szCs w:val="24"/>
        </w:rPr>
        <w:t xml:space="preserve">; </w:t>
      </w:r>
      <w:r>
        <w:rPr>
          <w:rFonts w:ascii="Times New Roman" w:eastAsia="SimSun" w:hAnsi="Times New Roman" w:cs="Times New Roman"/>
          <w:kern w:val="0"/>
          <w:sz w:val="24"/>
          <w:szCs w:val="24"/>
        </w:rPr>
        <w:t xml:space="preserve">ENS </w:t>
      </w:r>
      <w:proofErr w:type="gramStart"/>
      <w:r>
        <w:rPr>
          <w:rFonts w:ascii="Times New Roman" w:eastAsia="SimSun" w:hAnsi="Times New Roman" w:cs="Times New Roman"/>
          <w:kern w:val="0"/>
          <w:sz w:val="24"/>
          <w:szCs w:val="24"/>
        </w:rPr>
        <w:t>I ,</w:t>
      </w:r>
      <w:proofErr w:type="gramEnd"/>
      <w:r>
        <w:rPr>
          <w:rFonts w:ascii="Times New Roman" w:eastAsia="SimSun" w:hAnsi="Times New Roman" w:cs="Times New Roman"/>
          <w:kern w:val="0"/>
          <w:sz w:val="24"/>
          <w:szCs w:val="24"/>
        </w:rPr>
        <w:t xml:space="preserve"> α-</w:t>
      </w:r>
      <w:proofErr w:type="spellStart"/>
      <w:r>
        <w:rPr>
          <w:rFonts w:ascii="Times New Roman" w:eastAsia="SimSun" w:hAnsi="Times New Roman" w:cs="Times New Roman"/>
          <w:kern w:val="0"/>
          <w:sz w:val="24"/>
          <w:szCs w:val="24"/>
        </w:rPr>
        <w:t>endosulfan</w:t>
      </w:r>
      <w:proofErr w:type="spellEnd"/>
      <w:r>
        <w:rPr>
          <w:rFonts w:ascii="Times New Roman" w:hAnsi="Times New Roman" w:cs="Times New Roman"/>
          <w:sz w:val="24"/>
          <w:szCs w:val="24"/>
        </w:rPr>
        <w:t xml:space="preserve">; pp-DDE, </w:t>
      </w:r>
      <w:proofErr w:type="spellStart"/>
      <w:r>
        <w:rPr>
          <w:rFonts w:ascii="Times New Roman" w:eastAsia="SimSun" w:hAnsi="Times New Roman" w:cs="Times New Roman"/>
          <w:kern w:val="0"/>
          <w:sz w:val="24"/>
          <w:szCs w:val="24"/>
        </w:rPr>
        <w:t>p,p</w:t>
      </w:r>
      <w:proofErr w:type="spellEnd"/>
      <w:r>
        <w:rPr>
          <w:rFonts w:ascii="Times New Roman" w:eastAsia="SimSun" w:hAnsi="Times New Roman" w:cs="Times New Roman"/>
          <w:kern w:val="0"/>
          <w:sz w:val="24"/>
          <w:szCs w:val="24"/>
        </w:rPr>
        <w:t>’-DDE</w:t>
      </w:r>
      <w:r>
        <w:rPr>
          <w:rFonts w:ascii="Times New Roman" w:hAnsi="Times New Roman" w:cs="Times New Roman"/>
          <w:sz w:val="24"/>
          <w:szCs w:val="24"/>
        </w:rPr>
        <w:t xml:space="preserve">; ΣOCPs is the sum of HCB, </w:t>
      </w:r>
      <w:r>
        <w:rPr>
          <w:rFonts w:ascii="Times New Roman" w:eastAsia="SimSun" w:hAnsi="Times New Roman" w:cs="Times New Roman"/>
          <w:kern w:val="0"/>
          <w:sz w:val="24"/>
          <w:szCs w:val="24"/>
        </w:rPr>
        <w:t>β-</w:t>
      </w:r>
      <w:proofErr w:type="spellStart"/>
      <w:r>
        <w:rPr>
          <w:rFonts w:ascii="Times New Roman" w:eastAsia="SimSun" w:hAnsi="Times New Roman" w:cs="Times New Roman"/>
          <w:kern w:val="0"/>
          <w:sz w:val="24"/>
          <w:szCs w:val="24"/>
        </w:rPr>
        <w:t>HCH,γ</w:t>
      </w:r>
      <w:proofErr w:type="spellEnd"/>
      <w:r>
        <w:rPr>
          <w:rFonts w:ascii="Times New Roman" w:eastAsia="SimSun" w:hAnsi="Times New Roman" w:cs="Times New Roman"/>
          <w:kern w:val="0"/>
          <w:sz w:val="24"/>
          <w:szCs w:val="24"/>
        </w:rPr>
        <w:t xml:space="preserve">-HCH, </w:t>
      </w:r>
      <w:r>
        <w:rPr>
          <w:rFonts w:ascii="Times New Roman" w:hAnsi="Times New Roman" w:cs="Times New Roman"/>
          <w:sz w:val="24"/>
          <w:szCs w:val="24"/>
        </w:rPr>
        <w:t>HCEAB</w:t>
      </w:r>
      <w:r>
        <w:rPr>
          <w:rFonts w:ascii="Times New Roman" w:eastAsia="SimSun" w:hAnsi="Times New Roman" w:cs="Times New Roman"/>
          <w:kern w:val="0"/>
          <w:sz w:val="24"/>
          <w:szCs w:val="24"/>
        </w:rPr>
        <w:t xml:space="preserve">, </w:t>
      </w:r>
      <w:r>
        <w:rPr>
          <w:rFonts w:ascii="Times New Roman" w:hAnsi="Times New Roman" w:cs="Times New Roman"/>
          <w:sz w:val="24"/>
          <w:szCs w:val="24"/>
        </w:rPr>
        <w:t>IDR</w:t>
      </w:r>
      <w:r>
        <w:rPr>
          <w:rFonts w:ascii="Times New Roman" w:eastAsia="SimSun" w:hAnsi="Times New Roman" w:cs="Times New Roman"/>
          <w:kern w:val="0"/>
          <w:sz w:val="24"/>
          <w:szCs w:val="24"/>
        </w:rPr>
        <w:t xml:space="preserve">, ENS I, pp-DDE; </w:t>
      </w:r>
      <w:r>
        <w:rPr>
          <w:rFonts w:ascii="Times New Roman" w:hAnsi="Times New Roman" w:cs="Times New Roman"/>
          <w:sz w:val="24"/>
          <w:szCs w:val="24"/>
        </w:rPr>
        <w:t xml:space="preserve">OFCs, </w:t>
      </w:r>
      <w:r>
        <w:rPr>
          <w:rFonts w:ascii="Times New Roman" w:hAnsi="Times New Roman" w:cs="Times New Roman"/>
          <w:kern w:val="0"/>
          <w:sz w:val="24"/>
          <w:szCs w:val="24"/>
        </w:rPr>
        <w:t>orofacial clefts</w:t>
      </w:r>
    </w:p>
    <w:p>
      <w:pPr>
        <w:spacing w:line="480" w:lineRule="auto"/>
        <w:rPr>
          <w:rFonts w:ascii="Times New Roman" w:hAnsi="Times New Roman" w:cs="Times New Roman"/>
          <w:kern w:val="0"/>
          <w:sz w:val="24"/>
          <w:szCs w:val="24"/>
        </w:rPr>
      </w:pPr>
      <w:proofErr w:type="spellStart"/>
      <w:proofErr w:type="gramStart"/>
      <w:r>
        <w:rPr>
          <w:rFonts w:ascii="Times New Roman" w:hAnsi="Times New Roman" w:cs="Times New Roman"/>
          <w:kern w:val="0"/>
          <w:sz w:val="24"/>
          <w:szCs w:val="24"/>
          <w:vertAlign w:val="superscript"/>
        </w:rPr>
        <w:t>a</w:t>
      </w:r>
      <w:proofErr w:type="spellEnd"/>
      <w:proofErr w:type="gramEnd"/>
      <w:r>
        <w:rPr>
          <w:rFonts w:ascii="Times New Roman" w:hAnsi="Times New Roman" w:cs="Times New Roman"/>
          <w:kern w:val="0"/>
          <w:sz w:val="24"/>
          <w:szCs w:val="24"/>
        </w:rPr>
        <w:t xml:space="preserve"> The levels of OCPs in umbilical cord tissues of OFC cases and controls </w:t>
      </w:r>
      <w:r>
        <w:rPr>
          <w:rFonts w:ascii="Times New Roman" w:hAnsi="Times New Roman" w:cs="Times New Roman" w:hint="eastAsia"/>
          <w:kern w:val="0"/>
          <w:sz w:val="24"/>
          <w:szCs w:val="24"/>
        </w:rPr>
        <w:t>are</w:t>
      </w:r>
      <w:r>
        <w:rPr>
          <w:rFonts w:ascii="Times New Roman" w:hAnsi="Times New Roman" w:cs="Times New Roman"/>
          <w:kern w:val="0"/>
          <w:sz w:val="24"/>
          <w:szCs w:val="24"/>
        </w:rPr>
        <w:t xml:space="preserve"> based on a dry weight.</w:t>
      </w:r>
    </w:p>
    <w:p>
      <w:pPr>
        <w:spacing w:line="480" w:lineRule="auto"/>
        <w:rPr>
          <w:rFonts w:ascii="Times New Roman" w:hAnsi="Times New Roman" w:cs="Times New Roman"/>
          <w:sz w:val="24"/>
          <w:szCs w:val="24"/>
        </w:rPr>
      </w:pPr>
      <w:proofErr w:type="gramStart"/>
      <w:r>
        <w:rPr>
          <w:rFonts w:ascii="Times New Roman" w:hAnsi="Times New Roman" w:cs="Times New Roman"/>
          <w:kern w:val="0"/>
          <w:sz w:val="24"/>
          <w:szCs w:val="24"/>
          <w:vertAlign w:val="superscript"/>
        </w:rPr>
        <w:t>b</w:t>
      </w:r>
      <w:proofErr w:type="gramEnd"/>
      <w:r>
        <w:rPr>
          <w:rFonts w:ascii="Times New Roman" w:hAnsi="Times New Roman" w:cs="Times New Roman"/>
          <w:kern w:val="0"/>
          <w:sz w:val="24"/>
          <w:szCs w:val="24"/>
        </w:rPr>
        <w:t xml:space="preserve"> Bonferroni corrections </w:t>
      </w:r>
      <w:r>
        <w:rPr>
          <w:rFonts w:ascii="Times New Roman" w:hAnsi="Times New Roman" w:cs="Times New Roman"/>
          <w:i/>
          <w:kern w:val="0"/>
          <w:sz w:val="24"/>
          <w:szCs w:val="24"/>
        </w:rPr>
        <w:t>P</w:t>
      </w:r>
      <w:r>
        <w:rPr>
          <w:rFonts w:ascii="Times New Roman" w:hAnsi="Times New Roman" w:cs="Times New Roman"/>
          <w:kern w:val="0"/>
          <w:sz w:val="24"/>
          <w:szCs w:val="24"/>
        </w:rPr>
        <w:t>-value threshold of 0.007 was considered statistically significant.</w:t>
      </w:r>
    </w:p>
    <w:p>
      <w:pPr>
        <w:pStyle w:val="Heading3"/>
        <w:rPr>
          <w:rFonts w:ascii="Times New Roman" w:hAnsi="Times New Roman" w:cs="Times New Roman"/>
          <w:sz w:val="24"/>
          <w:szCs w:val="24"/>
        </w:rPr>
      </w:pPr>
      <w:r>
        <w:rPr>
          <w:rFonts w:ascii="Times New Roman" w:hAnsi="Times New Roman" w:cs="Times New Roman"/>
          <w:sz w:val="24"/>
          <w:szCs w:val="24"/>
        </w:rPr>
        <w:t>3.3.1 Multivariable logistic model to assess the association between OCPs concentration and OFCs</w:t>
      </w:r>
    </w:p>
    <w:p>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kern w:val="0"/>
          <w:sz w:val="24"/>
          <w:szCs w:val="24"/>
        </w:rPr>
        <w:t xml:space="preserve">Table 2 </w:t>
      </w:r>
      <w:r>
        <w:rPr>
          <w:rFonts w:ascii="Times New Roman" w:hAnsi="Times New Roman" w:cs="Times New Roman"/>
          <w:sz w:val="24"/>
          <w:szCs w:val="24"/>
        </w:rPr>
        <w:t xml:space="preserve">showed </w:t>
      </w:r>
      <w:r>
        <w:rPr>
          <w:rFonts w:ascii="Times New Roman" w:hAnsi="Times New Roman" w:cs="Times New Roman"/>
          <w:kern w:val="0"/>
          <w:sz w:val="24"/>
          <w:szCs w:val="24"/>
        </w:rPr>
        <w:t xml:space="preserve">the results from the </w:t>
      </w:r>
      <w:r>
        <w:rPr>
          <w:rFonts w:ascii="Times New Roman" w:hAnsi="Times New Roman" w:cs="Times New Roman"/>
          <w:sz w:val="24"/>
          <w:szCs w:val="24"/>
        </w:rPr>
        <w:t xml:space="preserve">multivariate logistic models </w:t>
      </w:r>
      <w:r>
        <w:rPr>
          <w:rFonts w:ascii="Times New Roman" w:hAnsi="Times New Roman" w:cs="Times New Roman"/>
          <w:kern w:val="0"/>
          <w:sz w:val="24"/>
          <w:szCs w:val="24"/>
        </w:rPr>
        <w:t xml:space="preserve">for associations between the concentrations of the OCPs </w:t>
      </w:r>
      <w:r>
        <w:rPr>
          <w:rFonts w:ascii="Times New Roman" w:hAnsi="Times New Roman" w:cs="Times New Roman"/>
          <w:sz w:val="24"/>
          <w:szCs w:val="24"/>
        </w:rPr>
        <w:t xml:space="preserve">in umbilical cord </w:t>
      </w:r>
      <w:r>
        <w:rPr>
          <w:rFonts w:ascii="Times New Roman" w:hAnsi="Times New Roman" w:cs="Times New Roman"/>
          <w:kern w:val="0"/>
          <w:sz w:val="24"/>
          <w:szCs w:val="24"/>
        </w:rPr>
        <w:t>and OFCs risk.</w:t>
      </w:r>
      <w:r>
        <w:rPr>
          <w:rFonts w:ascii="Times New Roman" w:hAnsi="Times New Roman" w:cs="Times New Roman"/>
          <w:sz w:val="24"/>
          <w:szCs w:val="24"/>
        </w:rPr>
        <w:t xml:space="preserve"> No significant association was found between </w:t>
      </w:r>
      <w:r>
        <w:rPr>
          <w:rFonts w:ascii="Times New Roman" w:hAnsi="Times New Roman" w:cs="Times New Roman" w:hint="eastAsia"/>
          <w:sz w:val="24"/>
          <w:szCs w:val="24"/>
        </w:rPr>
        <w:t xml:space="preserve">the </w:t>
      </w:r>
      <w:r>
        <w:rPr>
          <w:rFonts w:ascii="Times New Roman" w:hAnsi="Times New Roman" w:cs="Times New Roman"/>
          <w:sz w:val="24"/>
          <w:szCs w:val="24"/>
        </w:rPr>
        <w:t>concentration of the</w:t>
      </w:r>
      <w:r>
        <w:rPr>
          <w:rFonts w:ascii="Times New Roman" w:hAnsi="Times New Roman" w:cs="Times New Roman" w:hint="eastAsia"/>
          <w:sz w:val="24"/>
          <w:szCs w:val="24"/>
        </w:rPr>
        <w:t xml:space="preserve"> sum</w:t>
      </w:r>
      <w:r>
        <w:rPr>
          <w:rFonts w:ascii="Times New Roman" w:hAnsi="Times New Roman" w:cs="Times New Roman"/>
          <w:sz w:val="24"/>
          <w:szCs w:val="24"/>
        </w:rPr>
        <w:t xml:space="preserve"> </w:t>
      </w:r>
      <w:r>
        <w:rPr>
          <w:rFonts w:ascii="Times New Roman" w:hAnsi="Times New Roman" w:cs="Times New Roman" w:hint="eastAsia"/>
          <w:sz w:val="24"/>
          <w:szCs w:val="24"/>
        </w:rPr>
        <w:t>for</w:t>
      </w:r>
      <w:r>
        <w:rPr>
          <w:rFonts w:ascii="Times New Roman" w:hAnsi="Times New Roman" w:cs="Times New Roman"/>
          <w:sz w:val="24"/>
          <w:szCs w:val="24"/>
        </w:rPr>
        <w:t xml:space="preserve"> OCPs (</w:t>
      </w:r>
      <w:r>
        <w:rPr>
          <w:rFonts w:ascii="Times New Roman" w:eastAsia="SimSun" w:hAnsi="Times New Roman" w:cs="Times New Roman"/>
          <w:kern w:val="0"/>
          <w:sz w:val="24"/>
          <w:szCs w:val="24"/>
        </w:rPr>
        <w:t>∑OCPs)</w:t>
      </w:r>
      <w:r>
        <w:rPr>
          <w:rFonts w:ascii="Times New Roman" w:hAnsi="Times New Roman" w:cs="Times New Roman"/>
          <w:sz w:val="24"/>
          <w:szCs w:val="24"/>
        </w:rPr>
        <w:t xml:space="preserve"> in umbilical cord tissues and risk of OFCs in the models without adjusting confounders (crude OR [</w:t>
      </w:r>
      <w:proofErr w:type="spellStart"/>
      <w:r>
        <w:rPr>
          <w:rFonts w:ascii="Times New Roman" w:hAnsi="Times New Roman" w:cs="Times New Roman"/>
          <w:sz w:val="24"/>
          <w:szCs w:val="24"/>
        </w:rPr>
        <w:t>cOR</w:t>
      </w:r>
      <w:proofErr w:type="spellEnd"/>
      <w:r>
        <w:rPr>
          <w:rFonts w:ascii="Times New Roman" w:hAnsi="Times New Roman" w:cs="Times New Roman"/>
          <w:sz w:val="24"/>
          <w:szCs w:val="24"/>
        </w:rPr>
        <w:t>] = 1.04, 95% CI: 0.61-1.78), or adjusting confounders (adjusted OR [</w:t>
      </w:r>
      <w:proofErr w:type="spellStart"/>
      <w:r>
        <w:rPr>
          <w:rFonts w:ascii="Times New Roman" w:eastAsia="SimSun" w:hAnsi="Times New Roman" w:cs="Times New Roman"/>
          <w:kern w:val="0"/>
          <w:sz w:val="24"/>
          <w:szCs w:val="24"/>
        </w:rPr>
        <w:t>aOR</w:t>
      </w:r>
      <w:proofErr w:type="spellEnd"/>
      <w:r>
        <w:rPr>
          <w:rFonts w:ascii="Times New Roman" w:eastAsia="SimSun" w:hAnsi="Times New Roman" w:cs="Times New Roman"/>
          <w:kern w:val="0"/>
          <w:sz w:val="24"/>
          <w:szCs w:val="24"/>
        </w:rPr>
        <w:t>] = 0.81, 95% CI: 0.44-1.49</w:t>
      </w:r>
      <w:r>
        <w:rPr>
          <w:rFonts w:ascii="Times New Roman" w:hAnsi="Times New Roman" w:cs="Times New Roman"/>
          <w:sz w:val="24"/>
          <w:szCs w:val="24"/>
        </w:rPr>
        <w:t>). There was still no association between each single OCP</w:t>
      </w:r>
      <w:r>
        <w:rPr>
          <w:rFonts w:ascii="Times New Roman" w:eastAsia="SimSun" w:hAnsi="Times New Roman" w:cs="Times New Roman"/>
          <w:kern w:val="0"/>
          <w:sz w:val="24"/>
          <w:szCs w:val="24"/>
        </w:rPr>
        <w:t xml:space="preserve"> (HCB, β-HCH, γ-HCH, IDR, HCEAB, ES1, and pp-DDE)</w:t>
      </w:r>
      <w:r>
        <w:rPr>
          <w:rFonts w:ascii="Times New Roman" w:hAnsi="Times New Roman" w:cs="Times New Roman"/>
          <w:sz w:val="24"/>
          <w:szCs w:val="24"/>
        </w:rPr>
        <w:t xml:space="preserve"> in the umbilical cord tissue and risk for OFCs.</w:t>
      </w:r>
    </w:p>
    <w:p>
      <w:pPr>
        <w:autoSpaceDE w:val="0"/>
        <w:autoSpaceDN w:val="0"/>
        <w:adjustRightInd w:val="0"/>
        <w:spacing w:line="480" w:lineRule="auto"/>
        <w:rPr>
          <w:rFonts w:ascii="Times New Roman" w:hAnsi="Times New Roman" w:cs="Times New Roman"/>
          <w:iCs/>
          <w:sz w:val="24"/>
          <w:szCs w:val="24"/>
        </w:rPr>
      </w:pPr>
      <w:r>
        <w:rPr>
          <w:rFonts w:ascii="Times New Roman" w:hAnsi="Times New Roman" w:cs="Times New Roman"/>
          <w:iCs/>
          <w:color w:val="000000" w:themeColor="text1"/>
          <w:sz w:val="24"/>
          <w:szCs w:val="24"/>
        </w:rPr>
        <w:t>We also did the subgroup analysis of cleft lip with cleft palate and cleft lip only</w:t>
      </w:r>
      <w:bookmarkStart w:id="38" w:name="_Hlk55936657"/>
      <w:r>
        <w:rPr>
          <w:rFonts w:ascii="Times New Roman" w:hAnsi="Times New Roman" w:cs="Times New Roman"/>
          <w:iCs/>
          <w:color w:val="000000" w:themeColor="text1"/>
          <w:kern w:val="0"/>
          <w:sz w:val="24"/>
          <w:szCs w:val="24"/>
        </w:rPr>
        <w:t>, and the results were similar to the primary analyses</w:t>
      </w:r>
      <w:r>
        <w:rPr>
          <w:rFonts w:ascii="Times New Roman" w:hAnsi="Times New Roman" w:cs="Times New Roman"/>
          <w:iCs/>
          <w:color w:val="000000" w:themeColor="text1"/>
          <w:sz w:val="24"/>
          <w:szCs w:val="24"/>
        </w:rPr>
        <w:t xml:space="preserve"> </w:t>
      </w:r>
      <w:bookmarkEnd w:id="38"/>
      <w:r>
        <w:rPr>
          <w:rFonts w:ascii="Times New Roman" w:hAnsi="Times New Roman" w:cs="Times New Roman"/>
          <w:iCs/>
          <w:color w:val="000000" w:themeColor="text1"/>
          <w:sz w:val="24"/>
          <w:szCs w:val="24"/>
        </w:rPr>
        <w:t>(</w:t>
      </w:r>
      <w:r>
        <w:rPr>
          <w:rFonts w:ascii="Times New Roman" w:hAnsi="Times New Roman" w:cs="Times New Roman"/>
          <w:iCs/>
          <w:kern w:val="0"/>
          <w:sz w:val="24"/>
          <w:szCs w:val="24"/>
        </w:rPr>
        <w:t>Table S4)</w:t>
      </w:r>
      <w:r>
        <w:rPr>
          <w:rFonts w:ascii="Times New Roman" w:hAnsi="Times New Roman" w:cs="Times New Roman"/>
          <w:iCs/>
          <w:color w:val="00B0F0"/>
          <w:sz w:val="24"/>
          <w:szCs w:val="24"/>
        </w:rPr>
        <w:t>.</w:t>
      </w:r>
    </w:p>
    <w:p>
      <w:pPr>
        <w:pStyle w:val="a0"/>
        <w:jc w:val="center"/>
        <w:rPr>
          <w:b/>
          <w:bCs/>
        </w:rPr>
      </w:pPr>
      <w:bookmarkStart w:id="39" w:name="_Hlk55936744"/>
      <w:bookmarkStart w:id="40" w:name="OLE_LINK32"/>
      <w:bookmarkStart w:id="41" w:name="OLE_LINK37"/>
      <w:bookmarkStart w:id="42" w:name="OLE_LINK38"/>
      <w:r>
        <w:rPr>
          <w:b/>
          <w:bCs/>
        </w:rPr>
        <w:t>Table 2 Associations between concentrations of OCPs in umbilical cord and risks for OFCs</w:t>
      </w:r>
    </w:p>
    <w:tbl>
      <w:tblPr>
        <w:tblW w:w="9178" w:type="dxa"/>
        <w:jc w:val="center"/>
        <w:tblLook w:val="04A0" w:firstRow="1" w:lastRow="0" w:firstColumn="1" w:lastColumn="0" w:noHBand="0" w:noVBand="1"/>
      </w:tblPr>
      <w:tblGrid>
        <w:gridCol w:w="1652"/>
        <w:gridCol w:w="1345"/>
        <w:gridCol w:w="1417"/>
        <w:gridCol w:w="1128"/>
        <w:gridCol w:w="1818"/>
        <w:gridCol w:w="1818"/>
      </w:tblGrid>
      <w:tr>
        <w:trPr>
          <w:trHeight w:val="540"/>
          <w:jc w:val="center"/>
        </w:trPr>
        <w:tc>
          <w:tcPr>
            <w:tcW w:w="0" w:type="auto"/>
            <w:gridSpan w:val="2"/>
            <w:vMerge w:val="restart"/>
            <w:tcBorders>
              <w:top w:val="single" w:sz="12" w:space="0" w:color="auto"/>
              <w:left w:val="nil"/>
              <w:right w:val="nil"/>
            </w:tcBorders>
            <w:shd w:val="clear" w:color="auto" w:fill="auto"/>
            <w:vAlign w:val="center"/>
            <w:hideMark/>
          </w:tcPr>
          <w:bookmarkEnd w:id="39"/>
          <w:bookmarkEnd w:id="40"/>
          <w:p>
            <w:pPr>
              <w:widowControl/>
              <w:jc w:val="center"/>
              <w:rPr>
                <w:rFonts w:ascii="Times New Roman" w:eastAsia="Times New Roman" w:hAnsi="Times New Roman" w:cs="Times New Roman"/>
                <w:kern w:val="0"/>
              </w:rPr>
            </w:pPr>
            <w:r>
              <w:rPr>
                <w:rFonts w:ascii="Times New Roman" w:eastAsia="Times New Roman" w:hAnsi="Times New Roman" w:cs="Times New Roman"/>
                <w:kern w:val="0"/>
                <w:sz w:val="22"/>
              </w:rPr>
              <w:t>OCPs</w:t>
            </w:r>
            <w:r>
              <w:rPr>
                <w:rFonts w:ascii="Times New Roman" w:eastAsia="Times New Roman" w:hAnsi="Times New Roman" w:cs="Times New Roman"/>
                <w:kern w:val="0"/>
                <w:sz w:val="22"/>
              </w:rPr>
              <w:br/>
              <w:t>(ng/g)</w:t>
            </w:r>
          </w:p>
        </w:tc>
        <w:tc>
          <w:tcPr>
            <w:tcW w:w="0" w:type="auto"/>
            <w:tcBorders>
              <w:top w:val="single" w:sz="12" w:space="0" w:color="auto"/>
              <w:left w:val="nil"/>
              <w:bottom w:val="single" w:sz="6" w:space="0" w:color="auto"/>
              <w:right w:val="nil"/>
            </w:tcBorders>
            <w:shd w:val="clear" w:color="auto" w:fill="auto"/>
            <w:vAlign w:val="center"/>
            <w:hideMark/>
          </w:tcPr>
          <w:p>
            <w:pPr>
              <w:widowControl/>
              <w:jc w:val="center"/>
              <w:rPr>
                <w:rFonts w:ascii="Times New Roman" w:eastAsia="Times New Roman" w:hAnsi="Times New Roman" w:cs="Times New Roman"/>
                <w:kern w:val="0"/>
              </w:rPr>
            </w:pPr>
            <w:r>
              <w:rPr>
                <w:rFonts w:ascii="Times New Roman" w:eastAsia="Times New Roman" w:hAnsi="Times New Roman" w:cs="Times New Roman"/>
                <w:kern w:val="0"/>
              </w:rPr>
              <w:t>Controls</w:t>
            </w:r>
            <w:r>
              <w:rPr>
                <w:rFonts w:ascii="Times New Roman" w:eastAsia="Times New Roman" w:hAnsi="Times New Roman" w:cs="Times New Roman"/>
                <w:kern w:val="0"/>
              </w:rPr>
              <w:br/>
              <w:t>(n=129)</w:t>
            </w:r>
          </w:p>
        </w:tc>
        <w:tc>
          <w:tcPr>
            <w:tcW w:w="0" w:type="auto"/>
            <w:gridSpan w:val="3"/>
            <w:tcBorders>
              <w:top w:val="single" w:sz="12" w:space="0" w:color="auto"/>
              <w:left w:val="nil"/>
              <w:bottom w:val="single" w:sz="4" w:space="0" w:color="auto"/>
              <w:right w:val="nil"/>
            </w:tcBorders>
            <w:shd w:val="clear" w:color="auto" w:fill="auto"/>
            <w:vAlign w:val="center"/>
            <w:hideMark/>
          </w:tcPr>
          <w:p>
            <w:pPr>
              <w:widowControl/>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OFCs</w:t>
            </w:r>
          </w:p>
          <w:p>
            <w:pPr>
              <w:widowControl/>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(n=89)</w:t>
            </w:r>
          </w:p>
        </w:tc>
      </w:tr>
      <w:tr>
        <w:trPr>
          <w:trHeight w:val="540"/>
          <w:jc w:val="center"/>
        </w:trPr>
        <w:tc>
          <w:tcPr>
            <w:tcW w:w="0" w:type="auto"/>
            <w:gridSpan w:val="2"/>
            <w:vMerge/>
            <w:tcBorders>
              <w:left w:val="nil"/>
              <w:bottom w:val="single" w:sz="6" w:space="0" w:color="auto"/>
              <w:right w:val="nil"/>
            </w:tcBorders>
            <w:vAlign w:val="center"/>
            <w:hideMark/>
          </w:tcPr>
          <w:p>
            <w:pPr>
              <w:widowControl/>
              <w:jc w:val="center"/>
              <w:rPr>
                <w:rFonts w:ascii="Times New Roman" w:eastAsia="Times New Roman" w:hAnsi="Times New Roman" w:cs="Times New Roman"/>
                <w:kern w:val="0"/>
              </w:rPr>
            </w:pPr>
          </w:p>
        </w:tc>
        <w:tc>
          <w:tcPr>
            <w:tcW w:w="0" w:type="auto"/>
            <w:tcBorders>
              <w:top w:val="single" w:sz="6" w:space="0" w:color="auto"/>
              <w:left w:val="nil"/>
              <w:bottom w:val="single" w:sz="6" w:space="0" w:color="auto"/>
              <w:right w:val="nil"/>
            </w:tcBorders>
            <w:shd w:val="clear" w:color="auto" w:fill="auto"/>
            <w:noWrap/>
            <w:vAlign w:val="center"/>
            <w:hideMark/>
          </w:tcPr>
          <w:p>
            <w:pPr>
              <w:widowControl/>
              <w:jc w:val="center"/>
              <w:rPr>
                <w:rFonts w:ascii="Times New Roman" w:eastAsia="Times New Roman" w:hAnsi="Times New Roman" w:cs="Times New Roman"/>
                <w:kern w:val="0"/>
              </w:rPr>
            </w:pPr>
            <w:proofErr w:type="gramStart"/>
            <w:r>
              <w:rPr>
                <w:rFonts w:ascii="Times New Roman" w:eastAsia="Times New Roman" w:hAnsi="Times New Roman" w:cs="Times New Roman"/>
                <w:kern w:val="0"/>
              </w:rPr>
              <w:t>n</w:t>
            </w:r>
            <w:proofErr w:type="gramEnd"/>
            <w:r>
              <w:rPr>
                <w:rFonts w:ascii="Times New Roman" w:eastAsia="Times New Roman" w:hAnsi="Times New Roman" w:cs="Times New Roman"/>
                <w:kern w:val="0"/>
              </w:rPr>
              <w:t xml:space="preserve"> (%)</w:t>
            </w:r>
          </w:p>
        </w:tc>
        <w:tc>
          <w:tcPr>
            <w:tcW w:w="0" w:type="auto"/>
            <w:tcBorders>
              <w:top w:val="single" w:sz="6" w:space="0" w:color="auto"/>
              <w:left w:val="nil"/>
              <w:bottom w:val="single" w:sz="6" w:space="0" w:color="auto"/>
              <w:right w:val="nil"/>
            </w:tcBorders>
            <w:shd w:val="clear" w:color="auto" w:fill="auto"/>
            <w:noWrap/>
            <w:vAlign w:val="center"/>
            <w:hideMark/>
          </w:tcPr>
          <w:p>
            <w:pPr>
              <w:widowControl/>
              <w:jc w:val="center"/>
              <w:rPr>
                <w:rFonts w:ascii="Times New Roman" w:eastAsia="Times New Roman" w:hAnsi="Times New Roman" w:cs="Times New Roman"/>
                <w:kern w:val="0"/>
              </w:rPr>
            </w:pPr>
            <w:proofErr w:type="gramStart"/>
            <w:r>
              <w:rPr>
                <w:rFonts w:ascii="Times New Roman" w:eastAsia="Times New Roman" w:hAnsi="Times New Roman" w:cs="Times New Roman"/>
                <w:kern w:val="0"/>
              </w:rPr>
              <w:t>n</w:t>
            </w:r>
            <w:proofErr w:type="gramEnd"/>
            <w:r>
              <w:rPr>
                <w:rFonts w:ascii="Times New Roman" w:eastAsia="Times New Roman" w:hAnsi="Times New Roman" w:cs="Times New Roman"/>
                <w:kern w:val="0"/>
              </w:rPr>
              <w:t xml:space="preserve"> (%)</w:t>
            </w:r>
          </w:p>
        </w:tc>
        <w:tc>
          <w:tcPr>
            <w:tcW w:w="0" w:type="auto"/>
            <w:tcBorders>
              <w:top w:val="nil"/>
              <w:left w:val="nil"/>
              <w:bottom w:val="single" w:sz="6" w:space="0" w:color="auto"/>
              <w:right w:val="nil"/>
            </w:tcBorders>
            <w:shd w:val="clear" w:color="auto" w:fill="auto"/>
            <w:vAlign w:val="center"/>
            <w:hideMark/>
          </w:tcPr>
          <w:p>
            <w:pPr>
              <w:widowControl/>
              <w:jc w:val="center"/>
              <w:rPr>
                <w:rFonts w:ascii="Times New Roman" w:eastAsia="Times New Roman" w:hAnsi="Times New Roman" w:cs="Times New Roman"/>
                <w:kern w:val="0"/>
              </w:rPr>
            </w:pPr>
            <w:proofErr w:type="spellStart"/>
            <w:r>
              <w:rPr>
                <w:rFonts w:ascii="Times New Roman" w:eastAsia="Times New Roman" w:hAnsi="Times New Roman" w:cs="Times New Roman"/>
                <w:kern w:val="0"/>
              </w:rPr>
              <w:t>cOR</w:t>
            </w:r>
            <w:proofErr w:type="spellEnd"/>
            <w:r>
              <w:rPr>
                <w:rFonts w:ascii="Times New Roman" w:eastAsia="Times New Roman" w:hAnsi="Times New Roman" w:cs="Times New Roman"/>
                <w:kern w:val="0"/>
              </w:rPr>
              <w:br/>
              <w:t xml:space="preserve"> (95% CI)</w:t>
            </w:r>
          </w:p>
        </w:tc>
        <w:tc>
          <w:tcPr>
            <w:tcW w:w="0" w:type="auto"/>
            <w:tcBorders>
              <w:top w:val="nil"/>
              <w:left w:val="nil"/>
              <w:bottom w:val="single" w:sz="6" w:space="0" w:color="auto"/>
              <w:right w:val="nil"/>
            </w:tcBorders>
            <w:shd w:val="clear" w:color="auto" w:fill="auto"/>
            <w:vAlign w:val="center"/>
            <w:hideMark/>
          </w:tcPr>
          <w:p>
            <w:pPr>
              <w:widowControl/>
              <w:jc w:val="center"/>
              <w:rPr>
                <w:rFonts w:ascii="Times New Roman" w:eastAsia="Times New Roman" w:hAnsi="Times New Roman" w:cs="Times New Roman"/>
                <w:kern w:val="0"/>
              </w:rPr>
            </w:pPr>
            <w:proofErr w:type="spellStart"/>
            <w:r>
              <w:rPr>
                <w:rFonts w:ascii="Times New Roman" w:eastAsia="Times New Roman" w:hAnsi="Times New Roman" w:cs="Times New Roman"/>
                <w:kern w:val="0"/>
              </w:rPr>
              <w:t>aOR</w:t>
            </w:r>
            <w:proofErr w:type="spellEnd"/>
            <w:r>
              <w:rPr>
                <w:rFonts w:ascii="Times New Roman" w:eastAsia="Times New Roman" w:hAnsi="Times New Roman" w:cs="Times New Roman"/>
                <w:kern w:val="0"/>
              </w:rPr>
              <w:t xml:space="preserve"> </w:t>
            </w:r>
            <w:proofErr w:type="spellStart"/>
            <w:r>
              <w:rPr>
                <w:rFonts w:ascii="Times New Roman" w:eastAsia="Times New Roman" w:hAnsi="Times New Roman" w:cs="Times New Roman"/>
                <w:kern w:val="0"/>
                <w:vertAlign w:val="superscript"/>
              </w:rPr>
              <w:t>a</w:t>
            </w:r>
            <w:proofErr w:type="spellEnd"/>
            <w:r>
              <w:rPr>
                <w:rFonts w:ascii="Times New Roman" w:eastAsia="Times New Roman" w:hAnsi="Times New Roman" w:cs="Times New Roman"/>
                <w:kern w:val="0"/>
              </w:rPr>
              <w:br/>
              <w:t>(95% CI)</w:t>
            </w:r>
          </w:p>
        </w:tc>
      </w:tr>
      <w:tr>
        <w:trPr>
          <w:trHeight w:val="300"/>
          <w:jc w:val="center"/>
        </w:trPr>
        <w:tc>
          <w:tcPr>
            <w:tcW w:w="0" w:type="auto"/>
            <w:tcBorders>
              <w:top w:val="single" w:sz="6" w:space="0" w:color="auto"/>
              <w:left w:val="nil"/>
              <w:bottom w:val="nil"/>
              <w:right w:val="nil"/>
            </w:tcBorders>
            <w:shd w:val="clear" w:color="auto" w:fill="auto"/>
            <w:vAlign w:val="center"/>
            <w:hideMark/>
          </w:tcPr>
          <w:p>
            <w:pPr>
              <w:widowControl/>
              <w:jc w:val="left"/>
              <w:rPr>
                <w:rFonts w:ascii="Times New Roman" w:eastAsia="Times New Roman" w:hAnsi="Times New Roman" w:cs="Times New Roman"/>
                <w:kern w:val="0"/>
                <w:sz w:val="22"/>
              </w:rPr>
            </w:pPr>
            <w:r>
              <w:rPr>
                <w:rFonts w:ascii="Times New Roman" w:eastAsia="Times New Roman" w:hAnsi="Times New Roman" w:cs="Times New Roman"/>
                <w:kern w:val="0"/>
                <w:sz w:val="22"/>
              </w:rPr>
              <w:t xml:space="preserve">HCB </w:t>
            </w:r>
          </w:p>
        </w:tc>
        <w:tc>
          <w:tcPr>
            <w:tcW w:w="0" w:type="auto"/>
            <w:tcBorders>
              <w:top w:val="single" w:sz="6" w:space="0" w:color="auto"/>
              <w:left w:val="nil"/>
              <w:bottom w:val="nil"/>
              <w:right w:val="nil"/>
            </w:tcBorders>
          </w:tcPr>
          <w:p>
            <w:pPr>
              <w:widowControl/>
              <w:jc w:val="left"/>
              <w:rPr>
                <w:rFonts w:ascii="Times New Roman" w:eastAsia="Times New Roman" w:hAnsi="Times New Roman" w:cs="Times New Roman"/>
                <w:kern w:val="0"/>
                <w:sz w:val="22"/>
              </w:rPr>
            </w:pPr>
          </w:p>
        </w:tc>
        <w:tc>
          <w:tcPr>
            <w:tcW w:w="0" w:type="auto"/>
            <w:tcBorders>
              <w:top w:val="single" w:sz="6" w:space="0" w:color="auto"/>
              <w:left w:val="nil"/>
              <w:bottom w:val="nil"/>
              <w:right w:val="nil"/>
            </w:tcBorders>
            <w:shd w:val="clear" w:color="auto" w:fill="auto"/>
            <w:vAlign w:val="center"/>
            <w:hideMark/>
          </w:tcPr>
          <w:p>
            <w:pPr>
              <w:widowControl/>
              <w:jc w:val="left"/>
              <w:rPr>
                <w:rFonts w:ascii="Times New Roman" w:eastAsia="Times New Roman" w:hAnsi="Times New Roman" w:cs="Times New Roman"/>
                <w:kern w:val="0"/>
                <w:sz w:val="22"/>
              </w:rPr>
            </w:pPr>
          </w:p>
        </w:tc>
        <w:tc>
          <w:tcPr>
            <w:tcW w:w="0" w:type="auto"/>
            <w:tcBorders>
              <w:top w:val="single" w:sz="6" w:space="0" w:color="auto"/>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0"/>
                <w:szCs w:val="20"/>
              </w:rPr>
            </w:pPr>
          </w:p>
        </w:tc>
        <w:tc>
          <w:tcPr>
            <w:tcW w:w="0" w:type="auto"/>
            <w:tcBorders>
              <w:top w:val="single" w:sz="6" w:space="0" w:color="auto"/>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0"/>
                <w:szCs w:val="20"/>
              </w:rPr>
            </w:pPr>
          </w:p>
        </w:tc>
        <w:tc>
          <w:tcPr>
            <w:tcW w:w="0" w:type="auto"/>
            <w:tcBorders>
              <w:top w:val="single" w:sz="6" w:space="0" w:color="auto"/>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0"/>
                <w:szCs w:val="20"/>
              </w:rPr>
            </w:pPr>
          </w:p>
        </w:tc>
      </w:tr>
      <w:tr>
        <w:trPr>
          <w:trHeight w:val="601"/>
          <w:jc w:val="center"/>
        </w:trPr>
        <w:tc>
          <w:tcPr>
            <w:tcW w:w="0" w:type="auto"/>
            <w:tcBorders>
              <w:top w:val="nil"/>
              <w:left w:val="nil"/>
              <w:bottom w:val="nil"/>
              <w:right w:val="nil"/>
            </w:tcBorders>
            <w:shd w:val="clear" w:color="auto" w:fill="auto"/>
            <w:vAlign w:val="center"/>
            <w:hideMark/>
          </w:tcPr>
          <w:p>
            <w:pPr>
              <w:widowControl/>
              <w:jc w:val="left"/>
              <w:rPr>
                <w:rFonts w:ascii="Times New Roman" w:eastAsia="Times New Roman" w:hAnsi="Times New Roman" w:cs="Times New Roman"/>
                <w:kern w:val="0"/>
                <w:sz w:val="22"/>
              </w:rPr>
            </w:pPr>
            <w:r>
              <w:rPr>
                <w:rFonts w:ascii="Times New Roman" w:eastAsia="Times New Roman" w:hAnsi="Times New Roman" w:cs="Times New Roman"/>
                <w:kern w:val="0"/>
                <w:sz w:val="22"/>
              </w:rPr>
              <w:t xml:space="preserve">    Low</w:t>
            </w:r>
          </w:p>
        </w:tc>
        <w:tc>
          <w:tcPr>
            <w:tcW w:w="0" w:type="auto"/>
            <w:tcBorders>
              <w:top w:val="nil"/>
              <w:left w:val="nil"/>
              <w:bottom w:val="nil"/>
              <w:right w:val="nil"/>
            </w:tcBorders>
            <w:vAlign w:val="center"/>
          </w:tcPr>
          <w:p>
            <w:pPr>
              <w:widowControl/>
              <w:jc w:val="center"/>
              <w:rPr>
                <w:rFonts w:ascii="Times New Roman" w:eastAsia="Times New Roman" w:hAnsi="Times New Roman" w:cs="Times New Roman"/>
                <w:kern w:val="0"/>
                <w:sz w:val="22"/>
              </w:rPr>
            </w:pPr>
            <w:r>
              <w:rPr>
                <w:rFonts w:ascii="Times New Roman" w:hAnsi="Times New Roman" w:cs="Times New Roman"/>
                <w:sz w:val="24"/>
                <w:szCs w:val="24"/>
              </w:rPr>
              <w:t>≤0.04</w:t>
            </w:r>
            <w:r>
              <w:rPr>
                <w:rFonts w:ascii="Times New Roman" w:hAnsi="Times New Roman" w:cs="Times New Roman" w:hint="eastAsia"/>
                <w:sz w:val="24"/>
                <w:szCs w:val="24"/>
              </w:rPr>
              <w:t>3</w:t>
            </w:r>
          </w:p>
        </w:tc>
        <w:tc>
          <w:tcPr>
            <w:tcW w:w="0" w:type="auto"/>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66</w:t>
            </w:r>
            <w:r>
              <w:rPr>
                <w:rFonts w:ascii="Times New Roman" w:eastAsia="Times New Roman" w:hAnsi="Times New Roman" w:cs="Times New Roman"/>
                <w:kern w:val="0"/>
                <w:sz w:val="22"/>
              </w:rPr>
              <w:br/>
              <w:t>(51.2</w:t>
            </w:r>
          </w:p>
        </w:tc>
        <w:tc>
          <w:tcPr>
            <w:tcW w:w="0" w:type="auto"/>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43</w:t>
            </w:r>
            <w:r>
              <w:rPr>
                <w:rFonts w:ascii="Times New Roman" w:eastAsia="Times New Roman" w:hAnsi="Times New Roman" w:cs="Times New Roman"/>
                <w:kern w:val="0"/>
                <w:sz w:val="22"/>
              </w:rPr>
              <w:br/>
              <w:t>(48.3)</w:t>
            </w:r>
          </w:p>
        </w:tc>
        <w:tc>
          <w:tcPr>
            <w:tcW w:w="0" w:type="auto"/>
            <w:vMerge w:val="restart"/>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1.12</w:t>
            </w:r>
            <w:r>
              <w:rPr>
                <w:rFonts w:ascii="Times New Roman" w:eastAsia="Times New Roman" w:hAnsi="Times New Roman" w:cs="Times New Roman"/>
                <w:kern w:val="0"/>
                <w:sz w:val="22"/>
              </w:rPr>
              <w:br/>
              <w:t>(0.65-1.92)</w:t>
            </w:r>
          </w:p>
        </w:tc>
        <w:tc>
          <w:tcPr>
            <w:tcW w:w="0" w:type="auto"/>
            <w:vMerge w:val="restart"/>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1.00</w:t>
            </w:r>
            <w:r>
              <w:rPr>
                <w:rFonts w:ascii="Times New Roman" w:eastAsia="Times New Roman" w:hAnsi="Times New Roman" w:cs="Times New Roman"/>
                <w:kern w:val="0"/>
                <w:sz w:val="22"/>
              </w:rPr>
              <w:br/>
              <w:t>(0.56-1.83)</w:t>
            </w:r>
          </w:p>
        </w:tc>
      </w:tr>
      <w:tr>
        <w:trPr>
          <w:trHeight w:val="601"/>
          <w:jc w:val="center"/>
        </w:trPr>
        <w:tc>
          <w:tcPr>
            <w:tcW w:w="0" w:type="auto"/>
            <w:tcBorders>
              <w:top w:val="nil"/>
              <w:left w:val="nil"/>
              <w:bottom w:val="nil"/>
              <w:right w:val="nil"/>
            </w:tcBorders>
            <w:shd w:val="clear" w:color="auto" w:fill="auto"/>
            <w:vAlign w:val="center"/>
            <w:hideMark/>
          </w:tcPr>
          <w:p>
            <w:pPr>
              <w:widowControl/>
              <w:jc w:val="left"/>
              <w:rPr>
                <w:rFonts w:ascii="Times New Roman" w:eastAsia="Times New Roman" w:hAnsi="Times New Roman" w:cs="Times New Roman"/>
                <w:kern w:val="0"/>
                <w:sz w:val="22"/>
              </w:rPr>
            </w:pPr>
            <w:r>
              <w:rPr>
                <w:rFonts w:ascii="Times New Roman" w:eastAsia="Times New Roman" w:hAnsi="Times New Roman" w:cs="Times New Roman"/>
                <w:kern w:val="0"/>
                <w:sz w:val="22"/>
              </w:rPr>
              <w:t xml:space="preserve">    High</w:t>
            </w:r>
          </w:p>
        </w:tc>
        <w:tc>
          <w:tcPr>
            <w:tcW w:w="0" w:type="auto"/>
            <w:tcBorders>
              <w:top w:val="nil"/>
              <w:left w:val="nil"/>
              <w:bottom w:val="nil"/>
              <w:right w:val="nil"/>
            </w:tcBorders>
            <w:vAlign w:val="center"/>
          </w:tcPr>
          <w:p>
            <w:pPr>
              <w:widowControl/>
              <w:jc w:val="center"/>
              <w:rPr>
                <w:rFonts w:ascii="Times New Roman" w:eastAsia="Times New Roman" w:hAnsi="Times New Roman" w:cs="Times New Roman"/>
                <w:kern w:val="0"/>
                <w:sz w:val="22"/>
              </w:rPr>
            </w:pPr>
            <w:r>
              <w:rPr>
                <w:rFonts w:ascii="Times New Roman" w:hAnsi="Times New Roman" w:cs="Times New Roman"/>
                <w:sz w:val="24"/>
                <w:szCs w:val="24"/>
              </w:rPr>
              <w:t>&gt;0.04</w:t>
            </w:r>
            <w:r>
              <w:rPr>
                <w:rFonts w:ascii="Times New Roman" w:hAnsi="Times New Roman" w:cs="Times New Roman" w:hint="eastAsia"/>
                <w:sz w:val="24"/>
                <w:szCs w:val="24"/>
              </w:rPr>
              <w:t>3</w:t>
            </w:r>
          </w:p>
        </w:tc>
        <w:tc>
          <w:tcPr>
            <w:tcW w:w="0" w:type="auto"/>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63</w:t>
            </w:r>
            <w:r>
              <w:rPr>
                <w:rFonts w:ascii="Times New Roman" w:eastAsia="Times New Roman" w:hAnsi="Times New Roman" w:cs="Times New Roman"/>
                <w:kern w:val="0"/>
                <w:sz w:val="22"/>
              </w:rPr>
              <w:br/>
              <w:t>(48.8)</w:t>
            </w:r>
          </w:p>
        </w:tc>
        <w:tc>
          <w:tcPr>
            <w:tcW w:w="0" w:type="auto"/>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46</w:t>
            </w:r>
            <w:r>
              <w:rPr>
                <w:rFonts w:ascii="Times New Roman" w:eastAsia="Times New Roman" w:hAnsi="Times New Roman" w:cs="Times New Roman"/>
                <w:kern w:val="0"/>
                <w:sz w:val="22"/>
              </w:rPr>
              <w:br/>
              <w:t>(51.7)</w:t>
            </w:r>
          </w:p>
        </w:tc>
        <w:tc>
          <w:tcPr>
            <w:tcW w:w="0" w:type="auto"/>
            <w:vMerge/>
            <w:tcBorders>
              <w:top w:val="nil"/>
              <w:left w:val="nil"/>
              <w:bottom w:val="nil"/>
              <w:right w:val="nil"/>
            </w:tcBorders>
            <w:vAlign w:val="center"/>
            <w:hideMark/>
          </w:tcPr>
          <w:p>
            <w:pPr>
              <w:widowControl/>
              <w:jc w:val="left"/>
              <w:rPr>
                <w:rFonts w:ascii="Times New Roman" w:eastAsia="Times New Roman" w:hAnsi="Times New Roman" w:cs="Times New Roman"/>
                <w:kern w:val="0"/>
                <w:sz w:val="22"/>
              </w:rPr>
            </w:pPr>
          </w:p>
        </w:tc>
        <w:tc>
          <w:tcPr>
            <w:tcW w:w="0" w:type="auto"/>
            <w:vMerge/>
            <w:tcBorders>
              <w:top w:val="nil"/>
              <w:left w:val="nil"/>
              <w:bottom w:val="nil"/>
              <w:right w:val="nil"/>
            </w:tcBorders>
            <w:vAlign w:val="center"/>
            <w:hideMark/>
          </w:tcPr>
          <w:p>
            <w:pPr>
              <w:widowControl/>
              <w:jc w:val="left"/>
              <w:rPr>
                <w:rFonts w:ascii="Times New Roman" w:eastAsia="Times New Roman" w:hAnsi="Times New Roman" w:cs="Times New Roman"/>
                <w:kern w:val="0"/>
                <w:sz w:val="22"/>
              </w:rPr>
            </w:pPr>
          </w:p>
        </w:tc>
      </w:tr>
      <w:tr>
        <w:trPr>
          <w:trHeight w:val="300"/>
          <w:jc w:val="center"/>
        </w:trPr>
        <w:tc>
          <w:tcPr>
            <w:tcW w:w="0" w:type="auto"/>
            <w:tcBorders>
              <w:top w:val="nil"/>
              <w:left w:val="nil"/>
              <w:bottom w:val="nil"/>
              <w:right w:val="nil"/>
            </w:tcBorders>
            <w:shd w:val="clear" w:color="auto" w:fill="auto"/>
            <w:vAlign w:val="center"/>
            <w:hideMark/>
          </w:tcPr>
          <w:p>
            <w:pPr>
              <w:widowControl/>
              <w:jc w:val="left"/>
              <w:rPr>
                <w:rFonts w:ascii="Times New Roman" w:eastAsia="Times New Roman" w:hAnsi="Times New Roman" w:cs="Times New Roman"/>
                <w:kern w:val="0"/>
                <w:sz w:val="22"/>
              </w:rPr>
            </w:pPr>
            <w:r>
              <w:rPr>
                <w:rFonts w:ascii="Times New Roman" w:eastAsia="Times New Roman" w:hAnsi="Times New Roman" w:cs="Times New Roman"/>
                <w:kern w:val="0"/>
                <w:sz w:val="22"/>
              </w:rPr>
              <w:t>β-HCH</w:t>
            </w:r>
          </w:p>
        </w:tc>
        <w:tc>
          <w:tcPr>
            <w:tcW w:w="0" w:type="auto"/>
            <w:tcBorders>
              <w:top w:val="nil"/>
              <w:left w:val="nil"/>
              <w:bottom w:val="nil"/>
              <w:right w:val="nil"/>
            </w:tcBorders>
            <w:vAlign w:val="center"/>
          </w:tcPr>
          <w:p>
            <w:pPr>
              <w:widowControl/>
              <w:jc w:val="center"/>
              <w:rPr>
                <w:rFonts w:ascii="Times New Roman" w:eastAsia="Times New Roman" w:hAnsi="Times New Roman" w:cs="Times New Roman"/>
                <w:kern w:val="0"/>
                <w:sz w:val="22"/>
              </w:rPr>
            </w:pPr>
          </w:p>
        </w:tc>
        <w:tc>
          <w:tcPr>
            <w:tcW w:w="0" w:type="auto"/>
            <w:tcBorders>
              <w:top w:val="nil"/>
              <w:left w:val="nil"/>
              <w:bottom w:val="nil"/>
              <w:right w:val="nil"/>
            </w:tcBorders>
            <w:shd w:val="clear" w:color="auto" w:fill="auto"/>
            <w:vAlign w:val="center"/>
            <w:hideMark/>
          </w:tcPr>
          <w:p>
            <w:pPr>
              <w:widowControl/>
              <w:jc w:val="left"/>
              <w:rPr>
                <w:rFonts w:ascii="Times New Roman" w:eastAsia="Times New Roman" w:hAnsi="Times New Roman" w:cs="Times New Roman"/>
                <w:kern w:val="0"/>
                <w:sz w:val="22"/>
              </w:rPr>
            </w:pPr>
          </w:p>
        </w:tc>
        <w:tc>
          <w:tcPr>
            <w:tcW w:w="0" w:type="auto"/>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0"/>
                <w:szCs w:val="20"/>
              </w:rPr>
            </w:pPr>
          </w:p>
        </w:tc>
      </w:tr>
      <w:tr>
        <w:trPr>
          <w:trHeight w:val="601"/>
          <w:jc w:val="center"/>
        </w:trPr>
        <w:tc>
          <w:tcPr>
            <w:tcW w:w="0" w:type="auto"/>
            <w:tcBorders>
              <w:top w:val="nil"/>
              <w:left w:val="nil"/>
              <w:bottom w:val="nil"/>
              <w:right w:val="nil"/>
            </w:tcBorders>
            <w:shd w:val="clear" w:color="auto" w:fill="auto"/>
            <w:vAlign w:val="center"/>
            <w:hideMark/>
          </w:tcPr>
          <w:p>
            <w:pPr>
              <w:widowControl/>
              <w:jc w:val="left"/>
              <w:rPr>
                <w:rFonts w:ascii="Times New Roman" w:eastAsia="Times New Roman" w:hAnsi="Times New Roman" w:cs="Times New Roman"/>
                <w:kern w:val="0"/>
                <w:sz w:val="22"/>
              </w:rPr>
            </w:pPr>
            <w:r>
              <w:rPr>
                <w:rFonts w:ascii="Times New Roman" w:eastAsia="Times New Roman" w:hAnsi="Times New Roman" w:cs="Times New Roman"/>
                <w:kern w:val="0"/>
                <w:sz w:val="22"/>
              </w:rPr>
              <w:t xml:space="preserve">    Low</w:t>
            </w:r>
          </w:p>
        </w:tc>
        <w:tc>
          <w:tcPr>
            <w:tcW w:w="0" w:type="auto"/>
            <w:tcBorders>
              <w:top w:val="nil"/>
              <w:left w:val="nil"/>
              <w:bottom w:val="nil"/>
              <w:right w:val="nil"/>
            </w:tcBorders>
            <w:vAlign w:val="center"/>
          </w:tcPr>
          <w:p>
            <w:pPr>
              <w:widowControl/>
              <w:jc w:val="center"/>
              <w:rPr>
                <w:rFonts w:ascii="Times New Roman" w:eastAsia="Times New Roman" w:hAnsi="Times New Roman" w:cs="Times New Roman"/>
                <w:kern w:val="0"/>
                <w:sz w:val="22"/>
              </w:rPr>
            </w:pPr>
            <w:r>
              <w:rPr>
                <w:rFonts w:ascii="Times New Roman" w:hAnsi="Times New Roman" w:cs="Times New Roman"/>
                <w:sz w:val="24"/>
                <w:szCs w:val="24"/>
              </w:rPr>
              <w:t>≤0.68</w:t>
            </w:r>
            <w:r>
              <w:rPr>
                <w:rFonts w:ascii="Times New Roman" w:hAnsi="Times New Roman" w:cs="Times New Roman" w:hint="eastAsia"/>
                <w:sz w:val="24"/>
                <w:szCs w:val="24"/>
              </w:rPr>
              <w:t>3</w:t>
            </w:r>
          </w:p>
        </w:tc>
        <w:tc>
          <w:tcPr>
            <w:tcW w:w="0" w:type="auto"/>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67</w:t>
            </w:r>
            <w:r>
              <w:rPr>
                <w:rFonts w:ascii="Times New Roman" w:eastAsia="Times New Roman" w:hAnsi="Times New Roman" w:cs="Times New Roman"/>
                <w:kern w:val="0"/>
                <w:sz w:val="22"/>
              </w:rPr>
              <w:br/>
              <w:t>(51.9)</w:t>
            </w:r>
          </w:p>
        </w:tc>
        <w:tc>
          <w:tcPr>
            <w:tcW w:w="0" w:type="auto"/>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42</w:t>
            </w:r>
            <w:r>
              <w:rPr>
                <w:rFonts w:ascii="Times New Roman" w:eastAsia="Times New Roman" w:hAnsi="Times New Roman" w:cs="Times New Roman"/>
                <w:kern w:val="0"/>
                <w:sz w:val="22"/>
              </w:rPr>
              <w:br/>
              <w:t>(47.2)</w:t>
            </w:r>
          </w:p>
        </w:tc>
        <w:tc>
          <w:tcPr>
            <w:tcW w:w="0" w:type="auto"/>
            <w:vMerge w:val="restart"/>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1.21</w:t>
            </w:r>
            <w:r>
              <w:rPr>
                <w:rFonts w:ascii="Times New Roman" w:eastAsia="Times New Roman" w:hAnsi="Times New Roman" w:cs="Times New Roman"/>
                <w:kern w:val="0"/>
                <w:sz w:val="22"/>
              </w:rPr>
              <w:br/>
              <w:t>(0.70-2.08)</w:t>
            </w:r>
          </w:p>
        </w:tc>
        <w:tc>
          <w:tcPr>
            <w:tcW w:w="0" w:type="auto"/>
            <w:vMerge w:val="restart"/>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0.890</w:t>
            </w:r>
            <w:r>
              <w:rPr>
                <w:rFonts w:ascii="Times New Roman" w:eastAsia="Times New Roman" w:hAnsi="Times New Roman" w:cs="Times New Roman"/>
                <w:kern w:val="0"/>
                <w:sz w:val="22"/>
              </w:rPr>
              <w:br/>
              <w:t>(0.49-1.64)</w:t>
            </w:r>
          </w:p>
        </w:tc>
      </w:tr>
      <w:tr>
        <w:trPr>
          <w:trHeight w:val="601"/>
          <w:jc w:val="center"/>
        </w:trPr>
        <w:tc>
          <w:tcPr>
            <w:tcW w:w="0" w:type="auto"/>
            <w:tcBorders>
              <w:top w:val="nil"/>
              <w:left w:val="nil"/>
              <w:bottom w:val="nil"/>
              <w:right w:val="nil"/>
            </w:tcBorders>
            <w:shd w:val="clear" w:color="auto" w:fill="auto"/>
            <w:vAlign w:val="center"/>
            <w:hideMark/>
          </w:tcPr>
          <w:p>
            <w:pPr>
              <w:widowControl/>
              <w:jc w:val="left"/>
              <w:rPr>
                <w:rFonts w:ascii="Times New Roman" w:eastAsia="Times New Roman" w:hAnsi="Times New Roman" w:cs="Times New Roman"/>
                <w:kern w:val="0"/>
                <w:sz w:val="22"/>
              </w:rPr>
            </w:pPr>
            <w:r>
              <w:rPr>
                <w:rFonts w:ascii="Times New Roman" w:eastAsia="Times New Roman" w:hAnsi="Times New Roman" w:cs="Times New Roman"/>
                <w:kern w:val="0"/>
                <w:sz w:val="22"/>
              </w:rPr>
              <w:t xml:space="preserve">    High</w:t>
            </w:r>
          </w:p>
        </w:tc>
        <w:tc>
          <w:tcPr>
            <w:tcW w:w="0" w:type="auto"/>
            <w:tcBorders>
              <w:top w:val="nil"/>
              <w:left w:val="nil"/>
              <w:bottom w:val="nil"/>
              <w:right w:val="nil"/>
            </w:tcBorders>
            <w:vAlign w:val="center"/>
          </w:tcPr>
          <w:p>
            <w:pPr>
              <w:widowControl/>
              <w:jc w:val="center"/>
              <w:rPr>
                <w:rFonts w:ascii="Times New Roman" w:eastAsia="Times New Roman" w:hAnsi="Times New Roman" w:cs="Times New Roman"/>
                <w:kern w:val="0"/>
                <w:sz w:val="22"/>
              </w:rPr>
            </w:pPr>
            <w:r>
              <w:rPr>
                <w:rFonts w:ascii="Times New Roman" w:hAnsi="Times New Roman" w:cs="Times New Roman"/>
                <w:sz w:val="24"/>
                <w:szCs w:val="24"/>
              </w:rPr>
              <w:t>&gt;0.68</w:t>
            </w:r>
            <w:r>
              <w:rPr>
                <w:rFonts w:ascii="Times New Roman" w:hAnsi="Times New Roman" w:cs="Times New Roman" w:hint="eastAsia"/>
                <w:sz w:val="24"/>
                <w:szCs w:val="24"/>
              </w:rPr>
              <w:t>3</w:t>
            </w:r>
          </w:p>
        </w:tc>
        <w:tc>
          <w:tcPr>
            <w:tcW w:w="0" w:type="auto"/>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62</w:t>
            </w:r>
            <w:r>
              <w:rPr>
                <w:rFonts w:ascii="Times New Roman" w:eastAsia="Times New Roman" w:hAnsi="Times New Roman" w:cs="Times New Roman"/>
                <w:kern w:val="0"/>
                <w:sz w:val="22"/>
              </w:rPr>
              <w:br/>
              <w:t>(48.1)</w:t>
            </w:r>
          </w:p>
        </w:tc>
        <w:tc>
          <w:tcPr>
            <w:tcW w:w="0" w:type="auto"/>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47</w:t>
            </w:r>
            <w:r>
              <w:rPr>
                <w:rFonts w:ascii="Times New Roman" w:eastAsia="Times New Roman" w:hAnsi="Times New Roman" w:cs="Times New Roman"/>
                <w:kern w:val="0"/>
                <w:sz w:val="22"/>
              </w:rPr>
              <w:br/>
              <w:t>(52.8)</w:t>
            </w:r>
          </w:p>
        </w:tc>
        <w:tc>
          <w:tcPr>
            <w:tcW w:w="0" w:type="auto"/>
            <w:vMerge/>
            <w:tcBorders>
              <w:top w:val="nil"/>
              <w:left w:val="nil"/>
              <w:bottom w:val="nil"/>
              <w:right w:val="nil"/>
            </w:tcBorders>
            <w:vAlign w:val="center"/>
            <w:hideMark/>
          </w:tcPr>
          <w:p>
            <w:pPr>
              <w:widowControl/>
              <w:jc w:val="left"/>
              <w:rPr>
                <w:rFonts w:ascii="Times New Roman" w:eastAsia="Times New Roman" w:hAnsi="Times New Roman" w:cs="Times New Roman"/>
                <w:kern w:val="0"/>
                <w:sz w:val="22"/>
              </w:rPr>
            </w:pPr>
          </w:p>
        </w:tc>
        <w:tc>
          <w:tcPr>
            <w:tcW w:w="0" w:type="auto"/>
            <w:vMerge/>
            <w:tcBorders>
              <w:top w:val="nil"/>
              <w:left w:val="nil"/>
              <w:bottom w:val="nil"/>
              <w:right w:val="nil"/>
            </w:tcBorders>
            <w:vAlign w:val="center"/>
            <w:hideMark/>
          </w:tcPr>
          <w:p>
            <w:pPr>
              <w:widowControl/>
              <w:jc w:val="left"/>
              <w:rPr>
                <w:rFonts w:ascii="Times New Roman" w:eastAsia="Times New Roman" w:hAnsi="Times New Roman" w:cs="Times New Roman"/>
                <w:kern w:val="0"/>
                <w:sz w:val="22"/>
              </w:rPr>
            </w:pPr>
          </w:p>
        </w:tc>
      </w:tr>
      <w:tr>
        <w:trPr>
          <w:trHeight w:val="300"/>
          <w:jc w:val="center"/>
        </w:trPr>
        <w:tc>
          <w:tcPr>
            <w:tcW w:w="0" w:type="auto"/>
            <w:tcBorders>
              <w:top w:val="nil"/>
              <w:left w:val="nil"/>
              <w:bottom w:val="nil"/>
              <w:right w:val="nil"/>
            </w:tcBorders>
            <w:shd w:val="clear" w:color="auto" w:fill="auto"/>
            <w:vAlign w:val="center"/>
            <w:hideMark/>
          </w:tcPr>
          <w:p>
            <w:pPr>
              <w:widowControl/>
              <w:jc w:val="left"/>
              <w:rPr>
                <w:rFonts w:ascii="Times New Roman" w:eastAsia="Times New Roman" w:hAnsi="Times New Roman" w:cs="Times New Roman"/>
                <w:kern w:val="0"/>
                <w:sz w:val="22"/>
              </w:rPr>
            </w:pPr>
            <w:r>
              <w:rPr>
                <w:rFonts w:ascii="Times New Roman" w:eastAsia="Times New Roman" w:hAnsi="Times New Roman" w:cs="Times New Roman"/>
                <w:kern w:val="0"/>
                <w:sz w:val="22"/>
              </w:rPr>
              <w:t>γ-HCH</w:t>
            </w:r>
          </w:p>
        </w:tc>
        <w:tc>
          <w:tcPr>
            <w:tcW w:w="0" w:type="auto"/>
            <w:tcBorders>
              <w:top w:val="nil"/>
              <w:left w:val="nil"/>
              <w:bottom w:val="nil"/>
              <w:right w:val="nil"/>
            </w:tcBorders>
            <w:vAlign w:val="center"/>
          </w:tcPr>
          <w:p>
            <w:pPr>
              <w:widowControl/>
              <w:jc w:val="center"/>
              <w:rPr>
                <w:rFonts w:ascii="Times New Roman" w:eastAsia="Times New Roman" w:hAnsi="Times New Roman" w:cs="Times New Roman"/>
                <w:kern w:val="0"/>
                <w:sz w:val="22"/>
              </w:rPr>
            </w:pPr>
          </w:p>
        </w:tc>
        <w:tc>
          <w:tcPr>
            <w:tcW w:w="0" w:type="auto"/>
            <w:tcBorders>
              <w:top w:val="nil"/>
              <w:left w:val="nil"/>
              <w:bottom w:val="nil"/>
              <w:right w:val="nil"/>
            </w:tcBorders>
            <w:shd w:val="clear" w:color="auto" w:fill="auto"/>
            <w:vAlign w:val="center"/>
            <w:hideMark/>
          </w:tcPr>
          <w:p>
            <w:pPr>
              <w:widowControl/>
              <w:jc w:val="left"/>
              <w:rPr>
                <w:rFonts w:ascii="Times New Roman" w:eastAsia="Times New Roman" w:hAnsi="Times New Roman" w:cs="Times New Roman"/>
                <w:kern w:val="0"/>
                <w:sz w:val="22"/>
              </w:rPr>
            </w:pPr>
          </w:p>
        </w:tc>
        <w:tc>
          <w:tcPr>
            <w:tcW w:w="0" w:type="auto"/>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0"/>
                <w:szCs w:val="20"/>
              </w:rPr>
            </w:pPr>
          </w:p>
        </w:tc>
      </w:tr>
      <w:tr>
        <w:trPr>
          <w:trHeight w:val="601"/>
          <w:jc w:val="center"/>
        </w:trPr>
        <w:tc>
          <w:tcPr>
            <w:tcW w:w="0" w:type="auto"/>
            <w:tcBorders>
              <w:top w:val="nil"/>
              <w:left w:val="nil"/>
              <w:bottom w:val="nil"/>
              <w:right w:val="nil"/>
            </w:tcBorders>
            <w:shd w:val="clear" w:color="auto" w:fill="auto"/>
            <w:vAlign w:val="center"/>
            <w:hideMark/>
          </w:tcPr>
          <w:p>
            <w:pPr>
              <w:widowControl/>
              <w:jc w:val="left"/>
              <w:rPr>
                <w:rFonts w:ascii="Times New Roman" w:eastAsia="Times New Roman" w:hAnsi="Times New Roman" w:cs="Times New Roman"/>
                <w:kern w:val="0"/>
                <w:sz w:val="22"/>
              </w:rPr>
            </w:pPr>
            <w:r>
              <w:rPr>
                <w:rFonts w:ascii="Times New Roman" w:eastAsia="Times New Roman" w:hAnsi="Times New Roman" w:cs="Times New Roman"/>
                <w:kern w:val="0"/>
                <w:sz w:val="22"/>
              </w:rPr>
              <w:t xml:space="preserve">    Low</w:t>
            </w:r>
          </w:p>
        </w:tc>
        <w:tc>
          <w:tcPr>
            <w:tcW w:w="0" w:type="auto"/>
            <w:tcBorders>
              <w:top w:val="nil"/>
              <w:left w:val="nil"/>
              <w:bottom w:val="nil"/>
              <w:right w:val="nil"/>
            </w:tcBorders>
            <w:vAlign w:val="center"/>
          </w:tcPr>
          <w:p>
            <w:pPr>
              <w:widowControl/>
              <w:jc w:val="center"/>
              <w:rPr>
                <w:rFonts w:ascii="Times New Roman" w:eastAsia="Times New Roman" w:hAnsi="Times New Roman" w:cs="Times New Roman"/>
                <w:kern w:val="0"/>
                <w:sz w:val="22"/>
              </w:rPr>
            </w:pPr>
            <w:r>
              <w:rPr>
                <w:rFonts w:ascii="Times New Roman" w:hAnsi="Times New Roman" w:cs="Times New Roman"/>
                <w:sz w:val="24"/>
                <w:szCs w:val="24"/>
              </w:rPr>
              <w:t>≤0.01</w:t>
            </w:r>
            <w:r>
              <w:rPr>
                <w:rFonts w:ascii="Times New Roman" w:hAnsi="Times New Roman" w:cs="Times New Roman" w:hint="eastAsia"/>
                <w:sz w:val="24"/>
                <w:szCs w:val="24"/>
              </w:rPr>
              <w:t>4</w:t>
            </w:r>
          </w:p>
        </w:tc>
        <w:tc>
          <w:tcPr>
            <w:tcW w:w="0" w:type="auto"/>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64</w:t>
            </w:r>
            <w:r>
              <w:rPr>
                <w:rFonts w:ascii="Times New Roman" w:eastAsia="Times New Roman" w:hAnsi="Times New Roman" w:cs="Times New Roman"/>
                <w:kern w:val="0"/>
                <w:sz w:val="22"/>
              </w:rPr>
              <w:br/>
              <w:t>(49.6)</w:t>
            </w:r>
          </w:p>
        </w:tc>
        <w:tc>
          <w:tcPr>
            <w:tcW w:w="0" w:type="auto"/>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45</w:t>
            </w:r>
            <w:r>
              <w:rPr>
                <w:rFonts w:ascii="Times New Roman" w:eastAsia="Times New Roman" w:hAnsi="Times New Roman" w:cs="Times New Roman"/>
                <w:kern w:val="0"/>
                <w:sz w:val="22"/>
              </w:rPr>
              <w:br/>
              <w:t>(50.6)</w:t>
            </w:r>
          </w:p>
        </w:tc>
        <w:tc>
          <w:tcPr>
            <w:tcW w:w="0" w:type="auto"/>
            <w:vMerge w:val="restart"/>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0.96</w:t>
            </w:r>
            <w:r>
              <w:rPr>
                <w:rFonts w:ascii="Times New Roman" w:eastAsia="Times New Roman" w:hAnsi="Times New Roman" w:cs="Times New Roman"/>
                <w:kern w:val="0"/>
                <w:sz w:val="22"/>
              </w:rPr>
              <w:br/>
              <w:t>(0.56-1.65)</w:t>
            </w:r>
          </w:p>
        </w:tc>
        <w:tc>
          <w:tcPr>
            <w:tcW w:w="0" w:type="auto"/>
            <w:vMerge w:val="restart"/>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0.98</w:t>
            </w:r>
            <w:r>
              <w:rPr>
                <w:rFonts w:ascii="Times New Roman" w:eastAsia="Times New Roman" w:hAnsi="Times New Roman" w:cs="Times New Roman"/>
                <w:kern w:val="0"/>
                <w:sz w:val="22"/>
              </w:rPr>
              <w:br/>
              <w:t>(0.54-1.79)</w:t>
            </w:r>
          </w:p>
        </w:tc>
      </w:tr>
      <w:tr>
        <w:trPr>
          <w:trHeight w:val="601"/>
          <w:jc w:val="center"/>
        </w:trPr>
        <w:tc>
          <w:tcPr>
            <w:tcW w:w="0" w:type="auto"/>
            <w:tcBorders>
              <w:top w:val="nil"/>
              <w:left w:val="nil"/>
              <w:bottom w:val="nil"/>
              <w:right w:val="nil"/>
            </w:tcBorders>
            <w:shd w:val="clear" w:color="auto" w:fill="auto"/>
            <w:vAlign w:val="center"/>
            <w:hideMark/>
          </w:tcPr>
          <w:p>
            <w:pPr>
              <w:widowControl/>
              <w:jc w:val="left"/>
              <w:rPr>
                <w:rFonts w:ascii="Times New Roman" w:eastAsia="Times New Roman" w:hAnsi="Times New Roman" w:cs="Times New Roman"/>
                <w:kern w:val="0"/>
                <w:sz w:val="22"/>
              </w:rPr>
            </w:pPr>
            <w:r>
              <w:rPr>
                <w:rFonts w:ascii="Times New Roman" w:eastAsia="Times New Roman" w:hAnsi="Times New Roman" w:cs="Times New Roman"/>
                <w:kern w:val="0"/>
                <w:sz w:val="22"/>
              </w:rPr>
              <w:t xml:space="preserve">    High</w:t>
            </w:r>
          </w:p>
        </w:tc>
        <w:tc>
          <w:tcPr>
            <w:tcW w:w="0" w:type="auto"/>
            <w:tcBorders>
              <w:top w:val="nil"/>
              <w:left w:val="nil"/>
              <w:bottom w:val="nil"/>
              <w:right w:val="nil"/>
            </w:tcBorders>
            <w:vAlign w:val="center"/>
          </w:tcPr>
          <w:p>
            <w:pPr>
              <w:widowControl/>
              <w:jc w:val="center"/>
              <w:rPr>
                <w:rFonts w:ascii="Times New Roman" w:eastAsia="Times New Roman" w:hAnsi="Times New Roman" w:cs="Times New Roman"/>
                <w:kern w:val="0"/>
                <w:sz w:val="22"/>
              </w:rPr>
            </w:pPr>
            <w:r>
              <w:rPr>
                <w:rFonts w:ascii="Times New Roman" w:hAnsi="Times New Roman" w:cs="Times New Roman"/>
                <w:sz w:val="24"/>
                <w:szCs w:val="24"/>
              </w:rPr>
              <w:t>&gt;0.01</w:t>
            </w:r>
            <w:r>
              <w:rPr>
                <w:rFonts w:ascii="Times New Roman" w:hAnsi="Times New Roman" w:cs="Times New Roman" w:hint="eastAsia"/>
                <w:sz w:val="24"/>
                <w:szCs w:val="24"/>
              </w:rPr>
              <w:t>4</w:t>
            </w:r>
          </w:p>
        </w:tc>
        <w:tc>
          <w:tcPr>
            <w:tcW w:w="0" w:type="auto"/>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65</w:t>
            </w:r>
            <w:r>
              <w:rPr>
                <w:rFonts w:ascii="Times New Roman" w:eastAsia="Times New Roman" w:hAnsi="Times New Roman" w:cs="Times New Roman"/>
                <w:kern w:val="0"/>
                <w:sz w:val="22"/>
              </w:rPr>
              <w:br/>
              <w:t>(50.4)</w:t>
            </w:r>
          </w:p>
        </w:tc>
        <w:tc>
          <w:tcPr>
            <w:tcW w:w="0" w:type="auto"/>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44</w:t>
            </w:r>
            <w:r>
              <w:rPr>
                <w:rFonts w:ascii="Times New Roman" w:eastAsia="Times New Roman" w:hAnsi="Times New Roman" w:cs="Times New Roman"/>
                <w:kern w:val="0"/>
                <w:sz w:val="22"/>
              </w:rPr>
              <w:br/>
              <w:t>(49.4)</w:t>
            </w:r>
          </w:p>
        </w:tc>
        <w:tc>
          <w:tcPr>
            <w:tcW w:w="0" w:type="auto"/>
            <w:vMerge/>
            <w:tcBorders>
              <w:top w:val="nil"/>
              <w:left w:val="nil"/>
              <w:bottom w:val="nil"/>
              <w:right w:val="nil"/>
            </w:tcBorders>
            <w:vAlign w:val="center"/>
            <w:hideMark/>
          </w:tcPr>
          <w:p>
            <w:pPr>
              <w:widowControl/>
              <w:jc w:val="left"/>
              <w:rPr>
                <w:rFonts w:ascii="Times New Roman" w:eastAsia="Times New Roman" w:hAnsi="Times New Roman" w:cs="Times New Roman"/>
                <w:kern w:val="0"/>
                <w:sz w:val="22"/>
              </w:rPr>
            </w:pPr>
          </w:p>
        </w:tc>
        <w:tc>
          <w:tcPr>
            <w:tcW w:w="0" w:type="auto"/>
            <w:vMerge/>
            <w:tcBorders>
              <w:top w:val="nil"/>
              <w:left w:val="nil"/>
              <w:bottom w:val="nil"/>
              <w:right w:val="nil"/>
            </w:tcBorders>
            <w:vAlign w:val="center"/>
            <w:hideMark/>
          </w:tcPr>
          <w:p>
            <w:pPr>
              <w:widowControl/>
              <w:jc w:val="left"/>
              <w:rPr>
                <w:rFonts w:ascii="Times New Roman" w:eastAsia="Times New Roman" w:hAnsi="Times New Roman" w:cs="Times New Roman"/>
                <w:kern w:val="0"/>
                <w:sz w:val="22"/>
              </w:rPr>
            </w:pPr>
          </w:p>
        </w:tc>
      </w:tr>
      <w:tr>
        <w:trPr>
          <w:trHeight w:val="300"/>
          <w:jc w:val="center"/>
        </w:trPr>
        <w:tc>
          <w:tcPr>
            <w:tcW w:w="0" w:type="auto"/>
            <w:tcBorders>
              <w:top w:val="nil"/>
              <w:left w:val="nil"/>
              <w:bottom w:val="nil"/>
              <w:right w:val="nil"/>
            </w:tcBorders>
            <w:shd w:val="clear" w:color="auto" w:fill="auto"/>
            <w:vAlign w:val="center"/>
            <w:hideMark/>
          </w:tcPr>
          <w:p>
            <w:pPr>
              <w:widowControl/>
              <w:jc w:val="left"/>
              <w:rPr>
                <w:rFonts w:ascii="Times New Roman" w:eastAsia="Times New Roman" w:hAnsi="Times New Roman" w:cs="Times New Roman"/>
                <w:kern w:val="0"/>
                <w:sz w:val="22"/>
              </w:rPr>
            </w:pPr>
            <w:r>
              <w:rPr>
                <w:rFonts w:ascii="Times New Roman" w:eastAsia="Times New Roman" w:hAnsi="Times New Roman" w:cs="Times New Roman"/>
                <w:kern w:val="0"/>
                <w:sz w:val="22"/>
              </w:rPr>
              <w:t xml:space="preserve">IDR </w:t>
            </w:r>
          </w:p>
        </w:tc>
        <w:tc>
          <w:tcPr>
            <w:tcW w:w="0" w:type="auto"/>
            <w:tcBorders>
              <w:top w:val="nil"/>
              <w:left w:val="nil"/>
              <w:bottom w:val="nil"/>
              <w:right w:val="nil"/>
            </w:tcBorders>
            <w:vAlign w:val="center"/>
          </w:tcPr>
          <w:p>
            <w:pPr>
              <w:widowControl/>
              <w:jc w:val="center"/>
              <w:rPr>
                <w:rFonts w:ascii="Times New Roman" w:eastAsia="Times New Roman" w:hAnsi="Times New Roman" w:cs="Times New Roman"/>
                <w:kern w:val="0"/>
                <w:sz w:val="22"/>
              </w:rPr>
            </w:pPr>
          </w:p>
        </w:tc>
        <w:tc>
          <w:tcPr>
            <w:tcW w:w="0" w:type="auto"/>
            <w:tcBorders>
              <w:top w:val="nil"/>
              <w:left w:val="nil"/>
              <w:bottom w:val="nil"/>
              <w:right w:val="nil"/>
            </w:tcBorders>
            <w:shd w:val="clear" w:color="auto" w:fill="auto"/>
            <w:vAlign w:val="center"/>
            <w:hideMark/>
          </w:tcPr>
          <w:p>
            <w:pPr>
              <w:widowControl/>
              <w:jc w:val="left"/>
              <w:rPr>
                <w:rFonts w:ascii="Times New Roman" w:eastAsia="Times New Roman" w:hAnsi="Times New Roman" w:cs="Times New Roman"/>
                <w:kern w:val="0"/>
                <w:sz w:val="22"/>
              </w:rPr>
            </w:pPr>
          </w:p>
        </w:tc>
        <w:tc>
          <w:tcPr>
            <w:tcW w:w="0" w:type="auto"/>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0"/>
                <w:szCs w:val="20"/>
              </w:rPr>
            </w:pPr>
          </w:p>
        </w:tc>
      </w:tr>
      <w:tr>
        <w:trPr>
          <w:trHeight w:val="601"/>
          <w:jc w:val="center"/>
        </w:trPr>
        <w:tc>
          <w:tcPr>
            <w:tcW w:w="0" w:type="auto"/>
            <w:tcBorders>
              <w:top w:val="nil"/>
              <w:left w:val="nil"/>
              <w:bottom w:val="nil"/>
              <w:right w:val="nil"/>
            </w:tcBorders>
            <w:shd w:val="clear" w:color="auto" w:fill="auto"/>
            <w:vAlign w:val="center"/>
            <w:hideMark/>
          </w:tcPr>
          <w:p>
            <w:pPr>
              <w:widowControl/>
              <w:jc w:val="left"/>
              <w:rPr>
                <w:rFonts w:ascii="Times New Roman" w:eastAsia="Times New Roman" w:hAnsi="Times New Roman" w:cs="Times New Roman"/>
                <w:kern w:val="0"/>
                <w:sz w:val="22"/>
              </w:rPr>
            </w:pPr>
            <w:r>
              <w:rPr>
                <w:rFonts w:ascii="Times New Roman" w:eastAsia="Times New Roman" w:hAnsi="Times New Roman" w:cs="Times New Roman"/>
                <w:kern w:val="0"/>
                <w:sz w:val="22"/>
              </w:rPr>
              <w:t xml:space="preserve">    Low</w:t>
            </w:r>
          </w:p>
        </w:tc>
        <w:tc>
          <w:tcPr>
            <w:tcW w:w="0" w:type="auto"/>
            <w:tcBorders>
              <w:top w:val="nil"/>
              <w:left w:val="nil"/>
              <w:bottom w:val="nil"/>
              <w:right w:val="nil"/>
            </w:tcBorders>
            <w:vAlign w:val="center"/>
          </w:tcPr>
          <w:p>
            <w:pPr>
              <w:widowControl/>
              <w:jc w:val="center"/>
              <w:rPr>
                <w:rFonts w:ascii="Times New Roman" w:eastAsia="Times New Roman" w:hAnsi="Times New Roman" w:cs="Times New Roman"/>
                <w:kern w:val="0"/>
                <w:sz w:val="22"/>
              </w:rPr>
            </w:pPr>
            <w:r>
              <w:rPr>
                <w:rFonts w:ascii="Times New Roman" w:eastAsia="Univers LT Std 57 Cn" w:hAnsi="Times New Roman" w:cs="Times New Roman"/>
                <w:sz w:val="24"/>
                <w:szCs w:val="24"/>
              </w:rPr>
              <w:t>≤0.0</w:t>
            </w:r>
            <w:r>
              <w:rPr>
                <w:rFonts w:ascii="Times New Roman" w:eastAsia="Univers LT Std 57 Cn" w:hAnsi="Times New Roman" w:cs="Times New Roman" w:hint="eastAsia"/>
                <w:sz w:val="24"/>
                <w:szCs w:val="24"/>
              </w:rPr>
              <w:t>36</w:t>
            </w:r>
          </w:p>
        </w:tc>
        <w:tc>
          <w:tcPr>
            <w:tcW w:w="0" w:type="auto"/>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69</w:t>
            </w:r>
            <w:r>
              <w:rPr>
                <w:rFonts w:ascii="Times New Roman" w:eastAsia="Times New Roman" w:hAnsi="Times New Roman" w:cs="Times New Roman"/>
                <w:kern w:val="0"/>
                <w:sz w:val="22"/>
              </w:rPr>
              <w:br/>
              <w:t>(53.5)</w:t>
            </w:r>
          </w:p>
        </w:tc>
        <w:tc>
          <w:tcPr>
            <w:tcW w:w="0" w:type="auto"/>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40</w:t>
            </w:r>
            <w:r>
              <w:rPr>
                <w:rFonts w:ascii="Times New Roman" w:eastAsia="Times New Roman" w:hAnsi="Times New Roman" w:cs="Times New Roman"/>
                <w:kern w:val="0"/>
                <w:sz w:val="22"/>
              </w:rPr>
              <w:br/>
              <w:t>(44.9)</w:t>
            </w:r>
          </w:p>
        </w:tc>
        <w:tc>
          <w:tcPr>
            <w:tcW w:w="0" w:type="auto"/>
            <w:vMerge w:val="restart"/>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1.41</w:t>
            </w:r>
            <w:r>
              <w:rPr>
                <w:rFonts w:ascii="Times New Roman" w:eastAsia="Times New Roman" w:hAnsi="Times New Roman" w:cs="Times New Roman"/>
                <w:kern w:val="0"/>
                <w:sz w:val="22"/>
              </w:rPr>
              <w:br/>
              <w:t>(0.82-2.42)</w:t>
            </w:r>
          </w:p>
        </w:tc>
        <w:tc>
          <w:tcPr>
            <w:tcW w:w="0" w:type="auto"/>
            <w:vMerge w:val="restart"/>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1.10</w:t>
            </w:r>
            <w:r>
              <w:rPr>
                <w:rFonts w:ascii="Times New Roman" w:eastAsia="Times New Roman" w:hAnsi="Times New Roman" w:cs="Times New Roman"/>
                <w:kern w:val="0"/>
                <w:sz w:val="22"/>
              </w:rPr>
              <w:br/>
              <w:t>(0.61-2.00)</w:t>
            </w:r>
          </w:p>
        </w:tc>
      </w:tr>
      <w:tr>
        <w:trPr>
          <w:trHeight w:val="601"/>
          <w:jc w:val="center"/>
        </w:trPr>
        <w:tc>
          <w:tcPr>
            <w:tcW w:w="0" w:type="auto"/>
            <w:tcBorders>
              <w:top w:val="nil"/>
              <w:left w:val="nil"/>
              <w:bottom w:val="nil"/>
              <w:right w:val="nil"/>
            </w:tcBorders>
            <w:shd w:val="clear" w:color="auto" w:fill="auto"/>
            <w:vAlign w:val="center"/>
            <w:hideMark/>
          </w:tcPr>
          <w:p>
            <w:pPr>
              <w:widowControl/>
              <w:jc w:val="left"/>
              <w:rPr>
                <w:rFonts w:ascii="Times New Roman" w:eastAsia="Times New Roman" w:hAnsi="Times New Roman" w:cs="Times New Roman"/>
                <w:kern w:val="0"/>
                <w:sz w:val="22"/>
              </w:rPr>
            </w:pPr>
            <w:r>
              <w:rPr>
                <w:rFonts w:ascii="Times New Roman" w:eastAsia="Times New Roman" w:hAnsi="Times New Roman" w:cs="Times New Roman"/>
                <w:kern w:val="0"/>
                <w:sz w:val="22"/>
              </w:rPr>
              <w:t xml:space="preserve">    High</w:t>
            </w:r>
          </w:p>
        </w:tc>
        <w:tc>
          <w:tcPr>
            <w:tcW w:w="0" w:type="auto"/>
            <w:tcBorders>
              <w:top w:val="nil"/>
              <w:left w:val="nil"/>
              <w:bottom w:val="nil"/>
              <w:right w:val="nil"/>
            </w:tcBorders>
            <w:vAlign w:val="center"/>
          </w:tcPr>
          <w:p>
            <w:pPr>
              <w:widowControl/>
              <w:jc w:val="center"/>
              <w:rPr>
                <w:rFonts w:ascii="Times New Roman" w:eastAsia="Times New Roman" w:hAnsi="Times New Roman" w:cs="Times New Roman"/>
                <w:kern w:val="0"/>
                <w:sz w:val="22"/>
              </w:rPr>
            </w:pPr>
            <w:r>
              <w:rPr>
                <w:rFonts w:ascii="Times New Roman" w:eastAsia="Univers LT Std 57 Cn" w:hAnsi="Times New Roman" w:cs="Times New Roman"/>
                <w:sz w:val="24"/>
                <w:szCs w:val="24"/>
              </w:rPr>
              <w:t>&gt;0.0</w:t>
            </w:r>
            <w:r>
              <w:rPr>
                <w:rFonts w:ascii="Times New Roman" w:eastAsia="Univers LT Std 57 Cn" w:hAnsi="Times New Roman" w:cs="Times New Roman" w:hint="eastAsia"/>
                <w:sz w:val="24"/>
                <w:szCs w:val="24"/>
              </w:rPr>
              <w:t>36</w:t>
            </w:r>
          </w:p>
        </w:tc>
        <w:tc>
          <w:tcPr>
            <w:tcW w:w="0" w:type="auto"/>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60</w:t>
            </w:r>
            <w:r>
              <w:rPr>
                <w:rFonts w:ascii="Times New Roman" w:eastAsia="Times New Roman" w:hAnsi="Times New Roman" w:cs="Times New Roman"/>
                <w:kern w:val="0"/>
                <w:sz w:val="22"/>
              </w:rPr>
              <w:br/>
              <w:t>(46.5)</w:t>
            </w:r>
          </w:p>
        </w:tc>
        <w:tc>
          <w:tcPr>
            <w:tcW w:w="0" w:type="auto"/>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49</w:t>
            </w:r>
            <w:r>
              <w:rPr>
                <w:rFonts w:ascii="Times New Roman" w:eastAsia="Times New Roman" w:hAnsi="Times New Roman" w:cs="Times New Roman"/>
                <w:kern w:val="0"/>
                <w:sz w:val="22"/>
              </w:rPr>
              <w:br/>
              <w:t>(55.1)</w:t>
            </w:r>
          </w:p>
        </w:tc>
        <w:tc>
          <w:tcPr>
            <w:tcW w:w="0" w:type="auto"/>
            <w:vMerge/>
            <w:tcBorders>
              <w:top w:val="nil"/>
              <w:left w:val="nil"/>
              <w:bottom w:val="nil"/>
              <w:right w:val="nil"/>
            </w:tcBorders>
            <w:vAlign w:val="center"/>
            <w:hideMark/>
          </w:tcPr>
          <w:p>
            <w:pPr>
              <w:widowControl/>
              <w:jc w:val="left"/>
              <w:rPr>
                <w:rFonts w:ascii="Times New Roman" w:eastAsia="Times New Roman" w:hAnsi="Times New Roman" w:cs="Times New Roman"/>
                <w:kern w:val="0"/>
                <w:sz w:val="22"/>
              </w:rPr>
            </w:pPr>
          </w:p>
        </w:tc>
        <w:tc>
          <w:tcPr>
            <w:tcW w:w="0" w:type="auto"/>
            <w:vMerge/>
            <w:tcBorders>
              <w:top w:val="nil"/>
              <w:left w:val="nil"/>
              <w:bottom w:val="nil"/>
              <w:right w:val="nil"/>
            </w:tcBorders>
            <w:vAlign w:val="center"/>
            <w:hideMark/>
          </w:tcPr>
          <w:p>
            <w:pPr>
              <w:widowControl/>
              <w:jc w:val="left"/>
              <w:rPr>
                <w:rFonts w:ascii="Times New Roman" w:eastAsia="Times New Roman" w:hAnsi="Times New Roman" w:cs="Times New Roman"/>
                <w:kern w:val="0"/>
                <w:sz w:val="22"/>
              </w:rPr>
            </w:pPr>
          </w:p>
        </w:tc>
      </w:tr>
      <w:tr>
        <w:trPr>
          <w:trHeight w:val="300"/>
          <w:jc w:val="center"/>
        </w:trPr>
        <w:tc>
          <w:tcPr>
            <w:tcW w:w="0" w:type="auto"/>
            <w:tcBorders>
              <w:top w:val="nil"/>
              <w:left w:val="nil"/>
              <w:bottom w:val="nil"/>
              <w:right w:val="nil"/>
            </w:tcBorders>
            <w:shd w:val="clear" w:color="auto" w:fill="auto"/>
            <w:vAlign w:val="center"/>
            <w:hideMark/>
          </w:tcPr>
          <w:p>
            <w:pPr>
              <w:widowControl/>
              <w:jc w:val="left"/>
              <w:rPr>
                <w:rFonts w:ascii="Times New Roman" w:eastAsia="Times New Roman" w:hAnsi="Times New Roman" w:cs="Times New Roman"/>
                <w:kern w:val="0"/>
                <w:sz w:val="22"/>
              </w:rPr>
            </w:pPr>
            <w:r>
              <w:rPr>
                <w:rFonts w:ascii="Times New Roman" w:eastAsia="Times New Roman" w:hAnsi="Times New Roman" w:cs="Times New Roman"/>
                <w:kern w:val="0"/>
                <w:sz w:val="22"/>
              </w:rPr>
              <w:t xml:space="preserve">HCEAB </w:t>
            </w:r>
          </w:p>
        </w:tc>
        <w:tc>
          <w:tcPr>
            <w:tcW w:w="0" w:type="auto"/>
            <w:tcBorders>
              <w:top w:val="nil"/>
              <w:left w:val="nil"/>
              <w:bottom w:val="nil"/>
              <w:right w:val="nil"/>
            </w:tcBorders>
            <w:vAlign w:val="center"/>
          </w:tcPr>
          <w:p>
            <w:pPr>
              <w:widowControl/>
              <w:jc w:val="center"/>
              <w:rPr>
                <w:rFonts w:ascii="Times New Roman" w:eastAsia="Times New Roman" w:hAnsi="Times New Roman" w:cs="Times New Roman"/>
                <w:kern w:val="0"/>
                <w:sz w:val="22"/>
              </w:rPr>
            </w:pPr>
          </w:p>
        </w:tc>
        <w:tc>
          <w:tcPr>
            <w:tcW w:w="0" w:type="auto"/>
            <w:tcBorders>
              <w:top w:val="nil"/>
              <w:left w:val="nil"/>
              <w:bottom w:val="nil"/>
              <w:right w:val="nil"/>
            </w:tcBorders>
            <w:shd w:val="clear" w:color="auto" w:fill="auto"/>
            <w:vAlign w:val="center"/>
            <w:hideMark/>
          </w:tcPr>
          <w:p>
            <w:pPr>
              <w:widowControl/>
              <w:jc w:val="left"/>
              <w:rPr>
                <w:rFonts w:ascii="Times New Roman" w:eastAsia="Times New Roman" w:hAnsi="Times New Roman" w:cs="Times New Roman"/>
                <w:kern w:val="0"/>
                <w:sz w:val="22"/>
              </w:rPr>
            </w:pPr>
          </w:p>
        </w:tc>
        <w:tc>
          <w:tcPr>
            <w:tcW w:w="0" w:type="auto"/>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0"/>
                <w:szCs w:val="20"/>
              </w:rPr>
            </w:pPr>
          </w:p>
        </w:tc>
      </w:tr>
      <w:tr>
        <w:trPr>
          <w:trHeight w:val="601"/>
          <w:jc w:val="center"/>
        </w:trPr>
        <w:tc>
          <w:tcPr>
            <w:tcW w:w="0" w:type="auto"/>
            <w:tcBorders>
              <w:top w:val="nil"/>
              <w:left w:val="nil"/>
              <w:bottom w:val="nil"/>
              <w:right w:val="nil"/>
            </w:tcBorders>
            <w:shd w:val="clear" w:color="auto" w:fill="auto"/>
            <w:vAlign w:val="center"/>
            <w:hideMark/>
          </w:tcPr>
          <w:p>
            <w:pPr>
              <w:widowControl/>
              <w:jc w:val="left"/>
              <w:rPr>
                <w:rFonts w:ascii="Times New Roman" w:eastAsia="Times New Roman" w:hAnsi="Times New Roman" w:cs="Times New Roman"/>
                <w:kern w:val="0"/>
                <w:sz w:val="22"/>
              </w:rPr>
            </w:pPr>
            <w:r>
              <w:rPr>
                <w:rFonts w:ascii="Times New Roman" w:eastAsia="Times New Roman" w:hAnsi="Times New Roman" w:cs="Times New Roman"/>
                <w:kern w:val="0"/>
                <w:sz w:val="22"/>
              </w:rPr>
              <w:t xml:space="preserve">    Low</w:t>
            </w:r>
          </w:p>
        </w:tc>
        <w:tc>
          <w:tcPr>
            <w:tcW w:w="0" w:type="auto"/>
            <w:tcBorders>
              <w:top w:val="nil"/>
              <w:left w:val="nil"/>
              <w:bottom w:val="nil"/>
              <w:right w:val="nil"/>
            </w:tcBorders>
            <w:vAlign w:val="center"/>
          </w:tcPr>
          <w:p>
            <w:pPr>
              <w:widowControl/>
              <w:jc w:val="center"/>
              <w:rPr>
                <w:rFonts w:ascii="Times New Roman" w:eastAsia="Times New Roman" w:hAnsi="Times New Roman" w:cs="Times New Roman"/>
                <w:kern w:val="0"/>
                <w:sz w:val="22"/>
              </w:rPr>
            </w:pPr>
            <w:r>
              <w:rPr>
                <w:rFonts w:ascii="Times New Roman" w:hAnsi="Times New Roman" w:cs="Times New Roman"/>
                <w:sz w:val="24"/>
                <w:szCs w:val="24"/>
              </w:rPr>
              <w:t>≤0.01</w:t>
            </w:r>
            <w:r>
              <w:rPr>
                <w:rFonts w:ascii="Times New Roman" w:hAnsi="Times New Roman" w:cs="Times New Roman" w:hint="eastAsia"/>
                <w:sz w:val="24"/>
                <w:szCs w:val="24"/>
              </w:rPr>
              <w:t>3</w:t>
            </w:r>
          </w:p>
        </w:tc>
        <w:tc>
          <w:tcPr>
            <w:tcW w:w="0" w:type="auto"/>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60</w:t>
            </w:r>
            <w:r>
              <w:rPr>
                <w:rFonts w:ascii="Times New Roman" w:eastAsia="Times New Roman" w:hAnsi="Times New Roman" w:cs="Times New Roman"/>
                <w:kern w:val="0"/>
                <w:sz w:val="22"/>
              </w:rPr>
              <w:br/>
              <w:t>(46.5)</w:t>
            </w:r>
          </w:p>
        </w:tc>
        <w:tc>
          <w:tcPr>
            <w:tcW w:w="0" w:type="auto"/>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49</w:t>
            </w:r>
            <w:r>
              <w:rPr>
                <w:rFonts w:ascii="Times New Roman" w:eastAsia="Times New Roman" w:hAnsi="Times New Roman" w:cs="Times New Roman"/>
                <w:kern w:val="0"/>
                <w:sz w:val="22"/>
              </w:rPr>
              <w:br/>
              <w:t>(55.1)</w:t>
            </w:r>
          </w:p>
        </w:tc>
        <w:tc>
          <w:tcPr>
            <w:tcW w:w="0" w:type="auto"/>
            <w:vMerge w:val="restart"/>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0.71</w:t>
            </w:r>
            <w:r>
              <w:rPr>
                <w:rFonts w:ascii="Times New Roman" w:eastAsia="Times New Roman" w:hAnsi="Times New Roman" w:cs="Times New Roman"/>
                <w:kern w:val="0"/>
                <w:sz w:val="22"/>
              </w:rPr>
              <w:br/>
              <w:t>(0.41-1.22)</w:t>
            </w:r>
          </w:p>
        </w:tc>
        <w:tc>
          <w:tcPr>
            <w:tcW w:w="0" w:type="auto"/>
            <w:vMerge w:val="restart"/>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0.56</w:t>
            </w:r>
            <w:r>
              <w:rPr>
                <w:rFonts w:ascii="Times New Roman" w:eastAsia="Times New Roman" w:hAnsi="Times New Roman" w:cs="Times New Roman"/>
                <w:kern w:val="0"/>
                <w:sz w:val="22"/>
              </w:rPr>
              <w:br/>
              <w:t>(0.30-1.04)</w:t>
            </w:r>
          </w:p>
        </w:tc>
      </w:tr>
      <w:tr>
        <w:trPr>
          <w:trHeight w:val="601"/>
          <w:jc w:val="center"/>
        </w:trPr>
        <w:tc>
          <w:tcPr>
            <w:tcW w:w="0" w:type="auto"/>
            <w:tcBorders>
              <w:top w:val="nil"/>
              <w:left w:val="nil"/>
              <w:bottom w:val="nil"/>
              <w:right w:val="nil"/>
            </w:tcBorders>
            <w:shd w:val="clear" w:color="auto" w:fill="auto"/>
            <w:vAlign w:val="center"/>
            <w:hideMark/>
          </w:tcPr>
          <w:p>
            <w:pPr>
              <w:widowControl/>
              <w:jc w:val="left"/>
              <w:rPr>
                <w:rFonts w:ascii="Times New Roman" w:eastAsia="Times New Roman" w:hAnsi="Times New Roman" w:cs="Times New Roman"/>
                <w:kern w:val="0"/>
                <w:sz w:val="22"/>
              </w:rPr>
            </w:pPr>
            <w:r>
              <w:rPr>
                <w:rFonts w:ascii="Times New Roman" w:eastAsia="Times New Roman" w:hAnsi="Times New Roman" w:cs="Times New Roman"/>
                <w:kern w:val="0"/>
                <w:sz w:val="22"/>
              </w:rPr>
              <w:t xml:space="preserve">    High</w:t>
            </w:r>
          </w:p>
        </w:tc>
        <w:tc>
          <w:tcPr>
            <w:tcW w:w="0" w:type="auto"/>
            <w:tcBorders>
              <w:top w:val="nil"/>
              <w:left w:val="nil"/>
              <w:bottom w:val="nil"/>
              <w:right w:val="nil"/>
            </w:tcBorders>
            <w:vAlign w:val="center"/>
          </w:tcPr>
          <w:p>
            <w:pPr>
              <w:widowControl/>
              <w:jc w:val="center"/>
              <w:rPr>
                <w:rFonts w:ascii="Times New Roman" w:eastAsia="Times New Roman" w:hAnsi="Times New Roman" w:cs="Times New Roman"/>
                <w:kern w:val="0"/>
                <w:sz w:val="22"/>
              </w:rPr>
            </w:pPr>
            <w:r>
              <w:rPr>
                <w:rFonts w:ascii="Times New Roman" w:hAnsi="Times New Roman" w:cs="Times New Roman"/>
                <w:sz w:val="24"/>
                <w:szCs w:val="24"/>
              </w:rPr>
              <w:t>&gt;0.01</w:t>
            </w:r>
            <w:r>
              <w:rPr>
                <w:rFonts w:ascii="Times New Roman" w:hAnsi="Times New Roman" w:cs="Times New Roman" w:hint="eastAsia"/>
                <w:sz w:val="24"/>
                <w:szCs w:val="24"/>
              </w:rPr>
              <w:t>3</w:t>
            </w:r>
          </w:p>
        </w:tc>
        <w:tc>
          <w:tcPr>
            <w:tcW w:w="0" w:type="auto"/>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69</w:t>
            </w:r>
            <w:r>
              <w:rPr>
                <w:rFonts w:ascii="Times New Roman" w:eastAsia="Times New Roman" w:hAnsi="Times New Roman" w:cs="Times New Roman"/>
                <w:kern w:val="0"/>
                <w:sz w:val="22"/>
              </w:rPr>
              <w:br/>
              <w:t>(53.5)</w:t>
            </w:r>
          </w:p>
        </w:tc>
        <w:tc>
          <w:tcPr>
            <w:tcW w:w="0" w:type="auto"/>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40</w:t>
            </w:r>
            <w:r>
              <w:rPr>
                <w:rFonts w:ascii="Times New Roman" w:eastAsia="Times New Roman" w:hAnsi="Times New Roman" w:cs="Times New Roman"/>
                <w:kern w:val="0"/>
                <w:sz w:val="22"/>
              </w:rPr>
              <w:br/>
              <w:t>(44.9)</w:t>
            </w:r>
          </w:p>
        </w:tc>
        <w:tc>
          <w:tcPr>
            <w:tcW w:w="0" w:type="auto"/>
            <w:vMerge/>
            <w:tcBorders>
              <w:top w:val="nil"/>
              <w:left w:val="nil"/>
              <w:bottom w:val="nil"/>
              <w:right w:val="nil"/>
            </w:tcBorders>
            <w:vAlign w:val="center"/>
            <w:hideMark/>
          </w:tcPr>
          <w:p>
            <w:pPr>
              <w:widowControl/>
              <w:jc w:val="left"/>
              <w:rPr>
                <w:rFonts w:ascii="Times New Roman" w:eastAsia="Times New Roman" w:hAnsi="Times New Roman" w:cs="Times New Roman"/>
                <w:kern w:val="0"/>
                <w:sz w:val="22"/>
              </w:rPr>
            </w:pPr>
          </w:p>
        </w:tc>
        <w:tc>
          <w:tcPr>
            <w:tcW w:w="0" w:type="auto"/>
            <w:vMerge/>
            <w:tcBorders>
              <w:top w:val="nil"/>
              <w:left w:val="nil"/>
              <w:bottom w:val="nil"/>
              <w:right w:val="nil"/>
            </w:tcBorders>
            <w:vAlign w:val="center"/>
            <w:hideMark/>
          </w:tcPr>
          <w:p>
            <w:pPr>
              <w:widowControl/>
              <w:jc w:val="left"/>
              <w:rPr>
                <w:rFonts w:ascii="Times New Roman" w:eastAsia="Times New Roman" w:hAnsi="Times New Roman" w:cs="Times New Roman"/>
                <w:kern w:val="0"/>
                <w:sz w:val="22"/>
              </w:rPr>
            </w:pPr>
          </w:p>
        </w:tc>
      </w:tr>
      <w:tr>
        <w:trPr>
          <w:trHeight w:val="300"/>
          <w:jc w:val="center"/>
        </w:trPr>
        <w:tc>
          <w:tcPr>
            <w:tcW w:w="0" w:type="auto"/>
            <w:tcBorders>
              <w:top w:val="nil"/>
              <w:left w:val="nil"/>
              <w:bottom w:val="nil"/>
              <w:right w:val="nil"/>
            </w:tcBorders>
            <w:shd w:val="clear" w:color="auto" w:fill="auto"/>
            <w:vAlign w:val="center"/>
            <w:hideMark/>
          </w:tcPr>
          <w:p>
            <w:pPr>
              <w:widowControl/>
              <w:jc w:val="left"/>
              <w:rPr>
                <w:rFonts w:ascii="Times New Roman" w:eastAsia="Times New Roman" w:hAnsi="Times New Roman" w:cs="Times New Roman"/>
                <w:kern w:val="0"/>
                <w:sz w:val="22"/>
              </w:rPr>
            </w:pPr>
            <w:r>
              <w:rPr>
                <w:rFonts w:ascii="Times New Roman" w:eastAsia="SimSun" w:hAnsi="Times New Roman" w:cs="Times New Roman"/>
              </w:rPr>
              <w:t>ENS I</w:t>
            </w:r>
            <w:r>
              <w:rPr>
                <w:rFonts w:ascii="Times New Roman" w:eastAsia="Times New Roman" w:hAnsi="Times New Roman" w:cs="Times New Roman"/>
                <w:kern w:val="0"/>
                <w:sz w:val="22"/>
              </w:rPr>
              <w:t xml:space="preserve"> </w:t>
            </w:r>
          </w:p>
        </w:tc>
        <w:tc>
          <w:tcPr>
            <w:tcW w:w="0" w:type="auto"/>
            <w:tcBorders>
              <w:top w:val="nil"/>
              <w:left w:val="nil"/>
              <w:bottom w:val="nil"/>
              <w:right w:val="nil"/>
            </w:tcBorders>
            <w:vAlign w:val="center"/>
          </w:tcPr>
          <w:p>
            <w:pPr>
              <w:widowControl/>
              <w:jc w:val="center"/>
              <w:rPr>
                <w:rFonts w:ascii="Times New Roman" w:eastAsia="Times New Roman" w:hAnsi="Times New Roman" w:cs="Times New Roman"/>
                <w:kern w:val="0"/>
                <w:sz w:val="22"/>
              </w:rPr>
            </w:pPr>
          </w:p>
        </w:tc>
        <w:tc>
          <w:tcPr>
            <w:tcW w:w="0" w:type="auto"/>
            <w:tcBorders>
              <w:top w:val="nil"/>
              <w:left w:val="nil"/>
              <w:bottom w:val="nil"/>
              <w:right w:val="nil"/>
            </w:tcBorders>
            <w:shd w:val="clear" w:color="auto" w:fill="auto"/>
            <w:vAlign w:val="center"/>
            <w:hideMark/>
          </w:tcPr>
          <w:p>
            <w:pPr>
              <w:widowControl/>
              <w:jc w:val="left"/>
              <w:rPr>
                <w:rFonts w:ascii="Times New Roman" w:eastAsia="Times New Roman" w:hAnsi="Times New Roman" w:cs="Times New Roman"/>
                <w:kern w:val="0"/>
                <w:sz w:val="22"/>
              </w:rPr>
            </w:pPr>
          </w:p>
        </w:tc>
        <w:tc>
          <w:tcPr>
            <w:tcW w:w="0" w:type="auto"/>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0"/>
                <w:szCs w:val="20"/>
              </w:rPr>
            </w:pPr>
          </w:p>
        </w:tc>
      </w:tr>
      <w:tr>
        <w:trPr>
          <w:trHeight w:val="601"/>
          <w:jc w:val="center"/>
        </w:trPr>
        <w:tc>
          <w:tcPr>
            <w:tcW w:w="0" w:type="auto"/>
            <w:tcBorders>
              <w:top w:val="nil"/>
              <w:left w:val="nil"/>
              <w:bottom w:val="nil"/>
              <w:right w:val="nil"/>
            </w:tcBorders>
            <w:shd w:val="clear" w:color="auto" w:fill="auto"/>
            <w:vAlign w:val="center"/>
            <w:hideMark/>
          </w:tcPr>
          <w:p>
            <w:pPr>
              <w:widowControl/>
              <w:jc w:val="left"/>
              <w:rPr>
                <w:rFonts w:ascii="Times New Roman" w:eastAsia="Times New Roman" w:hAnsi="Times New Roman" w:cs="Times New Roman"/>
                <w:kern w:val="0"/>
                <w:sz w:val="22"/>
              </w:rPr>
            </w:pPr>
            <w:r>
              <w:rPr>
                <w:rFonts w:ascii="Times New Roman" w:eastAsia="Times New Roman" w:hAnsi="Times New Roman" w:cs="Times New Roman"/>
                <w:kern w:val="0"/>
                <w:sz w:val="22"/>
              </w:rPr>
              <w:t xml:space="preserve">    Low</w:t>
            </w:r>
          </w:p>
        </w:tc>
        <w:tc>
          <w:tcPr>
            <w:tcW w:w="0" w:type="auto"/>
            <w:tcBorders>
              <w:top w:val="nil"/>
              <w:left w:val="nil"/>
              <w:bottom w:val="nil"/>
              <w:right w:val="nil"/>
            </w:tcBorders>
            <w:vAlign w:val="center"/>
          </w:tcPr>
          <w:p>
            <w:pPr>
              <w:widowControl/>
              <w:jc w:val="center"/>
              <w:rPr>
                <w:rFonts w:ascii="Times New Roman" w:eastAsia="Times New Roman" w:hAnsi="Times New Roman" w:cs="Times New Roman"/>
                <w:kern w:val="0"/>
                <w:sz w:val="22"/>
              </w:rPr>
            </w:pPr>
            <w:r>
              <w:rPr>
                <w:rFonts w:ascii="Times New Roman" w:eastAsia="Univers LT Std 57 Cn" w:hAnsi="Times New Roman" w:cs="Times New Roman"/>
                <w:sz w:val="24"/>
                <w:szCs w:val="24"/>
              </w:rPr>
              <w:t>≤0.01</w:t>
            </w:r>
            <w:r>
              <w:rPr>
                <w:rFonts w:ascii="Times New Roman" w:eastAsia="Univers LT Std 57 Cn" w:hAnsi="Times New Roman" w:cs="Times New Roman" w:hint="eastAsia"/>
                <w:sz w:val="24"/>
                <w:szCs w:val="24"/>
              </w:rPr>
              <w:t>4</w:t>
            </w:r>
          </w:p>
        </w:tc>
        <w:tc>
          <w:tcPr>
            <w:tcW w:w="0" w:type="auto"/>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69</w:t>
            </w:r>
            <w:r>
              <w:rPr>
                <w:rFonts w:ascii="Times New Roman" w:eastAsia="Times New Roman" w:hAnsi="Times New Roman" w:cs="Times New Roman"/>
                <w:kern w:val="0"/>
                <w:sz w:val="22"/>
              </w:rPr>
              <w:br/>
              <w:t>(53.5)</w:t>
            </w:r>
          </w:p>
        </w:tc>
        <w:tc>
          <w:tcPr>
            <w:tcW w:w="0" w:type="auto"/>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40</w:t>
            </w:r>
            <w:r>
              <w:rPr>
                <w:rFonts w:ascii="Times New Roman" w:eastAsia="Times New Roman" w:hAnsi="Times New Roman" w:cs="Times New Roman"/>
                <w:kern w:val="0"/>
                <w:sz w:val="22"/>
              </w:rPr>
              <w:br/>
              <w:t>(44.9)</w:t>
            </w:r>
          </w:p>
        </w:tc>
        <w:tc>
          <w:tcPr>
            <w:tcW w:w="0" w:type="auto"/>
            <w:vMerge w:val="restart"/>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1.41</w:t>
            </w:r>
            <w:r>
              <w:rPr>
                <w:rFonts w:ascii="Times New Roman" w:eastAsia="Times New Roman" w:hAnsi="Times New Roman" w:cs="Times New Roman"/>
                <w:kern w:val="0"/>
                <w:sz w:val="22"/>
              </w:rPr>
              <w:br/>
              <w:t>(0.82-2.42)</w:t>
            </w:r>
          </w:p>
        </w:tc>
        <w:tc>
          <w:tcPr>
            <w:tcW w:w="0" w:type="auto"/>
            <w:vMerge w:val="restart"/>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1.22</w:t>
            </w:r>
            <w:r>
              <w:rPr>
                <w:rFonts w:ascii="Times New Roman" w:eastAsia="Times New Roman" w:hAnsi="Times New Roman" w:cs="Times New Roman"/>
                <w:kern w:val="0"/>
                <w:sz w:val="22"/>
              </w:rPr>
              <w:br/>
              <w:t>(0.67-2.22)</w:t>
            </w:r>
          </w:p>
        </w:tc>
      </w:tr>
      <w:tr>
        <w:trPr>
          <w:trHeight w:val="601"/>
          <w:jc w:val="center"/>
        </w:trPr>
        <w:tc>
          <w:tcPr>
            <w:tcW w:w="0" w:type="auto"/>
            <w:tcBorders>
              <w:top w:val="nil"/>
              <w:left w:val="nil"/>
              <w:bottom w:val="nil"/>
              <w:right w:val="nil"/>
            </w:tcBorders>
            <w:shd w:val="clear" w:color="auto" w:fill="auto"/>
            <w:vAlign w:val="center"/>
            <w:hideMark/>
          </w:tcPr>
          <w:p>
            <w:pPr>
              <w:widowControl/>
              <w:jc w:val="left"/>
              <w:rPr>
                <w:rFonts w:ascii="Times New Roman" w:eastAsia="Times New Roman" w:hAnsi="Times New Roman" w:cs="Times New Roman"/>
                <w:kern w:val="0"/>
                <w:sz w:val="22"/>
              </w:rPr>
            </w:pPr>
            <w:r>
              <w:rPr>
                <w:rFonts w:ascii="Times New Roman" w:eastAsia="Times New Roman" w:hAnsi="Times New Roman" w:cs="Times New Roman"/>
                <w:kern w:val="0"/>
                <w:sz w:val="22"/>
              </w:rPr>
              <w:t xml:space="preserve">    High</w:t>
            </w:r>
          </w:p>
        </w:tc>
        <w:tc>
          <w:tcPr>
            <w:tcW w:w="0" w:type="auto"/>
            <w:tcBorders>
              <w:top w:val="nil"/>
              <w:left w:val="nil"/>
              <w:bottom w:val="nil"/>
              <w:right w:val="nil"/>
            </w:tcBorders>
            <w:vAlign w:val="center"/>
          </w:tcPr>
          <w:p>
            <w:pPr>
              <w:widowControl/>
              <w:jc w:val="center"/>
              <w:rPr>
                <w:rFonts w:ascii="Times New Roman" w:eastAsia="Times New Roman" w:hAnsi="Times New Roman" w:cs="Times New Roman"/>
                <w:kern w:val="0"/>
                <w:sz w:val="22"/>
              </w:rPr>
            </w:pPr>
            <w:r>
              <w:rPr>
                <w:rFonts w:ascii="Times New Roman" w:eastAsia="Univers LT Std 57 Cn" w:hAnsi="Times New Roman" w:cs="Times New Roman"/>
                <w:sz w:val="24"/>
                <w:szCs w:val="24"/>
              </w:rPr>
              <w:t>&gt;0.01</w:t>
            </w:r>
            <w:r>
              <w:rPr>
                <w:rFonts w:ascii="Times New Roman" w:eastAsia="Univers LT Std 57 Cn" w:hAnsi="Times New Roman" w:cs="Times New Roman" w:hint="eastAsia"/>
                <w:sz w:val="24"/>
                <w:szCs w:val="24"/>
              </w:rPr>
              <w:t>4</w:t>
            </w:r>
          </w:p>
        </w:tc>
        <w:tc>
          <w:tcPr>
            <w:tcW w:w="0" w:type="auto"/>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60</w:t>
            </w:r>
            <w:r>
              <w:rPr>
                <w:rFonts w:ascii="Times New Roman" w:eastAsia="Times New Roman" w:hAnsi="Times New Roman" w:cs="Times New Roman"/>
                <w:kern w:val="0"/>
                <w:sz w:val="22"/>
              </w:rPr>
              <w:br/>
              <w:t>(46.5)</w:t>
            </w:r>
          </w:p>
        </w:tc>
        <w:tc>
          <w:tcPr>
            <w:tcW w:w="0" w:type="auto"/>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49</w:t>
            </w:r>
            <w:r>
              <w:rPr>
                <w:rFonts w:ascii="Times New Roman" w:eastAsia="Times New Roman" w:hAnsi="Times New Roman" w:cs="Times New Roman"/>
                <w:kern w:val="0"/>
                <w:sz w:val="22"/>
              </w:rPr>
              <w:br/>
              <w:t>(55.1)</w:t>
            </w:r>
          </w:p>
        </w:tc>
        <w:tc>
          <w:tcPr>
            <w:tcW w:w="0" w:type="auto"/>
            <w:vMerge/>
            <w:tcBorders>
              <w:top w:val="nil"/>
              <w:left w:val="nil"/>
              <w:bottom w:val="nil"/>
              <w:right w:val="nil"/>
            </w:tcBorders>
            <w:vAlign w:val="center"/>
            <w:hideMark/>
          </w:tcPr>
          <w:p>
            <w:pPr>
              <w:widowControl/>
              <w:jc w:val="left"/>
              <w:rPr>
                <w:rFonts w:ascii="Times New Roman" w:eastAsia="Times New Roman" w:hAnsi="Times New Roman" w:cs="Times New Roman"/>
                <w:kern w:val="0"/>
                <w:sz w:val="22"/>
              </w:rPr>
            </w:pPr>
          </w:p>
        </w:tc>
        <w:tc>
          <w:tcPr>
            <w:tcW w:w="0" w:type="auto"/>
            <w:vMerge/>
            <w:tcBorders>
              <w:top w:val="nil"/>
              <w:left w:val="nil"/>
              <w:bottom w:val="nil"/>
              <w:right w:val="nil"/>
            </w:tcBorders>
            <w:vAlign w:val="center"/>
            <w:hideMark/>
          </w:tcPr>
          <w:p>
            <w:pPr>
              <w:widowControl/>
              <w:jc w:val="left"/>
              <w:rPr>
                <w:rFonts w:ascii="Times New Roman" w:eastAsia="Times New Roman" w:hAnsi="Times New Roman" w:cs="Times New Roman"/>
                <w:kern w:val="0"/>
                <w:sz w:val="22"/>
              </w:rPr>
            </w:pPr>
          </w:p>
        </w:tc>
      </w:tr>
      <w:tr>
        <w:trPr>
          <w:trHeight w:val="300"/>
          <w:jc w:val="center"/>
        </w:trPr>
        <w:tc>
          <w:tcPr>
            <w:tcW w:w="0" w:type="auto"/>
            <w:tcBorders>
              <w:top w:val="nil"/>
              <w:left w:val="nil"/>
              <w:bottom w:val="nil"/>
              <w:right w:val="nil"/>
            </w:tcBorders>
            <w:shd w:val="clear" w:color="auto" w:fill="auto"/>
            <w:vAlign w:val="center"/>
            <w:hideMark/>
          </w:tcPr>
          <w:p>
            <w:pPr>
              <w:widowControl/>
              <w:jc w:val="left"/>
              <w:rPr>
                <w:rFonts w:ascii="Times New Roman" w:eastAsia="Times New Roman" w:hAnsi="Times New Roman" w:cs="Times New Roman"/>
                <w:kern w:val="0"/>
                <w:sz w:val="22"/>
              </w:rPr>
            </w:pPr>
            <w:r>
              <w:rPr>
                <w:rFonts w:ascii="Times New Roman" w:eastAsia="Times New Roman" w:hAnsi="Times New Roman" w:cs="Times New Roman"/>
                <w:kern w:val="0"/>
                <w:sz w:val="22"/>
              </w:rPr>
              <w:t xml:space="preserve">pp-DDE </w:t>
            </w:r>
          </w:p>
        </w:tc>
        <w:tc>
          <w:tcPr>
            <w:tcW w:w="0" w:type="auto"/>
            <w:tcBorders>
              <w:top w:val="nil"/>
              <w:left w:val="nil"/>
              <w:right w:val="nil"/>
            </w:tcBorders>
            <w:vAlign w:val="center"/>
          </w:tcPr>
          <w:p>
            <w:pPr>
              <w:widowControl/>
              <w:jc w:val="center"/>
              <w:rPr>
                <w:rFonts w:ascii="Times New Roman" w:eastAsia="Times New Roman" w:hAnsi="Times New Roman" w:cs="Times New Roman"/>
                <w:kern w:val="0"/>
                <w:sz w:val="22"/>
              </w:rPr>
            </w:pPr>
          </w:p>
        </w:tc>
        <w:tc>
          <w:tcPr>
            <w:tcW w:w="0" w:type="auto"/>
            <w:tcBorders>
              <w:top w:val="nil"/>
              <w:left w:val="nil"/>
              <w:right w:val="nil"/>
            </w:tcBorders>
            <w:shd w:val="clear" w:color="auto" w:fill="auto"/>
            <w:noWrap/>
            <w:vAlign w:val="center"/>
            <w:hideMark/>
          </w:tcPr>
          <w:p>
            <w:pPr>
              <w:widowControl/>
              <w:jc w:val="left"/>
              <w:rPr>
                <w:rFonts w:ascii="Times New Roman" w:eastAsia="Times New Roman" w:hAnsi="Times New Roman" w:cs="Times New Roman"/>
                <w:kern w:val="0"/>
                <w:sz w:val="22"/>
              </w:rPr>
            </w:pPr>
          </w:p>
        </w:tc>
        <w:tc>
          <w:tcPr>
            <w:tcW w:w="0" w:type="auto"/>
            <w:tcBorders>
              <w:top w:val="nil"/>
              <w:left w:val="nil"/>
              <w:right w:val="nil"/>
            </w:tcBorders>
            <w:shd w:val="clear" w:color="auto" w:fill="auto"/>
            <w:vAlign w:val="center"/>
            <w:hideMark/>
          </w:tcPr>
          <w:p>
            <w:pPr>
              <w:widowControl/>
              <w:jc w:val="center"/>
              <w:rPr>
                <w:rFonts w:ascii="Times New Roman" w:eastAsia="Times New Roman" w:hAnsi="Times New Roman" w:cs="Times New Roman"/>
                <w:kern w:val="0"/>
                <w:sz w:val="20"/>
                <w:szCs w:val="20"/>
              </w:rPr>
            </w:pPr>
          </w:p>
        </w:tc>
        <w:tc>
          <w:tcPr>
            <w:tcW w:w="0" w:type="auto"/>
            <w:tcBorders>
              <w:top w:val="nil"/>
              <w:left w:val="nil"/>
              <w:right w:val="nil"/>
            </w:tcBorders>
            <w:shd w:val="clear" w:color="auto" w:fill="auto"/>
            <w:vAlign w:val="center"/>
            <w:hideMark/>
          </w:tcPr>
          <w:p>
            <w:pPr>
              <w:widowControl/>
              <w:jc w:val="center"/>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0"/>
                <w:szCs w:val="20"/>
              </w:rPr>
            </w:pPr>
          </w:p>
        </w:tc>
      </w:tr>
      <w:tr>
        <w:trPr>
          <w:trHeight w:val="601"/>
          <w:jc w:val="center"/>
        </w:trPr>
        <w:tc>
          <w:tcPr>
            <w:tcW w:w="0" w:type="auto"/>
            <w:tcBorders>
              <w:top w:val="nil"/>
              <w:left w:val="nil"/>
              <w:bottom w:val="nil"/>
              <w:right w:val="nil"/>
            </w:tcBorders>
            <w:shd w:val="clear" w:color="auto" w:fill="auto"/>
            <w:vAlign w:val="center"/>
            <w:hideMark/>
          </w:tcPr>
          <w:p>
            <w:pPr>
              <w:widowControl/>
              <w:jc w:val="left"/>
              <w:rPr>
                <w:rFonts w:ascii="Times New Roman" w:eastAsia="Times New Roman" w:hAnsi="Times New Roman" w:cs="Times New Roman"/>
                <w:kern w:val="0"/>
                <w:sz w:val="22"/>
              </w:rPr>
            </w:pPr>
            <w:r>
              <w:rPr>
                <w:rFonts w:ascii="Times New Roman" w:eastAsia="Times New Roman" w:hAnsi="Times New Roman" w:cs="Times New Roman"/>
                <w:kern w:val="0"/>
                <w:sz w:val="22"/>
              </w:rPr>
              <w:t xml:space="preserve">    Low</w:t>
            </w:r>
          </w:p>
        </w:tc>
        <w:tc>
          <w:tcPr>
            <w:tcW w:w="0" w:type="auto"/>
            <w:tcBorders>
              <w:top w:val="nil"/>
              <w:left w:val="nil"/>
              <w:bottom w:val="nil"/>
              <w:right w:val="nil"/>
            </w:tcBorders>
            <w:vAlign w:val="center"/>
          </w:tcPr>
          <w:p>
            <w:pPr>
              <w:widowControl/>
              <w:jc w:val="center"/>
              <w:rPr>
                <w:rFonts w:ascii="Times New Roman" w:eastAsia="Times New Roman" w:hAnsi="Times New Roman" w:cs="Times New Roman"/>
                <w:kern w:val="0"/>
                <w:sz w:val="22"/>
              </w:rPr>
            </w:pPr>
            <w:r>
              <w:rPr>
                <w:rFonts w:ascii="Times New Roman" w:eastAsia="Univers LT Std 57 Cn" w:hAnsi="Times New Roman" w:cs="Times New Roman"/>
                <w:sz w:val="24"/>
                <w:szCs w:val="24"/>
              </w:rPr>
              <w:t>≤0.10</w:t>
            </w:r>
            <w:r>
              <w:rPr>
                <w:rFonts w:ascii="Times New Roman" w:eastAsia="Univers LT Std 57 Cn" w:hAnsi="Times New Roman" w:cs="Times New Roman" w:hint="eastAsia"/>
                <w:sz w:val="24"/>
                <w:szCs w:val="24"/>
              </w:rPr>
              <w:t>2</w:t>
            </w:r>
          </w:p>
        </w:tc>
        <w:tc>
          <w:tcPr>
            <w:tcW w:w="0" w:type="auto"/>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66</w:t>
            </w:r>
            <w:r>
              <w:rPr>
                <w:rFonts w:ascii="Times New Roman" w:eastAsia="Times New Roman" w:hAnsi="Times New Roman" w:cs="Times New Roman"/>
                <w:kern w:val="0"/>
                <w:sz w:val="22"/>
              </w:rPr>
              <w:br/>
              <w:t>(51.2)</w:t>
            </w:r>
          </w:p>
        </w:tc>
        <w:tc>
          <w:tcPr>
            <w:tcW w:w="0" w:type="auto"/>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43</w:t>
            </w:r>
            <w:r>
              <w:rPr>
                <w:rFonts w:ascii="Times New Roman" w:eastAsia="Times New Roman" w:hAnsi="Times New Roman" w:cs="Times New Roman"/>
                <w:kern w:val="0"/>
                <w:sz w:val="22"/>
              </w:rPr>
              <w:br/>
              <w:t>(48.3)</w:t>
            </w:r>
          </w:p>
        </w:tc>
        <w:tc>
          <w:tcPr>
            <w:tcW w:w="0" w:type="auto"/>
            <w:vMerge w:val="restart"/>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1.12</w:t>
            </w:r>
            <w:r>
              <w:rPr>
                <w:rFonts w:ascii="Times New Roman" w:eastAsia="Times New Roman" w:hAnsi="Times New Roman" w:cs="Times New Roman"/>
                <w:kern w:val="0"/>
                <w:sz w:val="22"/>
              </w:rPr>
              <w:br/>
              <w:t>(0.65-1.92)</w:t>
            </w:r>
          </w:p>
        </w:tc>
        <w:tc>
          <w:tcPr>
            <w:tcW w:w="0" w:type="auto"/>
            <w:vMerge w:val="restart"/>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1.00</w:t>
            </w:r>
            <w:r>
              <w:rPr>
                <w:rFonts w:ascii="Times New Roman" w:eastAsia="Times New Roman" w:hAnsi="Times New Roman" w:cs="Times New Roman"/>
                <w:kern w:val="0"/>
                <w:sz w:val="22"/>
              </w:rPr>
              <w:br/>
              <w:t>(0.55-1.83)</w:t>
            </w:r>
          </w:p>
        </w:tc>
      </w:tr>
      <w:tr>
        <w:trPr>
          <w:trHeight w:val="601"/>
          <w:jc w:val="center"/>
        </w:trPr>
        <w:tc>
          <w:tcPr>
            <w:tcW w:w="0" w:type="auto"/>
            <w:tcBorders>
              <w:top w:val="nil"/>
              <w:left w:val="nil"/>
              <w:bottom w:val="nil"/>
              <w:right w:val="nil"/>
            </w:tcBorders>
            <w:shd w:val="clear" w:color="auto" w:fill="auto"/>
            <w:vAlign w:val="center"/>
            <w:hideMark/>
          </w:tcPr>
          <w:p>
            <w:pPr>
              <w:widowControl/>
              <w:jc w:val="left"/>
              <w:rPr>
                <w:rFonts w:ascii="Times New Roman" w:eastAsia="Times New Roman" w:hAnsi="Times New Roman" w:cs="Times New Roman"/>
                <w:kern w:val="0"/>
                <w:sz w:val="22"/>
              </w:rPr>
            </w:pPr>
            <w:r>
              <w:rPr>
                <w:rFonts w:ascii="Times New Roman" w:eastAsia="Times New Roman" w:hAnsi="Times New Roman" w:cs="Times New Roman"/>
                <w:kern w:val="0"/>
                <w:sz w:val="22"/>
              </w:rPr>
              <w:t xml:space="preserve">    High</w:t>
            </w:r>
          </w:p>
        </w:tc>
        <w:tc>
          <w:tcPr>
            <w:tcW w:w="0" w:type="auto"/>
            <w:tcBorders>
              <w:top w:val="nil"/>
              <w:left w:val="nil"/>
              <w:right w:val="nil"/>
            </w:tcBorders>
            <w:vAlign w:val="center"/>
          </w:tcPr>
          <w:p>
            <w:pPr>
              <w:widowControl/>
              <w:jc w:val="center"/>
              <w:rPr>
                <w:rFonts w:ascii="Times New Roman" w:eastAsia="Times New Roman" w:hAnsi="Times New Roman" w:cs="Times New Roman"/>
                <w:kern w:val="0"/>
                <w:sz w:val="22"/>
              </w:rPr>
            </w:pPr>
            <w:r>
              <w:rPr>
                <w:rFonts w:ascii="Times New Roman" w:eastAsia="Univers LT Std 57 Cn" w:hAnsi="Times New Roman" w:cs="Times New Roman"/>
                <w:sz w:val="24"/>
                <w:szCs w:val="24"/>
              </w:rPr>
              <w:t>&gt;0.10</w:t>
            </w:r>
            <w:r>
              <w:rPr>
                <w:rFonts w:ascii="Times New Roman" w:eastAsia="Univers LT Std 57 Cn" w:hAnsi="Times New Roman" w:cs="Times New Roman" w:hint="eastAsia"/>
                <w:sz w:val="24"/>
                <w:szCs w:val="24"/>
              </w:rPr>
              <w:t>2</w:t>
            </w:r>
          </w:p>
        </w:tc>
        <w:tc>
          <w:tcPr>
            <w:tcW w:w="0" w:type="auto"/>
            <w:tcBorders>
              <w:top w:val="nil"/>
              <w:left w:val="nil"/>
              <w:right w:val="nil"/>
            </w:tcBorders>
            <w:shd w:val="clear" w:color="auto" w:fill="auto"/>
            <w:vAlign w:val="center"/>
            <w:hideMark/>
          </w:tcPr>
          <w:p>
            <w:pPr>
              <w:widowControl/>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63</w:t>
            </w:r>
            <w:r>
              <w:rPr>
                <w:rFonts w:ascii="Times New Roman" w:eastAsia="Times New Roman" w:hAnsi="Times New Roman" w:cs="Times New Roman"/>
                <w:kern w:val="0"/>
                <w:sz w:val="22"/>
              </w:rPr>
              <w:br/>
              <w:t>(48.8)</w:t>
            </w:r>
          </w:p>
        </w:tc>
        <w:tc>
          <w:tcPr>
            <w:tcW w:w="0" w:type="auto"/>
            <w:tcBorders>
              <w:top w:val="nil"/>
              <w:left w:val="nil"/>
              <w:right w:val="nil"/>
            </w:tcBorders>
            <w:shd w:val="clear" w:color="auto" w:fill="auto"/>
            <w:vAlign w:val="center"/>
            <w:hideMark/>
          </w:tcPr>
          <w:p>
            <w:pPr>
              <w:widowControl/>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46</w:t>
            </w:r>
            <w:r>
              <w:rPr>
                <w:rFonts w:ascii="Times New Roman" w:eastAsia="Times New Roman" w:hAnsi="Times New Roman" w:cs="Times New Roman"/>
                <w:kern w:val="0"/>
                <w:sz w:val="22"/>
              </w:rPr>
              <w:br/>
              <w:t>(51.7)</w:t>
            </w:r>
          </w:p>
        </w:tc>
        <w:tc>
          <w:tcPr>
            <w:tcW w:w="0" w:type="auto"/>
            <w:vMerge/>
            <w:tcBorders>
              <w:top w:val="nil"/>
              <w:left w:val="nil"/>
              <w:right w:val="nil"/>
            </w:tcBorders>
            <w:vAlign w:val="center"/>
            <w:hideMark/>
          </w:tcPr>
          <w:p>
            <w:pPr>
              <w:widowControl/>
              <w:jc w:val="left"/>
              <w:rPr>
                <w:rFonts w:ascii="Times New Roman" w:eastAsia="Times New Roman" w:hAnsi="Times New Roman" w:cs="Times New Roman"/>
                <w:kern w:val="0"/>
                <w:sz w:val="22"/>
              </w:rPr>
            </w:pPr>
          </w:p>
        </w:tc>
        <w:tc>
          <w:tcPr>
            <w:tcW w:w="0" w:type="auto"/>
            <w:vMerge/>
            <w:tcBorders>
              <w:top w:val="nil"/>
              <w:left w:val="nil"/>
              <w:bottom w:val="nil"/>
              <w:right w:val="nil"/>
            </w:tcBorders>
            <w:vAlign w:val="center"/>
            <w:hideMark/>
          </w:tcPr>
          <w:p>
            <w:pPr>
              <w:widowControl/>
              <w:jc w:val="left"/>
              <w:rPr>
                <w:rFonts w:ascii="Times New Roman" w:eastAsia="Times New Roman" w:hAnsi="Times New Roman" w:cs="Times New Roman"/>
                <w:kern w:val="0"/>
                <w:sz w:val="22"/>
              </w:rPr>
            </w:pPr>
          </w:p>
        </w:tc>
      </w:tr>
      <w:tr>
        <w:trPr>
          <w:trHeight w:val="330"/>
          <w:jc w:val="center"/>
        </w:trPr>
        <w:tc>
          <w:tcPr>
            <w:tcW w:w="0" w:type="auto"/>
            <w:tcBorders>
              <w:top w:val="nil"/>
              <w:left w:val="nil"/>
              <w:bottom w:val="nil"/>
              <w:right w:val="nil"/>
            </w:tcBorders>
            <w:shd w:val="clear" w:color="auto" w:fill="auto"/>
            <w:vAlign w:val="center"/>
            <w:hideMark/>
          </w:tcPr>
          <w:p>
            <w:pPr>
              <w:widowControl/>
              <w:jc w:val="left"/>
              <w:rPr>
                <w:rFonts w:ascii="Times New Roman" w:eastAsia="Times New Roman" w:hAnsi="Times New Roman" w:cs="Times New Roman"/>
                <w:kern w:val="0"/>
                <w:sz w:val="22"/>
              </w:rPr>
            </w:pPr>
            <w:r>
              <w:rPr>
                <w:rFonts w:ascii="Times New Roman" w:eastAsia="Malgun Gothic Semilight" w:hAnsi="Times New Roman" w:cs="Times New Roman"/>
                <w:kern w:val="0"/>
                <w:sz w:val="22"/>
              </w:rPr>
              <w:t>∑</w:t>
            </w:r>
            <w:r>
              <w:rPr>
                <w:rFonts w:ascii="Times New Roman" w:eastAsia="Times New Roman" w:hAnsi="Times New Roman" w:cs="Times New Roman"/>
                <w:kern w:val="0"/>
                <w:sz w:val="22"/>
              </w:rPr>
              <w:t xml:space="preserve">OCP </w:t>
            </w:r>
          </w:p>
        </w:tc>
        <w:tc>
          <w:tcPr>
            <w:tcW w:w="0" w:type="auto"/>
            <w:tcBorders>
              <w:left w:val="nil"/>
              <w:bottom w:val="nil"/>
              <w:right w:val="nil"/>
            </w:tcBorders>
            <w:vAlign w:val="center"/>
          </w:tcPr>
          <w:p>
            <w:pPr>
              <w:widowControl/>
              <w:jc w:val="center"/>
              <w:rPr>
                <w:rFonts w:ascii="Times New Roman" w:eastAsia="Times New Roman" w:hAnsi="Times New Roman" w:cs="Times New Roman"/>
                <w:kern w:val="0"/>
                <w:sz w:val="22"/>
              </w:rPr>
            </w:pPr>
          </w:p>
        </w:tc>
        <w:tc>
          <w:tcPr>
            <w:tcW w:w="0" w:type="auto"/>
            <w:tcBorders>
              <w:left w:val="nil"/>
              <w:bottom w:val="nil"/>
              <w:right w:val="nil"/>
            </w:tcBorders>
            <w:shd w:val="clear" w:color="auto" w:fill="auto"/>
            <w:vAlign w:val="center"/>
            <w:hideMark/>
          </w:tcPr>
          <w:p>
            <w:pPr>
              <w:widowControl/>
              <w:jc w:val="left"/>
              <w:rPr>
                <w:rFonts w:ascii="Times New Roman" w:eastAsia="Times New Roman" w:hAnsi="Times New Roman" w:cs="Times New Roman"/>
                <w:kern w:val="0"/>
                <w:sz w:val="22"/>
              </w:rPr>
            </w:pPr>
          </w:p>
        </w:tc>
        <w:tc>
          <w:tcPr>
            <w:tcW w:w="0" w:type="auto"/>
            <w:tcBorders>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0"/>
                <w:szCs w:val="20"/>
              </w:rPr>
            </w:pPr>
          </w:p>
        </w:tc>
        <w:tc>
          <w:tcPr>
            <w:tcW w:w="0" w:type="auto"/>
            <w:tcBorders>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0"/>
                <w:szCs w:val="20"/>
              </w:rPr>
            </w:pPr>
          </w:p>
        </w:tc>
      </w:tr>
      <w:tr>
        <w:trPr>
          <w:trHeight w:val="601"/>
          <w:jc w:val="center"/>
        </w:trPr>
        <w:tc>
          <w:tcPr>
            <w:tcW w:w="0" w:type="auto"/>
            <w:tcBorders>
              <w:top w:val="nil"/>
              <w:left w:val="nil"/>
              <w:bottom w:val="nil"/>
              <w:right w:val="nil"/>
            </w:tcBorders>
            <w:shd w:val="clear" w:color="auto" w:fill="auto"/>
            <w:vAlign w:val="center"/>
            <w:hideMark/>
          </w:tcPr>
          <w:p>
            <w:pPr>
              <w:widowControl/>
              <w:jc w:val="left"/>
              <w:rPr>
                <w:rFonts w:ascii="Times New Roman" w:eastAsia="Times New Roman" w:hAnsi="Times New Roman" w:cs="Times New Roman"/>
                <w:kern w:val="0"/>
                <w:sz w:val="22"/>
              </w:rPr>
            </w:pPr>
            <w:r>
              <w:rPr>
                <w:rFonts w:ascii="Times New Roman" w:eastAsia="Times New Roman" w:hAnsi="Times New Roman" w:cs="Times New Roman"/>
                <w:kern w:val="0"/>
                <w:sz w:val="22"/>
              </w:rPr>
              <w:t xml:space="preserve">    Low</w:t>
            </w:r>
          </w:p>
        </w:tc>
        <w:tc>
          <w:tcPr>
            <w:tcW w:w="0" w:type="auto"/>
            <w:tcBorders>
              <w:top w:val="nil"/>
              <w:left w:val="nil"/>
              <w:bottom w:val="nil"/>
              <w:right w:val="nil"/>
            </w:tcBorders>
            <w:vAlign w:val="center"/>
          </w:tcPr>
          <w:p>
            <w:pPr>
              <w:widowControl/>
              <w:jc w:val="center"/>
              <w:rPr>
                <w:rFonts w:ascii="Times New Roman" w:eastAsia="Times New Roman" w:hAnsi="Times New Roman" w:cs="Times New Roman"/>
                <w:kern w:val="0"/>
                <w:sz w:val="22"/>
              </w:rPr>
            </w:pPr>
            <w:r>
              <w:rPr>
                <w:rFonts w:ascii="Times New Roman" w:eastAsia="Univers LT Std 57 Cn" w:hAnsi="Times New Roman" w:cs="Times New Roman"/>
                <w:sz w:val="24"/>
                <w:szCs w:val="24"/>
              </w:rPr>
              <w:t>≤1.</w:t>
            </w:r>
            <w:r>
              <w:rPr>
                <w:rFonts w:ascii="Times New Roman" w:eastAsia="Univers LT Std 57 Cn" w:hAnsi="Times New Roman" w:cs="Times New Roman" w:hint="eastAsia"/>
                <w:sz w:val="24"/>
                <w:szCs w:val="24"/>
              </w:rPr>
              <w:t>03</w:t>
            </w:r>
            <w:r>
              <w:rPr>
                <w:rFonts w:ascii="Times New Roman" w:eastAsia="Univers LT Std 57 Cn" w:hAnsi="Times New Roman" w:cs="Times New Roman"/>
                <w:sz w:val="24"/>
                <w:szCs w:val="24"/>
              </w:rPr>
              <w:t>3</w:t>
            </w:r>
          </w:p>
        </w:tc>
        <w:tc>
          <w:tcPr>
            <w:tcW w:w="0" w:type="auto"/>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65</w:t>
            </w:r>
            <w:r>
              <w:rPr>
                <w:rFonts w:ascii="Times New Roman" w:eastAsia="Times New Roman" w:hAnsi="Times New Roman" w:cs="Times New Roman"/>
                <w:kern w:val="0"/>
                <w:sz w:val="22"/>
              </w:rPr>
              <w:br/>
              <w:t>(50.4)</w:t>
            </w:r>
          </w:p>
        </w:tc>
        <w:tc>
          <w:tcPr>
            <w:tcW w:w="0" w:type="auto"/>
            <w:tcBorders>
              <w:top w:val="nil"/>
              <w:left w:val="nil"/>
              <w:bottom w:val="nil"/>
              <w:right w:val="nil"/>
            </w:tcBorders>
            <w:shd w:val="clear" w:color="auto" w:fill="auto"/>
            <w:vAlign w:val="center"/>
            <w:hideMark/>
          </w:tcPr>
          <w:p>
            <w:pPr>
              <w:widowControl/>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44</w:t>
            </w:r>
            <w:r>
              <w:rPr>
                <w:rFonts w:ascii="Times New Roman" w:eastAsia="Times New Roman" w:hAnsi="Times New Roman" w:cs="Times New Roman"/>
                <w:kern w:val="0"/>
                <w:sz w:val="22"/>
              </w:rPr>
              <w:br/>
              <w:t>(49.4)</w:t>
            </w:r>
          </w:p>
        </w:tc>
        <w:tc>
          <w:tcPr>
            <w:tcW w:w="0" w:type="auto"/>
            <w:vMerge w:val="restart"/>
            <w:tcBorders>
              <w:top w:val="nil"/>
              <w:left w:val="nil"/>
              <w:bottom w:val="single" w:sz="4" w:space="0" w:color="000000"/>
              <w:right w:val="nil"/>
            </w:tcBorders>
            <w:shd w:val="clear" w:color="auto" w:fill="auto"/>
            <w:vAlign w:val="center"/>
            <w:hideMark/>
          </w:tcPr>
          <w:p>
            <w:pPr>
              <w:widowControl/>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1.04</w:t>
            </w:r>
            <w:r>
              <w:rPr>
                <w:rFonts w:ascii="Times New Roman" w:eastAsia="Times New Roman" w:hAnsi="Times New Roman" w:cs="Times New Roman"/>
                <w:kern w:val="0"/>
                <w:sz w:val="22"/>
              </w:rPr>
              <w:br/>
              <w:t>(0.61-1.78)</w:t>
            </w:r>
          </w:p>
        </w:tc>
        <w:tc>
          <w:tcPr>
            <w:tcW w:w="0" w:type="auto"/>
            <w:vMerge w:val="restart"/>
            <w:tcBorders>
              <w:top w:val="nil"/>
              <w:left w:val="nil"/>
              <w:bottom w:val="single" w:sz="4" w:space="0" w:color="000000"/>
              <w:right w:val="nil"/>
            </w:tcBorders>
            <w:shd w:val="clear" w:color="auto" w:fill="auto"/>
            <w:vAlign w:val="center"/>
            <w:hideMark/>
          </w:tcPr>
          <w:p>
            <w:pPr>
              <w:widowControl/>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0.81</w:t>
            </w:r>
            <w:r>
              <w:rPr>
                <w:rFonts w:ascii="Times New Roman" w:eastAsia="Times New Roman" w:hAnsi="Times New Roman" w:cs="Times New Roman"/>
                <w:kern w:val="0"/>
                <w:sz w:val="22"/>
              </w:rPr>
              <w:br/>
              <w:t>(0.44-1.49)</w:t>
            </w:r>
          </w:p>
        </w:tc>
      </w:tr>
      <w:tr>
        <w:trPr>
          <w:trHeight w:val="601"/>
          <w:jc w:val="center"/>
        </w:trPr>
        <w:tc>
          <w:tcPr>
            <w:tcW w:w="0" w:type="auto"/>
            <w:tcBorders>
              <w:top w:val="nil"/>
              <w:left w:val="nil"/>
              <w:bottom w:val="single" w:sz="12" w:space="0" w:color="auto"/>
              <w:right w:val="nil"/>
            </w:tcBorders>
            <w:shd w:val="clear" w:color="auto" w:fill="auto"/>
            <w:vAlign w:val="center"/>
            <w:hideMark/>
          </w:tcPr>
          <w:p>
            <w:pPr>
              <w:widowControl/>
              <w:jc w:val="left"/>
              <w:rPr>
                <w:rFonts w:ascii="Times New Roman" w:eastAsia="Times New Roman" w:hAnsi="Times New Roman" w:cs="Times New Roman"/>
                <w:kern w:val="0"/>
                <w:sz w:val="22"/>
              </w:rPr>
            </w:pPr>
            <w:r>
              <w:rPr>
                <w:rFonts w:ascii="Times New Roman" w:eastAsia="Times New Roman" w:hAnsi="Times New Roman" w:cs="Times New Roman"/>
                <w:kern w:val="0"/>
                <w:sz w:val="22"/>
              </w:rPr>
              <w:t xml:space="preserve">    High</w:t>
            </w:r>
          </w:p>
        </w:tc>
        <w:tc>
          <w:tcPr>
            <w:tcW w:w="0" w:type="auto"/>
            <w:tcBorders>
              <w:top w:val="nil"/>
              <w:left w:val="nil"/>
              <w:bottom w:val="single" w:sz="12" w:space="0" w:color="auto"/>
              <w:right w:val="nil"/>
            </w:tcBorders>
            <w:vAlign w:val="center"/>
          </w:tcPr>
          <w:p>
            <w:pPr>
              <w:widowControl/>
              <w:jc w:val="center"/>
              <w:rPr>
                <w:rFonts w:ascii="Times New Roman" w:eastAsia="Times New Roman" w:hAnsi="Times New Roman" w:cs="Times New Roman"/>
                <w:kern w:val="0"/>
                <w:sz w:val="22"/>
              </w:rPr>
            </w:pPr>
            <w:r>
              <w:rPr>
                <w:rFonts w:ascii="Times New Roman" w:eastAsia="Univers LT Std 57 Cn" w:hAnsi="Times New Roman" w:cs="Times New Roman"/>
                <w:sz w:val="24"/>
                <w:szCs w:val="24"/>
              </w:rPr>
              <w:t>&gt;1.</w:t>
            </w:r>
            <w:r>
              <w:rPr>
                <w:rFonts w:ascii="Times New Roman" w:eastAsia="Univers LT Std 57 Cn" w:hAnsi="Times New Roman" w:cs="Times New Roman" w:hint="eastAsia"/>
                <w:sz w:val="24"/>
                <w:szCs w:val="24"/>
              </w:rPr>
              <w:t>03</w:t>
            </w:r>
            <w:r>
              <w:rPr>
                <w:rFonts w:ascii="Times New Roman" w:eastAsia="Univers LT Std 57 Cn" w:hAnsi="Times New Roman" w:cs="Times New Roman"/>
                <w:sz w:val="24"/>
                <w:szCs w:val="24"/>
              </w:rPr>
              <w:t>3</w:t>
            </w:r>
          </w:p>
        </w:tc>
        <w:tc>
          <w:tcPr>
            <w:tcW w:w="0" w:type="auto"/>
            <w:tcBorders>
              <w:top w:val="nil"/>
              <w:left w:val="nil"/>
              <w:bottom w:val="single" w:sz="12" w:space="0" w:color="auto"/>
              <w:right w:val="nil"/>
            </w:tcBorders>
            <w:shd w:val="clear" w:color="auto" w:fill="auto"/>
            <w:vAlign w:val="center"/>
            <w:hideMark/>
          </w:tcPr>
          <w:p>
            <w:pPr>
              <w:widowControl/>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64</w:t>
            </w:r>
            <w:r>
              <w:rPr>
                <w:rFonts w:ascii="Times New Roman" w:eastAsia="Times New Roman" w:hAnsi="Times New Roman" w:cs="Times New Roman"/>
                <w:kern w:val="0"/>
                <w:sz w:val="22"/>
              </w:rPr>
              <w:br/>
              <w:t>(49.6)</w:t>
            </w:r>
          </w:p>
        </w:tc>
        <w:tc>
          <w:tcPr>
            <w:tcW w:w="0" w:type="auto"/>
            <w:tcBorders>
              <w:top w:val="nil"/>
              <w:left w:val="nil"/>
              <w:bottom w:val="single" w:sz="12" w:space="0" w:color="auto"/>
              <w:right w:val="nil"/>
            </w:tcBorders>
            <w:shd w:val="clear" w:color="auto" w:fill="auto"/>
            <w:vAlign w:val="center"/>
            <w:hideMark/>
          </w:tcPr>
          <w:p>
            <w:pPr>
              <w:widowControl/>
              <w:jc w:val="center"/>
              <w:rPr>
                <w:rFonts w:ascii="Times New Roman" w:eastAsia="Times New Roman" w:hAnsi="Times New Roman" w:cs="Times New Roman"/>
                <w:kern w:val="0"/>
                <w:sz w:val="22"/>
              </w:rPr>
            </w:pPr>
            <w:r>
              <w:rPr>
                <w:rFonts w:ascii="Times New Roman" w:eastAsia="Times New Roman" w:hAnsi="Times New Roman" w:cs="Times New Roman"/>
                <w:kern w:val="0"/>
                <w:sz w:val="22"/>
              </w:rPr>
              <w:t>45</w:t>
            </w:r>
            <w:r>
              <w:rPr>
                <w:rFonts w:ascii="Times New Roman" w:eastAsia="Times New Roman" w:hAnsi="Times New Roman" w:cs="Times New Roman"/>
                <w:kern w:val="0"/>
                <w:sz w:val="22"/>
              </w:rPr>
              <w:br/>
              <w:t>(50.6)</w:t>
            </w:r>
          </w:p>
        </w:tc>
        <w:tc>
          <w:tcPr>
            <w:tcW w:w="0" w:type="auto"/>
            <w:vMerge/>
            <w:tcBorders>
              <w:top w:val="nil"/>
              <w:left w:val="nil"/>
              <w:bottom w:val="single" w:sz="12" w:space="0" w:color="auto"/>
              <w:right w:val="nil"/>
            </w:tcBorders>
            <w:vAlign w:val="center"/>
            <w:hideMark/>
          </w:tcPr>
          <w:p>
            <w:pPr>
              <w:widowControl/>
              <w:jc w:val="left"/>
              <w:rPr>
                <w:rFonts w:ascii="Times New Roman" w:eastAsia="Times New Roman" w:hAnsi="Times New Roman" w:cs="Times New Roman"/>
                <w:kern w:val="0"/>
                <w:sz w:val="22"/>
              </w:rPr>
            </w:pPr>
          </w:p>
        </w:tc>
        <w:tc>
          <w:tcPr>
            <w:tcW w:w="0" w:type="auto"/>
            <w:vMerge/>
            <w:tcBorders>
              <w:top w:val="nil"/>
              <w:left w:val="nil"/>
              <w:bottom w:val="single" w:sz="12" w:space="0" w:color="auto"/>
              <w:right w:val="nil"/>
            </w:tcBorders>
            <w:vAlign w:val="center"/>
            <w:hideMark/>
          </w:tcPr>
          <w:p>
            <w:pPr>
              <w:widowControl/>
              <w:jc w:val="left"/>
              <w:rPr>
                <w:rFonts w:ascii="Times New Roman" w:eastAsia="Times New Roman" w:hAnsi="Times New Roman" w:cs="Times New Roman"/>
                <w:kern w:val="0"/>
                <w:sz w:val="22"/>
              </w:rPr>
            </w:pPr>
          </w:p>
        </w:tc>
      </w:tr>
    </w:tbl>
    <w:p>
      <w:pPr>
        <w:autoSpaceDE w:val="0"/>
        <w:autoSpaceDN w:val="0"/>
        <w:adjustRightInd w:val="0"/>
        <w:spacing w:line="480" w:lineRule="auto"/>
        <w:rPr>
          <w:rFonts w:ascii="Times New Roman" w:hAnsi="Times New Roman" w:cs="Times New Roman"/>
          <w:kern w:val="0"/>
          <w:sz w:val="24"/>
          <w:szCs w:val="24"/>
        </w:rPr>
      </w:pPr>
      <w:bookmarkStart w:id="43" w:name="_Hlk55938418"/>
      <w:bookmarkStart w:id="44" w:name="OLE_LINK43"/>
      <w:bookmarkEnd w:id="41"/>
      <w:bookmarkEnd w:id="42"/>
      <w:r>
        <w:rPr>
          <w:rFonts w:ascii="Times New Roman" w:hAnsi="Times New Roman" w:cs="Times New Roman"/>
          <w:sz w:val="24"/>
          <w:szCs w:val="24"/>
        </w:rPr>
        <w:t xml:space="preserve">HCB, </w:t>
      </w:r>
      <w:proofErr w:type="spellStart"/>
      <w:r>
        <w:rPr>
          <w:rFonts w:ascii="Times New Roman" w:eastAsia="SimSun" w:hAnsi="Times New Roman" w:cs="Times New Roman"/>
          <w:kern w:val="0"/>
          <w:sz w:val="24"/>
          <w:szCs w:val="24"/>
        </w:rPr>
        <w:t>hexachlorobezene</w:t>
      </w:r>
      <w:proofErr w:type="spellEnd"/>
      <w:r>
        <w:rPr>
          <w:rFonts w:ascii="Times New Roman" w:eastAsia="SimSun" w:hAnsi="Times New Roman" w:cs="Times New Roman"/>
          <w:kern w:val="0"/>
          <w:sz w:val="24"/>
          <w:szCs w:val="24"/>
        </w:rPr>
        <w:t>; β-HCH, β-</w:t>
      </w:r>
      <w:proofErr w:type="spellStart"/>
      <w:r>
        <w:rPr>
          <w:rFonts w:ascii="Times New Roman" w:eastAsia="SimSun" w:hAnsi="Times New Roman" w:cs="Times New Roman"/>
          <w:kern w:val="0"/>
          <w:sz w:val="24"/>
          <w:szCs w:val="24"/>
        </w:rPr>
        <w:t>hexachlorocyclohexane</w:t>
      </w:r>
      <w:proofErr w:type="spellEnd"/>
      <w:r>
        <w:rPr>
          <w:rFonts w:ascii="Times New Roman" w:hAnsi="Times New Roman" w:cs="Times New Roman"/>
          <w:sz w:val="24"/>
          <w:szCs w:val="24"/>
        </w:rPr>
        <w:t xml:space="preserve">; </w:t>
      </w:r>
      <w:r>
        <w:rPr>
          <w:rFonts w:ascii="Times New Roman" w:eastAsia="SimSun" w:hAnsi="Times New Roman" w:cs="Times New Roman"/>
          <w:kern w:val="0"/>
          <w:sz w:val="24"/>
          <w:szCs w:val="24"/>
        </w:rPr>
        <w:t>γ-HCH, γ-</w:t>
      </w:r>
      <w:r>
        <w:rPr>
          <w:rFonts w:ascii="Times New Roman" w:eastAsia="SimSun" w:hAnsi="Times New Roman" w:cs="Times New Roman"/>
          <w:kern w:val="0"/>
          <w:sz w:val="24"/>
          <w:szCs w:val="24"/>
        </w:rPr>
        <w:lastRenderedPageBreak/>
        <w:t>hexachlorocyclohexane</w:t>
      </w:r>
      <w:r>
        <w:rPr>
          <w:rFonts w:ascii="Times New Roman" w:hAnsi="Times New Roman" w:cs="Times New Roman"/>
          <w:sz w:val="24"/>
          <w:szCs w:val="24"/>
        </w:rPr>
        <w:t>; HCEAB</w:t>
      </w:r>
      <w:r>
        <w:rPr>
          <w:rFonts w:ascii="Times New Roman" w:eastAsia="SimSun" w:hAnsi="Times New Roman" w:cs="Times New Roman"/>
          <w:kern w:val="0"/>
          <w:sz w:val="24"/>
          <w:szCs w:val="24"/>
        </w:rPr>
        <w:t>, heptachlor epoxide</w:t>
      </w:r>
      <w:r>
        <w:rPr>
          <w:rFonts w:ascii="Times New Roman" w:hAnsi="Times New Roman" w:cs="Times New Roman"/>
          <w:sz w:val="24"/>
          <w:szCs w:val="24"/>
        </w:rPr>
        <w:t>; IDR</w:t>
      </w:r>
      <w:r>
        <w:rPr>
          <w:rFonts w:ascii="Times New Roman" w:eastAsia="SimSun" w:hAnsi="Times New Roman" w:cs="Times New Roman"/>
          <w:kern w:val="0"/>
          <w:sz w:val="24"/>
          <w:szCs w:val="24"/>
        </w:rPr>
        <w:t xml:space="preserve">, </w:t>
      </w:r>
      <w:proofErr w:type="spellStart"/>
      <w:r>
        <w:rPr>
          <w:rFonts w:ascii="Times New Roman" w:eastAsia="SimSun" w:hAnsi="Times New Roman" w:cs="Times New Roman"/>
          <w:kern w:val="0"/>
          <w:sz w:val="24"/>
          <w:szCs w:val="24"/>
        </w:rPr>
        <w:t>isodrin</w:t>
      </w:r>
      <w:proofErr w:type="spellEnd"/>
      <w:r>
        <w:rPr>
          <w:rFonts w:ascii="Times New Roman" w:hAnsi="Times New Roman" w:cs="Times New Roman"/>
          <w:sz w:val="24"/>
          <w:szCs w:val="24"/>
        </w:rPr>
        <w:t xml:space="preserve">; </w:t>
      </w:r>
      <w:r>
        <w:rPr>
          <w:rFonts w:ascii="Times New Roman" w:eastAsia="SimSun" w:hAnsi="Times New Roman" w:cs="Times New Roman"/>
          <w:kern w:val="0"/>
          <w:sz w:val="24"/>
          <w:szCs w:val="24"/>
        </w:rPr>
        <w:t>ENS I, α-</w:t>
      </w:r>
      <w:proofErr w:type="spellStart"/>
      <w:r>
        <w:rPr>
          <w:rFonts w:ascii="Times New Roman" w:eastAsia="SimSun" w:hAnsi="Times New Roman" w:cs="Times New Roman"/>
          <w:kern w:val="0"/>
          <w:sz w:val="24"/>
          <w:szCs w:val="24"/>
        </w:rPr>
        <w:t>endosulfan</w:t>
      </w:r>
      <w:proofErr w:type="spellEnd"/>
      <w:r>
        <w:rPr>
          <w:rFonts w:ascii="Times New Roman" w:hAnsi="Times New Roman" w:cs="Times New Roman"/>
          <w:sz w:val="24"/>
          <w:szCs w:val="24"/>
        </w:rPr>
        <w:t>;</w:t>
      </w:r>
      <w:r>
        <w:rPr>
          <w:rFonts w:ascii="Times New Roman" w:eastAsia="SimSun" w:hAnsi="Times New Roman" w:cs="Times New Roman"/>
          <w:kern w:val="0"/>
          <w:sz w:val="24"/>
          <w:szCs w:val="24"/>
        </w:rPr>
        <w:t xml:space="preserve"> pp-DDE,</w:t>
      </w:r>
      <w:r>
        <w:rPr>
          <w:rFonts w:ascii="Times New Roman" w:hAnsi="Times New Roman" w:cs="Times New Roman"/>
          <w:sz w:val="24"/>
          <w:szCs w:val="24"/>
        </w:rPr>
        <w:t xml:space="preserve"> </w:t>
      </w:r>
      <w:proofErr w:type="spellStart"/>
      <w:r>
        <w:rPr>
          <w:rFonts w:ascii="Times New Roman" w:eastAsia="SimSun" w:hAnsi="Times New Roman" w:cs="Times New Roman"/>
          <w:kern w:val="0"/>
          <w:sz w:val="24"/>
          <w:szCs w:val="24"/>
        </w:rPr>
        <w:t>p</w:t>
      </w:r>
      <w:proofErr w:type="gramStart"/>
      <w:r>
        <w:rPr>
          <w:rFonts w:ascii="Times New Roman" w:eastAsia="SimSun" w:hAnsi="Times New Roman" w:cs="Times New Roman"/>
          <w:kern w:val="0"/>
          <w:sz w:val="24"/>
          <w:szCs w:val="24"/>
        </w:rPr>
        <w:t>,p</w:t>
      </w:r>
      <w:proofErr w:type="spellEnd"/>
      <w:r>
        <w:rPr>
          <w:rFonts w:ascii="Times New Roman" w:eastAsia="SimSun" w:hAnsi="Times New Roman" w:cs="Times New Roman"/>
          <w:kern w:val="0"/>
          <w:sz w:val="24"/>
          <w:szCs w:val="24"/>
        </w:rPr>
        <w:t>’</w:t>
      </w:r>
      <w:proofErr w:type="gramEnd"/>
      <w:r>
        <w:rPr>
          <w:rFonts w:ascii="Times New Roman" w:eastAsia="SimSun" w:hAnsi="Times New Roman" w:cs="Times New Roman"/>
          <w:kern w:val="0"/>
          <w:sz w:val="24"/>
          <w:szCs w:val="24"/>
        </w:rPr>
        <w:t>-DDE</w:t>
      </w:r>
      <w:r>
        <w:rPr>
          <w:rFonts w:ascii="Times New Roman" w:hAnsi="Times New Roman" w:cs="Times New Roman"/>
          <w:sz w:val="24"/>
          <w:szCs w:val="24"/>
        </w:rPr>
        <w:t xml:space="preserve">; ΣOCPs is the sum of HCB, </w:t>
      </w:r>
      <w:r>
        <w:rPr>
          <w:rFonts w:ascii="Times New Roman" w:eastAsia="SimSun" w:hAnsi="Times New Roman" w:cs="Times New Roman"/>
          <w:kern w:val="0"/>
          <w:sz w:val="24"/>
          <w:szCs w:val="24"/>
        </w:rPr>
        <w:t>β-</w:t>
      </w:r>
      <w:proofErr w:type="spellStart"/>
      <w:r>
        <w:rPr>
          <w:rFonts w:ascii="Times New Roman" w:eastAsia="SimSun" w:hAnsi="Times New Roman" w:cs="Times New Roman"/>
          <w:kern w:val="0"/>
          <w:sz w:val="24"/>
          <w:szCs w:val="24"/>
        </w:rPr>
        <w:t>HCH,γ</w:t>
      </w:r>
      <w:proofErr w:type="spellEnd"/>
      <w:r>
        <w:rPr>
          <w:rFonts w:ascii="Times New Roman" w:eastAsia="SimSun" w:hAnsi="Times New Roman" w:cs="Times New Roman"/>
          <w:kern w:val="0"/>
          <w:sz w:val="24"/>
          <w:szCs w:val="24"/>
        </w:rPr>
        <w:t xml:space="preserve">-HCH, </w:t>
      </w:r>
      <w:r>
        <w:rPr>
          <w:rFonts w:ascii="Times New Roman" w:hAnsi="Times New Roman" w:cs="Times New Roman"/>
          <w:sz w:val="24"/>
          <w:szCs w:val="24"/>
        </w:rPr>
        <w:t>HCEAB</w:t>
      </w:r>
      <w:r>
        <w:rPr>
          <w:rFonts w:ascii="Times New Roman" w:eastAsia="SimSun" w:hAnsi="Times New Roman" w:cs="Times New Roman"/>
          <w:kern w:val="0"/>
          <w:sz w:val="24"/>
          <w:szCs w:val="24"/>
        </w:rPr>
        <w:t xml:space="preserve">, </w:t>
      </w:r>
      <w:r>
        <w:rPr>
          <w:rFonts w:ascii="Times New Roman" w:hAnsi="Times New Roman" w:cs="Times New Roman"/>
          <w:sz w:val="24"/>
          <w:szCs w:val="24"/>
        </w:rPr>
        <w:t>IDR</w:t>
      </w:r>
      <w:r>
        <w:rPr>
          <w:rFonts w:ascii="Times New Roman" w:eastAsia="SimSun" w:hAnsi="Times New Roman" w:cs="Times New Roman"/>
          <w:kern w:val="0"/>
          <w:sz w:val="24"/>
          <w:szCs w:val="24"/>
        </w:rPr>
        <w:t xml:space="preserve">, ENS I, pp-DDE; </w:t>
      </w:r>
      <w:proofErr w:type="spellStart"/>
      <w:r>
        <w:rPr>
          <w:rFonts w:ascii="Times New Roman" w:hAnsi="Times New Roman" w:cs="Times New Roman"/>
          <w:sz w:val="24"/>
          <w:szCs w:val="24"/>
        </w:rPr>
        <w:t>aOR</w:t>
      </w:r>
      <w:proofErr w:type="spellEnd"/>
      <w:r>
        <w:rPr>
          <w:rFonts w:ascii="Times New Roman" w:hAnsi="Times New Roman" w:cs="Times New Roman"/>
          <w:sz w:val="24"/>
          <w:szCs w:val="24"/>
        </w:rPr>
        <w:t xml:space="preserve">, adjusted odds ratio; </w:t>
      </w:r>
      <w:proofErr w:type="spellStart"/>
      <w:r>
        <w:rPr>
          <w:rFonts w:ascii="Times New Roman" w:hAnsi="Times New Roman" w:cs="Times New Roman"/>
          <w:sz w:val="24"/>
          <w:szCs w:val="24"/>
        </w:rPr>
        <w:t>cOR</w:t>
      </w:r>
      <w:proofErr w:type="spellEnd"/>
      <w:r>
        <w:rPr>
          <w:rFonts w:ascii="Times New Roman" w:hAnsi="Times New Roman" w:cs="Times New Roman"/>
          <w:sz w:val="24"/>
          <w:szCs w:val="24"/>
        </w:rPr>
        <w:t xml:space="preserve">, crude odds ratio; CI, confidence interval; OFCs, </w:t>
      </w:r>
      <w:r>
        <w:rPr>
          <w:rFonts w:ascii="Times New Roman" w:hAnsi="Times New Roman" w:cs="Times New Roman"/>
          <w:kern w:val="0"/>
          <w:sz w:val="24"/>
          <w:szCs w:val="24"/>
        </w:rPr>
        <w:t>orofacial clefts</w:t>
      </w:r>
      <w:r>
        <w:rPr>
          <w:rFonts w:ascii="Times New Roman" w:hAnsi="Times New Roman" w:cs="Times New Roman"/>
          <w:sz w:val="24"/>
          <w:szCs w:val="24"/>
        </w:rPr>
        <w:t>.</w:t>
      </w:r>
    </w:p>
    <w:p>
      <w:pPr>
        <w:widowControl/>
        <w:spacing w:line="480" w:lineRule="auto"/>
        <w:rPr>
          <w:rFonts w:ascii="Times New Roman" w:hAnsi="Times New Roman" w:cs="Times New Roman"/>
          <w:sz w:val="24"/>
          <w:szCs w:val="24"/>
        </w:rPr>
      </w:pPr>
      <w:proofErr w:type="spellStart"/>
      <w:proofErr w:type="gramStart"/>
      <w:r>
        <w:rPr>
          <w:rFonts w:ascii="Times New Roman" w:hAnsi="Times New Roman" w:cs="Times New Roman"/>
          <w:sz w:val="24"/>
          <w:szCs w:val="24"/>
          <w:vertAlign w:val="superscript"/>
        </w:rPr>
        <w:t>a</w:t>
      </w:r>
      <w:proofErr w:type="spellEnd"/>
      <w:proofErr w:type="gramEnd"/>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Adjusted for maternal age at pregnancy, </w:t>
      </w:r>
      <w:r>
        <w:rPr>
          <w:rFonts w:ascii="Times New Roman" w:eastAsia="SimSun" w:hAnsi="Times New Roman" w:cs="Times New Roman"/>
          <w:kern w:val="0"/>
          <w:sz w:val="24"/>
          <w:szCs w:val="24"/>
        </w:rPr>
        <w:t>BMI</w:t>
      </w:r>
      <w:r>
        <w:rPr>
          <w:rFonts w:ascii="Times New Roman" w:hAnsi="Times New Roman" w:cs="Times New Roman"/>
          <w:sz w:val="24"/>
          <w:szCs w:val="24"/>
        </w:rPr>
        <w:t>, maternal smoking exposure, and gestational age.</w:t>
      </w:r>
    </w:p>
    <w:bookmarkEnd w:id="43"/>
    <w:bookmarkEnd w:id="44"/>
    <w:p>
      <w:pPr>
        <w:pStyle w:val="Heading3"/>
        <w:rPr>
          <w:rFonts w:ascii="Times New Roman" w:hAnsi="Times New Roman" w:cs="Times New Roman"/>
          <w:sz w:val="22"/>
          <w:szCs w:val="22"/>
        </w:rPr>
      </w:pPr>
      <w:r>
        <w:rPr>
          <w:rFonts w:ascii="Times New Roman" w:hAnsi="Times New Roman" w:cs="Times New Roman"/>
          <w:sz w:val="22"/>
          <w:szCs w:val="22"/>
        </w:rPr>
        <w:t>3.3.2 BKMR model to assess the association between OCPs concentration and OFCs</w:t>
      </w:r>
    </w:p>
    <w:p>
      <w:pPr>
        <w:spacing w:line="480" w:lineRule="auto"/>
        <w:rPr>
          <w:rFonts w:ascii="Times New Roman" w:hAnsi="Times New Roman" w:cs="Times New Roman"/>
          <w:sz w:val="24"/>
          <w:szCs w:val="24"/>
        </w:rPr>
      </w:pPr>
      <w:r>
        <w:rPr>
          <w:rFonts w:ascii="Times New Roman" w:hAnsi="Times New Roman" w:cs="Times New Roman"/>
          <w:kern w:val="0"/>
          <w:sz w:val="24"/>
          <w:szCs w:val="24"/>
        </w:rPr>
        <w:t>Fig. 1 showed that there was no joint effect of seven OCP mixtures</w:t>
      </w:r>
      <w:r>
        <w:rPr>
          <w:rFonts w:ascii="Times New Roman" w:hAnsi="Times New Roman" w:cs="Times New Roman" w:hint="eastAsia"/>
          <w:kern w:val="0"/>
          <w:sz w:val="24"/>
          <w:szCs w:val="24"/>
        </w:rPr>
        <w:t xml:space="preserve"> on the </w:t>
      </w:r>
      <w:r>
        <w:rPr>
          <w:rFonts w:ascii="Times New Roman" w:hAnsi="Times New Roman" w:cs="Times New Roman"/>
          <w:sz w:val="24"/>
          <w:szCs w:val="24"/>
        </w:rPr>
        <w:t>risk of OFCs</w:t>
      </w:r>
      <w:r>
        <w:rPr>
          <w:rFonts w:ascii="Times New Roman" w:hAnsi="Times New Roman" w:cs="Times New Roman"/>
          <w:kern w:val="0"/>
          <w:sz w:val="24"/>
          <w:szCs w:val="24"/>
        </w:rPr>
        <w:t>, when all the OCPs were fixed to different percentiles (from 25th to 75th by 5th), as compared with when they were all fixed to the 50th percentile. Fig. 2 showed the variation in the association of each OCP levels when the single OCP increased from 25th to 75th percentile accompanied by the other OCP</w:t>
      </w:r>
      <w:r>
        <w:rPr>
          <w:rFonts w:ascii="Times New Roman" w:hAnsi="Times New Roman" w:cs="Times New Roman" w:hint="eastAsia"/>
          <w:kern w:val="0"/>
          <w:sz w:val="24"/>
          <w:szCs w:val="24"/>
        </w:rPr>
        <w:t>s</w:t>
      </w:r>
      <w:r>
        <w:rPr>
          <w:rFonts w:ascii="Times New Roman" w:hAnsi="Times New Roman" w:cs="Times New Roman"/>
          <w:kern w:val="0"/>
          <w:sz w:val="24"/>
          <w:szCs w:val="24"/>
        </w:rPr>
        <w:t xml:space="preserve"> set at different threshold (25th, 50th, or 75th percentile). </w:t>
      </w:r>
      <w:r>
        <w:rPr>
          <w:rFonts w:ascii="Times New Roman" w:hAnsi="Times New Roman" w:cs="Times New Roman"/>
          <w:sz w:val="24"/>
          <w:szCs w:val="24"/>
        </w:rPr>
        <w:t xml:space="preserve">We still have not observed an association between OCP individuals and risk for OFCs. </w:t>
      </w:r>
      <w:r>
        <w:rPr>
          <w:rFonts w:ascii="Times New Roman" w:hAnsi="Times New Roman" w:cs="Times New Roman"/>
          <w:kern w:val="0"/>
          <w:sz w:val="24"/>
          <w:szCs w:val="24"/>
        </w:rPr>
        <w:t>We also used the BKMR to examine the potential non-linear exposure-response relationships when the levels of other OCPs were fixed at the median concentration (</w:t>
      </w:r>
      <w:r>
        <w:rPr>
          <w:rFonts w:ascii="Times New Roman" w:hAnsi="Times New Roman" w:cs="Times New Roman"/>
          <w:sz w:val="24"/>
          <w:szCs w:val="24"/>
        </w:rPr>
        <w:t xml:space="preserve">Fig. 3). </w:t>
      </w:r>
      <w:proofErr w:type="gramStart"/>
      <w:r>
        <w:rPr>
          <w:rFonts w:ascii="Times New Roman" w:eastAsia="SimSun" w:hAnsi="Times New Roman" w:cs="Times New Roman"/>
          <w:sz w:val="24"/>
          <w:szCs w:val="24"/>
        </w:rPr>
        <w:t>β-HCH</w:t>
      </w:r>
      <w:proofErr w:type="gramEnd"/>
      <w:r>
        <w:rPr>
          <w:rFonts w:ascii="Times New Roman" w:eastAsia="SimSun" w:hAnsi="Times New Roman" w:cs="Times New Roman"/>
          <w:sz w:val="24"/>
          <w:szCs w:val="24"/>
        </w:rPr>
        <w:t xml:space="preserve"> </w:t>
      </w:r>
      <w:r>
        <w:rPr>
          <w:rFonts w:ascii="Times New Roman" w:hAnsi="Times New Roman" w:cs="Times New Roman"/>
          <w:sz w:val="24"/>
          <w:szCs w:val="24"/>
        </w:rPr>
        <w:t xml:space="preserve">showed to have a U-shaped relationship with OFCs, and </w:t>
      </w:r>
      <w:r>
        <w:rPr>
          <w:rFonts w:ascii="Times New Roman" w:eastAsia="SimSun" w:hAnsi="Times New Roman" w:cs="Times New Roman"/>
          <w:sz w:val="24"/>
          <w:szCs w:val="24"/>
        </w:rPr>
        <w:t xml:space="preserve">IDR </w:t>
      </w:r>
      <w:r>
        <w:rPr>
          <w:rFonts w:ascii="Times New Roman" w:hAnsi="Times New Roman" w:cs="Times New Roman"/>
          <w:sz w:val="24"/>
          <w:szCs w:val="24"/>
        </w:rPr>
        <w:t>appeared a little increasing relationship with OFCs, while other OCPs showed flat relationships with OFCs.</w:t>
      </w:r>
    </w:p>
    <w:p>
      <w:pPr>
        <w:rPr>
          <w:rStyle w:val="Heading2Char"/>
          <w:rFonts w:eastAsiaTheme="minorEastAsia" w:cs="Times New Roman"/>
          <w:szCs w:val="24"/>
        </w:rPr>
      </w:pPr>
      <w:r>
        <w:rPr>
          <w:noProof/>
        </w:rPr>
        <w:lastRenderedPageBreak/>
        <w:drawing>
          <wp:inline distT="0" distB="0" distL="0" distR="0">
            <wp:extent cx="5094514" cy="4209415"/>
            <wp:effectExtent l="0" t="0" r="0" b="635"/>
            <wp:docPr id="8" name="图片 8" descr="F:\R analysis-clp\log转换结果\总体.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 analysis-clp\log转换结果\总体.tif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99027" cy="4213144"/>
                    </a:xfrm>
                    <a:prstGeom prst="rect">
                      <a:avLst/>
                    </a:prstGeom>
                    <a:noFill/>
                    <a:ln>
                      <a:noFill/>
                    </a:ln>
                  </pic:spPr>
                </pic:pic>
              </a:graphicData>
            </a:graphic>
          </wp:inline>
        </w:drawing>
      </w:r>
    </w:p>
    <w:p>
      <w:pPr>
        <w:pStyle w:val="a0"/>
        <w:rPr>
          <w:rStyle w:val="Heading2Char"/>
          <w:rFonts w:eastAsia="SimSun" w:cs="Times New Roman"/>
          <w:szCs w:val="24"/>
        </w:rPr>
      </w:pPr>
      <w:r>
        <w:rPr>
          <w:rStyle w:val="Heading2Char"/>
          <w:rFonts w:eastAsia="SimSun" w:cs="Times New Roman"/>
          <w:szCs w:val="24"/>
        </w:rPr>
        <w:t xml:space="preserve">Figure 1 Overall association of the OCP mixture with OFCs risk. </w:t>
      </w:r>
      <w:r>
        <w:rPr>
          <w:rStyle w:val="Heading2Char"/>
          <w:rFonts w:eastAsia="SimSun" w:cs="Times New Roman"/>
          <w:b w:val="0"/>
          <w:bCs w:val="0"/>
          <w:szCs w:val="24"/>
        </w:rPr>
        <w:t>The black dots represent the estimates; solid line represent 95% credible intervals. The risk was estimated when all OCPs were at a particular percentile compared with the value when all of them were at their 50th percentile. Model adjusted for maternal age at pregnancy, BMI, maternal smoking exposure, and gestational age</w:t>
      </w:r>
      <w:r>
        <w:rPr>
          <w:rStyle w:val="Heading2Char"/>
          <w:rFonts w:eastAsia="SimSun" w:cs="Times New Roman"/>
          <w:szCs w:val="24"/>
        </w:rPr>
        <w:t>.</w:t>
      </w:r>
    </w:p>
    <w:p>
      <w:r>
        <w:rPr>
          <w:noProof/>
        </w:rPr>
        <w:lastRenderedPageBreak/>
        <w:drawing>
          <wp:inline distT="0" distB="0" distL="0" distR="0">
            <wp:extent cx="5210175" cy="4103274"/>
            <wp:effectExtent l="0" t="0" r="0" b="0"/>
            <wp:docPr id="9" name="图片 9" descr="F:\R analysis-clp\log转换结果\dange.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R analysis-clp\log转换结果\dange.tif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10175" cy="4103274"/>
                    </a:xfrm>
                    <a:prstGeom prst="rect">
                      <a:avLst/>
                    </a:prstGeom>
                    <a:noFill/>
                    <a:ln>
                      <a:noFill/>
                    </a:ln>
                  </pic:spPr>
                </pic:pic>
              </a:graphicData>
            </a:graphic>
          </wp:inline>
        </w:drawing>
      </w:r>
    </w:p>
    <w:p>
      <w:pPr>
        <w:pStyle w:val="a0"/>
        <w:rPr>
          <w:szCs w:val="22"/>
        </w:rPr>
      </w:pPr>
      <w:r>
        <w:rPr>
          <w:b/>
          <w:bCs/>
        </w:rPr>
        <w:t>Figure 2</w:t>
      </w:r>
      <w:r>
        <w:t xml:space="preserve"> </w:t>
      </w:r>
      <w:r>
        <w:rPr>
          <w:rFonts w:eastAsia="CharisSIL"/>
          <w:b/>
          <w:bCs/>
        </w:rPr>
        <w:t xml:space="preserve">Individual </w:t>
      </w:r>
      <w:r>
        <w:rPr>
          <w:b/>
          <w:bCs/>
        </w:rPr>
        <w:t>pollutant association.</w:t>
      </w:r>
      <w:r>
        <w:t xml:space="preserve"> P</w:t>
      </w:r>
      <w:r>
        <w:rPr>
          <w:color w:val="000000"/>
        </w:rPr>
        <w:t xml:space="preserve">oint estimates show the difference in OFC risks </w:t>
      </w:r>
      <w:r>
        <w:t xml:space="preserve">when a single metal was at the 75th vs. 25th percentile, when all the other metals were </w:t>
      </w:r>
      <w:r>
        <w:rPr>
          <w:rFonts w:eastAsia="AdvOT863180fb+fb"/>
        </w:rPr>
        <w:t>fi</w:t>
      </w:r>
      <w:r>
        <w:t>xed at either the 25th (red line), 50th (green line), or 75th percentile (blue line).</w:t>
      </w:r>
      <w:r>
        <w:rPr>
          <w:color w:val="000000"/>
        </w:rPr>
        <w:t xml:space="preserve"> </w:t>
      </w:r>
      <w:r>
        <w:t>"</w:t>
      </w:r>
      <w:proofErr w:type="spellStart"/>
      <w:proofErr w:type="gramStart"/>
      <w:r>
        <w:t>est</w:t>
      </w:r>
      <w:proofErr w:type="spellEnd"/>
      <w:proofErr w:type="gramEnd"/>
      <w:r>
        <w:t>" can be defined as the association between single OCP and OFC risk. Model adjusted for maternal age at pregnancy, BMI, maternal smoking exposure, and gestational age.</w:t>
      </w:r>
    </w:p>
    <w:p>
      <w:pPr>
        <w:rPr>
          <w:szCs w:val="22"/>
        </w:rPr>
      </w:pPr>
      <w:r>
        <w:rPr>
          <w:noProof/>
        </w:rPr>
        <w:lastRenderedPageBreak/>
        <w:drawing>
          <wp:inline distT="0" distB="0" distL="0" distR="0">
            <wp:extent cx="4819650" cy="4379899"/>
            <wp:effectExtent l="0" t="0" r="0" b="1905"/>
            <wp:docPr id="10" name="图片 10" descr="F:\R analysis-clp\log转换结果\fanyinghans.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 analysis-clp\log转换结果\fanyinghans.tif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25247" cy="4384985"/>
                    </a:xfrm>
                    <a:prstGeom prst="rect">
                      <a:avLst/>
                    </a:prstGeom>
                    <a:noFill/>
                    <a:ln>
                      <a:noFill/>
                    </a:ln>
                  </pic:spPr>
                </pic:pic>
              </a:graphicData>
            </a:graphic>
          </wp:inline>
        </w:drawing>
      </w:r>
    </w:p>
    <w:p>
      <w:pPr>
        <w:pStyle w:val="a0"/>
        <w:rPr>
          <w:b/>
          <w:bCs/>
        </w:rPr>
      </w:pPr>
      <w:r>
        <w:rPr>
          <w:b/>
          <w:bCs/>
        </w:rPr>
        <w:t>Fig</w:t>
      </w:r>
      <w:r>
        <w:rPr>
          <w:rFonts w:hint="eastAsia"/>
          <w:b/>
          <w:bCs/>
        </w:rPr>
        <w:t>ure</w:t>
      </w:r>
      <w:r>
        <w:rPr>
          <w:b/>
          <w:bCs/>
        </w:rPr>
        <w:t xml:space="preserve"> 3</w:t>
      </w:r>
      <w:r>
        <w:t xml:space="preserve"> </w:t>
      </w:r>
      <w:r>
        <w:rPr>
          <w:b/>
          <w:bCs/>
        </w:rPr>
        <w:t>Dose-response function between individual OCP and OFCs while fixing other OCPs at median values.</w:t>
      </w:r>
      <w:r>
        <w:t xml:space="preserve"> The grey area represents 95% credible intervals. The results were estimated by Bayesian Kernel Machine Regression, adjusting for maternal age at pregnancy, BMI, maternal smoking exposure, and gestational age.</w:t>
      </w:r>
    </w:p>
    <w:p>
      <w:pPr>
        <w:pStyle w:val="Heading2"/>
        <w:numPr>
          <w:ilvl w:val="1"/>
          <w:numId w:val="7"/>
        </w:numPr>
        <w:jc w:val="left"/>
        <w:rPr>
          <w:rFonts w:cs="Times New Roman"/>
          <w:szCs w:val="24"/>
        </w:rPr>
      </w:pPr>
      <w:r>
        <w:rPr>
          <w:rFonts w:cs="Times New Roman"/>
          <w:szCs w:val="24"/>
        </w:rPr>
        <w:t>Spearman correlations between dietary intake habits and concentrations of OCPs in umbilical cord tissues</w:t>
      </w:r>
    </w:p>
    <w:p>
      <w:pPr>
        <w:spacing w:line="480" w:lineRule="auto"/>
        <w:rPr>
          <w:rFonts w:ascii="Times New Roman" w:hAnsi="Times New Roman" w:cs="Times New Roman"/>
          <w:sz w:val="24"/>
          <w:szCs w:val="24"/>
        </w:rPr>
      </w:pPr>
      <w:r>
        <w:rPr>
          <w:rFonts w:ascii="Times New Roman" w:hAnsi="Times New Roman" w:cs="Times New Roman"/>
          <w:sz w:val="24"/>
          <w:szCs w:val="24"/>
          <w:shd w:val="clear" w:color="auto" w:fill="FFFFFF"/>
        </w:rPr>
        <w:t>The results of the correlation analysis</w:t>
      </w:r>
      <w:r>
        <w:rPr>
          <w:rFonts w:ascii="Times New Roman" w:hAnsi="Times New Roman" w:cs="Times New Roman"/>
          <w:sz w:val="24"/>
          <w:szCs w:val="24"/>
        </w:rPr>
        <w:t xml:space="preserve"> </w:t>
      </w:r>
      <w:r>
        <w:rPr>
          <w:rFonts w:ascii="Times New Roman" w:hAnsi="Times New Roman" w:cs="Times New Roman"/>
          <w:sz w:val="24"/>
          <w:szCs w:val="24"/>
          <w:shd w:val="clear" w:color="auto" w:fill="FFFFFF"/>
        </w:rPr>
        <w:t>are shown</w:t>
      </w:r>
      <w:r>
        <w:rPr>
          <w:rFonts w:ascii="Times New Roman" w:hAnsi="Times New Roman" w:cs="Times New Roman"/>
          <w:sz w:val="24"/>
          <w:szCs w:val="24"/>
        </w:rPr>
        <w:t xml:space="preserve"> in Table 3. The frequencies of maternal ingestion of beans and bean products were positively correlated with </w:t>
      </w:r>
      <w:r>
        <w:rPr>
          <w:rFonts w:ascii="Times New Roman" w:eastAsia="SimSun" w:hAnsi="Times New Roman" w:cs="Times New Roman"/>
          <w:kern w:val="0"/>
          <w:sz w:val="24"/>
          <w:szCs w:val="24"/>
        </w:rPr>
        <w:t>β-HCH, HCEAB, pp-DDE, and ∑OCPs levels in umbilical cord tissues</w:t>
      </w:r>
      <w:r>
        <w:rPr>
          <w:rFonts w:ascii="Times New Roman" w:eastAsia="TimesNewRomanPSMT" w:hAnsi="Times New Roman" w:cs="Times New Roman"/>
          <w:kern w:val="0"/>
          <w:sz w:val="24"/>
          <w:szCs w:val="24"/>
        </w:rPr>
        <w:t xml:space="preserve"> </w:t>
      </w:r>
      <w:r>
        <w:rPr>
          <w:rFonts w:ascii="Times New Roman" w:hAnsi="Times New Roman" w:cs="Times New Roman"/>
          <w:sz w:val="24"/>
          <w:szCs w:val="24"/>
        </w:rPr>
        <w:t>(</w:t>
      </w:r>
      <w:r>
        <w:rPr>
          <w:rFonts w:ascii="Times New Roman" w:eastAsia="TimesNewRomanPSMT" w:hAnsi="Times New Roman" w:cs="Times New Roman"/>
          <w:i/>
          <w:kern w:val="0"/>
          <w:sz w:val="24"/>
          <w:szCs w:val="24"/>
        </w:rPr>
        <w:t xml:space="preserve">r </w:t>
      </w:r>
      <w:r>
        <w:rPr>
          <w:rFonts w:ascii="Times New Roman" w:hAnsi="Times New Roman" w:cs="Times New Roman"/>
          <w:sz w:val="24"/>
          <w:szCs w:val="24"/>
        </w:rPr>
        <w:t xml:space="preserve">= </w:t>
      </w:r>
      <w:r>
        <w:rPr>
          <w:rFonts w:ascii="Times New Roman" w:eastAsia="SimSun" w:hAnsi="Times New Roman" w:cs="Times New Roman"/>
          <w:kern w:val="0"/>
          <w:sz w:val="24"/>
          <w:szCs w:val="24"/>
        </w:rPr>
        <w:t xml:space="preserve">0.259, </w:t>
      </w:r>
      <w:r>
        <w:rPr>
          <w:rFonts w:ascii="Times New Roman" w:eastAsia="TimesNewRomanPSMT" w:hAnsi="Times New Roman" w:cs="Times New Roman"/>
          <w:i/>
          <w:kern w:val="0"/>
          <w:sz w:val="24"/>
          <w:szCs w:val="24"/>
        </w:rPr>
        <w:t xml:space="preserve">r </w:t>
      </w:r>
      <w:r>
        <w:rPr>
          <w:rFonts w:ascii="Times New Roman" w:hAnsi="Times New Roman" w:cs="Times New Roman"/>
          <w:sz w:val="24"/>
          <w:szCs w:val="24"/>
        </w:rPr>
        <w:t xml:space="preserve">= </w:t>
      </w:r>
      <w:r>
        <w:rPr>
          <w:rFonts w:ascii="Times New Roman" w:eastAsia="SimSun" w:hAnsi="Times New Roman" w:cs="Times New Roman"/>
          <w:kern w:val="0"/>
          <w:sz w:val="24"/>
          <w:szCs w:val="24"/>
        </w:rPr>
        <w:t xml:space="preserve">0.153, </w:t>
      </w:r>
      <w:r>
        <w:rPr>
          <w:rFonts w:ascii="Times New Roman" w:eastAsia="TimesNewRomanPSMT" w:hAnsi="Times New Roman" w:cs="Times New Roman"/>
          <w:i/>
          <w:kern w:val="0"/>
          <w:sz w:val="24"/>
          <w:szCs w:val="24"/>
        </w:rPr>
        <w:t xml:space="preserve">r </w:t>
      </w:r>
      <w:r>
        <w:rPr>
          <w:rFonts w:ascii="Times New Roman" w:hAnsi="Times New Roman" w:cs="Times New Roman"/>
          <w:sz w:val="24"/>
          <w:szCs w:val="24"/>
        </w:rPr>
        <w:t xml:space="preserve">= </w:t>
      </w:r>
      <w:r>
        <w:rPr>
          <w:rFonts w:ascii="Times New Roman" w:eastAsia="SimSun" w:hAnsi="Times New Roman" w:cs="Times New Roman"/>
          <w:kern w:val="0"/>
          <w:sz w:val="24"/>
          <w:szCs w:val="24"/>
        </w:rPr>
        <w:t xml:space="preserve">0.211, </w:t>
      </w:r>
      <w:r>
        <w:rPr>
          <w:rFonts w:ascii="Times New Roman" w:eastAsia="SimSun" w:hAnsi="Times New Roman" w:cs="Times New Roman" w:hint="eastAsia"/>
          <w:kern w:val="0"/>
          <w:sz w:val="24"/>
          <w:szCs w:val="24"/>
        </w:rPr>
        <w:t xml:space="preserve">and </w:t>
      </w:r>
      <w:r>
        <w:rPr>
          <w:rFonts w:ascii="Times New Roman" w:eastAsia="TimesNewRomanPSMT" w:hAnsi="Times New Roman" w:cs="Times New Roman"/>
          <w:i/>
          <w:kern w:val="0"/>
          <w:sz w:val="24"/>
          <w:szCs w:val="24"/>
        </w:rPr>
        <w:t xml:space="preserve">r </w:t>
      </w:r>
      <w:r>
        <w:rPr>
          <w:rFonts w:ascii="Times New Roman" w:hAnsi="Times New Roman" w:cs="Times New Roman"/>
          <w:sz w:val="24"/>
          <w:szCs w:val="24"/>
        </w:rPr>
        <w:t xml:space="preserve">= </w:t>
      </w:r>
      <w:r>
        <w:rPr>
          <w:rFonts w:ascii="Times New Roman" w:eastAsia="SimSun" w:hAnsi="Times New Roman" w:cs="Times New Roman"/>
          <w:kern w:val="0"/>
          <w:sz w:val="24"/>
          <w:szCs w:val="24"/>
        </w:rPr>
        <w:t>0.233</w:t>
      </w:r>
      <w:r>
        <w:rPr>
          <w:rFonts w:ascii="Times New Roman" w:hAnsi="Times New Roman" w:cs="Times New Roman"/>
          <w:sz w:val="24"/>
          <w:szCs w:val="24"/>
        </w:rPr>
        <w:t xml:space="preserve">, respectively), but the correlations were weak. There was no correlation between OCP </w:t>
      </w:r>
      <w:r>
        <w:rPr>
          <w:rFonts w:ascii="Times New Roman" w:eastAsia="SimSun" w:hAnsi="Times New Roman" w:cs="Times New Roman"/>
          <w:kern w:val="0"/>
          <w:sz w:val="24"/>
          <w:szCs w:val="24"/>
        </w:rPr>
        <w:t>levels in umbilical cord tissues</w:t>
      </w:r>
      <w:r>
        <w:rPr>
          <w:rFonts w:ascii="Times New Roman" w:hAnsi="Times New Roman" w:cs="Times New Roman"/>
          <w:sz w:val="24"/>
          <w:szCs w:val="24"/>
        </w:rPr>
        <w:t xml:space="preserve"> and other dietary intake habits.</w:t>
      </w:r>
    </w:p>
    <w:p>
      <w:pPr>
        <w:pStyle w:val="a0"/>
        <w:jc w:val="center"/>
        <w:rPr>
          <w:rFonts w:eastAsiaTheme="minorEastAsia"/>
          <w:b/>
          <w:bCs/>
        </w:rPr>
      </w:pPr>
      <w:r>
        <w:rPr>
          <w:rFonts w:eastAsia="TimesNewRomanPSMT"/>
          <w:b/>
          <w:bCs/>
        </w:rPr>
        <w:lastRenderedPageBreak/>
        <w:t xml:space="preserve">Table 3 Spearman correlations between </w:t>
      </w:r>
      <w:r>
        <w:rPr>
          <w:b/>
          <w:bCs/>
        </w:rPr>
        <w:t>dietary intake habits and concentrations of OCPs in umbilical cord tissues</w:t>
      </w:r>
    </w:p>
    <w:tbl>
      <w:tblPr>
        <w:tblW w:w="5801" w:type="pct"/>
        <w:jc w:val="center"/>
        <w:tblLook w:val="04A0" w:firstRow="1" w:lastRow="0" w:firstColumn="1" w:lastColumn="0" w:noHBand="0" w:noVBand="1"/>
      </w:tblPr>
      <w:tblGrid>
        <w:gridCol w:w="2216"/>
        <w:gridCol w:w="836"/>
        <w:gridCol w:w="925"/>
        <w:gridCol w:w="910"/>
        <w:gridCol w:w="836"/>
        <w:gridCol w:w="1030"/>
        <w:gridCol w:w="836"/>
        <w:gridCol w:w="1030"/>
        <w:gridCol w:w="1018"/>
      </w:tblGrid>
      <w:tr>
        <w:trPr>
          <w:trHeight w:val="616"/>
          <w:jc w:val="center"/>
        </w:trPr>
        <w:tc>
          <w:tcPr>
            <w:tcW w:w="1150" w:type="pct"/>
            <w:tcBorders>
              <w:top w:val="single" w:sz="12" w:space="0" w:color="auto"/>
              <w:left w:val="nil"/>
              <w:bottom w:val="single" w:sz="6" w:space="0" w:color="auto"/>
              <w:right w:val="nil"/>
            </w:tcBorders>
            <w:shd w:val="clear" w:color="auto" w:fill="auto"/>
            <w:vAlign w:val="center"/>
            <w:hideMark/>
          </w:tcPr>
          <w:p>
            <w:pPr>
              <w:widowControl/>
              <w:spacing w:line="360" w:lineRule="auto"/>
              <w:jc w:val="center"/>
              <w:rPr>
                <w:rFonts w:ascii="Times New Roman" w:eastAsia="DengXian" w:hAnsi="Times New Roman" w:cs="Times New Roman"/>
                <w:kern w:val="0"/>
                <w:sz w:val="24"/>
                <w:szCs w:val="24"/>
              </w:rPr>
            </w:pPr>
            <w:r>
              <w:rPr>
                <w:rFonts w:ascii="Times New Roman" w:eastAsia="DengXian" w:hAnsi="Times New Roman" w:cs="Times New Roman"/>
                <w:kern w:val="0"/>
                <w:sz w:val="24"/>
                <w:szCs w:val="24"/>
              </w:rPr>
              <w:t>Potential exposure sources</w:t>
            </w:r>
          </w:p>
        </w:tc>
        <w:tc>
          <w:tcPr>
            <w:tcW w:w="434" w:type="pct"/>
            <w:tcBorders>
              <w:top w:val="single" w:sz="12" w:space="0" w:color="auto"/>
              <w:left w:val="nil"/>
              <w:bottom w:val="single" w:sz="6" w:space="0" w:color="auto"/>
              <w:right w:val="nil"/>
            </w:tcBorders>
            <w:shd w:val="clear" w:color="auto" w:fill="auto"/>
            <w:noWrap/>
            <w:vAlign w:val="center"/>
            <w:hideMark/>
          </w:tcPr>
          <w:p>
            <w:pPr>
              <w:widowControl/>
              <w:spacing w:line="360" w:lineRule="auto"/>
              <w:jc w:val="center"/>
              <w:rPr>
                <w:rFonts w:ascii="Times New Roman" w:eastAsia="SimSun" w:hAnsi="Times New Roman" w:cs="Times New Roman"/>
                <w:kern w:val="0"/>
                <w:sz w:val="24"/>
                <w:szCs w:val="24"/>
              </w:rPr>
            </w:pPr>
            <w:r>
              <w:rPr>
                <w:rFonts w:ascii="Times New Roman" w:eastAsia="SimSun" w:hAnsi="Times New Roman" w:cs="Times New Roman"/>
                <w:kern w:val="0"/>
                <w:sz w:val="24"/>
                <w:szCs w:val="24"/>
              </w:rPr>
              <w:t xml:space="preserve">HCB </w:t>
            </w:r>
          </w:p>
        </w:tc>
        <w:tc>
          <w:tcPr>
            <w:tcW w:w="480" w:type="pct"/>
            <w:tcBorders>
              <w:top w:val="single" w:sz="12" w:space="0" w:color="auto"/>
              <w:left w:val="nil"/>
              <w:bottom w:val="single" w:sz="6" w:space="0" w:color="auto"/>
              <w:right w:val="nil"/>
            </w:tcBorders>
            <w:shd w:val="clear" w:color="auto" w:fill="auto"/>
            <w:noWrap/>
            <w:vAlign w:val="center"/>
            <w:hideMark/>
          </w:tcPr>
          <w:p>
            <w:pPr>
              <w:widowControl/>
              <w:spacing w:line="360" w:lineRule="auto"/>
              <w:jc w:val="center"/>
              <w:rPr>
                <w:rFonts w:ascii="Times New Roman" w:eastAsia="SimSun" w:hAnsi="Times New Roman" w:cs="Times New Roman"/>
                <w:kern w:val="0"/>
                <w:sz w:val="24"/>
                <w:szCs w:val="24"/>
              </w:rPr>
            </w:pPr>
            <w:r>
              <w:rPr>
                <w:rFonts w:ascii="Times New Roman" w:eastAsia="SimSun" w:hAnsi="Times New Roman" w:cs="Times New Roman"/>
                <w:kern w:val="0"/>
                <w:sz w:val="24"/>
                <w:szCs w:val="24"/>
              </w:rPr>
              <w:t>β-HCH</w:t>
            </w:r>
          </w:p>
        </w:tc>
        <w:tc>
          <w:tcPr>
            <w:tcW w:w="472" w:type="pct"/>
            <w:tcBorders>
              <w:top w:val="single" w:sz="12" w:space="0" w:color="auto"/>
              <w:left w:val="nil"/>
              <w:bottom w:val="single" w:sz="6" w:space="0" w:color="auto"/>
              <w:right w:val="nil"/>
            </w:tcBorders>
            <w:shd w:val="clear" w:color="auto" w:fill="auto"/>
            <w:noWrap/>
            <w:vAlign w:val="center"/>
            <w:hideMark/>
          </w:tcPr>
          <w:p>
            <w:pPr>
              <w:widowControl/>
              <w:spacing w:line="360" w:lineRule="auto"/>
              <w:jc w:val="center"/>
              <w:rPr>
                <w:rFonts w:ascii="Times New Roman" w:eastAsia="SimSun" w:hAnsi="Times New Roman" w:cs="Times New Roman"/>
                <w:kern w:val="0"/>
                <w:sz w:val="24"/>
                <w:szCs w:val="24"/>
              </w:rPr>
            </w:pPr>
            <w:r>
              <w:rPr>
                <w:rFonts w:ascii="Times New Roman" w:eastAsia="SimSun" w:hAnsi="Times New Roman" w:cs="Times New Roman"/>
                <w:kern w:val="0"/>
                <w:sz w:val="24"/>
                <w:szCs w:val="24"/>
              </w:rPr>
              <w:t>γ-HCH</w:t>
            </w:r>
          </w:p>
        </w:tc>
        <w:tc>
          <w:tcPr>
            <w:tcW w:w="434" w:type="pct"/>
            <w:tcBorders>
              <w:top w:val="single" w:sz="12" w:space="0" w:color="auto"/>
              <w:left w:val="nil"/>
              <w:bottom w:val="single" w:sz="6" w:space="0" w:color="auto"/>
              <w:right w:val="nil"/>
            </w:tcBorders>
            <w:shd w:val="clear" w:color="auto" w:fill="auto"/>
            <w:noWrap/>
            <w:vAlign w:val="center"/>
            <w:hideMark/>
          </w:tcPr>
          <w:p>
            <w:pPr>
              <w:widowControl/>
              <w:spacing w:line="360" w:lineRule="auto"/>
              <w:jc w:val="center"/>
              <w:rPr>
                <w:rFonts w:ascii="Times New Roman" w:eastAsia="SimSun" w:hAnsi="Times New Roman" w:cs="Times New Roman"/>
                <w:kern w:val="0"/>
                <w:sz w:val="24"/>
                <w:szCs w:val="24"/>
              </w:rPr>
            </w:pPr>
            <w:r>
              <w:rPr>
                <w:rFonts w:ascii="Times New Roman" w:eastAsia="SimSun" w:hAnsi="Times New Roman" w:cs="Times New Roman"/>
                <w:kern w:val="0"/>
                <w:sz w:val="24"/>
                <w:szCs w:val="24"/>
              </w:rPr>
              <w:t xml:space="preserve">IDR </w:t>
            </w:r>
          </w:p>
        </w:tc>
        <w:tc>
          <w:tcPr>
            <w:tcW w:w="534" w:type="pct"/>
            <w:tcBorders>
              <w:top w:val="single" w:sz="12" w:space="0" w:color="auto"/>
              <w:left w:val="nil"/>
              <w:bottom w:val="single" w:sz="6" w:space="0" w:color="auto"/>
              <w:right w:val="nil"/>
            </w:tcBorders>
            <w:shd w:val="clear" w:color="auto" w:fill="auto"/>
            <w:noWrap/>
            <w:vAlign w:val="center"/>
            <w:hideMark/>
          </w:tcPr>
          <w:p>
            <w:pPr>
              <w:widowControl/>
              <w:spacing w:line="360" w:lineRule="auto"/>
              <w:jc w:val="center"/>
              <w:rPr>
                <w:rFonts w:ascii="Times New Roman" w:eastAsia="SimSun" w:hAnsi="Times New Roman" w:cs="Times New Roman"/>
                <w:kern w:val="0"/>
                <w:sz w:val="24"/>
                <w:szCs w:val="24"/>
              </w:rPr>
            </w:pPr>
            <w:r>
              <w:rPr>
                <w:rFonts w:ascii="Times New Roman" w:eastAsia="SimSun" w:hAnsi="Times New Roman" w:cs="Times New Roman"/>
                <w:kern w:val="0"/>
                <w:sz w:val="24"/>
                <w:szCs w:val="24"/>
              </w:rPr>
              <w:t xml:space="preserve">HCEAB </w:t>
            </w:r>
          </w:p>
        </w:tc>
        <w:tc>
          <w:tcPr>
            <w:tcW w:w="434" w:type="pct"/>
            <w:tcBorders>
              <w:top w:val="single" w:sz="12" w:space="0" w:color="auto"/>
              <w:left w:val="nil"/>
              <w:bottom w:val="single" w:sz="6" w:space="0" w:color="auto"/>
              <w:right w:val="nil"/>
            </w:tcBorders>
            <w:shd w:val="clear" w:color="auto" w:fill="auto"/>
            <w:noWrap/>
            <w:vAlign w:val="center"/>
            <w:hideMark/>
          </w:tcPr>
          <w:p>
            <w:pPr>
              <w:widowControl/>
              <w:spacing w:line="360" w:lineRule="auto"/>
              <w:jc w:val="center"/>
              <w:rPr>
                <w:rFonts w:ascii="Times New Roman" w:eastAsia="SimSun" w:hAnsi="Times New Roman" w:cs="Times New Roman"/>
                <w:kern w:val="0"/>
                <w:sz w:val="24"/>
                <w:szCs w:val="24"/>
              </w:rPr>
            </w:pPr>
            <w:r>
              <w:rPr>
                <w:rFonts w:ascii="Times New Roman" w:eastAsia="SimSun" w:hAnsi="Times New Roman" w:cs="Times New Roman"/>
                <w:kern w:val="0"/>
                <w:sz w:val="24"/>
                <w:szCs w:val="24"/>
              </w:rPr>
              <w:t xml:space="preserve">ENS I </w:t>
            </w:r>
          </w:p>
        </w:tc>
        <w:tc>
          <w:tcPr>
            <w:tcW w:w="534" w:type="pct"/>
            <w:tcBorders>
              <w:top w:val="single" w:sz="12" w:space="0" w:color="auto"/>
              <w:left w:val="nil"/>
              <w:bottom w:val="single" w:sz="6" w:space="0" w:color="auto"/>
              <w:right w:val="nil"/>
            </w:tcBorders>
            <w:shd w:val="clear" w:color="auto" w:fill="auto"/>
            <w:noWrap/>
            <w:vAlign w:val="center"/>
            <w:hideMark/>
          </w:tcPr>
          <w:p>
            <w:pPr>
              <w:widowControl/>
              <w:spacing w:line="360" w:lineRule="auto"/>
              <w:jc w:val="center"/>
              <w:rPr>
                <w:rFonts w:ascii="Times New Roman" w:eastAsia="SimSun" w:hAnsi="Times New Roman" w:cs="Times New Roman"/>
                <w:kern w:val="0"/>
                <w:sz w:val="24"/>
                <w:szCs w:val="24"/>
              </w:rPr>
            </w:pPr>
            <w:r>
              <w:rPr>
                <w:rFonts w:ascii="Times New Roman" w:eastAsia="SimSun" w:hAnsi="Times New Roman" w:cs="Times New Roman"/>
                <w:kern w:val="0"/>
                <w:sz w:val="24"/>
                <w:szCs w:val="24"/>
              </w:rPr>
              <w:t xml:space="preserve">pp-DDE </w:t>
            </w:r>
          </w:p>
        </w:tc>
        <w:tc>
          <w:tcPr>
            <w:tcW w:w="529" w:type="pct"/>
            <w:tcBorders>
              <w:top w:val="single" w:sz="12" w:space="0" w:color="auto"/>
              <w:left w:val="nil"/>
              <w:bottom w:val="single" w:sz="6" w:space="0" w:color="auto"/>
              <w:right w:val="nil"/>
            </w:tcBorders>
            <w:shd w:val="clear" w:color="auto" w:fill="auto"/>
            <w:noWrap/>
            <w:vAlign w:val="center"/>
            <w:hideMark/>
          </w:tcPr>
          <w:p>
            <w:pPr>
              <w:widowControl/>
              <w:spacing w:line="360" w:lineRule="auto"/>
              <w:jc w:val="center"/>
              <w:rPr>
                <w:rFonts w:ascii="Times New Roman" w:eastAsia="SimSun" w:hAnsi="Times New Roman" w:cs="Times New Roman"/>
                <w:kern w:val="0"/>
                <w:sz w:val="24"/>
                <w:szCs w:val="24"/>
              </w:rPr>
            </w:pPr>
            <w:r>
              <w:rPr>
                <w:rFonts w:ascii="Times New Roman" w:eastAsia="SimSun" w:hAnsi="Times New Roman" w:cs="Times New Roman"/>
                <w:kern w:val="0"/>
                <w:sz w:val="24"/>
                <w:szCs w:val="24"/>
              </w:rPr>
              <w:t>∑OCPs</w:t>
            </w:r>
          </w:p>
        </w:tc>
      </w:tr>
      <w:tr>
        <w:trPr>
          <w:trHeight w:val="307"/>
          <w:jc w:val="center"/>
        </w:trPr>
        <w:tc>
          <w:tcPr>
            <w:tcW w:w="1150" w:type="pct"/>
            <w:tcBorders>
              <w:top w:val="single" w:sz="6" w:space="0" w:color="auto"/>
              <w:left w:val="nil"/>
              <w:bottom w:val="nil"/>
              <w:right w:val="nil"/>
            </w:tcBorders>
            <w:shd w:val="clear" w:color="auto" w:fill="auto"/>
            <w:noWrap/>
            <w:vAlign w:val="bottom"/>
            <w:hideMark/>
          </w:tcPr>
          <w:p>
            <w:pPr>
              <w:widowControl/>
              <w:spacing w:line="360" w:lineRule="auto"/>
              <w:jc w:val="left"/>
              <w:rPr>
                <w:rFonts w:ascii="Times New Roman" w:eastAsia="DengXian" w:hAnsi="Times New Roman" w:cs="Times New Roman"/>
                <w:kern w:val="0"/>
                <w:sz w:val="24"/>
                <w:szCs w:val="24"/>
              </w:rPr>
            </w:pPr>
            <w:r>
              <w:rPr>
                <w:rFonts w:ascii="Times New Roman" w:eastAsia="DengXian" w:hAnsi="Times New Roman" w:cs="Times New Roman"/>
                <w:kern w:val="0"/>
                <w:sz w:val="24"/>
                <w:szCs w:val="24"/>
              </w:rPr>
              <w:t>Dietary intake habits</w:t>
            </w:r>
          </w:p>
        </w:tc>
        <w:tc>
          <w:tcPr>
            <w:tcW w:w="434" w:type="pct"/>
            <w:tcBorders>
              <w:top w:val="single" w:sz="6" w:space="0" w:color="auto"/>
              <w:left w:val="nil"/>
              <w:bottom w:val="nil"/>
              <w:right w:val="nil"/>
            </w:tcBorders>
            <w:shd w:val="clear" w:color="auto" w:fill="auto"/>
            <w:noWrap/>
            <w:vAlign w:val="center"/>
            <w:hideMark/>
          </w:tcPr>
          <w:p>
            <w:pPr>
              <w:widowControl/>
              <w:spacing w:line="360" w:lineRule="auto"/>
              <w:jc w:val="left"/>
              <w:rPr>
                <w:rFonts w:ascii="Times New Roman" w:eastAsia="DengXian" w:hAnsi="Times New Roman" w:cs="Times New Roman"/>
                <w:kern w:val="0"/>
                <w:sz w:val="24"/>
                <w:szCs w:val="24"/>
              </w:rPr>
            </w:pPr>
          </w:p>
        </w:tc>
        <w:tc>
          <w:tcPr>
            <w:tcW w:w="480" w:type="pct"/>
            <w:tcBorders>
              <w:top w:val="single" w:sz="6" w:space="0" w:color="auto"/>
              <w:left w:val="nil"/>
              <w:bottom w:val="nil"/>
              <w:right w:val="nil"/>
            </w:tcBorders>
            <w:shd w:val="clear" w:color="auto" w:fill="auto"/>
            <w:noWrap/>
            <w:vAlign w:val="center"/>
            <w:hideMark/>
          </w:tcPr>
          <w:p>
            <w:pPr>
              <w:widowControl/>
              <w:spacing w:line="360" w:lineRule="auto"/>
              <w:jc w:val="center"/>
              <w:rPr>
                <w:rFonts w:ascii="Times New Roman" w:eastAsia="Times New Roman" w:hAnsi="Times New Roman" w:cs="Times New Roman"/>
                <w:kern w:val="0"/>
                <w:sz w:val="24"/>
                <w:szCs w:val="24"/>
              </w:rPr>
            </w:pPr>
          </w:p>
        </w:tc>
        <w:tc>
          <w:tcPr>
            <w:tcW w:w="472" w:type="pct"/>
            <w:tcBorders>
              <w:top w:val="single" w:sz="6" w:space="0" w:color="auto"/>
              <w:left w:val="nil"/>
              <w:bottom w:val="nil"/>
              <w:right w:val="nil"/>
            </w:tcBorders>
            <w:shd w:val="clear" w:color="auto" w:fill="auto"/>
            <w:noWrap/>
            <w:vAlign w:val="center"/>
            <w:hideMark/>
          </w:tcPr>
          <w:p>
            <w:pPr>
              <w:widowControl/>
              <w:spacing w:line="360" w:lineRule="auto"/>
              <w:jc w:val="center"/>
              <w:rPr>
                <w:rFonts w:ascii="Times New Roman" w:eastAsia="Times New Roman" w:hAnsi="Times New Roman" w:cs="Times New Roman"/>
                <w:kern w:val="0"/>
                <w:sz w:val="24"/>
                <w:szCs w:val="24"/>
              </w:rPr>
            </w:pPr>
          </w:p>
        </w:tc>
        <w:tc>
          <w:tcPr>
            <w:tcW w:w="434" w:type="pct"/>
            <w:tcBorders>
              <w:top w:val="single" w:sz="6" w:space="0" w:color="auto"/>
              <w:left w:val="nil"/>
              <w:bottom w:val="nil"/>
              <w:right w:val="nil"/>
            </w:tcBorders>
            <w:shd w:val="clear" w:color="auto" w:fill="auto"/>
            <w:noWrap/>
            <w:vAlign w:val="center"/>
            <w:hideMark/>
          </w:tcPr>
          <w:p>
            <w:pPr>
              <w:widowControl/>
              <w:spacing w:line="360" w:lineRule="auto"/>
              <w:jc w:val="center"/>
              <w:rPr>
                <w:rFonts w:ascii="Times New Roman" w:eastAsia="Times New Roman" w:hAnsi="Times New Roman" w:cs="Times New Roman"/>
                <w:kern w:val="0"/>
                <w:sz w:val="24"/>
                <w:szCs w:val="24"/>
              </w:rPr>
            </w:pPr>
          </w:p>
        </w:tc>
        <w:tc>
          <w:tcPr>
            <w:tcW w:w="534" w:type="pct"/>
            <w:tcBorders>
              <w:top w:val="single" w:sz="6" w:space="0" w:color="auto"/>
              <w:left w:val="nil"/>
              <w:bottom w:val="nil"/>
              <w:right w:val="nil"/>
            </w:tcBorders>
            <w:shd w:val="clear" w:color="auto" w:fill="auto"/>
            <w:noWrap/>
            <w:vAlign w:val="center"/>
            <w:hideMark/>
          </w:tcPr>
          <w:p>
            <w:pPr>
              <w:widowControl/>
              <w:spacing w:line="360" w:lineRule="auto"/>
              <w:jc w:val="center"/>
              <w:rPr>
                <w:rFonts w:ascii="Times New Roman" w:eastAsia="Times New Roman" w:hAnsi="Times New Roman" w:cs="Times New Roman"/>
                <w:kern w:val="0"/>
                <w:sz w:val="24"/>
                <w:szCs w:val="24"/>
              </w:rPr>
            </w:pPr>
          </w:p>
        </w:tc>
        <w:tc>
          <w:tcPr>
            <w:tcW w:w="434" w:type="pct"/>
            <w:tcBorders>
              <w:top w:val="single" w:sz="6" w:space="0" w:color="auto"/>
              <w:left w:val="nil"/>
              <w:bottom w:val="nil"/>
              <w:right w:val="nil"/>
            </w:tcBorders>
            <w:shd w:val="clear" w:color="auto" w:fill="auto"/>
            <w:noWrap/>
            <w:vAlign w:val="center"/>
            <w:hideMark/>
          </w:tcPr>
          <w:p>
            <w:pPr>
              <w:widowControl/>
              <w:spacing w:line="360" w:lineRule="auto"/>
              <w:jc w:val="center"/>
              <w:rPr>
                <w:rFonts w:ascii="Times New Roman" w:eastAsia="Times New Roman" w:hAnsi="Times New Roman" w:cs="Times New Roman"/>
                <w:kern w:val="0"/>
                <w:sz w:val="24"/>
                <w:szCs w:val="24"/>
              </w:rPr>
            </w:pPr>
          </w:p>
        </w:tc>
        <w:tc>
          <w:tcPr>
            <w:tcW w:w="534" w:type="pct"/>
            <w:tcBorders>
              <w:top w:val="single" w:sz="6" w:space="0" w:color="auto"/>
              <w:left w:val="nil"/>
              <w:bottom w:val="nil"/>
              <w:right w:val="nil"/>
            </w:tcBorders>
            <w:shd w:val="clear" w:color="auto" w:fill="auto"/>
            <w:noWrap/>
            <w:vAlign w:val="center"/>
            <w:hideMark/>
          </w:tcPr>
          <w:p>
            <w:pPr>
              <w:widowControl/>
              <w:spacing w:line="360" w:lineRule="auto"/>
              <w:jc w:val="center"/>
              <w:rPr>
                <w:rFonts w:ascii="Times New Roman" w:eastAsia="Times New Roman" w:hAnsi="Times New Roman" w:cs="Times New Roman"/>
                <w:kern w:val="0"/>
                <w:sz w:val="24"/>
                <w:szCs w:val="24"/>
              </w:rPr>
            </w:pPr>
          </w:p>
        </w:tc>
        <w:tc>
          <w:tcPr>
            <w:tcW w:w="529" w:type="pct"/>
            <w:tcBorders>
              <w:top w:val="single" w:sz="6" w:space="0" w:color="auto"/>
              <w:left w:val="nil"/>
              <w:bottom w:val="nil"/>
              <w:right w:val="nil"/>
            </w:tcBorders>
            <w:shd w:val="clear" w:color="auto" w:fill="auto"/>
            <w:noWrap/>
            <w:vAlign w:val="center"/>
            <w:hideMark/>
          </w:tcPr>
          <w:p>
            <w:pPr>
              <w:widowControl/>
              <w:spacing w:line="360" w:lineRule="auto"/>
              <w:jc w:val="center"/>
              <w:rPr>
                <w:rFonts w:ascii="Times New Roman" w:eastAsia="Times New Roman" w:hAnsi="Times New Roman" w:cs="Times New Roman"/>
                <w:kern w:val="0"/>
                <w:sz w:val="24"/>
                <w:szCs w:val="24"/>
              </w:rPr>
            </w:pPr>
          </w:p>
        </w:tc>
      </w:tr>
      <w:tr>
        <w:trPr>
          <w:trHeight w:val="369"/>
          <w:jc w:val="center"/>
        </w:trPr>
        <w:tc>
          <w:tcPr>
            <w:tcW w:w="1150" w:type="pct"/>
            <w:tcBorders>
              <w:top w:val="nil"/>
              <w:left w:val="nil"/>
              <w:bottom w:val="nil"/>
              <w:right w:val="nil"/>
            </w:tcBorders>
            <w:shd w:val="clear" w:color="auto" w:fill="auto"/>
            <w:vAlign w:val="center"/>
            <w:hideMark/>
          </w:tcPr>
          <w:p>
            <w:pPr>
              <w:widowControl/>
              <w:spacing w:line="360" w:lineRule="auto"/>
              <w:ind w:firstLineChars="100" w:firstLine="240"/>
              <w:jc w:val="left"/>
              <w:rPr>
                <w:rFonts w:ascii="Times New Roman" w:eastAsia="DengXian" w:hAnsi="Times New Roman" w:cs="Times New Roman"/>
                <w:kern w:val="0"/>
                <w:sz w:val="24"/>
                <w:szCs w:val="24"/>
              </w:rPr>
            </w:pPr>
            <w:r>
              <w:rPr>
                <w:rFonts w:ascii="Times New Roman" w:eastAsia="DengXian" w:hAnsi="Times New Roman" w:cs="Times New Roman"/>
                <w:kern w:val="0"/>
                <w:sz w:val="24"/>
                <w:szCs w:val="24"/>
              </w:rPr>
              <w:t>Fish or Meat</w:t>
            </w:r>
          </w:p>
        </w:tc>
        <w:tc>
          <w:tcPr>
            <w:tcW w:w="434" w:type="pct"/>
            <w:tcBorders>
              <w:top w:val="nil"/>
              <w:left w:val="nil"/>
              <w:bottom w:val="nil"/>
              <w:right w:val="nil"/>
            </w:tcBorders>
            <w:shd w:val="clear" w:color="auto" w:fill="auto"/>
            <w:noWrap/>
            <w:vAlign w:val="center"/>
            <w:hideMark/>
          </w:tcPr>
          <w:p>
            <w:pPr>
              <w:widowControl/>
              <w:spacing w:line="360" w:lineRule="auto"/>
              <w:jc w:val="center"/>
              <w:rPr>
                <w:rFonts w:ascii="Times New Roman" w:eastAsia="SimSun" w:hAnsi="Times New Roman" w:cs="Times New Roman"/>
                <w:kern w:val="0"/>
                <w:sz w:val="24"/>
                <w:szCs w:val="24"/>
              </w:rPr>
            </w:pPr>
            <w:r>
              <w:rPr>
                <w:rFonts w:ascii="Times New Roman" w:eastAsia="SimSun" w:hAnsi="Times New Roman" w:cs="Times New Roman"/>
                <w:kern w:val="0"/>
                <w:sz w:val="24"/>
                <w:szCs w:val="24"/>
              </w:rPr>
              <w:t>-0.003</w:t>
            </w:r>
          </w:p>
        </w:tc>
        <w:tc>
          <w:tcPr>
            <w:tcW w:w="480" w:type="pct"/>
            <w:tcBorders>
              <w:top w:val="nil"/>
              <w:left w:val="nil"/>
              <w:bottom w:val="nil"/>
              <w:right w:val="nil"/>
            </w:tcBorders>
            <w:shd w:val="clear" w:color="auto" w:fill="auto"/>
            <w:noWrap/>
            <w:vAlign w:val="center"/>
            <w:hideMark/>
          </w:tcPr>
          <w:p>
            <w:pPr>
              <w:widowControl/>
              <w:spacing w:line="360" w:lineRule="auto"/>
              <w:jc w:val="center"/>
              <w:rPr>
                <w:rFonts w:ascii="Times New Roman" w:eastAsia="SimSun" w:hAnsi="Times New Roman" w:cs="Times New Roman"/>
                <w:kern w:val="0"/>
                <w:sz w:val="24"/>
                <w:szCs w:val="24"/>
              </w:rPr>
            </w:pPr>
            <w:r>
              <w:rPr>
                <w:rFonts w:ascii="Times New Roman" w:eastAsia="SimSun" w:hAnsi="Times New Roman" w:cs="Times New Roman"/>
                <w:kern w:val="0"/>
                <w:sz w:val="24"/>
                <w:szCs w:val="24"/>
              </w:rPr>
              <w:t>0.015</w:t>
            </w:r>
          </w:p>
        </w:tc>
        <w:tc>
          <w:tcPr>
            <w:tcW w:w="472" w:type="pct"/>
            <w:tcBorders>
              <w:top w:val="nil"/>
              <w:left w:val="nil"/>
              <w:bottom w:val="nil"/>
              <w:right w:val="nil"/>
            </w:tcBorders>
            <w:shd w:val="clear" w:color="auto" w:fill="auto"/>
            <w:noWrap/>
            <w:vAlign w:val="center"/>
            <w:hideMark/>
          </w:tcPr>
          <w:p>
            <w:pPr>
              <w:widowControl/>
              <w:spacing w:line="360" w:lineRule="auto"/>
              <w:jc w:val="center"/>
              <w:rPr>
                <w:rFonts w:ascii="Times New Roman" w:eastAsia="SimSun" w:hAnsi="Times New Roman" w:cs="Times New Roman"/>
                <w:kern w:val="0"/>
                <w:sz w:val="24"/>
                <w:szCs w:val="24"/>
              </w:rPr>
            </w:pPr>
            <w:r>
              <w:rPr>
                <w:rFonts w:ascii="Times New Roman" w:eastAsia="SimSun" w:hAnsi="Times New Roman" w:cs="Times New Roman"/>
                <w:kern w:val="0"/>
                <w:sz w:val="24"/>
                <w:szCs w:val="24"/>
              </w:rPr>
              <w:t>-0.056</w:t>
            </w:r>
          </w:p>
        </w:tc>
        <w:tc>
          <w:tcPr>
            <w:tcW w:w="434" w:type="pct"/>
            <w:tcBorders>
              <w:top w:val="nil"/>
              <w:left w:val="nil"/>
              <w:bottom w:val="nil"/>
              <w:right w:val="nil"/>
            </w:tcBorders>
            <w:shd w:val="clear" w:color="auto" w:fill="auto"/>
            <w:noWrap/>
            <w:vAlign w:val="center"/>
            <w:hideMark/>
          </w:tcPr>
          <w:p>
            <w:pPr>
              <w:widowControl/>
              <w:spacing w:line="360" w:lineRule="auto"/>
              <w:jc w:val="center"/>
              <w:rPr>
                <w:rFonts w:ascii="Times New Roman" w:eastAsia="SimSun" w:hAnsi="Times New Roman" w:cs="Times New Roman"/>
                <w:kern w:val="0"/>
                <w:sz w:val="24"/>
                <w:szCs w:val="24"/>
              </w:rPr>
            </w:pPr>
            <w:r>
              <w:rPr>
                <w:rFonts w:ascii="Times New Roman" w:eastAsia="SimSun" w:hAnsi="Times New Roman" w:cs="Times New Roman"/>
                <w:kern w:val="0"/>
                <w:sz w:val="24"/>
                <w:szCs w:val="24"/>
              </w:rPr>
              <w:t>-0.026</w:t>
            </w:r>
          </w:p>
        </w:tc>
        <w:tc>
          <w:tcPr>
            <w:tcW w:w="534" w:type="pct"/>
            <w:tcBorders>
              <w:top w:val="nil"/>
              <w:left w:val="nil"/>
              <w:bottom w:val="nil"/>
              <w:right w:val="nil"/>
            </w:tcBorders>
            <w:shd w:val="clear" w:color="auto" w:fill="auto"/>
            <w:noWrap/>
            <w:vAlign w:val="center"/>
            <w:hideMark/>
          </w:tcPr>
          <w:p>
            <w:pPr>
              <w:widowControl/>
              <w:spacing w:line="360" w:lineRule="auto"/>
              <w:jc w:val="center"/>
              <w:rPr>
                <w:rFonts w:ascii="Times New Roman" w:eastAsia="SimSun" w:hAnsi="Times New Roman" w:cs="Times New Roman"/>
                <w:kern w:val="0"/>
                <w:sz w:val="24"/>
                <w:szCs w:val="24"/>
              </w:rPr>
            </w:pPr>
            <w:r>
              <w:rPr>
                <w:rFonts w:ascii="Times New Roman" w:eastAsia="SimSun" w:hAnsi="Times New Roman" w:cs="Times New Roman"/>
                <w:kern w:val="0"/>
                <w:sz w:val="24"/>
                <w:szCs w:val="24"/>
              </w:rPr>
              <w:t>-0.022</w:t>
            </w:r>
          </w:p>
        </w:tc>
        <w:tc>
          <w:tcPr>
            <w:tcW w:w="434" w:type="pct"/>
            <w:tcBorders>
              <w:top w:val="nil"/>
              <w:left w:val="nil"/>
              <w:bottom w:val="nil"/>
              <w:right w:val="nil"/>
            </w:tcBorders>
            <w:shd w:val="clear" w:color="auto" w:fill="auto"/>
            <w:noWrap/>
            <w:vAlign w:val="center"/>
            <w:hideMark/>
          </w:tcPr>
          <w:p>
            <w:pPr>
              <w:widowControl/>
              <w:spacing w:line="360" w:lineRule="auto"/>
              <w:jc w:val="center"/>
              <w:rPr>
                <w:rFonts w:ascii="Times New Roman" w:eastAsia="SimSun" w:hAnsi="Times New Roman" w:cs="Times New Roman"/>
                <w:kern w:val="0"/>
                <w:sz w:val="24"/>
                <w:szCs w:val="24"/>
              </w:rPr>
            </w:pPr>
            <w:r>
              <w:rPr>
                <w:rFonts w:ascii="Times New Roman" w:eastAsia="SimSun" w:hAnsi="Times New Roman" w:cs="Times New Roman"/>
                <w:kern w:val="0"/>
                <w:sz w:val="24"/>
                <w:szCs w:val="24"/>
              </w:rPr>
              <w:t>-0.098</w:t>
            </w:r>
          </w:p>
        </w:tc>
        <w:tc>
          <w:tcPr>
            <w:tcW w:w="534" w:type="pct"/>
            <w:tcBorders>
              <w:top w:val="nil"/>
              <w:left w:val="nil"/>
              <w:bottom w:val="nil"/>
              <w:right w:val="nil"/>
            </w:tcBorders>
            <w:shd w:val="clear" w:color="auto" w:fill="auto"/>
            <w:noWrap/>
            <w:vAlign w:val="center"/>
            <w:hideMark/>
          </w:tcPr>
          <w:p>
            <w:pPr>
              <w:widowControl/>
              <w:spacing w:line="360" w:lineRule="auto"/>
              <w:jc w:val="center"/>
              <w:rPr>
                <w:rFonts w:ascii="Times New Roman" w:eastAsia="SimSun" w:hAnsi="Times New Roman" w:cs="Times New Roman"/>
                <w:kern w:val="0"/>
                <w:sz w:val="24"/>
                <w:szCs w:val="24"/>
              </w:rPr>
            </w:pPr>
            <w:r>
              <w:rPr>
                <w:rFonts w:ascii="Times New Roman" w:eastAsia="SimSun" w:hAnsi="Times New Roman" w:cs="Times New Roman"/>
                <w:kern w:val="0"/>
                <w:sz w:val="24"/>
                <w:szCs w:val="24"/>
              </w:rPr>
              <w:t>0.011</w:t>
            </w:r>
          </w:p>
        </w:tc>
        <w:tc>
          <w:tcPr>
            <w:tcW w:w="529" w:type="pct"/>
            <w:tcBorders>
              <w:top w:val="nil"/>
              <w:left w:val="nil"/>
              <w:bottom w:val="nil"/>
              <w:right w:val="nil"/>
            </w:tcBorders>
            <w:shd w:val="clear" w:color="auto" w:fill="auto"/>
            <w:noWrap/>
            <w:vAlign w:val="center"/>
            <w:hideMark/>
          </w:tcPr>
          <w:p>
            <w:pPr>
              <w:widowControl/>
              <w:spacing w:line="360" w:lineRule="auto"/>
              <w:jc w:val="center"/>
              <w:rPr>
                <w:rFonts w:ascii="Times New Roman" w:eastAsia="SimSun" w:hAnsi="Times New Roman" w:cs="Times New Roman"/>
                <w:kern w:val="0"/>
                <w:sz w:val="24"/>
                <w:szCs w:val="24"/>
              </w:rPr>
            </w:pPr>
            <w:r>
              <w:rPr>
                <w:rFonts w:ascii="Times New Roman" w:eastAsia="SimSun" w:hAnsi="Times New Roman" w:cs="Times New Roman"/>
                <w:kern w:val="0"/>
                <w:sz w:val="24"/>
                <w:szCs w:val="24"/>
              </w:rPr>
              <w:t>-0.003</w:t>
            </w:r>
          </w:p>
        </w:tc>
      </w:tr>
      <w:tr>
        <w:trPr>
          <w:trHeight w:val="307"/>
          <w:jc w:val="center"/>
        </w:trPr>
        <w:tc>
          <w:tcPr>
            <w:tcW w:w="1150" w:type="pct"/>
            <w:tcBorders>
              <w:top w:val="nil"/>
              <w:left w:val="nil"/>
              <w:bottom w:val="nil"/>
              <w:right w:val="nil"/>
            </w:tcBorders>
            <w:shd w:val="clear" w:color="auto" w:fill="auto"/>
            <w:vAlign w:val="center"/>
            <w:hideMark/>
          </w:tcPr>
          <w:p>
            <w:pPr>
              <w:widowControl/>
              <w:spacing w:line="360" w:lineRule="auto"/>
              <w:ind w:firstLineChars="100" w:firstLine="240"/>
              <w:jc w:val="left"/>
              <w:rPr>
                <w:rFonts w:ascii="Times New Roman" w:eastAsia="DengXian" w:hAnsi="Times New Roman" w:cs="Times New Roman"/>
                <w:kern w:val="0"/>
                <w:sz w:val="24"/>
                <w:szCs w:val="24"/>
              </w:rPr>
            </w:pPr>
            <w:r>
              <w:rPr>
                <w:rFonts w:ascii="Times New Roman" w:eastAsia="DengXian" w:hAnsi="Times New Roman" w:cs="Times New Roman"/>
                <w:kern w:val="0"/>
                <w:sz w:val="24"/>
                <w:szCs w:val="24"/>
              </w:rPr>
              <w:t>Milk or Eggs</w:t>
            </w:r>
          </w:p>
        </w:tc>
        <w:tc>
          <w:tcPr>
            <w:tcW w:w="434" w:type="pct"/>
            <w:tcBorders>
              <w:top w:val="nil"/>
              <w:left w:val="nil"/>
              <w:bottom w:val="nil"/>
              <w:right w:val="nil"/>
            </w:tcBorders>
            <w:shd w:val="clear" w:color="auto" w:fill="auto"/>
            <w:noWrap/>
            <w:vAlign w:val="center"/>
            <w:hideMark/>
          </w:tcPr>
          <w:p>
            <w:pPr>
              <w:widowControl/>
              <w:spacing w:line="360" w:lineRule="auto"/>
              <w:jc w:val="center"/>
              <w:rPr>
                <w:rFonts w:ascii="Times New Roman" w:eastAsia="SimSun" w:hAnsi="Times New Roman" w:cs="Times New Roman"/>
                <w:kern w:val="0"/>
                <w:sz w:val="24"/>
                <w:szCs w:val="24"/>
              </w:rPr>
            </w:pPr>
            <w:r>
              <w:rPr>
                <w:rFonts w:ascii="Times New Roman" w:eastAsia="SimSun" w:hAnsi="Times New Roman" w:cs="Times New Roman"/>
                <w:kern w:val="0"/>
                <w:sz w:val="24"/>
                <w:szCs w:val="24"/>
              </w:rPr>
              <w:t>0.043</w:t>
            </w:r>
          </w:p>
        </w:tc>
        <w:tc>
          <w:tcPr>
            <w:tcW w:w="480" w:type="pct"/>
            <w:tcBorders>
              <w:top w:val="nil"/>
              <w:left w:val="nil"/>
              <w:bottom w:val="nil"/>
              <w:right w:val="nil"/>
            </w:tcBorders>
            <w:shd w:val="clear" w:color="auto" w:fill="auto"/>
            <w:noWrap/>
            <w:vAlign w:val="center"/>
            <w:hideMark/>
          </w:tcPr>
          <w:p>
            <w:pPr>
              <w:widowControl/>
              <w:spacing w:line="360" w:lineRule="auto"/>
              <w:jc w:val="center"/>
              <w:rPr>
                <w:rFonts w:ascii="Times New Roman" w:eastAsia="SimSun" w:hAnsi="Times New Roman" w:cs="Times New Roman"/>
                <w:kern w:val="0"/>
                <w:sz w:val="24"/>
                <w:szCs w:val="24"/>
              </w:rPr>
            </w:pPr>
            <w:r>
              <w:rPr>
                <w:rFonts w:ascii="Times New Roman" w:eastAsia="SimSun" w:hAnsi="Times New Roman" w:cs="Times New Roman"/>
                <w:kern w:val="0"/>
                <w:sz w:val="24"/>
                <w:szCs w:val="24"/>
              </w:rPr>
              <w:t>0.013</w:t>
            </w:r>
          </w:p>
        </w:tc>
        <w:tc>
          <w:tcPr>
            <w:tcW w:w="472" w:type="pct"/>
            <w:tcBorders>
              <w:top w:val="nil"/>
              <w:left w:val="nil"/>
              <w:bottom w:val="nil"/>
              <w:right w:val="nil"/>
            </w:tcBorders>
            <w:shd w:val="clear" w:color="auto" w:fill="auto"/>
            <w:noWrap/>
            <w:vAlign w:val="center"/>
            <w:hideMark/>
          </w:tcPr>
          <w:p>
            <w:pPr>
              <w:widowControl/>
              <w:spacing w:line="360" w:lineRule="auto"/>
              <w:jc w:val="center"/>
              <w:rPr>
                <w:rFonts w:ascii="Times New Roman" w:eastAsia="SimSun" w:hAnsi="Times New Roman" w:cs="Times New Roman"/>
                <w:kern w:val="0"/>
                <w:sz w:val="24"/>
                <w:szCs w:val="24"/>
              </w:rPr>
            </w:pPr>
            <w:r>
              <w:rPr>
                <w:rFonts w:ascii="Times New Roman" w:eastAsia="SimSun" w:hAnsi="Times New Roman" w:cs="Times New Roman"/>
                <w:kern w:val="0"/>
                <w:sz w:val="24"/>
                <w:szCs w:val="24"/>
              </w:rPr>
              <w:t>-0.108</w:t>
            </w:r>
          </w:p>
        </w:tc>
        <w:tc>
          <w:tcPr>
            <w:tcW w:w="434" w:type="pct"/>
            <w:tcBorders>
              <w:top w:val="nil"/>
              <w:left w:val="nil"/>
              <w:bottom w:val="nil"/>
              <w:right w:val="nil"/>
            </w:tcBorders>
            <w:shd w:val="clear" w:color="auto" w:fill="auto"/>
            <w:noWrap/>
            <w:vAlign w:val="center"/>
            <w:hideMark/>
          </w:tcPr>
          <w:p>
            <w:pPr>
              <w:widowControl/>
              <w:spacing w:line="360" w:lineRule="auto"/>
              <w:jc w:val="center"/>
              <w:rPr>
                <w:rFonts w:ascii="Times New Roman" w:eastAsia="SimSun" w:hAnsi="Times New Roman" w:cs="Times New Roman"/>
                <w:kern w:val="0"/>
                <w:sz w:val="24"/>
                <w:szCs w:val="24"/>
              </w:rPr>
            </w:pPr>
            <w:r>
              <w:rPr>
                <w:rFonts w:ascii="Times New Roman" w:eastAsia="SimSun" w:hAnsi="Times New Roman" w:cs="Times New Roman"/>
                <w:kern w:val="0"/>
                <w:sz w:val="24"/>
                <w:szCs w:val="24"/>
              </w:rPr>
              <w:t>-0.025</w:t>
            </w:r>
          </w:p>
        </w:tc>
        <w:tc>
          <w:tcPr>
            <w:tcW w:w="534" w:type="pct"/>
            <w:tcBorders>
              <w:top w:val="nil"/>
              <w:left w:val="nil"/>
              <w:bottom w:val="nil"/>
              <w:right w:val="nil"/>
            </w:tcBorders>
            <w:shd w:val="clear" w:color="auto" w:fill="auto"/>
            <w:noWrap/>
            <w:vAlign w:val="center"/>
            <w:hideMark/>
          </w:tcPr>
          <w:p>
            <w:pPr>
              <w:widowControl/>
              <w:spacing w:line="360" w:lineRule="auto"/>
              <w:jc w:val="center"/>
              <w:rPr>
                <w:rFonts w:ascii="Times New Roman" w:eastAsia="SimSun" w:hAnsi="Times New Roman" w:cs="Times New Roman"/>
                <w:kern w:val="0"/>
                <w:sz w:val="24"/>
                <w:szCs w:val="24"/>
              </w:rPr>
            </w:pPr>
            <w:r>
              <w:rPr>
                <w:rFonts w:ascii="Times New Roman" w:eastAsia="SimSun" w:hAnsi="Times New Roman" w:cs="Times New Roman"/>
                <w:kern w:val="0"/>
                <w:sz w:val="24"/>
                <w:szCs w:val="24"/>
              </w:rPr>
              <w:t>-0.019</w:t>
            </w:r>
          </w:p>
        </w:tc>
        <w:tc>
          <w:tcPr>
            <w:tcW w:w="434" w:type="pct"/>
            <w:tcBorders>
              <w:top w:val="nil"/>
              <w:left w:val="nil"/>
              <w:bottom w:val="nil"/>
              <w:right w:val="nil"/>
            </w:tcBorders>
            <w:shd w:val="clear" w:color="auto" w:fill="auto"/>
            <w:noWrap/>
            <w:vAlign w:val="center"/>
            <w:hideMark/>
          </w:tcPr>
          <w:p>
            <w:pPr>
              <w:widowControl/>
              <w:spacing w:line="360" w:lineRule="auto"/>
              <w:jc w:val="center"/>
              <w:rPr>
                <w:rFonts w:ascii="Times New Roman" w:eastAsia="SimSun" w:hAnsi="Times New Roman" w:cs="Times New Roman"/>
                <w:kern w:val="0"/>
                <w:sz w:val="24"/>
                <w:szCs w:val="24"/>
              </w:rPr>
            </w:pPr>
            <w:r>
              <w:rPr>
                <w:rFonts w:ascii="Times New Roman" w:eastAsia="SimSun" w:hAnsi="Times New Roman" w:cs="Times New Roman"/>
                <w:kern w:val="0"/>
                <w:sz w:val="24"/>
                <w:szCs w:val="24"/>
              </w:rPr>
              <w:t>-0.038</w:t>
            </w:r>
          </w:p>
        </w:tc>
        <w:tc>
          <w:tcPr>
            <w:tcW w:w="534" w:type="pct"/>
            <w:tcBorders>
              <w:top w:val="nil"/>
              <w:left w:val="nil"/>
              <w:bottom w:val="nil"/>
              <w:right w:val="nil"/>
            </w:tcBorders>
            <w:shd w:val="clear" w:color="auto" w:fill="auto"/>
            <w:noWrap/>
            <w:vAlign w:val="center"/>
            <w:hideMark/>
          </w:tcPr>
          <w:p>
            <w:pPr>
              <w:widowControl/>
              <w:spacing w:line="360" w:lineRule="auto"/>
              <w:jc w:val="center"/>
              <w:rPr>
                <w:rFonts w:ascii="Times New Roman" w:eastAsia="SimSun" w:hAnsi="Times New Roman" w:cs="Times New Roman"/>
                <w:kern w:val="0"/>
                <w:sz w:val="24"/>
                <w:szCs w:val="24"/>
              </w:rPr>
            </w:pPr>
            <w:r>
              <w:rPr>
                <w:rFonts w:ascii="Times New Roman" w:eastAsia="SimSun" w:hAnsi="Times New Roman" w:cs="Times New Roman"/>
                <w:kern w:val="0"/>
                <w:sz w:val="24"/>
                <w:szCs w:val="24"/>
              </w:rPr>
              <w:t>0.081</w:t>
            </w:r>
          </w:p>
        </w:tc>
        <w:tc>
          <w:tcPr>
            <w:tcW w:w="529" w:type="pct"/>
            <w:tcBorders>
              <w:top w:val="nil"/>
              <w:left w:val="nil"/>
              <w:bottom w:val="nil"/>
              <w:right w:val="nil"/>
            </w:tcBorders>
            <w:shd w:val="clear" w:color="auto" w:fill="auto"/>
            <w:noWrap/>
            <w:vAlign w:val="center"/>
            <w:hideMark/>
          </w:tcPr>
          <w:p>
            <w:pPr>
              <w:widowControl/>
              <w:spacing w:line="360" w:lineRule="auto"/>
              <w:jc w:val="center"/>
              <w:rPr>
                <w:rFonts w:ascii="Times New Roman" w:eastAsia="SimSun" w:hAnsi="Times New Roman" w:cs="Times New Roman"/>
                <w:kern w:val="0"/>
                <w:sz w:val="24"/>
                <w:szCs w:val="24"/>
              </w:rPr>
            </w:pPr>
            <w:r>
              <w:rPr>
                <w:rFonts w:ascii="Times New Roman" w:eastAsia="SimSun" w:hAnsi="Times New Roman" w:cs="Times New Roman"/>
                <w:kern w:val="0"/>
                <w:sz w:val="24"/>
                <w:szCs w:val="24"/>
              </w:rPr>
              <w:t>0.034</w:t>
            </w:r>
          </w:p>
        </w:tc>
      </w:tr>
      <w:tr>
        <w:trPr>
          <w:trHeight w:val="616"/>
          <w:jc w:val="center"/>
        </w:trPr>
        <w:tc>
          <w:tcPr>
            <w:tcW w:w="1150" w:type="pct"/>
            <w:tcBorders>
              <w:top w:val="nil"/>
              <w:left w:val="nil"/>
              <w:bottom w:val="nil"/>
              <w:right w:val="nil"/>
            </w:tcBorders>
            <w:shd w:val="clear" w:color="auto" w:fill="auto"/>
            <w:vAlign w:val="center"/>
            <w:hideMark/>
          </w:tcPr>
          <w:p>
            <w:pPr>
              <w:widowControl/>
              <w:spacing w:line="360" w:lineRule="auto"/>
              <w:ind w:leftChars="100" w:left="210"/>
              <w:jc w:val="left"/>
              <w:rPr>
                <w:rFonts w:ascii="Times New Roman" w:eastAsia="DengXian" w:hAnsi="Times New Roman" w:cs="Times New Roman"/>
                <w:kern w:val="0"/>
                <w:sz w:val="24"/>
                <w:szCs w:val="24"/>
              </w:rPr>
            </w:pPr>
            <w:r>
              <w:rPr>
                <w:rFonts w:ascii="Times New Roman" w:eastAsia="DengXian" w:hAnsi="Times New Roman" w:cs="Times New Roman"/>
                <w:kern w:val="0"/>
                <w:sz w:val="24"/>
                <w:szCs w:val="24"/>
              </w:rPr>
              <w:t>Fresh green vegetables</w:t>
            </w:r>
          </w:p>
        </w:tc>
        <w:tc>
          <w:tcPr>
            <w:tcW w:w="434" w:type="pct"/>
            <w:tcBorders>
              <w:top w:val="nil"/>
              <w:left w:val="nil"/>
              <w:bottom w:val="nil"/>
              <w:right w:val="nil"/>
            </w:tcBorders>
            <w:shd w:val="clear" w:color="auto" w:fill="auto"/>
            <w:noWrap/>
            <w:vAlign w:val="center"/>
            <w:hideMark/>
          </w:tcPr>
          <w:p>
            <w:pPr>
              <w:widowControl/>
              <w:spacing w:line="360" w:lineRule="auto"/>
              <w:jc w:val="center"/>
              <w:rPr>
                <w:rFonts w:ascii="Times New Roman" w:eastAsia="SimSun" w:hAnsi="Times New Roman" w:cs="Times New Roman"/>
                <w:kern w:val="0"/>
                <w:sz w:val="24"/>
                <w:szCs w:val="24"/>
              </w:rPr>
            </w:pPr>
            <w:r>
              <w:rPr>
                <w:rFonts w:ascii="Times New Roman" w:eastAsia="SimSun" w:hAnsi="Times New Roman" w:cs="Times New Roman"/>
                <w:kern w:val="0"/>
                <w:sz w:val="24"/>
                <w:szCs w:val="24"/>
              </w:rPr>
              <w:t>-0.068</w:t>
            </w:r>
          </w:p>
        </w:tc>
        <w:tc>
          <w:tcPr>
            <w:tcW w:w="480" w:type="pct"/>
            <w:tcBorders>
              <w:top w:val="nil"/>
              <w:left w:val="nil"/>
              <w:bottom w:val="nil"/>
              <w:right w:val="nil"/>
            </w:tcBorders>
            <w:shd w:val="clear" w:color="auto" w:fill="auto"/>
            <w:noWrap/>
            <w:vAlign w:val="center"/>
            <w:hideMark/>
          </w:tcPr>
          <w:p>
            <w:pPr>
              <w:widowControl/>
              <w:spacing w:line="360" w:lineRule="auto"/>
              <w:jc w:val="center"/>
              <w:rPr>
                <w:rFonts w:ascii="Times New Roman" w:eastAsia="SimSun" w:hAnsi="Times New Roman" w:cs="Times New Roman"/>
                <w:kern w:val="0"/>
                <w:sz w:val="24"/>
                <w:szCs w:val="24"/>
              </w:rPr>
            </w:pPr>
            <w:r>
              <w:rPr>
                <w:rFonts w:ascii="Times New Roman" w:eastAsia="SimSun" w:hAnsi="Times New Roman" w:cs="Times New Roman"/>
                <w:kern w:val="0"/>
                <w:sz w:val="24"/>
                <w:szCs w:val="24"/>
              </w:rPr>
              <w:t>-0.022</w:t>
            </w:r>
          </w:p>
        </w:tc>
        <w:tc>
          <w:tcPr>
            <w:tcW w:w="472" w:type="pct"/>
            <w:tcBorders>
              <w:top w:val="nil"/>
              <w:left w:val="nil"/>
              <w:bottom w:val="nil"/>
              <w:right w:val="nil"/>
            </w:tcBorders>
            <w:shd w:val="clear" w:color="auto" w:fill="auto"/>
            <w:noWrap/>
            <w:vAlign w:val="center"/>
            <w:hideMark/>
          </w:tcPr>
          <w:p>
            <w:pPr>
              <w:widowControl/>
              <w:spacing w:line="360" w:lineRule="auto"/>
              <w:jc w:val="center"/>
              <w:rPr>
                <w:rFonts w:ascii="Times New Roman" w:eastAsia="SimSun" w:hAnsi="Times New Roman" w:cs="Times New Roman"/>
                <w:kern w:val="0"/>
                <w:sz w:val="24"/>
                <w:szCs w:val="24"/>
              </w:rPr>
            </w:pPr>
            <w:r>
              <w:rPr>
                <w:rFonts w:ascii="Times New Roman" w:eastAsia="SimSun" w:hAnsi="Times New Roman" w:cs="Times New Roman"/>
                <w:kern w:val="0"/>
                <w:sz w:val="24"/>
                <w:szCs w:val="24"/>
              </w:rPr>
              <w:t>-0.080</w:t>
            </w:r>
          </w:p>
        </w:tc>
        <w:tc>
          <w:tcPr>
            <w:tcW w:w="434" w:type="pct"/>
            <w:tcBorders>
              <w:top w:val="nil"/>
              <w:left w:val="nil"/>
              <w:bottom w:val="nil"/>
              <w:right w:val="nil"/>
            </w:tcBorders>
            <w:shd w:val="clear" w:color="auto" w:fill="auto"/>
            <w:noWrap/>
            <w:vAlign w:val="center"/>
            <w:hideMark/>
          </w:tcPr>
          <w:p>
            <w:pPr>
              <w:widowControl/>
              <w:spacing w:line="360" w:lineRule="auto"/>
              <w:jc w:val="center"/>
              <w:rPr>
                <w:rFonts w:ascii="Times New Roman" w:eastAsia="SimSun" w:hAnsi="Times New Roman" w:cs="Times New Roman"/>
                <w:kern w:val="0"/>
                <w:sz w:val="24"/>
                <w:szCs w:val="24"/>
              </w:rPr>
            </w:pPr>
            <w:r>
              <w:rPr>
                <w:rFonts w:ascii="Times New Roman" w:eastAsia="SimSun" w:hAnsi="Times New Roman" w:cs="Times New Roman"/>
                <w:kern w:val="0"/>
                <w:sz w:val="24"/>
                <w:szCs w:val="24"/>
              </w:rPr>
              <w:t>-0.068</w:t>
            </w:r>
          </w:p>
        </w:tc>
        <w:tc>
          <w:tcPr>
            <w:tcW w:w="534" w:type="pct"/>
            <w:tcBorders>
              <w:top w:val="nil"/>
              <w:left w:val="nil"/>
              <w:bottom w:val="nil"/>
              <w:right w:val="nil"/>
            </w:tcBorders>
            <w:shd w:val="clear" w:color="auto" w:fill="auto"/>
            <w:noWrap/>
            <w:vAlign w:val="center"/>
            <w:hideMark/>
          </w:tcPr>
          <w:p>
            <w:pPr>
              <w:widowControl/>
              <w:spacing w:line="360" w:lineRule="auto"/>
              <w:jc w:val="center"/>
              <w:rPr>
                <w:rFonts w:ascii="Times New Roman" w:eastAsia="SimSun" w:hAnsi="Times New Roman" w:cs="Times New Roman"/>
                <w:kern w:val="0"/>
                <w:sz w:val="24"/>
                <w:szCs w:val="24"/>
              </w:rPr>
            </w:pPr>
            <w:r>
              <w:rPr>
                <w:rFonts w:ascii="Times New Roman" w:eastAsia="SimSun" w:hAnsi="Times New Roman" w:cs="Times New Roman"/>
                <w:kern w:val="0"/>
                <w:sz w:val="24"/>
                <w:szCs w:val="24"/>
              </w:rPr>
              <w:t>-0.010</w:t>
            </w:r>
          </w:p>
        </w:tc>
        <w:tc>
          <w:tcPr>
            <w:tcW w:w="434" w:type="pct"/>
            <w:tcBorders>
              <w:top w:val="nil"/>
              <w:left w:val="nil"/>
              <w:bottom w:val="nil"/>
              <w:right w:val="nil"/>
            </w:tcBorders>
            <w:shd w:val="clear" w:color="auto" w:fill="auto"/>
            <w:noWrap/>
            <w:vAlign w:val="center"/>
            <w:hideMark/>
          </w:tcPr>
          <w:p>
            <w:pPr>
              <w:widowControl/>
              <w:spacing w:line="360" w:lineRule="auto"/>
              <w:jc w:val="center"/>
              <w:rPr>
                <w:rFonts w:ascii="Times New Roman" w:eastAsia="SimSun" w:hAnsi="Times New Roman" w:cs="Times New Roman"/>
                <w:kern w:val="0"/>
                <w:sz w:val="24"/>
                <w:szCs w:val="24"/>
              </w:rPr>
            </w:pPr>
            <w:r>
              <w:rPr>
                <w:rFonts w:ascii="Times New Roman" w:eastAsia="SimSun" w:hAnsi="Times New Roman" w:cs="Times New Roman"/>
                <w:kern w:val="0"/>
                <w:sz w:val="24"/>
                <w:szCs w:val="24"/>
              </w:rPr>
              <w:t>-0.021</w:t>
            </w:r>
          </w:p>
        </w:tc>
        <w:tc>
          <w:tcPr>
            <w:tcW w:w="534" w:type="pct"/>
            <w:tcBorders>
              <w:top w:val="nil"/>
              <w:left w:val="nil"/>
              <w:bottom w:val="nil"/>
              <w:right w:val="nil"/>
            </w:tcBorders>
            <w:shd w:val="clear" w:color="auto" w:fill="auto"/>
            <w:noWrap/>
            <w:vAlign w:val="center"/>
            <w:hideMark/>
          </w:tcPr>
          <w:p>
            <w:pPr>
              <w:widowControl/>
              <w:spacing w:line="360" w:lineRule="auto"/>
              <w:jc w:val="center"/>
              <w:rPr>
                <w:rFonts w:ascii="Times New Roman" w:eastAsia="SimSun" w:hAnsi="Times New Roman" w:cs="Times New Roman"/>
                <w:kern w:val="0"/>
                <w:sz w:val="24"/>
                <w:szCs w:val="24"/>
              </w:rPr>
            </w:pPr>
            <w:r>
              <w:rPr>
                <w:rFonts w:ascii="Times New Roman" w:eastAsia="SimSun" w:hAnsi="Times New Roman" w:cs="Times New Roman"/>
                <w:kern w:val="0"/>
                <w:sz w:val="24"/>
                <w:szCs w:val="24"/>
              </w:rPr>
              <w:t>0.054</w:t>
            </w:r>
          </w:p>
        </w:tc>
        <w:tc>
          <w:tcPr>
            <w:tcW w:w="529" w:type="pct"/>
            <w:tcBorders>
              <w:top w:val="nil"/>
              <w:left w:val="nil"/>
              <w:bottom w:val="nil"/>
              <w:right w:val="nil"/>
            </w:tcBorders>
            <w:shd w:val="clear" w:color="auto" w:fill="auto"/>
            <w:noWrap/>
            <w:vAlign w:val="center"/>
            <w:hideMark/>
          </w:tcPr>
          <w:p>
            <w:pPr>
              <w:widowControl/>
              <w:spacing w:line="360" w:lineRule="auto"/>
              <w:jc w:val="center"/>
              <w:rPr>
                <w:rFonts w:ascii="Times New Roman" w:eastAsia="SimSun" w:hAnsi="Times New Roman" w:cs="Times New Roman"/>
                <w:kern w:val="0"/>
                <w:sz w:val="24"/>
                <w:szCs w:val="24"/>
              </w:rPr>
            </w:pPr>
            <w:r>
              <w:rPr>
                <w:rFonts w:ascii="Times New Roman" w:eastAsia="SimSun" w:hAnsi="Times New Roman" w:cs="Times New Roman"/>
                <w:kern w:val="0"/>
                <w:sz w:val="24"/>
                <w:szCs w:val="24"/>
              </w:rPr>
              <w:t>-0.004</w:t>
            </w:r>
          </w:p>
        </w:tc>
      </w:tr>
      <w:tr>
        <w:trPr>
          <w:trHeight w:val="307"/>
          <w:jc w:val="center"/>
        </w:trPr>
        <w:tc>
          <w:tcPr>
            <w:tcW w:w="1150" w:type="pct"/>
            <w:tcBorders>
              <w:top w:val="nil"/>
              <w:left w:val="nil"/>
              <w:right w:val="nil"/>
            </w:tcBorders>
            <w:shd w:val="clear" w:color="auto" w:fill="auto"/>
            <w:vAlign w:val="center"/>
            <w:hideMark/>
          </w:tcPr>
          <w:p>
            <w:pPr>
              <w:widowControl/>
              <w:spacing w:line="360" w:lineRule="auto"/>
              <w:ind w:firstLineChars="100" w:firstLine="240"/>
              <w:jc w:val="left"/>
              <w:rPr>
                <w:rFonts w:ascii="Times New Roman" w:eastAsia="DengXian" w:hAnsi="Times New Roman" w:cs="Times New Roman"/>
                <w:kern w:val="0"/>
                <w:sz w:val="24"/>
                <w:szCs w:val="24"/>
              </w:rPr>
            </w:pPr>
            <w:r>
              <w:rPr>
                <w:rFonts w:ascii="Times New Roman" w:eastAsia="DengXian" w:hAnsi="Times New Roman" w:cs="Times New Roman"/>
                <w:kern w:val="0"/>
                <w:sz w:val="24"/>
                <w:szCs w:val="24"/>
              </w:rPr>
              <w:t>Fresh fruit</w:t>
            </w:r>
          </w:p>
        </w:tc>
        <w:tc>
          <w:tcPr>
            <w:tcW w:w="434" w:type="pct"/>
            <w:tcBorders>
              <w:top w:val="nil"/>
              <w:left w:val="nil"/>
              <w:right w:val="nil"/>
            </w:tcBorders>
            <w:shd w:val="clear" w:color="auto" w:fill="auto"/>
            <w:noWrap/>
            <w:vAlign w:val="center"/>
            <w:hideMark/>
          </w:tcPr>
          <w:p>
            <w:pPr>
              <w:widowControl/>
              <w:spacing w:line="360" w:lineRule="auto"/>
              <w:jc w:val="center"/>
              <w:rPr>
                <w:rFonts w:ascii="Times New Roman" w:eastAsia="SimSun" w:hAnsi="Times New Roman" w:cs="Times New Roman"/>
                <w:kern w:val="0"/>
                <w:sz w:val="24"/>
                <w:szCs w:val="24"/>
              </w:rPr>
            </w:pPr>
            <w:r>
              <w:rPr>
                <w:rFonts w:ascii="Times New Roman" w:eastAsia="SimSun" w:hAnsi="Times New Roman" w:cs="Times New Roman"/>
                <w:kern w:val="0"/>
                <w:sz w:val="24"/>
                <w:szCs w:val="24"/>
              </w:rPr>
              <w:t>-0.009</w:t>
            </w:r>
          </w:p>
        </w:tc>
        <w:tc>
          <w:tcPr>
            <w:tcW w:w="480" w:type="pct"/>
            <w:tcBorders>
              <w:top w:val="nil"/>
              <w:left w:val="nil"/>
              <w:right w:val="nil"/>
            </w:tcBorders>
            <w:shd w:val="clear" w:color="auto" w:fill="auto"/>
            <w:noWrap/>
            <w:vAlign w:val="center"/>
            <w:hideMark/>
          </w:tcPr>
          <w:p>
            <w:pPr>
              <w:widowControl/>
              <w:spacing w:line="360" w:lineRule="auto"/>
              <w:jc w:val="center"/>
              <w:rPr>
                <w:rFonts w:ascii="Times New Roman" w:eastAsia="SimSun" w:hAnsi="Times New Roman" w:cs="Times New Roman"/>
                <w:kern w:val="0"/>
                <w:sz w:val="24"/>
                <w:szCs w:val="24"/>
              </w:rPr>
            </w:pPr>
            <w:r>
              <w:rPr>
                <w:rFonts w:ascii="Times New Roman" w:eastAsia="SimSun" w:hAnsi="Times New Roman" w:cs="Times New Roman"/>
                <w:kern w:val="0"/>
                <w:sz w:val="24"/>
                <w:szCs w:val="24"/>
              </w:rPr>
              <w:t>0.036</w:t>
            </w:r>
          </w:p>
        </w:tc>
        <w:tc>
          <w:tcPr>
            <w:tcW w:w="472" w:type="pct"/>
            <w:tcBorders>
              <w:top w:val="nil"/>
              <w:left w:val="nil"/>
              <w:right w:val="nil"/>
            </w:tcBorders>
            <w:shd w:val="clear" w:color="auto" w:fill="auto"/>
            <w:noWrap/>
            <w:vAlign w:val="center"/>
            <w:hideMark/>
          </w:tcPr>
          <w:p>
            <w:pPr>
              <w:widowControl/>
              <w:spacing w:line="360" w:lineRule="auto"/>
              <w:jc w:val="center"/>
              <w:rPr>
                <w:rFonts w:ascii="Times New Roman" w:eastAsia="SimSun" w:hAnsi="Times New Roman" w:cs="Times New Roman"/>
                <w:kern w:val="0"/>
                <w:sz w:val="24"/>
                <w:szCs w:val="24"/>
              </w:rPr>
            </w:pPr>
            <w:r>
              <w:rPr>
                <w:rFonts w:ascii="Times New Roman" w:eastAsia="SimSun" w:hAnsi="Times New Roman" w:cs="Times New Roman"/>
                <w:kern w:val="0"/>
                <w:sz w:val="24"/>
                <w:szCs w:val="24"/>
              </w:rPr>
              <w:t>-0.067</w:t>
            </w:r>
          </w:p>
        </w:tc>
        <w:tc>
          <w:tcPr>
            <w:tcW w:w="434" w:type="pct"/>
            <w:tcBorders>
              <w:top w:val="nil"/>
              <w:left w:val="nil"/>
              <w:right w:val="nil"/>
            </w:tcBorders>
            <w:shd w:val="clear" w:color="auto" w:fill="auto"/>
            <w:noWrap/>
            <w:vAlign w:val="center"/>
            <w:hideMark/>
          </w:tcPr>
          <w:p>
            <w:pPr>
              <w:widowControl/>
              <w:spacing w:line="360" w:lineRule="auto"/>
              <w:jc w:val="center"/>
              <w:rPr>
                <w:rFonts w:ascii="Times New Roman" w:eastAsia="SimSun" w:hAnsi="Times New Roman" w:cs="Times New Roman"/>
                <w:kern w:val="0"/>
                <w:sz w:val="24"/>
                <w:szCs w:val="24"/>
              </w:rPr>
            </w:pPr>
            <w:r>
              <w:rPr>
                <w:rFonts w:ascii="Times New Roman" w:eastAsia="SimSun" w:hAnsi="Times New Roman" w:cs="Times New Roman"/>
                <w:kern w:val="0"/>
                <w:sz w:val="24"/>
                <w:szCs w:val="24"/>
              </w:rPr>
              <w:t>-0.008</w:t>
            </w:r>
          </w:p>
        </w:tc>
        <w:tc>
          <w:tcPr>
            <w:tcW w:w="534" w:type="pct"/>
            <w:tcBorders>
              <w:top w:val="nil"/>
              <w:left w:val="nil"/>
              <w:right w:val="nil"/>
            </w:tcBorders>
            <w:shd w:val="clear" w:color="auto" w:fill="auto"/>
            <w:noWrap/>
            <w:vAlign w:val="center"/>
            <w:hideMark/>
          </w:tcPr>
          <w:p>
            <w:pPr>
              <w:widowControl/>
              <w:spacing w:line="360" w:lineRule="auto"/>
              <w:jc w:val="center"/>
              <w:rPr>
                <w:rFonts w:ascii="Times New Roman" w:eastAsia="SimSun" w:hAnsi="Times New Roman" w:cs="Times New Roman"/>
                <w:kern w:val="0"/>
                <w:sz w:val="24"/>
                <w:szCs w:val="24"/>
              </w:rPr>
            </w:pPr>
            <w:r>
              <w:rPr>
                <w:rFonts w:ascii="Times New Roman" w:eastAsia="SimSun" w:hAnsi="Times New Roman" w:cs="Times New Roman"/>
                <w:kern w:val="0"/>
                <w:sz w:val="24"/>
                <w:szCs w:val="24"/>
              </w:rPr>
              <w:t>-0.010</w:t>
            </w:r>
          </w:p>
        </w:tc>
        <w:tc>
          <w:tcPr>
            <w:tcW w:w="434" w:type="pct"/>
            <w:tcBorders>
              <w:top w:val="nil"/>
              <w:left w:val="nil"/>
              <w:right w:val="nil"/>
            </w:tcBorders>
            <w:shd w:val="clear" w:color="auto" w:fill="auto"/>
            <w:noWrap/>
            <w:vAlign w:val="center"/>
            <w:hideMark/>
          </w:tcPr>
          <w:p>
            <w:pPr>
              <w:widowControl/>
              <w:spacing w:line="360" w:lineRule="auto"/>
              <w:jc w:val="center"/>
              <w:rPr>
                <w:rFonts w:ascii="Times New Roman" w:eastAsia="SimSun" w:hAnsi="Times New Roman" w:cs="Times New Roman"/>
                <w:kern w:val="0"/>
                <w:sz w:val="24"/>
                <w:szCs w:val="24"/>
              </w:rPr>
            </w:pPr>
            <w:r>
              <w:rPr>
                <w:rFonts w:ascii="Times New Roman" w:eastAsia="SimSun" w:hAnsi="Times New Roman" w:cs="Times New Roman"/>
                <w:kern w:val="0"/>
                <w:sz w:val="24"/>
                <w:szCs w:val="24"/>
              </w:rPr>
              <w:t>0.031</w:t>
            </w:r>
          </w:p>
        </w:tc>
        <w:tc>
          <w:tcPr>
            <w:tcW w:w="534" w:type="pct"/>
            <w:tcBorders>
              <w:top w:val="nil"/>
              <w:left w:val="nil"/>
              <w:right w:val="nil"/>
            </w:tcBorders>
            <w:shd w:val="clear" w:color="auto" w:fill="auto"/>
            <w:noWrap/>
            <w:vAlign w:val="center"/>
            <w:hideMark/>
          </w:tcPr>
          <w:p>
            <w:pPr>
              <w:widowControl/>
              <w:spacing w:line="360" w:lineRule="auto"/>
              <w:jc w:val="center"/>
              <w:rPr>
                <w:rFonts w:ascii="Times New Roman" w:eastAsia="SimSun" w:hAnsi="Times New Roman" w:cs="Times New Roman"/>
                <w:kern w:val="0"/>
                <w:sz w:val="24"/>
                <w:szCs w:val="24"/>
              </w:rPr>
            </w:pPr>
            <w:r>
              <w:rPr>
                <w:rFonts w:ascii="Times New Roman" w:eastAsia="SimSun" w:hAnsi="Times New Roman" w:cs="Times New Roman"/>
                <w:kern w:val="0"/>
                <w:sz w:val="24"/>
                <w:szCs w:val="24"/>
              </w:rPr>
              <w:t>0.089</w:t>
            </w:r>
          </w:p>
        </w:tc>
        <w:tc>
          <w:tcPr>
            <w:tcW w:w="529" w:type="pct"/>
            <w:tcBorders>
              <w:top w:val="nil"/>
              <w:left w:val="nil"/>
              <w:right w:val="nil"/>
            </w:tcBorders>
            <w:shd w:val="clear" w:color="auto" w:fill="auto"/>
            <w:noWrap/>
            <w:vAlign w:val="center"/>
            <w:hideMark/>
          </w:tcPr>
          <w:p>
            <w:pPr>
              <w:widowControl/>
              <w:spacing w:line="360" w:lineRule="auto"/>
              <w:jc w:val="center"/>
              <w:rPr>
                <w:rFonts w:ascii="Times New Roman" w:eastAsia="SimSun" w:hAnsi="Times New Roman" w:cs="Times New Roman"/>
                <w:kern w:val="0"/>
                <w:sz w:val="24"/>
                <w:szCs w:val="24"/>
              </w:rPr>
            </w:pPr>
            <w:r>
              <w:rPr>
                <w:rFonts w:ascii="Times New Roman" w:eastAsia="SimSun" w:hAnsi="Times New Roman" w:cs="Times New Roman"/>
                <w:kern w:val="0"/>
                <w:sz w:val="24"/>
                <w:szCs w:val="24"/>
              </w:rPr>
              <w:t>0.059</w:t>
            </w:r>
          </w:p>
        </w:tc>
      </w:tr>
      <w:tr>
        <w:trPr>
          <w:trHeight w:val="616"/>
          <w:jc w:val="center"/>
        </w:trPr>
        <w:tc>
          <w:tcPr>
            <w:tcW w:w="1150" w:type="pct"/>
            <w:tcBorders>
              <w:top w:val="nil"/>
              <w:left w:val="nil"/>
              <w:bottom w:val="single" w:sz="12" w:space="0" w:color="auto"/>
              <w:right w:val="nil"/>
            </w:tcBorders>
            <w:shd w:val="clear" w:color="auto" w:fill="auto"/>
            <w:vAlign w:val="center"/>
            <w:hideMark/>
          </w:tcPr>
          <w:p>
            <w:pPr>
              <w:widowControl/>
              <w:spacing w:line="360" w:lineRule="auto"/>
              <w:ind w:leftChars="100" w:left="210"/>
              <w:jc w:val="left"/>
              <w:rPr>
                <w:rFonts w:ascii="Times New Roman" w:eastAsia="DengXian" w:hAnsi="Times New Roman" w:cs="Times New Roman"/>
                <w:kern w:val="0"/>
                <w:sz w:val="24"/>
                <w:szCs w:val="24"/>
              </w:rPr>
            </w:pPr>
            <w:r>
              <w:rPr>
                <w:rFonts w:ascii="Times New Roman" w:eastAsia="DengXian" w:hAnsi="Times New Roman" w:cs="Times New Roman"/>
                <w:kern w:val="0"/>
                <w:sz w:val="24"/>
                <w:szCs w:val="24"/>
              </w:rPr>
              <w:t>Beans or bean products</w:t>
            </w:r>
          </w:p>
        </w:tc>
        <w:tc>
          <w:tcPr>
            <w:tcW w:w="434" w:type="pct"/>
            <w:tcBorders>
              <w:top w:val="nil"/>
              <w:left w:val="nil"/>
              <w:bottom w:val="single" w:sz="12" w:space="0" w:color="auto"/>
              <w:right w:val="nil"/>
            </w:tcBorders>
            <w:shd w:val="clear" w:color="auto" w:fill="auto"/>
            <w:noWrap/>
            <w:vAlign w:val="center"/>
            <w:hideMark/>
          </w:tcPr>
          <w:p>
            <w:pPr>
              <w:widowControl/>
              <w:spacing w:line="360" w:lineRule="auto"/>
              <w:jc w:val="center"/>
              <w:rPr>
                <w:rFonts w:ascii="Times New Roman" w:eastAsia="SimSun" w:hAnsi="Times New Roman" w:cs="Times New Roman"/>
                <w:kern w:val="0"/>
                <w:sz w:val="24"/>
                <w:szCs w:val="24"/>
              </w:rPr>
            </w:pPr>
            <w:r>
              <w:rPr>
                <w:rFonts w:ascii="Times New Roman" w:eastAsia="SimSun" w:hAnsi="Times New Roman" w:cs="Times New Roman"/>
                <w:kern w:val="0"/>
                <w:sz w:val="24"/>
                <w:szCs w:val="24"/>
              </w:rPr>
              <w:t>0.065</w:t>
            </w:r>
          </w:p>
        </w:tc>
        <w:tc>
          <w:tcPr>
            <w:tcW w:w="480" w:type="pct"/>
            <w:tcBorders>
              <w:top w:val="nil"/>
              <w:left w:val="nil"/>
              <w:bottom w:val="single" w:sz="12" w:space="0" w:color="auto"/>
              <w:right w:val="nil"/>
            </w:tcBorders>
            <w:shd w:val="clear" w:color="auto" w:fill="auto"/>
            <w:noWrap/>
            <w:vAlign w:val="center"/>
            <w:hideMark/>
          </w:tcPr>
          <w:p>
            <w:pPr>
              <w:widowControl/>
              <w:spacing w:line="360" w:lineRule="auto"/>
              <w:jc w:val="center"/>
              <w:rPr>
                <w:rFonts w:ascii="Times New Roman" w:eastAsia="SimSun" w:hAnsi="Times New Roman" w:cs="Times New Roman"/>
                <w:kern w:val="0"/>
                <w:sz w:val="24"/>
                <w:szCs w:val="24"/>
              </w:rPr>
            </w:pPr>
            <w:r>
              <w:rPr>
                <w:rFonts w:ascii="Times New Roman" w:eastAsia="SimSun" w:hAnsi="Times New Roman" w:cs="Times New Roman"/>
                <w:kern w:val="0"/>
                <w:sz w:val="24"/>
                <w:szCs w:val="24"/>
              </w:rPr>
              <w:t>0.259</w:t>
            </w:r>
            <w:r>
              <w:rPr>
                <w:rFonts w:ascii="Times New Roman" w:eastAsia="SimSun" w:hAnsi="Times New Roman" w:cs="Times New Roman"/>
                <w:kern w:val="0"/>
                <w:sz w:val="24"/>
                <w:szCs w:val="24"/>
                <w:vertAlign w:val="superscript"/>
              </w:rPr>
              <w:t>**</w:t>
            </w:r>
          </w:p>
        </w:tc>
        <w:tc>
          <w:tcPr>
            <w:tcW w:w="472" w:type="pct"/>
            <w:tcBorders>
              <w:top w:val="nil"/>
              <w:left w:val="nil"/>
              <w:bottom w:val="single" w:sz="12" w:space="0" w:color="auto"/>
              <w:right w:val="nil"/>
            </w:tcBorders>
            <w:shd w:val="clear" w:color="auto" w:fill="auto"/>
            <w:noWrap/>
            <w:vAlign w:val="center"/>
            <w:hideMark/>
          </w:tcPr>
          <w:p>
            <w:pPr>
              <w:widowControl/>
              <w:spacing w:line="360" w:lineRule="auto"/>
              <w:jc w:val="center"/>
              <w:rPr>
                <w:rFonts w:ascii="Times New Roman" w:eastAsia="SimSun" w:hAnsi="Times New Roman" w:cs="Times New Roman"/>
                <w:kern w:val="0"/>
                <w:sz w:val="24"/>
                <w:szCs w:val="24"/>
              </w:rPr>
            </w:pPr>
            <w:r>
              <w:rPr>
                <w:rFonts w:ascii="Times New Roman" w:eastAsia="SimSun" w:hAnsi="Times New Roman" w:cs="Times New Roman"/>
                <w:kern w:val="0"/>
                <w:sz w:val="24"/>
                <w:szCs w:val="24"/>
              </w:rPr>
              <w:t>-0.116</w:t>
            </w:r>
          </w:p>
        </w:tc>
        <w:tc>
          <w:tcPr>
            <w:tcW w:w="434" w:type="pct"/>
            <w:tcBorders>
              <w:top w:val="nil"/>
              <w:left w:val="nil"/>
              <w:bottom w:val="single" w:sz="12" w:space="0" w:color="auto"/>
              <w:right w:val="nil"/>
            </w:tcBorders>
            <w:shd w:val="clear" w:color="auto" w:fill="auto"/>
            <w:noWrap/>
            <w:vAlign w:val="center"/>
            <w:hideMark/>
          </w:tcPr>
          <w:p>
            <w:pPr>
              <w:widowControl/>
              <w:spacing w:line="360" w:lineRule="auto"/>
              <w:jc w:val="center"/>
              <w:rPr>
                <w:rFonts w:ascii="Times New Roman" w:eastAsia="SimSun" w:hAnsi="Times New Roman" w:cs="Times New Roman"/>
                <w:kern w:val="0"/>
                <w:sz w:val="24"/>
                <w:szCs w:val="24"/>
              </w:rPr>
            </w:pPr>
            <w:r>
              <w:rPr>
                <w:rFonts w:ascii="Times New Roman" w:eastAsia="SimSun" w:hAnsi="Times New Roman" w:cs="Times New Roman"/>
                <w:kern w:val="0"/>
                <w:sz w:val="24"/>
                <w:szCs w:val="24"/>
              </w:rPr>
              <w:t>0.052</w:t>
            </w:r>
          </w:p>
        </w:tc>
        <w:tc>
          <w:tcPr>
            <w:tcW w:w="534" w:type="pct"/>
            <w:tcBorders>
              <w:top w:val="nil"/>
              <w:left w:val="nil"/>
              <w:bottom w:val="single" w:sz="12" w:space="0" w:color="auto"/>
              <w:right w:val="nil"/>
            </w:tcBorders>
            <w:shd w:val="clear" w:color="auto" w:fill="auto"/>
            <w:noWrap/>
            <w:vAlign w:val="center"/>
            <w:hideMark/>
          </w:tcPr>
          <w:p>
            <w:pPr>
              <w:widowControl/>
              <w:spacing w:line="360" w:lineRule="auto"/>
              <w:jc w:val="center"/>
              <w:rPr>
                <w:rFonts w:ascii="Times New Roman" w:eastAsia="SimSun" w:hAnsi="Times New Roman" w:cs="Times New Roman"/>
                <w:kern w:val="0"/>
                <w:sz w:val="24"/>
                <w:szCs w:val="24"/>
              </w:rPr>
            </w:pPr>
            <w:r>
              <w:rPr>
                <w:rFonts w:ascii="Times New Roman" w:eastAsia="SimSun" w:hAnsi="Times New Roman" w:cs="Times New Roman"/>
                <w:kern w:val="0"/>
                <w:sz w:val="24"/>
                <w:szCs w:val="24"/>
              </w:rPr>
              <w:t>0.153</w:t>
            </w:r>
            <w:r>
              <w:rPr>
                <w:rFonts w:ascii="Times New Roman" w:eastAsia="SimSun" w:hAnsi="Times New Roman" w:cs="Times New Roman"/>
                <w:kern w:val="0"/>
                <w:sz w:val="24"/>
                <w:szCs w:val="24"/>
                <w:vertAlign w:val="superscript"/>
              </w:rPr>
              <w:t>*</w:t>
            </w:r>
          </w:p>
        </w:tc>
        <w:tc>
          <w:tcPr>
            <w:tcW w:w="434" w:type="pct"/>
            <w:tcBorders>
              <w:top w:val="nil"/>
              <w:left w:val="nil"/>
              <w:bottom w:val="single" w:sz="12" w:space="0" w:color="auto"/>
              <w:right w:val="nil"/>
            </w:tcBorders>
            <w:shd w:val="clear" w:color="auto" w:fill="auto"/>
            <w:noWrap/>
            <w:vAlign w:val="center"/>
            <w:hideMark/>
          </w:tcPr>
          <w:p>
            <w:pPr>
              <w:widowControl/>
              <w:spacing w:line="360" w:lineRule="auto"/>
              <w:jc w:val="center"/>
              <w:rPr>
                <w:rFonts w:ascii="Times New Roman" w:eastAsia="SimSun" w:hAnsi="Times New Roman" w:cs="Times New Roman"/>
                <w:kern w:val="0"/>
                <w:sz w:val="24"/>
                <w:szCs w:val="24"/>
              </w:rPr>
            </w:pPr>
            <w:r>
              <w:rPr>
                <w:rFonts w:ascii="Times New Roman" w:eastAsia="SimSun" w:hAnsi="Times New Roman" w:cs="Times New Roman"/>
                <w:kern w:val="0"/>
                <w:sz w:val="24"/>
                <w:szCs w:val="24"/>
              </w:rPr>
              <w:t>0.032</w:t>
            </w:r>
          </w:p>
        </w:tc>
        <w:tc>
          <w:tcPr>
            <w:tcW w:w="534" w:type="pct"/>
            <w:tcBorders>
              <w:top w:val="nil"/>
              <w:left w:val="nil"/>
              <w:bottom w:val="single" w:sz="12" w:space="0" w:color="auto"/>
              <w:right w:val="nil"/>
            </w:tcBorders>
            <w:shd w:val="clear" w:color="auto" w:fill="auto"/>
            <w:noWrap/>
            <w:vAlign w:val="center"/>
            <w:hideMark/>
          </w:tcPr>
          <w:p>
            <w:pPr>
              <w:widowControl/>
              <w:spacing w:line="360" w:lineRule="auto"/>
              <w:jc w:val="center"/>
              <w:rPr>
                <w:rFonts w:ascii="Times New Roman" w:eastAsia="SimSun" w:hAnsi="Times New Roman" w:cs="Times New Roman"/>
                <w:kern w:val="0"/>
                <w:sz w:val="24"/>
                <w:szCs w:val="24"/>
              </w:rPr>
            </w:pPr>
            <w:r>
              <w:rPr>
                <w:rFonts w:ascii="Times New Roman" w:eastAsia="SimSun" w:hAnsi="Times New Roman" w:cs="Times New Roman"/>
                <w:kern w:val="0"/>
                <w:sz w:val="24"/>
                <w:szCs w:val="24"/>
              </w:rPr>
              <w:t>0.211</w:t>
            </w:r>
            <w:r>
              <w:rPr>
                <w:rFonts w:ascii="Times New Roman" w:eastAsia="SimSun" w:hAnsi="Times New Roman" w:cs="Times New Roman"/>
                <w:kern w:val="0"/>
                <w:sz w:val="24"/>
                <w:szCs w:val="24"/>
                <w:vertAlign w:val="superscript"/>
              </w:rPr>
              <w:t>**</w:t>
            </w:r>
          </w:p>
        </w:tc>
        <w:tc>
          <w:tcPr>
            <w:tcW w:w="529" w:type="pct"/>
            <w:tcBorders>
              <w:top w:val="nil"/>
              <w:left w:val="nil"/>
              <w:bottom w:val="single" w:sz="12" w:space="0" w:color="auto"/>
              <w:right w:val="nil"/>
            </w:tcBorders>
            <w:shd w:val="clear" w:color="auto" w:fill="auto"/>
            <w:noWrap/>
            <w:vAlign w:val="center"/>
            <w:hideMark/>
          </w:tcPr>
          <w:p>
            <w:pPr>
              <w:widowControl/>
              <w:spacing w:line="360" w:lineRule="auto"/>
              <w:jc w:val="center"/>
              <w:rPr>
                <w:rFonts w:ascii="Times New Roman" w:eastAsia="SimSun" w:hAnsi="Times New Roman" w:cs="Times New Roman"/>
                <w:kern w:val="0"/>
                <w:sz w:val="24"/>
                <w:szCs w:val="24"/>
              </w:rPr>
            </w:pPr>
            <w:r>
              <w:rPr>
                <w:rFonts w:ascii="Times New Roman" w:eastAsia="SimSun" w:hAnsi="Times New Roman" w:cs="Times New Roman"/>
                <w:kern w:val="0"/>
                <w:sz w:val="24"/>
                <w:szCs w:val="24"/>
              </w:rPr>
              <w:t>0.233</w:t>
            </w:r>
            <w:r>
              <w:rPr>
                <w:rFonts w:ascii="Times New Roman" w:eastAsia="SimSun" w:hAnsi="Times New Roman" w:cs="Times New Roman"/>
                <w:kern w:val="0"/>
                <w:sz w:val="24"/>
                <w:szCs w:val="24"/>
                <w:vertAlign w:val="superscript"/>
              </w:rPr>
              <w:t>**</w:t>
            </w:r>
          </w:p>
        </w:tc>
      </w:tr>
    </w:tbl>
    <w:p>
      <w:pPr>
        <w:spacing w:line="480" w:lineRule="auto"/>
        <w:rPr>
          <w:rFonts w:ascii="Times New Roman" w:eastAsia="SimSun" w:hAnsi="Times New Roman" w:cs="Times New Roman"/>
          <w:kern w:val="0"/>
          <w:sz w:val="24"/>
          <w:szCs w:val="24"/>
        </w:rPr>
      </w:pPr>
      <w:r>
        <w:rPr>
          <w:rFonts w:ascii="Times New Roman" w:hAnsi="Times New Roman" w:cs="Times New Roman"/>
          <w:sz w:val="24"/>
          <w:szCs w:val="24"/>
        </w:rPr>
        <w:t xml:space="preserve">HCB, </w:t>
      </w:r>
      <w:proofErr w:type="spellStart"/>
      <w:r>
        <w:rPr>
          <w:rFonts w:ascii="Times New Roman" w:eastAsia="SimSun" w:hAnsi="Times New Roman" w:cs="Times New Roman"/>
          <w:kern w:val="0"/>
          <w:sz w:val="24"/>
          <w:szCs w:val="24"/>
        </w:rPr>
        <w:t>hexachlorobezene</w:t>
      </w:r>
      <w:proofErr w:type="spellEnd"/>
      <w:r>
        <w:rPr>
          <w:rFonts w:ascii="Times New Roman" w:eastAsia="SimSun" w:hAnsi="Times New Roman" w:cs="Times New Roman"/>
          <w:kern w:val="0"/>
          <w:sz w:val="24"/>
          <w:szCs w:val="24"/>
        </w:rPr>
        <w:t>; β-HCH, β-</w:t>
      </w:r>
      <w:proofErr w:type="spellStart"/>
      <w:r>
        <w:rPr>
          <w:rFonts w:ascii="Times New Roman" w:eastAsia="SimSun" w:hAnsi="Times New Roman" w:cs="Times New Roman"/>
          <w:kern w:val="0"/>
          <w:sz w:val="24"/>
          <w:szCs w:val="24"/>
        </w:rPr>
        <w:t>hexachlorocyclohexane</w:t>
      </w:r>
      <w:proofErr w:type="spellEnd"/>
      <w:r>
        <w:rPr>
          <w:rFonts w:ascii="Times New Roman" w:hAnsi="Times New Roman" w:cs="Times New Roman"/>
          <w:sz w:val="24"/>
          <w:szCs w:val="24"/>
        </w:rPr>
        <w:t xml:space="preserve">; </w:t>
      </w:r>
      <w:r>
        <w:rPr>
          <w:rFonts w:ascii="Times New Roman" w:eastAsia="SimSun" w:hAnsi="Times New Roman" w:cs="Times New Roman"/>
          <w:kern w:val="0"/>
          <w:sz w:val="24"/>
          <w:szCs w:val="24"/>
        </w:rPr>
        <w:t>γ-HCH, γ-hexachlorocyclohexane</w:t>
      </w:r>
      <w:r>
        <w:rPr>
          <w:rFonts w:ascii="Times New Roman" w:hAnsi="Times New Roman" w:cs="Times New Roman"/>
          <w:sz w:val="24"/>
          <w:szCs w:val="24"/>
        </w:rPr>
        <w:t>; HCEAB</w:t>
      </w:r>
      <w:r>
        <w:rPr>
          <w:rFonts w:ascii="Times New Roman" w:eastAsia="SimSun" w:hAnsi="Times New Roman" w:cs="Times New Roman"/>
          <w:kern w:val="0"/>
          <w:sz w:val="24"/>
          <w:szCs w:val="24"/>
        </w:rPr>
        <w:t>, heptachlor epoxide</w:t>
      </w:r>
      <w:r>
        <w:rPr>
          <w:rFonts w:ascii="Times New Roman" w:hAnsi="Times New Roman" w:cs="Times New Roman"/>
          <w:sz w:val="24"/>
          <w:szCs w:val="24"/>
        </w:rPr>
        <w:t>; IDR</w:t>
      </w:r>
      <w:r>
        <w:rPr>
          <w:rFonts w:ascii="Times New Roman" w:eastAsia="SimSun" w:hAnsi="Times New Roman" w:cs="Times New Roman"/>
          <w:kern w:val="0"/>
          <w:sz w:val="24"/>
          <w:szCs w:val="24"/>
        </w:rPr>
        <w:t xml:space="preserve">, </w:t>
      </w:r>
      <w:proofErr w:type="spellStart"/>
      <w:r>
        <w:rPr>
          <w:rFonts w:ascii="Times New Roman" w:eastAsia="SimSun" w:hAnsi="Times New Roman" w:cs="Times New Roman"/>
          <w:kern w:val="0"/>
          <w:sz w:val="24"/>
          <w:szCs w:val="24"/>
        </w:rPr>
        <w:t>isodrin</w:t>
      </w:r>
      <w:proofErr w:type="spellEnd"/>
      <w:r>
        <w:rPr>
          <w:rFonts w:ascii="Times New Roman" w:hAnsi="Times New Roman" w:cs="Times New Roman"/>
          <w:sz w:val="24"/>
          <w:szCs w:val="24"/>
        </w:rPr>
        <w:t xml:space="preserve">; </w:t>
      </w:r>
      <w:r>
        <w:rPr>
          <w:rFonts w:ascii="Times New Roman" w:eastAsia="SimSun" w:hAnsi="Times New Roman" w:cs="Times New Roman"/>
          <w:kern w:val="0"/>
          <w:sz w:val="24"/>
          <w:szCs w:val="24"/>
        </w:rPr>
        <w:t>ENS I, α-</w:t>
      </w:r>
      <w:proofErr w:type="spellStart"/>
      <w:r>
        <w:rPr>
          <w:rFonts w:ascii="Times New Roman" w:eastAsia="SimSun" w:hAnsi="Times New Roman" w:cs="Times New Roman"/>
          <w:kern w:val="0"/>
          <w:sz w:val="24"/>
          <w:szCs w:val="24"/>
        </w:rPr>
        <w:t>endosulfan</w:t>
      </w:r>
      <w:proofErr w:type="spellEnd"/>
      <w:r>
        <w:rPr>
          <w:rFonts w:ascii="Times New Roman" w:hAnsi="Times New Roman" w:cs="Times New Roman"/>
          <w:sz w:val="24"/>
          <w:szCs w:val="24"/>
        </w:rPr>
        <w:t xml:space="preserve">; </w:t>
      </w:r>
      <w:r>
        <w:rPr>
          <w:rFonts w:ascii="Times New Roman" w:eastAsia="SimSun" w:hAnsi="Times New Roman" w:cs="Times New Roman"/>
          <w:kern w:val="0"/>
          <w:sz w:val="24"/>
          <w:szCs w:val="24"/>
        </w:rPr>
        <w:t xml:space="preserve">pp-DDE, </w:t>
      </w:r>
      <w:proofErr w:type="spellStart"/>
      <w:r>
        <w:rPr>
          <w:rFonts w:ascii="Times New Roman" w:eastAsia="SimSun" w:hAnsi="Times New Roman" w:cs="Times New Roman"/>
          <w:kern w:val="0"/>
          <w:sz w:val="24"/>
          <w:szCs w:val="24"/>
        </w:rPr>
        <w:t>p</w:t>
      </w:r>
      <w:proofErr w:type="gramStart"/>
      <w:r>
        <w:rPr>
          <w:rFonts w:ascii="Times New Roman" w:eastAsia="SimSun" w:hAnsi="Times New Roman" w:cs="Times New Roman"/>
          <w:kern w:val="0"/>
          <w:sz w:val="24"/>
          <w:szCs w:val="24"/>
        </w:rPr>
        <w:t>,p</w:t>
      </w:r>
      <w:proofErr w:type="spellEnd"/>
      <w:r>
        <w:rPr>
          <w:rFonts w:ascii="Times New Roman" w:eastAsia="SimSun" w:hAnsi="Times New Roman" w:cs="Times New Roman"/>
          <w:kern w:val="0"/>
          <w:sz w:val="24"/>
          <w:szCs w:val="24"/>
        </w:rPr>
        <w:t>’</w:t>
      </w:r>
      <w:proofErr w:type="gramEnd"/>
      <w:r>
        <w:rPr>
          <w:rFonts w:ascii="Times New Roman" w:eastAsia="SimSun" w:hAnsi="Times New Roman" w:cs="Times New Roman"/>
          <w:kern w:val="0"/>
          <w:sz w:val="24"/>
          <w:szCs w:val="24"/>
        </w:rPr>
        <w:t>-DDE</w:t>
      </w:r>
      <w:r>
        <w:rPr>
          <w:rFonts w:ascii="Times New Roman" w:hAnsi="Times New Roman" w:cs="Times New Roman"/>
          <w:sz w:val="24"/>
          <w:szCs w:val="24"/>
        </w:rPr>
        <w:t xml:space="preserve">; ΣOCPs is the sum of HCB, </w:t>
      </w:r>
      <w:r>
        <w:rPr>
          <w:rFonts w:ascii="Times New Roman" w:eastAsia="SimSun" w:hAnsi="Times New Roman" w:cs="Times New Roman"/>
          <w:kern w:val="0"/>
          <w:sz w:val="24"/>
          <w:szCs w:val="24"/>
        </w:rPr>
        <w:t>β-</w:t>
      </w:r>
      <w:proofErr w:type="spellStart"/>
      <w:r>
        <w:rPr>
          <w:rFonts w:ascii="Times New Roman" w:eastAsia="SimSun" w:hAnsi="Times New Roman" w:cs="Times New Roman"/>
          <w:kern w:val="0"/>
          <w:sz w:val="24"/>
          <w:szCs w:val="24"/>
        </w:rPr>
        <w:t>HCH,γ</w:t>
      </w:r>
      <w:proofErr w:type="spellEnd"/>
      <w:r>
        <w:rPr>
          <w:rFonts w:ascii="Times New Roman" w:eastAsia="SimSun" w:hAnsi="Times New Roman" w:cs="Times New Roman"/>
          <w:kern w:val="0"/>
          <w:sz w:val="24"/>
          <w:szCs w:val="24"/>
        </w:rPr>
        <w:t xml:space="preserve">-HCH, </w:t>
      </w:r>
      <w:r>
        <w:rPr>
          <w:rFonts w:ascii="Times New Roman" w:hAnsi="Times New Roman" w:cs="Times New Roman"/>
          <w:sz w:val="24"/>
          <w:szCs w:val="24"/>
        </w:rPr>
        <w:t>HCEAB</w:t>
      </w:r>
      <w:r>
        <w:rPr>
          <w:rFonts w:ascii="Times New Roman" w:eastAsia="SimSun" w:hAnsi="Times New Roman" w:cs="Times New Roman"/>
          <w:kern w:val="0"/>
          <w:sz w:val="24"/>
          <w:szCs w:val="24"/>
        </w:rPr>
        <w:t xml:space="preserve">, </w:t>
      </w:r>
      <w:r>
        <w:rPr>
          <w:rFonts w:ascii="Times New Roman" w:hAnsi="Times New Roman" w:cs="Times New Roman"/>
          <w:sz w:val="24"/>
          <w:szCs w:val="24"/>
        </w:rPr>
        <w:t>IDR</w:t>
      </w:r>
      <w:r>
        <w:rPr>
          <w:rFonts w:ascii="Times New Roman" w:eastAsia="SimSun" w:hAnsi="Times New Roman" w:cs="Times New Roman"/>
          <w:kern w:val="0"/>
          <w:sz w:val="24"/>
          <w:szCs w:val="24"/>
        </w:rPr>
        <w:t>, ENS I, pp-DDE</w:t>
      </w:r>
    </w:p>
    <w:p>
      <w:pPr>
        <w:spacing w:line="480" w:lineRule="auto"/>
      </w:pPr>
      <w:r>
        <w:rPr>
          <w:rFonts w:ascii="Times New Roman" w:eastAsia="SimSun" w:hAnsi="Times New Roman" w:cs="Times New Roman"/>
          <w:kern w:val="0"/>
          <w:sz w:val="24"/>
          <w:szCs w:val="24"/>
          <w:vertAlign w:val="superscript"/>
        </w:rPr>
        <w:t xml:space="preserve">* </w:t>
      </w:r>
      <w:r>
        <w:rPr>
          <w:rFonts w:ascii="Times New Roman" w:eastAsia="SimSun" w:hAnsi="Times New Roman" w:cs="Times New Roman"/>
          <w:i/>
          <w:iCs/>
          <w:kern w:val="0"/>
          <w:sz w:val="24"/>
          <w:szCs w:val="24"/>
        </w:rPr>
        <w:t xml:space="preserve">P </w:t>
      </w:r>
      <w:r>
        <w:rPr>
          <w:rFonts w:ascii="Times New Roman" w:eastAsia="SimSun" w:hAnsi="Times New Roman" w:cs="Times New Roman"/>
          <w:kern w:val="0"/>
          <w:sz w:val="24"/>
          <w:szCs w:val="24"/>
        </w:rPr>
        <w:t xml:space="preserve">&lt; 0.05, </w:t>
      </w:r>
      <w:r>
        <w:rPr>
          <w:rFonts w:ascii="Times New Roman" w:eastAsia="SimSun" w:hAnsi="Times New Roman" w:cs="Times New Roman"/>
          <w:kern w:val="0"/>
          <w:sz w:val="24"/>
          <w:szCs w:val="24"/>
          <w:vertAlign w:val="superscript"/>
        </w:rPr>
        <w:t xml:space="preserve">** </w:t>
      </w:r>
      <w:r>
        <w:rPr>
          <w:rFonts w:ascii="Times New Roman" w:eastAsia="SimSun" w:hAnsi="Times New Roman" w:cs="Times New Roman"/>
          <w:i/>
          <w:iCs/>
          <w:kern w:val="0"/>
          <w:sz w:val="24"/>
          <w:szCs w:val="24"/>
        </w:rPr>
        <w:t xml:space="preserve">P </w:t>
      </w:r>
      <w:r>
        <w:rPr>
          <w:rFonts w:ascii="Times New Roman" w:eastAsia="SimSun" w:hAnsi="Times New Roman" w:cs="Times New Roman"/>
          <w:kern w:val="0"/>
          <w:sz w:val="24"/>
          <w:szCs w:val="24"/>
        </w:rPr>
        <w:t>&lt; 0.001</w:t>
      </w:r>
    </w:p>
    <w:p>
      <w:pPr>
        <w:pStyle w:val="Heading2"/>
        <w:rPr>
          <w:rFonts w:cs="Times New Roman"/>
          <w:szCs w:val="24"/>
        </w:rPr>
      </w:pPr>
      <w:r>
        <w:rPr>
          <w:rFonts w:cs="Times New Roman"/>
          <w:szCs w:val="24"/>
        </w:rPr>
        <w:t xml:space="preserve">3.4 </w:t>
      </w:r>
      <w:bookmarkStart w:id="45" w:name="OLE_LINK53"/>
      <w:bookmarkStart w:id="46" w:name="OLE_LINK54"/>
      <w:r>
        <w:rPr>
          <w:rFonts w:cs="Times New Roman"/>
          <w:szCs w:val="24"/>
        </w:rPr>
        <w:t>Sensitivity Analysis</w:t>
      </w:r>
      <w:bookmarkEnd w:id="45"/>
      <w:bookmarkEnd w:id="46"/>
    </w:p>
    <w:p>
      <w:pPr>
        <w:autoSpaceDE w:val="0"/>
        <w:autoSpaceDN w:val="0"/>
        <w:adjustRightInd w:val="0"/>
        <w:spacing w:line="480" w:lineRule="auto"/>
        <w:rPr>
          <w:rFonts w:ascii="Times New Roman" w:hAnsi="Times New Roman" w:cs="Times New Roman"/>
          <w:kern w:val="0"/>
          <w:sz w:val="24"/>
          <w:szCs w:val="24"/>
        </w:rPr>
      </w:pPr>
      <w:r>
        <w:rPr>
          <w:rFonts w:ascii="Times New Roman" w:hAnsi="Times New Roman" w:cs="Times New Roman"/>
          <w:kern w:val="0"/>
          <w:sz w:val="24"/>
          <w:szCs w:val="24"/>
        </w:rPr>
        <w:t>As a sensitivity analysis, we</w:t>
      </w:r>
      <w:r>
        <w:rPr>
          <w:kern w:val="0"/>
        </w:rPr>
        <w:t xml:space="preserve"> </w:t>
      </w:r>
      <w:r>
        <w:rPr>
          <w:rFonts w:ascii="Times New Roman" w:hAnsi="Times New Roman" w:cs="Times New Roman"/>
          <w:kern w:val="0"/>
          <w:sz w:val="24"/>
          <w:szCs w:val="24"/>
        </w:rPr>
        <w:t>restricted our analyses to cases with isolated OFCs. When we excluded nine non-isolated</w:t>
      </w:r>
      <w:r>
        <w:rPr>
          <w:rFonts w:ascii="Times New Roman" w:hAnsi="Times New Roman" w:cs="Times New Roman"/>
          <w:sz w:val="24"/>
          <w:szCs w:val="24"/>
        </w:rPr>
        <w:t xml:space="preserve"> OFC</w:t>
      </w:r>
      <w:r>
        <w:rPr>
          <w:rFonts w:ascii="Times New Roman" w:hAnsi="Times New Roman" w:cs="Times New Roman"/>
          <w:sz w:val="24"/>
          <w:szCs w:val="24"/>
          <w:shd w:val="clear" w:color="auto" w:fill="F7F8FA"/>
        </w:rPr>
        <w:t xml:space="preserve"> </w:t>
      </w:r>
      <w:r>
        <w:rPr>
          <w:rFonts w:ascii="Times New Roman" w:hAnsi="Times New Roman" w:cs="Times New Roman"/>
          <w:kern w:val="0"/>
          <w:sz w:val="24"/>
          <w:szCs w:val="24"/>
        </w:rPr>
        <w:t xml:space="preserve">cases, the results did not change (Table S5). </w:t>
      </w:r>
      <w:r>
        <w:rPr>
          <w:rStyle w:val="normaltextrun"/>
          <w:rFonts w:ascii="Times New Roman" w:hAnsi="Times New Roman" w:cs="Times New Roman"/>
          <w:sz w:val="24"/>
          <w:szCs w:val="24"/>
          <w:shd w:val="clear" w:color="auto" w:fill="FFFFFF"/>
        </w:rPr>
        <w:t xml:space="preserve">No associations between </w:t>
      </w:r>
      <w:r>
        <w:rPr>
          <w:rFonts w:ascii="Times New Roman" w:hAnsi="Times New Roman" w:cs="Times New Roman"/>
          <w:sz w:val="24"/>
          <w:szCs w:val="24"/>
        </w:rPr>
        <w:t>levels of OCPs and risk for OFCs</w:t>
      </w:r>
      <w:r>
        <w:rPr>
          <w:rStyle w:val="normaltextrun"/>
          <w:rFonts w:ascii="Times New Roman" w:hAnsi="Times New Roman" w:cs="Times New Roman"/>
          <w:sz w:val="24"/>
          <w:szCs w:val="24"/>
          <w:shd w:val="clear" w:color="auto" w:fill="FFFFFF"/>
        </w:rPr>
        <w:t xml:space="preserve"> were found.</w:t>
      </w:r>
    </w:p>
    <w:p>
      <w:pPr>
        <w:pStyle w:val="Heading1"/>
        <w:numPr>
          <w:ilvl w:val="0"/>
          <w:numId w:val="20"/>
        </w:numPr>
        <w:rPr>
          <w:rFonts w:ascii="Times New Roman" w:hAnsi="Times New Roman" w:cs="Times New Roman"/>
          <w:sz w:val="24"/>
          <w:szCs w:val="24"/>
        </w:rPr>
      </w:pPr>
      <w:r>
        <w:rPr>
          <w:rFonts w:ascii="Times New Roman" w:hAnsi="Times New Roman" w:cs="Times New Roman"/>
          <w:sz w:val="24"/>
          <w:szCs w:val="24"/>
        </w:rPr>
        <w:t>Discussions</w:t>
      </w:r>
    </w:p>
    <w:p>
      <w:pPr>
        <w:autoSpaceDE w:val="0"/>
        <w:autoSpaceDN w:val="0"/>
        <w:adjustRightInd w:val="0"/>
        <w:spacing w:line="480" w:lineRule="auto"/>
        <w:rPr>
          <w:rFonts w:ascii="Times New Roman" w:hAnsi="Times New Roman" w:cs="Times New Roman"/>
          <w:sz w:val="24"/>
          <w:szCs w:val="24"/>
        </w:rPr>
      </w:pPr>
      <w:r>
        <w:rPr>
          <w:rFonts w:ascii="Times New Roman" w:hAnsi="Times New Roman" w:cs="Times New Roman"/>
          <w:color w:val="333333"/>
          <w:sz w:val="24"/>
          <w:szCs w:val="24"/>
          <w:shd w:val="clear" w:color="auto" w:fill="FFFFFF"/>
        </w:rPr>
        <w:t>This study for the first time</w:t>
      </w:r>
      <w:r>
        <w:rPr>
          <w:rFonts w:ascii="Times New Roman" w:hAnsi="Times New Roman" w:cs="Times New Roman"/>
          <w:kern w:val="0"/>
          <w:sz w:val="24"/>
          <w:szCs w:val="24"/>
        </w:rPr>
        <w:t xml:space="preserve"> determined </w:t>
      </w:r>
      <w:r>
        <w:rPr>
          <w:rFonts w:ascii="Times New Roman" w:hAnsi="Times New Roman" w:cs="Times New Roman"/>
          <w:sz w:val="24"/>
          <w:szCs w:val="24"/>
        </w:rPr>
        <w:t xml:space="preserve">the associations between OCPs levels in </w:t>
      </w:r>
      <w:r>
        <w:rPr>
          <w:rFonts w:ascii="Times New Roman" w:hAnsi="Times New Roman" w:cs="Times New Roman"/>
          <w:sz w:val="24"/>
          <w:szCs w:val="24"/>
        </w:rPr>
        <w:lastRenderedPageBreak/>
        <w:t xml:space="preserve">umbilical cord tissue and the risk for OFCs. Besides evaluating the individual effect of each OCPs exposure on the risk of OFCs, </w:t>
      </w:r>
      <w:r>
        <w:rPr>
          <w:rStyle w:val="normaltextrun"/>
          <w:rFonts w:ascii="Times New Roman" w:hAnsi="Times New Roman" w:cs="Times New Roman"/>
          <w:color w:val="000000"/>
          <w:sz w:val="24"/>
          <w:szCs w:val="24"/>
          <w:shd w:val="clear" w:color="auto" w:fill="FFFFFF"/>
        </w:rPr>
        <w:t>we also considered associations within the context of exposure mixture patterns</w:t>
      </w:r>
      <w:r>
        <w:rPr>
          <w:rFonts w:ascii="Times New Roman" w:hAnsi="Times New Roman" w:cs="Times New Roman"/>
          <w:sz w:val="24"/>
          <w:szCs w:val="24"/>
        </w:rPr>
        <w:t xml:space="preserve">. </w:t>
      </w:r>
      <w:r>
        <w:rPr>
          <w:rFonts w:ascii="Times New Roman" w:hAnsi="Times New Roman" w:cs="Times New Roman"/>
          <w:kern w:val="0"/>
          <w:sz w:val="24"/>
          <w:szCs w:val="24"/>
        </w:rPr>
        <w:t xml:space="preserve">However, no statistically significant associations between </w:t>
      </w:r>
      <w:r>
        <w:rPr>
          <w:rFonts w:ascii="Times New Roman" w:hAnsi="Times New Roman" w:cs="Times New Roman"/>
          <w:sz w:val="24"/>
          <w:szCs w:val="24"/>
        </w:rPr>
        <w:t xml:space="preserve">levels of </w:t>
      </w:r>
      <w:r>
        <w:rPr>
          <w:rFonts w:ascii="Times New Roman" w:hAnsi="Times New Roman" w:cs="Times New Roman"/>
          <w:kern w:val="0"/>
          <w:sz w:val="24"/>
          <w:szCs w:val="24"/>
        </w:rPr>
        <w:t xml:space="preserve">OCPs </w:t>
      </w:r>
      <w:r>
        <w:rPr>
          <w:rFonts w:ascii="Times New Roman" w:hAnsi="Times New Roman" w:cs="Times New Roman"/>
          <w:sz w:val="24"/>
          <w:szCs w:val="24"/>
        </w:rPr>
        <w:t>in umbilical cord tissue and the risk for OFCs in either multivariate</w:t>
      </w:r>
      <w:r>
        <w:rPr>
          <w:rStyle w:val="apple-converted-space"/>
          <w:rFonts w:ascii="Times New Roman" w:hAnsi="Times New Roman" w:cs="Times New Roman"/>
          <w:sz w:val="24"/>
          <w:szCs w:val="24"/>
        </w:rPr>
        <w:t> </w:t>
      </w:r>
      <w:r>
        <w:rPr>
          <w:rFonts w:ascii="Times New Roman" w:hAnsi="Times New Roman" w:cs="Times New Roman"/>
          <w:sz w:val="24"/>
          <w:szCs w:val="24"/>
        </w:rPr>
        <w:t>logistic models (</w:t>
      </w:r>
      <w:r>
        <w:rPr>
          <w:rFonts w:ascii="Times New Roman" w:hAnsi="Times New Roman" w:cs="Times New Roman"/>
          <w:color w:val="000000"/>
          <w:kern w:val="0"/>
          <w:sz w:val="24"/>
          <w:szCs w:val="24"/>
        </w:rPr>
        <w:t>single-pollutant</w:t>
      </w:r>
      <w:r>
        <w:rPr>
          <w:rFonts w:ascii="Times New Roman" w:hAnsi="Times New Roman" w:cs="Times New Roman"/>
          <w:sz w:val="24"/>
          <w:szCs w:val="24"/>
        </w:rPr>
        <w:t xml:space="preserve"> models</w:t>
      </w:r>
      <w:r>
        <w:rPr>
          <w:rFonts w:ascii="Times New Roman" w:hAnsi="Times New Roman" w:cs="Times New Roman"/>
          <w:color w:val="000000"/>
          <w:kern w:val="0"/>
          <w:sz w:val="24"/>
          <w:szCs w:val="24"/>
        </w:rPr>
        <w:t>)</w:t>
      </w:r>
      <w:r>
        <w:rPr>
          <w:rFonts w:ascii="Times New Roman" w:hAnsi="Times New Roman" w:cs="Times New Roman"/>
          <w:sz w:val="24"/>
          <w:szCs w:val="24"/>
        </w:rPr>
        <w:t xml:space="preserve"> or BKMR models (multi-pollutant models) were found. In addition, </w:t>
      </w:r>
      <w:r>
        <w:rPr>
          <w:rFonts w:ascii="Times New Roman" w:hAnsi="Times New Roman" w:cs="Times New Roman" w:hint="eastAsia"/>
          <w:sz w:val="24"/>
          <w:szCs w:val="24"/>
        </w:rPr>
        <w:t>maternal</w:t>
      </w:r>
      <w:r>
        <w:rPr>
          <w:rFonts w:ascii="Times New Roman" w:hAnsi="Times New Roman" w:cs="Times New Roman"/>
          <w:sz w:val="24"/>
          <w:szCs w:val="24"/>
        </w:rPr>
        <w:t xml:space="preserve"> consumptions of beans and bean products may be sources of OCPs exposure in umbilical cord.</w:t>
      </w:r>
    </w:p>
    <w:p>
      <w:pPr>
        <w:widowControl/>
        <w:autoSpaceDE w:val="0"/>
        <w:autoSpaceDN w:val="0"/>
        <w:adjustRightInd w:val="0"/>
        <w:spacing w:line="480" w:lineRule="auto"/>
        <w:rPr>
          <w:rFonts w:ascii="Times New Roman" w:hAnsi="Times New Roman" w:cs="Times New Roman"/>
          <w:kern w:val="0"/>
          <w:sz w:val="24"/>
          <w:szCs w:val="24"/>
        </w:rPr>
      </w:pPr>
      <w:r>
        <w:rPr>
          <w:rFonts w:ascii="Times New Roman" w:hAnsi="Times New Roman" w:cs="Times New Roman"/>
          <w:sz w:val="24"/>
          <w:szCs w:val="24"/>
        </w:rPr>
        <w:t>We compared the levels of OCPs</w:t>
      </w:r>
      <w:r>
        <w:rPr>
          <w:rFonts w:ascii="Times New Roman" w:hAnsi="Times New Roman" w:cs="Times New Roman" w:hint="eastAsia"/>
          <w:sz w:val="24"/>
          <w:szCs w:val="24"/>
        </w:rPr>
        <w:t xml:space="preserve"> in</w:t>
      </w:r>
      <w:r>
        <w:rPr>
          <w:rFonts w:ascii="Times New Roman" w:hAnsi="Times New Roman" w:cs="Times New Roman"/>
          <w:sz w:val="24"/>
          <w:szCs w:val="24"/>
        </w:rPr>
        <w:t xml:space="preserve"> umbilical cord</w:t>
      </w:r>
      <w:r>
        <w:rPr>
          <w:rFonts w:ascii="Times New Roman" w:hAnsi="Times New Roman" w:cs="Times New Roman" w:hint="eastAsia"/>
          <w:sz w:val="24"/>
          <w:szCs w:val="24"/>
        </w:rPr>
        <w:t xml:space="preserve"> </w:t>
      </w:r>
      <w:r>
        <w:rPr>
          <w:rFonts w:ascii="Times New Roman" w:hAnsi="Times New Roman" w:cs="Times New Roman"/>
          <w:sz w:val="24"/>
          <w:szCs w:val="24"/>
        </w:rPr>
        <w:t>with results from previous studies. Our median DDE level among controls (</w:t>
      </w:r>
      <w:r>
        <w:rPr>
          <w:rFonts w:ascii="Times New Roman" w:hAnsi="Times New Roman" w:cs="Times New Roman"/>
          <w:kern w:val="0"/>
          <w:sz w:val="24"/>
          <w:szCs w:val="24"/>
        </w:rPr>
        <w:t xml:space="preserve">0.10 ng/g </w:t>
      </w:r>
      <w:r>
        <w:rPr>
          <w:rFonts w:ascii="Times New Roman" w:eastAsia="SimSun" w:hAnsi="Times New Roman" w:cs="Times New Roman"/>
          <w:kern w:val="0"/>
          <w:sz w:val="24"/>
          <w:szCs w:val="24"/>
        </w:rPr>
        <w:t>dry weight</w:t>
      </w:r>
      <w:r>
        <w:rPr>
          <w:rFonts w:ascii="Times New Roman" w:hAnsi="Times New Roman" w:cs="Times New Roman"/>
          <w:sz w:val="24"/>
          <w:szCs w:val="24"/>
        </w:rPr>
        <w:t xml:space="preserve">) was lower than that reported in umbilical cord from the general population in Faroe Islands (1.19 ng/g </w:t>
      </w:r>
      <w:r>
        <w:rPr>
          <w:rFonts w:ascii="Times New Roman" w:eastAsia="SimSun" w:hAnsi="Times New Roman" w:cs="Times New Roman"/>
          <w:kern w:val="0"/>
          <w:sz w:val="24"/>
          <w:szCs w:val="24"/>
        </w:rPr>
        <w:t>dry weight</w:t>
      </w:r>
      <w:r>
        <w:rPr>
          <w:rFonts w:ascii="Times New Roman" w:hAnsi="Times New Roman" w:cs="Times New Roman"/>
          <w:sz w:val="24"/>
          <w:szCs w:val="24"/>
        </w:rPr>
        <w:t xml:space="preserve">) </w:t>
      </w:r>
      <w:r>
        <w:rPr>
          <w:rFonts w:ascii="Times New Roman" w:hAnsi="Times New Roman" w:cs="Times New Roman"/>
          <w:noProof/>
          <w:sz w:val="24"/>
          <w:szCs w:val="24"/>
        </w:rPr>
        <w:t>(Burse et al. 2000)</w:t>
      </w:r>
      <w:r>
        <w:rPr>
          <w:rFonts w:ascii="Times New Roman" w:hAnsi="Times New Roman" w:cs="Times New Roman"/>
          <w:sz w:val="24"/>
          <w:szCs w:val="24"/>
        </w:rPr>
        <w:t xml:space="preserve">. </w:t>
      </w:r>
      <w:proofErr w:type="spellStart"/>
      <w:r>
        <w:rPr>
          <w:rFonts w:ascii="Times New Roman" w:hAnsi="Times New Roman" w:cs="Times New Roman"/>
          <w:iCs/>
          <w:sz w:val="24"/>
          <w:szCs w:val="24"/>
        </w:rPr>
        <w:t>Fukata</w:t>
      </w:r>
      <w:proofErr w:type="spellEnd"/>
      <w:r>
        <w:rPr>
          <w:rFonts w:ascii="Times New Roman" w:hAnsi="Times New Roman" w:cs="Times New Roman"/>
          <w:iCs/>
          <w:sz w:val="24"/>
          <w:szCs w:val="24"/>
        </w:rPr>
        <w:t xml:space="preserve"> et al. </w:t>
      </w:r>
      <w:r>
        <w:rPr>
          <w:rFonts w:ascii="Times New Roman" w:hAnsi="Times New Roman" w:cs="Times New Roman"/>
          <w:noProof/>
          <w:sz w:val="24"/>
          <w:szCs w:val="24"/>
        </w:rPr>
        <w:t>(2005)</w:t>
      </w:r>
      <w:r>
        <w:rPr>
          <w:rFonts w:ascii="Times New Roman" w:hAnsi="Times New Roman" w:cs="Times New Roman"/>
          <w:sz w:val="24"/>
          <w:szCs w:val="24"/>
        </w:rPr>
        <w:t xml:space="preserve"> reported that based on the lipid weight, the median concentration of umbilical cord </w:t>
      </w:r>
      <w:r>
        <w:rPr>
          <w:rFonts w:ascii="Times New Roman" w:eastAsia="SimSun" w:hAnsi="Times New Roman" w:cs="Times New Roman"/>
          <w:kern w:val="0"/>
          <w:sz w:val="24"/>
          <w:szCs w:val="24"/>
        </w:rPr>
        <w:t>pp-DDT</w:t>
      </w:r>
      <w:r>
        <w:rPr>
          <w:rFonts w:ascii="Times New Roman" w:hAnsi="Times New Roman" w:cs="Times New Roman"/>
          <w:sz w:val="24"/>
          <w:szCs w:val="24"/>
        </w:rPr>
        <w:t xml:space="preserve"> was </w:t>
      </w:r>
      <w:r>
        <w:rPr>
          <w:rFonts w:ascii="Times New Roman" w:eastAsia="SimSun" w:hAnsi="Times New Roman" w:cs="Times New Roman"/>
          <w:kern w:val="0"/>
          <w:sz w:val="24"/>
          <w:szCs w:val="24"/>
        </w:rPr>
        <w:t>18 ng/g</w:t>
      </w:r>
      <w:r>
        <w:rPr>
          <w:rFonts w:ascii="Times New Roman" w:hAnsi="Times New Roman" w:cs="Times New Roman"/>
          <w:sz w:val="24"/>
          <w:szCs w:val="24"/>
        </w:rPr>
        <w:t xml:space="preserve">, while the </w:t>
      </w:r>
      <w:r>
        <w:rPr>
          <w:rFonts w:ascii="Times New Roman" w:eastAsia="SimSun" w:hAnsi="Times New Roman" w:cs="Times New Roman"/>
          <w:kern w:val="0"/>
          <w:sz w:val="24"/>
          <w:szCs w:val="24"/>
        </w:rPr>
        <w:t xml:space="preserve">HCB, op-DDT, pp-DDE, pp-DDD, ENS, HEC </w:t>
      </w:r>
      <w:r>
        <w:rPr>
          <w:rFonts w:ascii="Times New Roman" w:hAnsi="Times New Roman" w:cs="Times New Roman"/>
          <w:sz w:val="24"/>
          <w:szCs w:val="24"/>
        </w:rPr>
        <w:t>were not detected in Japan. In our study, the detection rate of pp-DDT in umbilical cord tissues was only 39%, and the median value of pp-DDT</w:t>
      </w:r>
      <w:r>
        <w:rPr>
          <w:rFonts w:ascii="Times New Roman" w:hAnsi="Times New Roman" w:cs="Times New Roman"/>
          <w:shd w:val="clear" w:color="auto" w:fill="F7F8FA"/>
        </w:rPr>
        <w:t xml:space="preserve"> </w:t>
      </w:r>
      <w:r>
        <w:rPr>
          <w:rFonts w:ascii="Times New Roman" w:hAnsi="Times New Roman" w:cs="Times New Roman"/>
          <w:sz w:val="24"/>
          <w:szCs w:val="24"/>
        </w:rPr>
        <w:t xml:space="preserve">level based on the lipid weight in controls was </w:t>
      </w:r>
      <w:r>
        <w:rPr>
          <w:rFonts w:ascii="Times New Roman" w:eastAsia="SimSun" w:hAnsi="Times New Roman" w:cs="Times New Roman"/>
          <w:kern w:val="0"/>
          <w:sz w:val="24"/>
          <w:szCs w:val="24"/>
        </w:rPr>
        <w:t>0.92 ng/g</w:t>
      </w:r>
      <w:r>
        <w:rPr>
          <w:rFonts w:ascii="Times New Roman" w:hAnsi="Times New Roman" w:cs="Times New Roman"/>
          <w:sz w:val="24"/>
          <w:szCs w:val="24"/>
        </w:rPr>
        <w:t xml:space="preserve">. The </w:t>
      </w:r>
      <w:r>
        <w:rPr>
          <w:rFonts w:ascii="Times New Roman" w:hAnsi="Times New Roman" w:cs="Times New Roman"/>
          <w:noProof/>
          <w:sz w:val="24"/>
          <w:szCs w:val="24"/>
        </w:rPr>
        <w:t>umbilical cords in these two studies</w:t>
      </w:r>
      <w:r>
        <w:rPr>
          <w:rFonts w:ascii="Times New Roman" w:hAnsi="Times New Roman" w:cs="Times New Roman"/>
          <w:sz w:val="24"/>
          <w:szCs w:val="24"/>
        </w:rPr>
        <w:t xml:space="preserve"> were collected in 1986-1987 (Burse et al., 2000) and 2002-2003 (</w:t>
      </w:r>
      <w:proofErr w:type="spellStart"/>
      <w:r>
        <w:rPr>
          <w:rFonts w:ascii="Times New Roman" w:hAnsi="Times New Roman" w:cs="Times New Roman"/>
          <w:noProof/>
          <w:sz w:val="24"/>
          <w:szCs w:val="24"/>
        </w:rPr>
        <w:t>Fukata</w:t>
      </w:r>
      <w:proofErr w:type="spellEnd"/>
      <w:r>
        <w:rPr>
          <w:rFonts w:ascii="Times New Roman" w:hAnsi="Times New Roman" w:cs="Times New Roman"/>
          <w:noProof/>
          <w:sz w:val="24"/>
          <w:szCs w:val="24"/>
        </w:rPr>
        <w:t xml:space="preserve"> et al., 2005), respectively. In our study, most of umbilical cords (over 86.8%)</w:t>
      </w:r>
      <w:r>
        <w:rPr>
          <w:rFonts w:ascii="Times New Roman" w:hAnsi="Times New Roman" w:cs="Times New Roman"/>
          <w:sz w:val="24"/>
          <w:szCs w:val="24"/>
        </w:rPr>
        <w:t xml:space="preserve"> were collected in 2010-2016. As the use of OCPs was banned worldwide since 1970s, the people exposed to OCP decreased over time.</w:t>
      </w:r>
      <w:r>
        <w:t xml:space="preserve"> </w:t>
      </w:r>
      <w:r>
        <w:rPr>
          <w:rFonts w:ascii="Times New Roman" w:hAnsi="Times New Roman" w:cs="Times New Roman"/>
          <w:sz w:val="24"/>
          <w:szCs w:val="24"/>
        </w:rPr>
        <w:t xml:space="preserve">Although OCP is a persistent organic pollutant, the residual amount of OCP in the environment gradually decreases over time, which also results in the decrease of population's exposure to OCP. Therefore, </w:t>
      </w:r>
      <w:r>
        <w:rPr>
          <w:rFonts w:ascii="Times New Roman" w:hAnsi="Times New Roman" w:cs="Times New Roman"/>
          <w:sz w:val="24"/>
          <w:szCs w:val="24"/>
        </w:rPr>
        <w:lastRenderedPageBreak/>
        <w:t>this may explain why the OCP level in this study is lower than that in the previous two studies.</w:t>
      </w:r>
    </w:p>
    <w:p>
      <w:pPr>
        <w:pStyle w:val="paragraph"/>
        <w:spacing w:before="0" w:beforeAutospacing="0" w:after="0" w:afterAutospacing="0" w:line="480" w:lineRule="auto"/>
        <w:jc w:val="both"/>
        <w:textAlignment w:val="baseline"/>
        <w:rPr>
          <w:rFonts w:eastAsia="SimSun"/>
          <w:color w:val="C00000"/>
        </w:rPr>
      </w:pPr>
      <w:r>
        <w:t>In our study, neither the applied multivariate logistic models nor BKMR models produced statistically significant associations between</w:t>
      </w:r>
      <w:r>
        <w:rPr>
          <w:i/>
        </w:rPr>
        <w:t xml:space="preserve"> in utero</w:t>
      </w:r>
      <w:r>
        <w:t xml:space="preserve"> exposure to single OCP or OCP mixtures and risk for OFCs. To our knowledge, this study is the first to report the association between</w:t>
      </w:r>
      <w:r>
        <w:rPr>
          <w:i/>
          <w:iCs/>
        </w:rPr>
        <w:t xml:space="preserve"> in utero</w:t>
      </w:r>
      <w:r>
        <w:t xml:space="preserve"> exposure to OCPs and risk for OFCs. A previous</w:t>
      </w:r>
      <w:r>
        <w:rPr>
          <w:color w:val="000000"/>
          <w:shd w:val="clear" w:color="auto" w:fill="FFFFFF"/>
        </w:rPr>
        <w:t xml:space="preserve"> case-control study</w:t>
      </w:r>
      <w:r>
        <w:t xml:space="preserve"> reported that </w:t>
      </w:r>
      <w:r>
        <w:rPr>
          <w:rStyle w:val="normaltextrun"/>
          <w:color w:val="000000"/>
          <w:bdr w:val="none" w:sz="0" w:space="0" w:color="auto" w:frame="1"/>
        </w:rPr>
        <w:t xml:space="preserve">no association of </w:t>
      </w:r>
      <w:r>
        <w:rPr>
          <w:rFonts w:hint="eastAsia"/>
        </w:rPr>
        <w:t>p</w:t>
      </w:r>
      <w:r>
        <w:t xml:space="preserve">aternal/maternal occupational exposure to pesticides with OFCs risk </w:t>
      </w:r>
      <w:r>
        <w:rPr>
          <w:noProof/>
        </w:rPr>
        <w:t>(Shaw et al. 1999)</w:t>
      </w:r>
      <w:r>
        <w:t>. A case-control study</w:t>
      </w:r>
      <w:r>
        <w:rPr>
          <w:i/>
        </w:rPr>
        <w:t xml:space="preserve"> </w:t>
      </w:r>
      <w:r>
        <w:t xml:space="preserve">based on questionnaires found that </w:t>
      </w:r>
      <w:r>
        <w:rPr>
          <w:rStyle w:val="normaltextrun"/>
        </w:rPr>
        <w:t>maternal pesticide exposure in early pregnancy was</w:t>
      </w:r>
      <w:r>
        <w:rPr>
          <w:rStyle w:val="eop"/>
          <w:rFonts w:eastAsiaTheme="minorEastAsia" w:hint="eastAsia"/>
        </w:rPr>
        <w:t xml:space="preserve"> </w:t>
      </w:r>
      <w:r>
        <w:rPr>
          <w:rStyle w:val="normaltextrun"/>
        </w:rPr>
        <w:t>significantly associated with an increased risk of non-syndromic cleft of the lip and/or palate in China (</w:t>
      </w:r>
      <w:r>
        <w:rPr>
          <w:rFonts w:eastAsia="SimSun"/>
          <w:color w:val="000000"/>
        </w:rPr>
        <w:t xml:space="preserve">OR = 8.90, 95% CI: 1.81-43.59) </w:t>
      </w:r>
      <w:r>
        <w:rPr>
          <w:noProof/>
        </w:rPr>
        <w:t>(Xu et al. 2015)</w:t>
      </w:r>
      <w:r>
        <w:t xml:space="preserve">. </w:t>
      </w:r>
      <w:bookmarkStart w:id="47" w:name="_Hlk56727212"/>
      <w:r>
        <w:t>A case-malformed control study found that oral clefts had significantly increased ORs of maternal occupational exposure to pesticides (</w:t>
      </w:r>
      <w:proofErr w:type="spellStart"/>
      <w:r>
        <w:t>aOR</w:t>
      </w:r>
      <w:proofErr w:type="spellEnd"/>
      <w:r>
        <w:t xml:space="preserve"> = 1.7, 95% CI: 1.0–3.1) when using </w:t>
      </w:r>
      <w:proofErr w:type="spellStart"/>
      <w:r>
        <w:t>nonchromosomal</w:t>
      </w:r>
      <w:proofErr w:type="spellEnd"/>
      <w:r>
        <w:t xml:space="preserve"> control</w:t>
      </w:r>
      <w:bookmarkStart w:id="48" w:name="_Hlk56727322"/>
      <w:r>
        <w:t>s</w:t>
      </w:r>
      <w:bookmarkEnd w:id="48"/>
      <w:r>
        <w:t xml:space="preserve"> </w:t>
      </w:r>
      <w:r>
        <w:rPr>
          <w:noProof/>
        </w:rPr>
        <w:t>(Spinder et al. 2017)</w:t>
      </w:r>
      <w:r>
        <w:t>.</w:t>
      </w:r>
      <w:bookmarkEnd w:id="47"/>
      <w:r>
        <w:t xml:space="preserve"> A meta-analysis suggested that maternal exposure to pesticides is associated with a modest but marginally significant risk of OFCs </w:t>
      </w:r>
      <w:r>
        <w:rPr>
          <w:noProof/>
        </w:rPr>
        <w:t>(Romitti et al. 2007)</w:t>
      </w:r>
      <w:r>
        <w:rPr>
          <w:rFonts w:eastAsia="SimSun"/>
        </w:rPr>
        <w:t xml:space="preserve">. </w:t>
      </w:r>
      <w:r>
        <w:rPr>
          <w:color w:val="000000" w:themeColor="text1"/>
        </w:rPr>
        <w:t xml:space="preserve">Another, more recent, meta-analysis which limited to studies using expert assessment of occupational exposure, could not calculate a pooled estimate for pesticide exposure and OFC risk, because of heterogeneity between published studies </w:t>
      </w:r>
      <w:r>
        <w:rPr>
          <w:noProof/>
          <w:color w:val="000000" w:themeColor="text1"/>
        </w:rPr>
        <w:t>(Spinder et al. 2019)</w:t>
      </w:r>
      <w:r>
        <w:rPr>
          <w:color w:val="000000" w:themeColor="text1"/>
        </w:rPr>
        <w:t>.</w:t>
      </w:r>
      <w:r>
        <w:rPr>
          <w:color w:val="00B0F0"/>
        </w:rPr>
        <w:t xml:space="preserve"> </w:t>
      </w:r>
      <w:bookmarkStart w:id="49" w:name="_Hlk55947779"/>
      <w:r>
        <w:rPr>
          <w:rFonts w:eastAsia="SimSun"/>
        </w:rPr>
        <w:t>However, none of the</w:t>
      </w:r>
      <w:r>
        <w:rPr>
          <w:rFonts w:eastAsia="SimSun" w:hint="eastAsia"/>
        </w:rPr>
        <w:t xml:space="preserve">se </w:t>
      </w:r>
      <w:r>
        <w:rPr>
          <w:rFonts w:eastAsia="SimSun"/>
        </w:rPr>
        <w:t xml:space="preserve">previous studies did separate out which pesticide exposures (such as OCPs, organophosphorus pesticides, carbamate, pyrethroids, etc.) or the subtypes of OFCs. </w:t>
      </w:r>
      <w:bookmarkStart w:id="50" w:name="_Hlk56443985"/>
      <w:r>
        <w:rPr>
          <w:rFonts w:eastAsia="SimSun"/>
        </w:rPr>
        <w:t xml:space="preserve">There may be significant differences in the toxicity and metabolism of different pesticides and </w:t>
      </w:r>
      <w:r>
        <w:rPr>
          <w:rFonts w:eastAsia="SimSun" w:hint="eastAsia"/>
        </w:rPr>
        <w:t xml:space="preserve">in </w:t>
      </w:r>
      <w:r>
        <w:rPr>
          <w:rFonts w:eastAsia="SimSun"/>
        </w:rPr>
        <w:t xml:space="preserve">the etiology </w:t>
      </w:r>
      <w:r>
        <w:rPr>
          <w:rFonts w:eastAsia="SimSun"/>
        </w:rPr>
        <w:lastRenderedPageBreak/>
        <w:t xml:space="preserve">and pathogenesis </w:t>
      </w:r>
      <w:r>
        <w:t>between cleft lip with or without cleft palate and cleft palate</w:t>
      </w:r>
      <w:r>
        <w:rPr>
          <w:rFonts w:eastAsia="SimSun"/>
        </w:rPr>
        <w:t>.</w:t>
      </w:r>
      <w:bookmarkEnd w:id="49"/>
      <w:r>
        <w:rPr>
          <w:rFonts w:eastAsia="SimSun"/>
        </w:rPr>
        <w:t xml:space="preserve"> </w:t>
      </w:r>
      <w:bookmarkEnd w:id="50"/>
      <w:r>
        <w:rPr>
          <w:rFonts w:eastAsia="SimSun"/>
        </w:rPr>
        <w:t xml:space="preserve">In addition, </w:t>
      </w:r>
      <w:r>
        <w:rPr>
          <w:rFonts w:eastAsia="SimSun" w:hint="eastAsia"/>
        </w:rPr>
        <w:t xml:space="preserve">these </w:t>
      </w:r>
      <w:r>
        <w:rPr>
          <w:rFonts w:eastAsia="SimSun"/>
        </w:rPr>
        <w:t xml:space="preserve">previous studies were based on the external </w:t>
      </w:r>
      <w:r>
        <w:t>exposure</w:t>
      </w:r>
      <w:r>
        <w:rPr>
          <w:rFonts w:eastAsia="SimSun"/>
        </w:rPr>
        <w:t xml:space="preserve">, which </w:t>
      </w:r>
      <w:r>
        <w:t>may introduce recall bias</w:t>
      </w:r>
      <w:r>
        <w:rPr>
          <w:rFonts w:eastAsia="SimSun"/>
        </w:rPr>
        <w:t xml:space="preserve"> and reporting bias on exposure to OCPs. Furthermore, because the fetus lives in the intrauterine and is not directly exposed to the external environment, the assessment of external environmental exposure to the pregnant woman cannot accurately reflect the fetal OCPs exposure. </w:t>
      </w:r>
      <w:r>
        <w:t>Inaccurate assessment of exposure level may seriously interfere with the true association between OCPs exposure and OFCs risk</w:t>
      </w:r>
      <w:r>
        <w:rPr>
          <w:rFonts w:eastAsia="SimSun"/>
        </w:rPr>
        <w:t>. In this study, a</w:t>
      </w:r>
      <w:r>
        <w:rPr>
          <w:rFonts w:eastAsia="SimSun" w:hint="eastAsia"/>
        </w:rPr>
        <w:t>n</w:t>
      </w:r>
      <w:r>
        <w:rPr>
          <w:rFonts w:eastAsia="SimSun"/>
        </w:rPr>
        <w:t xml:space="preserve"> </w:t>
      </w:r>
      <w:bookmarkStart w:id="51" w:name="_Hlk32688501"/>
      <w:r>
        <w:rPr>
          <w:rFonts w:eastAsia="SimSun"/>
        </w:rPr>
        <w:t xml:space="preserve">internal exposure assessment </w:t>
      </w:r>
      <w:r>
        <w:rPr>
          <w:rFonts w:eastAsia="SimSun" w:hint="eastAsia"/>
        </w:rPr>
        <w:t>with</w:t>
      </w:r>
      <w:r>
        <w:rPr>
          <w:rFonts w:eastAsia="SimSun"/>
        </w:rPr>
        <w:t xml:space="preserve"> detect</w:t>
      </w:r>
      <w:r>
        <w:rPr>
          <w:rFonts w:eastAsia="SimSun" w:hint="eastAsia"/>
        </w:rPr>
        <w:t>ing</w:t>
      </w:r>
      <w:r>
        <w:rPr>
          <w:rFonts w:eastAsia="SimSun"/>
        </w:rPr>
        <w:t xml:space="preserve"> the OCPs level in umbilical cord tissues was </w:t>
      </w:r>
      <w:r>
        <w:rPr>
          <w:rFonts w:eastAsia="SimSun" w:hint="eastAsia"/>
        </w:rPr>
        <w:t>performe</w:t>
      </w:r>
      <w:r>
        <w:rPr>
          <w:rFonts w:eastAsia="SimSun"/>
        </w:rPr>
        <w:t>d</w:t>
      </w:r>
      <w:bookmarkEnd w:id="51"/>
      <w:r>
        <w:rPr>
          <w:rFonts w:eastAsia="SimSun"/>
        </w:rPr>
        <w:t xml:space="preserve">, and no association between OCPs intrauterine exposure and the risk of OFCs was found. Our study may provide a new clue </w:t>
      </w:r>
      <w:r>
        <w:t>to illustrate the developmental toxicity of OCPs.</w:t>
      </w:r>
    </w:p>
    <w:p>
      <w:pPr>
        <w:widowControl/>
        <w:autoSpaceDE w:val="0"/>
        <w:autoSpaceDN w:val="0"/>
        <w:adjustRightInd w:val="0"/>
        <w:spacing w:line="480" w:lineRule="auto"/>
        <w:rPr>
          <w:rFonts w:ascii="Times New Roman" w:hAnsi="Times New Roman" w:cs="Times New Roman"/>
          <w:kern w:val="0"/>
          <w:sz w:val="24"/>
          <w:szCs w:val="24"/>
        </w:rPr>
      </w:pPr>
      <w:r>
        <w:rPr>
          <w:rFonts w:ascii="Times New Roman" w:hAnsi="Times New Roman" w:cs="Times New Roman"/>
          <w:kern w:val="0"/>
          <w:sz w:val="24"/>
          <w:szCs w:val="24"/>
        </w:rPr>
        <w:t xml:space="preserve">The evidence showed that the ingesting contaminated food is considered as the main source of human exposure to pesticides </w:t>
      </w:r>
      <w:r>
        <w:rPr>
          <w:rFonts w:ascii="Times New Roman" w:hAnsi="Times New Roman" w:cs="Times New Roman"/>
          <w:noProof/>
          <w:kern w:val="0"/>
          <w:sz w:val="24"/>
          <w:szCs w:val="24"/>
        </w:rPr>
        <w:t>(Pirsaheb et al. 2015)</w:t>
      </w:r>
      <w:r>
        <w:rPr>
          <w:rFonts w:ascii="Times New Roman" w:hAnsi="Times New Roman" w:cs="Times New Roman"/>
          <w:kern w:val="0"/>
          <w:sz w:val="24"/>
          <w:szCs w:val="24"/>
        </w:rPr>
        <w:t xml:space="preserve">. </w:t>
      </w:r>
      <w:r>
        <w:rPr>
          <w:rFonts w:ascii="Times New Roman" w:hAnsi="Times New Roman" w:cs="Times New Roman"/>
          <w:sz w:val="24"/>
          <w:szCs w:val="24"/>
        </w:rPr>
        <w:t xml:space="preserve">In this study, our results </w:t>
      </w:r>
      <w:r>
        <w:rPr>
          <w:rFonts w:ascii="Times New Roman" w:eastAsia="TimesNewRomanPSMT" w:hAnsi="Times New Roman" w:cs="Times New Roman"/>
          <w:sz w:val="24"/>
          <w:szCs w:val="24"/>
        </w:rPr>
        <w:t xml:space="preserve">indicated that </w:t>
      </w:r>
      <w:r>
        <w:rPr>
          <w:rFonts w:ascii="Times New Roman" w:hAnsi="Times New Roman" w:cs="Times New Roman"/>
          <w:sz w:val="24"/>
          <w:szCs w:val="24"/>
        </w:rPr>
        <w:t>maternal</w:t>
      </w:r>
      <w:r>
        <w:rPr>
          <w:rFonts w:ascii="Times New Roman" w:eastAsia="TimesNewRomanPSMT" w:hAnsi="Times New Roman" w:cs="Times New Roman"/>
          <w:sz w:val="24"/>
          <w:szCs w:val="24"/>
        </w:rPr>
        <w:t xml:space="preserve"> </w:t>
      </w:r>
      <w:r>
        <w:rPr>
          <w:rFonts w:ascii="Times New Roman" w:hAnsi="Times New Roman" w:cs="Times New Roman"/>
          <w:sz w:val="24"/>
          <w:szCs w:val="24"/>
        </w:rPr>
        <w:t>dietary intake beans and bean products</w:t>
      </w:r>
      <w:r>
        <w:rPr>
          <w:rFonts w:ascii="Times New Roman" w:eastAsia="TimesNewRomanPSMT" w:hAnsi="Times New Roman" w:cs="Times New Roman"/>
          <w:sz w:val="24"/>
          <w:szCs w:val="24"/>
        </w:rPr>
        <w:t xml:space="preserve"> may be a source of </w:t>
      </w:r>
      <w:r>
        <w:rPr>
          <w:rFonts w:ascii="Times New Roman" w:hAnsi="Times New Roman" w:cs="Times New Roman"/>
          <w:i/>
          <w:sz w:val="24"/>
          <w:szCs w:val="24"/>
        </w:rPr>
        <w:t xml:space="preserve">in utero </w:t>
      </w:r>
      <w:r>
        <w:rPr>
          <w:rFonts w:ascii="Times New Roman" w:hAnsi="Times New Roman" w:cs="Times New Roman"/>
          <w:sz w:val="24"/>
          <w:szCs w:val="24"/>
        </w:rPr>
        <w:t>exposure to OCPs</w:t>
      </w:r>
      <w:r>
        <w:rPr>
          <w:rFonts w:ascii="Times New Roman" w:eastAsia="TimesNewRomanPSMT" w:hAnsi="Times New Roman" w:cs="Times New Roman"/>
          <w:sz w:val="24"/>
          <w:szCs w:val="24"/>
        </w:rPr>
        <w:t>. A previous</w:t>
      </w:r>
      <w:r>
        <w:rPr>
          <w:rStyle w:val="Heading2Char"/>
          <w:rFonts w:eastAsiaTheme="minorEastAsia" w:cs="Times New Roman"/>
          <w:szCs w:val="24"/>
        </w:rPr>
        <w:t xml:space="preserve"> </w:t>
      </w:r>
      <w:r>
        <w:rPr>
          <w:rStyle w:val="normaltextrun"/>
          <w:rFonts w:ascii="Times New Roman" w:hAnsi="Times New Roman" w:cs="Times New Roman"/>
          <w:sz w:val="24"/>
          <w:szCs w:val="24"/>
        </w:rPr>
        <w:t xml:space="preserve">study reported that the level of </w:t>
      </w:r>
      <w:proofErr w:type="spellStart"/>
      <w:r>
        <w:rPr>
          <w:rStyle w:val="normaltextrun"/>
          <w:rFonts w:ascii="Times New Roman" w:hAnsi="Times New Roman" w:cs="Times New Roman"/>
          <w:sz w:val="24"/>
          <w:szCs w:val="24"/>
        </w:rPr>
        <w:t>p</w:t>
      </w:r>
      <w:proofErr w:type="gramStart"/>
      <w:r>
        <w:rPr>
          <w:rStyle w:val="normaltextrun"/>
          <w:rFonts w:ascii="Times New Roman" w:hAnsi="Times New Roman" w:cs="Times New Roman"/>
          <w:sz w:val="24"/>
          <w:szCs w:val="24"/>
        </w:rPr>
        <w:t>,p</w:t>
      </w:r>
      <w:proofErr w:type="spellEnd"/>
      <w:r>
        <w:rPr>
          <w:rStyle w:val="normaltextrun"/>
          <w:rFonts w:ascii="Times New Roman" w:hAnsi="Times New Roman" w:cs="Times New Roman"/>
          <w:sz w:val="24"/>
          <w:szCs w:val="24"/>
        </w:rPr>
        <w:t>’</w:t>
      </w:r>
      <w:proofErr w:type="gramEnd"/>
      <w:r>
        <w:rPr>
          <w:rStyle w:val="normaltextrun"/>
          <w:rFonts w:ascii="Times New Roman" w:hAnsi="Times New Roman" w:cs="Times New Roman"/>
          <w:sz w:val="24"/>
          <w:szCs w:val="24"/>
        </w:rPr>
        <w:t xml:space="preserve">-DDT was statistically significant correlated with </w:t>
      </w:r>
      <w:bookmarkStart w:id="52" w:name="OLE_LINK57"/>
      <w:r>
        <w:rPr>
          <w:rStyle w:val="normaltextrun"/>
          <w:rFonts w:ascii="Times New Roman" w:hAnsi="Times New Roman" w:cs="Times New Roman"/>
          <w:sz w:val="24"/>
          <w:szCs w:val="24"/>
        </w:rPr>
        <w:t xml:space="preserve">bean </w:t>
      </w:r>
      <w:bookmarkEnd w:id="52"/>
      <w:r>
        <w:rPr>
          <w:rStyle w:val="normaltextrun"/>
          <w:rFonts w:ascii="Times New Roman" w:hAnsi="Times New Roman" w:cs="Times New Roman"/>
          <w:sz w:val="24"/>
          <w:szCs w:val="24"/>
        </w:rPr>
        <w:t>products (r =0.131) from</w:t>
      </w:r>
      <w:r>
        <w:rPr>
          <w:rStyle w:val="eop"/>
          <w:rFonts w:ascii="Times New Roman" w:hAnsi="Times New Roman" w:cs="Times New Roman"/>
          <w:sz w:val="24"/>
          <w:szCs w:val="24"/>
        </w:rPr>
        <w:t> </w:t>
      </w:r>
      <w:r>
        <w:rPr>
          <w:rStyle w:val="normaltextrun"/>
          <w:rFonts w:ascii="Times New Roman" w:hAnsi="Times New Roman" w:cs="Times New Roman"/>
          <w:sz w:val="24"/>
          <w:szCs w:val="24"/>
        </w:rPr>
        <w:t>999 pregnant women in the </w:t>
      </w:r>
      <w:proofErr w:type="spellStart"/>
      <w:r>
        <w:rPr>
          <w:rStyle w:val="spellingerror"/>
          <w:rFonts w:ascii="Times New Roman" w:hAnsi="Times New Roman" w:cs="Times New Roman"/>
          <w:sz w:val="24"/>
          <w:szCs w:val="24"/>
        </w:rPr>
        <w:t>Huaihe</w:t>
      </w:r>
      <w:proofErr w:type="spellEnd"/>
      <w:r>
        <w:rPr>
          <w:rStyle w:val="normaltextrun"/>
          <w:rFonts w:ascii="Times New Roman" w:hAnsi="Times New Roman" w:cs="Times New Roman"/>
          <w:sz w:val="24"/>
          <w:szCs w:val="24"/>
        </w:rPr>
        <w:t xml:space="preserve"> River Basin of China </w:t>
      </w:r>
      <w:r>
        <w:rPr>
          <w:rStyle w:val="normaltextrun"/>
          <w:rFonts w:ascii="Times New Roman" w:hAnsi="Times New Roman" w:cs="Times New Roman"/>
          <w:noProof/>
          <w:sz w:val="24"/>
          <w:szCs w:val="24"/>
        </w:rPr>
        <w:t>(Luo et al. 2016)</w:t>
      </w:r>
      <w:r>
        <w:rPr>
          <w:rStyle w:val="normaltextrun"/>
          <w:rFonts w:ascii="Times New Roman" w:hAnsi="Times New Roman" w:cs="Times New Roman"/>
          <w:sz w:val="24"/>
          <w:szCs w:val="24"/>
        </w:rPr>
        <w:t xml:space="preserve">. </w:t>
      </w:r>
      <w:r>
        <w:rPr>
          <w:rFonts w:ascii="Times New Roman" w:hAnsi="Times New Roman" w:cs="Times New Roman"/>
          <w:sz w:val="24"/>
          <w:szCs w:val="24"/>
        </w:rPr>
        <w:t xml:space="preserve">Some studies have found that there were a variety of OCPs residues in </w:t>
      </w:r>
      <w:r>
        <w:rPr>
          <w:rStyle w:val="normaltextrun"/>
          <w:rFonts w:ascii="Times New Roman" w:hAnsi="Times New Roman" w:cs="Times New Roman"/>
          <w:sz w:val="24"/>
          <w:szCs w:val="24"/>
        </w:rPr>
        <w:t xml:space="preserve">beans </w:t>
      </w:r>
      <w:r>
        <w:rPr>
          <w:rFonts w:ascii="Times New Roman" w:eastAsia="SimSun" w:hAnsi="Times New Roman" w:cs="Times New Roman"/>
          <w:noProof/>
          <w:sz w:val="24"/>
          <w:szCs w:val="24"/>
        </w:rPr>
        <w:t>(Latif et al. 2011; Oyeyiola et al. 2017)</w:t>
      </w:r>
      <w:r>
        <w:rPr>
          <w:rFonts w:ascii="Times New Roman" w:eastAsia="SimSun" w:hAnsi="Times New Roman" w:cs="Times New Roman"/>
          <w:sz w:val="24"/>
          <w:szCs w:val="24"/>
        </w:rPr>
        <w:t>.</w:t>
      </w:r>
      <w:r>
        <w:rPr>
          <w:rFonts w:ascii="Times New Roman" w:hAnsi="Times New Roman" w:cs="Times New Roman"/>
          <w:sz w:val="24"/>
          <w:szCs w:val="24"/>
        </w:rPr>
        <w:t xml:space="preserve"> Although the use of OCPs has been banned in China, plants can still absorb OCPs from the soil due to their history of large-scale use and persistence in the environment, resulting in OCPs accumulation and potential harm to human health.</w:t>
      </w:r>
    </w:p>
    <w:p>
      <w:pPr>
        <w:spacing w:line="480" w:lineRule="auto"/>
        <w:rPr>
          <w:rFonts w:ascii="Times New Roman" w:hAnsi="Times New Roman" w:cs="Times New Roman"/>
          <w:kern w:val="0"/>
          <w:sz w:val="24"/>
          <w:szCs w:val="24"/>
        </w:rPr>
      </w:pPr>
      <w:r>
        <w:rPr>
          <w:rStyle w:val="normaltextrun"/>
          <w:rFonts w:ascii="Times New Roman" w:hAnsi="Times New Roman" w:cs="Times New Roman"/>
          <w:color w:val="000000"/>
          <w:sz w:val="24"/>
          <w:szCs w:val="24"/>
          <w:shd w:val="clear" w:color="auto" w:fill="FFFFFF"/>
        </w:rPr>
        <w:t>Our study had two strengths.</w:t>
      </w:r>
      <w:r>
        <w:rPr>
          <w:rFonts w:ascii="Times New Roman" w:hAnsi="Times New Roman" w:cs="Times New Roman"/>
          <w:kern w:val="0"/>
          <w:sz w:val="24"/>
          <w:szCs w:val="24"/>
        </w:rPr>
        <w:t xml:space="preserve"> Firstly, umbilical cord is a part of the fetal tissue derived </w:t>
      </w:r>
      <w:r>
        <w:rPr>
          <w:rFonts w:ascii="Times New Roman" w:hAnsi="Times New Roman" w:cs="Times New Roman"/>
          <w:kern w:val="0"/>
          <w:sz w:val="24"/>
          <w:szCs w:val="24"/>
        </w:rPr>
        <w:lastRenderedPageBreak/>
        <w:t xml:space="preserve">from the yolk sac and the </w:t>
      </w:r>
      <w:r>
        <w:rPr>
          <w:rFonts w:ascii="Times New Roman" w:hAnsi="Times New Roman" w:cs="Times New Roman"/>
          <w:sz w:val="24"/>
          <w:szCs w:val="24"/>
        </w:rPr>
        <w:t xml:space="preserve">urine </w:t>
      </w:r>
      <w:r>
        <w:rPr>
          <w:rFonts w:ascii="Times New Roman" w:hAnsi="Times New Roman" w:cs="Times New Roman"/>
          <w:kern w:val="0"/>
          <w:sz w:val="24"/>
          <w:szCs w:val="24"/>
        </w:rPr>
        <w:t>sac. The levels of OCPs in umbilical cord tissues can more accurately reflect fetal exposure.</w:t>
      </w: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Secondly, in this study, in addition to analyzing the individual effects of each OCPs exposure on the risk of OFCs, BKMR model was used to evaluate the combined effects of OCPs mixtures on the risk of OFCs. The BKMR model can flexibly estimate the combined effects of multiple highly correlated OCPs exposures on OFCs. It is also possible to evaluate the exposure-response function and complex interactions by controlling other OCPs at specific levels. These are things that traditional regression models cannot analyze.</w:t>
      </w:r>
    </w:p>
    <w:p>
      <w:pPr>
        <w:spacing w:line="480" w:lineRule="auto"/>
        <w:rPr>
          <w:rFonts w:ascii="Times New Roman" w:hAnsi="Times New Roman" w:cs="Times New Roman"/>
          <w:color w:val="00B0F0"/>
          <w:sz w:val="24"/>
          <w:szCs w:val="24"/>
        </w:rPr>
      </w:pPr>
      <w:r>
        <w:rPr>
          <w:rStyle w:val="normaltextrun"/>
          <w:rFonts w:ascii="Times New Roman" w:hAnsi="Times New Roman" w:cs="Times New Roman"/>
          <w:sz w:val="24"/>
          <w:szCs w:val="24"/>
          <w:shd w:val="clear" w:color="auto" w:fill="FFFFFF"/>
        </w:rPr>
        <w:t>Our study is not without limitations.</w:t>
      </w:r>
      <w:r>
        <w:rPr>
          <w:rFonts w:ascii="Times New Roman" w:eastAsia="SimSun" w:hAnsi="Times New Roman" w:cs="Times New Roman"/>
          <w:sz w:val="24"/>
          <w:szCs w:val="24"/>
        </w:rPr>
        <w:t xml:space="preserve"> A study limitation is </w:t>
      </w:r>
      <w:r>
        <w:rPr>
          <w:rFonts w:ascii="Times New Roman" w:hAnsi="Times New Roman" w:cs="Times New Roman"/>
          <w:sz w:val="24"/>
          <w:szCs w:val="24"/>
        </w:rPr>
        <w:t>the window period of exposure:</w:t>
      </w:r>
      <w:r>
        <w:rPr>
          <w:rStyle w:val="apple-converted-space"/>
          <w:rFonts w:ascii="Times New Roman" w:hAnsi="Times New Roman" w:cs="Times New Roman"/>
          <w:sz w:val="24"/>
          <w:szCs w:val="24"/>
        </w:rPr>
        <w:t> </w:t>
      </w:r>
      <w:r>
        <w:rPr>
          <w:rFonts w:ascii="Times New Roman" w:eastAsia="SimSun" w:hAnsi="Times New Roman" w:cs="Times New Roman"/>
          <w:sz w:val="24"/>
          <w:szCs w:val="24"/>
        </w:rPr>
        <w:t>the umbilical cord tissues w</w:t>
      </w:r>
      <w:r>
        <w:rPr>
          <w:rFonts w:ascii="Times New Roman" w:eastAsia="SimSun" w:hAnsi="Times New Roman" w:cs="Times New Roman" w:hint="eastAsia"/>
          <w:sz w:val="24"/>
          <w:szCs w:val="24"/>
        </w:rPr>
        <w:t>ere</w:t>
      </w:r>
      <w:r>
        <w:rPr>
          <w:rFonts w:ascii="Times New Roman" w:eastAsia="SimSun" w:hAnsi="Times New Roman" w:cs="Times New Roman"/>
          <w:sz w:val="24"/>
          <w:szCs w:val="24"/>
        </w:rPr>
        <w:t xml:space="preserve"> collected from subjects after delivery,</w:t>
      </w:r>
      <w:r>
        <w:rPr>
          <w:rFonts w:ascii="Times New Roman" w:hAnsi="Times New Roman" w:cs="Times New Roman"/>
          <w:kern w:val="0"/>
          <w:sz w:val="24"/>
          <w:szCs w:val="24"/>
        </w:rPr>
        <w:t xml:space="preserve"> the key window of lip and palate development is in 4</w:t>
      </w:r>
      <w:r>
        <w:rPr>
          <w:rFonts w:ascii="Times New Roman" w:eastAsia="Microsoft YaHei" w:hAnsi="Times New Roman" w:cs="Times New Roman"/>
          <w:kern w:val="0"/>
          <w:sz w:val="24"/>
          <w:szCs w:val="24"/>
        </w:rPr>
        <w:t>−</w:t>
      </w:r>
      <w:r>
        <w:rPr>
          <w:rFonts w:ascii="Times New Roman" w:hAnsi="Times New Roman" w:cs="Times New Roman"/>
          <w:kern w:val="0"/>
          <w:sz w:val="24"/>
          <w:szCs w:val="24"/>
        </w:rPr>
        <w:t>12 weeks of gestation.</w:t>
      </w:r>
      <w:r>
        <w:rPr>
          <w:rFonts w:ascii="Times New Roman" w:hAnsi="Times New Roman" w:cs="Times New Roman"/>
          <w:sz w:val="24"/>
          <w:szCs w:val="24"/>
        </w:rPr>
        <w:t xml:space="preserve"> </w:t>
      </w:r>
      <w:r>
        <w:rPr>
          <w:rStyle w:val="tgt"/>
          <w:rFonts w:ascii="Times New Roman" w:hAnsi="Times New Roman" w:cs="Times New Roman"/>
          <w:sz w:val="24"/>
          <w:szCs w:val="24"/>
        </w:rPr>
        <w:t>However, for intrauterine exposure studies, this is a difficult problem to solve. Our</w:t>
      </w:r>
      <w:r>
        <w:rPr>
          <w:rStyle w:val="tgt"/>
          <w:rFonts w:ascii="Times New Roman" w:hAnsi="Times New Roman" w:cs="Times New Roman"/>
          <w:sz w:val="24"/>
          <w:szCs w:val="24"/>
          <w:shd w:val="clear" w:color="auto" w:fill="F7F8FA"/>
        </w:rPr>
        <w:t xml:space="preserve"> </w:t>
      </w:r>
      <w:r>
        <w:rPr>
          <w:rStyle w:val="tgt"/>
          <w:rFonts w:ascii="Times New Roman" w:hAnsi="Times New Roman" w:cs="Times New Roman"/>
          <w:sz w:val="24"/>
          <w:szCs w:val="24"/>
        </w:rPr>
        <w:t>study also found no correlation between OCPs level and gestational age, suggesting</w:t>
      </w:r>
      <w:r>
        <w:rPr>
          <w:rStyle w:val="tgt"/>
          <w:rFonts w:ascii="Times New Roman" w:hAnsi="Times New Roman" w:cs="Times New Roman"/>
          <w:sz w:val="24"/>
          <w:szCs w:val="24"/>
          <w:shd w:val="clear" w:color="auto" w:fill="F7F8FA"/>
        </w:rPr>
        <w:t xml:space="preserve"> </w:t>
      </w:r>
      <w:r>
        <w:rPr>
          <w:rStyle w:val="tgt"/>
          <w:rFonts w:ascii="Times New Roman" w:hAnsi="Times New Roman" w:cs="Times New Roman"/>
          <w:sz w:val="24"/>
          <w:szCs w:val="24"/>
        </w:rPr>
        <w:t>that OCPs level in late gestation may represent exposure in early gestation in some</w:t>
      </w:r>
      <w:r>
        <w:rPr>
          <w:rStyle w:val="tgt"/>
          <w:rFonts w:ascii="Times New Roman" w:hAnsi="Times New Roman" w:cs="Times New Roman"/>
          <w:sz w:val="24"/>
          <w:szCs w:val="24"/>
          <w:shd w:val="clear" w:color="auto" w:fill="F7F8FA"/>
        </w:rPr>
        <w:t xml:space="preserve"> </w:t>
      </w:r>
      <w:r>
        <w:rPr>
          <w:rStyle w:val="tgt"/>
          <w:rFonts w:ascii="Times New Roman" w:hAnsi="Times New Roman" w:cs="Times New Roman"/>
          <w:sz w:val="24"/>
          <w:szCs w:val="24"/>
        </w:rPr>
        <w:t xml:space="preserve">extent. Secondly, </w:t>
      </w:r>
      <w:bookmarkStart w:id="53" w:name="OLE_LINK20"/>
      <w:bookmarkStart w:id="54" w:name="OLE_LINK25"/>
      <w:r>
        <w:rPr>
          <w:rStyle w:val="tgt"/>
          <w:rFonts w:ascii="Times New Roman" w:hAnsi="Times New Roman" w:cs="Times New Roman" w:hint="eastAsia"/>
          <w:sz w:val="24"/>
          <w:szCs w:val="24"/>
        </w:rPr>
        <w:t>the</w:t>
      </w:r>
      <w:r>
        <w:rPr>
          <w:rStyle w:val="tgt"/>
          <w:rFonts w:ascii="Times New Roman" w:hAnsi="Times New Roman" w:cs="Times New Roman"/>
          <w:sz w:val="24"/>
          <w:szCs w:val="24"/>
        </w:rPr>
        <w:t xml:space="preserve"> relatively small sample sizes of this study, limited the statistical power and </w:t>
      </w:r>
      <w:r>
        <w:rPr>
          <w:rFonts w:ascii="Times New Roman" w:hAnsi="Times New Roman" w:cs="Times New Roman"/>
          <w:sz w:val="24"/>
          <w:szCs w:val="24"/>
        </w:rPr>
        <w:t xml:space="preserve">our ability to do </w:t>
      </w:r>
      <w:r>
        <w:rPr>
          <w:rStyle w:val="tgt"/>
          <w:rFonts w:ascii="Times New Roman" w:hAnsi="Times New Roman" w:cs="Times New Roman"/>
          <w:sz w:val="24"/>
          <w:szCs w:val="24"/>
        </w:rPr>
        <w:t>further subgroup analysis</w:t>
      </w:r>
      <w:bookmarkEnd w:id="53"/>
      <w:bookmarkEnd w:id="54"/>
      <w:r>
        <w:rPr>
          <w:rStyle w:val="tgt"/>
          <w:rFonts w:ascii="Times New Roman" w:hAnsi="Times New Roman" w:cs="Times New Roman"/>
          <w:sz w:val="24"/>
          <w:szCs w:val="24"/>
        </w:rPr>
        <w:t>. Thirdly, the intrinsic limitations of this case-control study are recall bias and report bias regarding dietary intakes. Finally, although the study was population-based, we could not completely exclude selection bias.</w:t>
      </w:r>
    </w:p>
    <w:p>
      <w:pPr>
        <w:pStyle w:val="Heading1"/>
        <w:rPr>
          <w:rFonts w:ascii="Times New Roman" w:hAnsi="Times New Roman" w:cs="Times New Roman"/>
          <w:sz w:val="24"/>
          <w:szCs w:val="24"/>
        </w:rPr>
      </w:pPr>
      <w:r>
        <w:rPr>
          <w:rFonts w:ascii="Times New Roman" w:hAnsi="Times New Roman" w:cs="Times New Roman"/>
          <w:sz w:val="24"/>
          <w:szCs w:val="24"/>
        </w:rPr>
        <w:t>5. Conclusions</w:t>
      </w:r>
    </w:p>
    <w:p>
      <w:pPr>
        <w:autoSpaceDE w:val="0"/>
        <w:autoSpaceDN w:val="0"/>
        <w:adjustRightInd w:val="0"/>
        <w:spacing w:line="480" w:lineRule="auto"/>
        <w:rPr>
          <w:rFonts w:ascii="Times New Roman" w:hAnsi="Times New Roman" w:cs="Times New Roman"/>
          <w:sz w:val="24"/>
          <w:szCs w:val="24"/>
        </w:rPr>
      </w:pPr>
      <w:bookmarkStart w:id="55" w:name="OLE_LINK58"/>
      <w:bookmarkStart w:id="56" w:name="OLE_LINK59"/>
      <w:r>
        <w:rPr>
          <w:rStyle w:val="normaltextrun"/>
          <w:rFonts w:ascii="Times New Roman" w:hAnsi="Times New Roman" w:cs="Times New Roman"/>
          <w:color w:val="000000"/>
          <w:sz w:val="24"/>
          <w:szCs w:val="24"/>
          <w:shd w:val="clear" w:color="auto" w:fill="FFFFFF"/>
        </w:rPr>
        <w:t xml:space="preserve">We found no evidence of associations between </w:t>
      </w:r>
      <w:r>
        <w:rPr>
          <w:rFonts w:ascii="Times New Roman" w:hAnsi="Times New Roman" w:cs="Times New Roman"/>
          <w:i/>
          <w:iCs/>
          <w:sz w:val="24"/>
          <w:szCs w:val="24"/>
        </w:rPr>
        <w:t>in utero</w:t>
      </w:r>
      <w:r>
        <w:rPr>
          <w:rFonts w:ascii="Times New Roman" w:hAnsi="Times New Roman" w:cs="Times New Roman"/>
          <w:sz w:val="24"/>
          <w:szCs w:val="24"/>
        </w:rPr>
        <w:t xml:space="preserve"> exposure to OCPs </w:t>
      </w:r>
      <w:r>
        <w:rPr>
          <w:rStyle w:val="normaltextrun"/>
          <w:rFonts w:ascii="Times New Roman" w:hAnsi="Times New Roman" w:cs="Times New Roman"/>
          <w:color w:val="000000"/>
          <w:sz w:val="24"/>
          <w:szCs w:val="24"/>
          <w:shd w:val="clear" w:color="auto" w:fill="FFFFFF"/>
        </w:rPr>
        <w:t xml:space="preserve">and </w:t>
      </w:r>
      <w:r>
        <w:rPr>
          <w:rFonts w:ascii="Times New Roman" w:hAnsi="Times New Roman" w:cs="Times New Roman"/>
          <w:sz w:val="24"/>
          <w:szCs w:val="24"/>
        </w:rPr>
        <w:t>risk for OFCs, whether in estimating single effects of OCPs or joint effects of multiple OCPs.</w:t>
      </w:r>
      <w:bookmarkEnd w:id="55"/>
      <w:bookmarkEnd w:id="56"/>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Maternal </w:t>
      </w:r>
      <w:r>
        <w:rPr>
          <w:rFonts w:ascii="Times New Roman" w:eastAsia="TimesNewRomanPSMT" w:hAnsi="Times New Roman" w:cs="Times New Roman"/>
          <w:kern w:val="0"/>
          <w:sz w:val="24"/>
          <w:szCs w:val="24"/>
        </w:rPr>
        <w:t xml:space="preserve">consumptions </w:t>
      </w:r>
      <w:r>
        <w:rPr>
          <w:rFonts w:ascii="Times New Roman" w:hAnsi="Times New Roman" w:cs="Times New Roman"/>
          <w:sz w:val="24"/>
          <w:szCs w:val="24"/>
        </w:rPr>
        <w:t>of bean and bean products may be sources of OCPs exposure in umbilical cord.</w:t>
      </w:r>
      <w:bookmarkStart w:id="57" w:name="OLE_LINK11"/>
      <w:bookmarkStart w:id="58" w:name="OLE_LINK12"/>
    </w:p>
    <w:p>
      <w:pPr>
        <w:pStyle w:val="Heading1"/>
        <w:rPr>
          <w:rFonts w:ascii="Times New Roman" w:hAnsi="Times New Roman"/>
          <w:sz w:val="24"/>
          <w:szCs w:val="24"/>
        </w:rPr>
      </w:pPr>
      <w:proofErr w:type="spellStart"/>
      <w:r>
        <w:rPr>
          <w:rFonts w:ascii="Times New Roman" w:hAnsi="Times New Roman"/>
          <w:sz w:val="24"/>
          <w:szCs w:val="24"/>
        </w:rPr>
        <w:t>CRediT</w:t>
      </w:r>
      <w:proofErr w:type="spellEnd"/>
      <w:r>
        <w:rPr>
          <w:rFonts w:ascii="Times New Roman" w:hAnsi="Times New Roman"/>
          <w:sz w:val="24"/>
          <w:szCs w:val="24"/>
        </w:rPr>
        <w:t xml:space="preserve"> authorship contribution statement</w:t>
      </w:r>
    </w:p>
    <w:p>
      <w:pPr>
        <w:pStyle w:val="a0"/>
      </w:pPr>
      <w:r>
        <w:rPr>
          <w:b/>
          <w:bCs/>
        </w:rPr>
        <w:t>LL Wang</w:t>
      </w:r>
      <w:r>
        <w:t xml:space="preserve">: Conceptualization, Supervision, </w:t>
      </w:r>
      <w:bookmarkStart w:id="59" w:name="OLE_LINK14"/>
      <w:bookmarkStart w:id="60" w:name="OLE_LINK15"/>
      <w:r>
        <w:t>Writing - review &amp; editing</w:t>
      </w:r>
      <w:bookmarkEnd w:id="59"/>
      <w:bookmarkEnd w:id="60"/>
      <w:r>
        <w:t xml:space="preserve">, </w:t>
      </w:r>
      <w:proofErr w:type="gramStart"/>
      <w:r>
        <w:t>Funding</w:t>
      </w:r>
      <w:proofErr w:type="gramEnd"/>
      <w:r>
        <w:t xml:space="preserve"> acquisition. </w:t>
      </w:r>
      <w:r>
        <w:rPr>
          <w:b/>
          <w:bCs/>
        </w:rPr>
        <w:t>WL Yang</w:t>
      </w:r>
      <w:r>
        <w:t xml:space="preserve">: Investigation, Writing - original draft, Formal analysis. </w:t>
      </w:r>
      <w:r>
        <w:rPr>
          <w:b/>
          <w:bCs/>
        </w:rPr>
        <w:t>WL Ni</w:t>
      </w:r>
      <w:r>
        <w:t>: Investigation, Writing - original draft, Formal analysis, Methodology.</w:t>
      </w:r>
      <w:r>
        <w:rPr>
          <w:kern w:val="0"/>
          <w:szCs w:val="24"/>
        </w:rPr>
        <w:t xml:space="preserve"> </w:t>
      </w:r>
      <w:r>
        <w:rPr>
          <w:b/>
          <w:bCs/>
          <w:kern w:val="0"/>
          <w:szCs w:val="24"/>
        </w:rPr>
        <w:t>JF Liu</w:t>
      </w:r>
      <w:r>
        <w:rPr>
          <w:rFonts w:hint="eastAsia"/>
          <w:b/>
          <w:bCs/>
          <w:kern w:val="0"/>
          <w:szCs w:val="24"/>
        </w:rPr>
        <w:t>:</w:t>
      </w:r>
      <w:r>
        <w:t xml:space="preserve"> </w:t>
      </w:r>
      <w:r>
        <w:rPr>
          <w:kern w:val="0"/>
          <w:szCs w:val="24"/>
        </w:rPr>
        <w:t>Data Curation</w:t>
      </w:r>
      <w:r>
        <w:rPr>
          <w:rFonts w:hint="eastAsia"/>
          <w:kern w:val="0"/>
          <w:szCs w:val="24"/>
        </w:rPr>
        <w:t>,</w:t>
      </w:r>
      <w:r>
        <w:rPr>
          <w:kern w:val="0"/>
          <w:szCs w:val="24"/>
        </w:rPr>
        <w:t xml:space="preserve"> </w:t>
      </w:r>
      <w:bookmarkStart w:id="61" w:name="OLE_LINK22"/>
      <w:r>
        <w:rPr>
          <w:kern w:val="0"/>
          <w:szCs w:val="24"/>
        </w:rPr>
        <w:t>W</w:t>
      </w:r>
      <w:r>
        <w:rPr>
          <w:rFonts w:hint="eastAsia"/>
          <w:kern w:val="0"/>
          <w:szCs w:val="24"/>
        </w:rPr>
        <w:t>ri</w:t>
      </w:r>
      <w:r>
        <w:rPr>
          <w:kern w:val="0"/>
          <w:szCs w:val="24"/>
        </w:rPr>
        <w:t>ting - review &amp; editing</w:t>
      </w:r>
      <w:bookmarkEnd w:id="61"/>
      <w:r>
        <w:rPr>
          <w:kern w:val="0"/>
          <w:szCs w:val="24"/>
        </w:rPr>
        <w:t>.</w:t>
      </w:r>
      <w:r>
        <w:rPr>
          <w:b/>
          <w:bCs/>
          <w:kern w:val="0"/>
          <w:szCs w:val="24"/>
        </w:rPr>
        <w:t xml:space="preserve"> L </w:t>
      </w:r>
      <w:proofErr w:type="spellStart"/>
      <w:r>
        <w:rPr>
          <w:b/>
          <w:bCs/>
          <w:kern w:val="0"/>
          <w:szCs w:val="24"/>
        </w:rPr>
        <w:t>Jin</w:t>
      </w:r>
      <w:proofErr w:type="spellEnd"/>
      <w:r>
        <w:rPr>
          <w:kern w:val="0"/>
          <w:szCs w:val="24"/>
        </w:rPr>
        <w:t>: W</w:t>
      </w:r>
      <w:r>
        <w:rPr>
          <w:rFonts w:hint="eastAsia"/>
          <w:kern w:val="0"/>
          <w:szCs w:val="24"/>
        </w:rPr>
        <w:t>ri</w:t>
      </w:r>
      <w:r>
        <w:rPr>
          <w:kern w:val="0"/>
          <w:szCs w:val="24"/>
        </w:rPr>
        <w:t>ting - review &amp; editing.</w:t>
      </w:r>
      <w:r>
        <w:rPr>
          <w:b/>
          <w:bCs/>
        </w:rPr>
        <w:t xml:space="preserve"> </w:t>
      </w:r>
      <w:r>
        <w:rPr>
          <w:b/>
          <w:bCs/>
          <w:kern w:val="0"/>
          <w:szCs w:val="24"/>
        </w:rPr>
        <w:t>ZW Li</w:t>
      </w:r>
      <w:r>
        <w:rPr>
          <w:kern w:val="0"/>
          <w:szCs w:val="24"/>
        </w:rPr>
        <w:t xml:space="preserve">: Resources. </w:t>
      </w:r>
      <w:r>
        <w:rPr>
          <w:b/>
          <w:bCs/>
          <w:kern w:val="0"/>
          <w:szCs w:val="24"/>
        </w:rPr>
        <w:t>AG Ren</w:t>
      </w:r>
      <w:r>
        <w:rPr>
          <w:kern w:val="0"/>
          <w:szCs w:val="24"/>
        </w:rPr>
        <w:t xml:space="preserve">: Resources, Supervision, </w:t>
      </w:r>
      <w:r>
        <w:t>Funding acquisition</w:t>
      </w:r>
      <w:r>
        <w:rPr>
          <w:kern w:val="0"/>
          <w:szCs w:val="24"/>
        </w:rPr>
        <w:t>.</w:t>
      </w:r>
    </w:p>
    <w:p>
      <w:pPr>
        <w:pStyle w:val="Heading1"/>
        <w:rPr>
          <w:rFonts w:ascii="Times New Roman" w:hAnsi="Times New Roman"/>
          <w:sz w:val="24"/>
          <w:szCs w:val="24"/>
        </w:rPr>
      </w:pPr>
      <w:r>
        <w:rPr>
          <w:rFonts w:ascii="Times New Roman" w:hAnsi="Times New Roman"/>
          <w:sz w:val="24"/>
          <w:szCs w:val="24"/>
        </w:rPr>
        <w:t>Declaration of competing interest</w:t>
      </w:r>
    </w:p>
    <w:bookmarkEnd w:id="57"/>
    <w:bookmarkEnd w:id="58"/>
    <w:p>
      <w:pPr>
        <w:widowControl/>
        <w:spacing w:line="480" w:lineRule="auto"/>
        <w:rPr>
          <w:rFonts w:ascii="Times New Roman" w:hAnsi="Times New Roman"/>
          <w:kern w:val="0"/>
          <w:sz w:val="24"/>
          <w:szCs w:val="24"/>
        </w:rPr>
      </w:pPr>
      <w:r>
        <w:rPr>
          <w:rFonts w:ascii="Times New Roman" w:hAnsi="Times New Roman"/>
          <w:kern w:val="0"/>
          <w:sz w:val="24"/>
          <w:szCs w:val="24"/>
        </w:rPr>
        <w:t>The authors declare that they have no known competing financial interests or personal relationships that could have appeared to influence the work reported in this paper.</w:t>
      </w:r>
    </w:p>
    <w:p>
      <w:pPr>
        <w:pStyle w:val="Heading1"/>
        <w:rPr>
          <w:rFonts w:ascii="Times New Roman" w:hAnsi="Times New Roman"/>
          <w:sz w:val="24"/>
          <w:szCs w:val="24"/>
        </w:rPr>
      </w:pPr>
      <w:r>
        <w:rPr>
          <w:rFonts w:ascii="Times New Roman" w:hAnsi="Times New Roman"/>
          <w:sz w:val="24"/>
          <w:szCs w:val="24"/>
        </w:rPr>
        <w:t>Acknowledgments</w:t>
      </w:r>
    </w:p>
    <w:p>
      <w:pPr>
        <w:widowControl/>
        <w:spacing w:line="480" w:lineRule="auto"/>
        <w:rPr>
          <w:rFonts w:ascii="Times New Roman" w:hAnsi="Times New Roman"/>
          <w:kern w:val="0"/>
          <w:sz w:val="24"/>
          <w:szCs w:val="24"/>
        </w:rPr>
      </w:pPr>
      <w:r>
        <w:rPr>
          <w:rFonts w:ascii="Times New Roman" w:hAnsi="Times New Roman"/>
          <w:kern w:val="0"/>
          <w:sz w:val="24"/>
          <w:szCs w:val="24"/>
        </w:rPr>
        <w:t xml:space="preserve">This work was supported by the National Key Research and Development Program, </w:t>
      </w:r>
      <w:bookmarkStart w:id="62" w:name="OLE_LINK16"/>
      <w:bookmarkStart w:id="63" w:name="OLE_LINK17"/>
      <w:r>
        <w:rPr>
          <w:rFonts w:ascii="Times New Roman" w:hAnsi="Times New Roman"/>
          <w:kern w:val="0"/>
          <w:sz w:val="24"/>
          <w:szCs w:val="24"/>
        </w:rPr>
        <w:t>Ministry of Science and Technology</w:t>
      </w:r>
      <w:bookmarkEnd w:id="62"/>
      <w:bookmarkEnd w:id="63"/>
      <w:r>
        <w:rPr>
          <w:rFonts w:ascii="Times New Roman" w:hAnsi="Times New Roman"/>
          <w:kern w:val="0"/>
          <w:sz w:val="24"/>
          <w:szCs w:val="24"/>
        </w:rPr>
        <w:t>, People’s Republic of China (Grant No. 2016YFC1000501);</w:t>
      </w:r>
      <w:r>
        <w:rPr>
          <w:rFonts w:ascii="Times New Roman" w:hAnsi="Times New Roman" w:hint="eastAsia"/>
          <w:kern w:val="0"/>
          <w:sz w:val="24"/>
          <w:szCs w:val="24"/>
        </w:rPr>
        <w:t xml:space="preserve"> and </w:t>
      </w:r>
      <w:r>
        <w:rPr>
          <w:rFonts w:ascii="Times New Roman" w:hAnsi="Times New Roman"/>
          <w:kern w:val="0"/>
          <w:sz w:val="24"/>
          <w:szCs w:val="24"/>
        </w:rPr>
        <w:t>National Natural Science Foundation of China (Grant No. 81773441).</w:t>
      </w:r>
      <w:r>
        <w:rPr>
          <w:rFonts w:ascii="Times New Roman" w:hAnsi="Times New Roman" w:cs="Times New Roman"/>
        </w:rPr>
        <w:fldChar w:fldCharType="begin"/>
      </w:r>
      <w:r>
        <w:rPr>
          <w:rFonts w:ascii="Times New Roman" w:hAnsi="Times New Roman" w:cs="Times New Roman"/>
        </w:rPr>
        <w:instrText xml:space="preserve"> ADDIN NE.Bib</w:instrText>
      </w:r>
      <w:r>
        <w:rPr>
          <w:rFonts w:ascii="Times New Roman" w:hAnsi="Times New Roman" w:cs="Times New Roman"/>
        </w:rPr>
        <w:fldChar w:fldCharType="separate"/>
      </w:r>
    </w:p>
    <w:p>
      <w:pPr>
        <w:pStyle w:val="Heading1"/>
        <w:spacing w:line="480" w:lineRule="auto"/>
        <w:rPr>
          <w:rFonts w:ascii="Times New Roman" w:hAnsi="Times New Roman" w:cs="Times New Roman"/>
          <w:sz w:val="24"/>
          <w:szCs w:val="24"/>
        </w:rPr>
      </w:pPr>
      <w:r>
        <w:rPr>
          <w:rFonts w:ascii="Times New Roman" w:hAnsi="Times New Roman" w:cs="Times New Roman"/>
          <w:sz w:val="24"/>
          <w:szCs w:val="24"/>
        </w:rPr>
        <w:lastRenderedPageBreak/>
        <w:t>References</w:t>
      </w:r>
    </w:p>
    <w:p>
      <w:pPr>
        <w:pStyle w:val="EndNoteBibliography"/>
        <w:ind w:left="320" w:hanging="320"/>
      </w:pPr>
      <w:r>
        <w:rPr>
          <w:szCs w:val="24"/>
        </w:rPr>
        <w:fldChar w:fldCharType="end"/>
      </w:r>
      <w:r>
        <w:t>Billionnet C, Sherrill D, Annesi-Maesano I, study G. 2012. Estimating the health effects of exposure to multi-pollutant mixture. Ann Epidemiol 22:126-141. https://doi.org/10.1016/j.annepidem.2011.11.004</w:t>
      </w:r>
    </w:p>
    <w:p>
      <w:pPr>
        <w:pStyle w:val="EndNoteBibliography"/>
        <w:ind w:left="320" w:hanging="320"/>
      </w:pPr>
      <w:r>
        <w:t>Bobb JF, Valeri L, Claus Henn B, Christiani DC, Wright RO, Mazumdar M, et al. 2015. Bayesian kernel machine regression for estimating the health effects of multi-pollutant mixtures. Biostatistics 16:493-508. https://doi.org/10.1093/biostatistics/kxu058</w:t>
      </w:r>
    </w:p>
    <w:p>
      <w:pPr>
        <w:pStyle w:val="EndNoteBibliography"/>
        <w:ind w:left="320" w:hanging="320"/>
      </w:pPr>
      <w:r>
        <w:t>Bobb JF, Claus Henn B, Valeri L, Coull BA. 2018. Statistical software for analyzing the health effects of multiple concurrent exposures via bayesian kernel machine regression. Environ Health 17:67. https://doi.org/10.1186/s12940-018-0413-y</w:t>
      </w:r>
    </w:p>
    <w:p>
      <w:pPr>
        <w:pStyle w:val="EndNoteBibliography"/>
        <w:ind w:left="320" w:hanging="320"/>
      </w:pPr>
      <w:r>
        <w:t>Burse VW, Najam AR, Williams CC, Korver MP, Smith BF, Jr., Sam PM, et al. 2000. Utilization of umbilical cords to assess in utero exposure to persistent pesticides and polychlorinated biphenyls. J Expo Anal Environ Epidemiol 10:776-788. https://doi.org/10.1038/sj.jea.7500125</w:t>
      </w:r>
    </w:p>
    <w:p>
      <w:pPr>
        <w:pStyle w:val="EndNoteBibliography"/>
        <w:ind w:left="320" w:hanging="320"/>
      </w:pPr>
      <w:r>
        <w:t xml:space="preserve">Crinnion WJ. 2010. The cdc fourth national report on human exposure to environmental chemicals: What it tells us about our toxic burden and how it assist environmental medicine physicians. Altern Med Rev 15:101-109. </w:t>
      </w:r>
    </w:p>
    <w:p>
      <w:pPr>
        <w:pStyle w:val="EndNoteBibliography"/>
        <w:ind w:left="320" w:hanging="320"/>
        <w:rPr>
          <w:lang w:val="de-DE"/>
        </w:rPr>
      </w:pPr>
      <w:r>
        <w:t xml:space="preserve">Dixon MJ, Marazita ML, Beaty TH, Murray JC. 2011. Cleft lip and palate: Understanding genetic and environmental influences. </w:t>
      </w:r>
      <w:r>
        <w:rPr>
          <w:lang w:val="de-DE"/>
        </w:rPr>
        <w:t>Nat Rev Genet 12:167-178. https://doi.org/10.1038/nrg2933</w:t>
      </w:r>
    </w:p>
    <w:p>
      <w:pPr>
        <w:pStyle w:val="EndNoteBibliography"/>
        <w:ind w:left="320" w:hanging="320"/>
      </w:pPr>
      <w:r>
        <w:rPr>
          <w:lang w:val="de-DE"/>
        </w:rPr>
        <w:t xml:space="preserve">Fukata H, Omori M, Osada H, Todaka E, Mori C. 2005. </w:t>
      </w:r>
      <w:r>
        <w:t xml:space="preserve">Necessity to measure pcbs and </w:t>
      </w:r>
      <w:r>
        <w:lastRenderedPageBreak/>
        <w:t>organochlorine pesticide concentrations in human umbilical cords for fetal exposure assessment. Environ Health Perspect 113:297-303. https://doi.org/10.1289/ehp.7330</w:t>
      </w:r>
    </w:p>
    <w:p>
      <w:pPr>
        <w:pStyle w:val="EndNoteBibliography"/>
        <w:ind w:left="320" w:hanging="320"/>
      </w:pPr>
      <w:r>
        <w:t>Garcia AM, Fletcher T, Benavides FG, Orts E. 1999. Parental agricultural work and selected congenital malformations. Am J Epidemiol 149:64-74. https://doi.org/10.1093/oxfordjournals.aje.a009729</w:t>
      </w:r>
    </w:p>
    <w:p>
      <w:pPr>
        <w:pStyle w:val="EndNoteBibliography"/>
        <w:ind w:left="320" w:hanging="320"/>
        <w:rPr>
          <w:lang w:val="de-DE"/>
        </w:rPr>
      </w:pPr>
      <w:r>
        <w:t xml:space="preserve">Hao Y, Tian S, Jiao X, Mi N, Zhang B, Song T, et al. 2015. Association of parental environmental exposures and supplementation intake with risk of nonsyndromic orofacial clefts: A case-control study in heilongjiang province, china. </w:t>
      </w:r>
      <w:r>
        <w:rPr>
          <w:lang w:val="de-DE"/>
        </w:rPr>
        <w:t>Nutrients 7:7172-7184. https://doi.org/10.3390/nu7095328</w:t>
      </w:r>
    </w:p>
    <w:p>
      <w:pPr>
        <w:pStyle w:val="EndNoteBibliography"/>
        <w:ind w:left="320" w:hanging="320"/>
      </w:pPr>
      <w:r>
        <w:rPr>
          <w:lang w:val="de-DE"/>
        </w:rPr>
        <w:t xml:space="preserve">Honein MA, Rasmussen SA, Reefhuis J, Romitti PA, Lammer EJ, Sun L, et al. 2007. </w:t>
      </w:r>
      <w:r>
        <w:t>Maternal smoking and environmental tobacco smoke exposure and the risk of orofacial clefts. Epidemiology 18:226-233. https://doi.org/10.1097/01.ede.0000254430.61294.c0</w:t>
      </w:r>
    </w:p>
    <w:p>
      <w:pPr>
        <w:pStyle w:val="EndNoteBibliography"/>
        <w:ind w:left="320" w:hanging="320"/>
      </w:pPr>
      <w:r>
        <w:t>Hu Y, Akland GG, Pellizzari ED, Berry MR, Melnyk LJ. 2004. Use of pharmacokinetic modeling to design studies for pathway-specific exposure model evaluation. Environ Health Perspect 112:1697-1703. https://doi.org/10.1289/ehp.6367</w:t>
      </w:r>
    </w:p>
    <w:p>
      <w:pPr>
        <w:pStyle w:val="EndNoteBibliography"/>
        <w:ind w:left="320" w:hanging="320"/>
      </w:pPr>
      <w:r>
        <w:t>Konishi Y, Kuwabara K, Hori S. 2001. Continuous surveillance of organochlorine compounds in human breast milk from 1972 to 1998 in osaka, japan. Arch Environ Contam Toxicol 40:571-578. https://doi.org/10.1007/s002440010212</w:t>
      </w:r>
    </w:p>
    <w:p>
      <w:pPr>
        <w:pStyle w:val="EndNoteBibliography"/>
        <w:ind w:left="320" w:hanging="320"/>
      </w:pPr>
      <w:r>
        <w:t xml:space="preserve">Latif Y, Sherazi ST, Bhanger MI. 2011. Assessment of pesticide residues in commonly used vegetables in hyderabad, pakistan. Ecotoxicol Environ Saf 74:2299-2303. </w:t>
      </w:r>
      <w:r>
        <w:lastRenderedPageBreak/>
        <w:t>https://doi.org/10.1016/j.ecoenv.2011.07.030</w:t>
      </w:r>
    </w:p>
    <w:p>
      <w:pPr>
        <w:pStyle w:val="EndNoteBibliography"/>
        <w:ind w:left="320" w:hanging="320"/>
      </w:pPr>
      <w:r>
        <w:t>Leskow A, Nawrocka M, Latkowska M, Tarnowska M, Galas N, Matejuk A, et al. 2019. Can contamination of the environment by dioxins cause craniofacial defects? Hum Exp Toxicol 38:1014-1023. https://doi.org/10.1177/0960327119855121</w:t>
      </w:r>
    </w:p>
    <w:p>
      <w:pPr>
        <w:pStyle w:val="EndNoteBibliography"/>
        <w:ind w:left="320" w:hanging="320"/>
      </w:pPr>
      <w:r>
        <w:t>Li C, Cheng Y, Tang Q, Lin S, Li Y, Hu X, et al. 2014. The association between prenatal exposure to organochlorine pesticides and thyroid hormone levels in newborns in yancheng, china. Environ Res 129:47-51. https://doi.org/10.1016/j.envres.2013.12.009</w:t>
      </w:r>
    </w:p>
    <w:p>
      <w:pPr>
        <w:pStyle w:val="EndNoteBibliography"/>
        <w:ind w:left="320" w:hanging="320"/>
      </w:pPr>
      <w:r>
        <w:t>Lim JT, Tan YQ, Valeri L, Lee J, Geok PP, Chia SE, et al. 2019. Association between serum heavy metals and prostate cancer risk - a multiple metal analysis. Environ Int 132:105109. https://doi.org/10.1016/j.envint.2019.105109</w:t>
      </w:r>
    </w:p>
    <w:p>
      <w:pPr>
        <w:pStyle w:val="EndNoteBibliography"/>
        <w:ind w:left="320" w:hanging="320"/>
      </w:pPr>
      <w:r>
        <w:t xml:space="preserve">Liu SL, Qin QF, Li QQ. 2004. Analysis of the accumulative levels of organochlorine pesticides in human body fat and blood in xiaogan. J Environ Health 21:238-240. </w:t>
      </w:r>
    </w:p>
    <w:p>
      <w:pPr>
        <w:pStyle w:val="EndNoteBibliography"/>
        <w:ind w:left="320" w:hanging="320"/>
      </w:pPr>
      <w:r>
        <w:t>Liu Y, Wang B, Li Z, Zhang L, Liu J, Ren A. 2016. Indoor air pollution and the risk of orofacial clefts in a rural population in shanxi province, china. Birth Defects Res A Clin Mol Teratol 106:708-715. https://doi.org/10.1002/bdra.23522</w:t>
      </w:r>
    </w:p>
    <w:p>
      <w:pPr>
        <w:pStyle w:val="EndNoteBibliography"/>
        <w:ind w:left="320" w:hanging="320"/>
      </w:pPr>
      <w:r>
        <w:rPr>
          <w:lang w:val="de-DE"/>
        </w:rPr>
        <w:t xml:space="preserve">Lu C, Kedan G, Fisker-Andersen J, Kissel JC, Fenske RA. 2004. </w:t>
      </w:r>
      <w:r>
        <w:t>Multipathway organophosphorus pesticide exposures of preschool children living in agricultural and nonagricultural communities. Environ Res 96:283-289. https://doi.org/10.1016/j.envres.2004.01.009</w:t>
      </w:r>
    </w:p>
    <w:p>
      <w:pPr>
        <w:pStyle w:val="EndNoteBibliography"/>
        <w:ind w:left="320" w:hanging="320"/>
      </w:pPr>
      <w:r>
        <w:t xml:space="preserve">Luo D, Pu Y, Tian H, Cheng J, Zhou T, Tao Y, et al. 2016. Concentrations of organochlorine pesticides in umbilical cord blood and related lifestyle and dietary </w:t>
      </w:r>
      <w:r>
        <w:lastRenderedPageBreak/>
        <w:t>intake factors among pregnant women of the huaihe river basin in china. Environ Int 92-93:276-283. https://doi.org/10.1016/j.envint.2016.04.017</w:t>
      </w:r>
    </w:p>
    <w:p>
      <w:pPr>
        <w:pStyle w:val="EndNoteBibliography"/>
        <w:ind w:left="320" w:hanging="320"/>
      </w:pPr>
      <w:r>
        <w:t xml:space="preserve">Ma ZL, Mao XX, Ding ZY, Gao H, Huang T, Tian H, et al. 2013. Residual levels in air, soil and soil-air exchange of organochlorine pesticides in hami region of xinjiang and its potential ecological risk. Huan Jing Ke Xue 34:1120-1128. </w:t>
      </w:r>
    </w:p>
    <w:p>
      <w:pPr>
        <w:pStyle w:val="EndNoteBibliography"/>
        <w:ind w:left="320" w:hanging="320"/>
      </w:pPr>
      <w:r>
        <w:t>Mishra K, Sharma RC. 2011. Assessment of organochlorine pesticides in human milk and risk exposure to infants from north-east india. Sci Total Environ 409:4939-4949. https://doi.org/10.1016/j.scitotenv.2011.07.038</w:t>
      </w:r>
    </w:p>
    <w:p>
      <w:pPr>
        <w:pStyle w:val="EndNoteBibliography"/>
        <w:ind w:left="320" w:hanging="320"/>
      </w:pPr>
      <w:r>
        <w:t xml:space="preserve">Morgan MK, Sheldon LS, Croghan CW, Jones PA, Chuang JC, Wilson NK. 2007. </w:t>
      </w:r>
      <w:bookmarkStart w:id="64" w:name="OLE_LINK28"/>
      <w:bookmarkStart w:id="65" w:name="OLE_LINK29"/>
      <w:r>
        <w:t>An observational study of 127 preschool children at their homes and daycare centers in ohio: Environmental pathways to cis- and trans-permethrin exposure</w:t>
      </w:r>
      <w:bookmarkEnd w:id="64"/>
      <w:bookmarkEnd w:id="65"/>
      <w:r>
        <w:t>. Environ Res 104:266-274. https://doi.org/10.1016/j.envres.2006.11.011</w:t>
      </w:r>
    </w:p>
    <w:p>
      <w:pPr>
        <w:pStyle w:val="EndNoteBibliography"/>
        <w:ind w:left="320" w:hanging="320"/>
      </w:pPr>
      <w:r>
        <w:t>Mossey PA, Little J, Munger RG, Dixon MJ, Shaw WC. 2009. Cleft lip and palate. Lancet 374:1773-1785. https://doi.org/10.1016/s0140-6736(09)60695-4</w:t>
      </w:r>
    </w:p>
    <w:p>
      <w:pPr>
        <w:pStyle w:val="EndNoteBibliography"/>
        <w:ind w:left="320" w:hanging="320"/>
      </w:pPr>
      <w:r>
        <w:t>Oyeyiola AO, Fatunsin OT, Akanbi LM, Fadahunsi DE, Moshood MO. 2017. Human health risk of organochlorine pesticides in foods grown in nigeria. J Health Pollut 7:63-70. https://doi.org/10.5696/2156-9614-7.15.63</w:t>
      </w:r>
    </w:p>
    <w:p>
      <w:pPr>
        <w:pStyle w:val="EndNoteBibliography"/>
        <w:ind w:left="320" w:hanging="320"/>
      </w:pPr>
      <w:r>
        <w:t>Pi X, Li Z, Jin L, Liu J, Zhang Y, Zhang L, et al. 2018. Secondhand smoke during the periconceptional period increases the risk for orofacial clefts in offspring. Paediatr Perinat Epidemiol 32:423-427. https://doi.org/10.1111/ppe.12497</w:t>
      </w:r>
    </w:p>
    <w:p>
      <w:pPr>
        <w:pStyle w:val="EndNoteBibliography"/>
        <w:ind w:left="320" w:hanging="320"/>
        <w:rPr>
          <w:lang w:val="de-DE"/>
        </w:rPr>
      </w:pPr>
      <w:r>
        <w:t xml:space="preserve">Pirsaheb M, Limoee M, Namdari F, Khamutian R. 2015. Organochlorine pesticides residue in breast milk: A systematic review. </w:t>
      </w:r>
      <w:r>
        <w:rPr>
          <w:lang w:val="de-DE"/>
        </w:rPr>
        <w:t>Med J Islam Repub Iran 29:228.</w:t>
      </w:r>
    </w:p>
    <w:p>
      <w:pPr>
        <w:pStyle w:val="EndNoteBibliography"/>
        <w:ind w:left="320" w:hanging="320"/>
      </w:pPr>
      <w:r>
        <w:rPr>
          <w:lang w:val="de-DE"/>
        </w:rPr>
        <w:lastRenderedPageBreak/>
        <w:t xml:space="preserve">Qiu X, Zhu T, Yao B, Hu J, Hu S. 2005. </w:t>
      </w:r>
      <w:r>
        <w:t>Contribution of dicofol to the current ddt pollution in china. Environ Sci Technol 39:4385-4390. https://doi.org/10.1021/es050342a</w:t>
      </w:r>
    </w:p>
    <w:p>
      <w:pPr>
        <w:pStyle w:val="EndNoteBibliography"/>
        <w:ind w:left="320" w:hanging="320"/>
      </w:pPr>
      <w:r>
        <w:t>Ren A, Qiu X, Jin L, Ma J, Li Z, Zhang L, et al. 2011. Association of selected persistent organic pollutants in the placenta with the risk of neural tube defects. Proc Natl Acad Sci U S A 108:12770-12775. https://doi.org/10.1073/pnas.1105209108</w:t>
      </w:r>
    </w:p>
    <w:p>
      <w:pPr>
        <w:pStyle w:val="EndNoteBibliography"/>
        <w:ind w:left="320" w:hanging="320"/>
      </w:pPr>
      <w:r>
        <w:t>Rignell-Hydbom A, Lindh CH, Dillner J, Jonsson BA, Rylander L. 2012. A nested case-control study of intrauterine exposure to persistent organochlorine pollutants and the risk of hypospadias. PLoS One 7:e44767. https://doi.org/10.1371/journal.pone.0044767</w:t>
      </w:r>
    </w:p>
    <w:p>
      <w:pPr>
        <w:pStyle w:val="EndNoteBibliography"/>
        <w:ind w:left="320" w:hanging="320"/>
      </w:pPr>
      <w:r>
        <w:t>Romitti PA, Herring AM, Dennis LK, Wong-Gibbons DL. 2007. Meta-analysis: Pesticides and orofacial clefts. Cleft Palate Craniofac J 44:358-365. https://doi.org/10.1597/06-100.1</w:t>
      </w:r>
    </w:p>
    <w:p>
      <w:pPr>
        <w:pStyle w:val="EndNoteBibliography"/>
        <w:ind w:left="320" w:hanging="320"/>
      </w:pPr>
      <w:r>
        <w:t>Sala M, Ribas-Fito N, Cardo E, de Muga ME, Marco E, Mazon C, et al. 2001. Levels of hexachlorobenzene and other organochlorine compounds in cord blood: Exposure across placenta. Chemosphere 43:895-901. https://doi.org/10.1016/s0045-6535(00)00450-1</w:t>
      </w:r>
    </w:p>
    <w:p>
      <w:pPr>
        <w:pStyle w:val="EndNoteBibliography"/>
        <w:ind w:left="320" w:hanging="320"/>
      </w:pPr>
      <w:r>
        <w:t xml:space="preserve">Shaw GM, Wasserman CR, O'Malley CD, Nelson V, Jackson RJ. 1999. Maternal pesticide exposure from multiple sources and selected congenital anomalies. Epidemiology 10:60-66. </w:t>
      </w:r>
    </w:p>
    <w:p>
      <w:pPr>
        <w:pStyle w:val="EndNoteBibliography"/>
        <w:ind w:left="320" w:hanging="320"/>
        <w:rPr>
          <w:lang w:val="de-DE"/>
        </w:rPr>
      </w:pPr>
      <w:r>
        <w:t xml:space="preserve">Song SY, Wang X, LI J, Feng XX. 2012. An investigation on the accumulative level of organochlorine pesticides in residents of tangshan area. </w:t>
      </w:r>
      <w:r>
        <w:rPr>
          <w:lang w:val="de-DE"/>
        </w:rPr>
        <w:t xml:space="preserve">Modern Preventive </w:t>
      </w:r>
      <w:r>
        <w:rPr>
          <w:lang w:val="de-DE"/>
        </w:rPr>
        <w:lastRenderedPageBreak/>
        <w:t xml:space="preserve">Medicine 39:2079-2081. </w:t>
      </w:r>
    </w:p>
    <w:p>
      <w:pPr>
        <w:pStyle w:val="EndNoteBibliography"/>
        <w:ind w:left="320" w:hanging="320"/>
      </w:pPr>
      <w:r>
        <w:rPr>
          <w:lang w:val="de-DE"/>
        </w:rPr>
        <w:t xml:space="preserve">Spinder N, Bergman JEH, Boezen HM, Vermeulen RCH, Kromhout H, de Walle HEK. 2017. </w:t>
      </w:r>
      <w:r>
        <w:t>Maternal occupational exposure and oral clefts in offspring. Environ Health 16:83. https://doi.org/10.1186/s12940-017-0294-5</w:t>
      </w:r>
    </w:p>
    <w:p>
      <w:pPr>
        <w:pStyle w:val="EndNoteBibliography"/>
        <w:ind w:left="320" w:hanging="320"/>
      </w:pPr>
      <w:r>
        <w:rPr>
          <w:lang w:val="de-DE"/>
        </w:rPr>
        <w:t xml:space="preserve">Spinder N, Prins JR, Bergman JEH, Smidt N, Kromhout H, Boezen HM, et al. 2019. </w:t>
      </w:r>
      <w:r>
        <w:t>Congenital anomalies in the offspring of occupationally exposed mothers: A systematic review and meta-analysis of studies using expert assessment for occupational exposures. Hum Reprod 34:903-919. https://doi.org/10.1093/humrep/dez033</w:t>
      </w:r>
    </w:p>
    <w:p>
      <w:pPr>
        <w:pStyle w:val="EndNoteBibliography"/>
        <w:ind w:left="320" w:hanging="320"/>
      </w:pPr>
      <w:r>
        <w:t>Valeri L, Mazumdar MM, Bobb JF, Claus Henn B, Rodrigues E, Sharif OIA, et al. 2017. The joint effect of prenatal exposure to metal mixtures on neurodevelopmental outcomes at 20-40 months of age: Evidence from rural bangladesh. Environ Health Perspect 125:067015. https://doi.org/10.1289/ehp614</w:t>
      </w:r>
    </w:p>
    <w:p>
      <w:pPr>
        <w:pStyle w:val="EndNoteBibliography"/>
        <w:ind w:left="320" w:hanging="320"/>
      </w:pPr>
      <w:r>
        <w:t>Woodruff TJ, Zota AR, Schwartz JM. 2011. Environmental chemicals in pregnant women in the united states: Nhanes 2003-2004. Environ Health Perspect 119:878-885. https://doi.org/10.1289/ehp.1002727</w:t>
      </w:r>
    </w:p>
    <w:p>
      <w:pPr>
        <w:pStyle w:val="EndNoteBibliography"/>
        <w:ind w:left="320" w:hanging="320"/>
      </w:pPr>
      <w:r>
        <w:t>Xu LF, Zhou XL, Wang Q, Zhou JL, Liu YP, Ju Q, et al. 2015. A case-control study of environmental risk factors for nonsyndromic cleft of the lip and/or palate in xuzhou, china. Biomed Environ Sci 28:535-538. https://doi.org/10.3967/bes2015.076</w:t>
      </w:r>
    </w:p>
    <w:p>
      <w:pPr>
        <w:pStyle w:val="EndNoteBibliography"/>
        <w:ind w:left="320" w:hanging="320"/>
      </w:pPr>
      <w:r>
        <w:t>Yu HF, Zhao XD, Zhao JH, Zhu ZQ, Zhao Z. 2006. Continuous surveillance of organochlorine pesticides in human milk from 1983 to 1998 in beijing, china. Int J Environ Health Res 16:21-26. https://doi.org/10.1080/09603120500397615</w:t>
      </w:r>
    </w:p>
    <w:p>
      <w:pPr>
        <w:pStyle w:val="EndNoteBibliography"/>
        <w:ind w:left="320" w:hanging="320"/>
      </w:pPr>
      <w:r>
        <w:lastRenderedPageBreak/>
        <w:t>Zhou Y, Gilboa SM, Herdt ML, Lupo PJ, Flanders WD, Liu Y, et al. 2017. Maternal exposure to ozone and pm2.5 and the prevalence of orofacial clefts in four u.S. States. Environ Res 153:35-40. https://doi.org/10.1016/j.envres.2016.11.007</w:t>
      </w:r>
    </w:p>
    <w:sectPr>
      <w:footerReference w:type="default" r:id="rId13"/>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nionPro-Regular">
    <w:altName w:val="SimSun"/>
    <w:panose1 w:val="00000000000000000000"/>
    <w:charset w:val="86"/>
    <w:family w:val="roman"/>
    <w:notTrueType/>
    <w:pitch w:val="default"/>
    <w:sig w:usb0="00000001" w:usb1="080E0000" w:usb2="00000010" w:usb3="00000000" w:csb0="00040000" w:csb1="00000000"/>
  </w:font>
  <w:font w:name="DengXian">
    <w:altName w:val="SimSun"/>
    <w:panose1 w:val="02010600030101010101"/>
    <w:charset w:val="86"/>
    <w:family w:val="auto"/>
    <w:pitch w:val="variable"/>
    <w:sig w:usb0="A00002BF" w:usb1="38CF7CFA" w:usb2="00000016" w:usb3="00000000" w:csb0="0004000F" w:csb1="00000000"/>
  </w:font>
  <w:font w:name="DengXian Light">
    <w:altName w:val="Times New Roman Uni"/>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NewRomanPSMT">
    <w:altName w:val="Malgun Gothic Semilight"/>
    <w:panose1 w:val="00000000000000000000"/>
    <w:charset w:val="86"/>
    <w:family w:val="auto"/>
    <w:notTrueType/>
    <w:pitch w:val="default"/>
    <w:sig w:usb0="00000000" w:usb1="080E0000" w:usb2="00000010" w:usb3="00000000" w:csb0="00040001" w:csb1="00000000"/>
  </w:font>
  <w:font w:name="CharisSIL">
    <w:altName w:val="MS Gothic"/>
    <w:panose1 w:val="00000000000000000000"/>
    <w:charset w:val="80"/>
    <w:family w:val="swiss"/>
    <w:notTrueType/>
    <w:pitch w:val="default"/>
    <w:sig w:usb0="00000001" w:usb1="08070000" w:usb2="00000010" w:usb3="00000000" w:csb0="00020000" w:csb1="00000000"/>
  </w:font>
  <w:font w:name="AdvGulliv-R">
    <w:altName w:val="Microsoft YaHei"/>
    <w:panose1 w:val="00000000000000000000"/>
    <w:charset w:val="86"/>
    <w:family w:val="auto"/>
    <w:notTrueType/>
    <w:pitch w:val="default"/>
    <w:sig w:usb0="00000003" w:usb1="080E0000" w:usb2="00000010" w:usb3="00000000" w:csb0="00040001" w:csb1="00000000"/>
  </w:font>
  <w:font w:name="AdvP7C2E">
    <w:altName w:val="Microsoft YaHei"/>
    <w:panose1 w:val="00000000000000000000"/>
    <w:charset w:val="86"/>
    <w:family w:val="auto"/>
    <w:notTrueType/>
    <w:pitch w:val="default"/>
    <w:sig w:usb0="00000001" w:usb1="080E0000" w:usb2="00000010" w:usb3="00000000" w:csb0="00040000" w:csb1="00000000"/>
  </w:font>
  <w:font w:name="HphybqAdvP4C4E74">
    <w:altName w:val="Microsoft YaHei"/>
    <w:panose1 w:val="00000000000000000000"/>
    <w:charset w:val="86"/>
    <w:family w:val="auto"/>
    <w:notTrueType/>
    <w:pitch w:val="default"/>
    <w:sig w:usb0="00000001" w:usb1="080E0000" w:usb2="00000010" w:usb3="00000000" w:csb0="00040000" w:csb1="00000000"/>
  </w:font>
  <w:font w:name="Univers LT Std 57 Cn">
    <w:altName w:val="Microsoft YaHei UI"/>
    <w:panose1 w:val="00000000000000000000"/>
    <w:charset w:val="86"/>
    <w:family w:val="swiss"/>
    <w:notTrueType/>
    <w:pitch w:val="default"/>
    <w:sig w:usb0="00000001" w:usb1="080E0000" w:usb2="00000010" w:usb3="00000000" w:csb0="00040000" w:csb1="00000000"/>
  </w:font>
  <w:font w:name="Malgun Gothic Semilight">
    <w:panose1 w:val="020B0502040204020203"/>
    <w:charset w:val="81"/>
    <w:family w:val="swiss"/>
    <w:pitch w:val="variable"/>
    <w:sig w:usb0="B0000AAF" w:usb1="09DF7CFB" w:usb2="00000012" w:usb3="00000000" w:csb0="003E01BD" w:csb1="00000000"/>
  </w:font>
  <w:font w:name="AdvOT863180fb+fb">
    <w:altName w:val="Microsoft YaHei"/>
    <w:panose1 w:val="00000000000000000000"/>
    <w:charset w:val="86"/>
    <w:family w:val="auto"/>
    <w:notTrueType/>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7224129"/>
      <w:docPartObj>
        <w:docPartGallery w:val="Page Numbers (Bottom of Page)"/>
        <w:docPartUnique/>
      </w:docPartObj>
    </w:sdtPr>
    <w:sdtContent>
      <w:p>
        <w:pPr>
          <w:pStyle w:val="Footer"/>
          <w:jc w:val="cente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noProof/>
            <w:lang w:val="zh-CN"/>
          </w:rPr>
          <w:t>2</w:t>
        </w:r>
        <w:r>
          <w:rPr>
            <w:rFonts w:ascii="Times New Roman" w:hAnsi="Times New Roman" w:cs="Times New Roman"/>
          </w:rPr>
          <w:fldChar w:fldCharType="end"/>
        </w:r>
      </w:p>
    </w:sdtContent>
  </w:sdt>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991618"/>
      <w:docPartObj>
        <w:docPartGallery w:val="Page Numbers (Bottom of Page)"/>
        <w:docPartUnique/>
      </w:docPartObj>
    </w:sdtPr>
    <w:sdtEndPr>
      <w:rPr>
        <w:rFonts w:ascii="Times New Roman" w:hAnsi="Times New Roman" w:cs="Times New Roman"/>
      </w:rPr>
    </w:sdtEndPr>
    <w:sdtContent>
      <w:p>
        <w:pPr>
          <w:pStyle w:val="Foot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noProof/>
            <w:lang w:val="zh-CN"/>
          </w:rPr>
          <w:t>21</w:t>
        </w:r>
        <w:r>
          <w:rPr>
            <w:rFonts w:ascii="Times New Roman" w:hAnsi="Times New Roman" w:cs="Times New Roman"/>
          </w:rPr>
          <w:fldChar w:fldCharType="end"/>
        </w:r>
      </w:p>
    </w:sdtContent>
  </w:sdt>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FFC59D0"/>
    <w:lvl w:ilvl="0">
      <w:start w:val="1"/>
      <w:numFmt w:val="decimal"/>
      <w:lvlText w:val="%1."/>
      <w:lvlJc w:val="left"/>
      <w:pPr>
        <w:tabs>
          <w:tab w:val="num" w:pos="2040"/>
        </w:tabs>
        <w:ind w:leftChars="800" w:left="2040" w:hangingChars="200" w:hanging="360"/>
      </w:pPr>
    </w:lvl>
  </w:abstractNum>
  <w:abstractNum w:abstractNumId="1" w15:restartNumberingAfterBreak="0">
    <w:nsid w:val="FFFFFF7D"/>
    <w:multiLevelType w:val="singleLevel"/>
    <w:tmpl w:val="417E0462"/>
    <w:lvl w:ilvl="0">
      <w:start w:val="1"/>
      <w:numFmt w:val="decimal"/>
      <w:lvlText w:val="%1."/>
      <w:lvlJc w:val="left"/>
      <w:pPr>
        <w:tabs>
          <w:tab w:val="num" w:pos="1620"/>
        </w:tabs>
        <w:ind w:leftChars="600" w:left="1620" w:hangingChars="200" w:hanging="360"/>
      </w:pPr>
    </w:lvl>
  </w:abstractNum>
  <w:abstractNum w:abstractNumId="2" w15:restartNumberingAfterBreak="0">
    <w:nsid w:val="FFFFFF7E"/>
    <w:multiLevelType w:val="singleLevel"/>
    <w:tmpl w:val="D25CA07C"/>
    <w:lvl w:ilvl="0">
      <w:start w:val="1"/>
      <w:numFmt w:val="decimal"/>
      <w:lvlText w:val="%1."/>
      <w:lvlJc w:val="left"/>
      <w:pPr>
        <w:tabs>
          <w:tab w:val="num" w:pos="1200"/>
        </w:tabs>
        <w:ind w:leftChars="400" w:left="1200" w:hangingChars="200" w:hanging="360"/>
      </w:pPr>
    </w:lvl>
  </w:abstractNum>
  <w:abstractNum w:abstractNumId="3" w15:restartNumberingAfterBreak="0">
    <w:nsid w:val="FFFFFF7F"/>
    <w:multiLevelType w:val="singleLevel"/>
    <w:tmpl w:val="ADDA0240"/>
    <w:lvl w:ilvl="0">
      <w:start w:val="1"/>
      <w:numFmt w:val="decimal"/>
      <w:lvlText w:val="%1."/>
      <w:lvlJc w:val="left"/>
      <w:pPr>
        <w:tabs>
          <w:tab w:val="num" w:pos="780"/>
        </w:tabs>
        <w:ind w:leftChars="200" w:left="780" w:hangingChars="200" w:hanging="360"/>
      </w:pPr>
    </w:lvl>
  </w:abstractNum>
  <w:abstractNum w:abstractNumId="4" w15:restartNumberingAfterBreak="0">
    <w:nsid w:val="FFFFFF80"/>
    <w:multiLevelType w:val="singleLevel"/>
    <w:tmpl w:val="B0F8A8F4"/>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730AC380"/>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B44C53C0"/>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5C6E57FC"/>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B79A24EA"/>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023875DE"/>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1066DD6"/>
    <w:multiLevelType w:val="hybridMultilevel"/>
    <w:tmpl w:val="1A688D6E"/>
    <w:lvl w:ilvl="0" w:tplc="575A81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0DC32A26"/>
    <w:multiLevelType w:val="multilevel"/>
    <w:tmpl w:val="61B4C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260D3D"/>
    <w:multiLevelType w:val="hybridMultilevel"/>
    <w:tmpl w:val="24DA27F6"/>
    <w:lvl w:ilvl="0" w:tplc="1B5E369A">
      <w:start w:val="4"/>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3" w15:restartNumberingAfterBreak="0">
    <w:nsid w:val="19B017BD"/>
    <w:multiLevelType w:val="multilevel"/>
    <w:tmpl w:val="B26C9076"/>
    <w:lvl w:ilvl="0">
      <w:start w:val="2"/>
      <w:numFmt w:val="decimal"/>
      <w:lvlText w:val="%1"/>
      <w:lvlJc w:val="left"/>
      <w:pPr>
        <w:ind w:left="360" w:hanging="360"/>
      </w:pPr>
      <w:rPr>
        <w:rFonts w:hint="default"/>
      </w:rPr>
    </w:lvl>
    <w:lvl w:ilvl="1">
      <w:start w:val="2"/>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4" w15:restartNumberingAfterBreak="0">
    <w:nsid w:val="1A88006B"/>
    <w:multiLevelType w:val="multilevel"/>
    <w:tmpl w:val="85B61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2B0E75"/>
    <w:multiLevelType w:val="multilevel"/>
    <w:tmpl w:val="C0DEB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E02C5A"/>
    <w:multiLevelType w:val="multilevel"/>
    <w:tmpl w:val="8BC48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287BA4"/>
    <w:multiLevelType w:val="multilevel"/>
    <w:tmpl w:val="3AAC4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39071B"/>
    <w:multiLevelType w:val="multilevel"/>
    <w:tmpl w:val="2C7C0544"/>
    <w:lvl w:ilvl="0">
      <w:start w:val="2"/>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38892D5F"/>
    <w:multiLevelType w:val="multilevel"/>
    <w:tmpl w:val="B308B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7712D6"/>
    <w:multiLevelType w:val="multilevel"/>
    <w:tmpl w:val="A814A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FE7E85"/>
    <w:multiLevelType w:val="multilevel"/>
    <w:tmpl w:val="FEC8E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463D35"/>
    <w:multiLevelType w:val="multilevel"/>
    <w:tmpl w:val="AE7E894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2503C3C"/>
    <w:multiLevelType w:val="hybridMultilevel"/>
    <w:tmpl w:val="CA0A7D50"/>
    <w:lvl w:ilvl="0" w:tplc="1A38149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4260130A"/>
    <w:multiLevelType w:val="hybridMultilevel"/>
    <w:tmpl w:val="044AC59C"/>
    <w:lvl w:ilvl="0" w:tplc="4E4C40E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42A450FB"/>
    <w:multiLevelType w:val="multilevel"/>
    <w:tmpl w:val="DF94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9D4A02"/>
    <w:multiLevelType w:val="multilevel"/>
    <w:tmpl w:val="E1D4301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3D301F9"/>
    <w:multiLevelType w:val="hybridMultilevel"/>
    <w:tmpl w:val="EDA09326"/>
    <w:lvl w:ilvl="0" w:tplc="CBE48E4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5E1C16B8"/>
    <w:multiLevelType w:val="multilevel"/>
    <w:tmpl w:val="91F4B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131ECC"/>
    <w:multiLevelType w:val="multilevel"/>
    <w:tmpl w:val="908CC04C"/>
    <w:lvl w:ilvl="0">
      <w:start w:val="1"/>
      <w:numFmt w:val="decimal"/>
      <w:lvlText w:val="%1."/>
      <w:lvlJc w:val="left"/>
      <w:pPr>
        <w:ind w:left="360" w:hanging="360"/>
      </w:pPr>
      <w:rPr>
        <w:rFonts w:hint="default"/>
      </w:rPr>
    </w:lvl>
    <w:lvl w:ilvl="1">
      <w:start w:val="2"/>
      <w:numFmt w:val="decimal"/>
      <w:isLgl/>
      <w:lvlText w:val="%1.%2"/>
      <w:lvlJc w:val="left"/>
      <w:pPr>
        <w:ind w:left="785" w:hanging="360"/>
      </w:pPr>
      <w:rPr>
        <w:rFonts w:eastAsia="MinionPro-Regular" w:hint="default"/>
      </w:rPr>
    </w:lvl>
    <w:lvl w:ilvl="2">
      <w:start w:val="1"/>
      <w:numFmt w:val="decimal"/>
      <w:isLgl/>
      <w:lvlText w:val="%1.%2.%3"/>
      <w:lvlJc w:val="left"/>
      <w:pPr>
        <w:ind w:left="720" w:hanging="720"/>
      </w:pPr>
      <w:rPr>
        <w:rFonts w:eastAsia="MinionPro-Regular" w:hint="default"/>
      </w:rPr>
    </w:lvl>
    <w:lvl w:ilvl="3">
      <w:start w:val="1"/>
      <w:numFmt w:val="decimal"/>
      <w:isLgl/>
      <w:lvlText w:val="%1.%2.%3.%4"/>
      <w:lvlJc w:val="left"/>
      <w:pPr>
        <w:ind w:left="720" w:hanging="720"/>
      </w:pPr>
      <w:rPr>
        <w:rFonts w:eastAsia="MinionPro-Regular" w:hint="default"/>
      </w:rPr>
    </w:lvl>
    <w:lvl w:ilvl="4">
      <w:start w:val="1"/>
      <w:numFmt w:val="decimal"/>
      <w:isLgl/>
      <w:lvlText w:val="%1.%2.%3.%4.%5"/>
      <w:lvlJc w:val="left"/>
      <w:pPr>
        <w:ind w:left="1080" w:hanging="1080"/>
      </w:pPr>
      <w:rPr>
        <w:rFonts w:eastAsia="MinionPro-Regular" w:hint="default"/>
      </w:rPr>
    </w:lvl>
    <w:lvl w:ilvl="5">
      <w:start w:val="1"/>
      <w:numFmt w:val="decimal"/>
      <w:isLgl/>
      <w:lvlText w:val="%1.%2.%3.%4.%5.%6"/>
      <w:lvlJc w:val="left"/>
      <w:pPr>
        <w:ind w:left="1080" w:hanging="1080"/>
      </w:pPr>
      <w:rPr>
        <w:rFonts w:eastAsia="MinionPro-Regular" w:hint="default"/>
      </w:rPr>
    </w:lvl>
    <w:lvl w:ilvl="6">
      <w:start w:val="1"/>
      <w:numFmt w:val="decimal"/>
      <w:isLgl/>
      <w:lvlText w:val="%1.%2.%3.%4.%5.%6.%7"/>
      <w:lvlJc w:val="left"/>
      <w:pPr>
        <w:ind w:left="1440" w:hanging="1440"/>
      </w:pPr>
      <w:rPr>
        <w:rFonts w:eastAsia="MinionPro-Regular" w:hint="default"/>
      </w:rPr>
    </w:lvl>
    <w:lvl w:ilvl="7">
      <w:start w:val="1"/>
      <w:numFmt w:val="decimal"/>
      <w:isLgl/>
      <w:lvlText w:val="%1.%2.%3.%4.%5.%6.%7.%8"/>
      <w:lvlJc w:val="left"/>
      <w:pPr>
        <w:ind w:left="1440" w:hanging="1440"/>
      </w:pPr>
      <w:rPr>
        <w:rFonts w:eastAsia="MinionPro-Regular" w:hint="default"/>
      </w:rPr>
    </w:lvl>
    <w:lvl w:ilvl="8">
      <w:start w:val="1"/>
      <w:numFmt w:val="decimal"/>
      <w:isLgl/>
      <w:lvlText w:val="%1.%2.%3.%4.%5.%6.%7.%8.%9"/>
      <w:lvlJc w:val="left"/>
      <w:pPr>
        <w:ind w:left="1800" w:hanging="1800"/>
      </w:pPr>
      <w:rPr>
        <w:rFonts w:eastAsia="MinionPro-Regular" w:hint="default"/>
      </w:rPr>
    </w:lvl>
  </w:abstractNum>
  <w:abstractNum w:abstractNumId="30" w15:restartNumberingAfterBreak="0">
    <w:nsid w:val="6A174942"/>
    <w:multiLevelType w:val="hybridMultilevel"/>
    <w:tmpl w:val="9DF2B64A"/>
    <w:lvl w:ilvl="0" w:tplc="5E7A04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77CB037E"/>
    <w:multiLevelType w:val="multilevel"/>
    <w:tmpl w:val="4344F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CD95755"/>
    <w:multiLevelType w:val="multilevel"/>
    <w:tmpl w:val="3DE86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EC063D1"/>
    <w:multiLevelType w:val="hybridMultilevel"/>
    <w:tmpl w:val="40E4FB8A"/>
    <w:lvl w:ilvl="0" w:tplc="C81C8F12">
      <w:start w:val="3"/>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4" w15:restartNumberingAfterBreak="0">
    <w:nsid w:val="7F2632E2"/>
    <w:multiLevelType w:val="multilevel"/>
    <w:tmpl w:val="94586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F0738B"/>
    <w:multiLevelType w:val="multilevel"/>
    <w:tmpl w:val="E2C2E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2"/>
  </w:num>
  <w:num w:numId="2">
    <w:abstractNumId w:val="15"/>
  </w:num>
  <w:num w:numId="3">
    <w:abstractNumId w:val="14"/>
  </w:num>
  <w:num w:numId="4">
    <w:abstractNumId w:val="25"/>
  </w:num>
  <w:num w:numId="5">
    <w:abstractNumId w:val="29"/>
  </w:num>
  <w:num w:numId="6">
    <w:abstractNumId w:val="26"/>
  </w:num>
  <w:num w:numId="7">
    <w:abstractNumId w:val="22"/>
  </w:num>
  <w:num w:numId="8">
    <w:abstractNumId w:val="20"/>
  </w:num>
  <w:num w:numId="9">
    <w:abstractNumId w:val="16"/>
  </w:num>
  <w:num w:numId="10">
    <w:abstractNumId w:val="17"/>
  </w:num>
  <w:num w:numId="11">
    <w:abstractNumId w:val="21"/>
  </w:num>
  <w:num w:numId="12">
    <w:abstractNumId w:val="11"/>
  </w:num>
  <w:num w:numId="13">
    <w:abstractNumId w:val="19"/>
  </w:num>
  <w:num w:numId="14">
    <w:abstractNumId w:val="31"/>
  </w:num>
  <w:num w:numId="15">
    <w:abstractNumId w:val="28"/>
  </w:num>
  <w:num w:numId="16">
    <w:abstractNumId w:val="34"/>
  </w:num>
  <w:num w:numId="17">
    <w:abstractNumId w:val="13"/>
  </w:num>
  <w:num w:numId="18">
    <w:abstractNumId w:val="12"/>
  </w:num>
  <w:num w:numId="19">
    <w:abstractNumId w:val="33"/>
  </w:num>
  <w:num w:numId="20">
    <w:abstractNumId w:val="18"/>
  </w:num>
  <w:num w:numId="21">
    <w:abstractNumId w:val="27"/>
  </w:num>
  <w:num w:numId="22">
    <w:abstractNumId w:val="35"/>
  </w:num>
  <w:num w:numId="23">
    <w:abstractNumId w:val="8"/>
  </w:num>
  <w:num w:numId="24">
    <w:abstractNumId w:val="3"/>
  </w:num>
  <w:num w:numId="25">
    <w:abstractNumId w:val="2"/>
  </w:num>
  <w:num w:numId="26">
    <w:abstractNumId w:val="1"/>
  </w:num>
  <w:num w:numId="27">
    <w:abstractNumId w:val="0"/>
  </w:num>
  <w:num w:numId="28">
    <w:abstractNumId w:val="9"/>
  </w:num>
  <w:num w:numId="29">
    <w:abstractNumId w:val="7"/>
  </w:num>
  <w:num w:numId="30">
    <w:abstractNumId w:val="6"/>
  </w:num>
  <w:num w:numId="31">
    <w:abstractNumId w:val="5"/>
  </w:num>
  <w:num w:numId="32">
    <w:abstractNumId w:val="4"/>
  </w:num>
  <w:num w:numId="33">
    <w:abstractNumId w:val="10"/>
  </w:num>
  <w:num w:numId="34">
    <w:abstractNumId w:val="23"/>
  </w:num>
  <w:num w:numId="35">
    <w:abstractNumId w:val="24"/>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5:chartTrackingRefBased/>
  <w15:docId w15:val="{F66C010A-556B-4F81-9B77-C972B536E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szCs w:val="21"/>
    </w:rPr>
  </w:style>
  <w:style w:type="paragraph" w:styleId="Heading1">
    <w:name w:val="heading 1"/>
    <w:basedOn w:val="Normal"/>
    <w:next w:val="Normal"/>
    <w:link w:val="Heading1Char"/>
    <w:uiPriority w:val="9"/>
    <w:qFormat/>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
    <w:unhideWhenUsed/>
    <w:qFormat/>
    <w:pPr>
      <w:keepNext/>
      <w:keepLines/>
      <w:spacing w:line="480" w:lineRule="auto"/>
      <w:outlineLvl w:val="1"/>
    </w:pPr>
    <w:rPr>
      <w:rFonts w:ascii="Times New Roman" w:eastAsia="Times New Roman" w:hAnsi="Times New Roman" w:cstheme="majorBidi"/>
      <w:b/>
      <w:bCs/>
      <w:sz w:val="24"/>
      <w:szCs w:val="32"/>
    </w:rPr>
  </w:style>
  <w:style w:type="paragraph" w:styleId="Heading3">
    <w:name w:val="heading 3"/>
    <w:basedOn w:val="Normal"/>
    <w:next w:val="Normal"/>
    <w:link w:val="Heading3Char"/>
    <w:uiPriority w:val="9"/>
    <w:unhideWhenUsed/>
    <w:qFormat/>
    <w:pPr>
      <w:keepNext/>
      <w:keepLines/>
      <w:spacing w:line="480" w:lineRule="auto"/>
      <w:outlineLvl w:val="2"/>
    </w:pPr>
    <w:rPr>
      <w:b/>
      <w:bCs/>
      <w:sz w:val="32"/>
      <w:szCs w:val="32"/>
    </w:rPr>
  </w:style>
  <w:style w:type="paragraph" w:styleId="Heading4">
    <w:name w:val="heading 4"/>
    <w:basedOn w:val="Normal"/>
    <w:next w:val="Normal"/>
    <w:link w:val="Heading4Char"/>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a">
    <w:name w:val="三线表"/>
    <w:basedOn w:val="TableNormal"/>
    <w:uiPriority w:val="99"/>
    <w:tblPr>
      <w:tblBorders>
        <w:top w:val="single" w:sz="8" w:space="0" w:color="auto"/>
        <w:bottom w:val="single" w:sz="8" w:space="0" w:color="auto"/>
      </w:tblBorders>
    </w:tblPr>
    <w:tblStylePr w:type="firstRow">
      <w:tblPr/>
      <w:tcPr>
        <w:tcBorders>
          <w:bottom w:val="single" w:sz="4" w:space="0" w:color="auto"/>
        </w:tcBorders>
      </w:tcPr>
    </w:tblStylePr>
  </w:style>
  <w:style w:type="paragraph" w:customStyle="1" w:styleId="1">
    <w:name w:val="正文1"/>
    <w:link w:val="10"/>
    <w:qFormat/>
    <w:rPr>
      <w:rFonts w:ascii="Times New Roman" w:eastAsia="SimSun" w:hAnsi="Times New Roman"/>
      <w:sz w:val="24"/>
    </w:rPr>
  </w:style>
  <w:style w:type="character" w:customStyle="1" w:styleId="10">
    <w:name w:val="正文1 字符"/>
    <w:basedOn w:val="DefaultParagraphFont"/>
    <w:link w:val="1"/>
    <w:rPr>
      <w:rFonts w:ascii="Times New Roman" w:eastAsia="SimSun" w:hAnsi="Times New Roman"/>
      <w:sz w:val="24"/>
    </w:rPr>
  </w:style>
  <w:style w:type="character" w:customStyle="1" w:styleId="Heading2Char">
    <w:name w:val="Heading 2 Char"/>
    <w:basedOn w:val="DefaultParagraphFont"/>
    <w:link w:val="Heading2"/>
    <w:uiPriority w:val="9"/>
    <w:rPr>
      <w:rFonts w:ascii="Times New Roman" w:eastAsia="Times New Roman" w:hAnsi="Times New Roman" w:cstheme="majorBidi"/>
      <w:b/>
      <w:bCs/>
      <w:sz w:val="24"/>
      <w:szCs w:val="32"/>
    </w:rPr>
  </w:style>
  <w:style w:type="character" w:customStyle="1" w:styleId="Heading3Char">
    <w:name w:val="Heading 3 Char"/>
    <w:basedOn w:val="DefaultParagraphFont"/>
    <w:link w:val="Heading3"/>
    <w:uiPriority w:val="9"/>
    <w:rPr>
      <w:b/>
      <w:bCs/>
      <w:sz w:val="32"/>
      <w:szCs w:val="32"/>
    </w:rPr>
  </w:style>
  <w:style w:type="character" w:customStyle="1" w:styleId="Heading1Char">
    <w:name w:val="Heading 1 Char"/>
    <w:basedOn w:val="DefaultParagraphFont"/>
    <w:link w:val="Heading1"/>
    <w:uiPriority w:val="9"/>
    <w:rPr>
      <w:b/>
      <w:bCs/>
      <w:kern w:val="44"/>
      <w:sz w:val="44"/>
      <w:szCs w:val="44"/>
    </w:rPr>
  </w:style>
  <w:style w:type="paragraph" w:customStyle="1" w:styleId="a0">
    <w:name w:val="英文论文"/>
    <w:link w:val="a1"/>
    <w:qFormat/>
    <w:pPr>
      <w:spacing w:line="480" w:lineRule="auto"/>
    </w:pPr>
    <w:rPr>
      <w:rFonts w:ascii="Times New Roman" w:eastAsia="SimSun" w:hAnsi="Times New Roman"/>
      <w:sz w:val="24"/>
      <w:szCs w:val="21"/>
    </w:rPr>
  </w:style>
  <w:style w:type="character" w:customStyle="1" w:styleId="a1">
    <w:name w:val="英文论文 字符"/>
    <w:basedOn w:val="DefaultParagraphFont"/>
    <w:link w:val="a0"/>
    <w:rPr>
      <w:rFonts w:ascii="Times New Roman" w:eastAsia="SimSun" w:hAnsi="Times New Roman"/>
      <w:sz w:val="24"/>
      <w:szCs w:val="21"/>
    </w:rPr>
  </w:style>
  <w:style w:type="character" w:customStyle="1" w:styleId="Heading4Char">
    <w:name w:val="Heading 4 Char"/>
    <w:basedOn w:val="DefaultParagraphFont"/>
    <w:link w:val="Heading4"/>
    <w:uiPriority w:val="9"/>
    <w:rPr>
      <w:rFonts w:asciiTheme="majorHAnsi" w:eastAsiaTheme="majorEastAsia" w:hAnsiTheme="majorHAnsi" w:cstheme="majorBidi"/>
      <w:b/>
      <w:bCs/>
      <w:sz w:val="28"/>
      <w:szCs w:val="28"/>
    </w:rPr>
  </w:style>
  <w:style w:type="paragraph" w:styleId="Header">
    <w:name w:val="header"/>
    <w:basedOn w:val="Normal"/>
    <w:link w:val="HeaderChar"/>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Pr>
      <w:sz w:val="18"/>
      <w:szCs w:val="18"/>
    </w:rPr>
  </w:style>
  <w:style w:type="paragraph" w:styleId="Footer">
    <w:name w:val="footer"/>
    <w:basedOn w:val="Normal"/>
    <w:link w:val="FooterChar"/>
    <w:uiPriority w:val="99"/>
    <w:unhideWhenUsed/>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Pr>
      <w:sz w:val="18"/>
      <w:szCs w:val="18"/>
    </w:rPr>
  </w:style>
  <w:style w:type="paragraph" w:customStyle="1" w:styleId="EndNoteBibliographyTitle">
    <w:name w:val="EndNote Bibliography Title"/>
    <w:basedOn w:val="Normal"/>
    <w:link w:val="EndNoteBibliographyTitle0"/>
    <w:pPr>
      <w:jc w:val="center"/>
    </w:pPr>
    <w:rPr>
      <w:rFonts w:ascii="Times New Roman" w:eastAsia="DengXian" w:hAnsi="Times New Roman" w:cs="Times New Roman"/>
      <w:noProof/>
      <w:sz w:val="24"/>
    </w:rPr>
  </w:style>
  <w:style w:type="character" w:customStyle="1" w:styleId="EndNoteBibliographyTitle0">
    <w:name w:val="EndNote Bibliography Title 字符"/>
    <w:basedOn w:val="DefaultParagraphFont"/>
    <w:link w:val="EndNoteBibliographyTitle"/>
    <w:rPr>
      <w:rFonts w:ascii="Times New Roman" w:eastAsia="DengXian" w:hAnsi="Times New Roman" w:cs="Times New Roman"/>
      <w:noProof/>
      <w:sz w:val="24"/>
      <w:szCs w:val="21"/>
    </w:rPr>
  </w:style>
  <w:style w:type="paragraph" w:customStyle="1" w:styleId="EndNoteBibliography">
    <w:name w:val="EndNote Bibliography"/>
    <w:basedOn w:val="Normal"/>
    <w:link w:val="EndNoteBibliography0"/>
    <w:pPr>
      <w:spacing w:line="480" w:lineRule="auto"/>
    </w:pPr>
    <w:rPr>
      <w:rFonts w:ascii="Times New Roman" w:eastAsia="DengXian" w:hAnsi="Times New Roman" w:cs="Times New Roman"/>
      <w:noProof/>
      <w:sz w:val="24"/>
    </w:rPr>
  </w:style>
  <w:style w:type="character" w:customStyle="1" w:styleId="EndNoteBibliography0">
    <w:name w:val="EndNote Bibliography 字符"/>
    <w:basedOn w:val="DefaultParagraphFont"/>
    <w:link w:val="EndNoteBibliography"/>
    <w:rPr>
      <w:rFonts w:ascii="Times New Roman" w:eastAsia="DengXian" w:hAnsi="Times New Roman" w:cs="Times New Roman"/>
      <w:noProof/>
      <w:sz w:val="24"/>
      <w:szCs w:val="21"/>
    </w:rPr>
  </w:style>
  <w:style w:type="character" w:customStyle="1" w:styleId="tran">
    <w:name w:val="tran"/>
    <w:basedOn w:val="DefaultParagraphFont"/>
  </w:style>
  <w:style w:type="character" w:customStyle="1" w:styleId="apple-converted-space">
    <w:name w:val="apple-converted-space"/>
    <w:basedOn w:val="DefaultParagraphFont"/>
  </w:style>
  <w:style w:type="paragraph" w:customStyle="1" w:styleId="Default">
    <w:name w:val="Default"/>
    <w:pPr>
      <w:widowControl w:val="0"/>
      <w:autoSpaceDE w:val="0"/>
      <w:autoSpaceDN w:val="0"/>
      <w:adjustRightInd w:val="0"/>
    </w:pPr>
    <w:rPr>
      <w:rFonts w:ascii="Times New Roman" w:hAnsi="Times New Roman" w:cs="Arial"/>
      <w:color w:val="000000"/>
      <w:kern w:val="0"/>
      <w:sz w:val="24"/>
      <w:szCs w:val="24"/>
    </w:rPr>
  </w:style>
  <w:style w:type="paragraph" w:styleId="CommentText">
    <w:name w:val="annotation text"/>
    <w:basedOn w:val="Normal"/>
    <w:link w:val="CommentTextChar"/>
    <w:uiPriority w:val="99"/>
    <w:unhideWhenUsed/>
    <w:pPr>
      <w:widowControl/>
      <w:spacing w:after="200" w:line="276" w:lineRule="auto"/>
      <w:jc w:val="left"/>
    </w:pPr>
    <w:rPr>
      <w:kern w:val="0"/>
      <w:sz w:val="22"/>
    </w:rPr>
  </w:style>
  <w:style w:type="character" w:customStyle="1" w:styleId="CommentTextChar">
    <w:name w:val="Comment Text Char"/>
    <w:basedOn w:val="DefaultParagraphFont"/>
    <w:link w:val="CommentText"/>
    <w:uiPriority w:val="99"/>
    <w:rPr>
      <w:kern w:val="0"/>
      <w:sz w:val="22"/>
      <w:szCs w:val="21"/>
    </w:rPr>
  </w:style>
  <w:style w:type="character" w:styleId="Hyperlink">
    <w:name w:val="Hyperlink"/>
    <w:basedOn w:val="DefaultParagraphFont"/>
    <w:uiPriority w:val="99"/>
    <w:unhideWhenUsed/>
    <w:rPr>
      <w:color w:val="0000FF"/>
      <w:u w:val="single"/>
    </w:rPr>
  </w:style>
  <w:style w:type="paragraph" w:customStyle="1" w:styleId="src">
    <w:name w:val="src"/>
    <w:basedOn w:val="Normal"/>
    <w:pPr>
      <w:widowControl/>
      <w:spacing w:before="100" w:beforeAutospacing="1" w:after="100" w:afterAutospacing="1"/>
      <w:jc w:val="left"/>
    </w:pPr>
    <w:rPr>
      <w:rFonts w:ascii="SimSun" w:eastAsia="SimSun" w:hAnsi="SimSun" w:cs="SimSun"/>
      <w:kern w:val="0"/>
      <w:sz w:val="24"/>
      <w:szCs w:val="24"/>
    </w:rPr>
  </w:style>
  <w:style w:type="paragraph" w:styleId="BalloonText">
    <w:name w:val="Balloon Text"/>
    <w:basedOn w:val="Normal"/>
    <w:link w:val="BalloonTextChar"/>
    <w:uiPriority w:val="99"/>
    <w:semiHidden/>
    <w:unhideWhenUsed/>
    <w:rPr>
      <w:sz w:val="18"/>
      <w:szCs w:val="18"/>
    </w:rPr>
  </w:style>
  <w:style w:type="character" w:customStyle="1" w:styleId="BalloonTextChar">
    <w:name w:val="Balloon Text Char"/>
    <w:basedOn w:val="DefaultParagraphFont"/>
    <w:link w:val="BalloonText"/>
    <w:uiPriority w:val="99"/>
    <w:semiHidden/>
    <w:rPr>
      <w:sz w:val="18"/>
      <w:szCs w:val="18"/>
    </w:rPr>
  </w:style>
  <w:style w:type="paragraph" w:styleId="ListParagraph">
    <w:name w:val="List Paragraph"/>
    <w:basedOn w:val="Normal"/>
    <w:uiPriority w:val="34"/>
    <w:qFormat/>
    <w:pPr>
      <w:ind w:firstLineChars="200" w:firstLine="420"/>
    </w:pPr>
  </w:style>
  <w:style w:type="character" w:styleId="Emphasis">
    <w:name w:val="Emphasis"/>
    <w:basedOn w:val="DefaultParagraphFont"/>
    <w:uiPriority w:val="20"/>
    <w:qFormat/>
    <w:rPr>
      <w:i/>
      <w:iCs/>
    </w:rPr>
  </w:style>
  <w:style w:type="paragraph" w:styleId="NoSpacing">
    <w:name w:val="No Spacing"/>
    <w:uiPriority w:val="1"/>
    <w:qFormat/>
    <w:pPr>
      <w:widowControl w:val="0"/>
      <w:jc w:val="both"/>
    </w:pPr>
    <w:rPr>
      <w:szCs w:val="21"/>
    </w:rPr>
  </w:style>
  <w:style w:type="paragraph" w:styleId="NormalWeb">
    <w:name w:val="Normal (Web)"/>
    <w:basedOn w:val="Normal"/>
    <w:uiPriority w:val="99"/>
    <w:semiHidden/>
    <w:unhideWhenUsed/>
    <w:pPr>
      <w:widowControl/>
      <w:spacing w:before="100" w:beforeAutospacing="1" w:after="100" w:afterAutospacing="1"/>
      <w:jc w:val="left"/>
    </w:pPr>
    <w:rPr>
      <w:rFonts w:ascii="SimSun" w:eastAsia="SimSun" w:hAnsi="SimSun" w:cs="SimSun"/>
      <w:kern w:val="0"/>
      <w:sz w:val="24"/>
      <w:szCs w:val="24"/>
    </w:rPr>
  </w:style>
  <w:style w:type="character" w:customStyle="1" w:styleId="figpopup-sensitive-area">
    <w:name w:val="figpopup-sensitive-area"/>
    <w:basedOn w:val="DefaultParagraphFont"/>
  </w:style>
  <w:style w:type="character" w:customStyle="1" w:styleId="mo">
    <w:name w:val="mo"/>
    <w:basedOn w:val="DefaultParagraphFont"/>
  </w:style>
  <w:style w:type="character" w:customStyle="1" w:styleId="mn">
    <w:name w:val="mn"/>
    <w:basedOn w:val="DefaultParagraphFont"/>
  </w:style>
  <w:style w:type="character" w:customStyle="1" w:styleId="mtext">
    <w:name w:val="mtext"/>
    <w:basedOn w:val="DefaultParagraphFont"/>
  </w:style>
  <w:style w:type="character" w:customStyle="1" w:styleId="highlight">
    <w:name w:val="highlight"/>
    <w:basedOn w:val="DefaultParagraphFont"/>
  </w:style>
  <w:style w:type="character" w:customStyle="1" w:styleId="title-text">
    <w:name w:val="title-text"/>
    <w:basedOn w:val="DefaultParagraphFont"/>
    <w:uiPriority w:val="99"/>
  </w:style>
  <w:style w:type="character" w:customStyle="1" w:styleId="tgt">
    <w:name w:val="tgt"/>
    <w:basedOn w:val="DefaultParagraphFont"/>
  </w:style>
  <w:style w:type="character" w:styleId="CommentReference">
    <w:name w:val="annotation reference"/>
    <w:basedOn w:val="DefaultParagraphFont"/>
    <w:uiPriority w:val="99"/>
    <w:semiHidden/>
    <w:unhideWhenUsed/>
    <w:rPr>
      <w:sz w:val="21"/>
      <w:szCs w:val="21"/>
    </w:rPr>
  </w:style>
  <w:style w:type="paragraph" w:styleId="CommentSubject">
    <w:name w:val="annotation subject"/>
    <w:basedOn w:val="CommentText"/>
    <w:next w:val="CommentText"/>
    <w:link w:val="CommentSubjectChar"/>
    <w:uiPriority w:val="99"/>
    <w:semiHidden/>
    <w:unhideWhenUsed/>
    <w:pPr>
      <w:widowControl w:val="0"/>
      <w:spacing w:after="0" w:line="240" w:lineRule="auto"/>
    </w:pPr>
    <w:rPr>
      <w:b/>
      <w:bCs/>
    </w:rPr>
  </w:style>
  <w:style w:type="character" w:customStyle="1" w:styleId="CommentSubjectChar">
    <w:name w:val="Comment Subject Char"/>
    <w:basedOn w:val="CommentTextChar"/>
    <w:link w:val="CommentSubject"/>
    <w:uiPriority w:val="99"/>
    <w:semiHidden/>
    <w:rPr>
      <w:b/>
      <w:bCs/>
      <w:kern w:val="0"/>
      <w:sz w:val="22"/>
      <w:szCs w:val="21"/>
    </w:rPr>
  </w:style>
  <w:style w:type="character" w:styleId="LineNumber">
    <w:name w:val="line number"/>
    <w:basedOn w:val="DefaultParagraphFont"/>
    <w:uiPriority w:val="99"/>
    <w:unhideWhenUsed/>
    <w:rPr>
      <w:rFonts w:ascii="Times New Roman" w:hAnsi="Times New Roman"/>
      <w:sz w:val="24"/>
    </w:rPr>
  </w:style>
  <w:style w:type="character" w:customStyle="1" w:styleId="skip">
    <w:name w:val="skip"/>
    <w:basedOn w:val="DefaultParagraphFont"/>
  </w:style>
  <w:style w:type="character" w:customStyle="1" w:styleId="normaltextrun">
    <w:name w:val="normaltextrun"/>
    <w:basedOn w:val="DefaultParagraphFont"/>
  </w:style>
  <w:style w:type="character" w:customStyle="1" w:styleId="spellingerror">
    <w:name w:val="spellingerror"/>
    <w:basedOn w:val="DefaultParagraphFont"/>
  </w:style>
  <w:style w:type="character" w:customStyle="1" w:styleId="eop">
    <w:name w:val="eop"/>
    <w:basedOn w:val="DefaultParagraphFont"/>
  </w:style>
  <w:style w:type="paragraph" w:customStyle="1" w:styleId="paragraph">
    <w:name w:val="paragraph"/>
    <w:basedOn w:val="Normal"/>
    <w:pPr>
      <w:widowControl/>
      <w:spacing w:before="100" w:beforeAutospacing="1" w:after="100" w:afterAutospacing="1"/>
      <w:jc w:val="left"/>
    </w:pPr>
    <w:rPr>
      <w:rFonts w:ascii="Times New Roman" w:eastAsia="Times New Roman" w:hAnsi="Times New Roman" w:cs="Times New Roman"/>
      <w:kern w:val="0"/>
      <w:sz w:val="24"/>
      <w:szCs w:val="24"/>
    </w:rPr>
  </w:style>
  <w:style w:type="character" w:customStyle="1" w:styleId="st1">
    <w:name w:val="st1"/>
  </w:style>
  <w:style w:type="character" w:styleId="FollowedHyperlink">
    <w:name w:val="FollowedHyperlink"/>
    <w:basedOn w:val="DefaultParagraphFont"/>
    <w:uiPriority w:val="99"/>
    <w:semiHidden/>
    <w:unhideWhenUsed/>
    <w:rPr>
      <w:color w:val="954F72" w:themeColor="followedHyperlink"/>
      <w:u w:val="single"/>
    </w:rPr>
  </w:style>
  <w:style w:type="paragraph" w:styleId="Revision">
    <w:name w:val="Revision"/>
    <w:hidden/>
    <w:uiPriority w:val="99"/>
    <w:semiHidden/>
    <w:rPr>
      <w:szCs w:val="21"/>
    </w:rPr>
  </w:style>
  <w:style w:type="character" w:customStyle="1" w:styleId="11">
    <w:name w:val="未处理的提及1"/>
    <w:basedOn w:val="DefaultParagraphFont"/>
    <w:uiPriority w:val="99"/>
    <w:semiHidden/>
    <w:unhideWhenUsed/>
    <w:rPr>
      <w:color w:val="605E5C"/>
      <w:shd w:val="clear" w:color="auto" w:fill="E1DFDD"/>
    </w:rPr>
  </w:style>
  <w:style w:type="character" w:customStyle="1"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linlinwang@bjmu.edu.cn" TargetMode="External"/><Relationship Id="rId12" Type="http://schemas.openxmlformats.org/officeDocument/2006/relationships/image" Target="media/image3.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tif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tiff"/><Relationship Id="rId4" Type="http://schemas.openxmlformats.org/officeDocument/2006/relationships/webSettings" Target="webSettings.xml"/><Relationship Id="rId9" Type="http://schemas.openxmlformats.org/officeDocument/2006/relationships/hyperlink" Target="https://www-sciencedirect-com.emedien.ub.uni-muenchen.de/topics/earth-and-planetary-sciences/purification"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31</Pages>
  <Words>6146</Words>
  <Characters>35038</Characters>
  <Application>Microsoft Office Word</Application>
  <DocSecurity>0</DocSecurity>
  <Lines>291</Lines>
  <Paragraphs>82</Paragraphs>
  <ScaleCrop>false</ScaleCrop>
  <Company/>
  <LinksUpToDate>false</LinksUpToDate>
  <CharactersWithSpaces>41102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 wl</dc:creator>
  <cp:keywords/>
  <dc:description/>
  <cp:lastModifiedBy>wenli.ni</cp:lastModifiedBy>
  <cp:revision>11</cp:revision>
  <dcterms:created xsi:type="dcterms:W3CDTF">2020-11-19T17:35:00Z</dcterms:created>
  <dcterms:modified xsi:type="dcterms:W3CDTF">2021-03-25T14:48:00Z</dcterms:modified>
</cp:coreProperties>
</file>