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100" w:after="100" w:line="360" w:lineRule="auto"/>
        <w:jc w:val="center"/>
        <w:rPr>
          <w:rFonts w:eastAsia="Times New Roman" w:cstheme="minorHAnsi"/>
          <w:b/>
          <w:sz w:val="24"/>
          <w:szCs w:val="24"/>
          <w:lang w:eastAsia="en-GB"/>
        </w:rPr>
      </w:pPr>
      <w:r>
        <w:rPr>
          <w:rFonts w:eastAsia="Times New Roman" w:cstheme="minorHAnsi"/>
          <w:b/>
          <w:sz w:val="24"/>
          <w:szCs w:val="24"/>
          <w:lang w:eastAsia="en-GB"/>
        </w:rPr>
        <w:t>SUPPLEMENTARY INFORMATION</w:t>
      </w:r>
    </w:p>
    <w:p>
      <w:pPr>
        <w:spacing w:before="100" w:after="100" w:line="360" w:lineRule="auto"/>
        <w:jc w:val="center"/>
        <w:rPr>
          <w:rFonts w:eastAsia="Times New Roman" w:cstheme="minorHAnsi"/>
          <w:b/>
          <w:sz w:val="24"/>
          <w:szCs w:val="24"/>
          <w:lang w:eastAsia="en-GB"/>
        </w:rPr>
      </w:pPr>
      <w:proofErr w:type="gramStart"/>
      <w:r>
        <w:rPr>
          <w:rFonts w:eastAsia="Times New Roman" w:cstheme="minorHAnsi"/>
          <w:b/>
          <w:sz w:val="24"/>
          <w:szCs w:val="24"/>
          <w:lang w:eastAsia="en-GB"/>
        </w:rPr>
        <w:t>to</w:t>
      </w:r>
      <w:proofErr w:type="gramEnd"/>
    </w:p>
    <w:p>
      <w:pPr>
        <w:spacing w:before="100" w:after="100" w:line="360" w:lineRule="auto"/>
        <w:jc w:val="center"/>
        <w:rPr>
          <w:rFonts w:eastAsia="Times New Roman" w:cstheme="minorHAnsi"/>
          <w:b/>
          <w:sz w:val="24"/>
          <w:szCs w:val="24"/>
          <w:lang w:eastAsia="en-GB"/>
        </w:rPr>
      </w:pPr>
      <w:r>
        <w:rPr>
          <w:rFonts w:eastAsia="Times New Roman" w:cstheme="minorHAnsi"/>
          <w:b/>
          <w:sz w:val="24"/>
          <w:szCs w:val="24"/>
          <w:lang w:eastAsia="en-GB"/>
        </w:rPr>
        <w:t>In vitro optoacoustic flow-cytometry with light scattering referencing</w:t>
      </w:r>
    </w:p>
    <w:p>
      <w:pPr>
        <w:spacing w:before="100" w:after="100" w:line="360" w:lineRule="auto"/>
        <w:jc w:val="center"/>
        <w:rPr>
          <w:rFonts w:eastAsia="Times New Roman" w:cstheme="minorHAnsi"/>
          <w:sz w:val="24"/>
          <w:szCs w:val="24"/>
          <w:lang w:val="de-DE" w:eastAsia="en-GB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325755</wp:posOffset>
                </wp:positionH>
                <wp:positionV relativeFrom="paragraph">
                  <wp:posOffset>2892425</wp:posOffset>
                </wp:positionV>
                <wp:extent cx="5724525" cy="532130"/>
                <wp:effectExtent l="0" t="0" r="9525" b="1270"/>
                <wp:wrapTopAndBottom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525" cy="53213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eastAsia="Times New Roman" w:cstheme="minorHAns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Supplementary Fig. 1 Separation slope at different flow rates. </w:t>
                            </w:r>
                            <w:r>
                              <w:rPr>
                                <w:rFonts w:eastAsia="Times New Roman" w:cstheme="minorHAns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The slope for separating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i/>
                                <w:iCs/>
                                <w:sz w:val="16"/>
                                <w:szCs w:val="16"/>
                              </w:rPr>
                              <w:t>mkO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and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i/>
                                <w:iCs/>
                                <w:sz w:val="16"/>
                                <w:szCs w:val="16"/>
                              </w:rPr>
                              <w:t>mCherry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was individually optimized for 3 measurements per flow rate at 12 different flow rates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i/>
                                <w:iCs/>
                                <w:sz w:val="16"/>
                                <w:szCs w:val="16"/>
                              </w:rPr>
                              <w:t>whith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each measurement lasting 1 min. In all cases, a separation of ~90% was achieved.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3C115E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left:0;text-align:left;margin-left:25.65pt;margin-top:227.75pt;width:450.75pt;height:41.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" stroked="f">
                <v:textbox inset="0,0,0,0">
                  <w:txbxContent>
                    <w:p w14:paraId="360BC99A" w14:textId="35B32612" w:rsidR="00000000" w:rsidRPr="006918B9" w:rsidRDefault="00A95483" w:rsidP="006918B9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jc w:val="both"/>
                        <w:rPr>
                          <w:rFonts w:eastAsia="Times New Roman" w:cstheme="minorHAnsi"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eastAsia="Times New Roman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 xml:space="preserve">Supplementary </w:t>
                      </w:r>
                      <w:r w:rsidRPr="00A95483">
                        <w:rPr>
                          <w:rFonts w:eastAsia="Times New Roman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 xml:space="preserve">Fig. </w:t>
                      </w:r>
                      <w:r>
                        <w:rPr>
                          <w:rFonts w:eastAsia="Times New Roman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>1</w:t>
                      </w:r>
                      <w:r w:rsidRPr="00A95483">
                        <w:rPr>
                          <w:rFonts w:eastAsia="Times New Roman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eastAsia="Times New Roman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 xml:space="preserve">Separation slope at different </w:t>
                      </w:r>
                      <w:r w:rsidR="00CE2F5C">
                        <w:rPr>
                          <w:rFonts w:eastAsia="Times New Roman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>flow rates</w:t>
                      </w:r>
                      <w:r>
                        <w:rPr>
                          <w:rFonts w:eastAsia="Times New Roman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 xml:space="preserve">. </w:t>
                      </w:r>
                      <w:r>
                        <w:rPr>
                          <w:rFonts w:eastAsia="Times New Roman" w:cstheme="minorHAnsi"/>
                          <w:i/>
                          <w:iCs/>
                          <w:sz w:val="16"/>
                          <w:szCs w:val="16"/>
                        </w:rPr>
                        <w:t>The slope</w:t>
                      </w:r>
                      <w:r w:rsidRPr="00A95483">
                        <w:rPr>
                          <w:rFonts w:eastAsia="Times New Roman" w:cstheme="minorHAnsi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eastAsia="Times New Roman" w:cstheme="minorHAnsi"/>
                          <w:i/>
                          <w:iCs/>
                          <w:sz w:val="16"/>
                          <w:szCs w:val="16"/>
                        </w:rPr>
                        <w:t xml:space="preserve">for separating mkO and mCherry was individually optimized </w:t>
                      </w:r>
                      <w:r w:rsidR="00F50939">
                        <w:rPr>
                          <w:rFonts w:eastAsia="Times New Roman" w:cstheme="minorHAnsi"/>
                          <w:i/>
                          <w:iCs/>
                          <w:sz w:val="16"/>
                          <w:szCs w:val="16"/>
                        </w:rPr>
                        <w:t>for</w:t>
                      </w:r>
                      <w:r>
                        <w:rPr>
                          <w:rFonts w:eastAsia="Times New Roman" w:cstheme="minorHAnsi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r w:rsidRPr="00A95483">
                        <w:rPr>
                          <w:rFonts w:eastAsia="Times New Roman" w:cstheme="minorHAnsi"/>
                          <w:i/>
                          <w:iCs/>
                          <w:sz w:val="16"/>
                          <w:szCs w:val="16"/>
                        </w:rPr>
                        <w:t xml:space="preserve">3 measurements per flow </w:t>
                      </w:r>
                      <w:r w:rsidRPr="00A95483">
                        <w:rPr>
                          <w:rFonts w:eastAsia="Times New Roman" w:cstheme="minorHAnsi"/>
                          <w:i/>
                          <w:iCs/>
                          <w:sz w:val="16"/>
                          <w:szCs w:val="16"/>
                        </w:rPr>
                        <w:t>rate at</w:t>
                      </w:r>
                      <w:r w:rsidRPr="00A95483">
                        <w:rPr>
                          <w:rFonts w:eastAsia="Times New Roman" w:cstheme="minorHAnsi"/>
                          <w:i/>
                          <w:iCs/>
                          <w:sz w:val="16"/>
                          <w:szCs w:val="16"/>
                        </w:rPr>
                        <w:t xml:space="preserve"> 12 different flow </w:t>
                      </w:r>
                      <w:r w:rsidRPr="00A95483">
                        <w:rPr>
                          <w:rFonts w:eastAsia="Times New Roman" w:cstheme="minorHAnsi"/>
                          <w:i/>
                          <w:iCs/>
                          <w:sz w:val="16"/>
                          <w:szCs w:val="16"/>
                        </w:rPr>
                        <w:t>rates whith</w:t>
                      </w:r>
                      <w:r w:rsidRPr="00A95483">
                        <w:rPr>
                          <w:rFonts w:eastAsia="Times New Roman" w:cstheme="minorHAnsi"/>
                          <w:i/>
                          <w:iCs/>
                          <w:sz w:val="16"/>
                          <w:szCs w:val="16"/>
                        </w:rPr>
                        <w:t xml:space="preserve"> each measurement lasting 1 min</w:t>
                      </w:r>
                      <w:r w:rsidRPr="00A95483">
                        <w:rPr>
                          <w:rFonts w:eastAsia="Times New Roman" w:cstheme="minorHAnsi"/>
                          <w:i/>
                          <w:iCs/>
                          <w:sz w:val="16"/>
                          <w:szCs w:val="16"/>
                        </w:rPr>
                        <w:t xml:space="preserve">. </w:t>
                      </w:r>
                      <w:r w:rsidRPr="00A95483">
                        <w:rPr>
                          <w:rFonts w:eastAsia="Times New Roman" w:cstheme="minorHAnsi"/>
                          <w:i/>
                          <w:iCs/>
                          <w:sz w:val="16"/>
                          <w:szCs w:val="16"/>
                        </w:rPr>
                        <w:t xml:space="preserve">In all cases, </w:t>
                      </w:r>
                      <w:r w:rsidR="00F50939">
                        <w:rPr>
                          <w:rFonts w:eastAsia="Times New Roman" w:cstheme="minorHAnsi"/>
                          <w:i/>
                          <w:iCs/>
                          <w:sz w:val="16"/>
                          <w:szCs w:val="16"/>
                        </w:rPr>
                        <w:t>a</w:t>
                      </w:r>
                      <w:r w:rsidRPr="00A95483">
                        <w:rPr>
                          <w:rFonts w:eastAsia="Times New Roman" w:cstheme="minorHAnsi"/>
                          <w:i/>
                          <w:iCs/>
                          <w:sz w:val="16"/>
                          <w:szCs w:val="16"/>
                        </w:rPr>
                        <w:t xml:space="preserve"> separation </w:t>
                      </w:r>
                      <w:r w:rsidR="00F50939">
                        <w:rPr>
                          <w:rFonts w:eastAsia="Times New Roman" w:cstheme="minorHAnsi"/>
                          <w:i/>
                          <w:iCs/>
                          <w:sz w:val="16"/>
                          <w:szCs w:val="16"/>
                        </w:rPr>
                        <w:t>of</w:t>
                      </w:r>
                      <w:r w:rsidRPr="00A95483">
                        <w:rPr>
                          <w:rFonts w:eastAsia="Times New Roman" w:cstheme="minorHAnsi"/>
                          <w:i/>
                          <w:iCs/>
                          <w:sz w:val="16"/>
                          <w:szCs w:val="16"/>
                        </w:rPr>
                        <w:t xml:space="preserve"> ~90%</w:t>
                      </w:r>
                      <w:r w:rsidR="00F50939">
                        <w:rPr>
                          <w:rFonts w:eastAsia="Times New Roman" w:cstheme="minorHAnsi"/>
                          <w:i/>
                          <w:iCs/>
                          <w:sz w:val="16"/>
                          <w:szCs w:val="16"/>
                        </w:rPr>
                        <w:t xml:space="preserve"> was achieved</w:t>
                      </w:r>
                      <w:r w:rsidRPr="00A95483">
                        <w:rPr>
                          <w:rFonts w:eastAsia="Times New Roman" w:cstheme="minorHAnsi"/>
                          <w:i/>
                          <w:iCs/>
                          <w:sz w:val="16"/>
                          <w:szCs w:val="16"/>
                        </w:rPr>
                        <w:t xml:space="preserve">.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i/>
          <w:noProof/>
          <w:color w:val="ED7D31" w:themeColor="accent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2027030</wp:posOffset>
            </wp:positionH>
            <wp:positionV relativeFrom="paragraph">
              <wp:posOffset>515538</wp:posOffset>
            </wp:positionV>
            <wp:extent cx="3540125" cy="2296795"/>
            <wp:effectExtent l="0" t="0" r="3175" b="8255"/>
            <wp:wrapTopAndBottom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125" cy="229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 w:cstheme="minorHAnsi"/>
          <w:sz w:val="24"/>
          <w:szCs w:val="24"/>
          <w:lang w:val="de-DE" w:eastAsia="en-GB"/>
        </w:rPr>
        <w:t xml:space="preserve">Markus Seeger, Andre C. Stiel </w:t>
      </w:r>
      <w:proofErr w:type="spellStart"/>
      <w:r>
        <w:rPr>
          <w:rFonts w:eastAsia="Times New Roman" w:cstheme="minorHAnsi"/>
          <w:sz w:val="24"/>
          <w:szCs w:val="24"/>
          <w:lang w:val="de-DE" w:eastAsia="en-GB"/>
        </w:rPr>
        <w:t>and</w:t>
      </w:r>
      <w:proofErr w:type="spellEnd"/>
      <w:r>
        <w:rPr>
          <w:rFonts w:eastAsia="Times New Roman" w:cstheme="minorHAnsi"/>
          <w:sz w:val="24"/>
          <w:szCs w:val="24"/>
          <w:lang w:val="de-DE" w:eastAsia="en-GB"/>
        </w:rPr>
        <w:t xml:space="preserve"> Vasilis Ntziachristos</w:t>
      </w:r>
    </w:p>
    <w:p>
      <w:pPr>
        <w:spacing w:before="100" w:after="100" w:line="360" w:lineRule="auto"/>
        <w:jc w:val="both"/>
        <w:rPr>
          <w:rFonts w:eastAsia="Times New Roman" w:cstheme="minorHAnsi"/>
          <w:sz w:val="24"/>
          <w:szCs w:val="24"/>
          <w:lang w:val="de-DE" w:eastAsia="en-GB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6604635</wp:posOffset>
                </wp:positionV>
                <wp:extent cx="5724525" cy="413385"/>
                <wp:effectExtent l="0" t="0" r="9525" b="5715"/>
                <wp:wrapTopAndBottom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525" cy="41338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eastAsia="Times New Roman" w:cstheme="minorHAns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Supplementary Tab. 1 Separation slope at different flow rates. </w:t>
                            </w:r>
                            <w:r>
                              <w:rPr>
                                <w:rFonts w:eastAsia="Times New Roman" w:cstheme="minorHAnsi"/>
                                <w:i/>
                                <w:iCs/>
                                <w:sz w:val="16"/>
                                <w:szCs w:val="16"/>
                              </w:rPr>
                              <w:t>An optimum separation slope was generated for each of the 12 data sets individually. When combining all data sets, a total mean value 0.0209 with a standard deviation of 0.0003757 was achieved.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002A8" id="Textfeld 16" o:spid="_x0000_s1027" type="#_x0000_t202" style="position:absolute;left:0;text-align:left;margin-left:0;margin-top:520.05pt;width:450.75pt;height:32.5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" stroked="f">
                <v:textbox inset="0,0,0,0">
                  <w:txbxContent>
                    <w:p w14:paraId="331611ED" w14:textId="7481474E" w:rsidR="006918B9" w:rsidRPr="006918B9" w:rsidRDefault="006918B9" w:rsidP="006918B9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jc w:val="both"/>
                        <w:rPr>
                          <w:rFonts w:eastAsia="Times New Roman" w:cstheme="minorHAnsi"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eastAsia="Times New Roman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 xml:space="preserve">Supplementary </w:t>
                      </w:r>
                      <w:r>
                        <w:rPr>
                          <w:rFonts w:eastAsia="Times New Roman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>Tab</w:t>
                      </w:r>
                      <w:r w:rsidRPr="00A95483">
                        <w:rPr>
                          <w:rFonts w:eastAsia="Times New Roman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 xml:space="preserve">. </w:t>
                      </w:r>
                      <w:r>
                        <w:rPr>
                          <w:rFonts w:eastAsia="Times New Roman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>1</w:t>
                      </w:r>
                      <w:r w:rsidRPr="00A95483">
                        <w:rPr>
                          <w:rFonts w:eastAsia="Times New Roman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eastAsia="Times New Roman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 xml:space="preserve">Separation slope at different flow rates. </w:t>
                      </w:r>
                      <w:r>
                        <w:rPr>
                          <w:rFonts w:eastAsia="Times New Roman" w:cstheme="minorHAnsi"/>
                          <w:i/>
                          <w:iCs/>
                          <w:sz w:val="16"/>
                          <w:szCs w:val="16"/>
                        </w:rPr>
                        <w:t>An</w:t>
                      </w:r>
                      <w:r w:rsidRPr="00A95483">
                        <w:rPr>
                          <w:rFonts w:eastAsia="Times New Roman" w:cstheme="minorHAnsi"/>
                          <w:i/>
                          <w:iCs/>
                          <w:sz w:val="16"/>
                          <w:szCs w:val="16"/>
                        </w:rPr>
                        <w:t xml:space="preserve"> optimum separation slope </w:t>
                      </w:r>
                      <w:r>
                        <w:rPr>
                          <w:rFonts w:eastAsia="Times New Roman" w:cstheme="minorHAnsi"/>
                          <w:i/>
                          <w:iCs/>
                          <w:sz w:val="16"/>
                          <w:szCs w:val="16"/>
                        </w:rPr>
                        <w:t>was generated for</w:t>
                      </w:r>
                      <w:r w:rsidRPr="00A95483">
                        <w:rPr>
                          <w:rFonts w:eastAsia="Times New Roman" w:cstheme="minorHAnsi"/>
                          <w:i/>
                          <w:iCs/>
                          <w:sz w:val="16"/>
                          <w:szCs w:val="16"/>
                        </w:rPr>
                        <w:t xml:space="preserve"> each of the 12 dat</w:t>
                      </w:r>
                      <w:r>
                        <w:rPr>
                          <w:rFonts w:eastAsia="Times New Roman" w:cstheme="minorHAnsi"/>
                          <w:i/>
                          <w:iCs/>
                          <w:sz w:val="16"/>
                          <w:szCs w:val="16"/>
                        </w:rPr>
                        <w:t>a sets individually</w:t>
                      </w:r>
                      <w:r>
                        <w:rPr>
                          <w:rFonts w:eastAsia="Times New Roman" w:cstheme="minorHAnsi"/>
                          <w:i/>
                          <w:iCs/>
                          <w:sz w:val="16"/>
                          <w:szCs w:val="16"/>
                        </w:rPr>
                        <w:t>. When combining all data sets,</w:t>
                      </w:r>
                      <w:r>
                        <w:rPr>
                          <w:rFonts w:eastAsia="Times New Roman" w:cstheme="minorHAnsi"/>
                          <w:i/>
                          <w:iCs/>
                          <w:sz w:val="16"/>
                          <w:szCs w:val="16"/>
                        </w:rPr>
                        <w:t xml:space="preserve"> a total m</w:t>
                      </w:r>
                      <w:r w:rsidRPr="00A95483">
                        <w:rPr>
                          <w:rFonts w:eastAsia="Times New Roman" w:cstheme="minorHAnsi"/>
                          <w:i/>
                          <w:iCs/>
                          <w:sz w:val="16"/>
                          <w:szCs w:val="16"/>
                        </w:rPr>
                        <w:t>ean</w:t>
                      </w:r>
                      <w:r>
                        <w:rPr>
                          <w:rFonts w:eastAsia="Times New Roman" w:cstheme="minorHAnsi"/>
                          <w:i/>
                          <w:iCs/>
                          <w:sz w:val="16"/>
                          <w:szCs w:val="16"/>
                        </w:rPr>
                        <w:t xml:space="preserve"> value</w:t>
                      </w:r>
                      <w:r w:rsidRPr="00A95483">
                        <w:rPr>
                          <w:rFonts w:eastAsia="Times New Roman" w:cstheme="minorHAnsi"/>
                          <w:i/>
                          <w:iCs/>
                          <w:sz w:val="16"/>
                          <w:szCs w:val="16"/>
                        </w:rPr>
                        <w:t xml:space="preserve"> 0.0209 with a </w:t>
                      </w:r>
                      <w:r>
                        <w:rPr>
                          <w:rFonts w:eastAsia="Times New Roman" w:cstheme="minorHAnsi"/>
                          <w:i/>
                          <w:iCs/>
                          <w:sz w:val="16"/>
                          <w:szCs w:val="16"/>
                        </w:rPr>
                        <w:t>standard deviation of 0.0003757 was achieved.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tbl>
      <w:tblPr>
        <w:tblStyle w:val="TableGridLight"/>
        <w:tblpPr w:leftFromText="180" w:rightFromText="180" w:vertAnchor="text" w:horzAnchor="page" w:tblpX="2242" w:tblpY="471"/>
        <w:tblW w:w="4523" w:type="dxa"/>
        <w:tblLook w:val="04A0" w:firstRow="1" w:lastRow="0" w:firstColumn="1" w:lastColumn="0" w:noHBand="0" w:noVBand="1"/>
      </w:tblPr>
      <w:tblGrid>
        <w:gridCol w:w="1736"/>
        <w:gridCol w:w="1736"/>
        <w:gridCol w:w="1051"/>
      </w:tblGrid>
      <w:tr>
        <w:trPr>
          <w:trHeight w:val="303"/>
        </w:trPr>
        <w:tc>
          <w:tcPr>
            <w:tcW w:w="1736" w:type="dxa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>Flow rate</w:t>
            </w:r>
          </w:p>
        </w:tc>
        <w:tc>
          <w:tcPr>
            <w:tcW w:w="1736" w:type="dxa"/>
            <w:noWrap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>Slope</w:t>
            </w:r>
          </w:p>
        </w:tc>
        <w:tc>
          <w:tcPr>
            <w:tcW w:w="1051" w:type="dxa"/>
            <w:noWrap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</w:p>
        </w:tc>
      </w:tr>
      <w:tr>
        <w:trPr>
          <w:trHeight w:val="303"/>
        </w:trPr>
        <w:tc>
          <w:tcPr>
            <w:tcW w:w="1736" w:type="dxa"/>
          </w:tcPr>
          <w:p>
            <w:r>
              <w:t>33.0 µL/min</w:t>
            </w:r>
          </w:p>
        </w:tc>
        <w:tc>
          <w:tcPr>
            <w:tcW w:w="1736" w:type="dxa"/>
            <w:noWrap/>
            <w:hideMark/>
          </w:tcPr>
          <w:p>
            <w:r>
              <w:t>0.02059</w:t>
            </w:r>
          </w:p>
        </w:tc>
        <w:tc>
          <w:tcPr>
            <w:tcW w:w="1051" w:type="dxa"/>
            <w:noWrap/>
            <w:hideMark/>
          </w:tcPr>
          <w:p>
            <w:r>
              <w:t>0.965</w:t>
            </w:r>
          </w:p>
        </w:tc>
      </w:tr>
      <w:tr>
        <w:trPr>
          <w:trHeight w:val="303"/>
        </w:trPr>
        <w:tc>
          <w:tcPr>
            <w:tcW w:w="1736" w:type="dxa"/>
          </w:tcPr>
          <w:p>
            <w:r>
              <w:t>49.5 µL/min</w:t>
            </w:r>
          </w:p>
        </w:tc>
        <w:tc>
          <w:tcPr>
            <w:tcW w:w="1736" w:type="dxa"/>
            <w:noWrap/>
            <w:hideMark/>
          </w:tcPr>
          <w:p>
            <w:r>
              <w:t>0.02082</w:t>
            </w:r>
          </w:p>
        </w:tc>
        <w:tc>
          <w:tcPr>
            <w:tcW w:w="1051" w:type="dxa"/>
            <w:noWrap/>
            <w:hideMark/>
          </w:tcPr>
          <w:p>
            <w:r>
              <w:t>0.962</w:t>
            </w:r>
          </w:p>
        </w:tc>
      </w:tr>
      <w:tr>
        <w:trPr>
          <w:trHeight w:val="303"/>
        </w:trPr>
        <w:tc>
          <w:tcPr>
            <w:tcW w:w="1736" w:type="dxa"/>
          </w:tcPr>
          <w:p>
            <w:r>
              <w:t>66.0 µL/min</w:t>
            </w:r>
          </w:p>
        </w:tc>
        <w:tc>
          <w:tcPr>
            <w:tcW w:w="1736" w:type="dxa"/>
            <w:noWrap/>
            <w:hideMark/>
          </w:tcPr>
          <w:p>
            <w:r>
              <w:t>0.02093</w:t>
            </w:r>
          </w:p>
        </w:tc>
        <w:tc>
          <w:tcPr>
            <w:tcW w:w="1051" w:type="dxa"/>
            <w:noWrap/>
            <w:hideMark/>
          </w:tcPr>
          <w:p>
            <w:r>
              <w:t>0.964</w:t>
            </w:r>
          </w:p>
        </w:tc>
      </w:tr>
      <w:tr>
        <w:trPr>
          <w:trHeight w:val="303"/>
        </w:trPr>
        <w:tc>
          <w:tcPr>
            <w:tcW w:w="1736" w:type="dxa"/>
          </w:tcPr>
          <w:p>
            <w:r>
              <w:t>82.5 µL/min</w:t>
            </w:r>
          </w:p>
        </w:tc>
        <w:tc>
          <w:tcPr>
            <w:tcW w:w="1736" w:type="dxa"/>
            <w:noWrap/>
            <w:hideMark/>
          </w:tcPr>
          <w:p>
            <w:r>
              <w:t>0.02127</w:t>
            </w:r>
          </w:p>
        </w:tc>
        <w:tc>
          <w:tcPr>
            <w:tcW w:w="1051" w:type="dxa"/>
            <w:noWrap/>
            <w:hideMark/>
          </w:tcPr>
          <w:p>
            <w:r>
              <w:t>0.936</w:t>
            </w:r>
          </w:p>
        </w:tc>
      </w:tr>
      <w:tr>
        <w:trPr>
          <w:trHeight w:val="303"/>
        </w:trPr>
        <w:tc>
          <w:tcPr>
            <w:tcW w:w="1736" w:type="dxa"/>
          </w:tcPr>
          <w:p>
            <w:r>
              <w:t>99.0 µL/min</w:t>
            </w:r>
          </w:p>
        </w:tc>
        <w:tc>
          <w:tcPr>
            <w:tcW w:w="1736" w:type="dxa"/>
            <w:noWrap/>
            <w:hideMark/>
          </w:tcPr>
          <w:p>
            <w:r>
              <w:t>0.02081</w:t>
            </w:r>
          </w:p>
        </w:tc>
        <w:tc>
          <w:tcPr>
            <w:tcW w:w="1051" w:type="dxa"/>
            <w:noWrap/>
            <w:hideMark/>
          </w:tcPr>
          <w:p>
            <w:r>
              <w:t>0.945</w:t>
            </w:r>
          </w:p>
        </w:tc>
      </w:tr>
      <w:tr>
        <w:trPr>
          <w:trHeight w:val="303"/>
        </w:trPr>
        <w:tc>
          <w:tcPr>
            <w:tcW w:w="1736" w:type="dxa"/>
          </w:tcPr>
          <w:p>
            <w:r>
              <w:t>115.5 µL/min</w:t>
            </w:r>
          </w:p>
        </w:tc>
        <w:tc>
          <w:tcPr>
            <w:tcW w:w="1736" w:type="dxa"/>
            <w:noWrap/>
            <w:hideMark/>
          </w:tcPr>
          <w:p>
            <w:r>
              <w:t>0.02171</w:t>
            </w:r>
          </w:p>
        </w:tc>
        <w:tc>
          <w:tcPr>
            <w:tcW w:w="1051" w:type="dxa"/>
            <w:noWrap/>
            <w:hideMark/>
          </w:tcPr>
          <w:p>
            <w:r>
              <w:t>0.967</w:t>
            </w:r>
          </w:p>
        </w:tc>
      </w:tr>
      <w:tr>
        <w:trPr>
          <w:trHeight w:val="303"/>
        </w:trPr>
        <w:tc>
          <w:tcPr>
            <w:tcW w:w="1736" w:type="dxa"/>
          </w:tcPr>
          <w:p>
            <w:r>
              <w:t>132.0 µL/min</w:t>
            </w:r>
          </w:p>
        </w:tc>
        <w:tc>
          <w:tcPr>
            <w:tcW w:w="1736" w:type="dxa"/>
            <w:noWrap/>
            <w:hideMark/>
          </w:tcPr>
          <w:p>
            <w:r>
              <w:t>0.02062</w:t>
            </w:r>
          </w:p>
        </w:tc>
        <w:tc>
          <w:tcPr>
            <w:tcW w:w="1051" w:type="dxa"/>
            <w:noWrap/>
            <w:hideMark/>
          </w:tcPr>
          <w:p>
            <w:r>
              <w:t>0.970</w:t>
            </w:r>
          </w:p>
        </w:tc>
      </w:tr>
      <w:tr>
        <w:trPr>
          <w:trHeight w:val="303"/>
        </w:trPr>
        <w:tc>
          <w:tcPr>
            <w:tcW w:w="1736" w:type="dxa"/>
          </w:tcPr>
          <w:p>
            <w:r>
              <w:t>148.5 µL/min</w:t>
            </w:r>
          </w:p>
        </w:tc>
        <w:tc>
          <w:tcPr>
            <w:tcW w:w="1736" w:type="dxa"/>
            <w:noWrap/>
            <w:hideMark/>
          </w:tcPr>
          <w:p>
            <w:r>
              <w:t>0.02067</w:t>
            </w:r>
          </w:p>
        </w:tc>
        <w:tc>
          <w:tcPr>
            <w:tcW w:w="1051" w:type="dxa"/>
            <w:noWrap/>
            <w:hideMark/>
          </w:tcPr>
          <w:p>
            <w:r>
              <w:t>0.971</w:t>
            </w:r>
          </w:p>
        </w:tc>
      </w:tr>
      <w:tr>
        <w:trPr>
          <w:trHeight w:val="303"/>
        </w:trPr>
        <w:tc>
          <w:tcPr>
            <w:tcW w:w="1736" w:type="dxa"/>
          </w:tcPr>
          <w:p>
            <w:r>
              <w:t>165.0 µL/min</w:t>
            </w:r>
          </w:p>
        </w:tc>
        <w:tc>
          <w:tcPr>
            <w:tcW w:w="1736" w:type="dxa"/>
            <w:noWrap/>
            <w:hideMark/>
          </w:tcPr>
          <w:p>
            <w:r>
              <w:t>0.02142</w:t>
            </w:r>
          </w:p>
        </w:tc>
        <w:tc>
          <w:tcPr>
            <w:tcW w:w="1051" w:type="dxa"/>
            <w:noWrap/>
            <w:hideMark/>
          </w:tcPr>
          <w:p>
            <w:r>
              <w:t>0.955</w:t>
            </w:r>
          </w:p>
        </w:tc>
      </w:tr>
      <w:tr>
        <w:trPr>
          <w:trHeight w:val="303"/>
        </w:trPr>
        <w:tc>
          <w:tcPr>
            <w:tcW w:w="1736" w:type="dxa"/>
          </w:tcPr>
          <w:p>
            <w:r>
              <w:t>181.5 µL/min</w:t>
            </w:r>
          </w:p>
        </w:tc>
        <w:tc>
          <w:tcPr>
            <w:tcW w:w="1736" w:type="dxa"/>
            <w:noWrap/>
            <w:hideMark/>
          </w:tcPr>
          <w:p>
            <w:r>
              <w:t>0.02098</w:t>
            </w:r>
          </w:p>
        </w:tc>
        <w:tc>
          <w:tcPr>
            <w:tcW w:w="1051" w:type="dxa"/>
            <w:noWrap/>
            <w:hideMark/>
          </w:tcPr>
          <w:p>
            <w:r>
              <w:t>0.980</w:t>
            </w:r>
          </w:p>
        </w:tc>
      </w:tr>
      <w:tr>
        <w:trPr>
          <w:trHeight w:val="303"/>
        </w:trPr>
        <w:tc>
          <w:tcPr>
            <w:tcW w:w="1736" w:type="dxa"/>
          </w:tcPr>
          <w:p>
            <w:r>
              <w:t>198.0 µL/min</w:t>
            </w:r>
          </w:p>
        </w:tc>
        <w:tc>
          <w:tcPr>
            <w:tcW w:w="1736" w:type="dxa"/>
            <w:noWrap/>
            <w:hideMark/>
          </w:tcPr>
          <w:p>
            <w:r>
              <w:t>0.02152</w:t>
            </w:r>
          </w:p>
        </w:tc>
        <w:tc>
          <w:tcPr>
            <w:tcW w:w="1051" w:type="dxa"/>
            <w:noWrap/>
            <w:hideMark/>
          </w:tcPr>
          <w:p>
            <w:r>
              <w:t>0.975</w:t>
            </w:r>
          </w:p>
        </w:tc>
      </w:tr>
      <w:tr>
        <w:trPr>
          <w:trHeight w:val="303"/>
        </w:trPr>
        <w:tc>
          <w:tcPr>
            <w:tcW w:w="1736" w:type="dxa"/>
          </w:tcPr>
          <w:p>
            <w:r>
              <w:t>214.5 µL/min</w:t>
            </w:r>
          </w:p>
        </w:tc>
        <w:tc>
          <w:tcPr>
            <w:tcW w:w="1736" w:type="dxa"/>
            <w:noWrap/>
            <w:hideMark/>
          </w:tcPr>
          <w:p>
            <w:r>
              <w:t>0.02081</w:t>
            </w:r>
          </w:p>
        </w:tc>
        <w:tc>
          <w:tcPr>
            <w:tcW w:w="1051" w:type="dxa"/>
            <w:noWrap/>
            <w:hideMark/>
          </w:tcPr>
          <w:p>
            <w:r>
              <w:t>0.978</w:t>
            </w:r>
          </w:p>
        </w:tc>
      </w:tr>
    </w:tbl>
    <w:p>
      <w:pPr>
        <w:rPr>
          <w:rFonts w:eastAsia="Times New Roman" w:cstheme="minorHAnsi"/>
          <w:sz w:val="24"/>
          <w:szCs w:val="24"/>
          <w:lang w:val="de-DE" w:eastAsia="en-GB"/>
        </w:rPr>
      </w:pPr>
      <w:r>
        <w:rPr>
          <w:rFonts w:eastAsia="Times New Roman" w:cstheme="minorHAnsi"/>
          <w:sz w:val="24"/>
          <w:szCs w:val="24"/>
          <w:lang w:val="de-DE" w:eastAsia="en-GB"/>
        </w:rPr>
        <w:lastRenderedPageBreak/>
        <w:t xml:space="preserve"> </w:t>
      </w:r>
      <w:r>
        <w:rPr>
          <w:rFonts w:eastAsia="Times New Roman" w:cstheme="minorHAnsi"/>
          <w:sz w:val="24"/>
          <w:szCs w:val="24"/>
          <w:lang w:val="de-DE" w:eastAsia="en-GB"/>
        </w:rPr>
        <w:br w:type="page"/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4945380</wp:posOffset>
                </wp:positionV>
                <wp:extent cx="5724525" cy="198755"/>
                <wp:effectExtent l="0" t="0" r="9525" b="0"/>
                <wp:wrapTopAndBottom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525" cy="19875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eastAsia="Times New Roman" w:cstheme="minorHAns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Supplementary Fig. 2 Exemplary 10s-trajectories of E.coli cells expressing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>mkO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at flow rates between 33.0 and 214.5 µL/min.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65D62" id="Textfeld 13" o:spid="_x0000_s1028" type="#_x0000_t202" style="position:absolute;margin-left:0;margin-top:389.4pt;width:450.75pt;height:15.6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" stroked="f">
                <v:textbox inset="0,0,0,0">
                  <w:txbxContent>
                    <w:p w14:paraId="13A5F3E9" w14:textId="42F8533D" w:rsidR="00CE2F5C" w:rsidRPr="00A95483" w:rsidRDefault="00CE2F5C" w:rsidP="00CE2F5C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jc w:val="both"/>
                        <w:rPr>
                          <w:rFonts w:eastAsia="Times New Roman" w:cstheme="minorHAnsi"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eastAsia="Times New Roman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 xml:space="preserve">Supplementary </w:t>
                      </w:r>
                      <w:r w:rsidRPr="00A95483">
                        <w:rPr>
                          <w:rFonts w:eastAsia="Times New Roman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 xml:space="preserve">Fig. </w:t>
                      </w:r>
                      <w:r>
                        <w:rPr>
                          <w:rFonts w:eastAsia="Times New Roman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>2</w:t>
                      </w:r>
                      <w:r w:rsidRPr="00A95483">
                        <w:rPr>
                          <w:rFonts w:eastAsia="Times New Roman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eastAsia="Times New Roman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 xml:space="preserve">Exemplary </w:t>
                      </w:r>
                      <w:r w:rsidR="00EC1016">
                        <w:rPr>
                          <w:rFonts w:eastAsia="Times New Roman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>10s-trajectories</w:t>
                      </w:r>
                      <w:r>
                        <w:rPr>
                          <w:rFonts w:eastAsia="Times New Roman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 xml:space="preserve"> of E.coli cells expressing mkO at </w:t>
                      </w:r>
                      <w:r>
                        <w:rPr>
                          <w:rFonts w:eastAsia="Times New Roman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 xml:space="preserve">flow rates </w:t>
                      </w:r>
                      <w:r>
                        <w:rPr>
                          <w:rFonts w:eastAsia="Times New Roman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>between 33.0 and 214.5 µL/min.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7.85pt;margin-top:5.15pt;width:451pt;height:357.35pt;z-index:251663360;mso-position-horizontal-relative:text;mso-position-vertical-relative:text;mso-width-relative:page;mso-height-relative:page">
            <v:imagedata r:id="rId9" o:title="Folie1" cropbottom="29589f"/>
            <w10:wrap type="topAndBottom"/>
          </v:shape>
        </w:pict>
      </w:r>
    </w:p>
    <w:p>
      <w:pPr>
        <w:spacing w:before="100" w:after="100" w:line="360" w:lineRule="auto"/>
        <w:jc w:val="both"/>
        <w:rPr>
          <w:rFonts w:eastAsia="Times New Roman" w:cstheme="minorHAnsi"/>
          <w:sz w:val="24"/>
          <w:szCs w:val="24"/>
          <w:lang w:val="de-DE" w:eastAsia="en-GB"/>
        </w:rPr>
      </w:pPr>
      <w:r>
        <w:rPr>
          <w:rFonts w:eastAsia="Times New Roman" w:cstheme="minorHAnsi"/>
          <w:noProof/>
          <w:sz w:val="24"/>
          <w:szCs w:val="24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-42959</wp:posOffset>
            </wp:positionH>
            <wp:positionV relativeFrom="paragraph">
              <wp:posOffset>349885</wp:posOffset>
            </wp:positionV>
            <wp:extent cx="5727700" cy="4506595"/>
            <wp:effectExtent l="0" t="0" r="6350" b="8255"/>
            <wp:wrapTopAndBottom/>
            <wp:docPr id="12" name="Grafik 12" descr="C:\Users\mseeg\AppData\Local\Microsoft\Windows\INetCache\Content.Word\Foli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seeg\AppData\Local\Microsoft\Windows\INetCache\Content.Word\Folie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50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rPr>
          <w:rFonts w:eastAsia="Times New Roman" w:cstheme="minorHAnsi"/>
          <w:sz w:val="24"/>
          <w:szCs w:val="24"/>
          <w:lang w:val="de-DE" w:eastAsia="en-GB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4824730</wp:posOffset>
                </wp:positionV>
                <wp:extent cx="5724525" cy="198755"/>
                <wp:effectExtent l="0" t="0" r="9525" b="0"/>
                <wp:wrapTopAndBottom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525" cy="19875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eastAsia="Times New Roman" w:cstheme="minorHAns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Supplementary Fig. 2 Exemplary 10s-trajectories of E.coli cells expressing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>mCherry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at flow rates between 33.0 and 214.5 µL/min.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4" o:spid="_x0000_s1029" type="#_x0000_t202" style="position:absolute;margin-left:0;margin-top:379.9pt;width:450.75pt;height:15.6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" stroked="f">
                <v:textbox inset="0,0,0,0">
                  <w:txbxContent>
                    <w:p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jc w:val="both"/>
                        <w:rPr>
                          <w:rFonts w:eastAsia="Times New Roman" w:cstheme="minorHAnsi"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eastAsia="Times New Roman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 xml:space="preserve">Supplementary Fig. 2 Exemplary 10s-trajectories of E.coli cells expressing </w:t>
                      </w:r>
                      <w:proofErr w:type="spellStart"/>
                      <w:r>
                        <w:rPr>
                          <w:rFonts w:eastAsia="Times New Roman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>mCherry</w:t>
                      </w:r>
                      <w:proofErr w:type="spellEnd"/>
                      <w:r>
                        <w:rPr>
                          <w:rFonts w:eastAsia="Times New Roman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 xml:space="preserve"> at flow rates between 33.0 and 214.5 µL/min.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eastAsia="Times New Roman" w:cstheme="minorHAnsi"/>
          <w:sz w:val="24"/>
          <w:szCs w:val="24"/>
          <w:lang w:val="de-DE" w:eastAsia="en-GB"/>
        </w:rPr>
        <w:br w:type="page"/>
      </w:r>
      <w:bookmarkStart w:id="0" w:name="_GoBack"/>
      <w:bookmarkEnd w:id="0"/>
    </w:p>
    <w:p>
      <w:pPr>
        <w:spacing w:before="100" w:after="100" w:line="360" w:lineRule="auto"/>
        <w:jc w:val="both"/>
        <w:rPr>
          <w:rFonts w:eastAsia="Times New Roman" w:cstheme="minorHAnsi"/>
          <w:sz w:val="24"/>
          <w:szCs w:val="24"/>
          <w:lang w:val="de-DE" w:eastAsia="en-GB"/>
        </w:rPr>
      </w:pPr>
      <w:r>
        <w:rPr>
          <w:rFonts w:cstheme="minorHAns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4885055</wp:posOffset>
                </wp:positionV>
                <wp:extent cx="5724525" cy="198755"/>
                <wp:effectExtent l="0" t="0" r="9525" b="0"/>
                <wp:wrapTopAndBottom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525" cy="19875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eastAsia="Times New Roman" w:cstheme="minorHAns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Supplementary Fig. 2 Exemplary 10s-trajectories of a mixture of E.coli cells expressing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>mkO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or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>mCherry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at flow rates between 33.0 and 214.5 µL/min.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12CCB" id="Textfeld 15" o:spid="_x0000_s1030" type="#_x0000_t202" style="position:absolute;left:0;text-align:left;margin-left:0;margin-top:384.65pt;width:450.75pt;height:15.6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" stroked="f">
                <v:textbox inset="0,0,0,0">
                  <w:txbxContent>
                    <w:p w14:paraId="536D8D8A" w14:textId="2A747EB2" w:rsidR="00CE2F5C" w:rsidRPr="00A95483" w:rsidRDefault="00CE2F5C" w:rsidP="00CE2F5C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jc w:val="both"/>
                        <w:rPr>
                          <w:rFonts w:eastAsia="Times New Roman" w:cstheme="minorHAnsi"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eastAsia="Times New Roman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 xml:space="preserve">Supplementary </w:t>
                      </w:r>
                      <w:r w:rsidRPr="00A95483">
                        <w:rPr>
                          <w:rFonts w:eastAsia="Times New Roman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 xml:space="preserve">Fig. </w:t>
                      </w:r>
                      <w:r>
                        <w:rPr>
                          <w:rFonts w:eastAsia="Times New Roman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>2</w:t>
                      </w:r>
                      <w:r w:rsidRPr="00A95483">
                        <w:rPr>
                          <w:rFonts w:eastAsia="Times New Roman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eastAsia="Times New Roman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 xml:space="preserve">Exemplary </w:t>
                      </w:r>
                      <w:r w:rsidR="00EC1016">
                        <w:rPr>
                          <w:rFonts w:eastAsia="Times New Roman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 xml:space="preserve">10s-trajectories </w:t>
                      </w:r>
                      <w:r>
                        <w:rPr>
                          <w:rFonts w:eastAsia="Times New Roman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 xml:space="preserve">of </w:t>
                      </w:r>
                      <w:r>
                        <w:rPr>
                          <w:rFonts w:eastAsia="Times New Roman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 xml:space="preserve">a mixture of </w:t>
                      </w:r>
                      <w:r>
                        <w:rPr>
                          <w:rFonts w:eastAsia="Times New Roman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>E.coli cells expressing mkO</w:t>
                      </w:r>
                      <w:r>
                        <w:rPr>
                          <w:rFonts w:eastAsia="Times New Roman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 xml:space="preserve"> or mCherry</w:t>
                      </w:r>
                      <w:r>
                        <w:rPr>
                          <w:rFonts w:eastAsia="Times New Roman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 xml:space="preserve"> at fl</w:t>
                      </w:r>
                      <w:r>
                        <w:rPr>
                          <w:rFonts w:eastAsia="Times New Roman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>ow rates</w:t>
                      </w:r>
                      <w:r>
                        <w:rPr>
                          <w:rFonts w:eastAsia="Times New Roman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 xml:space="preserve"> between 33.0 and 214.5 µL/min.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w:pict>
          <v:shape id="_x0000_s1028" type="#_x0000_t75" style="position:absolute;left:0;text-align:left;margin-left:8.35pt;margin-top:0;width:450.4pt;height:357.5pt;z-index:251667456;mso-position-horizontal-relative:text;mso-position-vertical-relative:text;mso-width-relative:page;mso-height-relative:page">
            <v:imagedata r:id="rId11" o:title="Folie3" cropbottom="29566f"/>
            <w10:wrap type="topAndBottom"/>
          </v:shape>
        </w:pict>
      </w:r>
    </w:p>
    <w:sectPr>
      <w:footerReference w:type="default" r:id="rId12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40B1225" w16cid:durableId="231F0B1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  <w:endnote w:type="continuationNotice" w:id="1">
    <w:p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1550765"/>
      <w:docPartObj>
        <w:docPartGallery w:val="Page Numbers (Bottom of Page)"/>
        <w:docPartUnique/>
      </w:docPartObj>
    </w:sdtPr>
    <w:sdtEndPr>
      <w:rPr>
        <w:noProof/>
      </w:rPr>
    </w:sdtEndPr>
    <w:sdtContent>
      <w:p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type="continuationNotice" w:id="1">
    <w:p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8103E"/>
    <w:multiLevelType w:val="hybridMultilevel"/>
    <w:tmpl w:val="C854EC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C2F88"/>
    <w:multiLevelType w:val="hybridMultilevel"/>
    <w:tmpl w:val="3BA0CCD2"/>
    <w:lvl w:ilvl="0" w:tplc="97FE93F8">
      <w:start w:val="1"/>
      <w:numFmt w:val="lowerLetter"/>
      <w:lvlText w:val="%1."/>
      <w:lvlJc w:val="left"/>
      <w:pPr>
        <w:ind w:left="45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8B76CC6"/>
    <w:multiLevelType w:val="hybridMultilevel"/>
    <w:tmpl w:val="F5D4690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B07B0"/>
    <w:multiLevelType w:val="hybridMultilevel"/>
    <w:tmpl w:val="D024B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65740"/>
    <w:multiLevelType w:val="hybridMultilevel"/>
    <w:tmpl w:val="8FE23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A23F3"/>
    <w:multiLevelType w:val="hybridMultilevel"/>
    <w:tmpl w:val="DB9A5E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22545"/>
    <w:multiLevelType w:val="hybridMultilevel"/>
    <w:tmpl w:val="EEE210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B5717"/>
    <w:multiLevelType w:val="hybridMultilevel"/>
    <w:tmpl w:val="C924EE04"/>
    <w:lvl w:ilvl="0" w:tplc="A7669A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205B1"/>
    <w:multiLevelType w:val="hybridMultilevel"/>
    <w:tmpl w:val="9710E7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F4640F"/>
    <w:multiLevelType w:val="hybridMultilevel"/>
    <w:tmpl w:val="2F3A3E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FF348F"/>
    <w:multiLevelType w:val="hybridMultilevel"/>
    <w:tmpl w:val="DD92B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5F19E2"/>
    <w:multiLevelType w:val="multilevel"/>
    <w:tmpl w:val="9C7498E8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1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7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30" w:hanging="1440"/>
      </w:pPr>
      <w:rPr>
        <w:rFonts w:hint="default"/>
      </w:rPr>
    </w:lvl>
  </w:abstractNum>
  <w:abstractNum w:abstractNumId="12" w15:restartNumberingAfterBreak="0">
    <w:nsid w:val="63B308A2"/>
    <w:multiLevelType w:val="hybridMultilevel"/>
    <w:tmpl w:val="F5D4690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43520D"/>
    <w:multiLevelType w:val="hybridMultilevel"/>
    <w:tmpl w:val="F5D4690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364729"/>
    <w:multiLevelType w:val="hybridMultilevel"/>
    <w:tmpl w:val="947CD85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EA2154"/>
    <w:multiLevelType w:val="hybridMultilevel"/>
    <w:tmpl w:val="814A64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ED07CB"/>
    <w:multiLevelType w:val="hybridMultilevel"/>
    <w:tmpl w:val="83F6F008"/>
    <w:lvl w:ilvl="0" w:tplc="8EEC67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0"/>
  </w:num>
  <w:num w:numId="5">
    <w:abstractNumId w:val="10"/>
  </w:num>
  <w:num w:numId="6">
    <w:abstractNumId w:val="6"/>
  </w:num>
  <w:num w:numId="7">
    <w:abstractNumId w:val="11"/>
  </w:num>
  <w:num w:numId="8">
    <w:abstractNumId w:val="1"/>
  </w:num>
  <w:num w:numId="9">
    <w:abstractNumId w:val="15"/>
  </w:num>
  <w:num w:numId="10">
    <w:abstractNumId w:val="12"/>
  </w:num>
  <w:num w:numId="11">
    <w:abstractNumId w:val="2"/>
  </w:num>
  <w:num w:numId="12">
    <w:abstractNumId w:val="5"/>
  </w:num>
  <w:num w:numId="13">
    <w:abstractNumId w:val="14"/>
  </w:num>
  <w:num w:numId="14">
    <w:abstractNumId w:val="13"/>
  </w:num>
  <w:num w:numId="15">
    <w:abstractNumId w:val="7"/>
  </w:num>
  <w:num w:numId="16">
    <w:abstractNumId w:val="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U3NzIwNzY3NbA0MDVQ0lEKTi0uzszPAymwqAUAyjSycCwAAAA=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85317CB-96CC-4780-B5F6-C7D0955CE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after="0" w:line="240" w:lineRule="auto"/>
    </w:pPr>
    <w:rPr>
      <w:rFonts w:ascii="Calibri" w:eastAsia="Calibri" w:hAnsi="Calibri" w:cs="Times New Roman"/>
      <w:sz w:val="20"/>
      <w:szCs w:val="20"/>
      <w:lang w:val="de-DE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eastAsia="Calibri" w:hAnsi="Calibri" w:cs="Times New Roman"/>
      <w:sz w:val="20"/>
      <w:szCs w:val="20"/>
      <w:lang w:val="de-D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Calibri" w:eastAsia="Calibri" w:hAnsi="Calibri" w:cs="Times New Roman"/>
      <w:b/>
      <w:bCs/>
      <w:sz w:val="20"/>
      <w:szCs w:val="20"/>
      <w:lang w:val="de-DE"/>
    </w:rPr>
  </w:style>
  <w:style w:type="paragraph" w:styleId="Revision">
    <w:name w:val="Revision"/>
    <w:hidden/>
    <w:uiPriority w:val="99"/>
    <w:semiHidden/>
    <w:pPr>
      <w:spacing w:after="0" w:line="240" w:lineRule="auto"/>
    </w:pPr>
    <w:rPr>
      <w:lang w:val="en-US"/>
    </w:rPr>
  </w:style>
  <w:style w:type="character" w:styleId="LineNumber">
    <w:name w:val="line number"/>
    <w:basedOn w:val="DefaultParagraphFont"/>
    <w:uiPriority w:val="99"/>
    <w:semiHidden/>
    <w:unhideWhenUsed/>
  </w:style>
  <w:style w:type="table" w:styleId="TableGridLight">
    <w:name w:val="Grid Table Light"/>
    <w:basedOn w:val="TableNormal"/>
    <w:uiPriority w:val="40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5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27513-974D-4D17-A298-B13482A7A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</Words>
  <Characters>445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Helmholtz Zentrum München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Saak Ovsepian</dc:creator>
  <cp:lastModifiedBy>Wilson, Robert, Dr.</cp:lastModifiedBy>
  <cp:revision>24</cp:revision>
  <dcterms:created xsi:type="dcterms:W3CDTF">2020-10-03T10:34:00Z</dcterms:created>
  <dcterms:modified xsi:type="dcterms:W3CDTF">2020-12-28T10:16:00Z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5b327c46-63bb-3024-893c-d8ec2ab135f7</vt:lpwstr>
  </property>
  <property fmtid="{D5CDD505-2E9C-101B-9397-08002B2CF9AE}" pid="4" name="Mendeley Citation Style_1">
    <vt:lpwstr>http://www.zotero.org/styles/nature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http://www.zotero.org/styles/american-sociological-association</vt:lpwstr>
  </property>
  <property fmtid="{D5CDD505-2E9C-101B-9397-08002B2CF9AE}" pid="8" name="Mendeley Recent Style Name 1_1">
    <vt:lpwstr>American Sociological Association</vt:lpwstr>
  </property>
  <property fmtid="{D5CDD505-2E9C-101B-9397-08002B2CF9AE}" pid="9" name="Mendeley Recent Style Id 2_1">
    <vt:lpwstr>http://www.zotero.org/styles/chicago-author-date</vt:lpwstr>
  </property>
  <property fmtid="{D5CDD505-2E9C-101B-9397-08002B2CF9AE}" pid="10" name="Mendeley Recent Style Name 2_1">
    <vt:lpwstr>Chicago Manual of Style 17th edition (author-date)</vt:lpwstr>
  </property>
  <property fmtid="{D5CDD505-2E9C-101B-9397-08002B2CF9AE}" pid="11" name="Mendeley Recent Style Id 3_1">
    <vt:lpwstr>http://www.zotero.org/styles/ieee</vt:lpwstr>
  </property>
  <property fmtid="{D5CDD505-2E9C-101B-9397-08002B2CF9AE}" pid="12" name="Mendeley Recent Style Name 3_1">
    <vt:lpwstr>IEEE</vt:lpwstr>
  </property>
  <property fmtid="{D5CDD505-2E9C-101B-9397-08002B2CF9AE}" pid="13" name="Mendeley Recent Style Id 4_1">
    <vt:lpwstr>http://www.zotero.org/styles/nature</vt:lpwstr>
  </property>
  <property fmtid="{D5CDD505-2E9C-101B-9397-08002B2CF9AE}" pid="14" name="Mendeley Recent Style Name 4_1">
    <vt:lpwstr>Nature</vt:lpwstr>
  </property>
  <property fmtid="{D5CDD505-2E9C-101B-9397-08002B2CF9AE}" pid="15" name="Mendeley Recent Style Id 5_1">
    <vt:lpwstr>http://csl.mendeley.com/styles/27872611/Nature-Comm-Mod</vt:lpwstr>
  </property>
  <property fmtid="{D5CDD505-2E9C-101B-9397-08002B2CF9AE}" pid="16" name="Mendeley Recent Style Name 5_1">
    <vt:lpwstr>Nature - Markus Seeger, M.Sc</vt:lpwstr>
  </property>
  <property fmtid="{D5CDD505-2E9C-101B-9397-08002B2CF9AE}" pid="17" name="Mendeley Recent Style Id 6_1">
    <vt:lpwstr>https://csl.mendeley.com/styles/27872611/Nature-Comm-Mod</vt:lpwstr>
  </property>
  <property fmtid="{D5CDD505-2E9C-101B-9397-08002B2CF9AE}" pid="18" name="Mendeley Recent Style Name 6_1">
    <vt:lpwstr>Nature Comm Mod</vt:lpwstr>
  </property>
  <property fmtid="{D5CDD505-2E9C-101B-9397-08002B2CF9AE}" pid="19" name="Mendeley Recent Style Id 7_1">
    <vt:lpwstr>http://www.zotero.org/styles/nature-communications</vt:lpwstr>
  </property>
  <property fmtid="{D5CDD505-2E9C-101B-9397-08002B2CF9AE}" pid="20" name="Mendeley Recent Style Name 7_1">
    <vt:lpwstr>Nature Communications</vt:lpwstr>
  </property>
  <property fmtid="{D5CDD505-2E9C-101B-9397-08002B2CF9AE}" pid="21" name="Mendeley Recent Style Id 8_1">
    <vt:lpwstr>http://www.zotero.org/styles/spie-bios</vt:lpwstr>
  </property>
  <property fmtid="{D5CDD505-2E9C-101B-9397-08002B2CF9AE}" pid="22" name="Mendeley Recent Style Name 8_1">
    <vt:lpwstr>SPIE BiOS</vt:lpwstr>
  </property>
  <property fmtid="{D5CDD505-2E9C-101B-9397-08002B2CF9AE}" pid="23" name="Mendeley Recent Style Id 9_1">
    <vt:lpwstr>http://csl.mendeley.com/styles/21392811/the-optical-society</vt:lpwstr>
  </property>
  <property fmtid="{D5CDD505-2E9C-101B-9397-08002B2CF9AE}" pid="24" name="Mendeley Recent Style Name 9_1">
    <vt:lpwstr>The Optical Society</vt:lpwstr>
  </property>
</Properties>
</file>