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6BFEF" w14:textId="63C88915" w:rsidR="00314402" w:rsidRPr="007067D3" w:rsidRDefault="00314402" w:rsidP="00314402">
      <w:pPr>
        <w:spacing w:line="480" w:lineRule="auto"/>
        <w:jc w:val="both"/>
        <w:rPr>
          <w:b/>
          <w:sz w:val="28"/>
          <w:szCs w:val="28"/>
        </w:rPr>
      </w:pPr>
      <w:r w:rsidRPr="007067D3">
        <w:rPr>
          <w:b/>
          <w:sz w:val="28"/>
          <w:szCs w:val="28"/>
        </w:rPr>
        <w:t xml:space="preserve">Supplementary </w:t>
      </w:r>
      <w:r w:rsidR="007067D3" w:rsidRPr="007067D3">
        <w:rPr>
          <w:b/>
          <w:sz w:val="28"/>
          <w:szCs w:val="28"/>
        </w:rPr>
        <w:t>F</w:t>
      </w:r>
      <w:r w:rsidRPr="007067D3">
        <w:rPr>
          <w:b/>
          <w:sz w:val="28"/>
          <w:szCs w:val="28"/>
        </w:rPr>
        <w:t>igures</w:t>
      </w:r>
    </w:p>
    <w:p w14:paraId="7B14F66F" w14:textId="317F1B3B" w:rsidR="007D6326" w:rsidRPr="007067D3" w:rsidRDefault="00C45746" w:rsidP="00314402">
      <w:pPr>
        <w:spacing w:line="48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74446825" wp14:editId="4F73802F">
            <wp:extent cx="5619750" cy="707995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S1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0468" cy="708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F4DD" w14:textId="7CD9FA53" w:rsidR="00314402" w:rsidRPr="007067D3" w:rsidRDefault="00314402" w:rsidP="00314402">
      <w:pPr>
        <w:pStyle w:val="ListParagraph"/>
        <w:widowControl w:val="0"/>
        <w:spacing w:line="480" w:lineRule="auto"/>
        <w:ind w:left="0"/>
        <w:jc w:val="both"/>
        <w:rPr>
          <w:bCs/>
        </w:rPr>
      </w:pPr>
      <w:r w:rsidRPr="007067D3">
        <w:rPr>
          <w:b/>
        </w:rPr>
        <w:t xml:space="preserve">Fig. S1. </w:t>
      </w:r>
      <w:r w:rsidRPr="007067D3">
        <w:rPr>
          <w:bCs/>
        </w:rPr>
        <w:t>Detection</w:t>
      </w:r>
      <w:r w:rsidRPr="007067D3">
        <w:rPr>
          <w:b/>
        </w:rPr>
        <w:t xml:space="preserve"> </w:t>
      </w:r>
      <w:r w:rsidRPr="007067D3">
        <w:t>of TNF</w:t>
      </w:r>
      <w:r w:rsidRPr="007067D3">
        <w:rPr>
          <w:vertAlign w:val="superscript"/>
        </w:rPr>
        <w:t>+</w:t>
      </w:r>
      <w:r w:rsidRPr="007067D3">
        <w:t xml:space="preserve"> CD3</w:t>
      </w:r>
      <w:r w:rsidRPr="007067D3">
        <w:rPr>
          <w:vertAlign w:val="superscript"/>
        </w:rPr>
        <w:t xml:space="preserve">+ </w:t>
      </w:r>
      <w:r w:rsidRPr="007067D3">
        <w:t>CD4</w:t>
      </w:r>
      <w:r w:rsidRPr="007067D3">
        <w:rPr>
          <w:vertAlign w:val="superscript"/>
        </w:rPr>
        <w:t xml:space="preserve">+ </w:t>
      </w:r>
      <w:r w:rsidR="00C20F27" w:rsidRPr="007067D3">
        <w:t>WB</w:t>
      </w:r>
      <w:r w:rsidR="00C20F27" w:rsidRPr="007067D3">
        <w:rPr>
          <w:vertAlign w:val="superscript"/>
        </w:rPr>
        <w:t xml:space="preserve"> </w:t>
      </w:r>
      <w:r w:rsidRPr="007067D3">
        <w:t xml:space="preserve">T cells within the lymphocyte and singlet gates in relation to EDTA treatment. The figure shows results obtained for mICAM-1/m24 </w:t>
      </w:r>
      <w:r w:rsidR="00410B0D">
        <w:t xml:space="preserve">Ab </w:t>
      </w:r>
      <w:r w:rsidRPr="007067D3">
        <w:t xml:space="preserve">stained </w:t>
      </w:r>
      <w:r w:rsidRPr="007067D3">
        <w:lastRenderedPageBreak/>
        <w:t xml:space="preserve">samples and analysis of basic parameters FSC and SSC. </w:t>
      </w:r>
      <w:r w:rsidRPr="007067D3">
        <w:rPr>
          <w:bCs/>
        </w:rPr>
        <w:t>(A and E) Gating strategy. From left to right, the gating of CD4</w:t>
      </w:r>
      <w:r w:rsidRPr="007067D3">
        <w:rPr>
          <w:bCs/>
          <w:vertAlign w:val="superscript"/>
        </w:rPr>
        <w:t>+</w:t>
      </w:r>
      <w:r w:rsidRPr="007067D3">
        <w:rPr>
          <w:bCs/>
        </w:rPr>
        <w:t xml:space="preserve"> events and of CD3</w:t>
      </w:r>
      <w:r w:rsidRPr="007067D3">
        <w:rPr>
          <w:bCs/>
          <w:vertAlign w:val="superscript"/>
        </w:rPr>
        <w:t>+</w:t>
      </w:r>
      <w:r w:rsidRPr="007067D3">
        <w:rPr>
          <w:bCs/>
        </w:rPr>
        <w:t xml:space="preserve"> T cells. (B-D and F-H) </w:t>
      </w:r>
      <w:r w:rsidRPr="007067D3">
        <w:t>WB cells were cultured without stimulus (B, F), with the CMV/HPT peptide (C, G) or with SEB (D, H). TNF</w:t>
      </w:r>
      <w:r w:rsidRPr="007067D3">
        <w:rPr>
          <w:vertAlign w:val="superscript"/>
        </w:rPr>
        <w:t>+</w:t>
      </w:r>
      <w:r w:rsidRPr="007067D3">
        <w:t xml:space="preserve"> cells within</w:t>
      </w:r>
      <w:r w:rsidRPr="007067D3">
        <w:rPr>
          <w:bCs/>
        </w:rPr>
        <w:t xml:space="preserve"> the CD4</w:t>
      </w:r>
      <w:r w:rsidRPr="007067D3">
        <w:rPr>
          <w:bCs/>
          <w:vertAlign w:val="superscript"/>
        </w:rPr>
        <w:t>+</w:t>
      </w:r>
      <w:r w:rsidRPr="007067D3">
        <w:rPr>
          <w:bCs/>
        </w:rPr>
        <w:t xml:space="preserve"> T cells were defined (left, pink frame, frequencies are indicated) and their distribution on FSC-A/SSC-A plots (middle) or FSC-A/FSC-H plots (right) without (top) or with EDTA treatment </w:t>
      </w:r>
      <w:r w:rsidRPr="007067D3">
        <w:t xml:space="preserve">(bottom) after the staining with mICAM-1 (B-D) or m24 Ab (F-H) was assessed. Numbers on the </w:t>
      </w:r>
      <w:r w:rsidRPr="007067D3">
        <w:rPr>
          <w:bCs/>
        </w:rPr>
        <w:t xml:space="preserve">FSC-A/SSC-A and FSC-A/FSC-H plots </w:t>
      </w:r>
      <w:r w:rsidRPr="007067D3">
        <w:t>indicate the percentages of TNF</w:t>
      </w:r>
      <w:r w:rsidRPr="007067D3">
        <w:rPr>
          <w:vertAlign w:val="superscript"/>
        </w:rPr>
        <w:t xml:space="preserve">+ </w:t>
      </w:r>
      <w:r w:rsidRPr="007067D3">
        <w:t>CD4</w:t>
      </w:r>
      <w:r w:rsidRPr="007067D3">
        <w:rPr>
          <w:vertAlign w:val="superscript"/>
        </w:rPr>
        <w:t>+</w:t>
      </w:r>
      <w:r w:rsidRPr="007067D3">
        <w:t xml:space="preserve"> T cells falling within the gates (pink).</w:t>
      </w:r>
      <w:r w:rsidRPr="007067D3">
        <w:rPr>
          <w:bCs/>
        </w:rPr>
        <w:t xml:space="preserve"> Note that results are partially shown in Fig.1, but here the FSC-A/SSC-A lymphocyte gate and the FSC-A/FSC-H duplet exclusion are not included in the gating strategy. Without lymphocyte </w:t>
      </w:r>
      <w:proofErr w:type="spellStart"/>
      <w:r w:rsidRPr="007067D3">
        <w:rPr>
          <w:bCs/>
        </w:rPr>
        <w:t>pregating</w:t>
      </w:r>
      <w:proofErr w:type="spellEnd"/>
      <w:r w:rsidRPr="007067D3">
        <w:rPr>
          <w:bCs/>
        </w:rPr>
        <w:t>, a population of m24</w:t>
      </w:r>
      <w:r w:rsidRPr="007067D3">
        <w:rPr>
          <w:bCs/>
          <w:vertAlign w:val="superscript"/>
        </w:rPr>
        <w:t xml:space="preserve">+ </w:t>
      </w:r>
      <w:proofErr w:type="spellStart"/>
      <w:r w:rsidRPr="007067D3">
        <w:rPr>
          <w:bCs/>
        </w:rPr>
        <w:t>TNF</w:t>
      </w:r>
      <w:r w:rsidR="002F1C9A" w:rsidRPr="007067D3">
        <w:rPr>
          <w:bCs/>
          <w:vertAlign w:val="superscript"/>
        </w:rPr>
        <w:t>neg</w:t>
      </w:r>
      <w:proofErr w:type="spellEnd"/>
      <w:r w:rsidR="002F1C9A" w:rsidRPr="007067D3">
        <w:rPr>
          <w:bCs/>
        </w:rPr>
        <w:t xml:space="preserve"> </w:t>
      </w:r>
      <w:r w:rsidRPr="007067D3">
        <w:rPr>
          <w:bCs/>
        </w:rPr>
        <w:t xml:space="preserve">cells is visible also in the unstimulated control. These are very large events containing probably aggregated T cells and monocytes (the latter binding to m24 </w:t>
      </w:r>
      <w:r w:rsidR="00D26F0B" w:rsidRPr="007067D3">
        <w:rPr>
          <w:bCs/>
        </w:rPr>
        <w:t xml:space="preserve">Ab </w:t>
      </w:r>
      <w:r w:rsidRPr="007067D3">
        <w:rPr>
          <w:bCs/>
        </w:rPr>
        <w:t>after stimulation).</w:t>
      </w:r>
    </w:p>
    <w:p w14:paraId="48461161" w14:textId="43159FD0" w:rsidR="007067D3" w:rsidRPr="007067D3" w:rsidRDefault="007067D3" w:rsidP="00314402">
      <w:pPr>
        <w:pStyle w:val="ListParagraph"/>
        <w:widowControl w:val="0"/>
        <w:spacing w:line="480" w:lineRule="auto"/>
        <w:ind w:left="0"/>
        <w:jc w:val="both"/>
        <w:rPr>
          <w:bCs/>
        </w:rPr>
      </w:pPr>
    </w:p>
    <w:p w14:paraId="2FA0C5C8" w14:textId="45D04D9E" w:rsidR="007067D3" w:rsidRPr="007067D3" w:rsidRDefault="007067D3" w:rsidP="00314402">
      <w:pPr>
        <w:pStyle w:val="ListParagraph"/>
        <w:widowControl w:val="0"/>
        <w:spacing w:line="480" w:lineRule="auto"/>
        <w:ind w:left="0"/>
        <w:jc w:val="both"/>
        <w:rPr>
          <w:bCs/>
        </w:rPr>
      </w:pPr>
    </w:p>
    <w:p w14:paraId="633E7692" w14:textId="6E57A683" w:rsidR="007067D3" w:rsidRPr="007067D3" w:rsidRDefault="007067D3" w:rsidP="00314402">
      <w:pPr>
        <w:pStyle w:val="ListParagraph"/>
        <w:widowControl w:val="0"/>
        <w:spacing w:line="480" w:lineRule="auto"/>
        <w:ind w:left="0"/>
        <w:jc w:val="both"/>
        <w:rPr>
          <w:bCs/>
        </w:rPr>
      </w:pPr>
    </w:p>
    <w:p w14:paraId="339BE9E0" w14:textId="77777777" w:rsidR="007067D3" w:rsidRPr="007067D3" w:rsidRDefault="007067D3" w:rsidP="00314402">
      <w:pPr>
        <w:pStyle w:val="ListParagraph"/>
        <w:widowControl w:val="0"/>
        <w:spacing w:line="480" w:lineRule="auto"/>
        <w:ind w:left="0"/>
        <w:jc w:val="both"/>
        <w:rPr>
          <w:bCs/>
        </w:rPr>
      </w:pPr>
    </w:p>
    <w:p w14:paraId="7A3AB2A4" w14:textId="38C170F4" w:rsidR="007D6326" w:rsidRPr="007067D3" w:rsidRDefault="00C45746" w:rsidP="00314402">
      <w:pPr>
        <w:pStyle w:val="ListParagraph"/>
        <w:widowControl w:val="0"/>
        <w:spacing w:line="480" w:lineRule="auto"/>
        <w:ind w:left="0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0170C51" wp14:editId="0D3FD345">
            <wp:extent cx="5972810" cy="3599815"/>
            <wp:effectExtent l="0" t="0" r="889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S2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DF8B" w14:textId="6D64EE2C" w:rsidR="00314402" w:rsidRPr="007067D3" w:rsidRDefault="00314402" w:rsidP="00314402">
      <w:pPr>
        <w:pStyle w:val="ListParagraph"/>
        <w:widowControl w:val="0"/>
        <w:spacing w:line="480" w:lineRule="auto"/>
        <w:ind w:left="0"/>
        <w:jc w:val="both"/>
        <w:rPr>
          <w:bCs/>
        </w:rPr>
      </w:pPr>
      <w:r w:rsidRPr="007067D3">
        <w:rPr>
          <w:b/>
        </w:rPr>
        <w:t xml:space="preserve">Fig. S2. </w:t>
      </w:r>
      <w:r w:rsidRPr="007067D3">
        <w:rPr>
          <w:bCs/>
        </w:rPr>
        <w:t>Detection</w:t>
      </w:r>
      <w:r w:rsidRPr="007067D3">
        <w:rPr>
          <w:b/>
        </w:rPr>
        <w:t xml:space="preserve"> </w:t>
      </w:r>
      <w:r w:rsidRPr="007067D3">
        <w:t>of HLA-A*02 restricted, CMV/NLV-specific CD8</w:t>
      </w:r>
      <w:r w:rsidRPr="007067D3">
        <w:rPr>
          <w:vertAlign w:val="superscript"/>
        </w:rPr>
        <w:t xml:space="preserve">+ </w:t>
      </w:r>
      <w:r w:rsidR="00C20F27" w:rsidRPr="007067D3">
        <w:t xml:space="preserve">WB </w:t>
      </w:r>
      <w:r w:rsidRPr="007067D3">
        <w:t>T cells (</w:t>
      </w:r>
      <w:proofErr w:type="spellStart"/>
      <w:r w:rsidRPr="007067D3">
        <w:t>costained</w:t>
      </w:r>
      <w:proofErr w:type="spellEnd"/>
      <w:r w:rsidRPr="007067D3">
        <w:t xml:space="preserve"> with CD3, CD4, CD8 Abs</w:t>
      </w:r>
      <w:r w:rsidR="0084691C" w:rsidRPr="007067D3">
        <w:t>,</w:t>
      </w:r>
      <w:r w:rsidRPr="007067D3">
        <w:t xml:space="preserve"> and mICAM-1 or m24 Ab) within the lymphocyte singlet cell gate does not depend on the EDTA treatment. </w:t>
      </w:r>
      <w:r w:rsidRPr="007067D3">
        <w:rPr>
          <w:bCs/>
        </w:rPr>
        <w:t>(A) Gating strategy. From left to right: the gating of CD8</w:t>
      </w:r>
      <w:r w:rsidRPr="007067D3">
        <w:rPr>
          <w:bCs/>
          <w:vertAlign w:val="superscript"/>
        </w:rPr>
        <w:t>+</w:t>
      </w:r>
      <w:r w:rsidRPr="007067D3">
        <w:rPr>
          <w:bCs/>
        </w:rPr>
        <w:t xml:space="preserve"> events and tetramer </w:t>
      </w:r>
      <w:r w:rsidRPr="007067D3">
        <w:t>A*02/NLV</w:t>
      </w:r>
      <w:r w:rsidRPr="007067D3">
        <w:rPr>
          <w:vertAlign w:val="superscript"/>
        </w:rPr>
        <w:t>+</w:t>
      </w:r>
      <w:r w:rsidRPr="007067D3">
        <w:t xml:space="preserve"> </w:t>
      </w:r>
      <w:r w:rsidRPr="007067D3">
        <w:rPr>
          <w:bCs/>
        </w:rPr>
        <w:t>CD</w:t>
      </w:r>
      <w:r w:rsidR="0038304C" w:rsidRPr="007067D3">
        <w:rPr>
          <w:bCs/>
        </w:rPr>
        <w:t>3</w:t>
      </w:r>
      <w:r w:rsidRPr="007067D3">
        <w:rPr>
          <w:bCs/>
          <w:vertAlign w:val="superscript"/>
        </w:rPr>
        <w:t>+</w:t>
      </w:r>
      <w:r w:rsidRPr="007067D3">
        <w:rPr>
          <w:bCs/>
        </w:rPr>
        <w:t xml:space="preserve"> T cells. (B</w:t>
      </w:r>
      <w:r w:rsidR="007C275F">
        <w:rPr>
          <w:bCs/>
        </w:rPr>
        <w:t>,</w:t>
      </w:r>
      <w:r w:rsidRPr="007067D3">
        <w:rPr>
          <w:bCs/>
        </w:rPr>
        <w:t xml:space="preserve"> C) </w:t>
      </w:r>
      <w:r w:rsidRPr="007067D3">
        <w:t>β</w:t>
      </w:r>
      <w:r w:rsidRPr="007067D3">
        <w:rPr>
          <w:vertAlign w:val="subscript"/>
        </w:rPr>
        <w:t>2</w:t>
      </w:r>
      <w:r w:rsidRPr="007067D3">
        <w:t>-integrin activation on A*02/NLV</w:t>
      </w:r>
      <w:r w:rsidRPr="007067D3">
        <w:rPr>
          <w:vertAlign w:val="superscript"/>
        </w:rPr>
        <w:t>+</w:t>
      </w:r>
      <w:r w:rsidRPr="007067D3">
        <w:t xml:space="preserve"> cells (left) and </w:t>
      </w:r>
      <w:r w:rsidRPr="007067D3">
        <w:rPr>
          <w:bCs/>
        </w:rPr>
        <w:t>distribution within FSC-A/SSC-A lymphocyte plots (middle) or FSC-A/FSC-H singlet plots (right), without (top) or with EDTA</w:t>
      </w:r>
      <w:r w:rsidR="0038304C" w:rsidRPr="007067D3">
        <w:rPr>
          <w:bCs/>
        </w:rPr>
        <w:t xml:space="preserve"> treatment</w:t>
      </w:r>
      <w:r w:rsidRPr="007067D3">
        <w:rPr>
          <w:bCs/>
        </w:rPr>
        <w:t xml:space="preserve"> </w:t>
      </w:r>
      <w:r w:rsidR="0038304C" w:rsidRPr="007067D3">
        <w:t xml:space="preserve">(bottom) </w:t>
      </w:r>
      <w:r w:rsidRPr="007067D3">
        <w:t>after the staining with mICAM-1 (B) or m24 Ab (C). Numbers indicate the percentages of A*02/NLV</w:t>
      </w:r>
      <w:r w:rsidRPr="007067D3">
        <w:rPr>
          <w:vertAlign w:val="superscript"/>
        </w:rPr>
        <w:t xml:space="preserve">+ </w:t>
      </w:r>
      <w:r w:rsidRPr="007067D3">
        <w:t>CD8</w:t>
      </w:r>
      <w:r w:rsidRPr="007067D3">
        <w:rPr>
          <w:vertAlign w:val="superscript"/>
        </w:rPr>
        <w:t>+</w:t>
      </w:r>
      <w:r w:rsidRPr="007067D3">
        <w:t xml:space="preserve"> T cells falling within the gates (pink).</w:t>
      </w:r>
      <w:r w:rsidRPr="007067D3">
        <w:rPr>
          <w:bCs/>
        </w:rPr>
        <w:t xml:space="preserve"> Note that results are partially shown in Fig.</w:t>
      </w:r>
      <w:r w:rsidR="004644DE">
        <w:rPr>
          <w:bCs/>
        </w:rPr>
        <w:t>2</w:t>
      </w:r>
      <w:r w:rsidRPr="007067D3">
        <w:rPr>
          <w:bCs/>
        </w:rPr>
        <w:t>, but here the FSC-A/SSC-A lymphocyte gate and the FSC-A/FSC-H duplet exclusion are not included in the gating strategy.</w:t>
      </w:r>
    </w:p>
    <w:p w14:paraId="15629CCF" w14:textId="7B54E6EF" w:rsidR="00314402" w:rsidRPr="007067D3" w:rsidRDefault="00C45746" w:rsidP="00314402">
      <w:pPr>
        <w:pStyle w:val="ListParagraph"/>
        <w:widowControl w:val="0"/>
        <w:spacing w:line="480" w:lineRule="auto"/>
        <w:ind w:left="0"/>
        <w:jc w:val="both"/>
      </w:pPr>
      <w:r>
        <w:rPr>
          <w:noProof/>
        </w:rPr>
        <w:lastRenderedPageBreak/>
        <w:drawing>
          <wp:inline distT="0" distB="0" distL="0" distR="0" wp14:anchorId="032C4C26" wp14:editId="4F707105">
            <wp:extent cx="4426990" cy="7600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S3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8171" cy="760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655A" w14:textId="6F14A156" w:rsidR="00314402" w:rsidRPr="007067D3" w:rsidRDefault="00314402" w:rsidP="00314402">
      <w:pPr>
        <w:pStyle w:val="ListParagraph"/>
        <w:widowControl w:val="0"/>
        <w:spacing w:line="480" w:lineRule="auto"/>
        <w:ind w:left="0"/>
        <w:jc w:val="both"/>
      </w:pPr>
      <w:r w:rsidRPr="007067D3">
        <w:rPr>
          <w:b/>
        </w:rPr>
        <w:t xml:space="preserve">Fig. S3. </w:t>
      </w:r>
      <w:r w:rsidRPr="007067D3">
        <w:t>Functional profile of SEB-stimulated m24</w:t>
      </w:r>
      <w:r w:rsidRPr="007067D3">
        <w:rPr>
          <w:vertAlign w:val="superscript"/>
        </w:rPr>
        <w:t xml:space="preserve">+ </w:t>
      </w:r>
      <w:r w:rsidRPr="007067D3">
        <w:t>CD4</w:t>
      </w:r>
      <w:r w:rsidRPr="007067D3">
        <w:rPr>
          <w:vertAlign w:val="superscript"/>
        </w:rPr>
        <w:t>+</w:t>
      </w:r>
      <w:r w:rsidRPr="007067D3">
        <w:t xml:space="preserve"> </w:t>
      </w:r>
      <w:r w:rsidR="00C20F27" w:rsidRPr="007067D3">
        <w:t xml:space="preserve">WB </w:t>
      </w:r>
      <w:r w:rsidRPr="007067D3">
        <w:t xml:space="preserve">T cells. m24 </w:t>
      </w:r>
      <w:r w:rsidR="009147B5" w:rsidRPr="007067D3">
        <w:t xml:space="preserve">Ab </w:t>
      </w:r>
      <w:r w:rsidRPr="007067D3">
        <w:t>staining for the two donors DRB1*11</w:t>
      </w:r>
      <w:r w:rsidRPr="007067D3">
        <w:rPr>
          <w:vertAlign w:val="superscript"/>
        </w:rPr>
        <w:t>+</w:t>
      </w:r>
      <w:r w:rsidRPr="007067D3">
        <w:t xml:space="preserve"> and HBV-vaccinee shown in Fig</w:t>
      </w:r>
      <w:r w:rsidR="004644DE">
        <w:t>s</w:t>
      </w:r>
      <w:r w:rsidRPr="007067D3">
        <w:t xml:space="preserve">. </w:t>
      </w:r>
      <w:r w:rsidR="004644DE">
        <w:t>5 and 6, respectively</w:t>
      </w:r>
      <w:r w:rsidRPr="007067D3">
        <w:t xml:space="preserve">. (A, C) The results of </w:t>
      </w:r>
      <w:r w:rsidRPr="007067D3">
        <w:lastRenderedPageBreak/>
        <w:t>the SEB stimulations are shown as graphs (at the indicated times and after subtraction of the background assessed in the control test; frequencies within CD4</w:t>
      </w:r>
      <w:r w:rsidRPr="007067D3">
        <w:rPr>
          <w:vertAlign w:val="superscript"/>
        </w:rPr>
        <w:t>+</w:t>
      </w:r>
      <w:r w:rsidRPr="007067D3">
        <w:t xml:space="preserve"> T cells are shown); empty bars represent total m24</w:t>
      </w:r>
      <w:r w:rsidRPr="007067D3">
        <w:rPr>
          <w:vertAlign w:val="superscript"/>
        </w:rPr>
        <w:t>+</w:t>
      </w:r>
      <w:r w:rsidRPr="007067D3">
        <w:t xml:space="preserve"> cells, positive </w:t>
      </w:r>
      <w:r w:rsidR="004644DE">
        <w:t>gray</w:t>
      </w:r>
      <w:r w:rsidRPr="007067D3">
        <w:t xml:space="preserve"> bars  represent marker</w:t>
      </w:r>
      <w:r w:rsidRPr="007067D3">
        <w:rPr>
          <w:vertAlign w:val="superscript"/>
        </w:rPr>
        <w:t>+</w:t>
      </w:r>
      <w:r w:rsidR="004644DE">
        <w:rPr>
          <w:vertAlign w:val="superscript"/>
        </w:rPr>
        <w:t xml:space="preserve"> </w:t>
      </w:r>
      <w:r w:rsidR="004644DE" w:rsidRPr="007067D3">
        <w:t>(CD154</w:t>
      </w:r>
      <w:r w:rsidR="004644DE">
        <w:t xml:space="preserve">, </w:t>
      </w:r>
      <w:r w:rsidR="004644DE" w:rsidRPr="007067D3">
        <w:t>TNF</w:t>
      </w:r>
      <w:r w:rsidR="004644DE">
        <w:t>,</w:t>
      </w:r>
      <w:r w:rsidR="004644DE" w:rsidRPr="007067D3">
        <w:t xml:space="preserve"> IFN-γ</w:t>
      </w:r>
      <w:r w:rsidR="004644DE">
        <w:t>, or</w:t>
      </w:r>
      <w:r w:rsidR="004644DE" w:rsidRPr="007067D3">
        <w:t xml:space="preserve"> IL-2)</w:t>
      </w:r>
      <w:r w:rsidR="004644DE">
        <w:t xml:space="preserve"> </w:t>
      </w:r>
      <w:r w:rsidRPr="007067D3">
        <w:t>m24</w:t>
      </w:r>
      <w:r w:rsidRPr="007067D3">
        <w:rPr>
          <w:vertAlign w:val="superscript"/>
        </w:rPr>
        <w:t>+</w:t>
      </w:r>
      <w:r w:rsidRPr="007067D3">
        <w:t xml:space="preserve"> </w:t>
      </w:r>
      <w:r w:rsidR="00752712" w:rsidRPr="007067D3">
        <w:t>CD4</w:t>
      </w:r>
      <w:r w:rsidR="00752712" w:rsidRPr="007067D3">
        <w:rPr>
          <w:vertAlign w:val="superscript"/>
        </w:rPr>
        <w:t>+</w:t>
      </w:r>
      <w:r w:rsidR="00752712" w:rsidRPr="007067D3">
        <w:t xml:space="preserve"> T </w:t>
      </w:r>
      <w:r w:rsidRPr="007067D3">
        <w:t>cells</w:t>
      </w:r>
      <w:r w:rsidR="008347FB">
        <w:t>,</w:t>
      </w:r>
      <w:r w:rsidRPr="007067D3">
        <w:t xml:space="preserve"> while negative </w:t>
      </w:r>
      <w:r w:rsidR="004644DE">
        <w:t>gray</w:t>
      </w:r>
      <w:r w:rsidRPr="007067D3">
        <w:t xml:space="preserve"> bars marker</w:t>
      </w:r>
      <w:r w:rsidRPr="007067D3">
        <w:rPr>
          <w:vertAlign w:val="superscript"/>
        </w:rPr>
        <w:t xml:space="preserve">+ </w:t>
      </w:r>
      <w:r w:rsidRPr="007067D3">
        <w:t>m24</w:t>
      </w:r>
      <w:r w:rsidRPr="007067D3">
        <w:rPr>
          <w:vertAlign w:val="superscript"/>
        </w:rPr>
        <w:t>neg</w:t>
      </w:r>
      <w:r w:rsidRPr="007067D3">
        <w:t xml:space="preserve"> CD4</w:t>
      </w:r>
      <w:r w:rsidRPr="007067D3">
        <w:rPr>
          <w:vertAlign w:val="superscript"/>
        </w:rPr>
        <w:t>+</w:t>
      </w:r>
      <w:r w:rsidRPr="007067D3">
        <w:t xml:space="preserve"> T cells. (B, D) m24 Ab staining after 6 h stimulation (top panels). CD154</w:t>
      </w:r>
      <w:r w:rsidRPr="007067D3">
        <w:rPr>
          <w:vertAlign w:val="superscript"/>
        </w:rPr>
        <w:t xml:space="preserve">+ </w:t>
      </w:r>
      <w:r w:rsidRPr="007067D3">
        <w:t>m24</w:t>
      </w:r>
      <w:r w:rsidRPr="007067D3">
        <w:rPr>
          <w:vertAlign w:val="superscript"/>
        </w:rPr>
        <w:t>neg</w:t>
      </w:r>
      <w:r w:rsidR="001311C8">
        <w:t xml:space="preserve"> and</w:t>
      </w:r>
      <w:r w:rsidRPr="007067D3">
        <w:rPr>
          <w:vertAlign w:val="superscript"/>
        </w:rPr>
        <w:t xml:space="preserve"> </w:t>
      </w:r>
      <w:r w:rsidRPr="007067D3">
        <w:t>m24</w:t>
      </w:r>
      <w:r w:rsidRPr="007067D3">
        <w:rPr>
          <w:vertAlign w:val="superscript"/>
        </w:rPr>
        <w:t>+</w:t>
      </w:r>
      <w:r w:rsidRPr="007067D3">
        <w:t xml:space="preserve"> subsets (pink frame) are further displayed according to TNF, IFN-γ</w:t>
      </w:r>
      <w:r w:rsidR="0084691C" w:rsidRPr="007067D3">
        <w:t>,</w:t>
      </w:r>
      <w:r w:rsidRPr="007067D3">
        <w:t xml:space="preserve"> and IL-2 expression (bottom). Numbers on density plots indicate frequencies among total or CD154</w:t>
      </w:r>
      <w:r w:rsidRPr="007067D3">
        <w:rPr>
          <w:vertAlign w:val="superscript"/>
        </w:rPr>
        <w:t>+</w:t>
      </w:r>
      <w:r w:rsidRPr="007067D3">
        <w:t xml:space="preserve"> CD4</w:t>
      </w:r>
      <w:r w:rsidRPr="007067D3">
        <w:rPr>
          <w:vertAlign w:val="superscript"/>
        </w:rPr>
        <w:t>+</w:t>
      </w:r>
      <w:r w:rsidRPr="007067D3">
        <w:t xml:space="preserve"> T cells. Gating strategy is as in Fig. 1</w:t>
      </w:r>
      <w:r w:rsidR="00752712" w:rsidRPr="007067D3">
        <w:rPr>
          <w:i/>
        </w:rPr>
        <w:t>A</w:t>
      </w:r>
      <w:r w:rsidRPr="007067D3">
        <w:t>, and control stains are shown in Fig</w:t>
      </w:r>
      <w:r w:rsidR="004644DE">
        <w:t>s</w:t>
      </w:r>
      <w:r w:rsidRPr="007067D3">
        <w:t xml:space="preserve">. </w:t>
      </w:r>
      <w:r w:rsidR="004644DE">
        <w:t>5 and 6</w:t>
      </w:r>
      <w:r w:rsidRPr="007067D3">
        <w:t>.</w:t>
      </w:r>
    </w:p>
    <w:p w14:paraId="2F4AD97F" w14:textId="65869721" w:rsidR="007D6326" w:rsidRPr="007067D3" w:rsidRDefault="007D6326" w:rsidP="00314402">
      <w:pPr>
        <w:pStyle w:val="ListParagraph"/>
        <w:widowControl w:val="0"/>
        <w:spacing w:line="480" w:lineRule="auto"/>
        <w:ind w:left="0"/>
        <w:jc w:val="both"/>
      </w:pPr>
    </w:p>
    <w:p w14:paraId="7760BD74" w14:textId="5550FDA1" w:rsidR="007D6326" w:rsidRPr="007067D3" w:rsidRDefault="007D6326" w:rsidP="00314402">
      <w:pPr>
        <w:pStyle w:val="ListParagraph"/>
        <w:widowControl w:val="0"/>
        <w:spacing w:line="480" w:lineRule="auto"/>
        <w:ind w:left="0"/>
        <w:jc w:val="both"/>
      </w:pPr>
    </w:p>
    <w:p w14:paraId="1F1EF84F" w14:textId="2665E8F5" w:rsidR="007D6326" w:rsidRPr="007067D3" w:rsidRDefault="00C45746" w:rsidP="00314402">
      <w:pPr>
        <w:pStyle w:val="ListParagraph"/>
        <w:widowControl w:val="0"/>
        <w:spacing w:line="480" w:lineRule="auto"/>
        <w:ind w:left="0"/>
        <w:jc w:val="both"/>
      </w:pPr>
      <w:r>
        <w:rPr>
          <w:noProof/>
        </w:rPr>
        <w:lastRenderedPageBreak/>
        <w:drawing>
          <wp:inline distT="0" distB="0" distL="0" distR="0" wp14:anchorId="2EA6B3FB" wp14:editId="307B1448">
            <wp:extent cx="4541139" cy="5191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S4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2088" cy="51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0ABA" w14:textId="58449567" w:rsidR="00314402" w:rsidRPr="007067D3" w:rsidRDefault="00314402" w:rsidP="00314402">
      <w:pPr>
        <w:pStyle w:val="ListParagraph"/>
        <w:widowControl w:val="0"/>
        <w:spacing w:line="480" w:lineRule="auto"/>
        <w:ind w:left="0"/>
        <w:jc w:val="both"/>
      </w:pPr>
      <w:r w:rsidRPr="007067D3">
        <w:rPr>
          <w:b/>
        </w:rPr>
        <w:t xml:space="preserve">Fig. S4. </w:t>
      </w:r>
      <w:bookmarkStart w:id="0" w:name="_Hlk49091980"/>
      <w:r w:rsidRPr="007067D3">
        <w:t>Functional profile of HBV-specific, m24</w:t>
      </w:r>
      <w:r w:rsidRPr="007067D3">
        <w:rPr>
          <w:vertAlign w:val="superscript"/>
        </w:rPr>
        <w:t xml:space="preserve">+ </w:t>
      </w:r>
      <w:r w:rsidRPr="007067D3">
        <w:t>CD4</w:t>
      </w:r>
      <w:r w:rsidRPr="007067D3">
        <w:rPr>
          <w:vertAlign w:val="superscript"/>
        </w:rPr>
        <w:t>+</w:t>
      </w:r>
      <w:r w:rsidRPr="007067D3">
        <w:t xml:space="preserve"> </w:t>
      </w:r>
      <w:r w:rsidR="004F4A14" w:rsidRPr="007067D3">
        <w:t xml:space="preserve">WB </w:t>
      </w:r>
      <w:r w:rsidRPr="007067D3">
        <w:t xml:space="preserve">T cells from a second vaccinee. </w:t>
      </w:r>
      <w:bookmarkEnd w:id="0"/>
      <w:r w:rsidRPr="007067D3">
        <w:t>Cell stimulation was performed with HBV/Env overlapping peptides. (A) Results are shown as graphs (at the indicated times and after subtraction of the background assessed in the control test; frequencies within CD4</w:t>
      </w:r>
      <w:r w:rsidRPr="007067D3">
        <w:rPr>
          <w:vertAlign w:val="superscript"/>
        </w:rPr>
        <w:t>+</w:t>
      </w:r>
      <w:r w:rsidRPr="007067D3">
        <w:t xml:space="preserve"> T cells are shown); empty bars represent total m24</w:t>
      </w:r>
      <w:r w:rsidRPr="007067D3">
        <w:rPr>
          <w:vertAlign w:val="superscript"/>
        </w:rPr>
        <w:t>+</w:t>
      </w:r>
      <w:r w:rsidRPr="007067D3">
        <w:t xml:space="preserve"> cells, </w:t>
      </w:r>
      <w:r w:rsidR="004644DE" w:rsidRPr="007067D3">
        <w:t xml:space="preserve">positive </w:t>
      </w:r>
      <w:r w:rsidR="004644DE">
        <w:t>gray</w:t>
      </w:r>
      <w:r w:rsidR="004644DE" w:rsidRPr="007067D3">
        <w:t xml:space="preserve"> </w:t>
      </w:r>
      <w:proofErr w:type="gramStart"/>
      <w:r w:rsidR="004644DE" w:rsidRPr="007067D3">
        <w:t>bars  represent</w:t>
      </w:r>
      <w:proofErr w:type="gramEnd"/>
      <w:r w:rsidR="004644DE" w:rsidRPr="007067D3">
        <w:t xml:space="preserve"> marker</w:t>
      </w:r>
      <w:r w:rsidR="004644DE" w:rsidRPr="007067D3">
        <w:rPr>
          <w:vertAlign w:val="superscript"/>
        </w:rPr>
        <w:t>+</w:t>
      </w:r>
      <w:r w:rsidR="004644DE">
        <w:rPr>
          <w:vertAlign w:val="superscript"/>
        </w:rPr>
        <w:t xml:space="preserve"> </w:t>
      </w:r>
      <w:r w:rsidR="004644DE" w:rsidRPr="007067D3">
        <w:t>(CD154</w:t>
      </w:r>
      <w:r w:rsidR="004644DE">
        <w:t xml:space="preserve">, </w:t>
      </w:r>
      <w:r w:rsidR="004644DE" w:rsidRPr="007067D3">
        <w:t>TNF</w:t>
      </w:r>
      <w:r w:rsidR="004644DE">
        <w:t>,</w:t>
      </w:r>
      <w:r w:rsidR="004644DE" w:rsidRPr="007067D3">
        <w:t xml:space="preserve"> IFN-γ</w:t>
      </w:r>
      <w:r w:rsidR="004644DE">
        <w:t>, or</w:t>
      </w:r>
      <w:r w:rsidR="004644DE" w:rsidRPr="007067D3">
        <w:t xml:space="preserve"> IL-2)</w:t>
      </w:r>
      <w:r w:rsidR="004644DE">
        <w:t xml:space="preserve"> </w:t>
      </w:r>
      <w:r w:rsidR="004644DE" w:rsidRPr="007067D3">
        <w:t>m24</w:t>
      </w:r>
      <w:r w:rsidR="004644DE" w:rsidRPr="007067D3">
        <w:rPr>
          <w:vertAlign w:val="superscript"/>
        </w:rPr>
        <w:t>+</w:t>
      </w:r>
      <w:r w:rsidR="004644DE" w:rsidRPr="007067D3">
        <w:t xml:space="preserve"> CD4</w:t>
      </w:r>
      <w:r w:rsidR="004644DE" w:rsidRPr="007067D3">
        <w:rPr>
          <w:vertAlign w:val="superscript"/>
        </w:rPr>
        <w:t>+</w:t>
      </w:r>
      <w:r w:rsidR="004644DE" w:rsidRPr="007067D3">
        <w:t xml:space="preserve"> T cells</w:t>
      </w:r>
      <w:r w:rsidR="008347FB">
        <w:t>,</w:t>
      </w:r>
      <w:r w:rsidRPr="007067D3">
        <w:t xml:space="preserve"> while negative</w:t>
      </w:r>
      <w:r w:rsidR="00410B0D">
        <w:t xml:space="preserve"> gray</w:t>
      </w:r>
      <w:r w:rsidRPr="007067D3">
        <w:t xml:space="preserve"> bars marker</w:t>
      </w:r>
      <w:r w:rsidRPr="007067D3">
        <w:rPr>
          <w:vertAlign w:val="superscript"/>
        </w:rPr>
        <w:t xml:space="preserve">+ </w:t>
      </w:r>
      <w:r w:rsidRPr="007067D3">
        <w:t>m24</w:t>
      </w:r>
      <w:r w:rsidRPr="007067D3">
        <w:rPr>
          <w:vertAlign w:val="superscript"/>
        </w:rPr>
        <w:t>neg</w:t>
      </w:r>
      <w:r w:rsidRPr="007067D3">
        <w:t xml:space="preserve"> CD4</w:t>
      </w:r>
      <w:r w:rsidRPr="007067D3">
        <w:rPr>
          <w:vertAlign w:val="superscript"/>
        </w:rPr>
        <w:t>+</w:t>
      </w:r>
      <w:r w:rsidRPr="007067D3">
        <w:t xml:space="preserve"> T cells. (B) m24 Ab staining after 6 h without stimulation (top) or in the presence of HBV/Env peptides (middle). CD154</w:t>
      </w:r>
      <w:r w:rsidRPr="007067D3">
        <w:rPr>
          <w:vertAlign w:val="superscript"/>
        </w:rPr>
        <w:t xml:space="preserve">+ </w:t>
      </w:r>
      <w:r w:rsidRPr="007067D3">
        <w:t>m24</w:t>
      </w:r>
      <w:r w:rsidRPr="007067D3">
        <w:rPr>
          <w:vertAlign w:val="superscript"/>
        </w:rPr>
        <w:t>neg</w:t>
      </w:r>
      <w:r w:rsidRPr="007067D3">
        <w:t xml:space="preserve"> </w:t>
      </w:r>
      <w:r w:rsidR="001311C8">
        <w:t>and</w:t>
      </w:r>
      <w:r w:rsidRPr="007067D3">
        <w:rPr>
          <w:vertAlign w:val="superscript"/>
        </w:rPr>
        <w:t xml:space="preserve"> </w:t>
      </w:r>
      <w:r w:rsidRPr="007067D3">
        <w:t>m24</w:t>
      </w:r>
      <w:r w:rsidRPr="007067D3">
        <w:rPr>
          <w:vertAlign w:val="superscript"/>
        </w:rPr>
        <w:t>+</w:t>
      </w:r>
      <w:r w:rsidRPr="007067D3">
        <w:t xml:space="preserve"> subsets (pink frame) are further displayed according to TNF, IFN-γ</w:t>
      </w:r>
      <w:r w:rsidR="0084691C" w:rsidRPr="007067D3">
        <w:t>,</w:t>
      </w:r>
      <w:r w:rsidRPr="007067D3">
        <w:t xml:space="preserve"> and IL-2 expression (bottom). Numbers on the density plots indicate frequencies among total or CD154</w:t>
      </w:r>
      <w:r w:rsidRPr="007067D3">
        <w:rPr>
          <w:vertAlign w:val="superscript"/>
        </w:rPr>
        <w:t>+</w:t>
      </w:r>
      <w:r w:rsidRPr="007067D3">
        <w:t xml:space="preserve"> CD4</w:t>
      </w:r>
      <w:r w:rsidRPr="007067D3">
        <w:rPr>
          <w:vertAlign w:val="superscript"/>
        </w:rPr>
        <w:t>+</w:t>
      </w:r>
      <w:r w:rsidRPr="007067D3">
        <w:t xml:space="preserve"> T cells. Gating strategy was as in Fig. 1</w:t>
      </w:r>
      <w:r w:rsidR="00752712" w:rsidRPr="007067D3">
        <w:rPr>
          <w:i/>
        </w:rPr>
        <w:t>A</w:t>
      </w:r>
      <w:r w:rsidRPr="007067D3">
        <w:t>.</w:t>
      </w:r>
    </w:p>
    <w:p w14:paraId="18DA43E2" w14:textId="1FAF97BD" w:rsidR="00314402" w:rsidRPr="007067D3" w:rsidRDefault="00C45746" w:rsidP="00314402">
      <w:pPr>
        <w:pStyle w:val="ListParagraph"/>
        <w:widowControl w:val="0"/>
        <w:spacing w:line="480" w:lineRule="auto"/>
        <w:ind w:left="0"/>
        <w:jc w:val="both"/>
      </w:pPr>
      <w:bookmarkStart w:id="1" w:name="_GoBack"/>
      <w:r>
        <w:rPr>
          <w:noProof/>
        </w:rPr>
        <w:lastRenderedPageBreak/>
        <w:drawing>
          <wp:inline distT="0" distB="0" distL="0" distR="0" wp14:anchorId="2E5CE675" wp14:editId="7C9CF09E">
            <wp:extent cx="4681762" cy="768667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S5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5123" cy="769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1566EB4" w14:textId="5553A942" w:rsidR="00D0645C" w:rsidRPr="007067D3" w:rsidRDefault="00314402" w:rsidP="00A41BF6">
      <w:pPr>
        <w:pStyle w:val="ListParagraph"/>
        <w:widowControl w:val="0"/>
        <w:spacing w:line="480" w:lineRule="auto"/>
        <w:ind w:left="0"/>
        <w:jc w:val="both"/>
      </w:pPr>
      <w:r w:rsidRPr="007067D3">
        <w:rPr>
          <w:b/>
        </w:rPr>
        <w:t xml:space="preserve">Fig. S5. </w:t>
      </w:r>
      <w:r w:rsidR="00D0645C" w:rsidRPr="007067D3">
        <w:rPr>
          <w:bCs/>
        </w:rPr>
        <w:t>Assessment</w:t>
      </w:r>
      <w:r w:rsidR="00D0645C" w:rsidRPr="007067D3">
        <w:rPr>
          <w:b/>
        </w:rPr>
        <w:t xml:space="preserve"> </w:t>
      </w:r>
      <w:r w:rsidR="00D0645C" w:rsidRPr="007067D3">
        <w:t xml:space="preserve">of </w:t>
      </w:r>
      <w:r w:rsidR="00330673" w:rsidRPr="007067D3">
        <w:t xml:space="preserve">CMV- and </w:t>
      </w:r>
      <w:r w:rsidR="00D0645C" w:rsidRPr="007067D3">
        <w:t>HBV-specific CD4</w:t>
      </w:r>
      <w:r w:rsidR="00D0645C" w:rsidRPr="007067D3">
        <w:rPr>
          <w:vertAlign w:val="superscript"/>
        </w:rPr>
        <w:t>+</w:t>
      </w:r>
      <w:r w:rsidR="00D0645C" w:rsidRPr="007067D3">
        <w:t xml:space="preserve"> T cells in frozen/thawed PBMCs</w:t>
      </w:r>
      <w:r w:rsidR="00A41BF6" w:rsidRPr="007067D3">
        <w:t xml:space="preserve">. </w:t>
      </w:r>
      <w:r w:rsidR="004F4A14" w:rsidRPr="007067D3">
        <w:t>Donors are the same as in Fig</w:t>
      </w:r>
      <w:r w:rsidR="008347FB">
        <w:t>s</w:t>
      </w:r>
      <w:r w:rsidR="004F4A14" w:rsidRPr="007067D3">
        <w:t xml:space="preserve">. </w:t>
      </w:r>
      <w:r w:rsidR="008347FB">
        <w:t>5 and 6, respectively</w:t>
      </w:r>
      <w:r w:rsidR="004F4A14" w:rsidRPr="007067D3">
        <w:t xml:space="preserve">. </w:t>
      </w:r>
      <w:r w:rsidR="007968D9" w:rsidRPr="007067D3">
        <w:rPr>
          <w:bCs/>
        </w:rPr>
        <w:t xml:space="preserve">(A) Gating strategy. From left to right, the lymphocyte </w:t>
      </w:r>
      <w:r w:rsidR="007968D9" w:rsidRPr="007067D3">
        <w:rPr>
          <w:bCs/>
        </w:rPr>
        <w:lastRenderedPageBreak/>
        <w:t>gate, the FSC-A/H duplet exclusion, the gating of CD4</w:t>
      </w:r>
      <w:r w:rsidR="007968D9" w:rsidRPr="007067D3">
        <w:rPr>
          <w:bCs/>
          <w:vertAlign w:val="superscript"/>
        </w:rPr>
        <w:t>+</w:t>
      </w:r>
      <w:r w:rsidR="0084691C" w:rsidRPr="007067D3">
        <w:rPr>
          <w:bCs/>
        </w:rPr>
        <w:t>,</w:t>
      </w:r>
      <w:r w:rsidR="007968D9" w:rsidRPr="007067D3">
        <w:rPr>
          <w:bCs/>
        </w:rPr>
        <w:t xml:space="preserve"> and of living CD3</w:t>
      </w:r>
      <w:r w:rsidR="007968D9" w:rsidRPr="007067D3">
        <w:rPr>
          <w:bCs/>
          <w:vertAlign w:val="superscript"/>
        </w:rPr>
        <w:t>+</w:t>
      </w:r>
      <w:r w:rsidR="007968D9" w:rsidRPr="007067D3">
        <w:rPr>
          <w:bCs/>
        </w:rPr>
        <w:t xml:space="preserve"> T cells. </w:t>
      </w:r>
      <w:r w:rsidR="00D0645C" w:rsidRPr="007067D3">
        <w:t>(</w:t>
      </w:r>
      <w:r w:rsidR="00330673" w:rsidRPr="007067D3">
        <w:t>B</w:t>
      </w:r>
      <w:r w:rsidR="007C275F">
        <w:t>,</w:t>
      </w:r>
      <w:r w:rsidR="00330673" w:rsidRPr="007067D3">
        <w:t xml:space="preserve"> C</w:t>
      </w:r>
      <w:r w:rsidR="00D0645C" w:rsidRPr="007067D3">
        <w:t xml:space="preserve">) m24 Ab staining in combination with CD154, TNF, IFN-γ or IL-2 expression (from left to right) after </w:t>
      </w:r>
      <w:r w:rsidR="00410B0D">
        <w:t xml:space="preserve">6 h </w:t>
      </w:r>
      <w:r w:rsidR="00D0645C" w:rsidRPr="007067D3">
        <w:t>stimulation of 2x10</w:t>
      </w:r>
      <w:r w:rsidR="00D0645C" w:rsidRPr="007067D3">
        <w:rPr>
          <w:vertAlign w:val="superscript"/>
        </w:rPr>
        <w:t>6</w:t>
      </w:r>
      <w:r w:rsidR="00D0645C" w:rsidRPr="007067D3">
        <w:t xml:space="preserve"> </w:t>
      </w:r>
      <w:r w:rsidR="004F4A14" w:rsidRPr="007067D3">
        <w:t>PBMCs</w:t>
      </w:r>
      <w:r w:rsidR="00D0645C" w:rsidRPr="007067D3">
        <w:t xml:space="preserve"> (in 1 ml TCM) without (control)</w:t>
      </w:r>
      <w:r w:rsidR="00330673" w:rsidRPr="007067D3">
        <w:t>, with CMV/HPT</w:t>
      </w:r>
      <w:r w:rsidR="00266759" w:rsidRPr="007067D3">
        <w:t xml:space="preserve"> (B)</w:t>
      </w:r>
      <w:r w:rsidR="00D0645C" w:rsidRPr="007067D3">
        <w:t xml:space="preserve"> or with HBV/Env</w:t>
      </w:r>
      <w:r w:rsidR="00266759" w:rsidRPr="007067D3">
        <w:t xml:space="preserve"> </w:t>
      </w:r>
      <w:r w:rsidR="00D0645C" w:rsidRPr="007067D3">
        <w:t xml:space="preserve">peptide pool </w:t>
      </w:r>
      <w:r w:rsidR="004F4A14" w:rsidRPr="007067D3">
        <w:t>(C)</w:t>
      </w:r>
      <w:r w:rsidR="00D0645C" w:rsidRPr="007067D3">
        <w:t>.</w:t>
      </w:r>
      <w:r w:rsidR="00D0645C" w:rsidRPr="007067D3">
        <w:rPr>
          <w:bCs/>
        </w:rPr>
        <w:t xml:space="preserve"> </w:t>
      </w:r>
      <w:r w:rsidR="00410B0D" w:rsidRPr="007067D3">
        <w:t>m24</w:t>
      </w:r>
      <w:r w:rsidR="00410B0D" w:rsidRPr="007067D3">
        <w:rPr>
          <w:vertAlign w:val="superscript"/>
        </w:rPr>
        <w:t>+</w:t>
      </w:r>
      <w:r w:rsidR="006C7887">
        <w:rPr>
          <w:vertAlign w:val="superscript"/>
        </w:rPr>
        <w:t xml:space="preserve"> </w:t>
      </w:r>
      <w:r w:rsidR="00410B0D" w:rsidRPr="007067D3">
        <w:t>CD154</w:t>
      </w:r>
      <w:r w:rsidR="00410B0D" w:rsidRPr="007067D3">
        <w:rPr>
          <w:vertAlign w:val="superscript"/>
        </w:rPr>
        <w:t>neg</w:t>
      </w:r>
      <w:r w:rsidR="00410B0D">
        <w:t xml:space="preserve">, </w:t>
      </w:r>
      <w:r w:rsidR="00410B0D" w:rsidRPr="007067D3">
        <w:t>m24</w:t>
      </w:r>
      <w:r w:rsidR="00410B0D" w:rsidRPr="007067D3">
        <w:rPr>
          <w:vertAlign w:val="superscript"/>
        </w:rPr>
        <w:t>+</w:t>
      </w:r>
      <w:r w:rsidR="006C7887">
        <w:rPr>
          <w:vertAlign w:val="superscript"/>
        </w:rPr>
        <w:t xml:space="preserve"> </w:t>
      </w:r>
      <w:r w:rsidR="00410B0D" w:rsidRPr="007067D3">
        <w:t>CD154</w:t>
      </w:r>
      <w:r w:rsidR="00410B0D" w:rsidRPr="007067D3">
        <w:rPr>
          <w:vertAlign w:val="superscript"/>
        </w:rPr>
        <w:t>+</w:t>
      </w:r>
      <w:r w:rsidR="00410B0D">
        <w:t xml:space="preserve"> and </w:t>
      </w:r>
      <w:r w:rsidR="00410B0D" w:rsidRPr="007067D3">
        <w:t>m24</w:t>
      </w:r>
      <w:r w:rsidR="00410B0D" w:rsidRPr="007067D3">
        <w:rPr>
          <w:vertAlign w:val="superscript"/>
        </w:rPr>
        <w:t>neg</w:t>
      </w:r>
      <w:r w:rsidR="006C7887">
        <w:rPr>
          <w:vertAlign w:val="superscript"/>
        </w:rPr>
        <w:t xml:space="preserve"> </w:t>
      </w:r>
      <w:r w:rsidR="00410B0D" w:rsidRPr="007067D3">
        <w:t>CD154</w:t>
      </w:r>
      <w:r w:rsidR="00410B0D" w:rsidRPr="007067D3">
        <w:rPr>
          <w:vertAlign w:val="superscript"/>
        </w:rPr>
        <w:t>+</w:t>
      </w:r>
      <w:r w:rsidR="00410B0D">
        <w:t xml:space="preserve"> </w:t>
      </w:r>
      <w:r w:rsidR="00D0645C" w:rsidRPr="007067D3">
        <w:t>subsets were gated (blue</w:t>
      </w:r>
      <w:r w:rsidR="0084691C" w:rsidRPr="007067D3">
        <w:t>,</w:t>
      </w:r>
      <w:r w:rsidR="00D0645C" w:rsidRPr="007067D3">
        <w:t xml:space="preserve"> red</w:t>
      </w:r>
      <w:r w:rsidR="00410B0D">
        <w:t xml:space="preserve"> and </w:t>
      </w:r>
      <w:r w:rsidR="00410B0D" w:rsidRPr="007067D3">
        <w:t>black</w:t>
      </w:r>
      <w:r w:rsidR="00D0645C" w:rsidRPr="007067D3">
        <w:t xml:space="preserve"> frames, respectively) and further displayed as histograms according to TNF, IFN-γ and IL-2 expression. Frequencies among CD4</w:t>
      </w:r>
      <w:r w:rsidR="00D0645C" w:rsidRPr="007067D3">
        <w:rPr>
          <w:vertAlign w:val="superscript"/>
        </w:rPr>
        <w:t>+</w:t>
      </w:r>
      <w:r w:rsidR="00D0645C" w:rsidRPr="007067D3">
        <w:t xml:space="preserve"> T cells are indicated and color-coded on the histograms (markers are shown).</w:t>
      </w:r>
    </w:p>
    <w:sectPr w:rsidR="00D0645C" w:rsidRPr="007067D3" w:rsidSect="00970E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92AE5" w16cex:dateUtc="2021-01-25T10:32:00Z"/>
  <w16cex:commentExtensible w16cex:durableId="23B928C7" w16cex:dateUtc="2021-01-25T10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60A3B" w14:textId="77777777" w:rsidR="008C72CD" w:rsidRDefault="008C72CD">
      <w:r>
        <w:separator/>
      </w:r>
    </w:p>
  </w:endnote>
  <w:endnote w:type="continuationSeparator" w:id="0">
    <w:p w14:paraId="23C26E04" w14:textId="77777777" w:rsidR="008C72CD" w:rsidRDefault="008C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B0734" w14:textId="77777777" w:rsidR="00790B57" w:rsidRDefault="00790B5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1AE01608" w14:textId="77777777" w:rsidR="00790B57" w:rsidRDefault="00790B5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43533" w14:textId="5C7FA692" w:rsidR="00790B57" w:rsidRDefault="00790B5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5583">
      <w:rPr>
        <w:rStyle w:val="PageNumber"/>
        <w:noProof/>
      </w:rPr>
      <w:t>24</w:t>
    </w:r>
    <w:r>
      <w:rPr>
        <w:rStyle w:val="PageNumber"/>
      </w:rPr>
      <w:fldChar w:fldCharType="end"/>
    </w:r>
  </w:p>
  <w:p w14:paraId="31B9CCB4" w14:textId="77777777" w:rsidR="00790B57" w:rsidRDefault="00790B5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57297" w14:textId="77777777" w:rsidR="00790B57" w:rsidRDefault="00790B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DBEF4" w14:textId="77777777" w:rsidR="008C72CD" w:rsidRDefault="008C72CD">
      <w:r>
        <w:separator/>
      </w:r>
    </w:p>
  </w:footnote>
  <w:footnote w:type="continuationSeparator" w:id="0">
    <w:p w14:paraId="2F972252" w14:textId="77777777" w:rsidR="008C72CD" w:rsidRDefault="008C7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9BAB7" w14:textId="77777777" w:rsidR="00790B57" w:rsidRDefault="00790B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5341B" w14:textId="77777777" w:rsidR="00790B57" w:rsidRDefault="00790B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D40F" w14:textId="77777777" w:rsidR="00790B57" w:rsidRDefault="00790B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F6234"/>
    <w:multiLevelType w:val="hybridMultilevel"/>
    <w:tmpl w:val="A900EFE6"/>
    <w:lvl w:ilvl="0" w:tplc="008A01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31C2E"/>
    <w:multiLevelType w:val="hybridMultilevel"/>
    <w:tmpl w:val="E9EEE938"/>
    <w:lvl w:ilvl="0" w:tplc="D1202E1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72084"/>
    <w:multiLevelType w:val="hybridMultilevel"/>
    <w:tmpl w:val="3078C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97C6B"/>
    <w:multiLevelType w:val="hybridMultilevel"/>
    <w:tmpl w:val="D0BA1B9E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4B397CAB"/>
    <w:multiLevelType w:val="hybridMultilevel"/>
    <w:tmpl w:val="D56070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F302D"/>
    <w:multiLevelType w:val="hybridMultilevel"/>
    <w:tmpl w:val="98C09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15B0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678B048D"/>
    <w:multiLevelType w:val="hybridMultilevel"/>
    <w:tmpl w:val="5F2EC2C2"/>
    <w:lvl w:ilvl="0" w:tplc="665AE6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rdfrt5o0fra7erf95v2a05vea2a5ddfpv9&quot;&gt;ICAM Library&lt;record-ids&gt;&lt;item&gt;1&lt;/item&gt;&lt;item&gt;2&lt;/item&gt;&lt;item&gt;3&lt;/item&gt;&lt;item&gt;4&lt;/item&gt;&lt;item&gt;5&lt;/item&gt;&lt;item&gt;6&lt;/item&gt;&lt;item&gt;7&lt;/item&gt;&lt;item&gt;12&lt;/item&gt;&lt;item&gt;13&lt;/item&gt;&lt;item&gt;14&lt;/item&gt;&lt;item&gt;15&lt;/item&gt;&lt;item&gt;16&lt;/item&gt;&lt;item&gt;17&lt;/item&gt;&lt;item&gt;18&lt;/item&gt;&lt;item&gt;23&lt;/item&gt;&lt;item&gt;24&lt;/item&gt;&lt;item&gt;25&lt;/item&gt;&lt;item&gt;26&lt;/item&gt;&lt;item&gt;27&lt;/item&gt;&lt;item&gt;28&lt;/item&gt;&lt;/record-ids&gt;&lt;/item&gt;&lt;/Libraries&gt;"/>
  </w:docVars>
  <w:rsids>
    <w:rsidRoot w:val="00C9105A"/>
    <w:rsid w:val="00001244"/>
    <w:rsid w:val="00001F6B"/>
    <w:rsid w:val="00002DE8"/>
    <w:rsid w:val="00003F12"/>
    <w:rsid w:val="00005CDF"/>
    <w:rsid w:val="00006917"/>
    <w:rsid w:val="00007621"/>
    <w:rsid w:val="00007688"/>
    <w:rsid w:val="00007EAC"/>
    <w:rsid w:val="00011381"/>
    <w:rsid w:val="00017F38"/>
    <w:rsid w:val="0002262D"/>
    <w:rsid w:val="00023342"/>
    <w:rsid w:val="00023427"/>
    <w:rsid w:val="000234A3"/>
    <w:rsid w:val="00023533"/>
    <w:rsid w:val="00025543"/>
    <w:rsid w:val="0002554D"/>
    <w:rsid w:val="00025D28"/>
    <w:rsid w:val="00026C64"/>
    <w:rsid w:val="00027B9D"/>
    <w:rsid w:val="00030FD1"/>
    <w:rsid w:val="00033A1A"/>
    <w:rsid w:val="00034A4C"/>
    <w:rsid w:val="00035634"/>
    <w:rsid w:val="00035D6B"/>
    <w:rsid w:val="00036995"/>
    <w:rsid w:val="00036CC7"/>
    <w:rsid w:val="000379BA"/>
    <w:rsid w:val="0004088D"/>
    <w:rsid w:val="00040A87"/>
    <w:rsid w:val="00043354"/>
    <w:rsid w:val="0004397E"/>
    <w:rsid w:val="00050413"/>
    <w:rsid w:val="00050817"/>
    <w:rsid w:val="0005124C"/>
    <w:rsid w:val="000515E8"/>
    <w:rsid w:val="000533F3"/>
    <w:rsid w:val="000535B4"/>
    <w:rsid w:val="00054D6D"/>
    <w:rsid w:val="00057514"/>
    <w:rsid w:val="000613F3"/>
    <w:rsid w:val="0006748E"/>
    <w:rsid w:val="0007218F"/>
    <w:rsid w:val="00072D8E"/>
    <w:rsid w:val="00073E95"/>
    <w:rsid w:val="00073EFC"/>
    <w:rsid w:val="000755BB"/>
    <w:rsid w:val="00075B7A"/>
    <w:rsid w:val="00076F98"/>
    <w:rsid w:val="00077BA5"/>
    <w:rsid w:val="00080507"/>
    <w:rsid w:val="00080A33"/>
    <w:rsid w:val="00081586"/>
    <w:rsid w:val="00081806"/>
    <w:rsid w:val="00082499"/>
    <w:rsid w:val="000837E1"/>
    <w:rsid w:val="00085B40"/>
    <w:rsid w:val="00085EA2"/>
    <w:rsid w:val="000860CD"/>
    <w:rsid w:val="00086640"/>
    <w:rsid w:val="00086B40"/>
    <w:rsid w:val="00086E37"/>
    <w:rsid w:val="00086EBE"/>
    <w:rsid w:val="00093AB2"/>
    <w:rsid w:val="0009512D"/>
    <w:rsid w:val="000966BC"/>
    <w:rsid w:val="00096A7E"/>
    <w:rsid w:val="000A0D3B"/>
    <w:rsid w:val="000A1418"/>
    <w:rsid w:val="000A175C"/>
    <w:rsid w:val="000A3366"/>
    <w:rsid w:val="000A6FD5"/>
    <w:rsid w:val="000A76C3"/>
    <w:rsid w:val="000B09F9"/>
    <w:rsid w:val="000B4F88"/>
    <w:rsid w:val="000B6CB3"/>
    <w:rsid w:val="000C0DC7"/>
    <w:rsid w:val="000C0E0D"/>
    <w:rsid w:val="000C113E"/>
    <w:rsid w:val="000C2FD6"/>
    <w:rsid w:val="000C3817"/>
    <w:rsid w:val="000C3E51"/>
    <w:rsid w:val="000C5D5E"/>
    <w:rsid w:val="000C6150"/>
    <w:rsid w:val="000C6A0C"/>
    <w:rsid w:val="000C73AB"/>
    <w:rsid w:val="000C78E0"/>
    <w:rsid w:val="000D0508"/>
    <w:rsid w:val="000D09D9"/>
    <w:rsid w:val="000D1819"/>
    <w:rsid w:val="000D1FFB"/>
    <w:rsid w:val="000D603B"/>
    <w:rsid w:val="000E0630"/>
    <w:rsid w:val="000E0CDD"/>
    <w:rsid w:val="000E14D8"/>
    <w:rsid w:val="000E2596"/>
    <w:rsid w:val="000F2DFB"/>
    <w:rsid w:val="000F30B2"/>
    <w:rsid w:val="000F46BF"/>
    <w:rsid w:val="001021C9"/>
    <w:rsid w:val="00102CDB"/>
    <w:rsid w:val="00103C19"/>
    <w:rsid w:val="00104398"/>
    <w:rsid w:val="00105B31"/>
    <w:rsid w:val="001073D6"/>
    <w:rsid w:val="001101DC"/>
    <w:rsid w:val="00111214"/>
    <w:rsid w:val="0011161D"/>
    <w:rsid w:val="00113624"/>
    <w:rsid w:val="0011554E"/>
    <w:rsid w:val="0011692B"/>
    <w:rsid w:val="00117BA7"/>
    <w:rsid w:val="00117ED2"/>
    <w:rsid w:val="00120E14"/>
    <w:rsid w:val="00121374"/>
    <w:rsid w:val="00121428"/>
    <w:rsid w:val="001245F1"/>
    <w:rsid w:val="001250F1"/>
    <w:rsid w:val="00127B9C"/>
    <w:rsid w:val="0013026D"/>
    <w:rsid w:val="00130F0D"/>
    <w:rsid w:val="001311C8"/>
    <w:rsid w:val="00132330"/>
    <w:rsid w:val="00134A3D"/>
    <w:rsid w:val="00134FC1"/>
    <w:rsid w:val="001363EA"/>
    <w:rsid w:val="00137882"/>
    <w:rsid w:val="001401A2"/>
    <w:rsid w:val="001401B9"/>
    <w:rsid w:val="001407BE"/>
    <w:rsid w:val="00141321"/>
    <w:rsid w:val="0014158A"/>
    <w:rsid w:val="001427C3"/>
    <w:rsid w:val="00145422"/>
    <w:rsid w:val="001455DB"/>
    <w:rsid w:val="00145F0C"/>
    <w:rsid w:val="001465AD"/>
    <w:rsid w:val="0014703B"/>
    <w:rsid w:val="00147A83"/>
    <w:rsid w:val="00147ACE"/>
    <w:rsid w:val="001502A4"/>
    <w:rsid w:val="001537AC"/>
    <w:rsid w:val="00153ED1"/>
    <w:rsid w:val="001543D4"/>
    <w:rsid w:val="00154F06"/>
    <w:rsid w:val="001556B4"/>
    <w:rsid w:val="00155E66"/>
    <w:rsid w:val="0015653E"/>
    <w:rsid w:val="001573EF"/>
    <w:rsid w:val="001613DA"/>
    <w:rsid w:val="00161412"/>
    <w:rsid w:val="0016260A"/>
    <w:rsid w:val="00163361"/>
    <w:rsid w:val="0016548F"/>
    <w:rsid w:val="001656C6"/>
    <w:rsid w:val="0016656E"/>
    <w:rsid w:val="001705A2"/>
    <w:rsid w:val="001730EA"/>
    <w:rsid w:val="00174959"/>
    <w:rsid w:val="00176175"/>
    <w:rsid w:val="001763D2"/>
    <w:rsid w:val="0018095D"/>
    <w:rsid w:val="00183A9A"/>
    <w:rsid w:val="001856D0"/>
    <w:rsid w:val="0018595E"/>
    <w:rsid w:val="00185DDD"/>
    <w:rsid w:val="00186CBF"/>
    <w:rsid w:val="00186FD8"/>
    <w:rsid w:val="0019543E"/>
    <w:rsid w:val="00195903"/>
    <w:rsid w:val="0019781E"/>
    <w:rsid w:val="001A0142"/>
    <w:rsid w:val="001A1F96"/>
    <w:rsid w:val="001A21C6"/>
    <w:rsid w:val="001A3B6B"/>
    <w:rsid w:val="001A74E4"/>
    <w:rsid w:val="001A7DE2"/>
    <w:rsid w:val="001A7E35"/>
    <w:rsid w:val="001A7E84"/>
    <w:rsid w:val="001B324D"/>
    <w:rsid w:val="001B39AC"/>
    <w:rsid w:val="001C18F9"/>
    <w:rsid w:val="001C1DEC"/>
    <w:rsid w:val="001C3FB9"/>
    <w:rsid w:val="001C453C"/>
    <w:rsid w:val="001C4751"/>
    <w:rsid w:val="001C621C"/>
    <w:rsid w:val="001C654A"/>
    <w:rsid w:val="001D0A06"/>
    <w:rsid w:val="001D1864"/>
    <w:rsid w:val="001D45D2"/>
    <w:rsid w:val="001D4C6E"/>
    <w:rsid w:val="001D59E2"/>
    <w:rsid w:val="001E1811"/>
    <w:rsid w:val="001E1E81"/>
    <w:rsid w:val="001E2043"/>
    <w:rsid w:val="001E2875"/>
    <w:rsid w:val="001E2CC2"/>
    <w:rsid w:val="001E3133"/>
    <w:rsid w:val="001E4CB8"/>
    <w:rsid w:val="001E5416"/>
    <w:rsid w:val="001F35BB"/>
    <w:rsid w:val="001F5B5A"/>
    <w:rsid w:val="001F66F2"/>
    <w:rsid w:val="001F713D"/>
    <w:rsid w:val="002001FB"/>
    <w:rsid w:val="00202BD4"/>
    <w:rsid w:val="002042A0"/>
    <w:rsid w:val="00204EA5"/>
    <w:rsid w:val="0020551F"/>
    <w:rsid w:val="0020671C"/>
    <w:rsid w:val="002102C3"/>
    <w:rsid w:val="00210E2F"/>
    <w:rsid w:val="0021186B"/>
    <w:rsid w:val="00211AEA"/>
    <w:rsid w:val="00217913"/>
    <w:rsid w:val="002204BB"/>
    <w:rsid w:val="00223C26"/>
    <w:rsid w:val="0022504F"/>
    <w:rsid w:val="002267DD"/>
    <w:rsid w:val="00226A3E"/>
    <w:rsid w:val="00227784"/>
    <w:rsid w:val="00230811"/>
    <w:rsid w:val="002310B4"/>
    <w:rsid w:val="00232231"/>
    <w:rsid w:val="00233BFD"/>
    <w:rsid w:val="00233C48"/>
    <w:rsid w:val="00234046"/>
    <w:rsid w:val="00234C5D"/>
    <w:rsid w:val="002352E0"/>
    <w:rsid w:val="00235A83"/>
    <w:rsid w:val="0024163E"/>
    <w:rsid w:val="00242A1D"/>
    <w:rsid w:val="00247715"/>
    <w:rsid w:val="00247DD2"/>
    <w:rsid w:val="00250394"/>
    <w:rsid w:val="002505EE"/>
    <w:rsid w:val="00251A78"/>
    <w:rsid w:val="00251E2D"/>
    <w:rsid w:val="00252967"/>
    <w:rsid w:val="002529DB"/>
    <w:rsid w:val="00253734"/>
    <w:rsid w:val="00254BBA"/>
    <w:rsid w:val="00255FDC"/>
    <w:rsid w:val="002567C0"/>
    <w:rsid w:val="00256CF3"/>
    <w:rsid w:val="00261744"/>
    <w:rsid w:val="00265831"/>
    <w:rsid w:val="00266759"/>
    <w:rsid w:val="0026730A"/>
    <w:rsid w:val="00267B92"/>
    <w:rsid w:val="00271A28"/>
    <w:rsid w:val="00271D01"/>
    <w:rsid w:val="002745BE"/>
    <w:rsid w:val="00275F8F"/>
    <w:rsid w:val="002810AA"/>
    <w:rsid w:val="002819E6"/>
    <w:rsid w:val="00283DA7"/>
    <w:rsid w:val="00284238"/>
    <w:rsid w:val="00286861"/>
    <w:rsid w:val="00292FAA"/>
    <w:rsid w:val="002941AC"/>
    <w:rsid w:val="00295057"/>
    <w:rsid w:val="002970D7"/>
    <w:rsid w:val="00297214"/>
    <w:rsid w:val="00297AEC"/>
    <w:rsid w:val="002A0CE2"/>
    <w:rsid w:val="002A0D31"/>
    <w:rsid w:val="002A1738"/>
    <w:rsid w:val="002A3375"/>
    <w:rsid w:val="002A3957"/>
    <w:rsid w:val="002A4AB7"/>
    <w:rsid w:val="002A4CC4"/>
    <w:rsid w:val="002A5399"/>
    <w:rsid w:val="002B0EE0"/>
    <w:rsid w:val="002B20E6"/>
    <w:rsid w:val="002B32B6"/>
    <w:rsid w:val="002B33EC"/>
    <w:rsid w:val="002B34D7"/>
    <w:rsid w:val="002B49B3"/>
    <w:rsid w:val="002B5F4E"/>
    <w:rsid w:val="002B743B"/>
    <w:rsid w:val="002B74EA"/>
    <w:rsid w:val="002B7796"/>
    <w:rsid w:val="002C012C"/>
    <w:rsid w:val="002C0457"/>
    <w:rsid w:val="002C1709"/>
    <w:rsid w:val="002C1C00"/>
    <w:rsid w:val="002C2BF5"/>
    <w:rsid w:val="002C4962"/>
    <w:rsid w:val="002C6152"/>
    <w:rsid w:val="002D0B35"/>
    <w:rsid w:val="002D160A"/>
    <w:rsid w:val="002D2BBC"/>
    <w:rsid w:val="002D2DBA"/>
    <w:rsid w:val="002D3EE4"/>
    <w:rsid w:val="002D4C5F"/>
    <w:rsid w:val="002D5EF2"/>
    <w:rsid w:val="002D742F"/>
    <w:rsid w:val="002D7486"/>
    <w:rsid w:val="002E1F5B"/>
    <w:rsid w:val="002E3ECE"/>
    <w:rsid w:val="002E49BA"/>
    <w:rsid w:val="002E4E01"/>
    <w:rsid w:val="002E55B0"/>
    <w:rsid w:val="002E55EB"/>
    <w:rsid w:val="002E5A23"/>
    <w:rsid w:val="002E5DFB"/>
    <w:rsid w:val="002E6B25"/>
    <w:rsid w:val="002F0788"/>
    <w:rsid w:val="002F1C9A"/>
    <w:rsid w:val="002F30DC"/>
    <w:rsid w:val="002F6093"/>
    <w:rsid w:val="002F676C"/>
    <w:rsid w:val="002F6970"/>
    <w:rsid w:val="002F7B06"/>
    <w:rsid w:val="00302BD7"/>
    <w:rsid w:val="00304BF8"/>
    <w:rsid w:val="00304E8B"/>
    <w:rsid w:val="003107B0"/>
    <w:rsid w:val="0031234E"/>
    <w:rsid w:val="00312929"/>
    <w:rsid w:val="003138E2"/>
    <w:rsid w:val="00314402"/>
    <w:rsid w:val="00320B2A"/>
    <w:rsid w:val="00321C98"/>
    <w:rsid w:val="003237AE"/>
    <w:rsid w:val="00324637"/>
    <w:rsid w:val="003257E7"/>
    <w:rsid w:val="00325999"/>
    <w:rsid w:val="0033009A"/>
    <w:rsid w:val="00330673"/>
    <w:rsid w:val="00331776"/>
    <w:rsid w:val="003318B3"/>
    <w:rsid w:val="00332513"/>
    <w:rsid w:val="00332DCA"/>
    <w:rsid w:val="00336952"/>
    <w:rsid w:val="00337087"/>
    <w:rsid w:val="003437A5"/>
    <w:rsid w:val="00345A70"/>
    <w:rsid w:val="00346945"/>
    <w:rsid w:val="00346A88"/>
    <w:rsid w:val="00350FFB"/>
    <w:rsid w:val="00352A7C"/>
    <w:rsid w:val="00357873"/>
    <w:rsid w:val="0036486B"/>
    <w:rsid w:val="0036554E"/>
    <w:rsid w:val="00365BAC"/>
    <w:rsid w:val="003706D7"/>
    <w:rsid w:val="00371069"/>
    <w:rsid w:val="00374236"/>
    <w:rsid w:val="00374701"/>
    <w:rsid w:val="00374944"/>
    <w:rsid w:val="0037624A"/>
    <w:rsid w:val="003762A4"/>
    <w:rsid w:val="00377972"/>
    <w:rsid w:val="00377D67"/>
    <w:rsid w:val="00380EA7"/>
    <w:rsid w:val="0038165E"/>
    <w:rsid w:val="0038304C"/>
    <w:rsid w:val="00384159"/>
    <w:rsid w:val="00384E1E"/>
    <w:rsid w:val="0038507C"/>
    <w:rsid w:val="003861F8"/>
    <w:rsid w:val="00392689"/>
    <w:rsid w:val="00392D80"/>
    <w:rsid w:val="0039343A"/>
    <w:rsid w:val="00393F9B"/>
    <w:rsid w:val="003946EA"/>
    <w:rsid w:val="00395726"/>
    <w:rsid w:val="003974F3"/>
    <w:rsid w:val="0039759F"/>
    <w:rsid w:val="003A1F79"/>
    <w:rsid w:val="003A3922"/>
    <w:rsid w:val="003A635F"/>
    <w:rsid w:val="003B0BCF"/>
    <w:rsid w:val="003B0C44"/>
    <w:rsid w:val="003B14CE"/>
    <w:rsid w:val="003B1649"/>
    <w:rsid w:val="003B226D"/>
    <w:rsid w:val="003B302E"/>
    <w:rsid w:val="003B3C0F"/>
    <w:rsid w:val="003B3DCC"/>
    <w:rsid w:val="003B4224"/>
    <w:rsid w:val="003B6197"/>
    <w:rsid w:val="003B625D"/>
    <w:rsid w:val="003C180B"/>
    <w:rsid w:val="003C2576"/>
    <w:rsid w:val="003C271A"/>
    <w:rsid w:val="003C4BC9"/>
    <w:rsid w:val="003C55F2"/>
    <w:rsid w:val="003C5611"/>
    <w:rsid w:val="003C5A0F"/>
    <w:rsid w:val="003C5E0C"/>
    <w:rsid w:val="003D0774"/>
    <w:rsid w:val="003D2BF4"/>
    <w:rsid w:val="003D39A9"/>
    <w:rsid w:val="003D3DF7"/>
    <w:rsid w:val="003D5489"/>
    <w:rsid w:val="003D5BD7"/>
    <w:rsid w:val="003D5F9A"/>
    <w:rsid w:val="003E05C4"/>
    <w:rsid w:val="003E0AF3"/>
    <w:rsid w:val="003E1E93"/>
    <w:rsid w:val="003E4DB7"/>
    <w:rsid w:val="003E6DD0"/>
    <w:rsid w:val="003E7685"/>
    <w:rsid w:val="003F10A8"/>
    <w:rsid w:val="003F28EA"/>
    <w:rsid w:val="003F3AA0"/>
    <w:rsid w:val="003F4570"/>
    <w:rsid w:val="003F469B"/>
    <w:rsid w:val="003F542E"/>
    <w:rsid w:val="003F55AD"/>
    <w:rsid w:val="003F5A20"/>
    <w:rsid w:val="003F7053"/>
    <w:rsid w:val="003F748A"/>
    <w:rsid w:val="003F7C3E"/>
    <w:rsid w:val="0040057D"/>
    <w:rsid w:val="00404D60"/>
    <w:rsid w:val="00407C66"/>
    <w:rsid w:val="004108A0"/>
    <w:rsid w:val="00410B0D"/>
    <w:rsid w:val="00410E4A"/>
    <w:rsid w:val="00411389"/>
    <w:rsid w:val="00413EF3"/>
    <w:rsid w:val="004140BB"/>
    <w:rsid w:val="004143F2"/>
    <w:rsid w:val="004167F4"/>
    <w:rsid w:val="00420BF5"/>
    <w:rsid w:val="004213DD"/>
    <w:rsid w:val="00421841"/>
    <w:rsid w:val="00421846"/>
    <w:rsid w:val="00423122"/>
    <w:rsid w:val="004231F3"/>
    <w:rsid w:val="004232CC"/>
    <w:rsid w:val="00423635"/>
    <w:rsid w:val="00423733"/>
    <w:rsid w:val="00423ACF"/>
    <w:rsid w:val="00423C2E"/>
    <w:rsid w:val="00423FB0"/>
    <w:rsid w:val="004244AE"/>
    <w:rsid w:val="00425E44"/>
    <w:rsid w:val="00426163"/>
    <w:rsid w:val="004263E0"/>
    <w:rsid w:val="0042746D"/>
    <w:rsid w:val="00427F8F"/>
    <w:rsid w:val="00430C40"/>
    <w:rsid w:val="00430EB1"/>
    <w:rsid w:val="004321D4"/>
    <w:rsid w:val="004356DE"/>
    <w:rsid w:val="00440CEE"/>
    <w:rsid w:val="004428F6"/>
    <w:rsid w:val="00442E03"/>
    <w:rsid w:val="00444DA5"/>
    <w:rsid w:val="00444E78"/>
    <w:rsid w:val="0044588D"/>
    <w:rsid w:val="00446014"/>
    <w:rsid w:val="00447529"/>
    <w:rsid w:val="00450AA0"/>
    <w:rsid w:val="00451285"/>
    <w:rsid w:val="0045169E"/>
    <w:rsid w:val="00451F12"/>
    <w:rsid w:val="00452276"/>
    <w:rsid w:val="00452A9A"/>
    <w:rsid w:val="00452E09"/>
    <w:rsid w:val="00454727"/>
    <w:rsid w:val="004565C5"/>
    <w:rsid w:val="00456DA6"/>
    <w:rsid w:val="004572FD"/>
    <w:rsid w:val="004577C5"/>
    <w:rsid w:val="00460607"/>
    <w:rsid w:val="00462E2E"/>
    <w:rsid w:val="004636A6"/>
    <w:rsid w:val="00463E8B"/>
    <w:rsid w:val="004644DE"/>
    <w:rsid w:val="00464ADE"/>
    <w:rsid w:val="004657E6"/>
    <w:rsid w:val="00466502"/>
    <w:rsid w:val="00467BDD"/>
    <w:rsid w:val="00467F5D"/>
    <w:rsid w:val="00474739"/>
    <w:rsid w:val="00475B7B"/>
    <w:rsid w:val="00476729"/>
    <w:rsid w:val="00481D80"/>
    <w:rsid w:val="004833D1"/>
    <w:rsid w:val="004834DB"/>
    <w:rsid w:val="00485C7C"/>
    <w:rsid w:val="00487836"/>
    <w:rsid w:val="00487C61"/>
    <w:rsid w:val="00487E0F"/>
    <w:rsid w:val="0049029B"/>
    <w:rsid w:val="00490AE4"/>
    <w:rsid w:val="004923A1"/>
    <w:rsid w:val="004923AE"/>
    <w:rsid w:val="004924B9"/>
    <w:rsid w:val="00493FA6"/>
    <w:rsid w:val="004A080F"/>
    <w:rsid w:val="004A0A62"/>
    <w:rsid w:val="004A1B3C"/>
    <w:rsid w:val="004A22DF"/>
    <w:rsid w:val="004A3878"/>
    <w:rsid w:val="004A3ADB"/>
    <w:rsid w:val="004A6385"/>
    <w:rsid w:val="004A64B4"/>
    <w:rsid w:val="004A6F44"/>
    <w:rsid w:val="004B186D"/>
    <w:rsid w:val="004B1A99"/>
    <w:rsid w:val="004B2F32"/>
    <w:rsid w:val="004B399B"/>
    <w:rsid w:val="004B3F07"/>
    <w:rsid w:val="004B52EA"/>
    <w:rsid w:val="004B548E"/>
    <w:rsid w:val="004B5677"/>
    <w:rsid w:val="004B6159"/>
    <w:rsid w:val="004B715A"/>
    <w:rsid w:val="004C0971"/>
    <w:rsid w:val="004C0FE1"/>
    <w:rsid w:val="004C267C"/>
    <w:rsid w:val="004C3401"/>
    <w:rsid w:val="004C5CC4"/>
    <w:rsid w:val="004C7767"/>
    <w:rsid w:val="004C79D3"/>
    <w:rsid w:val="004D1753"/>
    <w:rsid w:val="004D37EB"/>
    <w:rsid w:val="004D3B30"/>
    <w:rsid w:val="004D6175"/>
    <w:rsid w:val="004D6D28"/>
    <w:rsid w:val="004E2345"/>
    <w:rsid w:val="004E5297"/>
    <w:rsid w:val="004E72E2"/>
    <w:rsid w:val="004E7345"/>
    <w:rsid w:val="004E7E7C"/>
    <w:rsid w:val="004F0B38"/>
    <w:rsid w:val="004F2428"/>
    <w:rsid w:val="004F27A0"/>
    <w:rsid w:val="004F2D7F"/>
    <w:rsid w:val="004F3E36"/>
    <w:rsid w:val="004F4A14"/>
    <w:rsid w:val="004F5D2A"/>
    <w:rsid w:val="004F76B4"/>
    <w:rsid w:val="00500E56"/>
    <w:rsid w:val="00506954"/>
    <w:rsid w:val="005074C1"/>
    <w:rsid w:val="005077AD"/>
    <w:rsid w:val="00507B6D"/>
    <w:rsid w:val="00507B7D"/>
    <w:rsid w:val="00507DF6"/>
    <w:rsid w:val="0051036C"/>
    <w:rsid w:val="00513505"/>
    <w:rsid w:val="00515A7D"/>
    <w:rsid w:val="00516DCA"/>
    <w:rsid w:val="00517286"/>
    <w:rsid w:val="00520745"/>
    <w:rsid w:val="00520A41"/>
    <w:rsid w:val="00521959"/>
    <w:rsid w:val="00522572"/>
    <w:rsid w:val="005227FD"/>
    <w:rsid w:val="00523289"/>
    <w:rsid w:val="005243B3"/>
    <w:rsid w:val="0052695E"/>
    <w:rsid w:val="00527661"/>
    <w:rsid w:val="00527875"/>
    <w:rsid w:val="0053289E"/>
    <w:rsid w:val="00534E2B"/>
    <w:rsid w:val="00534ED4"/>
    <w:rsid w:val="00536990"/>
    <w:rsid w:val="005375B0"/>
    <w:rsid w:val="00542E4E"/>
    <w:rsid w:val="0054419A"/>
    <w:rsid w:val="005452E6"/>
    <w:rsid w:val="00546D00"/>
    <w:rsid w:val="00546D71"/>
    <w:rsid w:val="005509BD"/>
    <w:rsid w:val="00550F7E"/>
    <w:rsid w:val="00551565"/>
    <w:rsid w:val="0055170B"/>
    <w:rsid w:val="00552545"/>
    <w:rsid w:val="00552C88"/>
    <w:rsid w:val="00553932"/>
    <w:rsid w:val="00554883"/>
    <w:rsid w:val="00555D96"/>
    <w:rsid w:val="005570BB"/>
    <w:rsid w:val="00557193"/>
    <w:rsid w:val="005605F8"/>
    <w:rsid w:val="00561301"/>
    <w:rsid w:val="005643C3"/>
    <w:rsid w:val="0056777E"/>
    <w:rsid w:val="00567D9E"/>
    <w:rsid w:val="005702DD"/>
    <w:rsid w:val="00570F9E"/>
    <w:rsid w:val="00571E45"/>
    <w:rsid w:val="005726C8"/>
    <w:rsid w:val="00573515"/>
    <w:rsid w:val="0057380F"/>
    <w:rsid w:val="005750B4"/>
    <w:rsid w:val="00576008"/>
    <w:rsid w:val="005764E3"/>
    <w:rsid w:val="00577D7A"/>
    <w:rsid w:val="00581147"/>
    <w:rsid w:val="0058146B"/>
    <w:rsid w:val="005816FE"/>
    <w:rsid w:val="005841CD"/>
    <w:rsid w:val="005862DA"/>
    <w:rsid w:val="0059142E"/>
    <w:rsid w:val="00595245"/>
    <w:rsid w:val="0059625F"/>
    <w:rsid w:val="005A1CF1"/>
    <w:rsid w:val="005A317D"/>
    <w:rsid w:val="005A4EDF"/>
    <w:rsid w:val="005A55C6"/>
    <w:rsid w:val="005A5926"/>
    <w:rsid w:val="005A7654"/>
    <w:rsid w:val="005B417B"/>
    <w:rsid w:val="005B531E"/>
    <w:rsid w:val="005B7438"/>
    <w:rsid w:val="005B7CFB"/>
    <w:rsid w:val="005B7D8D"/>
    <w:rsid w:val="005C0A7A"/>
    <w:rsid w:val="005C15D9"/>
    <w:rsid w:val="005C18C1"/>
    <w:rsid w:val="005C1B37"/>
    <w:rsid w:val="005C3A77"/>
    <w:rsid w:val="005C5249"/>
    <w:rsid w:val="005C568D"/>
    <w:rsid w:val="005C5E7F"/>
    <w:rsid w:val="005C74DD"/>
    <w:rsid w:val="005C770F"/>
    <w:rsid w:val="005D037C"/>
    <w:rsid w:val="005D19E6"/>
    <w:rsid w:val="005D2707"/>
    <w:rsid w:val="005D3DFC"/>
    <w:rsid w:val="005D4054"/>
    <w:rsid w:val="005D4148"/>
    <w:rsid w:val="005D70E4"/>
    <w:rsid w:val="005E0F5F"/>
    <w:rsid w:val="005E2156"/>
    <w:rsid w:val="005E2EE9"/>
    <w:rsid w:val="005E7FC3"/>
    <w:rsid w:val="005F2058"/>
    <w:rsid w:val="005F2558"/>
    <w:rsid w:val="005F4741"/>
    <w:rsid w:val="005F6192"/>
    <w:rsid w:val="005F658D"/>
    <w:rsid w:val="0060051A"/>
    <w:rsid w:val="006006D7"/>
    <w:rsid w:val="006010DD"/>
    <w:rsid w:val="00601AE8"/>
    <w:rsid w:val="00603106"/>
    <w:rsid w:val="00605592"/>
    <w:rsid w:val="00606686"/>
    <w:rsid w:val="006067DC"/>
    <w:rsid w:val="0061115A"/>
    <w:rsid w:val="006111F2"/>
    <w:rsid w:val="00611265"/>
    <w:rsid w:val="00611C4C"/>
    <w:rsid w:val="00611DF7"/>
    <w:rsid w:val="00614D03"/>
    <w:rsid w:val="00615CA4"/>
    <w:rsid w:val="00617F38"/>
    <w:rsid w:val="006215A6"/>
    <w:rsid w:val="00621E4C"/>
    <w:rsid w:val="0062242A"/>
    <w:rsid w:val="006238B0"/>
    <w:rsid w:val="00624A38"/>
    <w:rsid w:val="0062674C"/>
    <w:rsid w:val="00626B80"/>
    <w:rsid w:val="006271ED"/>
    <w:rsid w:val="00627BF8"/>
    <w:rsid w:val="00630171"/>
    <w:rsid w:val="0063079B"/>
    <w:rsid w:val="006309C3"/>
    <w:rsid w:val="00630D54"/>
    <w:rsid w:val="006323A3"/>
    <w:rsid w:val="00632CCB"/>
    <w:rsid w:val="00632FA5"/>
    <w:rsid w:val="00633477"/>
    <w:rsid w:val="00633C1E"/>
    <w:rsid w:val="00634CD2"/>
    <w:rsid w:val="00635B29"/>
    <w:rsid w:val="00637245"/>
    <w:rsid w:val="00637CC2"/>
    <w:rsid w:val="00640087"/>
    <w:rsid w:val="006403DE"/>
    <w:rsid w:val="00641075"/>
    <w:rsid w:val="006431F0"/>
    <w:rsid w:val="006462DB"/>
    <w:rsid w:val="00646D3A"/>
    <w:rsid w:val="00651FCB"/>
    <w:rsid w:val="006536EB"/>
    <w:rsid w:val="006537A6"/>
    <w:rsid w:val="00654301"/>
    <w:rsid w:val="00654F89"/>
    <w:rsid w:val="00655708"/>
    <w:rsid w:val="00657D60"/>
    <w:rsid w:val="00660207"/>
    <w:rsid w:val="006631DF"/>
    <w:rsid w:val="0066393D"/>
    <w:rsid w:val="006648A3"/>
    <w:rsid w:val="00665614"/>
    <w:rsid w:val="006661BD"/>
    <w:rsid w:val="00666390"/>
    <w:rsid w:val="00666C80"/>
    <w:rsid w:val="0067006F"/>
    <w:rsid w:val="00671A31"/>
    <w:rsid w:val="00672382"/>
    <w:rsid w:val="006727EA"/>
    <w:rsid w:val="00672F9C"/>
    <w:rsid w:val="00673540"/>
    <w:rsid w:val="00673584"/>
    <w:rsid w:val="00673CDA"/>
    <w:rsid w:val="0067492A"/>
    <w:rsid w:val="00674AA6"/>
    <w:rsid w:val="00675FA9"/>
    <w:rsid w:val="00677827"/>
    <w:rsid w:val="00680FE9"/>
    <w:rsid w:val="00681025"/>
    <w:rsid w:val="00681C3A"/>
    <w:rsid w:val="00682F31"/>
    <w:rsid w:val="00684C2C"/>
    <w:rsid w:val="0068717D"/>
    <w:rsid w:val="00690806"/>
    <w:rsid w:val="00693B9F"/>
    <w:rsid w:val="006940F0"/>
    <w:rsid w:val="0069435A"/>
    <w:rsid w:val="00696E4B"/>
    <w:rsid w:val="006A02B2"/>
    <w:rsid w:val="006A0D08"/>
    <w:rsid w:val="006A22F5"/>
    <w:rsid w:val="006A2887"/>
    <w:rsid w:val="006A3EFC"/>
    <w:rsid w:val="006A48DD"/>
    <w:rsid w:val="006A494E"/>
    <w:rsid w:val="006A5D60"/>
    <w:rsid w:val="006A758C"/>
    <w:rsid w:val="006A79E8"/>
    <w:rsid w:val="006B2F3A"/>
    <w:rsid w:val="006B380C"/>
    <w:rsid w:val="006B3876"/>
    <w:rsid w:val="006B4723"/>
    <w:rsid w:val="006B584B"/>
    <w:rsid w:val="006C0CD9"/>
    <w:rsid w:val="006C11F3"/>
    <w:rsid w:val="006C217A"/>
    <w:rsid w:val="006C256B"/>
    <w:rsid w:val="006C55A8"/>
    <w:rsid w:val="006C5C64"/>
    <w:rsid w:val="006C697B"/>
    <w:rsid w:val="006C6A31"/>
    <w:rsid w:val="006C710E"/>
    <w:rsid w:val="006C76E2"/>
    <w:rsid w:val="006C7887"/>
    <w:rsid w:val="006D02FF"/>
    <w:rsid w:val="006D0B02"/>
    <w:rsid w:val="006D45B4"/>
    <w:rsid w:val="006D50C8"/>
    <w:rsid w:val="006D728D"/>
    <w:rsid w:val="006E0A61"/>
    <w:rsid w:val="006E1FE5"/>
    <w:rsid w:val="006E2AE3"/>
    <w:rsid w:val="006E5B1A"/>
    <w:rsid w:val="006E5EE9"/>
    <w:rsid w:val="006F04C0"/>
    <w:rsid w:val="006F0757"/>
    <w:rsid w:val="006F29C6"/>
    <w:rsid w:val="006F7284"/>
    <w:rsid w:val="006F764F"/>
    <w:rsid w:val="006F772F"/>
    <w:rsid w:val="006F7752"/>
    <w:rsid w:val="007009C7"/>
    <w:rsid w:val="00700A21"/>
    <w:rsid w:val="00700CCC"/>
    <w:rsid w:val="00701EA2"/>
    <w:rsid w:val="00702286"/>
    <w:rsid w:val="0070332B"/>
    <w:rsid w:val="00703718"/>
    <w:rsid w:val="00703856"/>
    <w:rsid w:val="00705539"/>
    <w:rsid w:val="007067D3"/>
    <w:rsid w:val="00716A1C"/>
    <w:rsid w:val="00717843"/>
    <w:rsid w:val="00720D98"/>
    <w:rsid w:val="00721A03"/>
    <w:rsid w:val="00722719"/>
    <w:rsid w:val="00724B64"/>
    <w:rsid w:val="007261A8"/>
    <w:rsid w:val="00726ABF"/>
    <w:rsid w:val="00730F90"/>
    <w:rsid w:val="00730FAD"/>
    <w:rsid w:val="00731F76"/>
    <w:rsid w:val="00733328"/>
    <w:rsid w:val="007333C6"/>
    <w:rsid w:val="0073369E"/>
    <w:rsid w:val="00734E46"/>
    <w:rsid w:val="00736C2B"/>
    <w:rsid w:val="00737E67"/>
    <w:rsid w:val="00740611"/>
    <w:rsid w:val="007408BF"/>
    <w:rsid w:val="00743E9C"/>
    <w:rsid w:val="0074461E"/>
    <w:rsid w:val="00744821"/>
    <w:rsid w:val="00744F9E"/>
    <w:rsid w:val="00747489"/>
    <w:rsid w:val="00750E35"/>
    <w:rsid w:val="00751F07"/>
    <w:rsid w:val="00752712"/>
    <w:rsid w:val="00753DFC"/>
    <w:rsid w:val="0075420C"/>
    <w:rsid w:val="00756302"/>
    <w:rsid w:val="007578B1"/>
    <w:rsid w:val="0076065C"/>
    <w:rsid w:val="00762B8A"/>
    <w:rsid w:val="007636D1"/>
    <w:rsid w:val="00763BFF"/>
    <w:rsid w:val="00764472"/>
    <w:rsid w:val="007658A2"/>
    <w:rsid w:val="00765EF3"/>
    <w:rsid w:val="0076685A"/>
    <w:rsid w:val="00773CC6"/>
    <w:rsid w:val="00774346"/>
    <w:rsid w:val="00774C9A"/>
    <w:rsid w:val="00774FCE"/>
    <w:rsid w:val="007761D0"/>
    <w:rsid w:val="0078021B"/>
    <w:rsid w:val="00787F14"/>
    <w:rsid w:val="007905DC"/>
    <w:rsid w:val="00790B57"/>
    <w:rsid w:val="007916BE"/>
    <w:rsid w:val="00792FDC"/>
    <w:rsid w:val="00793F82"/>
    <w:rsid w:val="007968D9"/>
    <w:rsid w:val="007A0223"/>
    <w:rsid w:val="007A0F05"/>
    <w:rsid w:val="007A1318"/>
    <w:rsid w:val="007A25BC"/>
    <w:rsid w:val="007A31A4"/>
    <w:rsid w:val="007A76F1"/>
    <w:rsid w:val="007B074F"/>
    <w:rsid w:val="007B16ED"/>
    <w:rsid w:val="007B1C34"/>
    <w:rsid w:val="007B3C1B"/>
    <w:rsid w:val="007B4A01"/>
    <w:rsid w:val="007B4FE2"/>
    <w:rsid w:val="007B5395"/>
    <w:rsid w:val="007B5FDC"/>
    <w:rsid w:val="007B6140"/>
    <w:rsid w:val="007B6190"/>
    <w:rsid w:val="007B61D6"/>
    <w:rsid w:val="007B6F56"/>
    <w:rsid w:val="007C01DC"/>
    <w:rsid w:val="007C1F98"/>
    <w:rsid w:val="007C2092"/>
    <w:rsid w:val="007C275F"/>
    <w:rsid w:val="007C4D19"/>
    <w:rsid w:val="007C5F8D"/>
    <w:rsid w:val="007C6F2F"/>
    <w:rsid w:val="007C7874"/>
    <w:rsid w:val="007C7FF5"/>
    <w:rsid w:val="007D1F8E"/>
    <w:rsid w:val="007D2A87"/>
    <w:rsid w:val="007D5666"/>
    <w:rsid w:val="007D6326"/>
    <w:rsid w:val="007D63D3"/>
    <w:rsid w:val="007D72F0"/>
    <w:rsid w:val="007D75BC"/>
    <w:rsid w:val="007D7BE9"/>
    <w:rsid w:val="007E0177"/>
    <w:rsid w:val="007E0442"/>
    <w:rsid w:val="007E0979"/>
    <w:rsid w:val="007E3F8F"/>
    <w:rsid w:val="007E5112"/>
    <w:rsid w:val="007E5C27"/>
    <w:rsid w:val="007E6297"/>
    <w:rsid w:val="007E6463"/>
    <w:rsid w:val="007E6A01"/>
    <w:rsid w:val="007E7C1C"/>
    <w:rsid w:val="007F0AF3"/>
    <w:rsid w:val="007F1F00"/>
    <w:rsid w:val="007F28AE"/>
    <w:rsid w:val="007F2A32"/>
    <w:rsid w:val="007F2A78"/>
    <w:rsid w:val="007F3237"/>
    <w:rsid w:val="007F4414"/>
    <w:rsid w:val="007F4A59"/>
    <w:rsid w:val="007F5089"/>
    <w:rsid w:val="007F6D17"/>
    <w:rsid w:val="00801EB7"/>
    <w:rsid w:val="00802683"/>
    <w:rsid w:val="00804993"/>
    <w:rsid w:val="00806BC7"/>
    <w:rsid w:val="00806F0F"/>
    <w:rsid w:val="0080725D"/>
    <w:rsid w:val="00807B4C"/>
    <w:rsid w:val="008128AC"/>
    <w:rsid w:val="00814002"/>
    <w:rsid w:val="00814ABB"/>
    <w:rsid w:val="008178E0"/>
    <w:rsid w:val="00817D01"/>
    <w:rsid w:val="00817D62"/>
    <w:rsid w:val="0082001D"/>
    <w:rsid w:val="008204BC"/>
    <w:rsid w:val="00821529"/>
    <w:rsid w:val="00821A0A"/>
    <w:rsid w:val="00822078"/>
    <w:rsid w:val="00824465"/>
    <w:rsid w:val="0082455E"/>
    <w:rsid w:val="00826630"/>
    <w:rsid w:val="00827470"/>
    <w:rsid w:val="008302DA"/>
    <w:rsid w:val="00831817"/>
    <w:rsid w:val="00834305"/>
    <w:rsid w:val="008347FB"/>
    <w:rsid w:val="00835B56"/>
    <w:rsid w:val="008360E4"/>
    <w:rsid w:val="00837BA8"/>
    <w:rsid w:val="008404BC"/>
    <w:rsid w:val="0084691C"/>
    <w:rsid w:val="00846E39"/>
    <w:rsid w:val="00847ACA"/>
    <w:rsid w:val="00851628"/>
    <w:rsid w:val="00851E55"/>
    <w:rsid w:val="008549AC"/>
    <w:rsid w:val="00855D8A"/>
    <w:rsid w:val="00856742"/>
    <w:rsid w:val="00857754"/>
    <w:rsid w:val="00857BFB"/>
    <w:rsid w:val="00857ECC"/>
    <w:rsid w:val="00861660"/>
    <w:rsid w:val="00861EAB"/>
    <w:rsid w:val="0086703D"/>
    <w:rsid w:val="008704A8"/>
    <w:rsid w:val="00870B2D"/>
    <w:rsid w:val="00871FC9"/>
    <w:rsid w:val="0087496F"/>
    <w:rsid w:val="00884E9F"/>
    <w:rsid w:val="00885321"/>
    <w:rsid w:val="00886094"/>
    <w:rsid w:val="00886D30"/>
    <w:rsid w:val="0088720D"/>
    <w:rsid w:val="0089098E"/>
    <w:rsid w:val="00891C89"/>
    <w:rsid w:val="00897657"/>
    <w:rsid w:val="008A130F"/>
    <w:rsid w:val="008A1D54"/>
    <w:rsid w:val="008A33B7"/>
    <w:rsid w:val="008A39D1"/>
    <w:rsid w:val="008A4AFD"/>
    <w:rsid w:val="008A4DCB"/>
    <w:rsid w:val="008A73C0"/>
    <w:rsid w:val="008B02A7"/>
    <w:rsid w:val="008B41F3"/>
    <w:rsid w:val="008B62BA"/>
    <w:rsid w:val="008B6741"/>
    <w:rsid w:val="008B78C8"/>
    <w:rsid w:val="008C011B"/>
    <w:rsid w:val="008C07A4"/>
    <w:rsid w:val="008C0D44"/>
    <w:rsid w:val="008C482D"/>
    <w:rsid w:val="008C5A74"/>
    <w:rsid w:val="008C6B78"/>
    <w:rsid w:val="008C6D5B"/>
    <w:rsid w:val="008C72CD"/>
    <w:rsid w:val="008C770F"/>
    <w:rsid w:val="008D018B"/>
    <w:rsid w:val="008D03C9"/>
    <w:rsid w:val="008D16E2"/>
    <w:rsid w:val="008D27FC"/>
    <w:rsid w:val="008D3A86"/>
    <w:rsid w:val="008D561B"/>
    <w:rsid w:val="008D56A7"/>
    <w:rsid w:val="008D5735"/>
    <w:rsid w:val="008D5F71"/>
    <w:rsid w:val="008D6F47"/>
    <w:rsid w:val="008D7FEA"/>
    <w:rsid w:val="008E58F1"/>
    <w:rsid w:val="008F221E"/>
    <w:rsid w:val="008F38DF"/>
    <w:rsid w:val="008F416D"/>
    <w:rsid w:val="008F6275"/>
    <w:rsid w:val="008F69BA"/>
    <w:rsid w:val="008F6C81"/>
    <w:rsid w:val="008F76F3"/>
    <w:rsid w:val="009010F5"/>
    <w:rsid w:val="00901757"/>
    <w:rsid w:val="00902C8F"/>
    <w:rsid w:val="00902D8D"/>
    <w:rsid w:val="00905111"/>
    <w:rsid w:val="00905293"/>
    <w:rsid w:val="0090614A"/>
    <w:rsid w:val="00906BD0"/>
    <w:rsid w:val="00910A00"/>
    <w:rsid w:val="00910CE3"/>
    <w:rsid w:val="00912E50"/>
    <w:rsid w:val="00913412"/>
    <w:rsid w:val="009136CA"/>
    <w:rsid w:val="009147B5"/>
    <w:rsid w:val="0091549D"/>
    <w:rsid w:val="009208B6"/>
    <w:rsid w:val="00920A2C"/>
    <w:rsid w:val="009216D1"/>
    <w:rsid w:val="00921894"/>
    <w:rsid w:val="00921F2A"/>
    <w:rsid w:val="009224BD"/>
    <w:rsid w:val="00924373"/>
    <w:rsid w:val="00924B66"/>
    <w:rsid w:val="00925643"/>
    <w:rsid w:val="00930150"/>
    <w:rsid w:val="00931B9D"/>
    <w:rsid w:val="00932170"/>
    <w:rsid w:val="00932775"/>
    <w:rsid w:val="009329C1"/>
    <w:rsid w:val="00932DC7"/>
    <w:rsid w:val="00934A2A"/>
    <w:rsid w:val="00936285"/>
    <w:rsid w:val="009374E8"/>
    <w:rsid w:val="009378DE"/>
    <w:rsid w:val="00937FC7"/>
    <w:rsid w:val="0094090C"/>
    <w:rsid w:val="00941F92"/>
    <w:rsid w:val="009421D7"/>
    <w:rsid w:val="00942230"/>
    <w:rsid w:val="0094471D"/>
    <w:rsid w:val="00944B9C"/>
    <w:rsid w:val="009464B0"/>
    <w:rsid w:val="009477A9"/>
    <w:rsid w:val="00950470"/>
    <w:rsid w:val="00950E3C"/>
    <w:rsid w:val="009540B1"/>
    <w:rsid w:val="009541AE"/>
    <w:rsid w:val="00954BA9"/>
    <w:rsid w:val="00956069"/>
    <w:rsid w:val="009579DA"/>
    <w:rsid w:val="0096058E"/>
    <w:rsid w:val="0096215C"/>
    <w:rsid w:val="00966803"/>
    <w:rsid w:val="00966C16"/>
    <w:rsid w:val="009671E6"/>
    <w:rsid w:val="00970E5F"/>
    <w:rsid w:val="009710AB"/>
    <w:rsid w:val="009727A2"/>
    <w:rsid w:val="00973EBF"/>
    <w:rsid w:val="0097410D"/>
    <w:rsid w:val="00974B93"/>
    <w:rsid w:val="0097520E"/>
    <w:rsid w:val="00975CA5"/>
    <w:rsid w:val="009805A0"/>
    <w:rsid w:val="00982173"/>
    <w:rsid w:val="00986584"/>
    <w:rsid w:val="009870CE"/>
    <w:rsid w:val="00987490"/>
    <w:rsid w:val="009900E3"/>
    <w:rsid w:val="009908BB"/>
    <w:rsid w:val="00994D68"/>
    <w:rsid w:val="0099527F"/>
    <w:rsid w:val="00995D7E"/>
    <w:rsid w:val="009A0055"/>
    <w:rsid w:val="009A01CC"/>
    <w:rsid w:val="009A1E73"/>
    <w:rsid w:val="009A2513"/>
    <w:rsid w:val="009A2AB1"/>
    <w:rsid w:val="009A32FD"/>
    <w:rsid w:val="009A374E"/>
    <w:rsid w:val="009A658B"/>
    <w:rsid w:val="009A6EF3"/>
    <w:rsid w:val="009A79BC"/>
    <w:rsid w:val="009B0013"/>
    <w:rsid w:val="009B1990"/>
    <w:rsid w:val="009B253A"/>
    <w:rsid w:val="009B32FF"/>
    <w:rsid w:val="009B49B6"/>
    <w:rsid w:val="009B4EC0"/>
    <w:rsid w:val="009B67A8"/>
    <w:rsid w:val="009B7C83"/>
    <w:rsid w:val="009B7DEA"/>
    <w:rsid w:val="009C0398"/>
    <w:rsid w:val="009C1859"/>
    <w:rsid w:val="009C33BC"/>
    <w:rsid w:val="009C36FF"/>
    <w:rsid w:val="009C5597"/>
    <w:rsid w:val="009C5F5F"/>
    <w:rsid w:val="009C66BF"/>
    <w:rsid w:val="009C7650"/>
    <w:rsid w:val="009D2A37"/>
    <w:rsid w:val="009D6200"/>
    <w:rsid w:val="009D7DF1"/>
    <w:rsid w:val="009E11FC"/>
    <w:rsid w:val="009E17AE"/>
    <w:rsid w:val="009E338A"/>
    <w:rsid w:val="009E4868"/>
    <w:rsid w:val="009E5947"/>
    <w:rsid w:val="009E6629"/>
    <w:rsid w:val="009F0B93"/>
    <w:rsid w:val="009F12DC"/>
    <w:rsid w:val="009F1974"/>
    <w:rsid w:val="009F2057"/>
    <w:rsid w:val="009F4A9A"/>
    <w:rsid w:val="009F507A"/>
    <w:rsid w:val="009F52AF"/>
    <w:rsid w:val="009F5DE4"/>
    <w:rsid w:val="00A006B4"/>
    <w:rsid w:val="00A01BEF"/>
    <w:rsid w:val="00A01FCE"/>
    <w:rsid w:val="00A02841"/>
    <w:rsid w:val="00A03AC6"/>
    <w:rsid w:val="00A04E30"/>
    <w:rsid w:val="00A05E60"/>
    <w:rsid w:val="00A124D4"/>
    <w:rsid w:val="00A12C2F"/>
    <w:rsid w:val="00A15277"/>
    <w:rsid w:val="00A15C29"/>
    <w:rsid w:val="00A21ECC"/>
    <w:rsid w:val="00A2240F"/>
    <w:rsid w:val="00A23001"/>
    <w:rsid w:val="00A23AA7"/>
    <w:rsid w:val="00A240BA"/>
    <w:rsid w:val="00A24C5C"/>
    <w:rsid w:val="00A2668C"/>
    <w:rsid w:val="00A268A8"/>
    <w:rsid w:val="00A26CEC"/>
    <w:rsid w:val="00A27097"/>
    <w:rsid w:val="00A2739D"/>
    <w:rsid w:val="00A3175A"/>
    <w:rsid w:val="00A3272A"/>
    <w:rsid w:val="00A4168A"/>
    <w:rsid w:val="00A41BC8"/>
    <w:rsid w:val="00A41BF6"/>
    <w:rsid w:val="00A42524"/>
    <w:rsid w:val="00A43078"/>
    <w:rsid w:val="00A4332E"/>
    <w:rsid w:val="00A43FA1"/>
    <w:rsid w:val="00A43FCA"/>
    <w:rsid w:val="00A4432C"/>
    <w:rsid w:val="00A44AE5"/>
    <w:rsid w:val="00A44FC8"/>
    <w:rsid w:val="00A45F46"/>
    <w:rsid w:val="00A471AF"/>
    <w:rsid w:val="00A47412"/>
    <w:rsid w:val="00A5329B"/>
    <w:rsid w:val="00A53D3D"/>
    <w:rsid w:val="00A619FD"/>
    <w:rsid w:val="00A620DB"/>
    <w:rsid w:val="00A62256"/>
    <w:rsid w:val="00A62A64"/>
    <w:rsid w:val="00A63D1D"/>
    <w:rsid w:val="00A63FA6"/>
    <w:rsid w:val="00A64EF4"/>
    <w:rsid w:val="00A6534E"/>
    <w:rsid w:val="00A664D0"/>
    <w:rsid w:val="00A67CA1"/>
    <w:rsid w:val="00A70323"/>
    <w:rsid w:val="00A70DA6"/>
    <w:rsid w:val="00A7325B"/>
    <w:rsid w:val="00A7395A"/>
    <w:rsid w:val="00A75F84"/>
    <w:rsid w:val="00A8054A"/>
    <w:rsid w:val="00A83271"/>
    <w:rsid w:val="00A866A1"/>
    <w:rsid w:val="00A90B18"/>
    <w:rsid w:val="00A91B1B"/>
    <w:rsid w:val="00A936BF"/>
    <w:rsid w:val="00A946A8"/>
    <w:rsid w:val="00A959F0"/>
    <w:rsid w:val="00A97C8E"/>
    <w:rsid w:val="00AA03EE"/>
    <w:rsid w:val="00AA2710"/>
    <w:rsid w:val="00AA30F6"/>
    <w:rsid w:val="00AA32C5"/>
    <w:rsid w:val="00AA484C"/>
    <w:rsid w:val="00AA5E7F"/>
    <w:rsid w:val="00AA5F35"/>
    <w:rsid w:val="00AA7577"/>
    <w:rsid w:val="00AB0956"/>
    <w:rsid w:val="00AB17BF"/>
    <w:rsid w:val="00AB1BB3"/>
    <w:rsid w:val="00AB1F13"/>
    <w:rsid w:val="00AB4177"/>
    <w:rsid w:val="00AB4ACC"/>
    <w:rsid w:val="00AB79C4"/>
    <w:rsid w:val="00AB7EF8"/>
    <w:rsid w:val="00AC00E8"/>
    <w:rsid w:val="00AC088A"/>
    <w:rsid w:val="00AC0B22"/>
    <w:rsid w:val="00AC2538"/>
    <w:rsid w:val="00AC2676"/>
    <w:rsid w:val="00AC4236"/>
    <w:rsid w:val="00AC471D"/>
    <w:rsid w:val="00AC4C44"/>
    <w:rsid w:val="00AD294D"/>
    <w:rsid w:val="00AD2DED"/>
    <w:rsid w:val="00AD4378"/>
    <w:rsid w:val="00AD4E17"/>
    <w:rsid w:val="00AD7CAC"/>
    <w:rsid w:val="00AE0156"/>
    <w:rsid w:val="00AE08B3"/>
    <w:rsid w:val="00AE0986"/>
    <w:rsid w:val="00AE0A2B"/>
    <w:rsid w:val="00AE15E2"/>
    <w:rsid w:val="00AE1EB1"/>
    <w:rsid w:val="00AE2EEF"/>
    <w:rsid w:val="00AF1B6D"/>
    <w:rsid w:val="00AF373F"/>
    <w:rsid w:val="00AF5369"/>
    <w:rsid w:val="00AF570B"/>
    <w:rsid w:val="00AF5E10"/>
    <w:rsid w:val="00B00EC3"/>
    <w:rsid w:val="00B06D57"/>
    <w:rsid w:val="00B104D4"/>
    <w:rsid w:val="00B12A6D"/>
    <w:rsid w:val="00B12B28"/>
    <w:rsid w:val="00B14961"/>
    <w:rsid w:val="00B173DF"/>
    <w:rsid w:val="00B204C2"/>
    <w:rsid w:val="00B212BF"/>
    <w:rsid w:val="00B224E2"/>
    <w:rsid w:val="00B22745"/>
    <w:rsid w:val="00B22C98"/>
    <w:rsid w:val="00B24C98"/>
    <w:rsid w:val="00B24FC7"/>
    <w:rsid w:val="00B279B1"/>
    <w:rsid w:val="00B3293A"/>
    <w:rsid w:val="00B32B8C"/>
    <w:rsid w:val="00B335C3"/>
    <w:rsid w:val="00B33EC5"/>
    <w:rsid w:val="00B3431B"/>
    <w:rsid w:val="00B362E3"/>
    <w:rsid w:val="00B36C96"/>
    <w:rsid w:val="00B37079"/>
    <w:rsid w:val="00B3773F"/>
    <w:rsid w:val="00B42CD2"/>
    <w:rsid w:val="00B444E4"/>
    <w:rsid w:val="00B45D1C"/>
    <w:rsid w:val="00B46B14"/>
    <w:rsid w:val="00B506CA"/>
    <w:rsid w:val="00B5569B"/>
    <w:rsid w:val="00B56082"/>
    <w:rsid w:val="00B60C5E"/>
    <w:rsid w:val="00B62ADB"/>
    <w:rsid w:val="00B637F5"/>
    <w:rsid w:val="00B63F2B"/>
    <w:rsid w:val="00B65583"/>
    <w:rsid w:val="00B65DFC"/>
    <w:rsid w:val="00B66697"/>
    <w:rsid w:val="00B666AF"/>
    <w:rsid w:val="00B66AB2"/>
    <w:rsid w:val="00B74C26"/>
    <w:rsid w:val="00B778B2"/>
    <w:rsid w:val="00B81948"/>
    <w:rsid w:val="00B830F1"/>
    <w:rsid w:val="00B83175"/>
    <w:rsid w:val="00B8421B"/>
    <w:rsid w:val="00B84EA4"/>
    <w:rsid w:val="00B854F8"/>
    <w:rsid w:val="00B8755D"/>
    <w:rsid w:val="00B878D5"/>
    <w:rsid w:val="00B93122"/>
    <w:rsid w:val="00B94FC6"/>
    <w:rsid w:val="00B976AE"/>
    <w:rsid w:val="00BA1B0D"/>
    <w:rsid w:val="00BA32A4"/>
    <w:rsid w:val="00BA4A4E"/>
    <w:rsid w:val="00BB1490"/>
    <w:rsid w:val="00BB22C9"/>
    <w:rsid w:val="00BB4DBB"/>
    <w:rsid w:val="00BB6EEA"/>
    <w:rsid w:val="00BC0655"/>
    <w:rsid w:val="00BC1489"/>
    <w:rsid w:val="00BC198C"/>
    <w:rsid w:val="00BC36D2"/>
    <w:rsid w:val="00BC48CC"/>
    <w:rsid w:val="00BC4D03"/>
    <w:rsid w:val="00BC5C77"/>
    <w:rsid w:val="00BC5D30"/>
    <w:rsid w:val="00BC66DA"/>
    <w:rsid w:val="00BC7A29"/>
    <w:rsid w:val="00BD05DA"/>
    <w:rsid w:val="00BD2FBE"/>
    <w:rsid w:val="00BD3AB8"/>
    <w:rsid w:val="00BD3E35"/>
    <w:rsid w:val="00BD748A"/>
    <w:rsid w:val="00BE1D8C"/>
    <w:rsid w:val="00BE249E"/>
    <w:rsid w:val="00BE4067"/>
    <w:rsid w:val="00BE5BA6"/>
    <w:rsid w:val="00BE6203"/>
    <w:rsid w:val="00BE646B"/>
    <w:rsid w:val="00BE7370"/>
    <w:rsid w:val="00BE7EC9"/>
    <w:rsid w:val="00BF21F4"/>
    <w:rsid w:val="00BF4235"/>
    <w:rsid w:val="00BF45AD"/>
    <w:rsid w:val="00BF4FED"/>
    <w:rsid w:val="00BF5C37"/>
    <w:rsid w:val="00BF7294"/>
    <w:rsid w:val="00C02A1F"/>
    <w:rsid w:val="00C0618B"/>
    <w:rsid w:val="00C0685B"/>
    <w:rsid w:val="00C1068A"/>
    <w:rsid w:val="00C11A44"/>
    <w:rsid w:val="00C12900"/>
    <w:rsid w:val="00C1383D"/>
    <w:rsid w:val="00C13DE7"/>
    <w:rsid w:val="00C14F4C"/>
    <w:rsid w:val="00C16BB2"/>
    <w:rsid w:val="00C17D45"/>
    <w:rsid w:val="00C20F27"/>
    <w:rsid w:val="00C23BB6"/>
    <w:rsid w:val="00C24B74"/>
    <w:rsid w:val="00C26C0A"/>
    <w:rsid w:val="00C271F9"/>
    <w:rsid w:val="00C31911"/>
    <w:rsid w:val="00C328EB"/>
    <w:rsid w:val="00C33CAF"/>
    <w:rsid w:val="00C36E99"/>
    <w:rsid w:val="00C3728D"/>
    <w:rsid w:val="00C40FD8"/>
    <w:rsid w:val="00C4220E"/>
    <w:rsid w:val="00C43E5C"/>
    <w:rsid w:val="00C43FA6"/>
    <w:rsid w:val="00C455EE"/>
    <w:rsid w:val="00C45746"/>
    <w:rsid w:val="00C458F8"/>
    <w:rsid w:val="00C47364"/>
    <w:rsid w:val="00C5074D"/>
    <w:rsid w:val="00C51496"/>
    <w:rsid w:val="00C51547"/>
    <w:rsid w:val="00C51784"/>
    <w:rsid w:val="00C53123"/>
    <w:rsid w:val="00C533CB"/>
    <w:rsid w:val="00C55EF4"/>
    <w:rsid w:val="00C56E7B"/>
    <w:rsid w:val="00C60CA1"/>
    <w:rsid w:val="00C61368"/>
    <w:rsid w:val="00C61B3A"/>
    <w:rsid w:val="00C61DCE"/>
    <w:rsid w:val="00C62532"/>
    <w:rsid w:val="00C653E0"/>
    <w:rsid w:val="00C70632"/>
    <w:rsid w:val="00C71E70"/>
    <w:rsid w:val="00C72C28"/>
    <w:rsid w:val="00C747A8"/>
    <w:rsid w:val="00C74978"/>
    <w:rsid w:val="00C74C30"/>
    <w:rsid w:val="00C765AD"/>
    <w:rsid w:val="00C768AA"/>
    <w:rsid w:val="00C775D8"/>
    <w:rsid w:val="00C777E7"/>
    <w:rsid w:val="00C8059B"/>
    <w:rsid w:val="00C8240A"/>
    <w:rsid w:val="00C82BD5"/>
    <w:rsid w:val="00C843F3"/>
    <w:rsid w:val="00C861BD"/>
    <w:rsid w:val="00C865C1"/>
    <w:rsid w:val="00C86ACD"/>
    <w:rsid w:val="00C87AF2"/>
    <w:rsid w:val="00C87FCF"/>
    <w:rsid w:val="00C9105A"/>
    <w:rsid w:val="00C912AA"/>
    <w:rsid w:val="00C93490"/>
    <w:rsid w:val="00C940A3"/>
    <w:rsid w:val="00C944E5"/>
    <w:rsid w:val="00C94E29"/>
    <w:rsid w:val="00C95449"/>
    <w:rsid w:val="00C954FE"/>
    <w:rsid w:val="00C96D77"/>
    <w:rsid w:val="00C971FD"/>
    <w:rsid w:val="00C97534"/>
    <w:rsid w:val="00CA137E"/>
    <w:rsid w:val="00CA239A"/>
    <w:rsid w:val="00CA3BA7"/>
    <w:rsid w:val="00CA4187"/>
    <w:rsid w:val="00CA4D5F"/>
    <w:rsid w:val="00CA70E7"/>
    <w:rsid w:val="00CB0E24"/>
    <w:rsid w:val="00CB10FC"/>
    <w:rsid w:val="00CB1884"/>
    <w:rsid w:val="00CB298A"/>
    <w:rsid w:val="00CB3505"/>
    <w:rsid w:val="00CB3B2A"/>
    <w:rsid w:val="00CB5983"/>
    <w:rsid w:val="00CC0E38"/>
    <w:rsid w:val="00CC107F"/>
    <w:rsid w:val="00CC1166"/>
    <w:rsid w:val="00CC1C41"/>
    <w:rsid w:val="00CC1D60"/>
    <w:rsid w:val="00CC201B"/>
    <w:rsid w:val="00CC2B11"/>
    <w:rsid w:val="00CC4B68"/>
    <w:rsid w:val="00CC4BEC"/>
    <w:rsid w:val="00CC4D23"/>
    <w:rsid w:val="00CC4D8E"/>
    <w:rsid w:val="00CC547A"/>
    <w:rsid w:val="00CC640E"/>
    <w:rsid w:val="00CC6453"/>
    <w:rsid w:val="00CC6DEF"/>
    <w:rsid w:val="00CD14B9"/>
    <w:rsid w:val="00CD183B"/>
    <w:rsid w:val="00CD195F"/>
    <w:rsid w:val="00CD2A78"/>
    <w:rsid w:val="00CD2D3C"/>
    <w:rsid w:val="00CD2FE3"/>
    <w:rsid w:val="00CD3270"/>
    <w:rsid w:val="00CD5222"/>
    <w:rsid w:val="00CD65E9"/>
    <w:rsid w:val="00CD694B"/>
    <w:rsid w:val="00CD6DC6"/>
    <w:rsid w:val="00CD7321"/>
    <w:rsid w:val="00CE075D"/>
    <w:rsid w:val="00CE0868"/>
    <w:rsid w:val="00CE0EA0"/>
    <w:rsid w:val="00CE1011"/>
    <w:rsid w:val="00CE104F"/>
    <w:rsid w:val="00CE285F"/>
    <w:rsid w:val="00CE3201"/>
    <w:rsid w:val="00CE3C73"/>
    <w:rsid w:val="00CE55CC"/>
    <w:rsid w:val="00CE5FFB"/>
    <w:rsid w:val="00CE6406"/>
    <w:rsid w:val="00CE6413"/>
    <w:rsid w:val="00CE692C"/>
    <w:rsid w:val="00CE70DB"/>
    <w:rsid w:val="00CF09F4"/>
    <w:rsid w:val="00CF1973"/>
    <w:rsid w:val="00CF365B"/>
    <w:rsid w:val="00CF48A9"/>
    <w:rsid w:val="00CF540D"/>
    <w:rsid w:val="00CF6A6C"/>
    <w:rsid w:val="00CF6DEE"/>
    <w:rsid w:val="00D01AC2"/>
    <w:rsid w:val="00D01DC2"/>
    <w:rsid w:val="00D059EE"/>
    <w:rsid w:val="00D0645C"/>
    <w:rsid w:val="00D10E39"/>
    <w:rsid w:val="00D11DA7"/>
    <w:rsid w:val="00D13AEB"/>
    <w:rsid w:val="00D16290"/>
    <w:rsid w:val="00D16E53"/>
    <w:rsid w:val="00D21540"/>
    <w:rsid w:val="00D21A12"/>
    <w:rsid w:val="00D21E7B"/>
    <w:rsid w:val="00D22B04"/>
    <w:rsid w:val="00D2446F"/>
    <w:rsid w:val="00D2498E"/>
    <w:rsid w:val="00D24F83"/>
    <w:rsid w:val="00D26676"/>
    <w:rsid w:val="00D26F0B"/>
    <w:rsid w:val="00D278D3"/>
    <w:rsid w:val="00D27C8F"/>
    <w:rsid w:val="00D32D1D"/>
    <w:rsid w:val="00D342F8"/>
    <w:rsid w:val="00D35017"/>
    <w:rsid w:val="00D3669E"/>
    <w:rsid w:val="00D413B1"/>
    <w:rsid w:val="00D42239"/>
    <w:rsid w:val="00D433E2"/>
    <w:rsid w:val="00D4426D"/>
    <w:rsid w:val="00D45D09"/>
    <w:rsid w:val="00D46B84"/>
    <w:rsid w:val="00D46C2C"/>
    <w:rsid w:val="00D47A6B"/>
    <w:rsid w:val="00D52CBD"/>
    <w:rsid w:val="00D53AAE"/>
    <w:rsid w:val="00D53C14"/>
    <w:rsid w:val="00D54081"/>
    <w:rsid w:val="00D552E2"/>
    <w:rsid w:val="00D57792"/>
    <w:rsid w:val="00D601FC"/>
    <w:rsid w:val="00D61306"/>
    <w:rsid w:val="00D6164C"/>
    <w:rsid w:val="00D62273"/>
    <w:rsid w:val="00D62C28"/>
    <w:rsid w:val="00D62CA5"/>
    <w:rsid w:val="00D67535"/>
    <w:rsid w:val="00D70342"/>
    <w:rsid w:val="00D70FFA"/>
    <w:rsid w:val="00D7172A"/>
    <w:rsid w:val="00D720E9"/>
    <w:rsid w:val="00D721D4"/>
    <w:rsid w:val="00D730B8"/>
    <w:rsid w:val="00D7363D"/>
    <w:rsid w:val="00D737A7"/>
    <w:rsid w:val="00D746A6"/>
    <w:rsid w:val="00D75781"/>
    <w:rsid w:val="00D75FFA"/>
    <w:rsid w:val="00D76047"/>
    <w:rsid w:val="00D76B83"/>
    <w:rsid w:val="00D811A1"/>
    <w:rsid w:val="00D8232D"/>
    <w:rsid w:val="00D8311E"/>
    <w:rsid w:val="00D8369A"/>
    <w:rsid w:val="00D83942"/>
    <w:rsid w:val="00D83C23"/>
    <w:rsid w:val="00D83D9D"/>
    <w:rsid w:val="00D84D36"/>
    <w:rsid w:val="00D85DAB"/>
    <w:rsid w:val="00D864DD"/>
    <w:rsid w:val="00D87BFC"/>
    <w:rsid w:val="00D92336"/>
    <w:rsid w:val="00D944A4"/>
    <w:rsid w:val="00D94FB1"/>
    <w:rsid w:val="00D96BD6"/>
    <w:rsid w:val="00D97962"/>
    <w:rsid w:val="00D97A12"/>
    <w:rsid w:val="00DA076F"/>
    <w:rsid w:val="00DA1F82"/>
    <w:rsid w:val="00DA2FDA"/>
    <w:rsid w:val="00DA462B"/>
    <w:rsid w:val="00DA49B9"/>
    <w:rsid w:val="00DA542E"/>
    <w:rsid w:val="00DA55BF"/>
    <w:rsid w:val="00DA6285"/>
    <w:rsid w:val="00DA7013"/>
    <w:rsid w:val="00DB00E1"/>
    <w:rsid w:val="00DB0864"/>
    <w:rsid w:val="00DB1407"/>
    <w:rsid w:val="00DB18B3"/>
    <w:rsid w:val="00DB190D"/>
    <w:rsid w:val="00DB33DE"/>
    <w:rsid w:val="00DB74E2"/>
    <w:rsid w:val="00DB75C9"/>
    <w:rsid w:val="00DC10A5"/>
    <w:rsid w:val="00DC140A"/>
    <w:rsid w:val="00DC1D0A"/>
    <w:rsid w:val="00DC27C0"/>
    <w:rsid w:val="00DC5BB8"/>
    <w:rsid w:val="00DC606D"/>
    <w:rsid w:val="00DD1A47"/>
    <w:rsid w:val="00DD1CC5"/>
    <w:rsid w:val="00DD43F2"/>
    <w:rsid w:val="00DD5F87"/>
    <w:rsid w:val="00DE1DC1"/>
    <w:rsid w:val="00DE20DB"/>
    <w:rsid w:val="00DE281E"/>
    <w:rsid w:val="00DE511F"/>
    <w:rsid w:val="00DF079E"/>
    <w:rsid w:val="00DF0C15"/>
    <w:rsid w:val="00DF0E5D"/>
    <w:rsid w:val="00DF3598"/>
    <w:rsid w:val="00DF7392"/>
    <w:rsid w:val="00DF7625"/>
    <w:rsid w:val="00E02386"/>
    <w:rsid w:val="00E03428"/>
    <w:rsid w:val="00E03643"/>
    <w:rsid w:val="00E03710"/>
    <w:rsid w:val="00E03A94"/>
    <w:rsid w:val="00E041D0"/>
    <w:rsid w:val="00E042D2"/>
    <w:rsid w:val="00E04EF8"/>
    <w:rsid w:val="00E05950"/>
    <w:rsid w:val="00E0775A"/>
    <w:rsid w:val="00E10506"/>
    <w:rsid w:val="00E10DDA"/>
    <w:rsid w:val="00E12C75"/>
    <w:rsid w:val="00E14547"/>
    <w:rsid w:val="00E14B14"/>
    <w:rsid w:val="00E170A7"/>
    <w:rsid w:val="00E20D73"/>
    <w:rsid w:val="00E23231"/>
    <w:rsid w:val="00E246CF"/>
    <w:rsid w:val="00E24E90"/>
    <w:rsid w:val="00E25E31"/>
    <w:rsid w:val="00E30EEA"/>
    <w:rsid w:val="00E310ED"/>
    <w:rsid w:val="00E315CE"/>
    <w:rsid w:val="00E31B88"/>
    <w:rsid w:val="00E33315"/>
    <w:rsid w:val="00E3368C"/>
    <w:rsid w:val="00E33E91"/>
    <w:rsid w:val="00E41108"/>
    <w:rsid w:val="00E41F4F"/>
    <w:rsid w:val="00E4253B"/>
    <w:rsid w:val="00E42836"/>
    <w:rsid w:val="00E433BC"/>
    <w:rsid w:val="00E45AD0"/>
    <w:rsid w:val="00E5021E"/>
    <w:rsid w:val="00E51002"/>
    <w:rsid w:val="00E5313B"/>
    <w:rsid w:val="00E53403"/>
    <w:rsid w:val="00E53E80"/>
    <w:rsid w:val="00E54BC4"/>
    <w:rsid w:val="00E613D3"/>
    <w:rsid w:val="00E6254B"/>
    <w:rsid w:val="00E629E6"/>
    <w:rsid w:val="00E640DE"/>
    <w:rsid w:val="00E66C8D"/>
    <w:rsid w:val="00E66F39"/>
    <w:rsid w:val="00E70465"/>
    <w:rsid w:val="00E709F3"/>
    <w:rsid w:val="00E71903"/>
    <w:rsid w:val="00E7225B"/>
    <w:rsid w:val="00E7299C"/>
    <w:rsid w:val="00E72F9C"/>
    <w:rsid w:val="00E73318"/>
    <w:rsid w:val="00E747A9"/>
    <w:rsid w:val="00E759C0"/>
    <w:rsid w:val="00E76107"/>
    <w:rsid w:val="00E76298"/>
    <w:rsid w:val="00E82C04"/>
    <w:rsid w:val="00E84D98"/>
    <w:rsid w:val="00E85FBE"/>
    <w:rsid w:val="00E86939"/>
    <w:rsid w:val="00E91142"/>
    <w:rsid w:val="00E923DB"/>
    <w:rsid w:val="00E92526"/>
    <w:rsid w:val="00E92821"/>
    <w:rsid w:val="00E92B4C"/>
    <w:rsid w:val="00E97D6B"/>
    <w:rsid w:val="00EA02C6"/>
    <w:rsid w:val="00EA1D98"/>
    <w:rsid w:val="00EA23B6"/>
    <w:rsid w:val="00EA284D"/>
    <w:rsid w:val="00EA28F6"/>
    <w:rsid w:val="00EA2F01"/>
    <w:rsid w:val="00EA3796"/>
    <w:rsid w:val="00EA5980"/>
    <w:rsid w:val="00EA7AB3"/>
    <w:rsid w:val="00EB09CD"/>
    <w:rsid w:val="00EB0AEB"/>
    <w:rsid w:val="00EB5166"/>
    <w:rsid w:val="00EB7262"/>
    <w:rsid w:val="00EC22E5"/>
    <w:rsid w:val="00EC245A"/>
    <w:rsid w:val="00EC2520"/>
    <w:rsid w:val="00EC2C06"/>
    <w:rsid w:val="00EC2E55"/>
    <w:rsid w:val="00EC3527"/>
    <w:rsid w:val="00EC46D1"/>
    <w:rsid w:val="00EC5339"/>
    <w:rsid w:val="00EC580A"/>
    <w:rsid w:val="00ED08EF"/>
    <w:rsid w:val="00ED0B91"/>
    <w:rsid w:val="00ED358D"/>
    <w:rsid w:val="00ED51BA"/>
    <w:rsid w:val="00ED5A74"/>
    <w:rsid w:val="00ED5A79"/>
    <w:rsid w:val="00ED6468"/>
    <w:rsid w:val="00EE2226"/>
    <w:rsid w:val="00EE2812"/>
    <w:rsid w:val="00EE2D1E"/>
    <w:rsid w:val="00EE37D3"/>
    <w:rsid w:val="00EE7E82"/>
    <w:rsid w:val="00EF15CD"/>
    <w:rsid w:val="00EF293D"/>
    <w:rsid w:val="00EF2E87"/>
    <w:rsid w:val="00EF54B3"/>
    <w:rsid w:val="00EF6F95"/>
    <w:rsid w:val="00EF7610"/>
    <w:rsid w:val="00EF7623"/>
    <w:rsid w:val="00F00356"/>
    <w:rsid w:val="00F02EE4"/>
    <w:rsid w:val="00F06316"/>
    <w:rsid w:val="00F072C7"/>
    <w:rsid w:val="00F10283"/>
    <w:rsid w:val="00F11420"/>
    <w:rsid w:val="00F13614"/>
    <w:rsid w:val="00F13970"/>
    <w:rsid w:val="00F156E4"/>
    <w:rsid w:val="00F16BE4"/>
    <w:rsid w:val="00F20A7D"/>
    <w:rsid w:val="00F24D46"/>
    <w:rsid w:val="00F25A33"/>
    <w:rsid w:val="00F25A38"/>
    <w:rsid w:val="00F26289"/>
    <w:rsid w:val="00F269CD"/>
    <w:rsid w:val="00F33B15"/>
    <w:rsid w:val="00F34AFF"/>
    <w:rsid w:val="00F36496"/>
    <w:rsid w:val="00F36E49"/>
    <w:rsid w:val="00F40516"/>
    <w:rsid w:val="00F40F1A"/>
    <w:rsid w:val="00F42102"/>
    <w:rsid w:val="00F4250B"/>
    <w:rsid w:val="00F42AC2"/>
    <w:rsid w:val="00F435C4"/>
    <w:rsid w:val="00F4448F"/>
    <w:rsid w:val="00F45AA6"/>
    <w:rsid w:val="00F45D13"/>
    <w:rsid w:val="00F46E0B"/>
    <w:rsid w:val="00F47897"/>
    <w:rsid w:val="00F51053"/>
    <w:rsid w:val="00F51172"/>
    <w:rsid w:val="00F5153B"/>
    <w:rsid w:val="00F521EC"/>
    <w:rsid w:val="00F5456E"/>
    <w:rsid w:val="00F551EC"/>
    <w:rsid w:val="00F558AA"/>
    <w:rsid w:val="00F56BB3"/>
    <w:rsid w:val="00F57A82"/>
    <w:rsid w:val="00F646A6"/>
    <w:rsid w:val="00F646A8"/>
    <w:rsid w:val="00F64CFC"/>
    <w:rsid w:val="00F657E2"/>
    <w:rsid w:val="00F65848"/>
    <w:rsid w:val="00F65942"/>
    <w:rsid w:val="00F71123"/>
    <w:rsid w:val="00F717BA"/>
    <w:rsid w:val="00F71B01"/>
    <w:rsid w:val="00F73600"/>
    <w:rsid w:val="00F73A59"/>
    <w:rsid w:val="00F75161"/>
    <w:rsid w:val="00F7592C"/>
    <w:rsid w:val="00F77751"/>
    <w:rsid w:val="00F83534"/>
    <w:rsid w:val="00F851C7"/>
    <w:rsid w:val="00F86AF5"/>
    <w:rsid w:val="00F87FA4"/>
    <w:rsid w:val="00F9218A"/>
    <w:rsid w:val="00F94C0C"/>
    <w:rsid w:val="00F94CC8"/>
    <w:rsid w:val="00F9612C"/>
    <w:rsid w:val="00F96780"/>
    <w:rsid w:val="00F96C66"/>
    <w:rsid w:val="00FA0608"/>
    <w:rsid w:val="00FA1CC1"/>
    <w:rsid w:val="00FA4CD1"/>
    <w:rsid w:val="00FA5793"/>
    <w:rsid w:val="00FA7387"/>
    <w:rsid w:val="00FB1F78"/>
    <w:rsid w:val="00FB22A6"/>
    <w:rsid w:val="00FB2417"/>
    <w:rsid w:val="00FB27B5"/>
    <w:rsid w:val="00FB649D"/>
    <w:rsid w:val="00FB711D"/>
    <w:rsid w:val="00FB7737"/>
    <w:rsid w:val="00FC0427"/>
    <w:rsid w:val="00FC04E1"/>
    <w:rsid w:val="00FC2CA4"/>
    <w:rsid w:val="00FC5810"/>
    <w:rsid w:val="00FC761F"/>
    <w:rsid w:val="00FD106A"/>
    <w:rsid w:val="00FD1259"/>
    <w:rsid w:val="00FD3679"/>
    <w:rsid w:val="00FD4320"/>
    <w:rsid w:val="00FD555F"/>
    <w:rsid w:val="00FD671B"/>
    <w:rsid w:val="00FE05A8"/>
    <w:rsid w:val="00FE0EFE"/>
    <w:rsid w:val="00FE1544"/>
    <w:rsid w:val="00FE1E54"/>
    <w:rsid w:val="00FE2D5B"/>
    <w:rsid w:val="00FE3C87"/>
    <w:rsid w:val="00FE4AC8"/>
    <w:rsid w:val="00FE4B4B"/>
    <w:rsid w:val="00FE52A7"/>
    <w:rsid w:val="00FE5AF3"/>
    <w:rsid w:val="00FE6189"/>
    <w:rsid w:val="00FE6610"/>
    <w:rsid w:val="00FE6857"/>
    <w:rsid w:val="00FE68E6"/>
    <w:rsid w:val="00FE7E58"/>
    <w:rsid w:val="00FF04CA"/>
    <w:rsid w:val="00FF0E0B"/>
    <w:rsid w:val="00FF6C1C"/>
    <w:rsid w:val="00FF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7EDA6C52"/>
  <w14:defaultImageDpi w14:val="32767"/>
  <w15:docId w15:val="{96A4FEB0-46A2-4174-A30C-D4486C72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1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19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C70632"/>
    <w:pPr>
      <w:spacing w:before="100" w:beforeAutospacing="1" w:after="100" w:afterAutospacing="1"/>
      <w:outlineLvl w:val="4"/>
    </w:pPr>
    <w:rPr>
      <w:b/>
      <w:bCs/>
      <w:sz w:val="20"/>
      <w:szCs w:val="20"/>
      <w:lang w:val="de-D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554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9105A"/>
    <w:pPr>
      <w:tabs>
        <w:tab w:val="center" w:pos="4536"/>
        <w:tab w:val="right" w:pos="9072"/>
      </w:tabs>
    </w:pPr>
    <w:rPr>
      <w:lang w:val="de-DE"/>
    </w:rPr>
  </w:style>
  <w:style w:type="character" w:customStyle="1" w:styleId="FooterChar">
    <w:name w:val="Footer Char"/>
    <w:basedOn w:val="DefaultParagraphFont"/>
    <w:link w:val="Footer"/>
    <w:rsid w:val="00C9105A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ageNumber">
    <w:name w:val="page number"/>
    <w:basedOn w:val="DefaultParagraphFont"/>
    <w:rsid w:val="00C9105A"/>
  </w:style>
  <w:style w:type="paragraph" w:styleId="ListParagraph">
    <w:name w:val="List Paragraph"/>
    <w:basedOn w:val="Normal"/>
    <w:link w:val="ListParagraphChar"/>
    <w:qFormat/>
    <w:rsid w:val="00C9105A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10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10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105A"/>
    <w:rPr>
      <w:rFonts w:ascii="Times New Roman" w:eastAsia="Times New Roman" w:hAnsi="Times New Roman" w:cs="Times New Roman"/>
      <w:sz w:val="20"/>
      <w:szCs w:val="20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10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105A"/>
    <w:rPr>
      <w:rFonts w:ascii="Times New Roman" w:eastAsia="Times New Roman" w:hAnsi="Times New Roman" w:cs="Times New Roman"/>
      <w:b/>
      <w:bCs/>
      <w:sz w:val="20"/>
      <w:szCs w:val="20"/>
      <w:lang w:val="en-US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0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05A"/>
    <w:rPr>
      <w:rFonts w:ascii="Tahoma" w:eastAsia="Times New Roman" w:hAnsi="Tahoma" w:cs="Tahoma"/>
      <w:sz w:val="16"/>
      <w:szCs w:val="16"/>
      <w:lang w:val="en-US" w:eastAsia="de-DE"/>
    </w:rPr>
  </w:style>
  <w:style w:type="paragraph" w:styleId="Revision">
    <w:name w:val="Revision"/>
    <w:hidden/>
    <w:uiPriority w:val="99"/>
    <w:semiHidden/>
    <w:rsid w:val="00C91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styleId="Hyperlink">
    <w:name w:val="Hyperlink"/>
    <w:basedOn w:val="DefaultParagraphFont"/>
    <w:uiPriority w:val="99"/>
    <w:unhideWhenUsed/>
    <w:rsid w:val="00C9105A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C9105A"/>
    <w:pPr>
      <w:spacing w:before="120"/>
      <w:ind w:firstLine="720"/>
    </w:pPr>
    <w:rPr>
      <w:lang w:eastAsia="en-US"/>
    </w:rPr>
  </w:style>
  <w:style w:type="character" w:styleId="Emphasis">
    <w:name w:val="Emphasis"/>
    <w:basedOn w:val="DefaultParagraphFont"/>
    <w:uiPriority w:val="20"/>
    <w:qFormat/>
    <w:rsid w:val="00C9105A"/>
    <w:rPr>
      <w:i/>
      <w:iCs/>
    </w:rPr>
  </w:style>
  <w:style w:type="character" w:styleId="Strong">
    <w:name w:val="Strong"/>
    <w:basedOn w:val="DefaultParagraphFont"/>
    <w:uiPriority w:val="22"/>
    <w:qFormat/>
    <w:rsid w:val="00603106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71A28"/>
    <w:pPr>
      <w:spacing w:before="100" w:beforeAutospacing="1" w:after="100" w:afterAutospacing="1"/>
    </w:pPr>
    <w:rPr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71A2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271A28"/>
    <w:pPr>
      <w:spacing w:before="100" w:beforeAutospacing="1" w:after="100" w:afterAutospacing="1"/>
    </w:pPr>
    <w:rPr>
      <w:lang w:eastAsia="en-US"/>
    </w:rPr>
  </w:style>
  <w:style w:type="character" w:customStyle="1" w:styleId="citation-part">
    <w:name w:val="citation-part"/>
    <w:basedOn w:val="DefaultParagraphFont"/>
    <w:rsid w:val="00007688"/>
  </w:style>
  <w:style w:type="character" w:customStyle="1" w:styleId="docsum-pmid">
    <w:name w:val="docsum-pmid"/>
    <w:basedOn w:val="DefaultParagraphFont"/>
    <w:rsid w:val="00007688"/>
  </w:style>
  <w:style w:type="character" w:customStyle="1" w:styleId="identifier">
    <w:name w:val="identifier"/>
    <w:basedOn w:val="DefaultParagraphFont"/>
    <w:rsid w:val="00FB711D"/>
  </w:style>
  <w:style w:type="character" w:customStyle="1" w:styleId="id-label">
    <w:name w:val="id-label"/>
    <w:basedOn w:val="DefaultParagraphFont"/>
    <w:rsid w:val="00FB711D"/>
  </w:style>
  <w:style w:type="character" w:customStyle="1" w:styleId="Heading5Char">
    <w:name w:val="Heading 5 Char"/>
    <w:basedOn w:val="DefaultParagraphFont"/>
    <w:link w:val="Heading5"/>
    <w:uiPriority w:val="9"/>
    <w:rsid w:val="00C70632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D70342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Zchn"/>
    <w:rsid w:val="00036995"/>
    <w:pPr>
      <w:jc w:val="center"/>
    </w:pPr>
    <w:rPr>
      <w:noProof/>
      <w:lang w:val="de-DE"/>
    </w:rPr>
  </w:style>
  <w:style w:type="character" w:customStyle="1" w:styleId="ListParagraphChar">
    <w:name w:val="List Paragraph Char"/>
    <w:basedOn w:val="DefaultParagraphFont"/>
    <w:link w:val="ListParagraph"/>
    <w:rsid w:val="00036995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customStyle="1" w:styleId="EndNoteBibliographyTitleZchn">
    <w:name w:val="EndNote Bibliography Title Zchn"/>
    <w:basedOn w:val="ListParagraphChar"/>
    <w:link w:val="EndNoteBibliographyTitle"/>
    <w:rsid w:val="00036995"/>
    <w:rPr>
      <w:rFonts w:ascii="Times New Roman" w:eastAsia="Times New Roman" w:hAnsi="Times New Roman" w:cs="Times New Roman"/>
      <w:noProof/>
      <w:sz w:val="24"/>
      <w:szCs w:val="24"/>
      <w:lang w:val="en-US" w:eastAsia="de-DE"/>
    </w:rPr>
  </w:style>
  <w:style w:type="paragraph" w:customStyle="1" w:styleId="EndNoteBibliography">
    <w:name w:val="EndNote Bibliography"/>
    <w:basedOn w:val="Normal"/>
    <w:link w:val="EndNoteBibliographyZchn"/>
    <w:rsid w:val="00036995"/>
    <w:pPr>
      <w:jc w:val="both"/>
    </w:pPr>
    <w:rPr>
      <w:noProof/>
      <w:lang w:val="de-DE"/>
    </w:rPr>
  </w:style>
  <w:style w:type="character" w:customStyle="1" w:styleId="EndNoteBibliographyZchn">
    <w:name w:val="EndNote Bibliography Zchn"/>
    <w:basedOn w:val="ListParagraphChar"/>
    <w:link w:val="EndNoteBibliography"/>
    <w:rsid w:val="00036995"/>
    <w:rPr>
      <w:rFonts w:ascii="Times New Roman" w:eastAsia="Times New Roman" w:hAnsi="Times New Roman" w:cs="Times New Roman"/>
      <w:noProof/>
      <w:sz w:val="24"/>
      <w:szCs w:val="24"/>
      <w:lang w:val="en-US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554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de-DE"/>
    </w:rPr>
  </w:style>
  <w:style w:type="paragraph" w:styleId="Header">
    <w:name w:val="header"/>
    <w:basedOn w:val="Normal"/>
    <w:link w:val="HeaderChar"/>
    <w:uiPriority w:val="99"/>
    <w:unhideWhenUsed/>
    <w:rsid w:val="00DA076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76F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692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19F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24A55-D6E8-4E64-8DF1-44E27AEF4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638</Words>
  <Characters>4025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Stoyan Dimitrov</dc:creator>
  <cp:keywords/>
  <dc:description/>
  <cp:lastModifiedBy>Stoyan Dimitrov</cp:lastModifiedBy>
  <cp:revision>5</cp:revision>
  <cp:lastPrinted>2020-08-27T15:37:00Z</cp:lastPrinted>
  <dcterms:created xsi:type="dcterms:W3CDTF">2021-01-25T13:16:00Z</dcterms:created>
  <dcterms:modified xsi:type="dcterms:W3CDTF">2021-01-25T16:25:00Z</dcterms:modified>
</cp:coreProperties>
</file>