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A941C" w14:textId="77777777" w:rsidR="004442B0" w:rsidRPr="00A37F20" w:rsidRDefault="004442B0" w:rsidP="004442B0">
      <w:pPr>
        <w:contextualSpacing/>
        <w:jc w:val="right"/>
        <w:rPr>
          <w:bCs/>
          <w:i/>
          <w:iCs/>
          <w:color w:val="000000" w:themeColor="text1"/>
          <w:lang w:val="en-US"/>
        </w:rPr>
      </w:pPr>
      <w:r w:rsidRPr="00A37F20">
        <w:rPr>
          <w:bCs/>
          <w:i/>
          <w:iCs/>
          <w:color w:val="000000" w:themeColor="text1"/>
          <w:lang w:val="en-US"/>
        </w:rPr>
        <w:t>Cell Death and Disease</w:t>
      </w:r>
    </w:p>
    <w:p w14:paraId="1670B4D1" w14:textId="69A74293" w:rsidR="004442B0" w:rsidRPr="00A37F20" w:rsidRDefault="004442B0" w:rsidP="004442B0">
      <w:pPr>
        <w:contextualSpacing/>
        <w:jc w:val="right"/>
        <w:rPr>
          <w:bCs/>
          <w:color w:val="000000" w:themeColor="text1"/>
          <w:lang w:val="en-US"/>
        </w:rPr>
      </w:pPr>
      <w:r w:rsidRPr="00A37F20">
        <w:rPr>
          <w:bCs/>
          <w:color w:val="000000" w:themeColor="text1"/>
          <w:lang w:val="en-US"/>
        </w:rPr>
        <w:t>Manuscript CDDIS-20-3567</w:t>
      </w:r>
      <w:r w:rsidR="007F7515">
        <w:rPr>
          <w:bCs/>
          <w:color w:val="000000" w:themeColor="text1"/>
          <w:lang w:val="en-US"/>
        </w:rPr>
        <w:t>R</w:t>
      </w:r>
      <w:r w:rsidR="006343FE">
        <w:rPr>
          <w:bCs/>
          <w:color w:val="000000" w:themeColor="text1"/>
          <w:lang w:val="en-US"/>
        </w:rPr>
        <w:t>R</w:t>
      </w:r>
      <w:bookmarkStart w:id="0" w:name="_GoBack"/>
      <w:bookmarkEnd w:id="0"/>
    </w:p>
    <w:p w14:paraId="7CD563B5" w14:textId="5CC6BA54" w:rsidR="004442B0" w:rsidRPr="00A37F20" w:rsidRDefault="004442B0" w:rsidP="004442B0">
      <w:pPr>
        <w:contextualSpacing/>
        <w:jc w:val="right"/>
        <w:rPr>
          <w:bCs/>
          <w:color w:val="000000" w:themeColor="text1"/>
          <w:lang w:val="en-US"/>
        </w:rPr>
      </w:pPr>
      <w:r w:rsidRPr="00A37F20">
        <w:rPr>
          <w:bCs/>
          <w:color w:val="000000" w:themeColor="text1"/>
          <w:lang w:val="en-US"/>
        </w:rPr>
        <w:t>Supplementary Materials</w:t>
      </w:r>
    </w:p>
    <w:p w14:paraId="215F06EC" w14:textId="77777777" w:rsidR="004442B0" w:rsidRPr="00A37F20" w:rsidRDefault="004442B0" w:rsidP="004442B0">
      <w:pPr>
        <w:contextualSpacing/>
        <w:jc w:val="center"/>
        <w:rPr>
          <w:b/>
          <w:color w:val="000000" w:themeColor="text1"/>
          <w:sz w:val="32"/>
          <w:szCs w:val="32"/>
          <w:lang w:val="en-US"/>
        </w:rPr>
      </w:pPr>
    </w:p>
    <w:p w14:paraId="5599626D" w14:textId="77777777" w:rsidR="004442B0" w:rsidRPr="00A37F20" w:rsidRDefault="004442B0" w:rsidP="004442B0">
      <w:pPr>
        <w:spacing w:line="360" w:lineRule="auto"/>
        <w:contextualSpacing/>
        <w:jc w:val="center"/>
        <w:rPr>
          <w:b/>
          <w:color w:val="000000" w:themeColor="text1"/>
          <w:sz w:val="32"/>
          <w:szCs w:val="32"/>
          <w:lang w:val="en-US"/>
        </w:rPr>
      </w:pPr>
    </w:p>
    <w:p w14:paraId="5B6274E2" w14:textId="77777777" w:rsidR="004442B0" w:rsidRPr="00A37F20" w:rsidRDefault="004442B0" w:rsidP="004442B0">
      <w:pPr>
        <w:spacing w:line="360" w:lineRule="auto"/>
        <w:contextualSpacing/>
        <w:jc w:val="center"/>
        <w:rPr>
          <w:color w:val="000000" w:themeColor="text1"/>
          <w:sz w:val="32"/>
          <w:szCs w:val="32"/>
          <w:lang w:val="en-US"/>
        </w:rPr>
      </w:pPr>
      <w:r w:rsidRPr="00A37F20">
        <w:rPr>
          <w:b/>
          <w:color w:val="000000" w:themeColor="text1"/>
          <w:sz w:val="32"/>
          <w:szCs w:val="32"/>
          <w:lang w:val="en-US"/>
        </w:rPr>
        <w:t>Neuroinflammation induces synaptic scaling through IL-1</w:t>
      </w:r>
      <w:r w:rsidRPr="00A37F20">
        <w:rPr>
          <w:b/>
          <w:bCs/>
          <w:color w:val="000000" w:themeColor="text1"/>
          <w:sz w:val="32"/>
          <w:szCs w:val="32"/>
          <w:lang w:val="en-US"/>
        </w:rPr>
        <w:sym w:font="Symbol" w:char="F062"/>
      </w:r>
      <w:r w:rsidRPr="00A37F20">
        <w:rPr>
          <w:b/>
          <w:color w:val="000000" w:themeColor="text1"/>
          <w:sz w:val="32"/>
          <w:szCs w:val="32"/>
          <w:lang w:val="en-US"/>
        </w:rPr>
        <w:t>-mediated activation of the transcriptional repressor REST/NRSF</w:t>
      </w:r>
    </w:p>
    <w:p w14:paraId="6B2AE707" w14:textId="77777777" w:rsidR="004442B0" w:rsidRPr="00A37F20" w:rsidRDefault="004442B0" w:rsidP="004442B0">
      <w:pPr>
        <w:spacing w:line="360" w:lineRule="auto"/>
        <w:contextualSpacing/>
        <w:jc w:val="both"/>
        <w:rPr>
          <w:color w:val="000000" w:themeColor="text1"/>
          <w:lang w:val="en-US"/>
        </w:rPr>
      </w:pPr>
    </w:p>
    <w:p w14:paraId="2D606211" w14:textId="4B8223CB" w:rsidR="004442B0" w:rsidRPr="00A37F20" w:rsidRDefault="004442B0" w:rsidP="004442B0">
      <w:pPr>
        <w:contextualSpacing/>
        <w:jc w:val="both"/>
        <w:rPr>
          <w:color w:val="000000" w:themeColor="text1"/>
        </w:rPr>
      </w:pPr>
      <w:r w:rsidRPr="00A37F20">
        <w:rPr>
          <w:color w:val="000000" w:themeColor="text1"/>
        </w:rPr>
        <w:t>F. Buffolo</w:t>
      </w:r>
      <w:r w:rsidRPr="00A37F20">
        <w:rPr>
          <w:color w:val="000000" w:themeColor="text1"/>
          <w:vertAlign w:val="superscript"/>
        </w:rPr>
        <w:t>1,2</w:t>
      </w:r>
      <w:r w:rsidRPr="00A37F20">
        <w:rPr>
          <w:color w:val="000000" w:themeColor="text1"/>
        </w:rPr>
        <w:t>*, V. Petrosino</w:t>
      </w:r>
      <w:r w:rsidRPr="00A37F20">
        <w:rPr>
          <w:color w:val="000000" w:themeColor="text1"/>
          <w:vertAlign w:val="superscript"/>
        </w:rPr>
        <w:t>3,4</w:t>
      </w:r>
      <w:r w:rsidRPr="00A37F20">
        <w:rPr>
          <w:color w:val="000000" w:themeColor="text1"/>
        </w:rPr>
        <w:t>*, M. Albini</w:t>
      </w:r>
      <w:r w:rsidRPr="00A37F20">
        <w:rPr>
          <w:color w:val="000000" w:themeColor="text1"/>
          <w:vertAlign w:val="superscript"/>
        </w:rPr>
        <w:t>1,2</w:t>
      </w:r>
      <w:r w:rsidRPr="00A37F20">
        <w:rPr>
          <w:color w:val="000000" w:themeColor="text1"/>
        </w:rPr>
        <w:t>*, M. Moschetta</w:t>
      </w:r>
      <w:r w:rsidRPr="00A37F20">
        <w:rPr>
          <w:color w:val="000000" w:themeColor="text1"/>
          <w:vertAlign w:val="superscript"/>
        </w:rPr>
        <w:t>1,4</w:t>
      </w:r>
      <w:r w:rsidRPr="00A37F20">
        <w:rPr>
          <w:color w:val="000000" w:themeColor="text1"/>
        </w:rPr>
        <w:t>, F. Carlini</w:t>
      </w:r>
      <w:r w:rsidRPr="00A37F20">
        <w:rPr>
          <w:color w:val="000000" w:themeColor="text1"/>
          <w:vertAlign w:val="superscript"/>
        </w:rPr>
        <w:t>3,4</w:t>
      </w:r>
      <w:r w:rsidRPr="00A37F20">
        <w:rPr>
          <w:color w:val="000000" w:themeColor="text1"/>
        </w:rPr>
        <w:t>, T. Floss</w:t>
      </w:r>
      <w:r w:rsidRPr="00A37F20">
        <w:rPr>
          <w:color w:val="000000" w:themeColor="text1"/>
          <w:vertAlign w:val="superscript"/>
        </w:rPr>
        <w:t>5</w:t>
      </w:r>
      <w:r w:rsidRPr="00A37F20">
        <w:rPr>
          <w:color w:val="000000" w:themeColor="text1"/>
        </w:rPr>
        <w:t>, N. Kerlero de Rosbo</w:t>
      </w:r>
      <w:r w:rsidRPr="00A37F20">
        <w:rPr>
          <w:color w:val="000000" w:themeColor="text1"/>
          <w:vertAlign w:val="superscript"/>
        </w:rPr>
        <w:t>3</w:t>
      </w:r>
      <w:r w:rsidRPr="00A37F20">
        <w:rPr>
          <w:color w:val="000000" w:themeColor="text1"/>
        </w:rPr>
        <w:t>, F. Cesca</w:t>
      </w:r>
      <w:r w:rsidRPr="00A37F20">
        <w:rPr>
          <w:color w:val="000000" w:themeColor="text1"/>
          <w:vertAlign w:val="superscript"/>
        </w:rPr>
        <w:t>1,6</w:t>
      </w:r>
      <w:r w:rsidRPr="00A37F20">
        <w:rPr>
          <w:color w:val="000000" w:themeColor="text1"/>
        </w:rPr>
        <w:t>, A. Rocchi</w:t>
      </w:r>
      <w:r w:rsidRPr="00A37F20">
        <w:rPr>
          <w:color w:val="000000" w:themeColor="text1"/>
          <w:vertAlign w:val="superscript"/>
        </w:rPr>
        <w:t>1,4§</w:t>
      </w:r>
      <w:r w:rsidRPr="00A37F20">
        <w:rPr>
          <w:color w:val="000000" w:themeColor="text1"/>
        </w:rPr>
        <w:t>, A. Uccelli</w:t>
      </w:r>
      <w:r w:rsidRPr="00A37F20">
        <w:rPr>
          <w:color w:val="000000" w:themeColor="text1"/>
          <w:vertAlign w:val="superscript"/>
        </w:rPr>
        <w:t>3,4</w:t>
      </w:r>
      <w:r w:rsidRPr="00A37F20">
        <w:rPr>
          <w:color w:val="000000" w:themeColor="text1"/>
        </w:rPr>
        <w:t>*</w:t>
      </w:r>
      <w:r w:rsidRPr="00A37F20">
        <w:rPr>
          <w:color w:val="000000" w:themeColor="text1"/>
          <w:vertAlign w:val="superscript"/>
        </w:rPr>
        <w:t>§</w:t>
      </w:r>
      <w:r w:rsidRPr="00A37F20">
        <w:rPr>
          <w:color w:val="000000" w:themeColor="text1"/>
        </w:rPr>
        <w:t>, F. Benfenati</w:t>
      </w:r>
      <w:r w:rsidRPr="00A37F20">
        <w:rPr>
          <w:color w:val="000000" w:themeColor="text1"/>
          <w:vertAlign w:val="superscript"/>
        </w:rPr>
        <w:t>1,4</w:t>
      </w:r>
      <w:r w:rsidRPr="00A37F20">
        <w:rPr>
          <w:color w:val="000000" w:themeColor="text1"/>
        </w:rPr>
        <w:t>*</w:t>
      </w:r>
      <w:r w:rsidRPr="00A37F20">
        <w:rPr>
          <w:color w:val="000000" w:themeColor="text1"/>
          <w:vertAlign w:val="superscript"/>
        </w:rPr>
        <w:t>§</w:t>
      </w:r>
    </w:p>
    <w:p w14:paraId="659EED0E" w14:textId="77777777" w:rsidR="004442B0" w:rsidRPr="00A37F20" w:rsidRDefault="004442B0" w:rsidP="004442B0">
      <w:pPr>
        <w:contextualSpacing/>
        <w:jc w:val="both"/>
        <w:rPr>
          <w:color w:val="000000" w:themeColor="text1"/>
          <w:sz w:val="22"/>
          <w:szCs w:val="22"/>
        </w:rPr>
      </w:pPr>
    </w:p>
    <w:p w14:paraId="56F5214C" w14:textId="62A585C3" w:rsidR="004442B0" w:rsidRPr="007E7898" w:rsidRDefault="004442B0" w:rsidP="004442B0">
      <w:pPr>
        <w:pStyle w:val="MDPI16affiliation"/>
        <w:spacing w:line="276" w:lineRule="auto"/>
        <w:ind w:left="0" w:firstLine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A37F20">
        <w:rPr>
          <w:rFonts w:ascii="Times New Roman" w:hAnsi="Times New Roman"/>
          <w:color w:val="000000" w:themeColor="text1"/>
          <w:sz w:val="22"/>
          <w:szCs w:val="22"/>
          <w:vertAlign w:val="superscript"/>
          <w:lang w:val="it-IT"/>
        </w:rPr>
        <w:t xml:space="preserve">1 </w:t>
      </w:r>
      <w:r w:rsidRPr="00A37F20">
        <w:rPr>
          <w:rFonts w:ascii="Times New Roman" w:hAnsi="Times New Roman"/>
          <w:color w:val="000000" w:themeColor="text1"/>
          <w:sz w:val="22"/>
          <w:szCs w:val="22"/>
          <w:lang w:val="it-IT"/>
        </w:rPr>
        <w:t xml:space="preserve">Center for Synaptic Neuroscience and Technology, Istituto Italiano di Tecnologia, Largo Rosanna Benzi 10, 16132 Genova, Italy; </w:t>
      </w:r>
      <w:r w:rsidRPr="00A37F20">
        <w:rPr>
          <w:rFonts w:ascii="Times New Roman" w:hAnsi="Times New Roman"/>
          <w:color w:val="000000" w:themeColor="text1"/>
          <w:sz w:val="22"/>
          <w:szCs w:val="22"/>
          <w:vertAlign w:val="superscript"/>
          <w:lang w:val="it-IT"/>
        </w:rPr>
        <w:t xml:space="preserve">2 </w:t>
      </w:r>
      <w:r w:rsidRPr="00A37F20">
        <w:rPr>
          <w:rFonts w:ascii="Times New Roman" w:hAnsi="Times New Roman"/>
          <w:color w:val="000000" w:themeColor="text1"/>
          <w:sz w:val="22"/>
          <w:szCs w:val="22"/>
          <w:lang w:val="it-IT"/>
        </w:rPr>
        <w:t xml:space="preserve">Department of Experimental Medicine, University of Genova, Viale Benedetto XV, 3, 16132 Genova, Italy; </w:t>
      </w:r>
      <w:r w:rsidRPr="00A37F20">
        <w:rPr>
          <w:rFonts w:ascii="Times New Roman" w:hAnsi="Times New Roman"/>
          <w:color w:val="000000" w:themeColor="text1"/>
          <w:sz w:val="22"/>
          <w:szCs w:val="22"/>
          <w:vertAlign w:val="superscript"/>
          <w:lang w:val="it-IT"/>
        </w:rPr>
        <w:t>3</w:t>
      </w:r>
      <w:r w:rsidRPr="00A37F20">
        <w:rPr>
          <w:rFonts w:ascii="Times New Roman" w:hAnsi="Times New Roman"/>
          <w:color w:val="000000" w:themeColor="text1"/>
          <w:sz w:val="22"/>
          <w:szCs w:val="22"/>
          <w:lang w:val="it-IT"/>
        </w:rPr>
        <w:t xml:space="preserve"> Department of Neurosciences, Rehabilitation, Ophthalmology, Genetics, Maternal and Child Health, University of Genova, Largo P. Daneo, 3, 16132 Genova, Italy; </w:t>
      </w:r>
      <w:r w:rsidRPr="00A37F20">
        <w:rPr>
          <w:rFonts w:ascii="Times New Roman" w:hAnsi="Times New Roman"/>
          <w:color w:val="000000" w:themeColor="text1"/>
          <w:sz w:val="22"/>
          <w:szCs w:val="22"/>
          <w:vertAlign w:val="superscript"/>
          <w:lang w:val="it-IT"/>
        </w:rPr>
        <w:t xml:space="preserve">4 </w:t>
      </w:r>
      <w:r w:rsidRPr="00A37F20">
        <w:rPr>
          <w:rFonts w:ascii="Times New Roman" w:hAnsi="Times New Roman"/>
          <w:color w:val="000000" w:themeColor="text1"/>
          <w:sz w:val="22"/>
          <w:szCs w:val="22"/>
          <w:lang w:val="it-IT"/>
        </w:rPr>
        <w:t xml:space="preserve">IRCCS, Ospedale Policlinico San Martino, Largo Rosanna Benzi 10, 16132 Genova, Italy; </w:t>
      </w:r>
      <w:r w:rsidRPr="00A37F20">
        <w:rPr>
          <w:rFonts w:ascii="Times New Roman" w:hAnsi="Times New Roman"/>
          <w:color w:val="000000" w:themeColor="text1"/>
          <w:sz w:val="22"/>
          <w:szCs w:val="22"/>
          <w:vertAlign w:val="superscript"/>
          <w:lang w:val="it-IT"/>
        </w:rPr>
        <w:t>5</w:t>
      </w:r>
      <w:r w:rsidRPr="00A37F20">
        <w:rPr>
          <w:rFonts w:ascii="Times New Roman" w:hAnsi="Times New Roman"/>
          <w:color w:val="000000" w:themeColor="text1"/>
          <w:sz w:val="22"/>
          <w:szCs w:val="22"/>
          <w:lang w:val="it-IT"/>
        </w:rPr>
        <w:t xml:space="preserve"> Helmholtz Zentrum München, Deutsches Forschungszentrum für Gesundheit und Umwelt (GmbH), Ingolstädter Landstr. </w:t>
      </w:r>
      <w:r w:rsidRPr="00A37F20">
        <w:rPr>
          <w:rFonts w:ascii="Times New Roman" w:hAnsi="Times New Roman"/>
          <w:color w:val="000000" w:themeColor="text1"/>
          <w:sz w:val="22"/>
          <w:szCs w:val="22"/>
        </w:rPr>
        <w:t xml:space="preserve">1, 85764 Neuherberg, Germany; </w:t>
      </w:r>
      <w:r w:rsidRPr="00A37F20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6</w:t>
      </w:r>
      <w:r w:rsidRPr="00A37F20">
        <w:rPr>
          <w:rFonts w:ascii="Times New Roman" w:hAnsi="Times New Roman"/>
          <w:color w:val="000000" w:themeColor="text1"/>
          <w:sz w:val="22"/>
          <w:szCs w:val="22"/>
        </w:rPr>
        <w:t xml:space="preserve"> Department of Life Sciences, University of Trieste, Trieste, Italy.</w:t>
      </w:r>
    </w:p>
    <w:p w14:paraId="150B57F9" w14:textId="77777777" w:rsidR="004442B0" w:rsidRPr="00A37F20" w:rsidRDefault="004442B0" w:rsidP="004442B0">
      <w:pPr>
        <w:contextualSpacing/>
        <w:jc w:val="both"/>
        <w:rPr>
          <w:color w:val="000000" w:themeColor="text1"/>
          <w:sz w:val="22"/>
          <w:szCs w:val="22"/>
          <w:lang w:val="en-US"/>
        </w:rPr>
      </w:pPr>
    </w:p>
    <w:p w14:paraId="6F3AAC7E" w14:textId="77777777" w:rsidR="004442B0" w:rsidRPr="00A37F20" w:rsidRDefault="004442B0" w:rsidP="004442B0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A37F20">
        <w:rPr>
          <w:color w:val="000000" w:themeColor="text1"/>
          <w:sz w:val="22"/>
          <w:szCs w:val="22"/>
          <w:lang w:val="en-US"/>
        </w:rPr>
        <w:t>* These authors contributed equally to this work</w:t>
      </w:r>
    </w:p>
    <w:p w14:paraId="38F85117" w14:textId="77777777" w:rsidR="004442B0" w:rsidRPr="00A37F20" w:rsidRDefault="004442B0" w:rsidP="004442B0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A37F20">
        <w:rPr>
          <w:color w:val="000000" w:themeColor="text1"/>
          <w:sz w:val="22"/>
          <w:szCs w:val="22"/>
          <w:vertAlign w:val="superscript"/>
          <w:lang w:val="en-US"/>
        </w:rPr>
        <w:t>§</w:t>
      </w:r>
      <w:r w:rsidRPr="00A37F20">
        <w:rPr>
          <w:color w:val="000000" w:themeColor="text1"/>
          <w:sz w:val="22"/>
          <w:szCs w:val="22"/>
          <w:lang w:val="en-US"/>
        </w:rPr>
        <w:t xml:space="preserve"> Corresponding authors</w:t>
      </w:r>
    </w:p>
    <w:p w14:paraId="1331E665" w14:textId="5AA40CEB" w:rsidR="005B312B" w:rsidRPr="00A37F20" w:rsidRDefault="00E91DBA">
      <w:pPr>
        <w:rPr>
          <w:color w:val="000000" w:themeColor="text1"/>
        </w:rPr>
      </w:pPr>
    </w:p>
    <w:p w14:paraId="62907BF8" w14:textId="5BF0C8CF" w:rsidR="004442B0" w:rsidRPr="00A37F20" w:rsidRDefault="004442B0">
      <w:pPr>
        <w:rPr>
          <w:color w:val="000000" w:themeColor="text1"/>
        </w:rPr>
      </w:pPr>
    </w:p>
    <w:p w14:paraId="3F54A6BC" w14:textId="2D8D459A" w:rsidR="004442B0" w:rsidRPr="00A37F20" w:rsidRDefault="004442B0">
      <w:pPr>
        <w:rPr>
          <w:color w:val="000000" w:themeColor="text1"/>
        </w:rPr>
      </w:pPr>
    </w:p>
    <w:p w14:paraId="1FB3ED7A" w14:textId="54AA3491" w:rsidR="004442B0" w:rsidRPr="00A37F20" w:rsidRDefault="004442B0">
      <w:pPr>
        <w:rPr>
          <w:color w:val="000000" w:themeColor="text1"/>
        </w:rPr>
      </w:pPr>
    </w:p>
    <w:p w14:paraId="20AF70F3" w14:textId="2DDABEBD" w:rsidR="004442B0" w:rsidRPr="00A37F20" w:rsidRDefault="004442B0">
      <w:pPr>
        <w:rPr>
          <w:color w:val="000000" w:themeColor="text1"/>
        </w:rPr>
      </w:pPr>
    </w:p>
    <w:p w14:paraId="3BD422EA" w14:textId="544C4512" w:rsidR="00F87BAE" w:rsidRPr="00A37F20" w:rsidRDefault="00F87BAE">
      <w:pPr>
        <w:rPr>
          <w:color w:val="000000" w:themeColor="text1"/>
        </w:rPr>
      </w:pPr>
    </w:p>
    <w:p w14:paraId="0D02AA1F" w14:textId="3A450DED" w:rsidR="00F87BAE" w:rsidRPr="00A37F20" w:rsidRDefault="00F87BAE">
      <w:pPr>
        <w:rPr>
          <w:color w:val="000000" w:themeColor="text1"/>
        </w:rPr>
      </w:pPr>
    </w:p>
    <w:p w14:paraId="06340C73" w14:textId="15CE58F8" w:rsidR="00F87BAE" w:rsidRPr="00A37F20" w:rsidRDefault="00F87BAE">
      <w:pPr>
        <w:rPr>
          <w:color w:val="000000" w:themeColor="text1"/>
        </w:rPr>
      </w:pPr>
    </w:p>
    <w:p w14:paraId="2837D69F" w14:textId="77777777" w:rsidR="00F87BAE" w:rsidRPr="00A37F20" w:rsidRDefault="00F87BAE">
      <w:pPr>
        <w:rPr>
          <w:color w:val="000000" w:themeColor="text1"/>
        </w:rPr>
      </w:pPr>
    </w:p>
    <w:p w14:paraId="0847D990" w14:textId="477211B3" w:rsidR="004442B0" w:rsidRPr="00A37F20" w:rsidRDefault="004442B0">
      <w:pPr>
        <w:rPr>
          <w:color w:val="000000" w:themeColor="text1"/>
        </w:rPr>
      </w:pPr>
    </w:p>
    <w:p w14:paraId="7E1DD631" w14:textId="42CA06F5" w:rsidR="00F87BAE" w:rsidRPr="00A37F20" w:rsidRDefault="004442B0" w:rsidP="004442B0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  <w:r w:rsidRPr="00A37F20">
        <w:rPr>
          <w:b/>
          <w:bCs/>
          <w:color w:val="000000" w:themeColor="text1"/>
          <w:sz w:val="36"/>
          <w:szCs w:val="36"/>
          <w:lang w:val="en-US"/>
        </w:rPr>
        <w:t xml:space="preserve">SUPPLEMENTARY </w:t>
      </w:r>
      <w:r w:rsidR="00F87BAE" w:rsidRPr="00A37F20">
        <w:rPr>
          <w:b/>
          <w:bCs/>
          <w:color w:val="000000" w:themeColor="text1"/>
          <w:sz w:val="36"/>
          <w:szCs w:val="36"/>
          <w:lang w:val="en-US"/>
        </w:rPr>
        <w:t>MATERIALS</w:t>
      </w:r>
    </w:p>
    <w:p w14:paraId="3EA3A597" w14:textId="77777777" w:rsidR="00F87BAE" w:rsidRPr="00A37F20" w:rsidRDefault="00F87BAE">
      <w:pPr>
        <w:rPr>
          <w:b/>
          <w:bCs/>
          <w:color w:val="000000" w:themeColor="text1"/>
          <w:sz w:val="36"/>
          <w:szCs w:val="36"/>
          <w:lang w:val="en-US"/>
        </w:rPr>
      </w:pPr>
      <w:r w:rsidRPr="00A37F20">
        <w:rPr>
          <w:b/>
          <w:bCs/>
          <w:color w:val="000000" w:themeColor="text1"/>
          <w:sz w:val="36"/>
          <w:szCs w:val="36"/>
          <w:lang w:val="en-US"/>
        </w:rPr>
        <w:br w:type="page"/>
      </w:r>
    </w:p>
    <w:p w14:paraId="1B31D18E" w14:textId="77777777" w:rsidR="00F87BAE" w:rsidRPr="00A37F20" w:rsidRDefault="00F87BAE" w:rsidP="00F87BAE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136F4FD7" w14:textId="0D7A15B1" w:rsidR="00F87BAE" w:rsidRPr="00A37F20" w:rsidRDefault="00F35E8A" w:rsidP="00F35E8A">
      <w:pPr>
        <w:spacing w:line="360" w:lineRule="auto"/>
        <w:jc w:val="center"/>
        <w:rPr>
          <w:b/>
          <w:bCs/>
          <w:color w:val="000000" w:themeColor="text1"/>
          <w:lang w:val="en-US"/>
        </w:rPr>
      </w:pPr>
      <w:r w:rsidRPr="00A37F20">
        <w:rPr>
          <w:b/>
          <w:bCs/>
          <w:noProof/>
          <w:color w:val="000000" w:themeColor="text1"/>
          <w:lang w:val="en-US" w:eastAsia="en-US"/>
        </w:rPr>
        <w:drawing>
          <wp:inline distT="0" distB="0" distL="0" distR="0" wp14:anchorId="1F9ED42F" wp14:editId="4B40FA97">
            <wp:extent cx="4089400" cy="283799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1" t="13547" r="48920" b="66903"/>
                    <a:stretch/>
                  </pic:blipFill>
                  <pic:spPr bwMode="auto">
                    <a:xfrm>
                      <a:off x="0" y="0"/>
                      <a:ext cx="4094537" cy="2841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02C74" w14:textId="77777777" w:rsidR="00F87BAE" w:rsidRPr="00A37F20" w:rsidRDefault="00F87BAE" w:rsidP="00F87BAE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14142B80" w14:textId="77777777" w:rsidR="00F87BAE" w:rsidRPr="00A37F20" w:rsidRDefault="00F87BAE" w:rsidP="00F87BAE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6E48E269" w14:textId="77777777" w:rsidR="00F87BAE" w:rsidRPr="00A37F20" w:rsidRDefault="00F87BAE" w:rsidP="00F87BAE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3C2CCA03" w14:textId="77777777" w:rsidR="00F87BAE" w:rsidRPr="00A37F20" w:rsidRDefault="00F87BAE" w:rsidP="00F87BAE">
      <w:pPr>
        <w:spacing w:line="360" w:lineRule="auto"/>
        <w:jc w:val="both"/>
        <w:rPr>
          <w:b/>
          <w:bCs/>
          <w:color w:val="000000" w:themeColor="text1"/>
          <w:lang w:val="en-US"/>
        </w:rPr>
      </w:pPr>
    </w:p>
    <w:p w14:paraId="5E960F07" w14:textId="236335DA" w:rsidR="004442B0" w:rsidRPr="00A37F20" w:rsidRDefault="00F87BAE" w:rsidP="00F87BAE">
      <w:pPr>
        <w:spacing w:line="360" w:lineRule="auto"/>
        <w:jc w:val="both"/>
        <w:rPr>
          <w:b/>
          <w:bCs/>
          <w:color w:val="000000" w:themeColor="text1"/>
          <w:sz w:val="36"/>
          <w:szCs w:val="36"/>
        </w:rPr>
      </w:pPr>
      <w:r w:rsidRPr="00A37F20">
        <w:rPr>
          <w:b/>
          <w:bCs/>
          <w:color w:val="000000" w:themeColor="text1"/>
          <w:lang w:val="en-US"/>
        </w:rPr>
        <w:t xml:space="preserve">Supplementary </w:t>
      </w:r>
      <w:r w:rsidRPr="00A37F20">
        <w:rPr>
          <w:b/>
          <w:color w:val="000000" w:themeColor="text1"/>
          <w:lang w:val="en-US"/>
        </w:rPr>
        <w:t>Figure 1. IL-1β treatment increases REST and REST 4 mRNAs in N2a cells.</w:t>
      </w:r>
      <w:r w:rsidRPr="00A37F20">
        <w:rPr>
          <w:color w:val="000000" w:themeColor="text1"/>
          <w:lang w:val="en-US"/>
        </w:rPr>
        <w:t xml:space="preserve"> The mRNA levels of REST </w:t>
      </w:r>
      <w:r w:rsidRPr="00A37F20">
        <w:rPr>
          <w:b/>
          <w:bCs/>
          <w:color w:val="000000" w:themeColor="text1"/>
          <w:lang w:val="en-US"/>
        </w:rPr>
        <w:t xml:space="preserve">(a) </w:t>
      </w:r>
      <w:r w:rsidRPr="00A37F20">
        <w:rPr>
          <w:color w:val="000000" w:themeColor="text1"/>
          <w:lang w:val="en-US"/>
        </w:rPr>
        <w:t xml:space="preserve">and REST4 </w:t>
      </w:r>
      <w:r w:rsidRPr="00A37F20">
        <w:rPr>
          <w:b/>
          <w:bCs/>
          <w:color w:val="000000" w:themeColor="text1"/>
          <w:lang w:val="en-US"/>
        </w:rPr>
        <w:t>(b)</w:t>
      </w:r>
      <w:r w:rsidRPr="00A37F20">
        <w:rPr>
          <w:color w:val="000000" w:themeColor="text1"/>
          <w:lang w:val="en-US"/>
        </w:rPr>
        <w:t xml:space="preserve"> were quantified by qRT-PCR in IL-1β- treated-cells as compared to control cells (NS). Gapdh, Actin and Hprt1 were used as housekeeping genes in qRT-PCR analyses Graphs show means ± sem with superimposed individual points from distinct culture dishes prepared from at least n=3 independent preparations. ***p&lt;0.001; Mann-Whitney </w:t>
      </w:r>
      <w:r w:rsidRPr="00A37F20">
        <w:rPr>
          <w:i/>
          <w:iCs/>
          <w:color w:val="000000" w:themeColor="text1"/>
          <w:lang w:val="en-US"/>
        </w:rPr>
        <w:t>U</w:t>
      </w:r>
      <w:r w:rsidRPr="00A37F20">
        <w:rPr>
          <w:color w:val="000000" w:themeColor="text1"/>
          <w:lang w:val="en-US"/>
        </w:rPr>
        <w:t>-test.</w:t>
      </w:r>
    </w:p>
    <w:p w14:paraId="651760B1" w14:textId="4CE545D5" w:rsidR="00F87BAE" w:rsidRPr="00A37F20" w:rsidRDefault="00F87BAE" w:rsidP="004442B0">
      <w:pPr>
        <w:jc w:val="center"/>
        <w:rPr>
          <w:b/>
          <w:bCs/>
          <w:color w:val="000000" w:themeColor="text1"/>
          <w:sz w:val="36"/>
          <w:szCs w:val="36"/>
        </w:rPr>
      </w:pPr>
    </w:p>
    <w:p w14:paraId="08E01B4E" w14:textId="2EF60140" w:rsidR="00F87BAE" w:rsidRPr="00A37F20" w:rsidRDefault="00F87BAE" w:rsidP="00F87BAE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color w:val="000000" w:themeColor="text1"/>
          <w:lang w:val="en-US"/>
        </w:rPr>
      </w:pPr>
      <w:r w:rsidRPr="00A37F20">
        <w:rPr>
          <w:b/>
          <w:bCs/>
          <w:color w:val="000000" w:themeColor="text1"/>
          <w:sz w:val="36"/>
          <w:szCs w:val="36"/>
        </w:rPr>
        <w:br w:type="page"/>
      </w:r>
    </w:p>
    <w:p w14:paraId="12B4ECED" w14:textId="18844027" w:rsidR="00F87BAE" w:rsidRPr="00A37F20" w:rsidRDefault="00F87BAE">
      <w:pPr>
        <w:rPr>
          <w:b/>
          <w:bCs/>
          <w:color w:val="000000" w:themeColor="text1"/>
          <w:sz w:val="36"/>
          <w:szCs w:val="36"/>
        </w:rPr>
      </w:pPr>
    </w:p>
    <w:p w14:paraId="2386A34D" w14:textId="4C3331C6" w:rsidR="00F87BAE" w:rsidRPr="00A37F20" w:rsidRDefault="00F87BAE" w:rsidP="000A17C4">
      <w:pPr>
        <w:rPr>
          <w:b/>
          <w:bCs/>
          <w:color w:val="000000" w:themeColor="text1"/>
          <w:sz w:val="36"/>
          <w:szCs w:val="36"/>
        </w:rPr>
      </w:pPr>
    </w:p>
    <w:p w14:paraId="630943EE" w14:textId="23DBEF3C" w:rsidR="00F87BAE" w:rsidRPr="00A37F20" w:rsidRDefault="000A17C4" w:rsidP="004442B0">
      <w:pPr>
        <w:jc w:val="center"/>
        <w:rPr>
          <w:b/>
          <w:bCs/>
          <w:color w:val="000000" w:themeColor="text1"/>
          <w:sz w:val="36"/>
          <w:szCs w:val="36"/>
        </w:rPr>
      </w:pPr>
      <w:r w:rsidRPr="00A37F20">
        <w:rPr>
          <w:b/>
          <w:bCs/>
          <w:noProof/>
          <w:color w:val="000000" w:themeColor="text1"/>
          <w:sz w:val="36"/>
          <w:szCs w:val="36"/>
          <w:lang w:val="en-US" w:eastAsia="en-US"/>
        </w:rPr>
        <w:drawing>
          <wp:inline distT="0" distB="0" distL="0" distR="0" wp14:anchorId="477583D3" wp14:editId="6B615B8F">
            <wp:extent cx="6172200" cy="5583571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8" t="11392" r="15697" b="37500"/>
                    <a:stretch/>
                  </pic:blipFill>
                  <pic:spPr bwMode="auto">
                    <a:xfrm>
                      <a:off x="0" y="0"/>
                      <a:ext cx="6178022" cy="558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E560E" w14:textId="77777777" w:rsidR="00F87BAE" w:rsidRPr="00A37F20" w:rsidRDefault="00F87BAE" w:rsidP="00F87BAE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color w:val="000000" w:themeColor="text1"/>
          <w:lang w:val="en-US"/>
        </w:rPr>
      </w:pPr>
    </w:p>
    <w:p w14:paraId="7F98827D" w14:textId="38D1DAE2" w:rsidR="00F87BAE" w:rsidRPr="00A37F20" w:rsidRDefault="00F87BAE" w:rsidP="00F87BAE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color w:val="000000" w:themeColor="text1"/>
          <w:lang w:val="en-US"/>
        </w:rPr>
      </w:pPr>
      <w:r w:rsidRPr="00A37F20">
        <w:rPr>
          <w:b/>
          <w:bCs/>
          <w:color w:val="000000" w:themeColor="text1"/>
          <w:lang w:val="en-US"/>
        </w:rPr>
        <w:t xml:space="preserve">Supplementary Figure 2. Neuronal cell viability after 7 days upon exposure to IL-1β. </w:t>
      </w:r>
      <w:r w:rsidRPr="00A37F20">
        <w:rPr>
          <w:bCs/>
          <w:color w:val="000000" w:themeColor="text1"/>
          <w:lang w:val="en-US"/>
        </w:rPr>
        <w:t>Primary mouse cortical neurons were exposed to IL-1β (20 ng/ml) or vehicle</w:t>
      </w:r>
      <w:r w:rsidRPr="00A37F20">
        <w:rPr>
          <w:color w:val="000000" w:themeColor="text1"/>
          <w:lang w:val="en-US"/>
        </w:rPr>
        <w:t xml:space="preserve"> (veh; </w:t>
      </w:r>
      <w:r w:rsidRPr="00A37F20">
        <w:rPr>
          <w:bCs/>
          <w:color w:val="000000" w:themeColor="text1"/>
          <w:lang w:val="en-US"/>
        </w:rPr>
        <w:t>0.1% BSA)</w:t>
      </w:r>
      <w:r w:rsidRPr="00A37F20">
        <w:rPr>
          <w:color w:val="000000" w:themeColor="text1"/>
          <w:lang w:val="en-US"/>
        </w:rPr>
        <w:t xml:space="preserve"> </w:t>
      </w:r>
      <w:r w:rsidRPr="00A37F20">
        <w:rPr>
          <w:bCs/>
          <w:color w:val="000000" w:themeColor="text1"/>
          <w:lang w:val="en-US"/>
        </w:rPr>
        <w:t>for 20 min at 7 DIV and analyzed at 14 DIV. Cell viability was evaluated by fluorescence microscopy. Representative images of neuronal cultures stained with Hoechst 33342 for nuclear visualization (blue), propidium iodide (PI; red) for cell death quantification and fluorescein diacetate (FDA; green) for cell viability detection. Scale bars, 100 μm. The percentages of PI-positive cells with respect to the total number of Hoechst-positive cells, were calculated for each experimental group and normalized to the values of vehicle-treated samples.</w:t>
      </w:r>
      <w:r w:rsidRPr="00A37F20">
        <w:rPr>
          <w:color w:val="000000" w:themeColor="text1"/>
          <w:lang w:val="en-US"/>
        </w:rPr>
        <w:t xml:space="preserve"> </w:t>
      </w:r>
      <w:r w:rsidRPr="00A37F20">
        <w:rPr>
          <w:bCs/>
          <w:color w:val="000000" w:themeColor="text1"/>
          <w:lang w:val="en-US"/>
        </w:rPr>
        <w:t xml:space="preserve">The bar plot shows the means ± sem with superimposed individual points from distinct culture dishes prepared from at least n=3 independent preparations. p&gt;0.05; unpaired two-tailed Student’s </w:t>
      </w:r>
      <w:r w:rsidRPr="00A37F20">
        <w:rPr>
          <w:bCs/>
          <w:i/>
          <w:iCs/>
          <w:color w:val="000000" w:themeColor="text1"/>
          <w:lang w:val="en-US"/>
        </w:rPr>
        <w:t>t</w:t>
      </w:r>
      <w:r w:rsidRPr="00A37F20">
        <w:rPr>
          <w:bCs/>
          <w:color w:val="000000" w:themeColor="text1"/>
          <w:lang w:val="en-US"/>
        </w:rPr>
        <w:t>-test.</w:t>
      </w:r>
    </w:p>
    <w:p w14:paraId="649471B3" w14:textId="488EE4C8" w:rsidR="00F87BAE" w:rsidRPr="00A37F20" w:rsidRDefault="001B6FAD" w:rsidP="000A17C4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color w:val="000000" w:themeColor="text1"/>
          <w:sz w:val="36"/>
          <w:szCs w:val="36"/>
          <w:lang w:val="en-US"/>
        </w:rPr>
      </w:pPr>
      <w:r w:rsidRPr="00A37F20">
        <w:rPr>
          <w:b/>
          <w:bCs/>
          <w:noProof/>
          <w:color w:val="000000" w:themeColor="text1"/>
          <w:sz w:val="36"/>
          <w:szCs w:val="36"/>
          <w:lang w:val="en-US" w:eastAsia="en-US"/>
        </w:rPr>
        <w:lastRenderedPageBreak/>
        <w:drawing>
          <wp:inline distT="0" distB="0" distL="0" distR="0" wp14:anchorId="7EBE1B87" wp14:editId="7B72A63B">
            <wp:extent cx="5811591" cy="619760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6" t="12469" r="30233" b="43042"/>
                    <a:stretch/>
                  </pic:blipFill>
                  <pic:spPr bwMode="auto">
                    <a:xfrm>
                      <a:off x="0" y="0"/>
                      <a:ext cx="5816855" cy="6203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7BAE" w:rsidRPr="00A37F20">
        <w:rPr>
          <w:b/>
          <w:bCs/>
          <w:color w:val="000000" w:themeColor="text1"/>
          <w:lang w:val="en-US"/>
        </w:rPr>
        <w:t>Supplementary Figure 3. Characterization of REST silencing in REST</w:t>
      </w:r>
      <w:r w:rsidR="00F87BAE" w:rsidRPr="00A37F20">
        <w:rPr>
          <w:b/>
          <w:bCs/>
          <w:color w:val="000000" w:themeColor="text1"/>
          <w:vertAlign w:val="superscript"/>
          <w:lang w:val="en-US"/>
        </w:rPr>
        <w:t xml:space="preserve">GTi </w:t>
      </w:r>
      <w:r w:rsidR="00F87BAE" w:rsidRPr="00A37F20">
        <w:rPr>
          <w:b/>
          <w:bCs/>
          <w:color w:val="000000" w:themeColor="text1"/>
          <w:lang w:val="en-US"/>
        </w:rPr>
        <w:t>cortical neurons.</w:t>
      </w:r>
      <w:r w:rsidR="00F87BAE" w:rsidRPr="00A37F20">
        <w:rPr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F87BAE" w:rsidRPr="00A37F20">
        <w:rPr>
          <w:b/>
          <w:bCs/>
          <w:color w:val="000000" w:themeColor="text1"/>
          <w:lang w:val="en-US"/>
        </w:rPr>
        <w:t xml:space="preserve">(a) </w:t>
      </w:r>
      <w:r w:rsidR="00F87BAE" w:rsidRPr="00A37F20">
        <w:rPr>
          <w:color w:val="000000" w:themeColor="text1"/>
          <w:lang w:val="en-US"/>
        </w:rPr>
        <w:t>Schematic representation of REST GTinv cassette, modified from</w:t>
      </w:r>
      <w:r w:rsidR="007E7898">
        <w:rPr>
          <w:color w:val="000000" w:themeColor="text1"/>
          <w:lang w:val="en-US"/>
        </w:rPr>
        <w:t xml:space="preserve"> (</w:t>
      </w:r>
      <w:r w:rsidR="00F87BAE" w:rsidRPr="007E7898">
        <w:rPr>
          <w:color w:val="000000" w:themeColor="text1"/>
          <w:lang w:val="en-US"/>
        </w:rPr>
        <w:fldChar w:fldCharType="begin">
          <w:fldData xml:space="preserve">PEVuZE5vdGU+PENpdGU+PEF1dGhvcj5OZWNoaXBvcnVrPC9BdXRob3I+PFllYXI+MjAxNjwvWWVh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</w:fldData>
        </w:fldChar>
      </w:r>
      <w:r w:rsidR="00F87BAE" w:rsidRPr="007E7898">
        <w:rPr>
          <w:color w:val="000000" w:themeColor="text1"/>
          <w:lang w:val="en-US"/>
        </w:rPr>
        <w:instrText xml:space="preserve"> ADDIN EN.CITE </w:instrText>
      </w:r>
      <w:r w:rsidR="00F87BAE" w:rsidRPr="007E7898">
        <w:rPr>
          <w:color w:val="000000" w:themeColor="text1"/>
          <w:lang w:val="en-US"/>
        </w:rPr>
        <w:fldChar w:fldCharType="begin">
          <w:fldData xml:space="preserve">PEVuZE5vdGU+PENpdGU+PEF1dGhvcj5OZWNoaXBvcnVrPC9BdXRob3I+PFllYXI+MjAxNjwvWWVh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</w:fldData>
        </w:fldChar>
      </w:r>
      <w:r w:rsidR="00F87BAE" w:rsidRPr="007E7898">
        <w:rPr>
          <w:color w:val="000000" w:themeColor="text1"/>
          <w:lang w:val="en-US"/>
        </w:rPr>
        <w:instrText xml:space="preserve"> ADDIN EN.CITE.DATA </w:instrText>
      </w:r>
      <w:r w:rsidR="00F87BAE" w:rsidRPr="007E7898">
        <w:rPr>
          <w:color w:val="000000" w:themeColor="text1"/>
          <w:lang w:val="en-US"/>
        </w:rPr>
      </w:r>
      <w:r w:rsidR="00F87BAE" w:rsidRPr="007E7898">
        <w:rPr>
          <w:color w:val="000000" w:themeColor="text1"/>
          <w:lang w:val="en-US"/>
        </w:rPr>
        <w:fldChar w:fldCharType="end"/>
      </w:r>
      <w:r w:rsidR="00F87BAE" w:rsidRPr="007E7898">
        <w:rPr>
          <w:color w:val="000000" w:themeColor="text1"/>
          <w:lang w:val="en-US"/>
        </w:rPr>
      </w:r>
      <w:r w:rsidR="00F87BAE" w:rsidRPr="007E7898">
        <w:rPr>
          <w:color w:val="000000" w:themeColor="text1"/>
          <w:lang w:val="en-US"/>
        </w:rPr>
        <w:fldChar w:fldCharType="separate"/>
      </w:r>
      <w:r w:rsidR="00F87BAE" w:rsidRPr="007E7898">
        <w:rPr>
          <w:noProof/>
          <w:color w:val="000000" w:themeColor="text1"/>
          <w:lang w:val="en-US"/>
        </w:rPr>
        <w:t>52</w:t>
      </w:r>
      <w:r w:rsidR="00F87BAE" w:rsidRPr="007E7898">
        <w:rPr>
          <w:color w:val="000000" w:themeColor="text1"/>
          <w:lang w:val="en-US"/>
        </w:rPr>
        <w:fldChar w:fldCharType="end"/>
      </w:r>
      <w:r w:rsidR="007E7898">
        <w:rPr>
          <w:color w:val="000000" w:themeColor="text1"/>
          <w:lang w:val="en-US"/>
        </w:rPr>
        <w:t>)</w:t>
      </w:r>
      <w:r w:rsidR="00F87BAE" w:rsidRPr="00A37F20">
        <w:rPr>
          <w:color w:val="000000" w:themeColor="text1"/>
          <w:lang w:val="en-US"/>
        </w:rPr>
        <w:t>.</w:t>
      </w:r>
      <w:r w:rsidR="00F87BAE" w:rsidRPr="00A37F20">
        <w:rPr>
          <w:b/>
          <w:color w:val="000000" w:themeColor="text1"/>
          <w:lang w:val="en-US"/>
        </w:rPr>
        <w:t xml:space="preserve"> </w:t>
      </w:r>
      <w:r w:rsidR="00F87BAE" w:rsidRPr="00A37F20">
        <w:rPr>
          <w:b/>
          <w:bCs/>
          <w:color w:val="000000" w:themeColor="text1"/>
          <w:lang w:val="en-US"/>
        </w:rPr>
        <w:t>(b,c)</w:t>
      </w:r>
      <w:r w:rsidR="00F87BAE" w:rsidRPr="00A37F20">
        <w:rPr>
          <w:color w:val="000000" w:themeColor="text1"/>
          <w:lang w:val="en-US"/>
        </w:rPr>
        <w:t xml:space="preserve"> Primary cortical neurons from REST</w:t>
      </w:r>
      <w:r w:rsidR="00F87BAE" w:rsidRPr="00A37F20">
        <w:rPr>
          <w:color w:val="000000" w:themeColor="text1"/>
          <w:vertAlign w:val="superscript"/>
          <w:lang w:val="en-US"/>
        </w:rPr>
        <w:t>GTi</w:t>
      </w:r>
      <w:r w:rsidR="00F87BAE" w:rsidRPr="00A37F20">
        <w:rPr>
          <w:color w:val="000000" w:themeColor="text1"/>
          <w:lang w:val="en-US"/>
        </w:rPr>
        <w:t xml:space="preserve"> mice were transduced with lentiviral vectors encoding defective (ΔCre) and active (Cre) Cre-recombinase and the expression of full-length REST was assessed by qRT-PCR (</w:t>
      </w:r>
      <w:r w:rsidR="00F87BAE" w:rsidRPr="00A37F20">
        <w:rPr>
          <w:bCs/>
          <w:color w:val="000000" w:themeColor="text1"/>
          <w:lang w:val="en-US"/>
        </w:rPr>
        <w:t>b</w:t>
      </w:r>
      <w:r w:rsidR="00F87BAE" w:rsidRPr="00A37F20">
        <w:rPr>
          <w:color w:val="000000" w:themeColor="text1"/>
          <w:lang w:val="en-US"/>
        </w:rPr>
        <w:t>) and western blotting (</w:t>
      </w:r>
      <w:r w:rsidR="00F87BAE" w:rsidRPr="00A37F20">
        <w:rPr>
          <w:bCs/>
          <w:color w:val="000000" w:themeColor="text1"/>
          <w:lang w:val="en-US"/>
        </w:rPr>
        <w:t>c</w:t>
      </w:r>
      <w:r w:rsidR="00F87BAE" w:rsidRPr="00A37F20">
        <w:rPr>
          <w:color w:val="000000" w:themeColor="text1"/>
          <w:lang w:val="en-US"/>
        </w:rPr>
        <w:t>) analysis. In (c), a</w:t>
      </w:r>
      <w:r w:rsidR="00F87BAE" w:rsidRPr="00A37F20">
        <w:rPr>
          <w:bCs/>
          <w:color w:val="000000" w:themeColor="text1"/>
          <w:lang w:val="en-US"/>
        </w:rPr>
        <w:t xml:space="preserve"> representative experiment and the respective quantification are shown. </w:t>
      </w:r>
      <w:r w:rsidR="00F87BAE" w:rsidRPr="00A37F20">
        <w:rPr>
          <w:color w:val="000000" w:themeColor="text1"/>
          <w:lang w:val="en-US"/>
        </w:rPr>
        <w:t>The residual levels of REST mRNA/protein reflect the near complete transduction of primary neurons.</w:t>
      </w:r>
      <w:r w:rsidR="00F87BAE" w:rsidRPr="00A37F20">
        <w:rPr>
          <w:b/>
          <w:color w:val="000000" w:themeColor="text1"/>
          <w:lang w:val="en-US"/>
        </w:rPr>
        <w:t xml:space="preserve"> </w:t>
      </w:r>
      <w:r w:rsidR="00F87BAE" w:rsidRPr="00A37F20">
        <w:rPr>
          <w:bCs/>
          <w:color w:val="000000" w:themeColor="text1"/>
          <w:lang w:val="en-US"/>
        </w:rPr>
        <w:t xml:space="preserve">In qRT-PCR analysis Actin, Gusb and Gapdh were used as reference genes; in Western blotting analysis, Calnexin was used as a loading control. Graphs show means ± sem with superimposed experimental points (n=5-9). *p&lt;0.05, ***p&lt;0.001; unpaired two-tailed Student’s </w:t>
      </w:r>
      <w:r w:rsidR="00F87BAE" w:rsidRPr="00A37F20">
        <w:rPr>
          <w:bCs/>
          <w:i/>
          <w:iCs/>
          <w:color w:val="000000" w:themeColor="text1"/>
          <w:lang w:val="en-US"/>
        </w:rPr>
        <w:t>t</w:t>
      </w:r>
      <w:r w:rsidR="00F87BAE" w:rsidRPr="00A37F20">
        <w:rPr>
          <w:bCs/>
          <w:color w:val="000000" w:themeColor="text1"/>
          <w:lang w:val="en-US"/>
        </w:rPr>
        <w:t>-test.</w:t>
      </w:r>
    </w:p>
    <w:sectPr w:rsidR="00F87BAE" w:rsidRPr="00A37F20" w:rsidSect="00BD1C3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843EB" w14:textId="77777777" w:rsidR="00E91DBA" w:rsidRDefault="00E91DBA" w:rsidP="00F87BAE">
      <w:r>
        <w:separator/>
      </w:r>
    </w:p>
  </w:endnote>
  <w:endnote w:type="continuationSeparator" w:id="0">
    <w:p w14:paraId="5443F8D8" w14:textId="77777777" w:rsidR="00E91DBA" w:rsidRDefault="00E91DBA" w:rsidP="00F8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E1407" w14:textId="77777777" w:rsidR="00E91DBA" w:rsidRDefault="00E91DBA" w:rsidP="00F87BAE">
      <w:r>
        <w:separator/>
      </w:r>
    </w:p>
  </w:footnote>
  <w:footnote w:type="continuationSeparator" w:id="0">
    <w:p w14:paraId="1633BF15" w14:textId="77777777" w:rsidR="00E91DBA" w:rsidRDefault="00E91DBA" w:rsidP="00F87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02fsarrdzaxnezx215rw5290vs50tt9td9&quot;&gt;Cariplo-Converted&lt;record-ids&gt;&lt;item&gt;430&lt;/item&gt;&lt;/record-ids&gt;&lt;/item&gt;&lt;/Libraries&gt;"/>
  </w:docVars>
  <w:rsids>
    <w:rsidRoot w:val="004442B0"/>
    <w:rsid w:val="0002230F"/>
    <w:rsid w:val="000A17C4"/>
    <w:rsid w:val="001B6FAD"/>
    <w:rsid w:val="003E523F"/>
    <w:rsid w:val="004442B0"/>
    <w:rsid w:val="00505B6D"/>
    <w:rsid w:val="006343FE"/>
    <w:rsid w:val="007E7898"/>
    <w:rsid w:val="007F7515"/>
    <w:rsid w:val="00A37F20"/>
    <w:rsid w:val="00AC6C09"/>
    <w:rsid w:val="00BD1C39"/>
    <w:rsid w:val="00DB284F"/>
    <w:rsid w:val="00E91DBA"/>
    <w:rsid w:val="00F35E8A"/>
    <w:rsid w:val="00F8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CED56"/>
  <w15:chartTrackingRefBased/>
  <w15:docId w15:val="{8ABE73EC-2DE9-6047-B8D7-A770FD58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2B0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6affiliation">
    <w:name w:val="MDPI_1.6_affiliation"/>
    <w:basedOn w:val="Normal"/>
    <w:qFormat/>
    <w:rsid w:val="004442B0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7B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7BA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F87B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BA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BAE"/>
    <w:rPr>
      <w:rFonts w:ascii="Times New Roman" w:eastAsia="Times New Roman" w:hAnsi="Times New Roman" w:cs="Times New Roman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Benfenati</dc:creator>
  <cp:keywords/>
  <dc:description/>
  <cp:lastModifiedBy>Rocchi</cp:lastModifiedBy>
  <cp:revision>10</cp:revision>
  <dcterms:created xsi:type="dcterms:W3CDTF">2020-12-19T07:13:00Z</dcterms:created>
  <dcterms:modified xsi:type="dcterms:W3CDTF">2021-01-19T13:34:00Z</dcterms:modified>
</cp:coreProperties>
</file>