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C8E2A" w14:textId="78A20BF2" w:rsidR="00902AAA" w:rsidRPr="00B81F2B" w:rsidRDefault="00CA6C7D" w:rsidP="009136BB">
      <w:pPr>
        <w:spacing w:line="480" w:lineRule="auto"/>
        <w:contextualSpacing/>
        <w:jc w:val="center"/>
        <w:rPr>
          <w:rFonts w:asciiTheme="minorBidi" w:hAnsiTheme="minorBidi"/>
          <w:b/>
          <w:bCs/>
        </w:rPr>
      </w:pPr>
      <w:bookmarkStart w:id="0" w:name="_Hlk46469137"/>
      <w:r w:rsidRPr="00B81F2B">
        <w:rPr>
          <w:rFonts w:asciiTheme="minorBidi" w:hAnsiTheme="minorBidi"/>
          <w:b/>
          <w:bCs/>
        </w:rPr>
        <w:t>Effects</w:t>
      </w:r>
      <w:r w:rsidR="00A07839" w:rsidRPr="00B81F2B">
        <w:rPr>
          <w:rFonts w:asciiTheme="minorBidi" w:hAnsiTheme="minorBidi"/>
          <w:b/>
          <w:bCs/>
        </w:rPr>
        <w:t xml:space="preserve"> of </w:t>
      </w:r>
      <w:r w:rsidR="00D27FF0">
        <w:rPr>
          <w:rFonts w:asciiTheme="minorBidi" w:hAnsiTheme="minorBidi"/>
          <w:b/>
          <w:bCs/>
        </w:rPr>
        <w:t>lifestyle</w:t>
      </w:r>
      <w:r w:rsidR="00A07839" w:rsidRPr="00B81F2B">
        <w:rPr>
          <w:rFonts w:asciiTheme="minorBidi" w:hAnsiTheme="minorBidi"/>
          <w:b/>
          <w:bCs/>
        </w:rPr>
        <w:t xml:space="preserve"> interventions on epigenetic signatures of </w:t>
      </w:r>
      <w:r w:rsidR="00F92DEC" w:rsidRPr="00B81F2B">
        <w:rPr>
          <w:rFonts w:asciiTheme="minorBidi" w:hAnsiTheme="minorBidi"/>
          <w:b/>
          <w:bCs/>
        </w:rPr>
        <w:t>liver fat</w:t>
      </w:r>
      <w:r w:rsidR="00A07839" w:rsidRPr="00B81F2B">
        <w:rPr>
          <w:rFonts w:asciiTheme="minorBidi" w:hAnsiTheme="minorBidi"/>
          <w:b/>
          <w:bCs/>
        </w:rPr>
        <w:t xml:space="preserve">: </w:t>
      </w:r>
      <w:r w:rsidR="002F6194" w:rsidRPr="00B81F2B">
        <w:rPr>
          <w:rFonts w:asciiTheme="minorBidi" w:hAnsiTheme="minorBidi"/>
          <w:b/>
          <w:bCs/>
        </w:rPr>
        <w:t>CENTRAL randomized controlled trial</w:t>
      </w:r>
    </w:p>
    <w:p w14:paraId="17B6B2EF" w14:textId="591A3360" w:rsidR="002F6194" w:rsidRPr="00B81F2B" w:rsidRDefault="002F6194" w:rsidP="00711112">
      <w:pPr>
        <w:contextualSpacing/>
        <w:jc w:val="center"/>
        <w:rPr>
          <w:rFonts w:asciiTheme="minorBidi" w:hAnsiTheme="minorBidi"/>
          <w:vertAlign w:val="superscript"/>
          <w:lang w:val="sv-SE"/>
        </w:rPr>
      </w:pPr>
      <w:bookmarkStart w:id="1" w:name="_Hlk46469142"/>
      <w:bookmarkEnd w:id="0"/>
      <w:r w:rsidRPr="00B81F2B">
        <w:rPr>
          <w:rFonts w:asciiTheme="minorBidi" w:hAnsiTheme="minorBidi"/>
          <w:lang w:val="sv-SE"/>
        </w:rPr>
        <w:t>Anat Yaskolka Meir</w:t>
      </w:r>
      <w:r w:rsidRPr="00B81F2B">
        <w:rPr>
          <w:rFonts w:asciiTheme="minorBidi" w:hAnsiTheme="minorBidi"/>
          <w:vertAlign w:val="superscript"/>
          <w:lang w:val="sv-SE"/>
        </w:rPr>
        <w:t>1*</w:t>
      </w:r>
      <w:r w:rsidRPr="00B81F2B">
        <w:rPr>
          <w:rFonts w:asciiTheme="minorBidi" w:hAnsiTheme="minorBidi"/>
          <w:lang w:val="sv-SE"/>
        </w:rPr>
        <w:t>, Maria Keller</w:t>
      </w:r>
      <w:r w:rsidRPr="00B81F2B">
        <w:rPr>
          <w:rFonts w:asciiTheme="minorBidi" w:hAnsiTheme="minorBidi"/>
          <w:vertAlign w:val="superscript"/>
          <w:lang w:val="sv-SE"/>
        </w:rPr>
        <w:t>2,3*</w:t>
      </w:r>
      <w:r w:rsidRPr="00B81F2B">
        <w:rPr>
          <w:rFonts w:asciiTheme="minorBidi" w:hAnsiTheme="minorBidi"/>
          <w:lang w:val="sv-SE"/>
        </w:rPr>
        <w:t>,</w:t>
      </w:r>
      <w:r w:rsidR="00D768EB" w:rsidRPr="00B81F2B">
        <w:rPr>
          <w:rFonts w:asciiTheme="minorBidi" w:hAnsiTheme="minorBidi"/>
          <w:lang w:val="sv-SE"/>
        </w:rPr>
        <w:t xml:space="preserve"> </w:t>
      </w:r>
      <w:proofErr w:type="spellStart"/>
      <w:r w:rsidR="00D768EB" w:rsidRPr="00B81F2B">
        <w:rPr>
          <w:rFonts w:asciiTheme="minorBidi" w:hAnsiTheme="minorBidi"/>
          <w:lang w:val="sv-SE"/>
        </w:rPr>
        <w:t>Luise</w:t>
      </w:r>
      <w:proofErr w:type="spellEnd"/>
      <w:r w:rsidR="00D768EB" w:rsidRPr="00B81F2B">
        <w:rPr>
          <w:rFonts w:asciiTheme="minorBidi" w:hAnsiTheme="minorBidi"/>
          <w:lang w:val="sv-SE"/>
        </w:rPr>
        <w:t xml:space="preserve"> Müller</w:t>
      </w:r>
      <w:r w:rsidR="00DB0ABA" w:rsidRPr="00B81F2B">
        <w:rPr>
          <w:rFonts w:asciiTheme="minorBidi" w:hAnsiTheme="minorBidi"/>
          <w:vertAlign w:val="superscript"/>
          <w:lang w:val="sv-SE"/>
        </w:rPr>
        <w:t>3</w:t>
      </w:r>
      <w:r w:rsidR="00D768EB" w:rsidRPr="00B81F2B">
        <w:rPr>
          <w:rFonts w:asciiTheme="minorBidi" w:hAnsiTheme="minorBidi"/>
          <w:lang w:val="sv-SE"/>
        </w:rPr>
        <w:t xml:space="preserve">, </w:t>
      </w:r>
      <w:r w:rsidR="007F2151" w:rsidRPr="00B81F2B">
        <w:rPr>
          <w:rFonts w:asciiTheme="minorBidi" w:hAnsiTheme="minorBidi"/>
        </w:rPr>
        <w:t>Stephan H. Bernhart</w:t>
      </w:r>
      <w:r w:rsidR="007820B1" w:rsidRPr="00B81F2B">
        <w:rPr>
          <w:rFonts w:asciiTheme="minorBidi" w:hAnsiTheme="minorBidi"/>
          <w:vertAlign w:val="superscript"/>
          <w:lang w:val="sv-SE"/>
        </w:rPr>
        <w:t>4,5,6</w:t>
      </w:r>
      <w:r w:rsidR="004D6CF4" w:rsidRPr="00B81F2B">
        <w:rPr>
          <w:rFonts w:asciiTheme="minorBidi" w:hAnsiTheme="minorBidi"/>
          <w:lang w:val="sv-SE"/>
        </w:rPr>
        <w:t xml:space="preserve">, </w:t>
      </w:r>
      <w:r w:rsidR="00A916AB" w:rsidRPr="00B81F2B">
        <w:rPr>
          <w:rFonts w:asciiTheme="minorBidi" w:hAnsiTheme="minorBidi"/>
          <w:lang w:val="sv-SE"/>
        </w:rPr>
        <w:t>Gal Tsaban</w:t>
      </w:r>
      <w:r w:rsidR="00A916AB" w:rsidRPr="00B81F2B">
        <w:rPr>
          <w:rFonts w:asciiTheme="minorBidi" w:hAnsiTheme="minorBidi"/>
          <w:vertAlign w:val="superscript"/>
          <w:lang w:val="sv-SE"/>
        </w:rPr>
        <w:t>1</w:t>
      </w:r>
      <w:r w:rsidR="002162C6" w:rsidRPr="00B81F2B">
        <w:rPr>
          <w:rFonts w:asciiTheme="minorBidi" w:hAnsiTheme="minorBidi"/>
          <w:lang w:val="sv-SE"/>
        </w:rPr>
        <w:t>,</w:t>
      </w:r>
      <w:r w:rsidR="0062391F" w:rsidRPr="00B81F2B">
        <w:rPr>
          <w:rFonts w:asciiTheme="minorBidi" w:hAnsiTheme="minorBidi"/>
          <w:lang w:val="sv-SE"/>
        </w:rPr>
        <w:t xml:space="preserve"> </w:t>
      </w:r>
      <w:proofErr w:type="spellStart"/>
      <w:r w:rsidR="006B1BB5" w:rsidRPr="00B81F2B">
        <w:rPr>
          <w:rFonts w:asciiTheme="minorBidi" w:hAnsiTheme="minorBidi"/>
          <w:lang w:val="sv-SE"/>
        </w:rPr>
        <w:t>Hila</w:t>
      </w:r>
      <w:proofErr w:type="spellEnd"/>
      <w:r w:rsidR="006B1BB5" w:rsidRPr="00B81F2B">
        <w:rPr>
          <w:rFonts w:asciiTheme="minorBidi" w:hAnsiTheme="minorBidi"/>
          <w:lang w:val="sv-SE"/>
        </w:rPr>
        <w:t xml:space="preserve"> Zelicha</w:t>
      </w:r>
      <w:r w:rsidR="006B1BB5" w:rsidRPr="00B81F2B">
        <w:rPr>
          <w:rFonts w:asciiTheme="minorBidi" w:hAnsiTheme="minorBidi"/>
          <w:vertAlign w:val="superscript"/>
          <w:lang w:val="sv-SE"/>
        </w:rPr>
        <w:t>1</w:t>
      </w:r>
      <w:r w:rsidR="006B1BB5" w:rsidRPr="00B81F2B">
        <w:rPr>
          <w:rFonts w:asciiTheme="minorBidi" w:hAnsiTheme="minorBidi"/>
          <w:lang w:val="sv-SE"/>
        </w:rPr>
        <w:t xml:space="preserve">, </w:t>
      </w:r>
      <w:r w:rsidR="0062391F" w:rsidRPr="00B81F2B">
        <w:rPr>
          <w:rFonts w:asciiTheme="minorBidi" w:hAnsiTheme="minorBidi"/>
          <w:lang w:val="sv-SE"/>
        </w:rPr>
        <w:t>Ehud Rinott</w:t>
      </w:r>
      <w:r w:rsidR="0062391F" w:rsidRPr="00B81F2B">
        <w:rPr>
          <w:rFonts w:asciiTheme="minorBidi" w:hAnsiTheme="minorBidi"/>
          <w:vertAlign w:val="superscript"/>
          <w:lang w:val="sv-SE"/>
        </w:rPr>
        <w:t>1</w:t>
      </w:r>
      <w:r w:rsidR="00767022" w:rsidRPr="00B81F2B">
        <w:rPr>
          <w:rFonts w:asciiTheme="minorBidi" w:hAnsiTheme="minorBidi"/>
          <w:vertAlign w:val="subscript"/>
          <w:lang w:val="sv-SE"/>
        </w:rPr>
        <w:t xml:space="preserve">, </w:t>
      </w:r>
      <w:proofErr w:type="spellStart"/>
      <w:r w:rsidR="001D0D54" w:rsidRPr="00B81F2B">
        <w:rPr>
          <w:rFonts w:asciiTheme="minorBidi" w:hAnsiTheme="minorBidi"/>
          <w:lang w:val="sv-SE"/>
        </w:rPr>
        <w:t>Alon</w:t>
      </w:r>
      <w:proofErr w:type="spellEnd"/>
      <w:r w:rsidR="001D0D54" w:rsidRPr="00B81F2B">
        <w:rPr>
          <w:rFonts w:asciiTheme="minorBidi" w:hAnsiTheme="minorBidi"/>
          <w:lang w:val="sv-SE"/>
        </w:rPr>
        <w:t xml:space="preserve"> Kaplan</w:t>
      </w:r>
      <w:r w:rsidR="001D0D54" w:rsidRPr="00B81F2B">
        <w:rPr>
          <w:rFonts w:asciiTheme="minorBidi" w:hAnsiTheme="minorBidi"/>
          <w:vertAlign w:val="superscript"/>
          <w:lang w:val="sv-SE"/>
        </w:rPr>
        <w:t>1</w:t>
      </w:r>
      <w:r w:rsidR="001D0D54" w:rsidRPr="00B81F2B">
        <w:rPr>
          <w:rFonts w:asciiTheme="minorBidi" w:hAnsiTheme="minorBidi"/>
          <w:lang w:val="sv-SE"/>
        </w:rPr>
        <w:t xml:space="preserve">, </w:t>
      </w:r>
      <w:proofErr w:type="spellStart"/>
      <w:r w:rsidR="002162C6" w:rsidRPr="00B81F2B">
        <w:rPr>
          <w:rFonts w:asciiTheme="minorBidi" w:hAnsiTheme="minorBidi"/>
          <w:lang w:val="sv-SE"/>
        </w:rPr>
        <w:t>Yftach</w:t>
      </w:r>
      <w:proofErr w:type="spellEnd"/>
      <w:r w:rsidR="002162C6" w:rsidRPr="00B81F2B">
        <w:rPr>
          <w:rFonts w:asciiTheme="minorBidi" w:hAnsiTheme="minorBidi"/>
          <w:lang w:val="sv-SE"/>
        </w:rPr>
        <w:t xml:space="preserve"> Gepner</w:t>
      </w:r>
      <w:r w:rsidR="002162C6" w:rsidRPr="00B81F2B">
        <w:rPr>
          <w:rFonts w:asciiTheme="minorBidi" w:hAnsiTheme="minorBidi"/>
          <w:vertAlign w:val="superscript"/>
          <w:lang w:val="sv-SE"/>
        </w:rPr>
        <w:t>7</w:t>
      </w:r>
      <w:r w:rsidR="002162C6" w:rsidRPr="00B81F2B">
        <w:rPr>
          <w:rFonts w:asciiTheme="minorBidi" w:hAnsiTheme="minorBidi"/>
          <w:lang w:val="sv-SE"/>
        </w:rPr>
        <w:t xml:space="preserve">, </w:t>
      </w:r>
      <w:proofErr w:type="spellStart"/>
      <w:r w:rsidR="002162C6" w:rsidRPr="00B81F2B">
        <w:rPr>
          <w:rFonts w:asciiTheme="minorBidi" w:hAnsiTheme="minorBidi"/>
          <w:lang w:val="sv-SE"/>
        </w:rPr>
        <w:t>Ilan</w:t>
      </w:r>
      <w:proofErr w:type="spellEnd"/>
      <w:r w:rsidR="002162C6" w:rsidRPr="00B81F2B">
        <w:rPr>
          <w:rFonts w:asciiTheme="minorBidi" w:hAnsiTheme="minorBidi"/>
          <w:lang w:val="sv-SE"/>
        </w:rPr>
        <w:t xml:space="preserve"> Shelef</w:t>
      </w:r>
      <w:r w:rsidR="002162C6" w:rsidRPr="00B81F2B">
        <w:rPr>
          <w:rFonts w:asciiTheme="minorBidi" w:hAnsiTheme="minorBidi"/>
          <w:vertAlign w:val="superscript"/>
          <w:lang w:val="sv-SE"/>
        </w:rPr>
        <w:t>8</w:t>
      </w:r>
      <w:r w:rsidR="002162C6" w:rsidRPr="00B81F2B">
        <w:rPr>
          <w:rFonts w:asciiTheme="minorBidi" w:hAnsiTheme="minorBidi"/>
          <w:lang w:val="sv-SE"/>
        </w:rPr>
        <w:t>, Dan Schwarzfuchs</w:t>
      </w:r>
      <w:r w:rsidR="001530A0" w:rsidRPr="00B81F2B">
        <w:rPr>
          <w:rFonts w:asciiTheme="minorBidi" w:hAnsiTheme="minorBidi"/>
          <w:vertAlign w:val="superscript"/>
          <w:lang w:val="sv-SE"/>
        </w:rPr>
        <w:t>8</w:t>
      </w:r>
      <w:r w:rsidR="002162C6" w:rsidRPr="00B81F2B">
        <w:rPr>
          <w:rFonts w:asciiTheme="minorBidi" w:hAnsiTheme="minorBidi"/>
          <w:lang w:val="sv-SE"/>
        </w:rPr>
        <w:t>,</w:t>
      </w:r>
      <w:r w:rsidR="00BD4485" w:rsidRPr="00B81F2B">
        <w:rPr>
          <w:rFonts w:asciiTheme="minorBidi" w:hAnsiTheme="minorBidi"/>
          <w:lang w:val="sv-SE"/>
        </w:rPr>
        <w:t xml:space="preserve"> </w:t>
      </w:r>
      <w:proofErr w:type="spellStart"/>
      <w:r w:rsidR="000C67AF" w:rsidRPr="00B81F2B">
        <w:rPr>
          <w:rFonts w:asciiTheme="minorBidi" w:hAnsiTheme="minorBidi"/>
          <w:lang w:val="sv-SE"/>
        </w:rPr>
        <w:t>Uta</w:t>
      </w:r>
      <w:proofErr w:type="spellEnd"/>
      <w:r w:rsidR="000C67AF" w:rsidRPr="00B81F2B">
        <w:rPr>
          <w:rFonts w:asciiTheme="minorBidi" w:hAnsiTheme="minorBidi"/>
          <w:lang w:val="sv-SE"/>
        </w:rPr>
        <w:t xml:space="preserve"> Ceglar</w:t>
      </w:r>
      <w:r w:rsidR="007F2151" w:rsidRPr="00B81F2B">
        <w:rPr>
          <w:rFonts w:asciiTheme="minorBidi" w:hAnsiTheme="minorBidi"/>
          <w:lang w:val="sv-SE"/>
        </w:rPr>
        <w:t>e</w:t>
      </w:r>
      <w:r w:rsidR="000C67AF" w:rsidRPr="00B81F2B">
        <w:rPr>
          <w:rFonts w:asciiTheme="minorBidi" w:hAnsiTheme="minorBidi"/>
          <w:lang w:val="sv-SE"/>
        </w:rPr>
        <w:t>k</w:t>
      </w:r>
      <w:r w:rsidR="001530A0" w:rsidRPr="00B81F2B">
        <w:rPr>
          <w:rFonts w:asciiTheme="minorBidi" w:hAnsiTheme="minorBidi"/>
          <w:vertAlign w:val="superscript"/>
          <w:lang w:val="sv-SE"/>
        </w:rPr>
        <w:t>9</w:t>
      </w:r>
      <w:r w:rsidR="000C67AF" w:rsidRPr="00B81F2B">
        <w:rPr>
          <w:rFonts w:asciiTheme="minorBidi" w:hAnsiTheme="minorBidi"/>
          <w:lang w:val="sv-SE"/>
        </w:rPr>
        <w:t xml:space="preserve">, </w:t>
      </w:r>
      <w:r w:rsidR="006D5182" w:rsidRPr="00B81F2B">
        <w:rPr>
          <w:rFonts w:asciiTheme="minorBidi" w:hAnsiTheme="minorBidi"/>
          <w:lang w:val="sv-SE"/>
        </w:rPr>
        <w:t>Peter Stadler</w:t>
      </w:r>
      <w:r w:rsidR="001530A0" w:rsidRPr="00B81F2B">
        <w:rPr>
          <w:rFonts w:asciiTheme="minorBidi" w:hAnsiTheme="minorBidi"/>
          <w:vertAlign w:val="superscript"/>
          <w:lang w:val="sv-SE"/>
        </w:rPr>
        <w:t>5,10,11,12,13,14,15</w:t>
      </w:r>
      <w:r w:rsidR="006D5182" w:rsidRPr="00B81F2B">
        <w:rPr>
          <w:rFonts w:asciiTheme="minorBidi" w:hAnsiTheme="minorBidi"/>
          <w:lang w:val="sv-SE"/>
        </w:rPr>
        <w:t>, Matthias Blüher</w:t>
      </w:r>
      <w:r w:rsidR="006D5182" w:rsidRPr="00B81F2B">
        <w:rPr>
          <w:rFonts w:asciiTheme="minorBidi" w:hAnsiTheme="minorBidi"/>
          <w:vertAlign w:val="superscript"/>
          <w:lang w:val="sv-SE"/>
        </w:rPr>
        <w:t>2,3</w:t>
      </w:r>
      <w:r w:rsidR="006D5182" w:rsidRPr="00B81F2B">
        <w:rPr>
          <w:rFonts w:asciiTheme="minorBidi" w:hAnsiTheme="minorBidi"/>
          <w:lang w:val="sv-SE"/>
        </w:rPr>
        <w:t xml:space="preserve">, </w:t>
      </w:r>
      <w:r w:rsidR="004D6CF4" w:rsidRPr="00B81F2B">
        <w:rPr>
          <w:rFonts w:asciiTheme="minorBidi" w:hAnsiTheme="minorBidi"/>
          <w:lang w:val="sv-SE"/>
        </w:rPr>
        <w:t>Michael Stumvoll</w:t>
      </w:r>
      <w:r w:rsidR="00620C5E" w:rsidRPr="00B81F2B">
        <w:rPr>
          <w:rFonts w:asciiTheme="minorBidi" w:hAnsiTheme="minorBidi"/>
          <w:vertAlign w:val="superscript"/>
          <w:lang w:val="sv-SE"/>
        </w:rPr>
        <w:t>2,3</w:t>
      </w:r>
      <w:r w:rsidR="001530A0" w:rsidRPr="00B81F2B">
        <w:rPr>
          <w:rFonts w:asciiTheme="minorBidi" w:hAnsiTheme="minorBidi"/>
          <w:vertAlign w:val="superscript"/>
          <w:lang w:val="sv-SE"/>
        </w:rPr>
        <w:t>,16</w:t>
      </w:r>
      <w:r w:rsidR="000C2C14" w:rsidRPr="00B81F2B">
        <w:rPr>
          <w:rFonts w:asciiTheme="minorBidi" w:hAnsiTheme="minorBidi"/>
          <w:lang w:val="sv-SE"/>
        </w:rPr>
        <w:t xml:space="preserve">, </w:t>
      </w:r>
      <w:r w:rsidRPr="00B81F2B">
        <w:rPr>
          <w:rFonts w:asciiTheme="minorBidi" w:hAnsiTheme="minorBidi"/>
          <w:lang w:val="sv-SE"/>
        </w:rPr>
        <w:t>Peter Kovacs</w:t>
      </w:r>
      <w:r w:rsidRPr="00B81F2B">
        <w:rPr>
          <w:rFonts w:asciiTheme="minorBidi" w:hAnsiTheme="minorBidi"/>
          <w:vertAlign w:val="superscript"/>
          <w:lang w:val="sv-SE"/>
        </w:rPr>
        <w:t>3#</w:t>
      </w:r>
      <w:r w:rsidRPr="00B81F2B">
        <w:rPr>
          <w:rFonts w:asciiTheme="minorBidi" w:hAnsiTheme="minorBidi"/>
          <w:lang w:val="sv-SE"/>
        </w:rPr>
        <w:t>, Iris Shai</w:t>
      </w:r>
      <w:r w:rsidRPr="00B81F2B">
        <w:rPr>
          <w:rFonts w:asciiTheme="minorBidi" w:hAnsiTheme="minorBidi"/>
          <w:vertAlign w:val="superscript"/>
          <w:lang w:val="sv-SE"/>
        </w:rPr>
        <w:t>1</w:t>
      </w:r>
      <w:r w:rsidR="00F0272B">
        <w:rPr>
          <w:rFonts w:asciiTheme="minorBidi" w:hAnsiTheme="minorBidi"/>
          <w:vertAlign w:val="superscript"/>
          <w:lang w:val="sv-SE"/>
        </w:rPr>
        <w:t>,17</w:t>
      </w:r>
      <w:r w:rsidR="000C2C14" w:rsidRPr="00B81F2B" w:rsidDel="000C2C14">
        <w:rPr>
          <w:rFonts w:asciiTheme="minorBidi" w:hAnsiTheme="minorBidi"/>
          <w:vertAlign w:val="superscript"/>
          <w:lang w:val="sv-SE"/>
        </w:rPr>
        <w:t xml:space="preserve"> </w:t>
      </w:r>
      <w:r w:rsidRPr="00B81F2B">
        <w:rPr>
          <w:rFonts w:asciiTheme="minorBidi" w:hAnsiTheme="minorBidi"/>
          <w:vertAlign w:val="superscript"/>
          <w:lang w:val="sv-SE"/>
        </w:rPr>
        <w:t>#</w:t>
      </w:r>
    </w:p>
    <w:p w14:paraId="57E8DE11" w14:textId="77777777" w:rsidR="00711112" w:rsidRPr="00B81F2B" w:rsidRDefault="00711112" w:rsidP="00711112">
      <w:pPr>
        <w:contextualSpacing/>
        <w:rPr>
          <w:rFonts w:asciiTheme="minorBidi" w:hAnsiTheme="minorBidi"/>
          <w:lang w:val="sv-SE"/>
        </w:rPr>
      </w:pPr>
    </w:p>
    <w:p w14:paraId="6EFE2454" w14:textId="77777777" w:rsidR="00412146" w:rsidRPr="00412146" w:rsidRDefault="00412146" w:rsidP="00412146">
      <w:pPr>
        <w:rPr>
          <w:rFonts w:asciiTheme="minorBidi" w:hAnsiTheme="minorBidi"/>
          <w:lang w:val="en-US"/>
        </w:rPr>
      </w:pPr>
      <w:r w:rsidRPr="00412146">
        <w:rPr>
          <w:rFonts w:asciiTheme="minorBidi" w:hAnsiTheme="minorBidi"/>
          <w:lang w:val="en-US"/>
        </w:rPr>
        <w:t>* authors contributed equally</w:t>
      </w:r>
    </w:p>
    <w:p w14:paraId="444818F1" w14:textId="7FEAD519" w:rsidR="00412146" w:rsidRPr="00412146" w:rsidRDefault="00412146" w:rsidP="00412146">
      <w:pPr>
        <w:rPr>
          <w:rFonts w:asciiTheme="minorBidi" w:hAnsiTheme="minorBidi"/>
          <w:lang w:val="en-US"/>
        </w:rPr>
      </w:pPr>
      <w:r w:rsidRPr="00412146">
        <w:rPr>
          <w:rFonts w:asciiTheme="minorBidi" w:eastAsia="Arial" w:hAnsiTheme="minorBidi"/>
          <w:lang w:val="en-US"/>
        </w:rPr>
        <w:t>#Corresponding authors</w:t>
      </w:r>
    </w:p>
    <w:p w14:paraId="4C15AC2B" w14:textId="77777777" w:rsidR="00711112" w:rsidRPr="00B81F2B" w:rsidRDefault="00711112" w:rsidP="00711112">
      <w:pPr>
        <w:contextualSpacing/>
        <w:rPr>
          <w:rFonts w:asciiTheme="minorBidi" w:hAnsiTheme="minorBidi"/>
          <w:lang w:val="en-US"/>
        </w:rPr>
      </w:pPr>
    </w:p>
    <w:bookmarkEnd w:id="1"/>
    <w:p w14:paraId="56FB2DD9" w14:textId="77777777" w:rsidR="007820B1" w:rsidRPr="00B81F2B" w:rsidRDefault="007820B1"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Faculty of Health Sciences, Ben-Gurion University of the Negev, 84105 Beer-Sheva, Israel </w:t>
      </w:r>
    </w:p>
    <w:p w14:paraId="7D1AD26B" w14:textId="7C5CEF40" w:rsidR="006D5182" w:rsidRPr="00B81F2B" w:rsidRDefault="006D5182"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Helmholtz Institute for Metabolic, Obesity and Vascular Research (HI-MAG) of the Helmholtz Center Munich at the University of Leipzig and University Hospital Leipzig, Leipzig, </w:t>
      </w:r>
      <w:r w:rsidR="00C6586B">
        <w:rPr>
          <w:rFonts w:asciiTheme="minorBidi" w:hAnsiTheme="minorBidi" w:cstheme="minorBidi"/>
        </w:rPr>
        <w:t xml:space="preserve">04103, </w:t>
      </w:r>
      <w:r w:rsidRPr="00B81F2B">
        <w:rPr>
          <w:rFonts w:asciiTheme="minorBidi" w:hAnsiTheme="minorBidi" w:cstheme="minorBidi"/>
        </w:rPr>
        <w:t>Germany</w:t>
      </w:r>
    </w:p>
    <w:p w14:paraId="090744FE" w14:textId="77777777" w:rsidR="007820B1" w:rsidRPr="00B81F2B" w:rsidRDefault="007820B1"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Medical Department III – Endocrinology, Nephrology, Rheumatology, University of Leipzig Medical Center, Leipzig 04103, Germany </w:t>
      </w:r>
    </w:p>
    <w:p w14:paraId="76EE69F6" w14:textId="25C7E8BD" w:rsidR="007820B1" w:rsidRPr="00B81F2B" w:rsidRDefault="007820B1"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Interdisciplinary Center for Bioinformatics, University of Leipzig, Leipzig, </w:t>
      </w:r>
      <w:r w:rsidR="007F7EFC" w:rsidRPr="00B81F2B">
        <w:rPr>
          <w:rFonts w:asciiTheme="minorBidi" w:hAnsiTheme="minorBidi" w:cstheme="minorBidi"/>
        </w:rPr>
        <w:t>04107</w:t>
      </w:r>
      <w:r w:rsidR="007F7EFC">
        <w:rPr>
          <w:rFonts w:asciiTheme="minorBidi" w:hAnsiTheme="minorBidi" w:cstheme="minorBidi"/>
        </w:rPr>
        <w:t xml:space="preserve">, </w:t>
      </w:r>
      <w:r w:rsidRPr="00B81F2B">
        <w:rPr>
          <w:rFonts w:asciiTheme="minorBidi" w:hAnsiTheme="minorBidi" w:cstheme="minorBidi"/>
        </w:rPr>
        <w:t xml:space="preserve">Germany. </w:t>
      </w:r>
    </w:p>
    <w:p w14:paraId="3363EA38" w14:textId="77777777" w:rsidR="007820B1" w:rsidRPr="00B81F2B" w:rsidRDefault="007820B1"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Bioinformatics Group, Department of Computer Science, University of Leipzig, 04107 Leipzig, Germany. </w:t>
      </w:r>
    </w:p>
    <w:p w14:paraId="1B1D36E5" w14:textId="77777777" w:rsidR="00D7366E" w:rsidRPr="00B81F2B" w:rsidRDefault="007820B1"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Transcriptome Bioinformatics, LIFE Research Center for Civilization Diseases, University of Leipzig, 04107 Leipzig, Germany </w:t>
      </w:r>
    </w:p>
    <w:p w14:paraId="4ACFACC8" w14:textId="01341C6A" w:rsidR="00280A6C" w:rsidRPr="00B81F2B" w:rsidRDefault="001530A0"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 xml:space="preserve">Department of Epidemiology and Preventive Medicine, School of Public Health, Sackler Faculty of Medicine and Sylvan Adams Sports Institute, Tel Aviv University, </w:t>
      </w:r>
      <w:r w:rsidR="00605078">
        <w:rPr>
          <w:rFonts w:asciiTheme="minorBidi" w:hAnsiTheme="minorBidi" w:cstheme="minorBidi"/>
        </w:rPr>
        <w:t xml:space="preserve">6997801, </w:t>
      </w:r>
      <w:r w:rsidRPr="00B81F2B">
        <w:rPr>
          <w:rFonts w:asciiTheme="minorBidi" w:hAnsiTheme="minorBidi" w:cstheme="minorBidi"/>
        </w:rPr>
        <w:t>Israel</w:t>
      </w:r>
    </w:p>
    <w:p w14:paraId="1C245A56" w14:textId="6D7C8E3E" w:rsidR="001530A0" w:rsidRPr="00B81F2B" w:rsidRDefault="001530A0" w:rsidP="00711112">
      <w:pPr>
        <w:pStyle w:val="ListParagraph"/>
        <w:numPr>
          <w:ilvl w:val="0"/>
          <w:numId w:val="4"/>
        </w:numPr>
        <w:bidi w:val="0"/>
        <w:spacing w:after="200" w:line="240" w:lineRule="auto"/>
        <w:rPr>
          <w:rFonts w:asciiTheme="minorBidi" w:hAnsiTheme="minorBidi" w:cstheme="minorBidi"/>
        </w:rPr>
      </w:pPr>
      <w:proofErr w:type="spellStart"/>
      <w:r w:rsidRPr="00B81F2B">
        <w:rPr>
          <w:rFonts w:asciiTheme="minorBidi" w:hAnsiTheme="minorBidi" w:cstheme="minorBidi"/>
        </w:rPr>
        <w:t>Soroka</w:t>
      </w:r>
      <w:proofErr w:type="spellEnd"/>
      <w:r w:rsidRPr="00B81F2B">
        <w:rPr>
          <w:rFonts w:asciiTheme="minorBidi" w:hAnsiTheme="minorBidi" w:cstheme="minorBidi"/>
        </w:rPr>
        <w:t xml:space="preserve"> University Medical Center, Beer-Sheva, </w:t>
      </w:r>
      <w:r w:rsidR="00C016B5">
        <w:rPr>
          <w:rFonts w:asciiTheme="minorBidi" w:hAnsiTheme="minorBidi" w:cstheme="minorBidi" w:hint="cs"/>
          <w:rtl/>
        </w:rPr>
        <w:t>84010</w:t>
      </w:r>
      <w:r w:rsidR="00C016B5">
        <w:rPr>
          <w:rFonts w:asciiTheme="minorBidi" w:hAnsiTheme="minorBidi" w:cstheme="minorBidi"/>
        </w:rPr>
        <w:t xml:space="preserve">, </w:t>
      </w:r>
      <w:r w:rsidRPr="00B81F2B">
        <w:rPr>
          <w:rFonts w:asciiTheme="minorBidi" w:hAnsiTheme="minorBidi" w:cstheme="minorBidi"/>
        </w:rPr>
        <w:t>Israel</w:t>
      </w:r>
    </w:p>
    <w:p w14:paraId="39AA5B60" w14:textId="0DBE3ABF" w:rsidR="001530A0" w:rsidRPr="00B81F2B" w:rsidRDefault="001530A0" w:rsidP="00711112">
      <w:pPr>
        <w:pStyle w:val="ListParagraph"/>
        <w:numPr>
          <w:ilvl w:val="0"/>
          <w:numId w:val="4"/>
        </w:numPr>
        <w:bidi w:val="0"/>
        <w:spacing w:line="240" w:lineRule="auto"/>
        <w:rPr>
          <w:rFonts w:asciiTheme="minorBidi" w:hAnsiTheme="minorBidi" w:cstheme="minorBidi"/>
          <w:shd w:val="clear" w:color="auto" w:fill="FFFFFF"/>
        </w:rPr>
      </w:pPr>
      <w:r w:rsidRPr="00B81F2B">
        <w:rPr>
          <w:rFonts w:asciiTheme="minorBidi" w:hAnsiTheme="minorBidi" w:cstheme="minorBidi"/>
          <w:shd w:val="clear" w:color="auto" w:fill="FFFFFF"/>
        </w:rPr>
        <w:t>Institute for Laboratory Medicine, University of Leipzig Medical Center,</w:t>
      </w:r>
      <w:r w:rsidR="00984FDB">
        <w:rPr>
          <w:rFonts w:asciiTheme="minorBidi" w:hAnsiTheme="minorBidi" w:cstheme="minorBidi"/>
          <w:shd w:val="clear" w:color="auto" w:fill="FFFFFF"/>
        </w:rPr>
        <w:t xml:space="preserve"> 04103, </w:t>
      </w:r>
      <w:r w:rsidRPr="00B81F2B">
        <w:rPr>
          <w:rFonts w:asciiTheme="minorBidi" w:hAnsiTheme="minorBidi" w:cstheme="minorBidi"/>
          <w:shd w:val="clear" w:color="auto" w:fill="FFFFFF"/>
        </w:rPr>
        <w:t>Germany</w:t>
      </w:r>
    </w:p>
    <w:p w14:paraId="57804C50" w14:textId="77777777" w:rsidR="001530A0" w:rsidRPr="00B81F2B" w:rsidRDefault="001530A0" w:rsidP="00711112">
      <w:pPr>
        <w:pStyle w:val="ListParagraph"/>
        <w:numPr>
          <w:ilvl w:val="0"/>
          <w:numId w:val="4"/>
        </w:numPr>
        <w:bidi w:val="0"/>
        <w:spacing w:after="200" w:line="240" w:lineRule="auto"/>
        <w:rPr>
          <w:rFonts w:asciiTheme="minorBidi" w:hAnsiTheme="minorBidi" w:cstheme="minorBidi"/>
        </w:rPr>
      </w:pPr>
      <w:r w:rsidRPr="00B81F2B">
        <w:rPr>
          <w:rFonts w:asciiTheme="minorBidi" w:hAnsiTheme="minorBidi" w:cstheme="minorBidi"/>
        </w:rPr>
        <w:t>Competence Center for Scalable Data Services and Solutions Dresden/Leipzig, German Centre for Integrative Biodiversity Research (</w:t>
      </w:r>
      <w:proofErr w:type="spellStart"/>
      <w:r w:rsidRPr="00B81F2B">
        <w:rPr>
          <w:rFonts w:asciiTheme="minorBidi" w:hAnsiTheme="minorBidi" w:cstheme="minorBidi"/>
        </w:rPr>
        <w:t>iDiv</w:t>
      </w:r>
      <w:proofErr w:type="spellEnd"/>
      <w:r w:rsidRPr="00B81F2B">
        <w:rPr>
          <w:rFonts w:asciiTheme="minorBidi" w:hAnsiTheme="minorBidi" w:cstheme="minorBidi"/>
        </w:rPr>
        <w:t>), and Leipzig Research Center for Civilization Diseases, University of Leipzig, 04109 Leipzig, Germany</w:t>
      </w:r>
    </w:p>
    <w:p w14:paraId="6FFC7C1D" w14:textId="77777777" w:rsidR="001530A0" w:rsidRPr="00B81F2B" w:rsidRDefault="001530A0" w:rsidP="00711112">
      <w:pPr>
        <w:pStyle w:val="ListParagraph"/>
        <w:numPr>
          <w:ilvl w:val="0"/>
          <w:numId w:val="4"/>
        </w:numPr>
        <w:bidi w:val="0"/>
        <w:spacing w:line="240" w:lineRule="auto"/>
        <w:rPr>
          <w:rFonts w:asciiTheme="minorBidi" w:hAnsiTheme="minorBidi" w:cstheme="minorBidi"/>
        </w:rPr>
      </w:pPr>
      <w:r w:rsidRPr="00B81F2B">
        <w:rPr>
          <w:rFonts w:asciiTheme="minorBidi" w:hAnsiTheme="minorBidi" w:cstheme="minorBidi"/>
        </w:rPr>
        <w:t>Max Planck Institute for Mathematics in the Sciences, 04103 Leipzig, Germany</w:t>
      </w:r>
    </w:p>
    <w:p w14:paraId="443269AF" w14:textId="77777777" w:rsidR="001530A0" w:rsidRPr="00B81F2B" w:rsidRDefault="001530A0" w:rsidP="00711112">
      <w:pPr>
        <w:pStyle w:val="ListParagraph"/>
        <w:numPr>
          <w:ilvl w:val="0"/>
          <w:numId w:val="4"/>
        </w:numPr>
        <w:bidi w:val="0"/>
        <w:spacing w:line="240" w:lineRule="auto"/>
        <w:rPr>
          <w:rFonts w:asciiTheme="minorBidi" w:hAnsiTheme="minorBidi" w:cstheme="minorBidi"/>
        </w:rPr>
      </w:pPr>
      <w:r w:rsidRPr="00B81F2B">
        <w:rPr>
          <w:rFonts w:asciiTheme="minorBidi" w:hAnsiTheme="minorBidi" w:cstheme="minorBidi"/>
        </w:rPr>
        <w:t>Fraunhofer Institute for Cell Therapy and Immunology, 04103 Leipzig, Germany</w:t>
      </w:r>
    </w:p>
    <w:p w14:paraId="5D0D2FDF" w14:textId="77777777" w:rsidR="001530A0" w:rsidRPr="00B81F2B" w:rsidRDefault="001530A0" w:rsidP="00711112">
      <w:pPr>
        <w:pStyle w:val="ListParagraph"/>
        <w:numPr>
          <w:ilvl w:val="0"/>
          <w:numId w:val="4"/>
        </w:numPr>
        <w:bidi w:val="0"/>
        <w:spacing w:line="240" w:lineRule="auto"/>
        <w:rPr>
          <w:rFonts w:asciiTheme="minorBidi" w:hAnsiTheme="minorBidi" w:cstheme="minorBidi"/>
        </w:rPr>
      </w:pPr>
      <w:r w:rsidRPr="00B81F2B">
        <w:rPr>
          <w:rFonts w:asciiTheme="minorBidi" w:hAnsiTheme="minorBidi" w:cstheme="minorBidi"/>
        </w:rPr>
        <w:t>Department of Theoretical Chemistry, University of Vienna, 1090 Vienna, Austria</w:t>
      </w:r>
    </w:p>
    <w:p w14:paraId="5DF25AEC" w14:textId="77777777" w:rsidR="001530A0" w:rsidRPr="00B81F2B" w:rsidRDefault="001530A0" w:rsidP="00711112">
      <w:pPr>
        <w:pStyle w:val="ListParagraph"/>
        <w:numPr>
          <w:ilvl w:val="0"/>
          <w:numId w:val="4"/>
        </w:numPr>
        <w:bidi w:val="0"/>
        <w:spacing w:line="240" w:lineRule="auto"/>
        <w:rPr>
          <w:rFonts w:asciiTheme="minorBidi" w:hAnsiTheme="minorBidi" w:cstheme="minorBidi"/>
        </w:rPr>
      </w:pPr>
      <w:r w:rsidRPr="00B81F2B">
        <w:rPr>
          <w:rFonts w:asciiTheme="minorBidi" w:hAnsiTheme="minorBidi" w:cstheme="minorBidi"/>
        </w:rPr>
        <w:t>Center for RNA in Technology and Health, University of Copenhagen, 1871 Frederiksberg, Denmark</w:t>
      </w:r>
    </w:p>
    <w:p w14:paraId="3596F291" w14:textId="77777777" w:rsidR="001530A0" w:rsidRPr="00ED4576" w:rsidRDefault="001530A0" w:rsidP="00711112">
      <w:pPr>
        <w:pStyle w:val="ListParagraph"/>
        <w:numPr>
          <w:ilvl w:val="0"/>
          <w:numId w:val="4"/>
        </w:numPr>
        <w:bidi w:val="0"/>
        <w:spacing w:line="240" w:lineRule="auto"/>
        <w:rPr>
          <w:rFonts w:ascii="Arial" w:hAnsi="Arial" w:cs="Arial"/>
        </w:rPr>
      </w:pPr>
      <w:r w:rsidRPr="00ED4576">
        <w:rPr>
          <w:rFonts w:ascii="Arial" w:hAnsi="Arial" w:cs="Arial"/>
          <w:lang w:val="sv-SE"/>
        </w:rPr>
        <w:t xml:space="preserve">Santa Fe </w:t>
      </w:r>
      <w:proofErr w:type="spellStart"/>
      <w:r w:rsidRPr="00ED4576">
        <w:rPr>
          <w:rFonts w:ascii="Arial" w:hAnsi="Arial" w:cs="Arial"/>
          <w:lang w:val="sv-SE"/>
        </w:rPr>
        <w:t>Institute</w:t>
      </w:r>
      <w:proofErr w:type="spellEnd"/>
      <w:r w:rsidRPr="00ED4576">
        <w:rPr>
          <w:rFonts w:ascii="Arial" w:hAnsi="Arial" w:cs="Arial"/>
          <w:lang w:val="sv-SE"/>
        </w:rPr>
        <w:t>, Santa Fe NM 87501, USA</w:t>
      </w:r>
    </w:p>
    <w:p w14:paraId="3C893BE1" w14:textId="51438BD6" w:rsidR="002F6194" w:rsidRPr="00ED4576" w:rsidRDefault="002D336C" w:rsidP="00711112">
      <w:pPr>
        <w:pStyle w:val="ListParagraph"/>
        <w:numPr>
          <w:ilvl w:val="0"/>
          <w:numId w:val="4"/>
        </w:numPr>
        <w:bidi w:val="0"/>
        <w:spacing w:line="240" w:lineRule="auto"/>
        <w:rPr>
          <w:rFonts w:ascii="Arial" w:hAnsi="Arial" w:cs="Arial"/>
          <w:lang w:val="de-DE"/>
        </w:rPr>
      </w:pPr>
      <w:r w:rsidRPr="00ED4576">
        <w:rPr>
          <w:rFonts w:ascii="Arial" w:hAnsi="Arial" w:cs="Arial"/>
          <w:lang w:val="de-DE"/>
        </w:rPr>
        <w:t xml:space="preserve">Deutsches Zentrum für Diabetesforschung, Neuherberg, </w:t>
      </w:r>
      <w:r w:rsidR="00984FDB">
        <w:rPr>
          <w:rFonts w:ascii="Arial" w:hAnsi="Arial" w:cs="Arial"/>
          <w:lang w:val="de-DE"/>
        </w:rPr>
        <w:t xml:space="preserve">85764, </w:t>
      </w:r>
      <w:r w:rsidRPr="00ED4576">
        <w:rPr>
          <w:rFonts w:ascii="Arial" w:hAnsi="Arial" w:cs="Arial"/>
          <w:lang w:val="de-DE"/>
        </w:rPr>
        <w:t>Germany</w:t>
      </w:r>
    </w:p>
    <w:p w14:paraId="1E9C6AB4" w14:textId="626F9982" w:rsidR="00F0272B" w:rsidRPr="00ED4576" w:rsidRDefault="00F0272B" w:rsidP="00F0272B">
      <w:pPr>
        <w:pStyle w:val="ListParagraph"/>
        <w:numPr>
          <w:ilvl w:val="0"/>
          <w:numId w:val="4"/>
        </w:numPr>
        <w:bidi w:val="0"/>
        <w:spacing w:line="240" w:lineRule="auto"/>
        <w:rPr>
          <w:rFonts w:ascii="Arial" w:hAnsi="Arial" w:cs="Arial"/>
        </w:rPr>
      </w:pPr>
      <w:r w:rsidRPr="00ED4576">
        <w:rPr>
          <w:rFonts w:ascii="Arial" w:hAnsi="Arial" w:cs="Arial"/>
        </w:rPr>
        <w:t xml:space="preserve">Department of Nutrition, Harvard T.H. Chan School of Public Health, Boston, MA, </w:t>
      </w:r>
      <w:r w:rsidR="00984FDB">
        <w:rPr>
          <w:rFonts w:ascii="Arial" w:hAnsi="Arial" w:cs="Arial"/>
        </w:rPr>
        <w:t xml:space="preserve">02115, </w:t>
      </w:r>
      <w:r w:rsidRPr="00ED4576">
        <w:rPr>
          <w:rFonts w:ascii="Arial" w:hAnsi="Arial" w:cs="Arial"/>
        </w:rPr>
        <w:t>USA</w:t>
      </w:r>
    </w:p>
    <w:p w14:paraId="2534DE65" w14:textId="61956196" w:rsidR="00C10708" w:rsidRDefault="00C10708" w:rsidP="00F01535">
      <w:pPr>
        <w:pStyle w:val="DissnormText"/>
        <w:spacing w:line="276" w:lineRule="auto"/>
        <w:contextualSpacing/>
        <w:rPr>
          <w:rFonts w:asciiTheme="minorBidi" w:hAnsiTheme="minorBidi" w:cstheme="minorBidi"/>
          <w:sz w:val="24"/>
        </w:rPr>
      </w:pPr>
    </w:p>
    <w:p w14:paraId="3ACD954E" w14:textId="77777777" w:rsidR="009A5A42" w:rsidRPr="00ED4576" w:rsidRDefault="009A5A42" w:rsidP="00F01535">
      <w:pPr>
        <w:pStyle w:val="DissnormText"/>
        <w:spacing w:line="276" w:lineRule="auto"/>
        <w:contextualSpacing/>
        <w:rPr>
          <w:rFonts w:asciiTheme="minorBidi" w:hAnsiTheme="minorBidi" w:cstheme="minorBidi"/>
          <w:sz w:val="24"/>
        </w:rPr>
      </w:pPr>
    </w:p>
    <w:p w14:paraId="235B1E69" w14:textId="4BF99A14" w:rsidR="00B605F6" w:rsidRPr="00B605F6" w:rsidRDefault="00C10708" w:rsidP="00B605F6">
      <w:pPr>
        <w:pStyle w:val="DissnormText"/>
        <w:spacing w:line="480" w:lineRule="auto"/>
        <w:contextualSpacing/>
        <w:rPr>
          <w:rFonts w:asciiTheme="minorBidi" w:hAnsiTheme="minorBidi" w:cstheme="minorBidi"/>
          <w:sz w:val="24"/>
          <w:lang w:val="en-US"/>
        </w:rPr>
      </w:pPr>
      <w:r w:rsidRPr="00B81F2B">
        <w:rPr>
          <w:rFonts w:asciiTheme="minorBidi" w:hAnsiTheme="minorBidi" w:cstheme="minorBidi"/>
          <w:b/>
          <w:bCs/>
          <w:sz w:val="24"/>
          <w:lang w:val="en-US"/>
        </w:rPr>
        <w:lastRenderedPageBreak/>
        <w:t xml:space="preserve">Correspondence: </w:t>
      </w:r>
    </w:p>
    <w:p w14:paraId="6540C465" w14:textId="77777777" w:rsidR="00C10708" w:rsidRPr="00B81F2B" w:rsidRDefault="00C10708" w:rsidP="009C6312">
      <w:pPr>
        <w:pStyle w:val="DissnormText"/>
        <w:spacing w:after="0" w:line="480" w:lineRule="auto"/>
        <w:contextualSpacing/>
        <w:rPr>
          <w:rFonts w:asciiTheme="minorBidi" w:eastAsia="Arial" w:hAnsiTheme="minorBidi" w:cstheme="minorBidi"/>
          <w:bCs/>
          <w:sz w:val="24"/>
          <w:lang w:val="en-US"/>
        </w:rPr>
      </w:pPr>
      <w:r w:rsidRPr="00B81F2B">
        <w:rPr>
          <w:rFonts w:asciiTheme="minorBidi" w:eastAsia="Arial" w:hAnsiTheme="minorBidi" w:cstheme="minorBidi"/>
          <w:bCs/>
          <w:sz w:val="24"/>
          <w:lang w:val="en-US"/>
        </w:rPr>
        <w:t>Prof. Dr. Peter Kovacs</w:t>
      </w:r>
    </w:p>
    <w:p w14:paraId="00BB48E3" w14:textId="22D08ACB" w:rsidR="00C10708" w:rsidRPr="00B81F2B" w:rsidRDefault="0012577E" w:rsidP="009C6312">
      <w:pPr>
        <w:pStyle w:val="DissnormText"/>
        <w:spacing w:after="0" w:line="480" w:lineRule="auto"/>
        <w:contextualSpacing/>
        <w:rPr>
          <w:rFonts w:asciiTheme="minorBidi" w:eastAsia="Arial" w:hAnsiTheme="minorBidi" w:cstheme="minorBidi"/>
          <w:sz w:val="24"/>
          <w:lang w:val="en-US"/>
        </w:rPr>
      </w:pPr>
      <w:r w:rsidRPr="00ED4576">
        <w:rPr>
          <w:rFonts w:asciiTheme="minorBidi" w:hAnsiTheme="minorBidi" w:cstheme="minorBidi"/>
          <w:sz w:val="24"/>
        </w:rPr>
        <w:t xml:space="preserve">Medical Department III – Endocrinology, Nephrology, Rheumatology, University of Leipzig Medical </w:t>
      </w:r>
      <w:proofErr w:type="spellStart"/>
      <w:r w:rsidRPr="00ED4576">
        <w:rPr>
          <w:rFonts w:asciiTheme="minorBidi" w:hAnsiTheme="minorBidi" w:cstheme="minorBidi"/>
          <w:sz w:val="24"/>
        </w:rPr>
        <w:t>Center</w:t>
      </w:r>
      <w:proofErr w:type="spellEnd"/>
      <w:r w:rsidR="00C10708" w:rsidRPr="0012577E">
        <w:rPr>
          <w:rFonts w:asciiTheme="minorBidi" w:eastAsia="Arial" w:hAnsiTheme="minorBidi" w:cstheme="minorBidi"/>
          <w:sz w:val="24"/>
          <w:lang w:val="en-US"/>
        </w:rPr>
        <w:t xml:space="preserve">, </w:t>
      </w:r>
      <w:proofErr w:type="spellStart"/>
      <w:r w:rsidR="00C10708" w:rsidRPr="0012577E">
        <w:rPr>
          <w:rFonts w:asciiTheme="minorBidi" w:eastAsia="Arial" w:hAnsiTheme="minorBidi" w:cstheme="minorBidi"/>
          <w:sz w:val="24"/>
          <w:lang w:val="en-US"/>
        </w:rPr>
        <w:t>Liebigstrasse</w:t>
      </w:r>
      <w:proofErr w:type="spellEnd"/>
      <w:r w:rsidR="00C10708" w:rsidRPr="0012577E">
        <w:rPr>
          <w:rFonts w:asciiTheme="minorBidi" w:eastAsia="Arial" w:hAnsiTheme="minorBidi" w:cstheme="minorBidi"/>
          <w:sz w:val="24"/>
          <w:lang w:val="en-US"/>
        </w:rPr>
        <w:t xml:space="preserve"> 19-21, D-</w:t>
      </w:r>
      <w:r w:rsidR="00C10708" w:rsidRPr="00B81F2B">
        <w:rPr>
          <w:rFonts w:asciiTheme="minorBidi" w:eastAsia="Arial" w:hAnsiTheme="minorBidi" w:cstheme="minorBidi"/>
          <w:sz w:val="24"/>
          <w:lang w:val="en-US"/>
        </w:rPr>
        <w:t>04103 Leipzig, Germany.</w:t>
      </w:r>
    </w:p>
    <w:p w14:paraId="2BE7D90C" w14:textId="77777777" w:rsidR="00C10708" w:rsidRPr="00B81F2B" w:rsidRDefault="00C10708" w:rsidP="009C6312">
      <w:pPr>
        <w:pStyle w:val="DissnormText"/>
        <w:spacing w:after="0" w:line="480" w:lineRule="auto"/>
        <w:contextualSpacing/>
        <w:rPr>
          <w:rFonts w:asciiTheme="minorBidi" w:eastAsia="Arial" w:hAnsiTheme="minorBidi" w:cstheme="minorBidi"/>
          <w:sz w:val="24"/>
          <w:lang w:val="de-DE"/>
        </w:rPr>
      </w:pPr>
      <w:r w:rsidRPr="00B81F2B">
        <w:rPr>
          <w:rFonts w:asciiTheme="minorBidi" w:eastAsia="Arial" w:hAnsiTheme="minorBidi" w:cstheme="minorBidi"/>
          <w:sz w:val="24"/>
          <w:lang w:val="de-DE"/>
        </w:rPr>
        <w:t>Tel: +49 3419715892</w:t>
      </w:r>
    </w:p>
    <w:p w14:paraId="787E7E1E" w14:textId="77777777" w:rsidR="00C10708" w:rsidRPr="00B81F2B" w:rsidRDefault="00C10708" w:rsidP="009C6312">
      <w:pPr>
        <w:pStyle w:val="DissnormText"/>
        <w:spacing w:line="480" w:lineRule="auto"/>
        <w:contextualSpacing/>
        <w:rPr>
          <w:rFonts w:asciiTheme="minorBidi" w:eastAsia="Arial" w:hAnsiTheme="minorBidi" w:cstheme="minorBidi"/>
          <w:sz w:val="24"/>
          <w:lang w:val="de-DE"/>
        </w:rPr>
      </w:pPr>
      <w:r w:rsidRPr="00B81F2B">
        <w:rPr>
          <w:rFonts w:asciiTheme="minorBidi" w:eastAsia="Arial" w:hAnsiTheme="minorBidi" w:cstheme="minorBidi"/>
          <w:sz w:val="24"/>
          <w:lang w:val="de-DE"/>
        </w:rPr>
        <w:t>E-Mail</w:t>
      </w:r>
      <w:r w:rsidRPr="00B81F2B">
        <w:rPr>
          <w:rFonts w:asciiTheme="minorBidi" w:hAnsiTheme="minorBidi" w:cstheme="minorBidi"/>
          <w:sz w:val="24"/>
          <w:lang w:val="de-DE"/>
        </w:rPr>
        <w:t xml:space="preserve">: </w:t>
      </w:r>
      <w:r w:rsidRPr="00B81F2B">
        <w:rPr>
          <w:rFonts w:asciiTheme="minorBidi" w:eastAsia="Arial" w:hAnsiTheme="minorBidi" w:cstheme="minorBidi"/>
          <w:sz w:val="24"/>
          <w:lang w:val="de-DE"/>
        </w:rPr>
        <w:t>peter.kovacs@medizin.uni-leipzig.de</w:t>
      </w:r>
    </w:p>
    <w:p w14:paraId="27B94BA9" w14:textId="77777777" w:rsidR="00C10708" w:rsidRPr="00B81F2B" w:rsidRDefault="00C10708" w:rsidP="009C6312">
      <w:pPr>
        <w:pStyle w:val="DissnormText"/>
        <w:spacing w:line="480" w:lineRule="auto"/>
        <w:contextualSpacing/>
        <w:rPr>
          <w:rFonts w:asciiTheme="minorBidi" w:hAnsiTheme="minorBidi" w:cstheme="minorBidi"/>
          <w:bCs/>
          <w:sz w:val="24"/>
          <w:lang w:val="en-US"/>
        </w:rPr>
      </w:pPr>
      <w:r w:rsidRPr="00B81F2B">
        <w:rPr>
          <w:rFonts w:asciiTheme="minorBidi" w:eastAsia="Arial" w:hAnsiTheme="minorBidi" w:cstheme="minorBidi"/>
          <w:bCs/>
          <w:sz w:val="24"/>
          <w:lang w:val="en-US"/>
        </w:rPr>
        <w:t xml:space="preserve">Prof. Dr. </w:t>
      </w:r>
      <w:r w:rsidRPr="00B81F2B">
        <w:rPr>
          <w:rFonts w:asciiTheme="minorBidi" w:hAnsiTheme="minorBidi" w:cstheme="minorBidi"/>
          <w:bCs/>
          <w:sz w:val="24"/>
          <w:lang w:val="en-US"/>
        </w:rPr>
        <w:t>Iris Shai</w:t>
      </w:r>
    </w:p>
    <w:p w14:paraId="0A984CEB" w14:textId="77777777" w:rsidR="00C10708" w:rsidRPr="00B81F2B" w:rsidRDefault="00C10708" w:rsidP="009C6312">
      <w:pPr>
        <w:pStyle w:val="DissnormText"/>
        <w:spacing w:line="480" w:lineRule="auto"/>
        <w:contextualSpacing/>
        <w:rPr>
          <w:rFonts w:asciiTheme="minorBidi" w:hAnsiTheme="minorBidi" w:cstheme="minorBidi"/>
          <w:sz w:val="24"/>
          <w:lang w:val="en-US"/>
        </w:rPr>
      </w:pPr>
      <w:r w:rsidRPr="00B81F2B">
        <w:rPr>
          <w:rFonts w:asciiTheme="minorBidi" w:hAnsiTheme="minorBidi" w:cstheme="minorBidi"/>
          <w:sz w:val="24"/>
          <w:lang w:val="en-US"/>
        </w:rPr>
        <w:t xml:space="preserve">Ben-Gurion University of the Negev, Faculty of Health Sciences, Department of Public Health, </w:t>
      </w:r>
      <w:proofErr w:type="spellStart"/>
      <w:r w:rsidRPr="00B81F2B">
        <w:rPr>
          <w:rFonts w:asciiTheme="minorBidi" w:hAnsiTheme="minorBidi" w:cstheme="minorBidi"/>
          <w:sz w:val="24"/>
          <w:lang w:val="en-US"/>
        </w:rPr>
        <w:t>P.O.Box</w:t>
      </w:r>
      <w:proofErr w:type="spellEnd"/>
      <w:r w:rsidRPr="00B81F2B">
        <w:rPr>
          <w:rFonts w:asciiTheme="minorBidi" w:hAnsiTheme="minorBidi" w:cstheme="minorBidi"/>
          <w:sz w:val="24"/>
          <w:lang w:val="en-US"/>
        </w:rPr>
        <w:t xml:space="preserve"> 653, Beer Sheva 84105, Israel</w:t>
      </w:r>
    </w:p>
    <w:p w14:paraId="0FCB8188" w14:textId="77777777" w:rsidR="00C10708" w:rsidRPr="00B81F2B" w:rsidRDefault="00C10708" w:rsidP="009C6312">
      <w:pPr>
        <w:pStyle w:val="DissnormText"/>
        <w:spacing w:after="0" w:line="480" w:lineRule="auto"/>
        <w:contextualSpacing/>
        <w:rPr>
          <w:rFonts w:asciiTheme="minorBidi" w:eastAsia="Arial" w:hAnsiTheme="minorBidi" w:cstheme="minorBidi"/>
          <w:sz w:val="24"/>
          <w:lang w:val="de-DE"/>
        </w:rPr>
      </w:pPr>
      <w:r w:rsidRPr="00B81F2B">
        <w:rPr>
          <w:rFonts w:asciiTheme="minorBidi" w:eastAsia="Arial" w:hAnsiTheme="minorBidi" w:cstheme="minorBidi"/>
          <w:sz w:val="24"/>
          <w:lang w:val="de-DE"/>
        </w:rPr>
        <w:t>Tel: +972 8 52-5793040</w:t>
      </w:r>
    </w:p>
    <w:p w14:paraId="06B7C690" w14:textId="79900EF7" w:rsidR="00836DC5" w:rsidRPr="00C44C52" w:rsidRDefault="00C10708" w:rsidP="00836DC5">
      <w:pPr>
        <w:pStyle w:val="DissnormText"/>
        <w:spacing w:line="480" w:lineRule="auto"/>
        <w:contextualSpacing/>
        <w:rPr>
          <w:rFonts w:asciiTheme="minorBidi" w:hAnsiTheme="minorBidi" w:cstheme="minorBidi"/>
          <w:color w:val="0000FF"/>
          <w:sz w:val="24"/>
          <w:u w:val="single"/>
          <w:lang w:val="de-DE"/>
        </w:rPr>
      </w:pPr>
      <w:r w:rsidRPr="00B81F2B">
        <w:rPr>
          <w:rFonts w:asciiTheme="minorBidi" w:eastAsia="Arial" w:hAnsiTheme="minorBidi" w:cstheme="minorBidi"/>
          <w:sz w:val="24"/>
          <w:lang w:val="de-DE"/>
        </w:rPr>
        <w:t>E-Mail</w:t>
      </w:r>
      <w:r w:rsidRPr="00B81F2B">
        <w:rPr>
          <w:rFonts w:asciiTheme="minorBidi" w:hAnsiTheme="minorBidi" w:cstheme="minorBidi"/>
          <w:sz w:val="24"/>
          <w:lang w:val="de-DE"/>
        </w:rPr>
        <w:t xml:space="preserve">: </w:t>
      </w:r>
      <w:hyperlink r:id="rId8" w:history="1">
        <w:r w:rsidRPr="00B81F2B">
          <w:rPr>
            <w:rStyle w:val="Hyperlink"/>
            <w:rFonts w:asciiTheme="minorBidi" w:hAnsiTheme="minorBidi" w:cstheme="minorBidi"/>
            <w:sz w:val="24"/>
            <w:lang w:val="de-DE"/>
          </w:rPr>
          <w:t>irish@bgu.ac.il</w:t>
        </w:r>
      </w:hyperlink>
    </w:p>
    <w:p w14:paraId="232A5DF7" w14:textId="1FC2CC37" w:rsidR="00B605F6" w:rsidRDefault="00B605F6" w:rsidP="00633DD1">
      <w:pPr>
        <w:spacing w:line="480" w:lineRule="auto"/>
        <w:rPr>
          <w:rFonts w:asciiTheme="minorBidi" w:hAnsiTheme="minorBidi"/>
          <w:lang w:val="en-US"/>
        </w:rPr>
      </w:pPr>
      <w:r w:rsidRPr="00B605F6">
        <w:rPr>
          <w:rFonts w:asciiTheme="minorBidi" w:hAnsiTheme="minorBidi"/>
          <w:b/>
          <w:bCs/>
          <w:lang w:val="en-US"/>
        </w:rPr>
        <w:t>Word count</w:t>
      </w:r>
      <w:r w:rsidRPr="00F26C79">
        <w:rPr>
          <w:rFonts w:asciiTheme="minorBidi" w:hAnsiTheme="minorBidi"/>
          <w:lang w:val="en-US"/>
        </w:rPr>
        <w:t xml:space="preserve">: </w:t>
      </w:r>
      <w:r w:rsidR="00F26C79">
        <w:rPr>
          <w:rFonts w:asciiTheme="minorBidi" w:hAnsiTheme="minorBidi"/>
          <w:lang w:val="en-US"/>
        </w:rPr>
        <w:t>481</w:t>
      </w:r>
      <w:r w:rsidR="006E345C">
        <w:rPr>
          <w:rFonts w:asciiTheme="minorBidi" w:hAnsiTheme="minorBidi"/>
          <w:lang w:val="en-US"/>
        </w:rPr>
        <w:t>2</w:t>
      </w:r>
      <w:r w:rsidR="006D30BC" w:rsidRPr="00F26C79">
        <w:rPr>
          <w:rFonts w:asciiTheme="minorBidi" w:hAnsiTheme="minorBidi"/>
          <w:lang w:val="en-US"/>
        </w:rPr>
        <w:t xml:space="preserve"> (</w:t>
      </w:r>
      <w:r w:rsidR="00C31617" w:rsidRPr="00F26C79">
        <w:rPr>
          <w:rFonts w:asciiTheme="minorBidi" w:hAnsiTheme="minorBidi"/>
          <w:lang w:val="en-US"/>
        </w:rPr>
        <w:t>excluding references, figures and tables)</w:t>
      </w:r>
      <w:r w:rsidR="00C31617" w:rsidRPr="00C31617">
        <w:rPr>
          <w:rFonts w:asciiTheme="minorBidi" w:hAnsiTheme="minorBidi"/>
          <w:lang w:val="en-US"/>
        </w:rPr>
        <w:t xml:space="preserve"> </w:t>
      </w:r>
    </w:p>
    <w:p w14:paraId="48D26936" w14:textId="46D9B9F2" w:rsidR="00C31617" w:rsidRDefault="00C31617" w:rsidP="00633DD1">
      <w:pPr>
        <w:spacing w:line="480" w:lineRule="auto"/>
        <w:rPr>
          <w:rFonts w:asciiTheme="minorBidi" w:hAnsiTheme="minorBidi"/>
          <w:lang w:val="en-US"/>
        </w:rPr>
      </w:pPr>
      <w:r w:rsidRPr="00C31617">
        <w:rPr>
          <w:rFonts w:asciiTheme="minorBidi" w:hAnsiTheme="minorBidi"/>
          <w:b/>
          <w:bCs/>
          <w:lang w:val="en-US"/>
        </w:rPr>
        <w:t>Figures/Tables</w:t>
      </w:r>
      <w:r>
        <w:rPr>
          <w:rFonts w:asciiTheme="minorBidi" w:hAnsiTheme="minorBidi"/>
          <w:lang w:val="en-US"/>
        </w:rPr>
        <w:t xml:space="preserve">: </w:t>
      </w:r>
      <w:r w:rsidR="00F76A90">
        <w:rPr>
          <w:rFonts w:asciiTheme="minorBidi" w:hAnsiTheme="minorBidi"/>
          <w:lang w:val="en-US"/>
        </w:rPr>
        <w:t>4/3</w:t>
      </w:r>
    </w:p>
    <w:p w14:paraId="6E64B514" w14:textId="53FEB036" w:rsidR="00C31617" w:rsidRDefault="00C31617" w:rsidP="00633DD1">
      <w:pPr>
        <w:spacing w:line="480" w:lineRule="auto"/>
        <w:rPr>
          <w:rFonts w:asciiTheme="minorBidi" w:hAnsiTheme="minorBidi"/>
          <w:b/>
          <w:bCs/>
          <w:lang w:val="en-US"/>
        </w:rPr>
      </w:pPr>
      <w:r w:rsidRPr="00C31617">
        <w:rPr>
          <w:rFonts w:asciiTheme="minorBidi" w:hAnsiTheme="minorBidi"/>
          <w:b/>
          <w:bCs/>
          <w:lang w:val="en-US"/>
        </w:rPr>
        <w:t>Abbreviations</w:t>
      </w:r>
    </w:p>
    <w:p w14:paraId="6CBADBCC" w14:textId="0F211ED8" w:rsidR="00C31617" w:rsidRDefault="00565BA5" w:rsidP="00C31617">
      <w:pPr>
        <w:spacing w:line="480" w:lineRule="auto"/>
        <w:rPr>
          <w:rFonts w:asciiTheme="minorBidi" w:hAnsiTheme="minorBidi"/>
          <w:lang w:val="en-US"/>
        </w:rPr>
      </w:pPr>
      <w:r w:rsidRPr="00565BA5">
        <w:rPr>
          <w:rFonts w:asciiTheme="minorBidi" w:hAnsiTheme="minorBidi"/>
          <w:lang w:val="en-US"/>
        </w:rPr>
        <w:t xml:space="preserve">A2MP1, Alpha-2-Macroglobulin Pseudogene 1; ALT, alanine aminotransferase; AST, aspartate aminotransferase; </w:t>
      </w:r>
      <w:r w:rsidR="00831507">
        <w:rPr>
          <w:rFonts w:asciiTheme="minorBidi" w:hAnsiTheme="minorBidi"/>
          <w:lang w:val="en-US"/>
        </w:rPr>
        <w:t xml:space="preserve">AUC, area under the curve; </w:t>
      </w:r>
      <w:r w:rsidRPr="00565BA5">
        <w:rPr>
          <w:rFonts w:asciiTheme="minorBidi" w:hAnsiTheme="minorBidi"/>
          <w:lang w:val="en-US"/>
        </w:rPr>
        <w:t xml:space="preserve">BMI, body mass index; CDH2, Cadherin 2; CpG, </w:t>
      </w:r>
      <w:r w:rsidR="003B1B5B" w:rsidRPr="003B1B5B">
        <w:rPr>
          <w:rFonts w:asciiTheme="minorBidi" w:hAnsiTheme="minorBidi"/>
          <w:lang w:val="en-US"/>
        </w:rPr>
        <w:t>cytosine followed by guanine</w:t>
      </w:r>
      <w:r w:rsidRPr="00565BA5">
        <w:rPr>
          <w:rFonts w:asciiTheme="minorBidi" w:hAnsiTheme="minorBidi"/>
          <w:lang w:val="en-US"/>
        </w:rPr>
        <w:t>; CRACR2A, Calcium Release Activated Channel Regulator 2A; DCLK1, Doublecortin Like Kinase 1; EHBP1L1, EH Domain Binding Protein 1 Like 1; FARP1, FERM, ARH/</w:t>
      </w:r>
      <w:proofErr w:type="spellStart"/>
      <w:r w:rsidRPr="00565BA5">
        <w:rPr>
          <w:rFonts w:asciiTheme="minorBidi" w:hAnsiTheme="minorBidi"/>
          <w:lang w:val="en-US"/>
        </w:rPr>
        <w:t>RhoGEF</w:t>
      </w:r>
      <w:proofErr w:type="spellEnd"/>
      <w:r w:rsidRPr="00565BA5">
        <w:rPr>
          <w:rFonts w:asciiTheme="minorBidi" w:hAnsiTheme="minorBidi"/>
          <w:lang w:val="en-US"/>
        </w:rPr>
        <w:t xml:space="preserve"> And </w:t>
      </w:r>
      <w:proofErr w:type="spellStart"/>
      <w:r w:rsidRPr="00565BA5">
        <w:rPr>
          <w:rFonts w:asciiTheme="minorBidi" w:hAnsiTheme="minorBidi"/>
          <w:lang w:val="en-US"/>
        </w:rPr>
        <w:t>Pleckstrin</w:t>
      </w:r>
      <w:proofErr w:type="spellEnd"/>
      <w:r w:rsidRPr="00565BA5">
        <w:rPr>
          <w:rFonts w:asciiTheme="minorBidi" w:hAnsiTheme="minorBidi"/>
          <w:lang w:val="en-US"/>
        </w:rPr>
        <w:t xml:space="preserve"> Domain Protein 1; </w:t>
      </w:r>
      <w:r w:rsidR="00E16EB3">
        <w:rPr>
          <w:rFonts w:asciiTheme="minorBidi" w:hAnsiTheme="minorBidi"/>
          <w:lang w:val="en-US"/>
        </w:rPr>
        <w:t xml:space="preserve">HDL, High-density lipoprotein cholesterol; </w:t>
      </w:r>
      <w:r w:rsidR="00E50AF8">
        <w:rPr>
          <w:rFonts w:asciiTheme="minorBidi" w:hAnsiTheme="minorBidi"/>
          <w:lang w:val="en-US"/>
        </w:rPr>
        <w:t>HOMA-IR, h</w:t>
      </w:r>
      <w:r w:rsidR="00E50AF8" w:rsidRPr="009F1FD7">
        <w:rPr>
          <w:rFonts w:asciiTheme="minorBidi" w:hAnsiTheme="minorBidi"/>
        </w:rPr>
        <w:t>omeostatic Model Assessment for Insulin Resistance</w:t>
      </w:r>
      <w:r w:rsidR="00E50AF8">
        <w:rPr>
          <w:rFonts w:asciiTheme="minorBidi" w:hAnsiTheme="minorBidi"/>
          <w:lang w:val="en-US"/>
        </w:rPr>
        <w:t xml:space="preserve">; </w:t>
      </w:r>
      <w:r w:rsidR="000A284C">
        <w:rPr>
          <w:rFonts w:asciiTheme="minorBidi" w:hAnsiTheme="minorBidi"/>
          <w:lang w:val="en-US"/>
        </w:rPr>
        <w:t xml:space="preserve">IHF, Intrahepatic fat; LC, </w:t>
      </w:r>
      <w:r w:rsidR="000A284C" w:rsidRPr="00B81F2B">
        <w:rPr>
          <w:rFonts w:asciiTheme="minorBidi" w:hAnsiTheme="minorBidi"/>
          <w:color w:val="000000" w:themeColor="text1"/>
        </w:rPr>
        <w:t>low-carbohydrate</w:t>
      </w:r>
      <w:r w:rsidR="000A284C">
        <w:rPr>
          <w:rFonts w:asciiTheme="minorBidi" w:hAnsiTheme="minorBidi"/>
          <w:color w:val="000000" w:themeColor="text1"/>
          <w:lang w:val="en-US"/>
        </w:rPr>
        <w:t xml:space="preserve">; </w:t>
      </w:r>
      <w:r w:rsidR="003B1B5B">
        <w:rPr>
          <w:rFonts w:asciiTheme="minorBidi" w:hAnsiTheme="minorBidi"/>
          <w:lang w:val="en-US"/>
        </w:rPr>
        <w:t>LF, low</w:t>
      </w:r>
      <w:r w:rsidR="000A284C">
        <w:rPr>
          <w:rFonts w:asciiTheme="minorBidi" w:hAnsiTheme="minorBidi"/>
          <w:lang w:val="en-US"/>
        </w:rPr>
        <w:t>-f</w:t>
      </w:r>
      <w:r w:rsidR="003B1B5B">
        <w:rPr>
          <w:rFonts w:asciiTheme="minorBidi" w:hAnsiTheme="minorBidi"/>
          <w:lang w:val="en-US"/>
        </w:rPr>
        <w:t xml:space="preserve">at; MED, Mediterranean; MRI, Magnetic Resonance Imaging; NAFLD, non-alcoholic fatty liver </w:t>
      </w:r>
      <w:r w:rsidR="000A284C">
        <w:rPr>
          <w:rFonts w:asciiTheme="minorBidi" w:hAnsiTheme="minorBidi"/>
          <w:lang w:val="en-US"/>
        </w:rPr>
        <w:t>disease</w:t>
      </w:r>
      <w:r w:rsidR="003B1B5B">
        <w:rPr>
          <w:rFonts w:asciiTheme="minorBidi" w:hAnsiTheme="minorBidi"/>
          <w:lang w:val="en-US"/>
        </w:rPr>
        <w:t xml:space="preserve">; </w:t>
      </w:r>
      <w:r w:rsidR="000A284C">
        <w:rPr>
          <w:rFonts w:asciiTheme="minorBidi" w:hAnsiTheme="minorBidi"/>
          <w:lang w:val="en-US"/>
        </w:rPr>
        <w:t xml:space="preserve">PA, physical activity; </w:t>
      </w:r>
      <w:r w:rsidR="00831507">
        <w:rPr>
          <w:rFonts w:asciiTheme="minorBidi" w:hAnsiTheme="minorBidi"/>
          <w:lang w:val="en-US"/>
        </w:rPr>
        <w:t xml:space="preserve">ROC, </w:t>
      </w:r>
      <w:r w:rsidR="00831507" w:rsidRPr="0092134F">
        <w:rPr>
          <w:rFonts w:asciiTheme="minorBidi" w:hAnsiTheme="minorBidi"/>
        </w:rPr>
        <w:t>receiver operating</w:t>
      </w:r>
      <w:r w:rsidR="00831507">
        <w:rPr>
          <w:rFonts w:asciiTheme="minorBidi" w:hAnsiTheme="minorBidi"/>
        </w:rPr>
        <w:t xml:space="preserve"> </w:t>
      </w:r>
      <w:r w:rsidR="00831507" w:rsidRPr="0092134F">
        <w:rPr>
          <w:rFonts w:asciiTheme="minorBidi" w:hAnsiTheme="minorBidi"/>
        </w:rPr>
        <w:t>characteristic</w:t>
      </w:r>
      <w:r w:rsidR="00831507">
        <w:rPr>
          <w:rFonts w:asciiTheme="minorBidi" w:hAnsiTheme="minorBidi"/>
          <w:lang w:val="en-US"/>
        </w:rPr>
        <w:t xml:space="preserve">; </w:t>
      </w:r>
      <w:r w:rsidR="003B1B5B">
        <w:rPr>
          <w:rFonts w:asciiTheme="minorBidi" w:hAnsiTheme="minorBidi"/>
          <w:lang w:val="en-US"/>
        </w:rPr>
        <w:t xml:space="preserve">SNP, </w:t>
      </w:r>
      <w:r w:rsidR="003B1B5B" w:rsidRPr="003B1B5B">
        <w:rPr>
          <w:rFonts w:asciiTheme="minorBidi" w:hAnsiTheme="minorBidi"/>
          <w:lang w:val="en-US"/>
        </w:rPr>
        <w:t>Single nucleotide polymorphism</w:t>
      </w:r>
      <w:r w:rsidR="003B1B5B">
        <w:rPr>
          <w:rFonts w:asciiTheme="minorBidi" w:hAnsiTheme="minorBidi"/>
          <w:lang w:val="en-US"/>
        </w:rPr>
        <w:t xml:space="preserve">; </w:t>
      </w:r>
      <w:r w:rsidRPr="00565BA5">
        <w:rPr>
          <w:rFonts w:asciiTheme="minorBidi" w:hAnsiTheme="minorBidi"/>
          <w:lang w:val="en-US"/>
        </w:rPr>
        <w:t>VAT, visceral adipose tissue; WC, waist circumference.</w:t>
      </w:r>
    </w:p>
    <w:p w14:paraId="16B7182D" w14:textId="09272BB3" w:rsidR="003B1B5B" w:rsidRDefault="003B1B5B" w:rsidP="00C31617">
      <w:pPr>
        <w:spacing w:line="480" w:lineRule="auto"/>
        <w:rPr>
          <w:rFonts w:asciiTheme="minorBidi" w:hAnsiTheme="minorBidi"/>
          <w:lang w:val="en-US"/>
        </w:rPr>
      </w:pPr>
    </w:p>
    <w:p w14:paraId="287E7293" w14:textId="77777777" w:rsidR="00C31617" w:rsidRDefault="00C31617" w:rsidP="00C31617">
      <w:pPr>
        <w:pStyle w:val="DissnormText"/>
        <w:spacing w:line="480" w:lineRule="auto"/>
        <w:contextualSpacing/>
        <w:rPr>
          <w:rFonts w:asciiTheme="minorBidi" w:eastAsia="Arial" w:hAnsiTheme="minorBidi" w:cstheme="minorBidi"/>
          <w:b/>
          <w:bCs/>
          <w:sz w:val="24"/>
        </w:rPr>
      </w:pPr>
      <w:r w:rsidRPr="00ED4576">
        <w:rPr>
          <w:rFonts w:asciiTheme="minorBidi" w:eastAsia="Arial" w:hAnsiTheme="minorBidi" w:cstheme="minorBidi"/>
          <w:b/>
          <w:bCs/>
          <w:sz w:val="24"/>
        </w:rPr>
        <w:t>Conflict of interest</w:t>
      </w:r>
    </w:p>
    <w:p w14:paraId="024B0AAD" w14:textId="7ABA5FBE" w:rsidR="00633DD1" w:rsidRPr="003B1B5B" w:rsidRDefault="00C31617" w:rsidP="003B1B5B">
      <w:pPr>
        <w:pStyle w:val="DissnormText"/>
        <w:spacing w:line="480" w:lineRule="auto"/>
        <w:contextualSpacing/>
        <w:rPr>
          <w:rFonts w:asciiTheme="minorBidi" w:eastAsia="Arial" w:hAnsiTheme="minorBidi" w:cstheme="minorBidi"/>
          <w:sz w:val="24"/>
        </w:rPr>
      </w:pPr>
      <w:r w:rsidRPr="00ED4576">
        <w:rPr>
          <w:rFonts w:asciiTheme="minorBidi" w:eastAsia="Arial" w:hAnsiTheme="minorBidi" w:cstheme="minorBidi"/>
          <w:sz w:val="24"/>
        </w:rPr>
        <w:t>Authors have no conflict of interest to disclose. All authors had full access to all the data in the study and take full responsibility for the integrity of the data and the accuracy of the data analysis.</w:t>
      </w:r>
    </w:p>
    <w:p w14:paraId="7E8A17AC" w14:textId="77777777" w:rsidR="00C31617" w:rsidRDefault="00C31617" w:rsidP="00C31617">
      <w:pPr>
        <w:spacing w:line="480" w:lineRule="auto"/>
        <w:contextualSpacing/>
        <w:rPr>
          <w:rFonts w:asciiTheme="minorBidi" w:hAnsiTheme="minorBidi"/>
          <w:b/>
          <w:bCs/>
        </w:rPr>
      </w:pPr>
      <w:r>
        <w:rPr>
          <w:rFonts w:asciiTheme="minorBidi" w:hAnsiTheme="minorBidi"/>
          <w:b/>
          <w:bCs/>
        </w:rPr>
        <w:t>Funding statement</w:t>
      </w:r>
    </w:p>
    <w:p w14:paraId="12BB1A0C" w14:textId="77777777" w:rsidR="00C31617" w:rsidRPr="00B81F2B" w:rsidRDefault="00C31617" w:rsidP="00C31617">
      <w:pPr>
        <w:spacing w:line="480" w:lineRule="auto"/>
        <w:contextualSpacing/>
        <w:rPr>
          <w:rFonts w:asciiTheme="minorBidi" w:hAnsiTheme="minorBidi"/>
          <w:rtl/>
        </w:rPr>
      </w:pPr>
      <w:r w:rsidRPr="00C62D94">
        <w:rPr>
          <w:rFonts w:asciiTheme="minorBidi" w:hAnsiTheme="minorBidi"/>
        </w:rPr>
        <w:t>This work has been supported by the Free State of Saxony and grants from the Deutsche Forschungsgemeinschaft (DFG, German Research Foundation – Projektnummer 209933838 – SFB 1052; B01, B03, B11, Z04), from the German Diabetes Association and Deutsches Zentrum für Diabetesforschung. The CENTRAL RCT was supported by the Israel Science Foundation (ISF), Israel Ministry of Science and Technology (grant # 3-13604), and the Dr. Robert C. and Veronica Atkins Research Foundation.</w:t>
      </w:r>
      <w:r>
        <w:rPr>
          <w:rFonts w:asciiTheme="minorBidi" w:hAnsiTheme="minorBidi"/>
        </w:rPr>
        <w:t xml:space="preserve"> The funders were not involved in the study. </w:t>
      </w:r>
    </w:p>
    <w:p w14:paraId="0A0A0597" w14:textId="183E529A" w:rsidR="00C31617" w:rsidRDefault="00C31617" w:rsidP="00C31617">
      <w:pPr>
        <w:pStyle w:val="DissnormText"/>
        <w:spacing w:line="480" w:lineRule="auto"/>
        <w:contextualSpacing/>
        <w:rPr>
          <w:rFonts w:asciiTheme="minorBidi" w:eastAsia="Arial" w:hAnsiTheme="minorBidi" w:cstheme="minorBidi"/>
          <w:b/>
          <w:bCs/>
          <w:sz w:val="24"/>
        </w:rPr>
      </w:pPr>
      <w:r w:rsidRPr="00C31617">
        <w:rPr>
          <w:rFonts w:asciiTheme="minorBidi" w:eastAsia="Arial" w:hAnsiTheme="minorBidi" w:cstheme="minorBidi"/>
          <w:b/>
          <w:bCs/>
          <w:sz w:val="24"/>
        </w:rPr>
        <w:t>Ethics approval statement</w:t>
      </w:r>
    </w:p>
    <w:p w14:paraId="29F392B2" w14:textId="08EED13F" w:rsidR="00C31617" w:rsidRPr="00FF72A9" w:rsidRDefault="00FF72A9" w:rsidP="00C31617">
      <w:pPr>
        <w:pStyle w:val="DissnormText"/>
        <w:spacing w:line="480" w:lineRule="auto"/>
        <w:contextualSpacing/>
        <w:rPr>
          <w:rFonts w:asciiTheme="minorBidi" w:eastAsia="Arial" w:hAnsiTheme="minorBidi" w:cstheme="minorBidi"/>
          <w:sz w:val="24"/>
        </w:rPr>
      </w:pPr>
      <w:r w:rsidRPr="00FF72A9">
        <w:rPr>
          <w:rFonts w:asciiTheme="minorBidi" w:eastAsia="Arial" w:hAnsiTheme="minorBidi" w:cstheme="minorBidi"/>
          <w:sz w:val="24"/>
        </w:rPr>
        <w:t xml:space="preserve">The study protocol was approved by the Medical Ethics Board and the Helsinki Committee of the </w:t>
      </w:r>
      <w:proofErr w:type="spellStart"/>
      <w:r w:rsidRPr="00FF72A9">
        <w:rPr>
          <w:rFonts w:asciiTheme="minorBidi" w:eastAsia="Arial" w:hAnsiTheme="minorBidi" w:cstheme="minorBidi"/>
          <w:sz w:val="24"/>
        </w:rPr>
        <w:t>Soroka</w:t>
      </w:r>
      <w:proofErr w:type="spellEnd"/>
      <w:r w:rsidRPr="00FF72A9">
        <w:rPr>
          <w:rFonts w:asciiTheme="minorBidi" w:eastAsia="Arial" w:hAnsiTheme="minorBidi" w:cstheme="minorBidi"/>
          <w:sz w:val="24"/>
        </w:rPr>
        <w:t xml:space="preserve"> University Medical </w:t>
      </w:r>
      <w:proofErr w:type="spellStart"/>
      <w:r w:rsidRPr="00FF72A9">
        <w:rPr>
          <w:rFonts w:asciiTheme="minorBidi" w:eastAsia="Arial" w:hAnsiTheme="minorBidi" w:cstheme="minorBidi"/>
          <w:sz w:val="24"/>
        </w:rPr>
        <w:t>Center</w:t>
      </w:r>
      <w:proofErr w:type="spellEnd"/>
      <w:r w:rsidRPr="00FF72A9">
        <w:rPr>
          <w:rFonts w:asciiTheme="minorBidi" w:eastAsia="Arial" w:hAnsiTheme="minorBidi" w:cstheme="minorBidi"/>
          <w:sz w:val="24"/>
        </w:rPr>
        <w:t>.</w:t>
      </w:r>
    </w:p>
    <w:p w14:paraId="06AF7ED1" w14:textId="53EE2F80" w:rsidR="00C31617" w:rsidRDefault="00C31617" w:rsidP="00C31617">
      <w:pPr>
        <w:pStyle w:val="DissnormText"/>
        <w:spacing w:line="480" w:lineRule="auto"/>
        <w:contextualSpacing/>
        <w:rPr>
          <w:rFonts w:asciiTheme="minorBidi" w:eastAsia="Arial" w:hAnsiTheme="minorBidi" w:cstheme="minorBidi"/>
          <w:b/>
          <w:bCs/>
          <w:sz w:val="24"/>
        </w:rPr>
      </w:pPr>
      <w:r>
        <w:rPr>
          <w:rFonts w:asciiTheme="minorBidi" w:eastAsia="Arial" w:hAnsiTheme="minorBidi" w:cstheme="minorBidi"/>
          <w:b/>
          <w:bCs/>
          <w:sz w:val="24"/>
        </w:rPr>
        <w:t>P</w:t>
      </w:r>
      <w:r w:rsidRPr="00C31617">
        <w:rPr>
          <w:rFonts w:asciiTheme="minorBidi" w:eastAsia="Arial" w:hAnsiTheme="minorBidi" w:cstheme="minorBidi"/>
          <w:b/>
          <w:bCs/>
          <w:sz w:val="24"/>
        </w:rPr>
        <w:t>atient consent statement</w:t>
      </w:r>
    </w:p>
    <w:p w14:paraId="73A11F88" w14:textId="0C4CC5D8" w:rsidR="00C31617" w:rsidRPr="00633DD1" w:rsidRDefault="00633DD1" w:rsidP="00C31617">
      <w:pPr>
        <w:pStyle w:val="DissnormText"/>
        <w:spacing w:line="480" w:lineRule="auto"/>
        <w:contextualSpacing/>
        <w:rPr>
          <w:rFonts w:asciiTheme="minorBidi" w:eastAsia="Arial" w:hAnsiTheme="minorBidi" w:cstheme="minorBidi"/>
          <w:sz w:val="24"/>
        </w:rPr>
      </w:pPr>
      <w:r w:rsidRPr="00633DD1">
        <w:rPr>
          <w:rFonts w:asciiTheme="minorBidi" w:eastAsia="Arial" w:hAnsiTheme="minorBidi" w:cstheme="minorBidi"/>
          <w:sz w:val="24"/>
        </w:rPr>
        <w:t xml:space="preserve">All participants provided written informed consent and received no financial compensation or gifts.  </w:t>
      </w:r>
    </w:p>
    <w:p w14:paraId="7843E8D2" w14:textId="6ED747E6" w:rsidR="00C31617" w:rsidRDefault="00C31617" w:rsidP="00C31617">
      <w:pPr>
        <w:pStyle w:val="DissnormText"/>
        <w:spacing w:line="480" w:lineRule="auto"/>
        <w:contextualSpacing/>
        <w:rPr>
          <w:rFonts w:asciiTheme="minorBidi" w:eastAsia="Arial" w:hAnsiTheme="minorBidi" w:cstheme="minorBidi"/>
          <w:b/>
          <w:bCs/>
          <w:sz w:val="24"/>
        </w:rPr>
      </w:pPr>
      <w:r>
        <w:rPr>
          <w:rFonts w:asciiTheme="minorBidi" w:eastAsia="Arial" w:hAnsiTheme="minorBidi" w:cstheme="minorBidi"/>
          <w:b/>
          <w:bCs/>
          <w:sz w:val="24"/>
        </w:rPr>
        <w:t>P</w:t>
      </w:r>
      <w:r w:rsidRPr="00C31617">
        <w:rPr>
          <w:rFonts w:asciiTheme="minorBidi" w:eastAsia="Arial" w:hAnsiTheme="minorBidi" w:cstheme="minorBidi"/>
          <w:b/>
          <w:bCs/>
          <w:sz w:val="24"/>
        </w:rPr>
        <w:t>ermission to reproduce material from other sources</w:t>
      </w:r>
    </w:p>
    <w:p w14:paraId="3912B1BB" w14:textId="51F35C7D" w:rsidR="00C31617" w:rsidRPr="00633DD1" w:rsidRDefault="00633DD1" w:rsidP="00C31617">
      <w:pPr>
        <w:pStyle w:val="DissnormText"/>
        <w:spacing w:line="480" w:lineRule="auto"/>
        <w:contextualSpacing/>
        <w:rPr>
          <w:rFonts w:asciiTheme="minorBidi" w:eastAsia="Arial" w:hAnsiTheme="minorBidi" w:cstheme="minorBidi"/>
          <w:sz w:val="24"/>
          <w:lang w:val="en-US"/>
        </w:rPr>
      </w:pPr>
      <w:r w:rsidRPr="00633DD1">
        <w:rPr>
          <w:rFonts w:asciiTheme="minorBidi" w:eastAsia="Arial" w:hAnsiTheme="minorBidi" w:cstheme="minorBidi"/>
          <w:sz w:val="24"/>
          <w:lang w:val="en-US"/>
        </w:rPr>
        <w:t>Permission is granted subject to an appropriate acknowledgement given to the author, title of the material/journal and the publisher.</w:t>
      </w:r>
    </w:p>
    <w:p w14:paraId="55412EA1" w14:textId="1EFF9041" w:rsidR="00C31617" w:rsidRPr="00633DD1" w:rsidRDefault="00C31617" w:rsidP="00633DD1">
      <w:pPr>
        <w:spacing w:line="480" w:lineRule="auto"/>
        <w:rPr>
          <w:rFonts w:asciiTheme="minorBidi" w:hAnsiTheme="minorBidi"/>
          <w:color w:val="0000FF"/>
          <w:u w:val="single"/>
          <w:lang w:val="en-US"/>
        </w:rPr>
      </w:pPr>
      <w:r w:rsidRPr="00B81F2B">
        <w:rPr>
          <w:rFonts w:asciiTheme="minorBidi" w:hAnsiTheme="minorBidi"/>
          <w:b/>
          <w:bCs/>
          <w:lang w:val="en-US"/>
        </w:rPr>
        <w:t>Clinicaltrial.gov identifier</w:t>
      </w:r>
      <w:r w:rsidRPr="00B81F2B">
        <w:rPr>
          <w:rFonts w:asciiTheme="minorBidi" w:hAnsiTheme="minorBidi"/>
          <w:lang w:val="en-US"/>
        </w:rPr>
        <w:t>: NCT01530724</w:t>
      </w:r>
      <w:r>
        <w:rPr>
          <w:rFonts w:asciiTheme="minorBidi" w:hAnsiTheme="minorBidi"/>
          <w:lang w:val="en-US"/>
        </w:rPr>
        <w:t xml:space="preserve"> </w:t>
      </w:r>
      <w:hyperlink r:id="rId9" w:history="1">
        <w:r w:rsidRPr="00657636">
          <w:rPr>
            <w:rStyle w:val="Hyperlink"/>
            <w:rFonts w:asciiTheme="minorBidi" w:hAnsiTheme="minorBidi"/>
            <w:lang w:val="en-US"/>
          </w:rPr>
          <w:t>https://clinicaltrials.gov/ct2/show/NCT01530724</w:t>
        </w:r>
      </w:hyperlink>
    </w:p>
    <w:p w14:paraId="0814D940" w14:textId="77777777" w:rsidR="00C31617" w:rsidRDefault="00C31617" w:rsidP="00C31617">
      <w:pPr>
        <w:spacing w:line="480" w:lineRule="auto"/>
        <w:contextualSpacing/>
        <w:rPr>
          <w:rFonts w:asciiTheme="minorBidi" w:hAnsiTheme="minorBidi"/>
          <w:b/>
          <w:bCs/>
          <w:lang w:val="en-US"/>
        </w:rPr>
      </w:pPr>
      <w:r w:rsidRPr="00B81F2B">
        <w:rPr>
          <w:rFonts w:asciiTheme="minorBidi" w:hAnsiTheme="minorBidi"/>
          <w:b/>
          <w:bCs/>
          <w:lang w:val="en-US"/>
        </w:rPr>
        <w:t xml:space="preserve">Author contribution: </w:t>
      </w:r>
    </w:p>
    <w:p w14:paraId="22DF1FF4" w14:textId="47ADE73B" w:rsidR="00C31617" w:rsidRDefault="00C31617" w:rsidP="00C31617">
      <w:pPr>
        <w:spacing w:line="480" w:lineRule="auto"/>
        <w:contextualSpacing/>
        <w:rPr>
          <w:rFonts w:asciiTheme="minorBidi" w:eastAsia="Arial" w:hAnsiTheme="minorBidi"/>
          <w:lang w:val="en-US"/>
        </w:rPr>
      </w:pPr>
      <w:r w:rsidRPr="00B81F2B">
        <w:rPr>
          <w:rFonts w:asciiTheme="minorBidi" w:eastAsia="Arial" w:hAnsiTheme="minorBidi"/>
          <w:lang w:val="en-US"/>
        </w:rPr>
        <w:lastRenderedPageBreak/>
        <w:t>Author’s AYM, DS, YG, GT, HZ, IS, ISH designed</w:t>
      </w:r>
      <w:r>
        <w:rPr>
          <w:rFonts w:asciiTheme="minorBidi" w:eastAsia="Arial" w:hAnsiTheme="minorBidi"/>
          <w:lang w:val="en-US"/>
        </w:rPr>
        <w:t>, and conducted</w:t>
      </w:r>
      <w:r w:rsidRPr="00B81F2B">
        <w:rPr>
          <w:rFonts w:asciiTheme="minorBidi" w:eastAsia="Arial" w:hAnsiTheme="minorBidi"/>
          <w:lang w:val="en-US"/>
        </w:rPr>
        <w:t xml:space="preserve"> the</w:t>
      </w:r>
      <w:r>
        <w:rPr>
          <w:rFonts w:asciiTheme="minorBidi" w:eastAsia="Arial" w:hAnsiTheme="minorBidi"/>
          <w:lang w:val="en-US"/>
        </w:rPr>
        <w:t xml:space="preserve"> CENTRAL trial</w:t>
      </w:r>
      <w:r w:rsidRPr="00B81F2B">
        <w:rPr>
          <w:rFonts w:asciiTheme="minorBidi" w:eastAsia="Arial" w:hAnsiTheme="minorBidi"/>
          <w:lang w:val="en-US"/>
        </w:rPr>
        <w:t xml:space="preserve">. </w:t>
      </w:r>
      <w:r>
        <w:rPr>
          <w:rFonts w:asciiTheme="minorBidi" w:eastAsia="Arial" w:hAnsiTheme="minorBidi"/>
          <w:lang w:val="en-US"/>
        </w:rPr>
        <w:t xml:space="preserve">MK, LM, SB, UC, MB, MS, and PK </w:t>
      </w:r>
      <w:r w:rsidRPr="00081479">
        <w:rPr>
          <w:rFonts w:asciiTheme="minorBidi" w:eastAsia="Arial" w:hAnsiTheme="minorBidi"/>
          <w:lang w:val="en-US"/>
        </w:rPr>
        <w:t>provided essential materials</w:t>
      </w:r>
      <w:r w:rsidRPr="00B81F2B">
        <w:rPr>
          <w:rFonts w:asciiTheme="minorBidi" w:eastAsia="Arial" w:hAnsiTheme="minorBidi"/>
          <w:lang w:val="en-US"/>
        </w:rPr>
        <w:t xml:space="preserve">. </w:t>
      </w:r>
      <w:r>
        <w:rPr>
          <w:rFonts w:asciiTheme="minorBidi" w:eastAsia="Arial" w:hAnsiTheme="minorBidi"/>
          <w:lang w:val="en-US"/>
        </w:rPr>
        <w:t xml:space="preserve">AYM, MK, and LM </w:t>
      </w:r>
      <w:r w:rsidRPr="00081479">
        <w:rPr>
          <w:rFonts w:asciiTheme="minorBidi" w:eastAsia="Arial" w:hAnsiTheme="minorBidi"/>
          <w:lang w:val="en-US"/>
        </w:rPr>
        <w:t>analyzed data or performed statistical analysis</w:t>
      </w:r>
      <w:r>
        <w:rPr>
          <w:rFonts w:asciiTheme="minorBidi" w:eastAsia="Arial" w:hAnsiTheme="minorBidi"/>
          <w:lang w:val="en-US"/>
        </w:rPr>
        <w:t xml:space="preserve">. </w:t>
      </w:r>
      <w:r w:rsidRPr="00B81F2B">
        <w:rPr>
          <w:rFonts w:asciiTheme="minorBidi" w:eastAsia="Arial" w:hAnsiTheme="minorBidi"/>
          <w:lang w:val="en-US"/>
        </w:rPr>
        <w:t>AYM</w:t>
      </w:r>
      <w:r>
        <w:rPr>
          <w:rFonts w:asciiTheme="minorBidi" w:eastAsia="Arial" w:hAnsiTheme="minorBidi"/>
          <w:lang w:val="en-US"/>
        </w:rPr>
        <w:t>, MK, PK,</w:t>
      </w:r>
      <w:r w:rsidRPr="00B81F2B">
        <w:rPr>
          <w:rFonts w:asciiTheme="minorBidi" w:eastAsia="Arial" w:hAnsiTheme="minorBidi"/>
          <w:lang w:val="en-US"/>
        </w:rPr>
        <w:t xml:space="preserve"> and ISH wrote the </w:t>
      </w:r>
      <w:r>
        <w:rPr>
          <w:rFonts w:asciiTheme="minorBidi" w:eastAsia="Arial" w:hAnsiTheme="minorBidi"/>
          <w:lang w:val="en-US"/>
        </w:rPr>
        <w:t>paper</w:t>
      </w:r>
      <w:r w:rsidRPr="00B81F2B">
        <w:rPr>
          <w:rFonts w:asciiTheme="minorBidi" w:eastAsia="Arial" w:hAnsiTheme="minorBidi"/>
          <w:lang w:val="en-US"/>
        </w:rPr>
        <w:t xml:space="preserve">. </w:t>
      </w:r>
      <w:r>
        <w:rPr>
          <w:rFonts w:asciiTheme="minorBidi" w:eastAsia="Arial" w:hAnsiTheme="minorBidi"/>
          <w:lang w:val="en-US"/>
        </w:rPr>
        <w:t xml:space="preserve">AYM, MK, PK, and ISH </w:t>
      </w:r>
      <w:r w:rsidRPr="00081479">
        <w:rPr>
          <w:rFonts w:asciiTheme="minorBidi" w:eastAsia="Arial" w:hAnsiTheme="minorBidi"/>
          <w:lang w:val="en-US"/>
        </w:rPr>
        <w:t>had primary responsibility for final content</w:t>
      </w:r>
      <w:r>
        <w:rPr>
          <w:rFonts w:asciiTheme="minorBidi" w:eastAsia="Arial" w:hAnsiTheme="minorBidi"/>
          <w:lang w:val="en-US"/>
        </w:rPr>
        <w:t xml:space="preserve">. </w:t>
      </w:r>
      <w:r w:rsidRPr="009A5011">
        <w:rPr>
          <w:rFonts w:asciiTheme="minorBidi" w:eastAsia="Arial" w:hAnsiTheme="minorBidi"/>
          <w:lang w:val="en-US"/>
        </w:rPr>
        <w:t>All authors read and approved the final manuscript</w:t>
      </w:r>
      <w:r w:rsidRPr="00B81F2B">
        <w:rPr>
          <w:rFonts w:asciiTheme="minorBidi" w:eastAsia="Arial" w:hAnsiTheme="minorBidi"/>
          <w:lang w:val="en-US"/>
        </w:rPr>
        <w:t>.</w:t>
      </w:r>
    </w:p>
    <w:p w14:paraId="3081A203" w14:textId="77777777" w:rsidR="00C31617" w:rsidRPr="00B81F2B" w:rsidRDefault="00C31617" w:rsidP="00C31617">
      <w:pPr>
        <w:spacing w:line="480" w:lineRule="auto"/>
        <w:rPr>
          <w:rFonts w:asciiTheme="minorBidi" w:hAnsiTheme="minorBidi"/>
          <w:b/>
          <w:bCs/>
          <w:lang w:val="en-US"/>
        </w:rPr>
      </w:pPr>
      <w:r w:rsidRPr="00B81F2B">
        <w:rPr>
          <w:rFonts w:asciiTheme="minorBidi" w:hAnsiTheme="minorBidi"/>
          <w:b/>
          <w:bCs/>
          <w:lang w:val="en-US"/>
        </w:rPr>
        <w:t>Acknowledgments</w:t>
      </w:r>
    </w:p>
    <w:p w14:paraId="78312C9F" w14:textId="77777777" w:rsidR="00C31617" w:rsidRDefault="00C31617" w:rsidP="00C31617">
      <w:pPr>
        <w:spacing w:line="480" w:lineRule="auto"/>
        <w:rPr>
          <w:rFonts w:asciiTheme="minorBidi" w:hAnsiTheme="minorBidi"/>
          <w:lang w:val="en-US"/>
        </w:rPr>
      </w:pPr>
      <w:r w:rsidRPr="00B81F2B">
        <w:rPr>
          <w:rFonts w:asciiTheme="minorBidi" w:hAnsiTheme="minorBidi"/>
          <w:lang w:val="en-US"/>
        </w:rPr>
        <w:t xml:space="preserve">We thank the CENTRAL participants for their significant contribution. We thank California Walnut Commission for kindly supplying the walnuts. We thank </w:t>
      </w:r>
      <w:proofErr w:type="spellStart"/>
      <w:r w:rsidRPr="00B81F2B">
        <w:rPr>
          <w:rFonts w:asciiTheme="minorBidi" w:hAnsiTheme="minorBidi"/>
          <w:lang w:val="en-US"/>
        </w:rPr>
        <w:t>Osnat</w:t>
      </w:r>
      <w:proofErr w:type="spellEnd"/>
      <w:r w:rsidRPr="00B81F2B">
        <w:rPr>
          <w:rFonts w:asciiTheme="minorBidi" w:hAnsiTheme="minorBidi"/>
          <w:lang w:val="en-US"/>
        </w:rPr>
        <w:t xml:space="preserve"> Tangi-</w:t>
      </w:r>
      <w:proofErr w:type="spellStart"/>
      <w:r w:rsidRPr="00B81F2B">
        <w:rPr>
          <w:rFonts w:asciiTheme="minorBidi" w:hAnsiTheme="minorBidi"/>
          <w:lang w:val="en-US"/>
        </w:rPr>
        <w:t>Rosental</w:t>
      </w:r>
      <w:proofErr w:type="spellEnd"/>
      <w:r w:rsidRPr="00B81F2B">
        <w:rPr>
          <w:rFonts w:asciiTheme="minorBidi" w:hAnsiTheme="minorBidi"/>
          <w:lang w:val="en-US"/>
        </w:rPr>
        <w:t xml:space="preserve">, Dr. Rachel Golan, </w:t>
      </w:r>
      <w:proofErr w:type="spellStart"/>
      <w:r w:rsidRPr="00B81F2B">
        <w:rPr>
          <w:rFonts w:asciiTheme="minorBidi" w:hAnsiTheme="minorBidi"/>
          <w:lang w:val="en-US"/>
        </w:rPr>
        <w:t>Eyal</w:t>
      </w:r>
      <w:proofErr w:type="spellEnd"/>
      <w:r w:rsidRPr="00B81F2B">
        <w:rPr>
          <w:rFonts w:asciiTheme="minorBidi" w:hAnsiTheme="minorBidi"/>
          <w:lang w:val="en-US"/>
        </w:rPr>
        <w:t xml:space="preserve"> Goshen, Dr. Rafi </w:t>
      </w:r>
      <w:proofErr w:type="spellStart"/>
      <w:r w:rsidRPr="00B81F2B">
        <w:rPr>
          <w:rFonts w:asciiTheme="minorBidi" w:hAnsiTheme="minorBidi"/>
          <w:lang w:val="en-US"/>
        </w:rPr>
        <w:t>Gonen</w:t>
      </w:r>
      <w:proofErr w:type="spellEnd"/>
      <w:r w:rsidRPr="00B81F2B">
        <w:rPr>
          <w:rFonts w:asciiTheme="minorBidi" w:hAnsiTheme="minorBidi"/>
          <w:lang w:val="en-US"/>
        </w:rPr>
        <w:t xml:space="preserve">, Dr. Lena Novak, Victor Haddad, Roman </w:t>
      </w:r>
      <w:proofErr w:type="spellStart"/>
      <w:r w:rsidRPr="00B81F2B">
        <w:rPr>
          <w:rFonts w:asciiTheme="minorBidi" w:hAnsiTheme="minorBidi"/>
          <w:lang w:val="en-US"/>
        </w:rPr>
        <w:t>Tsirkin</w:t>
      </w:r>
      <w:proofErr w:type="spellEnd"/>
      <w:r w:rsidRPr="00B81F2B">
        <w:rPr>
          <w:rFonts w:asciiTheme="minorBidi" w:hAnsiTheme="minorBidi"/>
          <w:lang w:val="en-US"/>
        </w:rPr>
        <w:t xml:space="preserve">, David Shushan, Shula </w:t>
      </w:r>
      <w:proofErr w:type="spellStart"/>
      <w:r w:rsidRPr="00B81F2B">
        <w:rPr>
          <w:rFonts w:asciiTheme="minorBidi" w:hAnsiTheme="minorBidi"/>
          <w:lang w:val="en-US"/>
        </w:rPr>
        <w:t>Witkow</w:t>
      </w:r>
      <w:proofErr w:type="spellEnd"/>
      <w:r w:rsidRPr="00B81F2B">
        <w:rPr>
          <w:rFonts w:asciiTheme="minorBidi" w:hAnsiTheme="minorBidi"/>
          <w:lang w:val="en-US"/>
        </w:rPr>
        <w:t xml:space="preserve">, Liz </w:t>
      </w:r>
      <w:proofErr w:type="spellStart"/>
      <w:r w:rsidRPr="00B81F2B">
        <w:rPr>
          <w:rFonts w:asciiTheme="minorBidi" w:hAnsiTheme="minorBidi"/>
          <w:lang w:val="en-US"/>
        </w:rPr>
        <w:t>Shabtay</w:t>
      </w:r>
      <w:proofErr w:type="spellEnd"/>
      <w:r w:rsidRPr="00B81F2B">
        <w:rPr>
          <w:rFonts w:asciiTheme="minorBidi" w:hAnsiTheme="minorBidi"/>
          <w:lang w:val="en-US"/>
        </w:rPr>
        <w:t xml:space="preserve">, </w:t>
      </w:r>
      <w:r>
        <w:rPr>
          <w:rFonts w:asciiTheme="minorBidi" w:hAnsiTheme="minorBidi"/>
          <w:lang w:val="en-US"/>
        </w:rPr>
        <w:t xml:space="preserve">Dr. </w:t>
      </w:r>
      <w:r w:rsidRPr="00B81F2B">
        <w:rPr>
          <w:rFonts w:asciiTheme="minorBidi" w:hAnsiTheme="minorBidi"/>
          <w:lang w:val="en-US"/>
        </w:rPr>
        <w:t xml:space="preserve">Philip Rosen, Julia </w:t>
      </w:r>
      <w:proofErr w:type="spellStart"/>
      <w:r w:rsidRPr="00B81F2B">
        <w:rPr>
          <w:rFonts w:asciiTheme="minorBidi" w:hAnsiTheme="minorBidi"/>
          <w:lang w:val="en-US"/>
        </w:rPr>
        <w:t>Kovsan</w:t>
      </w:r>
      <w:proofErr w:type="spellEnd"/>
      <w:r w:rsidRPr="00B81F2B">
        <w:rPr>
          <w:rFonts w:asciiTheme="minorBidi" w:hAnsiTheme="minorBidi"/>
          <w:lang w:val="en-US"/>
        </w:rPr>
        <w:t xml:space="preserve">, </w:t>
      </w:r>
      <w:proofErr w:type="spellStart"/>
      <w:r w:rsidRPr="00B81F2B">
        <w:rPr>
          <w:rFonts w:asciiTheme="minorBidi" w:hAnsiTheme="minorBidi"/>
          <w:lang w:val="en-US"/>
        </w:rPr>
        <w:t>Hadar</w:t>
      </w:r>
      <w:proofErr w:type="spellEnd"/>
      <w:r w:rsidRPr="00B81F2B">
        <w:rPr>
          <w:rFonts w:asciiTheme="minorBidi" w:hAnsiTheme="minorBidi"/>
          <w:lang w:val="en-US"/>
        </w:rPr>
        <w:t xml:space="preserve"> Cohen, Lilac </w:t>
      </w:r>
      <w:proofErr w:type="spellStart"/>
      <w:r w:rsidRPr="00B81F2B">
        <w:rPr>
          <w:rFonts w:asciiTheme="minorBidi" w:hAnsiTheme="minorBidi"/>
          <w:lang w:val="en-US"/>
        </w:rPr>
        <w:t>Tene</w:t>
      </w:r>
      <w:proofErr w:type="spellEnd"/>
      <w:r w:rsidRPr="00B81F2B">
        <w:rPr>
          <w:rFonts w:asciiTheme="minorBidi" w:hAnsiTheme="minorBidi"/>
          <w:lang w:val="en-US"/>
        </w:rPr>
        <w:t xml:space="preserve">, </w:t>
      </w:r>
      <w:proofErr w:type="spellStart"/>
      <w:r w:rsidRPr="00B81F2B">
        <w:rPr>
          <w:rFonts w:asciiTheme="minorBidi" w:hAnsiTheme="minorBidi"/>
          <w:lang w:val="en-US"/>
        </w:rPr>
        <w:t>Nitzan</w:t>
      </w:r>
      <w:proofErr w:type="spellEnd"/>
      <w:r w:rsidRPr="00B81F2B">
        <w:rPr>
          <w:rFonts w:asciiTheme="minorBidi" w:hAnsiTheme="minorBidi"/>
          <w:lang w:val="en-US"/>
        </w:rPr>
        <w:t xml:space="preserve"> </w:t>
      </w:r>
      <w:proofErr w:type="spellStart"/>
      <w:r w:rsidRPr="00B81F2B">
        <w:rPr>
          <w:rFonts w:asciiTheme="minorBidi" w:hAnsiTheme="minorBidi"/>
          <w:lang w:val="en-US"/>
        </w:rPr>
        <w:t>Bril</w:t>
      </w:r>
      <w:proofErr w:type="spellEnd"/>
      <w:r w:rsidRPr="00B81F2B">
        <w:rPr>
          <w:rFonts w:asciiTheme="minorBidi" w:hAnsiTheme="minorBidi"/>
          <w:lang w:val="en-US"/>
        </w:rPr>
        <w:t xml:space="preserve">, Michal Rein, Dana </w:t>
      </w:r>
      <w:proofErr w:type="spellStart"/>
      <w:r w:rsidRPr="00B81F2B">
        <w:rPr>
          <w:rFonts w:asciiTheme="minorBidi" w:hAnsiTheme="minorBidi"/>
          <w:lang w:val="en-US"/>
        </w:rPr>
        <w:t>Serfaty</w:t>
      </w:r>
      <w:proofErr w:type="spellEnd"/>
      <w:r w:rsidRPr="00B81F2B">
        <w:rPr>
          <w:rFonts w:asciiTheme="minorBidi" w:hAnsiTheme="minorBidi"/>
          <w:lang w:val="en-US"/>
        </w:rPr>
        <w:t xml:space="preserve">, Shira </w:t>
      </w:r>
      <w:proofErr w:type="spellStart"/>
      <w:r w:rsidRPr="00B81F2B">
        <w:rPr>
          <w:rFonts w:asciiTheme="minorBidi" w:hAnsiTheme="minorBidi"/>
          <w:lang w:val="en-US"/>
        </w:rPr>
        <w:t>Kengigsbuch</w:t>
      </w:r>
      <w:proofErr w:type="spellEnd"/>
      <w:r w:rsidRPr="00B81F2B">
        <w:rPr>
          <w:rFonts w:asciiTheme="minorBidi" w:hAnsiTheme="minorBidi"/>
          <w:lang w:val="en-US"/>
        </w:rPr>
        <w:t xml:space="preserve"> and Dr. Moti </w:t>
      </w:r>
      <w:proofErr w:type="spellStart"/>
      <w:r w:rsidRPr="00B81F2B">
        <w:rPr>
          <w:rFonts w:asciiTheme="minorBidi" w:hAnsiTheme="minorBidi"/>
          <w:lang w:val="en-US"/>
        </w:rPr>
        <w:t>Salti</w:t>
      </w:r>
      <w:proofErr w:type="spellEnd"/>
      <w:r w:rsidRPr="00B81F2B">
        <w:rPr>
          <w:rFonts w:asciiTheme="minorBidi" w:hAnsiTheme="minorBidi"/>
          <w:lang w:val="en-US"/>
        </w:rPr>
        <w:t xml:space="preserve"> for their valuable contributions to this study.</w:t>
      </w:r>
      <w:bookmarkStart w:id="2" w:name="_Hlk20832397"/>
    </w:p>
    <w:bookmarkEnd w:id="2"/>
    <w:p w14:paraId="758CAACE" w14:textId="77777777" w:rsidR="00C31617" w:rsidRPr="00EE5D7B" w:rsidRDefault="00C31617" w:rsidP="00C31617">
      <w:pPr>
        <w:spacing w:line="480" w:lineRule="auto"/>
        <w:contextualSpacing/>
        <w:rPr>
          <w:rFonts w:asciiTheme="minorBidi" w:eastAsia="Arial" w:hAnsiTheme="minorBidi"/>
          <w:lang w:val="en-US"/>
        </w:rPr>
      </w:pPr>
    </w:p>
    <w:p w14:paraId="6E5960F0" w14:textId="77777777" w:rsidR="00562A65" w:rsidRDefault="00562A65" w:rsidP="008B7584">
      <w:pPr>
        <w:spacing w:line="480" w:lineRule="auto"/>
        <w:rPr>
          <w:rFonts w:asciiTheme="minorBidi" w:hAnsiTheme="minorBidi"/>
          <w:b/>
          <w:bCs/>
          <w:lang w:val="en-US"/>
        </w:rPr>
      </w:pPr>
    </w:p>
    <w:p w14:paraId="015F6049" w14:textId="77777777" w:rsidR="00562A65" w:rsidRDefault="00562A65" w:rsidP="008B7584">
      <w:pPr>
        <w:spacing w:line="480" w:lineRule="auto"/>
        <w:rPr>
          <w:rFonts w:asciiTheme="minorBidi" w:hAnsiTheme="minorBidi"/>
          <w:b/>
          <w:bCs/>
          <w:lang w:val="en-US"/>
        </w:rPr>
      </w:pPr>
    </w:p>
    <w:p w14:paraId="11FA281B" w14:textId="77777777" w:rsidR="00562A65" w:rsidRDefault="00562A65" w:rsidP="008B7584">
      <w:pPr>
        <w:spacing w:line="480" w:lineRule="auto"/>
        <w:rPr>
          <w:rFonts w:asciiTheme="minorBidi" w:hAnsiTheme="minorBidi"/>
          <w:b/>
          <w:bCs/>
          <w:lang w:val="en-US"/>
        </w:rPr>
      </w:pPr>
    </w:p>
    <w:p w14:paraId="14DF8602" w14:textId="291FD1DC" w:rsidR="00562A65" w:rsidRDefault="00562A65" w:rsidP="008B7584">
      <w:pPr>
        <w:spacing w:line="480" w:lineRule="auto"/>
        <w:rPr>
          <w:rFonts w:asciiTheme="minorBidi" w:hAnsiTheme="minorBidi"/>
          <w:b/>
          <w:bCs/>
          <w:lang w:val="en-US"/>
        </w:rPr>
      </w:pPr>
    </w:p>
    <w:p w14:paraId="44C2B6F8" w14:textId="7CF21DF5" w:rsidR="00920922" w:rsidRDefault="00920922" w:rsidP="008B7584">
      <w:pPr>
        <w:spacing w:line="480" w:lineRule="auto"/>
        <w:rPr>
          <w:rFonts w:asciiTheme="minorBidi" w:hAnsiTheme="minorBidi"/>
          <w:b/>
          <w:bCs/>
          <w:lang w:val="en-US"/>
        </w:rPr>
      </w:pPr>
    </w:p>
    <w:p w14:paraId="6F744659" w14:textId="5ABBB865" w:rsidR="00920922" w:rsidRDefault="00920922" w:rsidP="008B7584">
      <w:pPr>
        <w:spacing w:line="480" w:lineRule="auto"/>
        <w:rPr>
          <w:rFonts w:asciiTheme="minorBidi" w:hAnsiTheme="minorBidi"/>
          <w:b/>
          <w:bCs/>
          <w:lang w:val="en-US"/>
        </w:rPr>
      </w:pPr>
    </w:p>
    <w:p w14:paraId="6E9DE277" w14:textId="77777777" w:rsidR="00920922" w:rsidRDefault="00920922" w:rsidP="008B7584">
      <w:pPr>
        <w:spacing w:line="480" w:lineRule="auto"/>
        <w:rPr>
          <w:rFonts w:asciiTheme="minorBidi" w:hAnsiTheme="minorBidi"/>
          <w:b/>
          <w:bCs/>
          <w:lang w:val="en-US"/>
        </w:rPr>
      </w:pPr>
    </w:p>
    <w:p w14:paraId="42C29577" w14:textId="77777777" w:rsidR="00562A65" w:rsidRDefault="00562A65" w:rsidP="008B7584">
      <w:pPr>
        <w:spacing w:line="480" w:lineRule="auto"/>
        <w:rPr>
          <w:rFonts w:asciiTheme="minorBidi" w:hAnsiTheme="minorBidi"/>
          <w:b/>
          <w:bCs/>
          <w:lang w:val="en-US"/>
        </w:rPr>
      </w:pPr>
    </w:p>
    <w:p w14:paraId="3FEBC03D" w14:textId="77777777" w:rsidR="00562A65" w:rsidRDefault="00562A65" w:rsidP="008B7584">
      <w:pPr>
        <w:spacing w:line="480" w:lineRule="auto"/>
        <w:rPr>
          <w:rFonts w:asciiTheme="minorBidi" w:hAnsiTheme="minorBidi"/>
          <w:b/>
          <w:bCs/>
          <w:lang w:val="en-US"/>
        </w:rPr>
      </w:pPr>
    </w:p>
    <w:p w14:paraId="002B9CFB" w14:textId="24320461" w:rsidR="00C31617" w:rsidRDefault="00C31617" w:rsidP="008B7584">
      <w:pPr>
        <w:spacing w:line="480" w:lineRule="auto"/>
        <w:rPr>
          <w:rFonts w:asciiTheme="minorBidi" w:hAnsiTheme="minorBidi"/>
          <w:b/>
          <w:bCs/>
          <w:lang w:val="en-US"/>
        </w:rPr>
      </w:pPr>
    </w:p>
    <w:p w14:paraId="28E0FB09" w14:textId="77777777" w:rsidR="00562A65" w:rsidRDefault="00562A65" w:rsidP="008B7584">
      <w:pPr>
        <w:spacing w:line="480" w:lineRule="auto"/>
        <w:rPr>
          <w:rFonts w:asciiTheme="minorBidi" w:hAnsiTheme="minorBidi"/>
          <w:b/>
          <w:bCs/>
          <w:lang w:val="en-US"/>
        </w:rPr>
      </w:pPr>
    </w:p>
    <w:p w14:paraId="3668B158" w14:textId="5BD22BA3" w:rsidR="00940E34" w:rsidRPr="00B81F2B" w:rsidRDefault="00940E34" w:rsidP="008B7584">
      <w:pPr>
        <w:spacing w:line="480" w:lineRule="auto"/>
        <w:rPr>
          <w:rFonts w:asciiTheme="minorBidi" w:eastAsia="Arial" w:hAnsiTheme="minorBidi"/>
          <w:b/>
          <w:bCs/>
          <w:u w:val="single"/>
          <w:rtl/>
          <w:lang w:val="en-US"/>
        </w:rPr>
      </w:pPr>
      <w:r w:rsidRPr="00B81F2B">
        <w:rPr>
          <w:rFonts w:asciiTheme="minorBidi" w:eastAsia="Arial" w:hAnsiTheme="minorBidi"/>
          <w:b/>
          <w:bCs/>
          <w:u w:val="single"/>
          <w:lang w:val="en-US"/>
        </w:rPr>
        <w:lastRenderedPageBreak/>
        <w:t>Abstract</w:t>
      </w:r>
      <w:r w:rsidR="005B57DD" w:rsidRPr="00B81F2B">
        <w:rPr>
          <w:rFonts w:asciiTheme="minorBidi" w:eastAsia="Arial" w:hAnsiTheme="minorBidi"/>
          <w:b/>
          <w:bCs/>
          <w:u w:val="single"/>
          <w:lang w:val="en-US"/>
        </w:rPr>
        <w:t xml:space="preserve"> </w:t>
      </w:r>
    </w:p>
    <w:p w14:paraId="63A1F547" w14:textId="3B8FEE2C" w:rsidR="001A6BB0" w:rsidRDefault="0081492A" w:rsidP="00FD167B">
      <w:pPr>
        <w:pStyle w:val="CommentText"/>
        <w:spacing w:line="480" w:lineRule="auto"/>
        <w:rPr>
          <w:rFonts w:asciiTheme="minorBidi" w:hAnsiTheme="minorBidi"/>
          <w:sz w:val="24"/>
          <w:szCs w:val="24"/>
        </w:rPr>
      </w:pPr>
      <w:r w:rsidRPr="00B81F2B">
        <w:rPr>
          <w:rFonts w:asciiTheme="minorBidi" w:hAnsiTheme="minorBidi"/>
          <w:b/>
          <w:bCs/>
          <w:sz w:val="24"/>
          <w:szCs w:val="24"/>
        </w:rPr>
        <w:t>Background</w:t>
      </w:r>
      <w:r w:rsidR="00FD167B">
        <w:rPr>
          <w:rFonts w:asciiTheme="minorBidi" w:hAnsiTheme="minorBidi"/>
          <w:b/>
          <w:bCs/>
          <w:sz w:val="24"/>
          <w:szCs w:val="24"/>
          <w:lang w:val="en-US"/>
        </w:rPr>
        <w:t xml:space="preserve"> and Aims</w:t>
      </w:r>
      <w:r w:rsidR="00DB2791" w:rsidRPr="00B81F2B">
        <w:rPr>
          <w:rFonts w:asciiTheme="minorBidi" w:hAnsiTheme="minorBidi"/>
          <w:sz w:val="24"/>
          <w:szCs w:val="24"/>
        </w:rPr>
        <w:t xml:space="preserve">: </w:t>
      </w:r>
      <w:r w:rsidR="001A6BB0" w:rsidRPr="001A6BB0">
        <w:rPr>
          <w:rFonts w:asciiTheme="minorBidi" w:hAnsiTheme="minorBidi"/>
          <w:sz w:val="24"/>
          <w:szCs w:val="24"/>
        </w:rPr>
        <w:t xml:space="preserve">In the </w:t>
      </w:r>
      <w:r w:rsidR="003E706B">
        <w:rPr>
          <w:rFonts w:asciiTheme="minorBidi" w:hAnsiTheme="minorBidi"/>
          <w:sz w:val="24"/>
          <w:szCs w:val="24"/>
        </w:rPr>
        <w:t>CENTRAL trial context</w:t>
      </w:r>
      <w:r w:rsidR="001A6BB0" w:rsidRPr="001A6BB0">
        <w:rPr>
          <w:rFonts w:asciiTheme="minorBidi" w:hAnsiTheme="minorBidi"/>
          <w:sz w:val="24"/>
          <w:szCs w:val="24"/>
        </w:rPr>
        <w:t xml:space="preserve">, we found diverse liver fat dynamics in response to different dietary interventions. Epigenetic mechanisms may contribute to the intraindividual variation. Moreover, genetic factors are involved in </w:t>
      </w:r>
      <w:r w:rsidR="003E706B">
        <w:rPr>
          <w:rFonts w:asciiTheme="minorBidi" w:hAnsiTheme="minorBidi"/>
          <w:sz w:val="24"/>
          <w:szCs w:val="24"/>
        </w:rPr>
        <w:t>developing</w:t>
      </w:r>
      <w:r w:rsidR="001A6BB0" w:rsidRPr="001A6BB0">
        <w:rPr>
          <w:rFonts w:asciiTheme="minorBidi" w:hAnsiTheme="minorBidi"/>
          <w:sz w:val="24"/>
          <w:szCs w:val="24"/>
        </w:rPr>
        <w:t xml:space="preserve"> non-alcoholic fatty</w:t>
      </w:r>
      <w:r w:rsidR="0083347A">
        <w:rPr>
          <w:rFonts w:asciiTheme="minorBidi" w:hAnsiTheme="minorBidi"/>
          <w:sz w:val="24"/>
          <w:szCs w:val="24"/>
        </w:rPr>
        <w:t>-</w:t>
      </w:r>
      <w:r w:rsidR="001A6BB0" w:rsidRPr="001A6BB0">
        <w:rPr>
          <w:rFonts w:asciiTheme="minorBidi" w:hAnsiTheme="minorBidi"/>
          <w:sz w:val="24"/>
          <w:szCs w:val="24"/>
        </w:rPr>
        <w:t>liver disease (NAFLD)</w:t>
      </w:r>
      <w:r w:rsidR="00BA3D34">
        <w:rPr>
          <w:rFonts w:asciiTheme="minorBidi" w:hAnsiTheme="minorBidi"/>
          <w:sz w:val="24"/>
          <w:szCs w:val="24"/>
        </w:rPr>
        <w:t xml:space="preserve">, a disease reflected by </w:t>
      </w:r>
      <w:r w:rsidR="003E706B">
        <w:rPr>
          <w:rFonts w:asciiTheme="minorBidi" w:hAnsiTheme="minorBidi"/>
          <w:sz w:val="24"/>
          <w:szCs w:val="24"/>
        </w:rPr>
        <w:t xml:space="preserve">an </w:t>
      </w:r>
      <w:r w:rsidR="00BA3D34">
        <w:rPr>
          <w:rFonts w:asciiTheme="minorBidi" w:hAnsiTheme="minorBidi"/>
          <w:sz w:val="24"/>
          <w:szCs w:val="24"/>
        </w:rPr>
        <w:t>increase in intrahepatic fat (IHF)</w:t>
      </w:r>
      <w:r w:rsidR="001A6BB0" w:rsidRPr="001A6BB0">
        <w:rPr>
          <w:rFonts w:asciiTheme="minorBidi" w:hAnsiTheme="minorBidi"/>
          <w:sz w:val="24"/>
          <w:szCs w:val="24"/>
        </w:rPr>
        <w:t xml:space="preserve">. </w:t>
      </w:r>
      <w:r w:rsidR="00174BE0">
        <w:rPr>
          <w:rFonts w:asciiTheme="minorBidi" w:hAnsiTheme="minorBidi"/>
          <w:sz w:val="24"/>
          <w:szCs w:val="24"/>
        </w:rPr>
        <w:t>In this exploratory analysis</w:t>
      </w:r>
      <w:r w:rsidR="003E706B">
        <w:rPr>
          <w:rFonts w:asciiTheme="minorBidi" w:hAnsiTheme="minorBidi"/>
          <w:sz w:val="24"/>
          <w:szCs w:val="24"/>
        </w:rPr>
        <w:t>,</w:t>
      </w:r>
      <w:r w:rsidR="00174BE0">
        <w:rPr>
          <w:rFonts w:asciiTheme="minorBidi" w:hAnsiTheme="minorBidi"/>
          <w:sz w:val="24"/>
          <w:szCs w:val="24"/>
        </w:rPr>
        <w:t xml:space="preserve"> we primarily aimed to examine</w:t>
      </w:r>
      <w:r w:rsidR="001A6BB0" w:rsidRPr="001A6BB0">
        <w:rPr>
          <w:rFonts w:asciiTheme="minorBidi" w:hAnsiTheme="minorBidi"/>
          <w:sz w:val="24"/>
          <w:szCs w:val="24"/>
        </w:rPr>
        <w:t xml:space="preserve"> </w:t>
      </w:r>
      <w:r w:rsidR="00174BE0">
        <w:rPr>
          <w:rFonts w:asciiTheme="minorBidi" w:hAnsiTheme="minorBidi"/>
          <w:sz w:val="24"/>
          <w:szCs w:val="24"/>
        </w:rPr>
        <w:t>the effect of lifestyle interventions</w:t>
      </w:r>
      <w:r w:rsidR="004D258D">
        <w:rPr>
          <w:rFonts w:asciiTheme="minorBidi" w:hAnsiTheme="minorBidi"/>
          <w:sz w:val="24"/>
          <w:szCs w:val="24"/>
        </w:rPr>
        <w:t xml:space="preserve"> </w:t>
      </w:r>
      <w:r w:rsidR="00174BE0">
        <w:rPr>
          <w:rFonts w:asciiTheme="minorBidi" w:hAnsiTheme="minorBidi"/>
          <w:sz w:val="24"/>
          <w:szCs w:val="24"/>
        </w:rPr>
        <w:t xml:space="preserve">on </w:t>
      </w:r>
      <w:r w:rsidR="00526E3D">
        <w:rPr>
          <w:rFonts w:asciiTheme="minorBidi" w:hAnsiTheme="minorBidi"/>
          <w:sz w:val="24"/>
          <w:szCs w:val="24"/>
        </w:rPr>
        <w:t>NAFLD's DNA-methylation-related</w:t>
      </w:r>
      <w:r w:rsidR="00174BE0">
        <w:rPr>
          <w:rFonts w:asciiTheme="minorBidi" w:hAnsiTheme="minorBidi"/>
          <w:sz w:val="24"/>
          <w:szCs w:val="24"/>
        </w:rPr>
        <w:t xml:space="preserve"> genes</w:t>
      </w:r>
      <w:r w:rsidR="00BA3D34">
        <w:rPr>
          <w:rFonts w:asciiTheme="minorBidi" w:hAnsiTheme="minorBidi"/>
          <w:sz w:val="24"/>
          <w:szCs w:val="24"/>
        </w:rPr>
        <w:t xml:space="preserve"> associated with IHF</w:t>
      </w:r>
      <w:r w:rsidR="00174BE0">
        <w:rPr>
          <w:rFonts w:asciiTheme="minorBidi" w:hAnsiTheme="minorBidi"/>
          <w:sz w:val="24"/>
          <w:szCs w:val="24"/>
        </w:rPr>
        <w:t xml:space="preserve">. </w:t>
      </w:r>
    </w:p>
    <w:p w14:paraId="380C31D9" w14:textId="409ADA5E" w:rsidR="00EB6F99" w:rsidRDefault="00FD167B" w:rsidP="001A6BB0">
      <w:pPr>
        <w:pStyle w:val="CommentText"/>
        <w:spacing w:line="480" w:lineRule="auto"/>
        <w:rPr>
          <w:rFonts w:asciiTheme="minorBidi" w:hAnsiTheme="minorBidi"/>
          <w:sz w:val="24"/>
          <w:szCs w:val="24"/>
          <w:lang w:val="en-US"/>
        </w:rPr>
      </w:pPr>
      <w:r>
        <w:rPr>
          <w:rFonts w:asciiTheme="minorBidi" w:eastAsia="Arial" w:hAnsiTheme="minorBidi"/>
          <w:b/>
          <w:bCs/>
          <w:sz w:val="24"/>
          <w:szCs w:val="24"/>
          <w:lang w:val="en-US"/>
        </w:rPr>
        <w:t>Methods</w:t>
      </w:r>
      <w:r w:rsidR="00DB2791" w:rsidRPr="00B81F2B">
        <w:rPr>
          <w:rFonts w:asciiTheme="minorBidi" w:eastAsia="Arial" w:hAnsiTheme="minorBidi"/>
          <w:sz w:val="24"/>
          <w:szCs w:val="24"/>
          <w:lang w:val="en-US"/>
        </w:rPr>
        <w:t xml:space="preserve">: </w:t>
      </w:r>
      <w:r w:rsidR="00944A77" w:rsidRPr="00B81F2B">
        <w:rPr>
          <w:rFonts w:asciiTheme="minorBidi" w:eastAsia="Arial" w:hAnsiTheme="minorBidi"/>
          <w:sz w:val="24"/>
          <w:szCs w:val="24"/>
          <w:lang w:val="en-US"/>
        </w:rPr>
        <w:t xml:space="preserve">For 120 participants from the CENTRAL trial, an 18-month regimen of either low-fat (LF) or Mediterranean-low carbohydrate (MED/LC) diets, </w:t>
      </w:r>
      <w:r w:rsidR="004D258D">
        <w:rPr>
          <w:rFonts w:asciiTheme="minorBidi" w:eastAsia="Arial" w:hAnsiTheme="minorBidi"/>
          <w:sz w:val="24"/>
          <w:szCs w:val="24"/>
          <w:lang w:val="en-US"/>
        </w:rPr>
        <w:t xml:space="preserve">with or without </w:t>
      </w:r>
      <w:r w:rsidR="0083347A">
        <w:rPr>
          <w:rFonts w:asciiTheme="minorBidi" w:eastAsia="Arial" w:hAnsiTheme="minorBidi"/>
          <w:sz w:val="24"/>
          <w:szCs w:val="24"/>
          <w:lang w:val="en-US"/>
        </w:rPr>
        <w:t>physical activity (</w:t>
      </w:r>
      <w:r w:rsidR="004D258D">
        <w:rPr>
          <w:rFonts w:asciiTheme="minorBidi" w:eastAsia="Arial" w:hAnsiTheme="minorBidi"/>
          <w:sz w:val="24"/>
          <w:szCs w:val="24"/>
          <w:lang w:val="en-US"/>
        </w:rPr>
        <w:t>PA</w:t>
      </w:r>
      <w:r w:rsidR="002B7EFE">
        <w:rPr>
          <w:rFonts w:asciiTheme="minorBidi" w:eastAsia="Arial" w:hAnsiTheme="minorBidi"/>
          <w:sz w:val="24"/>
          <w:szCs w:val="24"/>
          <w:lang w:val="en-US"/>
        </w:rPr>
        <w:t>+/PA-</w:t>
      </w:r>
      <w:r w:rsidR="0083347A">
        <w:rPr>
          <w:rFonts w:asciiTheme="minorBidi" w:eastAsia="Arial" w:hAnsiTheme="minorBidi"/>
          <w:sz w:val="24"/>
          <w:szCs w:val="24"/>
          <w:lang w:val="en-US"/>
        </w:rPr>
        <w:t>)</w:t>
      </w:r>
      <w:r w:rsidR="00526E3D">
        <w:rPr>
          <w:rFonts w:asciiTheme="minorBidi" w:eastAsia="Arial" w:hAnsiTheme="minorBidi"/>
          <w:sz w:val="24"/>
          <w:szCs w:val="24"/>
          <w:lang w:val="en-US"/>
        </w:rPr>
        <w:t>,</w:t>
      </w:r>
      <w:r w:rsidR="004D258D">
        <w:rPr>
          <w:rFonts w:asciiTheme="minorBidi" w:eastAsia="Arial" w:hAnsiTheme="minorBidi"/>
          <w:sz w:val="24"/>
          <w:szCs w:val="24"/>
          <w:lang w:val="en-US"/>
        </w:rPr>
        <w:t xml:space="preserve"> was instructed. </w:t>
      </w:r>
      <w:r w:rsidR="00944A77" w:rsidRPr="00B81F2B">
        <w:rPr>
          <w:rFonts w:asciiTheme="minorBidi" w:eastAsia="Arial" w:hAnsiTheme="minorBidi"/>
          <w:sz w:val="24"/>
          <w:szCs w:val="24"/>
          <w:lang w:val="en-US"/>
        </w:rPr>
        <w:t xml:space="preserve">Magnetic-Resonance-Imaging was used to measure IHF%, which was analyzed for association with CpG specific DNA-methylation levels of </w:t>
      </w:r>
      <w:r w:rsidR="00153EBC" w:rsidRPr="00B81F2B">
        <w:rPr>
          <w:rFonts w:asciiTheme="minorBidi" w:eastAsia="Arial" w:hAnsiTheme="minorBidi"/>
          <w:sz w:val="24"/>
          <w:szCs w:val="24"/>
          <w:lang w:val="en-US"/>
        </w:rPr>
        <w:t>4</w:t>
      </w:r>
      <w:r w:rsidR="00CD39ED" w:rsidRPr="00B81F2B">
        <w:rPr>
          <w:rFonts w:asciiTheme="minorBidi" w:eastAsia="Arial" w:hAnsiTheme="minorBidi"/>
          <w:sz w:val="24"/>
          <w:szCs w:val="24"/>
          <w:lang w:val="en-US"/>
        </w:rPr>
        <w:t>1</w:t>
      </w:r>
      <w:r w:rsidR="00BE2B94" w:rsidRPr="00B81F2B">
        <w:rPr>
          <w:rFonts w:asciiTheme="minorBidi" w:eastAsia="Arial" w:hAnsiTheme="minorBidi"/>
          <w:sz w:val="24"/>
          <w:szCs w:val="24"/>
          <w:lang w:val="en-US"/>
        </w:rPr>
        <w:t xml:space="preserve"> </w:t>
      </w:r>
      <w:r w:rsidR="00944A77" w:rsidRPr="00B81F2B">
        <w:rPr>
          <w:rFonts w:asciiTheme="minorBidi" w:eastAsia="Arial" w:hAnsiTheme="minorBidi"/>
          <w:sz w:val="24"/>
          <w:szCs w:val="24"/>
          <w:lang w:val="en-US"/>
        </w:rPr>
        <w:t xml:space="preserve">selected candidate genes. </w:t>
      </w:r>
      <w:r w:rsidR="003E706B">
        <w:rPr>
          <w:rFonts w:asciiTheme="minorBidi" w:hAnsiTheme="minorBidi"/>
          <w:sz w:val="24"/>
          <w:szCs w:val="24"/>
          <w:lang w:val="en-US"/>
        </w:rPr>
        <w:t>Single-nucleotide polymorphisms known to be associated with NAFLD within the studied genes</w:t>
      </w:r>
      <w:r w:rsidR="008D2A6F">
        <w:rPr>
          <w:rFonts w:asciiTheme="minorBidi" w:hAnsiTheme="minorBidi"/>
          <w:sz w:val="24"/>
          <w:szCs w:val="24"/>
          <w:lang w:val="en-US"/>
        </w:rPr>
        <w:t xml:space="preserve"> were genotyped by TaqMan assays</w:t>
      </w:r>
      <w:r w:rsidR="00944A77" w:rsidRPr="00B81F2B">
        <w:rPr>
          <w:rFonts w:asciiTheme="minorBidi" w:hAnsiTheme="minorBidi"/>
          <w:sz w:val="24"/>
          <w:szCs w:val="24"/>
          <w:lang w:val="en-US"/>
        </w:rPr>
        <w:t>.</w:t>
      </w:r>
      <w:r w:rsidR="00B96F8F" w:rsidRPr="00B81F2B">
        <w:rPr>
          <w:rFonts w:asciiTheme="minorBidi" w:hAnsiTheme="minorBidi"/>
          <w:sz w:val="24"/>
          <w:szCs w:val="24"/>
          <w:lang w:val="en-US"/>
        </w:rPr>
        <w:t xml:space="preserve"> </w:t>
      </w:r>
    </w:p>
    <w:p w14:paraId="4C4F1538" w14:textId="1A45EC04" w:rsidR="00DB2791" w:rsidRPr="0083347A" w:rsidRDefault="00DB2791" w:rsidP="0083347A">
      <w:pPr>
        <w:pStyle w:val="CommentText"/>
        <w:spacing w:line="480" w:lineRule="auto"/>
        <w:rPr>
          <w:rFonts w:asciiTheme="minorBidi" w:hAnsiTheme="minorBidi"/>
          <w:color w:val="000000" w:themeColor="text1"/>
          <w:sz w:val="24"/>
          <w:szCs w:val="24"/>
        </w:rPr>
      </w:pPr>
      <w:r w:rsidRPr="00B81F2B">
        <w:rPr>
          <w:rFonts w:asciiTheme="minorBidi" w:hAnsiTheme="minorBidi"/>
          <w:b/>
          <w:bCs/>
          <w:sz w:val="24"/>
          <w:szCs w:val="24"/>
          <w:lang w:val="en-US"/>
        </w:rPr>
        <w:t>Results</w:t>
      </w:r>
      <w:r w:rsidRPr="00B81F2B">
        <w:rPr>
          <w:rFonts w:asciiTheme="minorBidi" w:hAnsiTheme="minorBidi"/>
          <w:sz w:val="24"/>
          <w:szCs w:val="24"/>
          <w:lang w:val="en-US"/>
        </w:rPr>
        <w:t xml:space="preserve">: </w:t>
      </w:r>
      <w:r w:rsidR="000764AC" w:rsidRPr="00B81F2B">
        <w:rPr>
          <w:rFonts w:asciiTheme="minorBidi" w:eastAsia="Arial" w:hAnsiTheme="minorBidi"/>
          <w:sz w:val="24"/>
          <w:szCs w:val="24"/>
          <w:lang w:val="en-US"/>
        </w:rPr>
        <w:t>A</w:t>
      </w:r>
      <w:r w:rsidR="00517096" w:rsidRPr="00B81F2B">
        <w:rPr>
          <w:rFonts w:asciiTheme="minorBidi" w:eastAsia="Arial" w:hAnsiTheme="minorBidi"/>
          <w:sz w:val="24"/>
          <w:szCs w:val="24"/>
          <w:lang w:val="en-US"/>
        </w:rPr>
        <w:t xml:space="preserve">t baseline, </w:t>
      </w:r>
      <w:r w:rsidR="006A534D" w:rsidRPr="00B81F2B">
        <w:rPr>
          <w:rFonts w:asciiTheme="minorBidi" w:eastAsia="Arial" w:hAnsiTheme="minorBidi"/>
          <w:sz w:val="24"/>
          <w:szCs w:val="24"/>
          <w:lang w:val="en-US"/>
        </w:rPr>
        <w:t>participants</w:t>
      </w:r>
      <w:r w:rsidR="00DC21D7" w:rsidRPr="00B81F2B">
        <w:rPr>
          <w:rFonts w:asciiTheme="minorBidi" w:eastAsia="Arial" w:hAnsiTheme="minorBidi"/>
          <w:sz w:val="24"/>
          <w:szCs w:val="24"/>
          <w:lang w:val="en-US"/>
        </w:rPr>
        <w:t xml:space="preserve"> </w:t>
      </w:r>
      <w:r w:rsidR="000764AC" w:rsidRPr="00B81F2B">
        <w:rPr>
          <w:rFonts w:asciiTheme="minorBidi" w:eastAsia="Arial" w:hAnsiTheme="minorBidi"/>
          <w:sz w:val="24"/>
          <w:szCs w:val="24"/>
          <w:lang w:val="en-US"/>
        </w:rPr>
        <w:t xml:space="preserve">(92% </w:t>
      </w:r>
      <w:proofErr w:type="spellStart"/>
      <w:r w:rsidR="000764AC" w:rsidRPr="00B81F2B">
        <w:rPr>
          <w:rFonts w:asciiTheme="minorBidi" w:eastAsia="Arial" w:hAnsiTheme="minorBidi"/>
          <w:sz w:val="24"/>
          <w:szCs w:val="24"/>
          <w:lang w:val="en-US"/>
        </w:rPr>
        <w:t>men</w:t>
      </w:r>
      <w:r w:rsidR="00DC21D7" w:rsidRPr="00B81F2B">
        <w:rPr>
          <w:rFonts w:asciiTheme="minorBidi" w:eastAsia="Arial" w:hAnsiTheme="minorBidi"/>
          <w:sz w:val="24"/>
          <w:szCs w:val="24"/>
          <w:lang w:val="en-US"/>
        </w:rPr>
        <w:t>;</w:t>
      </w:r>
      <w:r w:rsidR="0040652F" w:rsidRPr="00B81F2B">
        <w:rPr>
          <w:rFonts w:asciiTheme="minorBidi" w:eastAsia="Arial" w:hAnsiTheme="minorBidi"/>
          <w:sz w:val="24"/>
          <w:szCs w:val="24"/>
          <w:lang w:val="en-US"/>
        </w:rPr>
        <w:t>body-mass-index</w:t>
      </w:r>
      <w:proofErr w:type="spellEnd"/>
      <w:r w:rsidR="000764AC" w:rsidRPr="00B81F2B">
        <w:rPr>
          <w:rFonts w:asciiTheme="minorBidi" w:eastAsia="Arial" w:hAnsiTheme="minorBidi"/>
          <w:sz w:val="24"/>
          <w:szCs w:val="24"/>
          <w:lang w:val="en-US"/>
        </w:rPr>
        <w:t>=30.</w:t>
      </w:r>
      <w:r w:rsidR="00921BDB" w:rsidRPr="00B81F2B">
        <w:rPr>
          <w:rFonts w:asciiTheme="minorBidi" w:eastAsia="Arial" w:hAnsiTheme="minorBidi"/>
          <w:sz w:val="24"/>
          <w:szCs w:val="24"/>
          <w:lang w:val="en-US"/>
        </w:rPr>
        <w:t>2</w:t>
      </w:r>
      <w:r w:rsidR="000109A9" w:rsidRPr="00B81F2B">
        <w:rPr>
          <w:rFonts w:asciiTheme="minorBidi" w:eastAsia="Arial" w:hAnsiTheme="minorBidi"/>
          <w:sz w:val="24"/>
          <w:szCs w:val="24"/>
          <w:lang w:val="en-US"/>
        </w:rPr>
        <w:t>kg/m</w:t>
      </w:r>
      <w:r w:rsidR="000109A9" w:rsidRPr="00B81F2B">
        <w:rPr>
          <w:rFonts w:asciiTheme="minorBidi" w:eastAsia="Arial" w:hAnsiTheme="minorBidi"/>
          <w:sz w:val="24"/>
          <w:szCs w:val="24"/>
          <w:vertAlign w:val="superscript"/>
          <w:lang w:val="en-US"/>
        </w:rPr>
        <w:t>2</w:t>
      </w:r>
      <w:r w:rsidR="000764AC" w:rsidRPr="00B81F2B">
        <w:rPr>
          <w:rFonts w:asciiTheme="minorBidi" w:eastAsia="Arial" w:hAnsiTheme="minorBidi"/>
          <w:sz w:val="24"/>
          <w:szCs w:val="24"/>
          <w:lang w:val="en-US"/>
        </w:rPr>
        <w:t>)</w:t>
      </w:r>
      <w:r w:rsidR="006A534D" w:rsidRPr="00B81F2B">
        <w:rPr>
          <w:rFonts w:asciiTheme="minorBidi" w:eastAsia="Arial" w:hAnsiTheme="minorBidi"/>
          <w:sz w:val="24"/>
          <w:szCs w:val="24"/>
          <w:lang w:val="en-US"/>
        </w:rPr>
        <w:t xml:space="preserve"> had mean IHF of 10.7% (59% NAFLD).</w:t>
      </w:r>
      <w:r w:rsidR="000764AC" w:rsidRPr="00B81F2B">
        <w:rPr>
          <w:rFonts w:asciiTheme="minorBidi" w:eastAsia="Arial" w:hAnsiTheme="minorBidi"/>
          <w:sz w:val="24"/>
          <w:szCs w:val="24"/>
          <w:lang w:val="en-US"/>
        </w:rPr>
        <w:t xml:space="preserve"> </w:t>
      </w:r>
      <w:r w:rsidR="006A534D" w:rsidRPr="00B81F2B">
        <w:rPr>
          <w:rFonts w:asciiTheme="minorBidi" w:eastAsia="Arial" w:hAnsiTheme="minorBidi"/>
          <w:sz w:val="24"/>
          <w:szCs w:val="24"/>
          <w:lang w:val="en-US"/>
        </w:rPr>
        <w:t>Baseline-</w:t>
      </w:r>
      <w:r w:rsidR="000764AC" w:rsidRPr="00B81F2B">
        <w:rPr>
          <w:rFonts w:asciiTheme="minorBidi" w:eastAsia="Arial" w:hAnsiTheme="minorBidi"/>
          <w:sz w:val="24"/>
          <w:szCs w:val="24"/>
          <w:lang w:val="en-US"/>
        </w:rPr>
        <w:t xml:space="preserve">IHF% was inversely </w:t>
      </w:r>
      <w:r w:rsidR="0040652F" w:rsidRPr="00B81F2B">
        <w:rPr>
          <w:rFonts w:asciiTheme="minorBidi" w:eastAsia="Arial" w:hAnsiTheme="minorBidi"/>
          <w:sz w:val="24"/>
          <w:szCs w:val="24"/>
          <w:lang w:val="en-US"/>
        </w:rPr>
        <w:t>correlated</w:t>
      </w:r>
      <w:r w:rsidR="000764AC" w:rsidRPr="00B81F2B">
        <w:rPr>
          <w:rFonts w:asciiTheme="minorBidi" w:eastAsia="Arial" w:hAnsiTheme="minorBidi"/>
          <w:sz w:val="24"/>
          <w:szCs w:val="24"/>
          <w:lang w:val="en-US"/>
        </w:rPr>
        <w:t xml:space="preserve"> with </w:t>
      </w:r>
      <w:r w:rsidR="00ED350C" w:rsidRPr="00B81F2B">
        <w:rPr>
          <w:rFonts w:asciiTheme="minorBidi" w:eastAsia="Arial" w:hAnsiTheme="minorBidi"/>
          <w:sz w:val="24"/>
          <w:szCs w:val="24"/>
          <w:lang w:val="en-US"/>
        </w:rPr>
        <w:t>DNA</w:t>
      </w:r>
      <w:r w:rsidR="002B7EC6" w:rsidRPr="00B81F2B">
        <w:rPr>
          <w:rFonts w:asciiTheme="minorBidi" w:eastAsia="Arial" w:hAnsiTheme="minorBidi"/>
          <w:sz w:val="24"/>
          <w:szCs w:val="24"/>
          <w:lang w:val="en-US"/>
        </w:rPr>
        <w:t>-</w:t>
      </w:r>
      <w:r w:rsidR="00ED350C" w:rsidRPr="00B81F2B">
        <w:rPr>
          <w:rFonts w:asciiTheme="minorBidi" w:eastAsia="Arial" w:hAnsiTheme="minorBidi"/>
          <w:sz w:val="24"/>
          <w:szCs w:val="24"/>
          <w:lang w:val="en-US"/>
        </w:rPr>
        <w:t>methylation at</w:t>
      </w:r>
      <w:r w:rsidR="002F2C5C" w:rsidRPr="00B81F2B">
        <w:rPr>
          <w:rFonts w:asciiTheme="minorBidi" w:eastAsia="Arial" w:hAnsiTheme="minorBidi"/>
          <w:sz w:val="24"/>
          <w:szCs w:val="24"/>
          <w:lang w:val="en-US"/>
        </w:rPr>
        <w:t xml:space="preserve"> individual</w:t>
      </w:r>
      <w:r w:rsidR="00ED350C" w:rsidRPr="00B81F2B">
        <w:rPr>
          <w:rFonts w:asciiTheme="minorBidi" w:eastAsia="Arial" w:hAnsiTheme="minorBidi"/>
          <w:sz w:val="24"/>
          <w:szCs w:val="24"/>
          <w:lang w:val="en-US"/>
        </w:rPr>
        <w:t xml:space="preserve"> </w:t>
      </w:r>
      <w:proofErr w:type="spellStart"/>
      <w:r w:rsidR="000764AC" w:rsidRPr="00B81F2B">
        <w:rPr>
          <w:rFonts w:asciiTheme="minorBidi" w:eastAsia="Arial" w:hAnsiTheme="minorBidi"/>
          <w:sz w:val="24"/>
          <w:szCs w:val="24"/>
          <w:lang w:val="en-US"/>
        </w:rPr>
        <w:t>CpGs</w:t>
      </w:r>
      <w:proofErr w:type="spellEnd"/>
      <w:r w:rsidR="000764AC" w:rsidRPr="00B81F2B">
        <w:rPr>
          <w:rFonts w:asciiTheme="minorBidi" w:eastAsia="Arial" w:hAnsiTheme="minorBidi"/>
          <w:sz w:val="24"/>
          <w:szCs w:val="24"/>
          <w:lang w:val="en-US"/>
        </w:rPr>
        <w:t xml:space="preserve"> </w:t>
      </w:r>
      <w:r w:rsidR="00ED350C" w:rsidRPr="00B81F2B">
        <w:rPr>
          <w:rFonts w:asciiTheme="minorBidi" w:eastAsia="Arial" w:hAnsiTheme="minorBidi"/>
          <w:sz w:val="24"/>
          <w:szCs w:val="24"/>
          <w:lang w:val="en-US"/>
        </w:rPr>
        <w:t>within</w:t>
      </w:r>
      <w:r w:rsidR="000764AC" w:rsidRPr="00B81F2B">
        <w:rPr>
          <w:rFonts w:asciiTheme="minorBidi" w:eastAsia="Arial" w:hAnsiTheme="minorBidi"/>
          <w:sz w:val="24"/>
          <w:szCs w:val="24"/>
          <w:lang w:val="en-US"/>
        </w:rPr>
        <w:t xml:space="preserve"> </w:t>
      </w:r>
      <w:r w:rsidR="000764AC" w:rsidRPr="00B81F2B">
        <w:rPr>
          <w:rFonts w:asciiTheme="minorBidi" w:hAnsiTheme="minorBidi"/>
          <w:i/>
          <w:sz w:val="24"/>
          <w:szCs w:val="24"/>
        </w:rPr>
        <w:t>AC074286.1</w:t>
      </w:r>
      <w:r w:rsidR="000764AC" w:rsidRPr="00B81F2B">
        <w:rPr>
          <w:rFonts w:asciiTheme="minorBidi" w:hAnsiTheme="minorBidi"/>
          <w:sz w:val="24"/>
          <w:szCs w:val="24"/>
        </w:rPr>
        <w:t>,</w:t>
      </w:r>
      <w:r w:rsidR="000764AC" w:rsidRPr="00B81F2B">
        <w:rPr>
          <w:rFonts w:asciiTheme="minorBidi" w:hAnsiTheme="minorBidi"/>
          <w:i/>
          <w:sz w:val="24"/>
          <w:szCs w:val="24"/>
        </w:rPr>
        <w:t xml:space="preserve"> CRACR2A</w:t>
      </w:r>
      <w:r w:rsidR="000764AC" w:rsidRPr="00B81F2B">
        <w:rPr>
          <w:rFonts w:asciiTheme="minorBidi" w:hAnsiTheme="minorBidi"/>
          <w:sz w:val="24"/>
          <w:szCs w:val="24"/>
        </w:rPr>
        <w:t xml:space="preserve">, </w:t>
      </w:r>
      <w:r w:rsidR="000764AC" w:rsidRPr="00B81F2B">
        <w:rPr>
          <w:rFonts w:asciiTheme="minorBidi" w:hAnsiTheme="minorBidi"/>
          <w:i/>
          <w:sz w:val="24"/>
          <w:szCs w:val="24"/>
          <w:lang w:val="en-US"/>
        </w:rPr>
        <w:t>A2MP1</w:t>
      </w:r>
      <w:r w:rsidR="000764AC" w:rsidRPr="00B81F2B">
        <w:rPr>
          <w:rFonts w:asciiTheme="minorBidi" w:hAnsiTheme="minorBidi"/>
          <w:sz w:val="24"/>
          <w:szCs w:val="24"/>
          <w:lang w:val="en-US"/>
        </w:rPr>
        <w:t>,</w:t>
      </w:r>
      <w:r w:rsidR="000764AC" w:rsidRPr="00B81F2B">
        <w:rPr>
          <w:rFonts w:asciiTheme="minorBidi" w:hAnsiTheme="minorBidi"/>
          <w:i/>
          <w:sz w:val="24"/>
          <w:szCs w:val="24"/>
          <w:lang w:val="en-US"/>
        </w:rPr>
        <w:t xml:space="preserve"> </w:t>
      </w:r>
      <w:r w:rsidR="000764AC" w:rsidRPr="00B81F2B">
        <w:rPr>
          <w:rFonts w:asciiTheme="minorBidi" w:hAnsiTheme="minorBidi"/>
          <w:i/>
          <w:sz w:val="24"/>
          <w:szCs w:val="24"/>
        </w:rPr>
        <w:t>FARP1</w:t>
      </w:r>
      <w:r w:rsidR="000764AC" w:rsidRPr="00B81F2B">
        <w:rPr>
          <w:rFonts w:asciiTheme="minorBidi" w:hAnsiTheme="minorBidi"/>
          <w:sz w:val="24"/>
          <w:szCs w:val="24"/>
        </w:rPr>
        <w:t xml:space="preserve"> (p&lt;0.0</w:t>
      </w:r>
      <w:r w:rsidR="00BC06C9" w:rsidRPr="00B81F2B">
        <w:rPr>
          <w:rFonts w:asciiTheme="minorBidi" w:hAnsiTheme="minorBidi"/>
          <w:sz w:val="24"/>
          <w:szCs w:val="24"/>
        </w:rPr>
        <w:t>5</w:t>
      </w:r>
      <w:r w:rsidR="000764AC" w:rsidRPr="00B81F2B">
        <w:rPr>
          <w:rFonts w:asciiTheme="minorBidi" w:hAnsiTheme="minorBidi"/>
          <w:sz w:val="24"/>
          <w:szCs w:val="24"/>
        </w:rPr>
        <w:t xml:space="preserve"> for all</w:t>
      </w:r>
      <w:r w:rsidR="00AD0037" w:rsidRPr="00B81F2B">
        <w:rPr>
          <w:rFonts w:asciiTheme="minorBidi" w:hAnsiTheme="minorBidi"/>
          <w:sz w:val="24"/>
          <w:szCs w:val="24"/>
        </w:rPr>
        <w:t xml:space="preserve"> multivariate models</w:t>
      </w:r>
      <w:r w:rsidR="002E4C09" w:rsidRPr="00B81F2B">
        <w:rPr>
          <w:rFonts w:asciiTheme="minorBidi" w:hAnsiTheme="minorBidi"/>
          <w:sz w:val="24"/>
          <w:szCs w:val="24"/>
        </w:rPr>
        <w:t xml:space="preserve">). </w:t>
      </w:r>
      <w:r w:rsidR="00380166" w:rsidRPr="00B81F2B">
        <w:rPr>
          <w:rFonts w:asciiTheme="minorBidi" w:hAnsiTheme="minorBidi"/>
          <w:i/>
          <w:iCs/>
          <w:sz w:val="24"/>
          <w:szCs w:val="24"/>
        </w:rPr>
        <w:t>FARP1</w:t>
      </w:r>
      <w:r w:rsidR="00380166" w:rsidRPr="00B81F2B">
        <w:rPr>
          <w:rFonts w:asciiTheme="minorBidi" w:hAnsiTheme="minorBidi"/>
          <w:sz w:val="24"/>
          <w:szCs w:val="24"/>
        </w:rPr>
        <w:t xml:space="preserve"> rs9584805 showed association with IHF</w:t>
      </w:r>
      <w:r w:rsidR="006708CF" w:rsidRPr="00B81F2B">
        <w:rPr>
          <w:rFonts w:asciiTheme="minorBidi" w:hAnsiTheme="minorBidi"/>
          <w:sz w:val="24"/>
          <w:szCs w:val="24"/>
        </w:rPr>
        <w:t>, with the prevalence of NAFLD</w:t>
      </w:r>
      <w:r w:rsidR="003E706B">
        <w:rPr>
          <w:rFonts w:asciiTheme="minorBidi" w:hAnsiTheme="minorBidi"/>
          <w:sz w:val="24"/>
          <w:szCs w:val="24"/>
        </w:rPr>
        <w:t xml:space="preserve"> </w:t>
      </w:r>
      <w:r w:rsidR="003E706B" w:rsidRPr="0083347A">
        <w:rPr>
          <w:rFonts w:asciiTheme="minorBidi" w:hAnsiTheme="minorBidi"/>
          <w:color w:val="000000" w:themeColor="text1"/>
          <w:sz w:val="24"/>
          <w:szCs w:val="24"/>
        </w:rPr>
        <w:t>and</w:t>
      </w:r>
      <w:r w:rsidR="0074018C" w:rsidRPr="0083347A">
        <w:rPr>
          <w:rFonts w:asciiTheme="minorBidi" w:hAnsiTheme="minorBidi"/>
          <w:color w:val="000000" w:themeColor="text1"/>
          <w:sz w:val="24"/>
          <w:szCs w:val="24"/>
        </w:rPr>
        <w:t xml:space="preserve"> baseline methylation level of the CpG site (cg00071727) associated with IHF%. </w:t>
      </w:r>
      <w:r w:rsidR="002148B7" w:rsidRPr="0083347A">
        <w:rPr>
          <w:rFonts w:asciiTheme="minorBidi" w:hAnsiTheme="minorBidi"/>
          <w:color w:val="000000" w:themeColor="text1"/>
          <w:sz w:val="24"/>
          <w:szCs w:val="24"/>
        </w:rPr>
        <w:t>F</w:t>
      </w:r>
      <w:proofErr w:type="spellStart"/>
      <w:r w:rsidR="002148B7" w:rsidRPr="0083347A">
        <w:rPr>
          <w:rFonts w:asciiTheme="minorBidi" w:hAnsiTheme="minorBidi"/>
          <w:color w:val="000000" w:themeColor="text1"/>
          <w:sz w:val="24"/>
          <w:szCs w:val="24"/>
          <w:lang w:val="en-US"/>
        </w:rPr>
        <w:t>ollowing</w:t>
      </w:r>
      <w:proofErr w:type="spellEnd"/>
      <w:r w:rsidR="0083347A">
        <w:rPr>
          <w:rFonts w:asciiTheme="minorBidi" w:hAnsiTheme="minorBidi"/>
          <w:color w:val="000000" w:themeColor="text1"/>
          <w:sz w:val="24"/>
          <w:szCs w:val="24"/>
          <w:lang w:val="en-US"/>
        </w:rPr>
        <w:t xml:space="preserve"> </w:t>
      </w:r>
      <w:r w:rsidR="000F0769" w:rsidRPr="0083347A">
        <w:rPr>
          <w:rFonts w:asciiTheme="minorBidi" w:hAnsiTheme="minorBidi"/>
          <w:color w:val="000000" w:themeColor="text1"/>
          <w:sz w:val="24"/>
          <w:szCs w:val="24"/>
        </w:rPr>
        <w:t xml:space="preserve">18-month </w:t>
      </w:r>
      <w:r w:rsidR="0083347A">
        <w:rPr>
          <w:rFonts w:asciiTheme="minorBidi" w:hAnsiTheme="minorBidi"/>
          <w:color w:val="000000" w:themeColor="text1"/>
          <w:sz w:val="24"/>
          <w:szCs w:val="24"/>
        </w:rPr>
        <w:t xml:space="preserve">lifestyle </w:t>
      </w:r>
      <w:r w:rsidR="006A534D" w:rsidRPr="0083347A">
        <w:rPr>
          <w:rFonts w:asciiTheme="minorBidi" w:hAnsiTheme="minorBidi"/>
          <w:color w:val="000000" w:themeColor="text1"/>
          <w:sz w:val="24"/>
          <w:szCs w:val="24"/>
        </w:rPr>
        <w:t>intervention</w:t>
      </w:r>
      <w:r w:rsidR="0083347A">
        <w:rPr>
          <w:rFonts w:asciiTheme="minorBidi" w:hAnsiTheme="minorBidi"/>
          <w:color w:val="000000" w:themeColor="text1"/>
          <w:sz w:val="24"/>
          <w:szCs w:val="24"/>
        </w:rPr>
        <w:t xml:space="preserve">, </w:t>
      </w:r>
      <w:r w:rsidR="004938BA" w:rsidRPr="0083347A">
        <w:rPr>
          <w:rFonts w:asciiTheme="minorBidi" w:hAnsiTheme="minorBidi"/>
          <w:color w:val="000000" w:themeColor="text1"/>
          <w:sz w:val="24"/>
          <w:szCs w:val="24"/>
        </w:rPr>
        <w:t xml:space="preserve">differential </w:t>
      </w:r>
      <w:r w:rsidR="0083347A">
        <w:rPr>
          <w:rFonts w:asciiTheme="minorBidi" w:hAnsiTheme="minorBidi"/>
          <w:color w:val="000000" w:themeColor="text1"/>
          <w:sz w:val="24"/>
          <w:szCs w:val="24"/>
        </w:rPr>
        <w:t>DNA-</w:t>
      </w:r>
      <w:r w:rsidR="004938BA" w:rsidRPr="0083347A">
        <w:rPr>
          <w:rFonts w:asciiTheme="minorBidi" w:hAnsiTheme="minorBidi"/>
          <w:color w:val="000000" w:themeColor="text1"/>
          <w:sz w:val="24"/>
          <w:szCs w:val="24"/>
        </w:rPr>
        <w:t xml:space="preserve">methylation </w:t>
      </w:r>
      <w:r w:rsidR="006A074C" w:rsidRPr="0083347A">
        <w:rPr>
          <w:rFonts w:asciiTheme="minorBidi" w:hAnsiTheme="minorBidi"/>
          <w:color w:val="000000" w:themeColor="text1"/>
          <w:sz w:val="24"/>
          <w:szCs w:val="24"/>
        </w:rPr>
        <w:t xml:space="preserve">patterns </w:t>
      </w:r>
      <w:r w:rsidR="0083347A">
        <w:rPr>
          <w:rFonts w:asciiTheme="minorBidi" w:hAnsiTheme="minorBidi"/>
          <w:color w:val="000000" w:themeColor="text1"/>
          <w:sz w:val="24"/>
          <w:szCs w:val="24"/>
        </w:rPr>
        <w:t xml:space="preserve">were observed </w:t>
      </w:r>
      <w:r w:rsidR="004938BA" w:rsidRPr="0083347A">
        <w:rPr>
          <w:rFonts w:asciiTheme="minorBidi" w:hAnsiTheme="minorBidi"/>
          <w:color w:val="000000" w:themeColor="text1"/>
          <w:sz w:val="24"/>
          <w:szCs w:val="24"/>
        </w:rPr>
        <w:t xml:space="preserve">between diets at </w:t>
      </w:r>
      <w:r w:rsidR="0083347A" w:rsidRPr="00B81F2B">
        <w:rPr>
          <w:rFonts w:asciiTheme="minorBidi" w:hAnsiTheme="minorBidi"/>
          <w:sz w:val="24"/>
          <w:szCs w:val="24"/>
          <w:lang w:val="en-US"/>
        </w:rPr>
        <w:t>cg14335324</w:t>
      </w:r>
      <w:r w:rsidR="0083347A">
        <w:rPr>
          <w:rFonts w:asciiTheme="minorBidi" w:hAnsiTheme="minorBidi"/>
          <w:sz w:val="24"/>
          <w:szCs w:val="24"/>
          <w:lang w:val="en-US"/>
        </w:rPr>
        <w:t xml:space="preserve"> annotated to </w:t>
      </w:r>
      <w:r w:rsidR="0083347A" w:rsidRPr="0083347A">
        <w:rPr>
          <w:rFonts w:asciiTheme="minorBidi" w:hAnsiTheme="minorBidi"/>
          <w:i/>
          <w:color w:val="000000" w:themeColor="text1"/>
          <w:sz w:val="24"/>
          <w:szCs w:val="24"/>
        </w:rPr>
        <w:t xml:space="preserve">A2MP1 </w:t>
      </w:r>
      <w:r w:rsidR="004938BA" w:rsidRPr="0083347A">
        <w:rPr>
          <w:rFonts w:asciiTheme="minorBidi" w:hAnsiTheme="minorBidi"/>
          <w:color w:val="000000" w:themeColor="text1"/>
          <w:sz w:val="24"/>
          <w:szCs w:val="24"/>
        </w:rPr>
        <w:t>(p</w:t>
      </w:r>
      <w:r w:rsidR="0083347A" w:rsidRPr="0083347A">
        <w:rPr>
          <w:rFonts w:asciiTheme="minorBidi" w:hAnsiTheme="minorBidi"/>
          <w:color w:val="000000" w:themeColor="text1"/>
          <w:sz w:val="24"/>
          <w:szCs w:val="24"/>
        </w:rPr>
        <w:t>=0.04, LF vs. MED/LC</w:t>
      </w:r>
      <w:r w:rsidR="004938BA" w:rsidRPr="0083347A">
        <w:rPr>
          <w:rFonts w:asciiTheme="minorBidi" w:hAnsiTheme="minorBidi"/>
          <w:color w:val="000000" w:themeColor="text1"/>
          <w:sz w:val="24"/>
          <w:szCs w:val="24"/>
        </w:rPr>
        <w:t>)</w:t>
      </w:r>
      <w:r w:rsidR="0083347A" w:rsidRPr="0083347A">
        <w:rPr>
          <w:rFonts w:asciiTheme="minorBidi" w:hAnsiTheme="minorBidi"/>
          <w:color w:val="000000" w:themeColor="text1"/>
          <w:sz w:val="24"/>
          <w:szCs w:val="24"/>
        </w:rPr>
        <w:t xml:space="preserve">, and differential </w:t>
      </w:r>
      <w:r w:rsidR="0083347A">
        <w:rPr>
          <w:rFonts w:asciiTheme="minorBidi" w:hAnsiTheme="minorBidi"/>
          <w:color w:val="000000" w:themeColor="text1"/>
          <w:sz w:val="24"/>
          <w:szCs w:val="24"/>
        </w:rPr>
        <w:t>DNA-</w:t>
      </w:r>
      <w:r w:rsidR="0083347A" w:rsidRPr="0083347A">
        <w:rPr>
          <w:rFonts w:asciiTheme="minorBidi" w:hAnsiTheme="minorBidi"/>
          <w:color w:val="000000" w:themeColor="text1"/>
          <w:sz w:val="24"/>
          <w:szCs w:val="24"/>
        </w:rPr>
        <w:t>methylation between PA groups within</w:t>
      </w:r>
      <w:r w:rsidR="004938BA" w:rsidRPr="0083347A">
        <w:rPr>
          <w:rFonts w:asciiTheme="minorBidi" w:hAnsiTheme="minorBidi"/>
          <w:color w:val="000000" w:themeColor="text1"/>
          <w:sz w:val="24"/>
          <w:szCs w:val="24"/>
        </w:rPr>
        <w:t xml:space="preserve"> </w:t>
      </w:r>
      <w:r w:rsidR="0083347A" w:rsidRPr="0083347A">
        <w:rPr>
          <w:rFonts w:asciiTheme="minorBidi" w:hAnsiTheme="minorBidi"/>
          <w:i/>
          <w:iCs/>
          <w:color w:val="000000" w:themeColor="text1"/>
          <w:sz w:val="24"/>
          <w:szCs w:val="24"/>
        </w:rPr>
        <w:t>AC074286.1</w:t>
      </w:r>
      <w:r w:rsidR="002B7EFE">
        <w:rPr>
          <w:rFonts w:asciiTheme="minorBidi" w:hAnsiTheme="minorBidi"/>
          <w:color w:val="000000" w:themeColor="text1"/>
          <w:sz w:val="24"/>
          <w:szCs w:val="24"/>
        </w:rPr>
        <w:t>,</w:t>
      </w:r>
      <w:r w:rsidR="0083347A">
        <w:rPr>
          <w:rFonts w:asciiTheme="minorBidi" w:hAnsiTheme="minorBidi"/>
          <w:color w:val="000000" w:themeColor="text1"/>
          <w:sz w:val="24"/>
          <w:szCs w:val="24"/>
        </w:rPr>
        <w:t xml:space="preserve"> </w:t>
      </w:r>
      <w:r w:rsidR="0083347A" w:rsidRPr="0083347A">
        <w:rPr>
          <w:rFonts w:asciiTheme="minorBidi" w:hAnsiTheme="minorBidi"/>
          <w:i/>
          <w:iCs/>
          <w:color w:val="000000" w:themeColor="text1"/>
          <w:sz w:val="24"/>
          <w:szCs w:val="24"/>
        </w:rPr>
        <w:t>CRACR2A</w:t>
      </w:r>
      <w:r w:rsidR="0083347A" w:rsidRPr="0083347A">
        <w:rPr>
          <w:rFonts w:asciiTheme="minorBidi" w:hAnsiTheme="minorBidi"/>
          <w:color w:val="000000" w:themeColor="text1"/>
          <w:sz w:val="24"/>
          <w:szCs w:val="24"/>
        </w:rPr>
        <w:t xml:space="preserve">, and </w:t>
      </w:r>
      <w:r w:rsidR="0083347A" w:rsidRPr="0083347A">
        <w:rPr>
          <w:rFonts w:asciiTheme="minorBidi" w:hAnsiTheme="minorBidi"/>
          <w:i/>
          <w:iCs/>
          <w:color w:val="000000" w:themeColor="text1"/>
          <w:sz w:val="24"/>
          <w:szCs w:val="24"/>
        </w:rPr>
        <w:t>FARP1</w:t>
      </w:r>
      <w:r w:rsidR="0083347A" w:rsidRPr="0083347A">
        <w:rPr>
          <w:rFonts w:asciiTheme="minorBidi" w:hAnsiTheme="minorBidi"/>
          <w:color w:val="000000" w:themeColor="text1"/>
          <w:sz w:val="24"/>
          <w:szCs w:val="24"/>
        </w:rPr>
        <w:t xml:space="preserve"> </w:t>
      </w:r>
      <w:proofErr w:type="spellStart"/>
      <w:r w:rsidR="0083347A">
        <w:rPr>
          <w:rFonts w:asciiTheme="minorBidi" w:hAnsiTheme="minorBidi"/>
          <w:color w:val="000000" w:themeColor="text1"/>
          <w:sz w:val="24"/>
          <w:szCs w:val="24"/>
        </w:rPr>
        <w:t>CpGs</w:t>
      </w:r>
      <w:proofErr w:type="spellEnd"/>
      <w:r w:rsidR="0083347A">
        <w:rPr>
          <w:rFonts w:asciiTheme="minorBidi" w:hAnsiTheme="minorBidi"/>
          <w:color w:val="000000" w:themeColor="text1"/>
          <w:sz w:val="24"/>
          <w:szCs w:val="24"/>
        </w:rPr>
        <w:t xml:space="preserve"> </w:t>
      </w:r>
      <w:r w:rsidR="0083347A" w:rsidRPr="0083347A">
        <w:rPr>
          <w:rFonts w:asciiTheme="minorBidi" w:hAnsiTheme="minorBidi"/>
          <w:color w:val="000000" w:themeColor="text1"/>
          <w:sz w:val="24"/>
          <w:szCs w:val="24"/>
        </w:rPr>
        <w:t>(p&lt;0.05 for all, PA- vs. PA+).</w:t>
      </w:r>
    </w:p>
    <w:p w14:paraId="05867B38" w14:textId="439FEBDC" w:rsidR="00B64682" w:rsidRDefault="00DB2791" w:rsidP="005E2A00">
      <w:pPr>
        <w:pStyle w:val="CommentText"/>
        <w:spacing w:line="480" w:lineRule="auto"/>
        <w:rPr>
          <w:rFonts w:asciiTheme="minorBidi" w:eastAsia="Arial" w:hAnsiTheme="minorBidi"/>
          <w:sz w:val="24"/>
          <w:szCs w:val="24"/>
          <w:lang w:val="en-US"/>
        </w:rPr>
      </w:pPr>
      <w:r w:rsidRPr="00B81F2B">
        <w:rPr>
          <w:rFonts w:asciiTheme="minorBidi" w:hAnsiTheme="minorBidi"/>
          <w:b/>
          <w:bCs/>
          <w:sz w:val="24"/>
          <w:szCs w:val="24"/>
        </w:rPr>
        <w:lastRenderedPageBreak/>
        <w:t>Conclusions</w:t>
      </w:r>
      <w:r w:rsidRPr="00B81F2B">
        <w:rPr>
          <w:rFonts w:asciiTheme="minorBidi" w:hAnsiTheme="minorBidi"/>
          <w:sz w:val="24"/>
          <w:szCs w:val="24"/>
        </w:rPr>
        <w:t xml:space="preserve">: </w:t>
      </w:r>
      <w:r w:rsidR="00E2109E">
        <w:rPr>
          <w:rFonts w:asciiTheme="minorBidi" w:eastAsia="Arial" w:hAnsiTheme="minorBidi"/>
          <w:sz w:val="24"/>
          <w:szCs w:val="24"/>
          <w:lang w:val="en-US"/>
        </w:rPr>
        <w:t>This</w:t>
      </w:r>
      <w:r w:rsidR="00517096" w:rsidRPr="00B81F2B">
        <w:rPr>
          <w:rFonts w:asciiTheme="minorBidi" w:eastAsia="Arial" w:hAnsiTheme="minorBidi"/>
          <w:sz w:val="24"/>
          <w:szCs w:val="24"/>
          <w:lang w:val="en-US"/>
        </w:rPr>
        <w:t xml:space="preserve"> study </w:t>
      </w:r>
      <w:r w:rsidR="00E2109E">
        <w:rPr>
          <w:rFonts w:asciiTheme="minorBidi" w:eastAsia="Arial" w:hAnsiTheme="minorBidi"/>
          <w:sz w:val="24"/>
          <w:szCs w:val="24"/>
          <w:lang w:val="en-US"/>
        </w:rPr>
        <w:t>suggests</w:t>
      </w:r>
      <w:r w:rsidR="00517096" w:rsidRPr="00B81F2B">
        <w:rPr>
          <w:rFonts w:asciiTheme="minorBidi" w:eastAsia="Arial" w:hAnsiTheme="minorBidi"/>
          <w:sz w:val="24"/>
          <w:szCs w:val="24"/>
          <w:lang w:val="en-US"/>
        </w:rPr>
        <w:t xml:space="preserve"> epigenetic markers for </w:t>
      </w:r>
      <w:r w:rsidR="009A59DC" w:rsidRPr="00B81F2B">
        <w:rPr>
          <w:rFonts w:asciiTheme="minorBidi" w:eastAsia="Arial" w:hAnsiTheme="minorBidi"/>
          <w:sz w:val="24"/>
          <w:szCs w:val="24"/>
          <w:lang w:val="en-US"/>
        </w:rPr>
        <w:t>IHF</w:t>
      </w:r>
      <w:r w:rsidR="003E706B">
        <w:rPr>
          <w:rFonts w:asciiTheme="minorBidi" w:eastAsia="Arial" w:hAnsiTheme="minorBidi"/>
          <w:sz w:val="24"/>
          <w:szCs w:val="24"/>
          <w:lang w:val="en-US"/>
        </w:rPr>
        <w:t xml:space="preserve"> and</w:t>
      </w:r>
      <w:r w:rsidR="00517096" w:rsidRPr="00B81F2B">
        <w:rPr>
          <w:rFonts w:asciiTheme="minorBidi" w:eastAsia="Arial" w:hAnsiTheme="minorBidi"/>
          <w:sz w:val="24"/>
          <w:szCs w:val="24"/>
          <w:lang w:val="en-US"/>
        </w:rPr>
        <w:t xml:space="preserve"> potential epigenetic remodeling after long-term </w:t>
      </w:r>
      <w:r w:rsidR="00A32F91">
        <w:rPr>
          <w:rFonts w:asciiTheme="minorBidi" w:eastAsia="Arial" w:hAnsiTheme="minorBidi"/>
          <w:sz w:val="24"/>
          <w:szCs w:val="24"/>
          <w:lang w:val="en-US"/>
        </w:rPr>
        <w:t>lifestyle</w:t>
      </w:r>
      <w:r w:rsidR="00517096" w:rsidRPr="00B81F2B">
        <w:rPr>
          <w:rFonts w:asciiTheme="minorBidi" w:eastAsia="Arial" w:hAnsiTheme="minorBidi"/>
          <w:sz w:val="24"/>
          <w:szCs w:val="24"/>
          <w:lang w:val="en-US"/>
        </w:rPr>
        <w:t xml:space="preserve"> interventions. </w:t>
      </w:r>
    </w:p>
    <w:p w14:paraId="692825AB" w14:textId="227EFE18" w:rsidR="0081613E" w:rsidRPr="00B81F2B" w:rsidRDefault="0081613E" w:rsidP="005E2A00">
      <w:pPr>
        <w:pStyle w:val="CommentText"/>
        <w:spacing w:line="480" w:lineRule="auto"/>
        <w:rPr>
          <w:rFonts w:asciiTheme="minorBidi" w:hAnsiTheme="minorBidi"/>
          <w:sz w:val="24"/>
          <w:szCs w:val="24"/>
        </w:rPr>
      </w:pPr>
      <w:r w:rsidRPr="0081613E">
        <w:rPr>
          <w:rFonts w:asciiTheme="minorBidi" w:eastAsia="Arial" w:hAnsiTheme="minorBidi"/>
          <w:b/>
          <w:bCs/>
          <w:sz w:val="24"/>
          <w:szCs w:val="24"/>
          <w:lang w:val="en-US"/>
        </w:rPr>
        <w:t>Abstract word count:</w:t>
      </w:r>
      <w:r>
        <w:rPr>
          <w:rFonts w:asciiTheme="minorBidi" w:eastAsia="Arial" w:hAnsiTheme="minorBidi"/>
          <w:sz w:val="24"/>
          <w:szCs w:val="24"/>
          <w:lang w:val="en-US"/>
        </w:rPr>
        <w:t xml:space="preserve"> 245</w:t>
      </w:r>
    </w:p>
    <w:p w14:paraId="2A0498D3" w14:textId="53D22263" w:rsidR="00C31617" w:rsidRPr="00DF1D5C" w:rsidRDefault="00562A65" w:rsidP="00DF1D5C">
      <w:pPr>
        <w:spacing w:line="480" w:lineRule="auto"/>
        <w:contextualSpacing/>
        <w:rPr>
          <w:rStyle w:val="Hyperlink"/>
          <w:rFonts w:asciiTheme="minorBidi" w:eastAsia="Arial" w:hAnsiTheme="minorBidi"/>
          <w:color w:val="auto"/>
          <w:u w:val="none"/>
          <w:lang w:val="en-US"/>
        </w:rPr>
      </w:pPr>
      <w:r>
        <w:rPr>
          <w:rFonts w:asciiTheme="minorBidi" w:eastAsia="Arial" w:hAnsiTheme="minorBidi"/>
          <w:b/>
          <w:lang w:val="en-US"/>
        </w:rPr>
        <w:t>Keywords</w:t>
      </w:r>
      <w:r w:rsidRPr="00B81F2B">
        <w:rPr>
          <w:rFonts w:asciiTheme="minorBidi" w:eastAsia="Arial" w:hAnsiTheme="minorBidi"/>
          <w:b/>
          <w:lang w:val="en-US"/>
        </w:rPr>
        <w:t>:</w:t>
      </w:r>
      <w:r w:rsidRPr="00B81F2B">
        <w:rPr>
          <w:rFonts w:asciiTheme="minorBidi" w:eastAsia="Arial" w:hAnsiTheme="minorBidi"/>
          <w:lang w:val="en-US"/>
        </w:rPr>
        <w:t xml:space="preserve"> Non-alcoholic fatty liver disease</w:t>
      </w:r>
      <w:r>
        <w:rPr>
          <w:rFonts w:asciiTheme="minorBidi" w:eastAsia="Arial" w:hAnsiTheme="minorBidi"/>
          <w:lang w:val="en-US"/>
        </w:rPr>
        <w:t>;</w:t>
      </w:r>
      <w:r w:rsidRPr="00B81F2B">
        <w:rPr>
          <w:rFonts w:asciiTheme="minorBidi" w:eastAsia="Arial" w:hAnsiTheme="minorBidi"/>
          <w:lang w:val="en-US"/>
        </w:rPr>
        <w:t xml:space="preserve"> DNA-methylation</w:t>
      </w:r>
      <w:r>
        <w:rPr>
          <w:rFonts w:asciiTheme="minorBidi" w:eastAsia="Arial" w:hAnsiTheme="minorBidi"/>
          <w:lang w:val="en-US"/>
        </w:rPr>
        <w:t>;</w:t>
      </w:r>
      <w:r w:rsidRPr="00B81F2B">
        <w:rPr>
          <w:rFonts w:asciiTheme="minorBidi" w:eastAsia="Arial" w:hAnsiTheme="minorBidi"/>
          <w:lang w:val="en-US"/>
        </w:rPr>
        <w:t xml:space="preserve"> </w:t>
      </w:r>
      <w:r w:rsidR="00ED2FDA">
        <w:rPr>
          <w:rFonts w:asciiTheme="minorBidi" w:eastAsia="Arial" w:hAnsiTheme="minorBidi"/>
          <w:lang w:val="en-US"/>
        </w:rPr>
        <w:t>genetic variation</w:t>
      </w:r>
      <w:r>
        <w:rPr>
          <w:rFonts w:asciiTheme="minorBidi" w:eastAsia="Arial" w:hAnsiTheme="minorBidi"/>
          <w:lang w:val="en-US"/>
        </w:rPr>
        <w:t xml:space="preserve">, physical activity, diet. </w:t>
      </w:r>
    </w:p>
    <w:p w14:paraId="40F903E2" w14:textId="77777777" w:rsidR="00DF1D5C" w:rsidRPr="00DF1D5C" w:rsidRDefault="00C31617" w:rsidP="00DF1D5C">
      <w:pPr>
        <w:spacing w:line="480" w:lineRule="auto"/>
        <w:contextualSpacing/>
        <w:rPr>
          <w:rFonts w:asciiTheme="minorBidi" w:eastAsia="Arial" w:hAnsiTheme="minorBidi" w:cstheme="minorBidi"/>
          <w:b/>
          <w:lang w:val="en-US"/>
        </w:rPr>
      </w:pPr>
      <w:r w:rsidRPr="00DF1D5C">
        <w:rPr>
          <w:rFonts w:asciiTheme="minorBidi" w:eastAsia="Arial" w:hAnsiTheme="minorBidi" w:cstheme="minorBidi"/>
          <w:b/>
          <w:lang w:val="en-US"/>
        </w:rPr>
        <w:t>Lay term summary</w:t>
      </w:r>
    </w:p>
    <w:p w14:paraId="0AAAFAB2" w14:textId="60D2755F" w:rsidR="00DF1D5C" w:rsidRDefault="00DF1D5C" w:rsidP="00DF1D5C">
      <w:pPr>
        <w:spacing w:line="480" w:lineRule="auto"/>
        <w:contextualSpacing/>
        <w:rPr>
          <w:rFonts w:asciiTheme="minorBidi" w:hAnsiTheme="minorBidi" w:cstheme="minorBidi"/>
          <w:lang w:val="en-US"/>
        </w:rPr>
      </w:pPr>
      <w:r w:rsidRPr="00DF1D5C">
        <w:rPr>
          <w:rFonts w:asciiTheme="minorBidi" w:hAnsiTheme="minorBidi" w:cstheme="minorBidi"/>
          <w:lang w:val="en-US"/>
        </w:rPr>
        <w:t>Previous studies identified novel genes potentially involved in liver fat accumulation</w:t>
      </w:r>
      <w:r w:rsidR="0097286E">
        <w:rPr>
          <w:rFonts w:asciiTheme="minorBidi" w:hAnsiTheme="minorBidi" w:cstheme="minorBidi"/>
          <w:lang w:val="en-US"/>
        </w:rPr>
        <w:t xml:space="preserve"> </w:t>
      </w:r>
      <w:r w:rsidRPr="00DF1D5C">
        <w:rPr>
          <w:rFonts w:asciiTheme="minorBidi" w:hAnsiTheme="minorBidi" w:cstheme="minorBidi"/>
          <w:lang w:val="en-US"/>
        </w:rPr>
        <w:t xml:space="preserve">and thereby in the development of Non-alcoholic fatty liver disease. In this lifestyle intervention trial, we found that different lifestyle interventions (diet or physical activity) may specifically cause DNA methylation changes associated with a heterogeneous response to </w:t>
      </w:r>
      <w:r w:rsidR="00EE3E78">
        <w:rPr>
          <w:rFonts w:asciiTheme="minorBidi" w:hAnsiTheme="minorBidi" w:cstheme="minorBidi"/>
          <w:lang w:val="en-US"/>
        </w:rPr>
        <w:t>intervention-</w:t>
      </w:r>
      <w:r w:rsidRPr="00DF1D5C">
        <w:rPr>
          <w:rFonts w:asciiTheme="minorBidi" w:hAnsiTheme="minorBidi" w:cstheme="minorBidi"/>
          <w:lang w:val="en-US"/>
        </w:rPr>
        <w:t xml:space="preserve">induced liver fat reduction. The findings also suggest some relationship between methylation levels of specific </w:t>
      </w:r>
      <w:proofErr w:type="spellStart"/>
      <w:r w:rsidRPr="00DF1D5C">
        <w:rPr>
          <w:rFonts w:asciiTheme="minorBidi" w:hAnsiTheme="minorBidi" w:cstheme="minorBidi"/>
          <w:lang w:val="en-US"/>
        </w:rPr>
        <w:t>CpGs</w:t>
      </w:r>
      <w:proofErr w:type="spellEnd"/>
      <w:r w:rsidRPr="00DF1D5C">
        <w:rPr>
          <w:rFonts w:asciiTheme="minorBidi" w:hAnsiTheme="minorBidi" w:cstheme="minorBidi"/>
          <w:lang w:val="en-US"/>
        </w:rPr>
        <w:t xml:space="preserve">, intrahepatic fat, cardiometabolic risk parameters, </w:t>
      </w:r>
      <w:r w:rsidR="0097286E">
        <w:rPr>
          <w:rFonts w:asciiTheme="minorBidi" w:hAnsiTheme="minorBidi" w:cstheme="minorBidi"/>
          <w:lang w:val="en-US"/>
        </w:rPr>
        <w:t>and</w:t>
      </w:r>
      <w:r w:rsidRPr="00DF1D5C">
        <w:rPr>
          <w:rFonts w:asciiTheme="minorBidi" w:hAnsiTheme="minorBidi" w:cstheme="minorBidi"/>
          <w:lang w:val="en-US"/>
        </w:rPr>
        <w:t xml:space="preserve"> an association with genetic variation of</w:t>
      </w:r>
      <w:r w:rsidR="0097286E">
        <w:rPr>
          <w:rFonts w:asciiTheme="minorBidi" w:hAnsiTheme="minorBidi" w:cstheme="minorBidi"/>
          <w:lang w:val="en-US"/>
        </w:rPr>
        <w:t xml:space="preserve"> the</w:t>
      </w:r>
      <w:r w:rsidRPr="00DF1D5C">
        <w:rPr>
          <w:rFonts w:asciiTheme="minorBidi" w:hAnsiTheme="minorBidi" w:cstheme="minorBidi"/>
          <w:lang w:val="en-US"/>
        </w:rPr>
        <w:t xml:space="preserve"> </w:t>
      </w:r>
      <w:r w:rsidRPr="000E2A74">
        <w:rPr>
          <w:rFonts w:asciiTheme="minorBidi" w:hAnsiTheme="minorBidi" w:cstheme="minorBidi"/>
          <w:i/>
          <w:iCs/>
          <w:lang w:val="en-US"/>
        </w:rPr>
        <w:t>FARP1</w:t>
      </w:r>
      <w:r w:rsidR="000E2A74">
        <w:rPr>
          <w:rFonts w:asciiTheme="minorBidi" w:hAnsiTheme="minorBidi" w:cstheme="minorBidi"/>
          <w:lang w:val="en-US"/>
        </w:rPr>
        <w:t xml:space="preserve"> gene</w:t>
      </w:r>
      <w:r w:rsidRPr="00DF1D5C">
        <w:rPr>
          <w:rFonts w:asciiTheme="minorBidi" w:hAnsiTheme="minorBidi" w:cstheme="minorBidi"/>
          <w:lang w:val="en-US"/>
        </w:rPr>
        <w:t xml:space="preserve">. </w:t>
      </w:r>
    </w:p>
    <w:p w14:paraId="2CED5E7F" w14:textId="294EE955" w:rsidR="00253C58" w:rsidRDefault="00253C58" w:rsidP="00DF1D5C">
      <w:pPr>
        <w:spacing w:line="480" w:lineRule="auto"/>
        <w:contextualSpacing/>
        <w:rPr>
          <w:rFonts w:asciiTheme="minorBidi" w:hAnsiTheme="minorBidi" w:cstheme="minorBidi"/>
          <w:lang w:val="en-US"/>
        </w:rPr>
      </w:pPr>
    </w:p>
    <w:p w14:paraId="535A2863" w14:textId="44CC34E2" w:rsidR="00253C58" w:rsidRDefault="00253C58" w:rsidP="00DF1D5C">
      <w:pPr>
        <w:spacing w:line="480" w:lineRule="auto"/>
        <w:contextualSpacing/>
        <w:rPr>
          <w:rFonts w:asciiTheme="minorBidi" w:hAnsiTheme="minorBidi" w:cstheme="minorBidi"/>
          <w:lang w:val="en-US"/>
        </w:rPr>
      </w:pPr>
    </w:p>
    <w:p w14:paraId="6915908D" w14:textId="7B5751E0" w:rsidR="00253C58" w:rsidRDefault="00253C58" w:rsidP="00DF1D5C">
      <w:pPr>
        <w:spacing w:line="480" w:lineRule="auto"/>
        <w:contextualSpacing/>
        <w:rPr>
          <w:rFonts w:asciiTheme="minorBidi" w:hAnsiTheme="minorBidi" w:cstheme="minorBidi"/>
          <w:lang w:val="en-US"/>
        </w:rPr>
      </w:pPr>
    </w:p>
    <w:p w14:paraId="5FED0AB7" w14:textId="23C0F090" w:rsidR="00253C58" w:rsidRDefault="00253C58" w:rsidP="00DF1D5C">
      <w:pPr>
        <w:spacing w:line="480" w:lineRule="auto"/>
        <w:contextualSpacing/>
        <w:rPr>
          <w:rFonts w:asciiTheme="minorBidi" w:hAnsiTheme="minorBidi" w:cstheme="minorBidi"/>
          <w:lang w:val="en-US"/>
        </w:rPr>
      </w:pPr>
    </w:p>
    <w:p w14:paraId="3BD9953C" w14:textId="253EFF3B" w:rsidR="00253C58" w:rsidRDefault="00253C58" w:rsidP="00DF1D5C">
      <w:pPr>
        <w:spacing w:line="480" w:lineRule="auto"/>
        <w:contextualSpacing/>
        <w:rPr>
          <w:rFonts w:asciiTheme="minorBidi" w:hAnsiTheme="minorBidi" w:cstheme="minorBidi"/>
          <w:lang w:val="en-US"/>
        </w:rPr>
      </w:pPr>
    </w:p>
    <w:p w14:paraId="7CD24B81" w14:textId="2AA7823C" w:rsidR="00253C58" w:rsidRDefault="00253C58" w:rsidP="00DF1D5C">
      <w:pPr>
        <w:spacing w:line="480" w:lineRule="auto"/>
        <w:contextualSpacing/>
        <w:rPr>
          <w:rFonts w:asciiTheme="minorBidi" w:hAnsiTheme="minorBidi" w:cstheme="minorBidi"/>
          <w:lang w:val="en-US"/>
        </w:rPr>
      </w:pPr>
    </w:p>
    <w:p w14:paraId="773C00B3" w14:textId="299D8BD3" w:rsidR="00253C58" w:rsidRDefault="00253C58" w:rsidP="00DF1D5C">
      <w:pPr>
        <w:spacing w:line="480" w:lineRule="auto"/>
        <w:contextualSpacing/>
        <w:rPr>
          <w:rFonts w:asciiTheme="minorBidi" w:hAnsiTheme="minorBidi" w:cstheme="minorBidi"/>
          <w:lang w:val="en-US"/>
        </w:rPr>
      </w:pPr>
    </w:p>
    <w:p w14:paraId="1C09F89E" w14:textId="45938C81" w:rsidR="00393DB9" w:rsidRDefault="00393DB9" w:rsidP="00DF1D5C">
      <w:pPr>
        <w:spacing w:line="480" w:lineRule="auto"/>
        <w:contextualSpacing/>
        <w:rPr>
          <w:rFonts w:asciiTheme="minorBidi" w:hAnsiTheme="minorBidi" w:cstheme="minorBidi"/>
          <w:lang w:val="en-US"/>
        </w:rPr>
      </w:pPr>
    </w:p>
    <w:p w14:paraId="4882192A" w14:textId="77777777" w:rsidR="00393DB9" w:rsidRDefault="00393DB9" w:rsidP="00DF1D5C">
      <w:pPr>
        <w:spacing w:line="480" w:lineRule="auto"/>
        <w:contextualSpacing/>
        <w:rPr>
          <w:rFonts w:asciiTheme="minorBidi" w:hAnsiTheme="minorBidi" w:cstheme="minorBidi"/>
          <w:lang w:val="en-US"/>
        </w:rPr>
      </w:pPr>
    </w:p>
    <w:p w14:paraId="4A774190" w14:textId="5C1B1DF5" w:rsidR="00253C58" w:rsidRDefault="00253C58" w:rsidP="00DF1D5C">
      <w:pPr>
        <w:spacing w:line="480" w:lineRule="auto"/>
        <w:contextualSpacing/>
        <w:rPr>
          <w:rFonts w:asciiTheme="minorBidi" w:hAnsiTheme="minorBidi" w:cstheme="minorBidi"/>
          <w:lang w:val="en-US"/>
        </w:rPr>
      </w:pPr>
    </w:p>
    <w:p w14:paraId="765B85A0" w14:textId="04ED95EE" w:rsidR="00253C58" w:rsidRPr="00DF1D5C" w:rsidRDefault="00253C58" w:rsidP="00DF1D5C">
      <w:pPr>
        <w:spacing w:line="480" w:lineRule="auto"/>
        <w:contextualSpacing/>
        <w:rPr>
          <w:rFonts w:asciiTheme="minorBidi" w:eastAsia="Arial" w:hAnsiTheme="minorBidi" w:cstheme="minorBidi"/>
          <w:b/>
          <w:lang w:val="en-US"/>
        </w:rPr>
      </w:pPr>
    </w:p>
    <w:p w14:paraId="325B1CB2" w14:textId="01112CE2" w:rsidR="00940E34" w:rsidRPr="00B81F2B" w:rsidRDefault="00F4046B" w:rsidP="008B7584">
      <w:pPr>
        <w:spacing w:line="480" w:lineRule="auto"/>
        <w:rPr>
          <w:rFonts w:asciiTheme="minorBidi" w:eastAsia="Arial" w:hAnsiTheme="minorBidi"/>
          <w:b/>
          <w:bCs/>
          <w:u w:val="single"/>
          <w:lang w:val="en-US"/>
        </w:rPr>
      </w:pPr>
      <w:r w:rsidRPr="00B81F2B">
        <w:rPr>
          <w:rFonts w:asciiTheme="minorBidi" w:eastAsia="Arial" w:hAnsiTheme="minorBidi"/>
          <w:b/>
          <w:bCs/>
          <w:u w:val="single"/>
          <w:lang w:val="en-US"/>
        </w:rPr>
        <w:lastRenderedPageBreak/>
        <w:t>Introduction</w:t>
      </w:r>
    </w:p>
    <w:p w14:paraId="6C68ACBB" w14:textId="3696A4D0" w:rsidR="00A36D75" w:rsidRPr="00B81F2B" w:rsidRDefault="009426CF" w:rsidP="007E6643">
      <w:pPr>
        <w:spacing w:before="120" w:line="480" w:lineRule="auto"/>
        <w:rPr>
          <w:rFonts w:asciiTheme="minorBidi" w:hAnsiTheme="minorBidi"/>
        </w:rPr>
      </w:pPr>
      <w:r w:rsidRPr="00B81F2B">
        <w:rPr>
          <w:rFonts w:asciiTheme="minorBidi" w:hAnsiTheme="minorBidi"/>
        </w:rPr>
        <w:t xml:space="preserve">Increased </w:t>
      </w:r>
      <w:r w:rsidR="006437B3" w:rsidRPr="00B81F2B">
        <w:rPr>
          <w:rFonts w:asciiTheme="minorBidi" w:hAnsiTheme="minorBidi"/>
        </w:rPr>
        <w:t xml:space="preserve">fat </w:t>
      </w:r>
      <w:r w:rsidRPr="00B81F2B">
        <w:rPr>
          <w:rFonts w:asciiTheme="minorBidi" w:hAnsiTheme="minorBidi"/>
        </w:rPr>
        <w:t>accumulation in the liver in</w:t>
      </w:r>
      <w:r w:rsidR="006C5D27" w:rsidRPr="00B81F2B">
        <w:rPr>
          <w:rFonts w:asciiTheme="minorBidi" w:hAnsiTheme="minorBidi"/>
        </w:rPr>
        <w:t xml:space="preserve"> the</w:t>
      </w:r>
      <w:r w:rsidRPr="00B81F2B">
        <w:rPr>
          <w:rFonts w:asciiTheme="minorBidi" w:hAnsiTheme="minorBidi"/>
        </w:rPr>
        <w:t xml:space="preserve"> form </w:t>
      </w:r>
      <w:r w:rsidR="0044228F" w:rsidRPr="00B81F2B">
        <w:rPr>
          <w:rFonts w:asciiTheme="minorBidi" w:hAnsiTheme="minorBidi"/>
        </w:rPr>
        <w:t xml:space="preserve">of </w:t>
      </w:r>
      <w:r w:rsidRPr="00B81F2B">
        <w:rPr>
          <w:rFonts w:asciiTheme="minorBidi" w:hAnsiTheme="minorBidi"/>
        </w:rPr>
        <w:t>triglycerides is tightly associated with</w:t>
      </w:r>
      <w:r w:rsidR="005D0AB4" w:rsidRPr="00B81F2B">
        <w:rPr>
          <w:rFonts w:asciiTheme="minorBidi" w:hAnsiTheme="minorBidi"/>
        </w:rPr>
        <w:t xml:space="preserve"> obesity and increased visceral adiposity</w:t>
      </w:r>
      <w:r w:rsidR="00660F97" w:rsidRPr="00B81F2B">
        <w:rPr>
          <w:rFonts w:asciiTheme="minorBidi" w:hAnsiTheme="minorBidi"/>
        </w:rPr>
        <w:t xml:space="preserve"> </w:t>
      </w:r>
      <w:r w:rsidR="00EE664C" w:rsidRPr="00B81F2B">
        <w:rPr>
          <w:rFonts w:asciiTheme="minorBidi" w:hAnsiTheme="minorBidi"/>
        </w:rPr>
        <w:fldChar w:fldCharType="begin" w:fldLock="1"/>
      </w:r>
      <w:r w:rsidR="00045A9F">
        <w:rPr>
          <w:rFonts w:asciiTheme="minorBidi" w:hAnsiTheme="minorBidi"/>
        </w:rPr>
        <w:instrText>ADDIN CSL_CITATION {"citationItems":[{"id":"ITEM-1","itemData":{"DOI":"10.4061/2011/201371 [doi]","ISBN":"1687-9678","PMID":"21772852","abstract":"Stem cells are characterized by their capability to self-renew and terminally differentiate into multiple cell types. Somatic or adult stem cells have a finite self-renewal capacity and are lineage-restricted. The use of adult stem cells for therapeutic purposes has been a topic of recent interest given the ethical considerations associated with embryonic stem (ES) cells. Mesenchymal stem cells (MSCs) are adult stem cells that can differentiate into osteogenic, adipogenic, chondrogenic, or myogenic lineages. Owing to their ease of isolation and unique characteristics, MSCs have been widely regarded as potential candidates for tissue engineering and repair. While various signaling molecules important to MSC differentiation have been identified, our complete understanding of this process is lacking. Recent investigations focused on the role of epigenetic regulation in lineage-specific differentiation of MSCs have shown that unique patterns of DNA methylation and histone modifications play an important role in the induction of MSC differentiation toward specific lineages. Nevertheless, MSC epigenetic profiles reflect a more restricted differentiation potential as compared to ES cells. Here we review the effect of epigenetic modifications on MSC multipotency and differentiation, with a focus on osteogenic and adipogenic differentiation. We also highlight clinical applications of MSC epigenetics and nuclear reprogramming.","author":[{"dropping-particle":"","family":"Teven","given":"C M","non-dropping-particle":"","parse-names":false,"suffix":""},{"dropping-particle":"","family":"Liu","given":"X","non-dropping-particle":"","parse-names":false,"suffix":""},{"dropping-particle":"","family":"Hu","given":"N","non-dropping-particle":"","parse-names":false,"suffix":""},{"dropping-particle":"","family":"Tang","given":"N","non-dropping-particle":"","parse-names":false,"suffix":""},{"dropping-particle":"","family":"Kim","given":"S H","non-dropping-particle":"","parse-names":false,"suffix":""},{"dropping-particle":"","family":"Huang","given":"E","non-dropping-particle":"","parse-names":false,"suffix":""},{"dropping-particle":"","family":"Yang","given":"K","non-dropping-particle":"","parse-names":false,"suffix":""},{"dropping-particle":"","family":"Li","given":"M","non-dropping-particle":"","parse-names":false,"suffix":""},{"dropping-particle":"","family":"Gao","given":"J L","non-dropping-particle":"","parse-names":false,"suffix":""},{"dropping-particle":"","family":"Liu","given":"H","non-dropping-particle":"","parse-names":false,"suffix":""},{"dropping-particle":"","family":"Natale","given":"R B","non-dropping-particle":"","parse-names":false,"suffix":""},{"dropping-particle":"","family":"Luther","given":"G","non-dropping-particle":"","parse-names":false,"suffix":""},{"dropping-particle":"","family":"Luo","given":"Q","non-dropping-particle":"","parse-names":false,"suffix":""},{"dropping-particle":"","family":"Wang","given":"L","non-dropping-particle":"","parse-names":false,"suffix":""},{"dropping-particle":"","family":"Rames","given":"R","non-dropping-particle":"","parse-names":false,"suffix":""},{"dropping-particle":"","family":"Bi","given":"Y","non-dropping-particle":"","parse-names":false,"suffix":""},{"dropping-particle":"","family":"Luo","given":"J","non-dropping-particle":"","parse-names":false,"suffix":""},{"dropping-particle":"","family":"Luu","given":"H H","non-dropping-particle":"","parse-names":false,"suffix":""},{"dropping-particle":"","family":"Haydon","given":"R C","non-dropping-particle":"","parse-names":false,"suffix":""},{"dropping-particle":"","family":"Reid","given":"R R","non-dropping-particle":"","parse-names":false,"suffix":""},{"dropping-particle":"","family":"He","given":"T C","non-dropping-particle":"","parse-names":false,"suffix":""}],"container-title":"Stem cells international","id":"ITEM-1","issued":{"date-parts":[["2011"]]},"language":"ENG","note":"LR: 20110720; JID: 101535822; OID: NLM: PMC3137957; 2011/03/21 [received]; 2011/04/27 [accepted]; ppublish","page":"201371","title":"Epigenetic regulation of mesenchymal stem cells: a focus on osteogenic and adipogenic differentiation","type":"article-journal","volume":"2011"},"uris":["http://www.mendeley.com/documents/?uuid=19c35b96-4b59-3c91-aad8-b75a6e89f4d4"]},{"id":"ITEM-2","itemData":{"author":[{"dropping-particle":"","family":"Moore","given":"J Bernadette","non-dropping-particle":"","parse-names":false,"suffix":""}],"container-title":"Proceedings of the Nutrition Society","id":"ITEM-2","issue":"02","issued":{"date-parts":[["2010"]]},"page":"211-220","title":"Non-alcoholic fatty liver disease: the hepatic consequence of obesity and the metabolic syndrome","type":"article-journal","volume":"69"},"uris":["http://www.mendeley.com/documents/?uuid=4602f165-ba08-38b5-9a87-b377c4a26800"]},{"id":"ITEM-3","itemData":{"DOI":"10.1002/dmrr.2888","ISSN":"15207560","abstract":"Copyright © 2017 John Wiley  &amp;  Sons, Ltd. Background: Intrahepatic fat (IHF) is best known to associate with waist circumference (WC) and visceral adipose tissue (VAT), but its relation to abdominal subcutaneous adipose tissue is controversial. While IHF ≥ 5% dichotomously defines fatty liver, %IHF is rarely considered as a continuous variable that includes the normal range. In this study, we aimed to evaluate %IHF association with abdominal fat subdepots, pancreatic, and renal-sinus fats. Methods: We evaluated %IHF, abdominal fat subdepots, %pancreatic, and renal-sinus fats, among individuals with moderate abdominal obesity, using 3-Tesla magnetic resonance imaging. Results: Among 275 participants, %IHF widely ranged (0.01%-50.4%) and was lower in women (1.6%) than men (7.3%; P &lt;.001). In an age, sex, and WC-adjusted models, VAT area (P &lt;.006) was directly associated with %IHF, while superficial–subcutaneous adipose tissue proportion was inversely associated with %IHF (P &lt;.006). In these models, renal-sinus fat was positively associated with %IHF (P =.005). In an age, sex, WC, and VAT-adjusted models, elevated liver enzymes, glycemic, lipid, and inflammatory biomarkers were associated with increased %IHF (P &lt;.003 for all). In these models, the associations remained robust even within the normal range strata of IHF &lt; 5% for triglycerides and chemerin (P ≤.004 for all). For the diagnosis of fatty liver, the joint area under the curve of WC, alanine-aminotransferase, triglycerides/high-density lipoprotein cholesterol, and homeostasis model assessment of insulin resistance was 0.84(95% CI, 0.79-0.89). Conclusions: Intrahepatic fat is differentially associated with abdominal fat subdepots. Intrahepatic-fat as a continuous variable could be predicted by specific traditional parameters, even within the current normal range, and partially independent of VAT.","author":[{"dropping-particle":"","family":"Yaskolka Meir","given":"A.","non-dropping-particle":"","parse-names":false,"suffix":""},{"dropping-particle":"","family":"Tene","given":"L.","non-dropping-particle":"","parse-names":false,"suffix":""},{"dropping-particle":"","family":"Cohen","given":"N.","non-dropping-particle":"","parse-names":false,"suffix":""},{"dropping-particle":"","family":"Shelef","given":"I.","non-dropping-particle":"","parse-names":false,"suffix":""},{"dropping-particle":"","family":"Schwarzfuchs","given":"D.","non-dropping-particle":"","parse-names":false,"suffix":""},{"dropping-particle":"","family":"Gepner","given":"Y.","non-dropping-particle":"","parse-names":false,"suffix":""},{"dropping-particle":"","family":"Zelicha","given":"H.","non-dropping-particle":"","parse-names":false,"suffix":""},{"dropping-particle":"","family":"Rein","given":"M.","non-dropping-particle":"","parse-names":false,"suffix":""},{"dropping-particle":"","family":"Bril","given":"N.","non-dropping-particle":"","parse-names":false,"suffix":""},{"dropping-particle":"","family":"Serfaty","given":"D.","non-dropping-particle":"","parse-names":false,"suffix":""},{"dropping-particle":"","family":"Kenigsbuch","given":"S.","non-dropping-particle":"","parse-names":false,"suffix":""},{"dropping-particle":"","family":"Chassidim","given":"Y.","non-dropping-particle":"","parse-names":false,"suffix":""},{"dropping-particle":"","family":"Sarusy","given":"B.","non-dropping-particle":"","parse-names":false,"suffix":""},{"dropping-particle":"","family":"Dicker","given":"D.","non-dropping-particle":"","parse-names":false,"suffix":""},{"dropping-particle":"","family":"Thiery","given":"J.","non-dropping-particle":"","parse-names":false,"suffix":""},{"dropping-particle":"","family":"Ceglarek","given":"U.","non-dropping-particle":"","parse-names":false,"suffix":""},{"dropping-particle":"","family":"Stumvoll","given":"M.","non-dropping-particle":"","parse-names":false,"suffix":""},{"dropping-particle":"","family":"Blüher","given":"M.","non-dropping-particle":"","parse-names":false,"suffix":""},{"dropping-particle":"","family":"Stampfer","given":"M.J.","non-dropping-particle":"","parse-names":false,"suffix":""},{"dropping-particle":"","family":"Rudich","given":"A.","non-dropping-particle":"","parse-names":false,"suffix":""},{"dropping-particle":"","family":"Shai","given":"I.","non-dropping-particle":"","parse-names":false,"suffix":""}],"container-title":"Diabetes/Metabolism Research and Reviews","id":"ITEM-3","issue":"5","issued":{"date-parts":[["2017"]]},"title":"Intrahepatic fat, abdominal adipose tissues, and metabolic state: magnetic resonance imaging study","type":"article-journal","volume":"33"},"uris":["http://www.mendeley.com/documents/?uuid=f0484996-f002-334f-87f8-83ded28a3cda"]}],"mendeley":{"formattedCitation":"&lt;sup&gt;1–3&lt;/sup&gt;","plainTextFormattedCitation":"1–3","previouslyFormattedCitation":"&lt;sup&gt;1–3&lt;/sup&gt;"},"properties":{"noteIndex":0},"schema":"https://github.com/citation-style-language/schema/raw/master/csl-citation.json"}</w:instrText>
      </w:r>
      <w:r w:rsidR="00EE664C" w:rsidRPr="00B81F2B">
        <w:rPr>
          <w:rFonts w:asciiTheme="minorBidi" w:hAnsiTheme="minorBidi"/>
        </w:rPr>
        <w:fldChar w:fldCharType="separate"/>
      </w:r>
      <w:r w:rsidR="00D53F9E" w:rsidRPr="00D53F9E">
        <w:rPr>
          <w:rFonts w:asciiTheme="minorBidi" w:hAnsiTheme="minorBidi"/>
          <w:noProof/>
          <w:vertAlign w:val="superscript"/>
        </w:rPr>
        <w:t>1–3</w:t>
      </w:r>
      <w:r w:rsidR="00EE664C" w:rsidRPr="00B81F2B">
        <w:rPr>
          <w:rFonts w:asciiTheme="minorBidi" w:hAnsiTheme="minorBidi"/>
        </w:rPr>
        <w:fldChar w:fldCharType="end"/>
      </w:r>
      <w:r w:rsidR="005D0AB4" w:rsidRPr="00B81F2B">
        <w:rPr>
          <w:rFonts w:asciiTheme="minorBidi" w:hAnsiTheme="minorBidi"/>
        </w:rPr>
        <w:t xml:space="preserve">. </w:t>
      </w:r>
      <w:r w:rsidR="008A6CAE" w:rsidRPr="00B81F2B">
        <w:rPr>
          <w:rFonts w:asciiTheme="minorBidi" w:hAnsiTheme="minorBidi"/>
        </w:rPr>
        <w:t xml:space="preserve">Intrahepatic fat (IHF) accumulation that exceeds 5%, in the absence of alcohol abuse, defines non-alcoholic fatty liver disease (NAFLD) </w:t>
      </w:r>
      <w:r w:rsidR="008A6CAE"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{"citationItems":[{"id":"ITEM-1","itemData":{"author":[{"dropping-particle":"","family":"Byrne","given":"Christopher D","non-dropping-particle":"","parse-names":false,"suffix":""},{"dropping-particle":"","family":"Targher","given":"Giovanni","non-dropping-particle":"","parse-names":false,"suffix":""}],"container-title":"Journal of hepatology","id":"ITEM-1","issue":"1","issued":{"date-parts":[["2015"]]},"page":"S47-S64","title":"NAFLD: A multisystem disease","type":"article-journal","volume":"62"},"uris":["http://www.mendeley.com/documents/?uuid=929bfea6-4555-30ef-92a9-52aee43cedc6"]}],"mendeley":{"formattedCitation":"&lt;sup&gt;4&lt;/sup&gt;","plainTextFormattedCitation":"4","previouslyFormattedCitation":"&lt;sup&gt;4&lt;/sup&gt;"},"properties":{"noteIndex":0},"schema":"https://github.com/citation-style-language/schema/raw/master/csl-citation.json"}</w:instrText>
      </w:r>
      <w:r w:rsidR="008A6CAE" w:rsidRPr="00B81F2B">
        <w:rPr>
          <w:rFonts w:asciiTheme="minorBidi" w:hAnsiTheme="minorBidi"/>
        </w:rPr>
        <w:fldChar w:fldCharType="separate"/>
      </w:r>
      <w:r w:rsidR="00D53F9E" w:rsidRPr="00D53F9E">
        <w:rPr>
          <w:rFonts w:asciiTheme="minorBidi" w:hAnsiTheme="minorBidi"/>
          <w:noProof/>
          <w:vertAlign w:val="superscript"/>
        </w:rPr>
        <w:t>4</w:t>
      </w:r>
      <w:r w:rsidR="008A6CAE" w:rsidRPr="00B81F2B">
        <w:rPr>
          <w:rFonts w:asciiTheme="minorBidi" w:hAnsiTheme="minorBidi"/>
        </w:rPr>
        <w:fldChar w:fldCharType="end"/>
      </w:r>
      <w:r w:rsidR="00EA2C6F" w:rsidRPr="00B81F2B">
        <w:rPr>
          <w:rFonts w:asciiTheme="minorBidi" w:hAnsiTheme="minorBidi"/>
          <w:lang w:val="en-US"/>
        </w:rPr>
        <w:t>.</w:t>
      </w:r>
      <w:r w:rsidR="008A6CAE" w:rsidRPr="00B81F2B">
        <w:rPr>
          <w:rFonts w:asciiTheme="minorBidi" w:hAnsiTheme="minorBidi"/>
        </w:rPr>
        <w:t xml:space="preserve"> </w:t>
      </w:r>
      <w:r w:rsidR="00066835" w:rsidRPr="00B81F2B">
        <w:rPr>
          <w:rFonts w:asciiTheme="minorBidi" w:hAnsiTheme="minorBidi"/>
        </w:rPr>
        <w:t>NAFLD, affecting approximately 25% of the population worldwide, is associated with increased cardiovascular risk, cancer</w:t>
      </w:r>
      <w:r w:rsidR="006C5D27" w:rsidRPr="00B81F2B">
        <w:rPr>
          <w:rFonts w:asciiTheme="minorBidi" w:hAnsiTheme="minorBidi"/>
        </w:rPr>
        <w:t>,</w:t>
      </w:r>
      <w:r w:rsidR="00066835" w:rsidRPr="00B81F2B">
        <w:rPr>
          <w:rFonts w:asciiTheme="minorBidi" w:hAnsiTheme="minorBidi"/>
        </w:rPr>
        <w:t xml:space="preserve"> and mortality </w:t>
      </w:r>
      <w:r w:rsidR="00B544A7"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{"citationItems":[{"id":"ITEM-1","itemData":{"author":[{"dropping-particle":"","family":"Byrne","given":"Christopher D","non-dropping-particle":"","parse-names":false,"suffix":""},{"dropping-particle":"","family":"Targher","given":"Giovanni","non-dropping-particle":"","parse-names":false,"suffix":""}],"container-title":"Journal of hepatology","id":"ITEM-1","issue":"1","issued":{"date-parts":[["2015"]]},"page":"S47-S64","title":"NAFLD: A multisystem disease","type":"article-journal","volume":"62"},"uris":["http://www.mendeley.com/documents/?uuid=929bfea6-4555-30ef-92a9-52aee43cedc6"]},{"id":"ITEM-2","itemData":{"DOI":"10.1016/j.jhep.2019.04.013","ISSN":"16000641","abstract":"© 2019 European Association for the Study of the Liver Background &amp; Aim: It is unclear if a reduction in hepatic fat content (HFC) is a major mediator of the cardiometabolic benefit of lifestyle intervention, and whether it has prognostic significance beyond the loss of visceral adipose tissue (VAT). In the present sub-study, we hypothesized that HFC loss in response to dietary interventions induces specific beneficial effects independently of VAT changes. Methods: In an 18-month weight-loss trial, 278 participants with abdominal obesity/dyslipidemia were randomized to low-fat (LF) or Mediterranean/low-carbohydrate (MED/LC + 28 g walnuts/day) diets with/without moderate physical activity. HFC and abdominal fat-depots were measured using magnetic resonance imaging at baseline, after 6 (sub-study, n = 158) and 18 months. Results: Of 278 participants (mean HFC 10.2% [range: 0.01%–50.4%]), the retention rate was 86.3%. The %HFC substantially decreased after 6 months (−6.6% absolute units [−41% relatively]) and 18 months (−4.0% absolute units [−29% relatively]; p &lt;0.001 vs. baseline). Reductions of HFC were associated with decreases in VAT beyond weight loss. After controlling for VAT loss, decreased %HFC remained independently associated with reductions in serum gamma glutamyltransferase and alanine aminotransferase, circulating chemerin, and glycated hemoglobin (p &lt;0.05). While the reduction in HFC was similar between physical activity groups, MED/LC induced a greater %HFC decrease (p = 0.036) and greater improvements in cardiometabolic risk parameters (p &lt;0.05) than the LF diet, even after controlling for VAT changes. Yet, the greater improvements in cardiometabolic risk parameters induced by MED/LC were all markedly attenuated when controlling for HFC changes. Conclusions: %HFC is substantially reduced by diet-induced moderate weight loss and is more effectively reduced by the MED/LC diet than the LF diet, independently of VAT changes. The beneficial effects of the MED/LC diet on specific cardiometabolic parameters appear to be mediated more by decreases in %HFC than VAT loss. Lay summary: High hepatic fat content is associated with metabolic syndrome, type 2 diabetes mellitus, and coronary heart disease. In the CENTRAL 18-month intervention trial, a Mediterranean/low-carbohydrate diet induced a greater decrease in hepatic fat content than a low-fat diet, conferring beneficial health effects that were beyond the favorable effects of visceral fat loss. Cl…","author":[{"dropping-particle":"","family":"Gepner","given":"Y.","non-dropping-particle":"","parse-names":false,"suffix":""},{"dropping-particle":"","family":"Shelef","given":"I.","non-dropping-particle":"","parse-names":false,"suffix":""},{"dropping-particle":"","family":"Komy","given":"O.","non-dropping-particle":"","parse-names":false,"suffix":""},{"dropping-particle":"","family":"Cohen","given":"N.","non-dropping-particle":"","parse-names":false,"suffix":""},{"dropping-particle":"","family":"Schwarzfuchs","given":"D.","non-dropping-particle":"","parse-names":false,"suffix":""},{"dropping-particle":"","family":"Bril","given":"N.","non-dropping-particle":"","parse-names":false,"suffix":""},{"dropping-particle":"","family":"Rein","given":"M.","non-dropping-particle":"","parse-names":false,"suffix":""},{"dropping-particle":"","family":"Serfaty","given":"D.","non-dropping-particle":"","parse-names":false,"suffix":""},{"dropping-particle":"","family":"Kenigsbuch","given":"S.","non-dropping-particle":"","parse-names":false,"suffix":""},{"dropping-particle":"","family":"Zelicha","given":"H.","non-dropping-particle":"","parse-names":false,"suffix":""},{"dropping-particle":"","family":"Yaskolka Meir","given":"A.","non-dropping-particle":"","parse-names":false,"suffix":""},{"dropping-particle":"","family":"Tene","given":"L.","non-dropping-particle":"","parse-names":false,"suffix":""},{"dropping-particle":"","family":"Bilitzky","given":"A.","non-dropping-particle":"","parse-names":false,"suffix":""},{"dropping-particle":"","family":"Tsaban","given":"G.","non-dropping-particle":"","parse-names":false,"suffix":""},{"dropping-particle":"","family":"Chassidim","given":"Y.","non-dropping-particle":"","parse-names":false,"suffix":""},{"dropping-particle":"","family":"Sarusy","given":"B.","non-dropping-particle":"","parse-names":false,"suffix":""},{"dropping-particle":"","family":"Ceglarek","given":"U.","non-dropping-particle":"","parse-names":false,"suffix":""},{"dropping-particle":"","family":"Thiery","given":"J.","non-dropping-particle":"","parse-names":false,"suffix":""},{"dropping-particle":"","family":"Stumvoll","given":"M.","non-dropping-particle":"","parse-names":false,"suffix":""},{"dropping-particle":"","family":"Blüher","given":"M.","non-dropping-particle":"","parse-names":false,"suffix":""},{"dropping-particle":"","family":"Stampfer","given":"M.J.","non-dropping-particle":"","parse-names":false,"suffix":""},{"dropping-particle":"","family":"Rudich","given":"A.","non-dropping-particle":"","parse-names":false,"suffix":""},{"dropping-particle":"","family":"Shai","given":"I.","non-dropping-particle":"","parse-names":false,"suffix":""}],"container-title":"Journal of Hepatology","id":"ITEM-2","issue":"2","issued":{"date-parts":[["2019"]]},"title":"The beneficial effects of Mediterranean diet over low-fat diet may be mediated by decreasing hepatic fat content","type":"article-journal","volume":"71"},"uris":["http://www.mendeley.com/documents/?uuid=d427ee2b-af32-39c5-9d8a-f4cb63b866be"]}],"mendeley":{"formattedCitation":"&lt;sup&gt;4,5&lt;/sup&gt;","plainTextFormattedCitation":"4,5","previouslyFormattedCitation":"&lt;sup&gt;4,5&lt;/sup&gt;"},"properties":{"noteIndex":0},"schema":"https://github.com/citation-style-language/schema/raw/master/csl-citation.json"}</w:instrText>
      </w:r>
      <w:r w:rsidR="00B544A7" w:rsidRPr="00B81F2B">
        <w:rPr>
          <w:rFonts w:asciiTheme="minorBidi" w:hAnsiTheme="minorBidi"/>
        </w:rPr>
        <w:fldChar w:fldCharType="separate"/>
      </w:r>
      <w:r w:rsidR="00D53F9E" w:rsidRPr="00D53F9E">
        <w:rPr>
          <w:rFonts w:asciiTheme="minorBidi" w:hAnsiTheme="minorBidi"/>
          <w:noProof/>
          <w:vertAlign w:val="superscript"/>
        </w:rPr>
        <w:t>4,5</w:t>
      </w:r>
      <w:r w:rsidR="00B544A7" w:rsidRPr="00B81F2B">
        <w:rPr>
          <w:rFonts w:asciiTheme="minorBidi" w:hAnsiTheme="minorBidi"/>
        </w:rPr>
        <w:fldChar w:fldCharType="end"/>
      </w:r>
      <w:r w:rsidR="00B544A7" w:rsidRPr="00B81F2B">
        <w:rPr>
          <w:rFonts w:asciiTheme="minorBidi" w:hAnsiTheme="minorBidi"/>
        </w:rPr>
        <w:t xml:space="preserve"> </w:t>
      </w:r>
      <w:r w:rsidR="00066835" w:rsidRPr="00B81F2B">
        <w:rPr>
          <w:rFonts w:asciiTheme="minorBidi" w:hAnsiTheme="minorBidi"/>
        </w:rPr>
        <w:t>and is a major public health concern</w:t>
      </w:r>
      <w:r w:rsidR="00B544A7" w:rsidRPr="00B81F2B">
        <w:rPr>
          <w:rFonts w:asciiTheme="minorBidi" w:hAnsiTheme="minorBidi"/>
        </w:rPr>
        <w:t xml:space="preserve"> </w:t>
      </w:r>
      <w:r w:rsidR="00B544A7"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{"citationItems":[{"id":"ITEM-1","itemData":{"author":[{"dropping-particle":"","family":"Younossi","given":"Zobair","non-dropping-particle":"","parse-names":false,"suffix":""},{"dropping-particle":"","family":"Anstee","given":"Quentin M","non-dropping-particle":"","parse-names":false,"suffix":""},{"dropping-particle":"","family":"Marietti","given":"Milena","non-dropping-particle":"","parse-names":false,"suffix":""},{"dropping-particle":"","family":"Hardy","given":"Timothy","non-dropping-particle":"","parse-names":false,"suffix":""},{"dropping-particle":"","family":"Henry","given":"Linda","non-dropping-particle":"","parse-names":false,"suffix":""},{"dropping-particle":"","family":"Eslam","given":"Mohammed","non-dropping-particle":"","parse-names":false,"suffix":""},{"dropping-particle":"","family":"George","given":"Jacob","non-dropping-particle":"","parse-names":false,"suffix":""},{"dropping-particle":"","family":"Bugianesi","given":"Elisabetta","non-dropping-particle":"","parse-names":false,"suffix":""}],"container-title":"Nature reviews Gastroenterology &amp; hepatology","id":"ITEM-1","issue":"1","issued":{"date-parts":[["2018"]]},"page":"11","title":"Global burden of NAFLD and NASH: trends, predictions, risk factors and prevention","type":"article-journal","volume":"15"},"uris":["http://www.mendeley.com/documents/?uuid=98a2bfeb-7216-32f8-9919-c90c4cc00fff"]}],"mendeley":{"formattedCitation":"&lt;sup&gt;6&lt;/sup&gt;","plainTextFormattedCitation":"6","previouslyFormattedCitation":"&lt;sup&gt;6&lt;/sup&gt;"},"properties":{"noteIndex":0},"schema":"https://github.com/citation-style-language/schema/raw/master/csl-citation.json"}</w:instrText>
      </w:r>
      <w:r w:rsidR="00B544A7" w:rsidRPr="00B81F2B">
        <w:rPr>
          <w:rFonts w:asciiTheme="minorBidi" w:hAnsiTheme="minorBidi"/>
        </w:rPr>
        <w:fldChar w:fldCharType="separate"/>
      </w:r>
      <w:r w:rsidR="00D53F9E" w:rsidRPr="00D53F9E">
        <w:rPr>
          <w:rFonts w:asciiTheme="minorBidi" w:hAnsiTheme="minorBidi"/>
          <w:noProof/>
          <w:vertAlign w:val="superscript"/>
        </w:rPr>
        <w:t>6</w:t>
      </w:r>
      <w:r w:rsidR="00B544A7" w:rsidRPr="00B81F2B">
        <w:rPr>
          <w:rFonts w:asciiTheme="minorBidi" w:hAnsiTheme="minorBidi"/>
        </w:rPr>
        <w:fldChar w:fldCharType="end"/>
      </w:r>
      <w:r w:rsidRPr="00B81F2B">
        <w:rPr>
          <w:rFonts w:asciiTheme="minorBidi" w:hAnsiTheme="minorBidi"/>
        </w:rPr>
        <w:t xml:space="preserve">. </w:t>
      </w:r>
    </w:p>
    <w:p w14:paraId="06B77A7F" w14:textId="17F88841" w:rsidR="00A36D75" w:rsidRDefault="004A608B" w:rsidP="007E6643">
      <w:pPr>
        <w:spacing w:before="120" w:line="480" w:lineRule="auto"/>
        <w:rPr>
          <w:rFonts w:asciiTheme="minorBidi" w:hAnsiTheme="minorBidi"/>
        </w:rPr>
      </w:pPr>
      <w:bookmarkStart w:id="3" w:name="_Hlk37228914"/>
      <w:r w:rsidRPr="00B81F2B">
        <w:rPr>
          <w:rFonts w:asciiTheme="minorBidi" w:hAnsiTheme="minorBidi"/>
        </w:rPr>
        <w:t>Genome-wide association studies (GWAS) and large candidate gene assessment approaches have i</w:t>
      </w:r>
      <w:r w:rsidR="00DC63B2">
        <w:rPr>
          <w:rFonts w:asciiTheme="minorBidi" w:hAnsiTheme="minorBidi"/>
        </w:rPr>
        <w:t>mproved</w:t>
      </w:r>
      <w:r w:rsidRPr="00B81F2B">
        <w:rPr>
          <w:rFonts w:asciiTheme="minorBidi" w:hAnsiTheme="minorBidi"/>
        </w:rPr>
        <w:t xml:space="preserve"> our understanding of genetic NAFLD predisposition</w:t>
      </w:r>
      <w:r w:rsidR="00DB797E" w:rsidRPr="00B81F2B">
        <w:rPr>
          <w:rFonts w:asciiTheme="minorBidi" w:hAnsiTheme="minorBidi"/>
        </w:rPr>
        <w:t xml:space="preserve">. </w:t>
      </w:r>
      <w:r w:rsidRPr="00B81F2B">
        <w:rPr>
          <w:rFonts w:asciiTheme="minorBidi" w:hAnsiTheme="minorBidi"/>
        </w:rPr>
        <w:t xml:space="preserve">However, other than a locus on the Patatin-like phospholipase </w:t>
      </w:r>
      <w:r w:rsidR="003E706B">
        <w:rPr>
          <w:rFonts w:asciiTheme="minorBidi" w:hAnsiTheme="minorBidi"/>
        </w:rPr>
        <w:t>domain-containing</w:t>
      </w:r>
      <w:r w:rsidRPr="00B81F2B">
        <w:rPr>
          <w:rFonts w:asciiTheme="minorBidi" w:hAnsiTheme="minorBidi"/>
        </w:rPr>
        <w:t xml:space="preserve"> 3 gene (</w:t>
      </w:r>
      <w:r w:rsidRPr="00B81F2B">
        <w:rPr>
          <w:rFonts w:asciiTheme="minorBidi" w:hAnsiTheme="minorBidi"/>
          <w:i/>
          <w:iCs/>
        </w:rPr>
        <w:t>PNPLA3</w:t>
      </w:r>
      <w:r w:rsidRPr="00B81F2B">
        <w:rPr>
          <w:rFonts w:asciiTheme="minorBidi" w:hAnsiTheme="minorBidi"/>
        </w:rPr>
        <w:t xml:space="preserve">), the identified candidate loci </w:t>
      </w:r>
      <w:r w:rsidR="003E706B">
        <w:rPr>
          <w:rFonts w:asciiTheme="minorBidi" w:hAnsiTheme="minorBidi"/>
        </w:rPr>
        <w:t>explain</w:t>
      </w:r>
      <w:r w:rsidRPr="00B81F2B">
        <w:rPr>
          <w:rFonts w:asciiTheme="minorBidi" w:hAnsiTheme="minorBidi"/>
        </w:rPr>
        <w:t xml:space="preserve"> only a small proportion of the </w:t>
      </w:r>
      <w:r w:rsidR="003E706B">
        <w:rPr>
          <w:rFonts w:asciiTheme="minorBidi" w:hAnsiTheme="minorBidi"/>
        </w:rPr>
        <w:t>fatty liver variance</w:t>
      </w:r>
      <w:r w:rsidR="00C9020F" w:rsidRPr="00B81F2B">
        <w:rPr>
          <w:rFonts w:asciiTheme="minorBidi" w:hAnsiTheme="minorBidi"/>
        </w:rPr>
        <w:t xml:space="preserve"> </w:t>
      </w:r>
      <w:r w:rsidR="00C9020F" w:rsidRPr="00B81F2B">
        <w:rPr>
          <w:rFonts w:asciiTheme="minorBidi" w:hAnsiTheme="minorBidi"/>
        </w:rPr>
        <w:fldChar w:fldCharType="begin" w:fldLock="1"/>
      </w:r>
      <w:r w:rsidR="00045A9F">
        <w:rPr>
          <w:rFonts w:asciiTheme="minorBidi" w:hAnsiTheme="minorBidi"/>
        </w:rPr>
        <w:instrText>ADDIN CSL_CITATION {"citationItems":[{"id":"ITEM-1","itemData":{"DOI":"10.1016/j.jhep.2017.09.003","ISSN":"16000641","PMID":"29122391","abstract":"Non-alcoholic fatty liver disease (NAFLD) is now recognised as the most common liver disease worldwide. It encompasses a broad spectrum of conditions, from simple steatosis, through non-alcoholic steatohepatitis, to fibrosis and ultimately cirrhosis and hepatocellular carcinoma. A hallmark of NAFLD is the substantial inter-patient variation in disease progression. NAFLD is considered a complex disease trait such that interactions between the environment and a susceptible polygenic host background determine disease phenotype and influence progression. Recent years have witnessed multiple genome-wide association and large candidate gene studies, which have enriched our understanding of the genetic basis of NAFLD. Notably, the I148M PNPLA3 variant has been identified as the major common genetic determinant of NAFLD. Variants with moderate effect size in TM6SF2, MBOAT7 and GCKR have also been shown to have a significant contribution. The premise for this review is to discuss the status of research into important genetic and epigenetic modifiers of NAFLD progression. The potential to translate the accumulating wealth of genetic data into the design of novel therapeutics and the clinical implementation of diagnostic/prognostic biomarkers will be explored. Finally, personalised medicine and the opportunities for future research and challenges in the immediate post genetics era will be illustrated and discussed.","author":[{"dropping-particle":"","family":"Eslam","given":"Mohammed","non-dropping-particle":"","parse-names":false,"suffix":""},{"dropping-particle":"","family":"Valenti","given":"Luca","non-dropping-particle":"","parse-names":false,"suffix":""},{"dropping-particle":"","family":"Romeo","given":"Stefano","non-dropping-particle":"","parse-names":false,"suffix":""}],"container-title":"Journal of Hepatology","id":"ITEM-1","issue":"2","issued":{"date-parts":[["2018"]]},"page":"268-279","title":"Genetics and epigenetics of NAFLD and NASH: Clinical impact","type":"article","volume":"68"},"uris":["http://www.mendeley.com/documents/?uuid=0d745b8c-6d42-397d-a79d-4152ef7956b4"]}],"mendeley":{"formattedCitation":"&lt;sup&gt;7&lt;/sup&gt;","plainTextFormattedCitation":"7","previouslyFormattedCitation":"&lt;sup&gt;7&lt;/sup&gt;"},"properties":{"noteIndex":0},"schema":"https://github.com/citation-style-language/schema/raw/master/csl-citation.json"}</w:instrText>
      </w:r>
      <w:r w:rsidR="00C9020F" w:rsidRPr="00B81F2B">
        <w:rPr>
          <w:rFonts w:asciiTheme="minorBidi" w:hAnsiTheme="minorBidi"/>
        </w:rPr>
        <w:fldChar w:fldCharType="separate"/>
      </w:r>
      <w:r w:rsidR="00D53F9E" w:rsidRPr="00D53F9E">
        <w:rPr>
          <w:rFonts w:asciiTheme="minorBidi" w:hAnsiTheme="minorBidi"/>
          <w:noProof/>
          <w:vertAlign w:val="superscript"/>
        </w:rPr>
        <w:t>7</w:t>
      </w:r>
      <w:r w:rsidR="00C9020F" w:rsidRPr="00B81F2B">
        <w:rPr>
          <w:rFonts w:asciiTheme="minorBidi" w:hAnsiTheme="minorBidi"/>
        </w:rPr>
        <w:fldChar w:fldCharType="end"/>
      </w:r>
      <w:r w:rsidR="00DB797E" w:rsidRPr="00B81F2B">
        <w:rPr>
          <w:rFonts w:asciiTheme="minorBidi" w:hAnsiTheme="minorBidi"/>
        </w:rPr>
        <w:t xml:space="preserve">. </w:t>
      </w:r>
      <w:r w:rsidR="00076B2C" w:rsidRPr="00B81F2B">
        <w:rPr>
          <w:rFonts w:asciiTheme="minorBidi" w:hAnsiTheme="minorBidi"/>
        </w:rPr>
        <w:t>Therefore,</w:t>
      </w:r>
      <w:r w:rsidR="00DC63B2">
        <w:rPr>
          <w:rFonts w:asciiTheme="minorBidi" w:hAnsiTheme="minorBidi"/>
        </w:rPr>
        <w:t xml:space="preserve"> it is possible that</w:t>
      </w:r>
      <w:r w:rsidR="00076B2C" w:rsidRPr="00B81F2B">
        <w:rPr>
          <w:rFonts w:asciiTheme="minorBidi" w:hAnsiTheme="minorBidi"/>
        </w:rPr>
        <w:t xml:space="preserve"> epigenetic pattern</w:t>
      </w:r>
      <w:r w:rsidR="00DC63B2">
        <w:rPr>
          <w:rFonts w:asciiTheme="minorBidi" w:hAnsiTheme="minorBidi"/>
        </w:rPr>
        <w:t>s</w:t>
      </w:r>
      <w:r w:rsidR="00076B2C" w:rsidRPr="00B81F2B">
        <w:rPr>
          <w:rFonts w:asciiTheme="minorBidi" w:hAnsiTheme="minorBidi"/>
        </w:rPr>
        <w:t>, such as the DNA methylation level</w:t>
      </w:r>
      <w:r w:rsidR="003E706B">
        <w:rPr>
          <w:rFonts w:asciiTheme="minorBidi" w:hAnsiTheme="minorBidi"/>
        </w:rPr>
        <w:t>,</w:t>
      </w:r>
      <w:r w:rsidR="00076B2C" w:rsidRPr="00B81F2B">
        <w:rPr>
          <w:rFonts w:asciiTheme="minorBidi" w:hAnsiTheme="minorBidi"/>
        </w:rPr>
        <w:t xml:space="preserve"> which can alter gene expression without changing the DNA sequence </w:t>
      </w:r>
      <w:r w:rsidR="00C9020F"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{"citationItems":[{"id":"ITEM-1","itemData":{"author":[{"dropping-particle":"","family":"McKay","given":"J A","non-dropping-particle":"","parse-names":false,"suffix":""},{"dropping-particle":"","family":"Mathers","given":"J C","non-dropping-particle":"","parse-names":false,"suffix":""}],"container-title":"Acta Physiologica","id":"ITEM-1","issue":"2","issued":{"date-parts":[["2011"]]},"page":"103-118","title":"Diet induced epigenetic changes and their implications for health","type":"article-journal","volume":"202"},"uris":["http://www.mendeley.com/documents/?uuid=e368d46e-4c69-3966-a3af-85f93ed86333"]}],"mendeley":{"formattedCitation":"&lt;sup&gt;8&lt;/sup&gt;","plainTextFormattedCitation":"8","previouslyFormattedCitation":"&lt;sup&gt;8&lt;/sup&gt;"},"properties":{"noteIndex":0},"schema":"https://github.com/citation-style-language/schema/raw/master/csl-citation.json"}</w:instrText>
      </w:r>
      <w:r w:rsidR="00C9020F" w:rsidRPr="00B81F2B">
        <w:rPr>
          <w:rFonts w:asciiTheme="minorBidi" w:hAnsiTheme="minorBidi"/>
        </w:rPr>
        <w:fldChar w:fldCharType="separate"/>
      </w:r>
      <w:r w:rsidR="00D53F9E" w:rsidRPr="00D53F9E">
        <w:rPr>
          <w:rFonts w:asciiTheme="minorBidi" w:hAnsiTheme="minorBidi"/>
          <w:noProof/>
          <w:vertAlign w:val="superscript"/>
        </w:rPr>
        <w:t>8</w:t>
      </w:r>
      <w:r w:rsidR="00C9020F" w:rsidRPr="00B81F2B">
        <w:rPr>
          <w:rFonts w:asciiTheme="minorBidi" w:hAnsiTheme="minorBidi"/>
        </w:rPr>
        <w:fldChar w:fldCharType="end"/>
      </w:r>
      <w:r w:rsidR="00856C00" w:rsidRPr="00B81F2B">
        <w:rPr>
          <w:rFonts w:asciiTheme="minorBidi" w:hAnsiTheme="minorBidi"/>
        </w:rPr>
        <w:t xml:space="preserve">, </w:t>
      </w:r>
      <w:r w:rsidR="00076B2C" w:rsidRPr="00B81F2B">
        <w:rPr>
          <w:rFonts w:asciiTheme="minorBidi" w:hAnsiTheme="minorBidi"/>
        </w:rPr>
        <w:t>may further contribute to NAFLD development</w:t>
      </w:r>
      <w:r w:rsidR="00856C00" w:rsidRPr="00B81F2B">
        <w:rPr>
          <w:rFonts w:asciiTheme="minorBidi" w:hAnsiTheme="minorBidi"/>
        </w:rPr>
        <w:t xml:space="preserve">. Therefore, it is plausible that NAFLD is promoted by epigenetic modifications, potentially mediating between genetic predisposition and environmental factors, as </w:t>
      </w:r>
      <w:r w:rsidR="00DB797E" w:rsidRPr="00B81F2B">
        <w:rPr>
          <w:rFonts w:asciiTheme="minorBidi" w:hAnsiTheme="minorBidi"/>
        </w:rPr>
        <w:t xml:space="preserve">physical activity (PA) and diet </w:t>
      </w:r>
      <w:r w:rsidR="00C9020F"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{"citationItems":[{"id":"ITEM-1","itemData":{"author":[{"dropping-particle":"","family":"Tammen","given":"Stephanie A","non-dropping-particle":"","parse-names":false,"suffix":""},{"dropping-particle":"","family":"Friso","given":"Simonetta","non-dropping-particle":"","parse-names":false,"suffix":""},{"dropping-particle":"","family":"Choi","given":"Sang-Woon","non-dropping-particle":"","parse-names":false,"suffix":""}],"container-title":"Molecular aspects of medicine","id":"ITEM-1","issue":"4","issued":{"date-parts":[["2013"]]},"page":"753-764","title":"Epigenetics: the link between nature and nurture","type":"article-journal","volume":"34"},"uris":["http://www.mendeley.com/documents/?uuid=32703950-e93c-3d00-be8e-5d3024d4ef49"]}],"mendeley":{"formattedCitation":"&lt;sup&gt;9&lt;/sup&gt;","plainTextFormattedCitation":"9","previouslyFormattedCitation":"&lt;sup&gt;9&lt;/sup&gt;"},"properties":{"noteIndex":0},"schema":"https://github.com/citation-style-language/schema/raw/master/csl-citation.json"}</w:instrText>
      </w:r>
      <w:r w:rsidR="00C9020F" w:rsidRPr="00B81F2B">
        <w:rPr>
          <w:rFonts w:asciiTheme="minorBidi" w:hAnsiTheme="minorBidi"/>
        </w:rPr>
        <w:fldChar w:fldCharType="separate"/>
      </w:r>
      <w:r w:rsidR="00D53F9E" w:rsidRPr="00D53F9E">
        <w:rPr>
          <w:rFonts w:asciiTheme="minorBidi" w:hAnsiTheme="minorBidi"/>
          <w:noProof/>
          <w:vertAlign w:val="superscript"/>
        </w:rPr>
        <w:t>9</w:t>
      </w:r>
      <w:r w:rsidR="00C9020F" w:rsidRPr="00B81F2B">
        <w:rPr>
          <w:rFonts w:asciiTheme="minorBidi" w:hAnsiTheme="minorBidi"/>
        </w:rPr>
        <w:fldChar w:fldCharType="end"/>
      </w:r>
      <w:r w:rsidR="00DB797E" w:rsidRPr="00B81F2B">
        <w:rPr>
          <w:rFonts w:asciiTheme="minorBidi" w:hAnsiTheme="minorBidi"/>
        </w:rPr>
        <w:t xml:space="preserve">. </w:t>
      </w:r>
      <w:r w:rsidR="000E728B">
        <w:rPr>
          <w:rFonts w:asciiTheme="minorBidi" w:hAnsiTheme="minorBidi"/>
        </w:rPr>
        <w:t>Indeed, b</w:t>
      </w:r>
      <w:r w:rsidR="00076B2C" w:rsidRPr="00B81F2B">
        <w:rPr>
          <w:rFonts w:asciiTheme="minorBidi" w:hAnsiTheme="minorBidi"/>
        </w:rPr>
        <w:t xml:space="preserve">oth genetic and epigenetic studies have uncovered numerous genes whose genotype or DNA methylation is related to liver fat accumulation, as well as liver injury and inflammation </w:t>
      </w:r>
      <w:r w:rsidR="00C9020F"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Heyman-Lindén","given":"Lovisa","non-dropping-particle":"","parse-names":false,"suffix":""},{"dropping-particle":"","family":"Seki","given":"Yoshinori","non-dropping-particle":"","parse-names":false,"suffix":""},{"dropping-particle":"","family":"Storm","given":"Petter","non-dropping-particle":"","parse-names":false,"suffix":""},{"dropping-particle":"","family":"Jones","given":"Helena A","non-dropping-particle":"","parse-names":false,"suffix":""},{"dropping-particle":"","family":"Charron","given":"Maureen J","non-dropping-particle":"","parse-names":false,"suffix":""},{"dropping-particle":"","family":"Berger","given":"Karin","non-dropping-particle":"","parse-names":false,"suffix":""},{"dropping-particle":"","family":"Holm","given":"Cecilia","non-dropping-particle":"","parse-names":false,"suffix":""}],"container-title":"The Journal of nutritional biochemistry","id":"ITEM-1","issued":{"date-parts":[["2016"]]},"page":"79-95","title":"Berry intake changes hepatic gene expression and DNA methylation patterns associated with high-fat diet","type":"article-journal","volume":"27"},"uris":["http://www.mendeley.com/documents/?uuid=4b8d428c-2062-309c-a07b-6ed1f95274f2"]},{"id":"ITEM-2","itemData":{"ISSN":"0017-5749","author":[{"dropping-particle":"","family":"Pirola","given":"Carlos Jose","non-dropping-particle":"","parse-names":false,"suffix":""},{"dropping-particle":"","family":"Gianotti","given":"Tomas Fernández","non-dropping-particle":"","parse-names":false,"suffix":""},{"dropping-particle":"","family":"Burgueño","given":"Adriana Laura","non-dropping-particle":"","parse-names":false,"suffix":""},{"dropping-particle":"","family":"Rey-Funes","given":"Manuel","non-dropping-particle":"","parse-names":false,"suffix":""},{"dropping-particle":"","family":"Loidl","given":"Cesar Fabian","non-dropping-particle":"","parse-names":false,"suffix":""},{"dropping-particle":"","family":"Mallardi","given":"Pablo","non-dropping-particle":"","parse-names":false,"suffix":""},{"dropping-particle":"","family":"San Martino","given":"Julio","non-dropping-particle":"","parse-names":false,"suffix":""},{"dropping-particle":"","family":"Castaño","given":"Gustavo Osvaldo","non-dropping-particle":"","parse-names":false,"suffix":""},{"dropping-particle":"","family":"Sookoian","given":"Silvia","non-dropping-particle":"","parse-names":false,"suffix":""}],"container-title":"Gut","id":"ITEM-2","issue":"9","issued":{"date-parts":[["2013"]]},"page":"1356-1363","publisher":"BMJ Publishing Group","title":"Epigenetic modification of liver mitochondrial DNA is associated with histological severity of nonalcoholic fatty liver disease","type":"article-journal","volume":"62"},"uris":["http://www.mendeley.com/documents/?uuid=50c5b179-9e3a-41f8-aaca-be7e14e34bb7"]},{"id":"ITEM-3","itemData":{"author":[{"dropping-particle":"","family":"Loomba","given":"Rohit","non-dropping-particle":"","parse-names":false,"suffix":""},{"dropping-particle":"","family":"Gindin","given":"Yevgeniy","non-dropping-particle":"","parse-names":false,"suffix":""},{"dropping-particle":"","family":"Jiang","given":"Zhaoshi","non-dropping-particle":"","parse-names":false,"suffix":""},{"dropping-particle":"","family":"Lawitz","given":"Eric","non-dropping-particle":"","parse-names":false,"suffix":""},{"dropping-particle":"","family":"Caldwell","given":"Stephen","non-dropping-particle":"","parse-names":false,"suffix":""},{"dropping-particle":"","family":"Djedjos","given":"C Stephen","non-dropping-particle":"","parse-names":false,"suffix":""},{"dropping-particle":"","family":"Xu","given":"Ren","non-dropping-particle":"","parse-names":false,"suffix":""},{"dropping-particle":"","family":"Chung","given":"Chuhan","non-dropping-particle":"","parse-names":false,"suffix":""},{"dropping-particle":"","family":"Myers","given":"Robert P","non-dropping-particle":"","parse-names":false,"suffix":""},{"dropping-particle":"","family":"Subramanian","given":"G Mani","non-dropping-particle":"","parse-names":false,"suffix":""}],"container-title":"JCI insight","id":"ITEM-3","issue":"2","issued":{"date-parts":[["2018"]]},"publisher":"American Society for Clinical Investigation","title":"DNA methylation signatures reflect aging in patients with nonalcoholic steatohepatitis","type":"article-journal","volume":"3"},"uris":["http://www.mendeley.com/documents/?uuid=f2dae4dc-50bf-40a1-a638-216f88d3a60d"]}],"mendeley":{"formattedCitation":"&lt;sup&gt;10–12&lt;/sup&gt;","plainTextFormattedCitation":"10–12","previouslyFormattedCitation":"&lt;sup&gt;10–12&lt;/sup&gt;"},"properties":{"noteIndex":0},"schema":"https://github.com/citation-style-language/schema/raw/master/csl-citation.json"}</w:instrText>
      </w:r>
      <w:r w:rsidR="00C9020F" w:rsidRPr="00B81F2B">
        <w:rPr>
          <w:rFonts w:asciiTheme="minorBidi" w:hAnsiTheme="minorBidi"/>
        </w:rPr>
        <w:fldChar w:fldCharType="separate"/>
      </w:r>
      <w:r w:rsidR="00D53F9E" w:rsidRPr="00D53F9E">
        <w:rPr>
          <w:rFonts w:asciiTheme="minorBidi" w:hAnsiTheme="minorBidi"/>
          <w:noProof/>
          <w:vertAlign w:val="superscript"/>
        </w:rPr>
        <w:t>10–12</w:t>
      </w:r>
      <w:r w:rsidR="00C9020F" w:rsidRPr="00B81F2B">
        <w:rPr>
          <w:rFonts w:asciiTheme="minorBidi" w:hAnsiTheme="minorBidi"/>
        </w:rPr>
        <w:fldChar w:fldCharType="end"/>
      </w:r>
      <w:r w:rsidR="00DB797E" w:rsidRPr="00B81F2B">
        <w:rPr>
          <w:rFonts w:asciiTheme="minorBidi" w:hAnsiTheme="minorBidi"/>
        </w:rPr>
        <w:t xml:space="preserve">. </w:t>
      </w:r>
      <w:r w:rsidR="00045A9F">
        <w:rPr>
          <w:rFonts w:asciiTheme="minorBidi" w:hAnsiTheme="minorBidi"/>
          <w:lang w:val="en-US"/>
        </w:rPr>
        <w:t>DNA methylation at s</w:t>
      </w:r>
      <w:r w:rsidR="00076B2C" w:rsidRPr="00B81F2B">
        <w:rPr>
          <w:rFonts w:asciiTheme="minorBidi" w:hAnsiTheme="minorBidi"/>
        </w:rPr>
        <w:t>pecific</w:t>
      </w:r>
      <w:r w:rsidR="00045A9F">
        <w:rPr>
          <w:rFonts w:asciiTheme="minorBidi" w:hAnsiTheme="minorBidi"/>
          <w:lang w:val="en-US"/>
        </w:rPr>
        <w:t xml:space="preserve"> </w:t>
      </w:r>
      <w:r w:rsidR="00045A9F" w:rsidRPr="00045A9F">
        <w:rPr>
          <w:rFonts w:asciiTheme="minorBidi" w:hAnsiTheme="minorBidi"/>
        </w:rPr>
        <w:t xml:space="preserve">cytosine followed by guanine </w:t>
      </w:r>
      <w:r w:rsidR="00045A9F">
        <w:rPr>
          <w:rFonts w:asciiTheme="minorBidi" w:hAnsiTheme="minorBidi"/>
          <w:lang w:val="en-US"/>
        </w:rPr>
        <w:t>(</w:t>
      </w:r>
      <w:r w:rsidR="00076B2C" w:rsidRPr="00B81F2B">
        <w:rPr>
          <w:rFonts w:asciiTheme="minorBidi" w:hAnsiTheme="minorBidi"/>
        </w:rPr>
        <w:t>CpG</w:t>
      </w:r>
      <w:r w:rsidR="00045A9F">
        <w:rPr>
          <w:rFonts w:asciiTheme="minorBidi" w:hAnsiTheme="minorBidi"/>
          <w:lang w:val="en-US"/>
        </w:rPr>
        <w:t>)</w:t>
      </w:r>
      <w:r w:rsidR="00076B2C" w:rsidRPr="00B81F2B">
        <w:rPr>
          <w:rFonts w:asciiTheme="minorBidi" w:hAnsiTheme="minorBidi"/>
        </w:rPr>
        <w:t xml:space="preserve">, in addition to other patient characteristics, could predict progression to liver fibrosis </w:t>
      </w:r>
      <w:r w:rsidR="00C9020F" w:rsidRPr="00B81F2B">
        <w:rPr>
          <w:rFonts w:asciiTheme="minorBidi" w:hAnsiTheme="minorBidi"/>
        </w:rPr>
        <w:fldChar w:fldCharType="begin" w:fldLock="1"/>
      </w:r>
      <w:r w:rsidR="00045A9F">
        <w:rPr>
          <w:rFonts w:asciiTheme="minorBidi" w:hAnsiTheme="minorBidi"/>
        </w:rPr>
        <w:instrText>ADDIN CSL_CITATION {"citationItems":[{"id":"ITEM-1","itemData":{"author":[{"dropping-particle":"","family":"Zeybel","given":"Müjdat","non-dropping-particle":"","parse-names":false,"suffix":""},{"dropping-particle":"","family":"Hardy","given":"Timothy","non-dropping-particle":"","parse-names":false,"suffix":""},{"dropping-particle":"","family":"Robinson","given":"Stuart M","non-dropping-particle":"","parse-names":false,"suffix":""},{"dropping-particle":"","family":"Fox","given":"Christopher","non-dropping-particle":"","parse-names":false,"suffix":""},{"dropping-particle":"","family":"Anstee","given":"Quentin M","non-dropping-particle":"","parse-names":false,"suffix":""},{"dropping-particle":"","family":"Ness","given":"Thomas","non-dropping-particle":"","parse-names":false,"suffix":""},{"dropping-particle":"","family":"Masson","given":"Steven","non-dropping-particle":"","parse-names":false,"suffix":""},{"dropping-particle":"","family":"Mathers","given":"John C","non-dropping-particle":"","parse-names":false,"suffix":""},{"dropping-particle":"","family":"French","given":"Jeremy","non-dropping-particle":"","parse-names":false,"suffix":""},{"dropping-particle":"","family":"White","given":"Steve","non-dropping-particle":"","parse-names":false,"suffix":""}],"container-title":"Clinical epigenetics","id":"ITEM-1","issue":"1","issued":{"date-parts":[["2015"]]},"page":"25","title":"Differential DNA methylation of genes involved in fibrosis progression in non-alcoholic fatty liver disease and alcoholic liver disease","type":"article-journal","volume":"7"},"uris":["http://www.mendeley.com/documents/?uuid=2a6b2278-16d9-3b38-a5aa-105c238e7f49"]}],"mendeley":{"formattedCitation":"&lt;sup&gt;13&lt;/sup&gt;","plainTextFormattedCitation":"13","previouslyFormattedCitation":"&lt;sup&gt;13&lt;/sup&gt;"},"properties":{"noteIndex":0},"schema":"https://github.com/citation-style-language/schema/raw/master/csl-citation.json"}</w:instrText>
      </w:r>
      <w:r w:rsidR="00C9020F" w:rsidRPr="00B81F2B">
        <w:rPr>
          <w:rFonts w:asciiTheme="minorBidi" w:hAnsiTheme="minorBidi"/>
        </w:rPr>
        <w:fldChar w:fldCharType="separate"/>
      </w:r>
      <w:r w:rsidR="00D53F9E" w:rsidRPr="00D53F9E">
        <w:rPr>
          <w:rFonts w:asciiTheme="minorBidi" w:hAnsiTheme="minorBidi"/>
          <w:noProof/>
          <w:vertAlign w:val="superscript"/>
        </w:rPr>
        <w:t>13</w:t>
      </w:r>
      <w:r w:rsidR="00C9020F" w:rsidRPr="00B81F2B">
        <w:rPr>
          <w:rFonts w:asciiTheme="minorBidi" w:hAnsiTheme="minorBidi"/>
        </w:rPr>
        <w:fldChar w:fldCharType="end"/>
      </w:r>
      <w:r w:rsidR="00F0200D" w:rsidRPr="00B81F2B">
        <w:rPr>
          <w:rFonts w:asciiTheme="minorBidi" w:hAnsiTheme="minorBidi"/>
        </w:rPr>
        <w:t xml:space="preserve">. </w:t>
      </w:r>
    </w:p>
    <w:bookmarkEnd w:id="3"/>
    <w:p w14:paraId="2AB39FF7" w14:textId="33B4D547" w:rsidR="00105688" w:rsidRDefault="00045A9F" w:rsidP="007E6643">
      <w:pPr>
        <w:spacing w:before="120" w:line="480" w:lineRule="auto"/>
        <w:rPr>
          <w:rFonts w:asciiTheme="minorBidi" w:hAnsiTheme="minorBidi"/>
        </w:rPr>
      </w:pPr>
      <w:r w:rsidRPr="00045A9F">
        <w:rPr>
          <w:rFonts w:asciiTheme="minorBidi" w:hAnsiTheme="minorBidi"/>
        </w:rPr>
        <w:t>Epigenetic changes might be induced by several factors such as genetics, environmental</w:t>
      </w:r>
      <w:r w:rsidR="000C1230">
        <w:rPr>
          <w:rFonts w:asciiTheme="minorBidi" w:hAnsiTheme="minorBidi"/>
        </w:rPr>
        <w:t>,</w:t>
      </w:r>
      <w:r w:rsidRPr="00045A9F">
        <w:rPr>
          <w:rFonts w:asciiTheme="minorBidi" w:hAnsiTheme="minorBidi"/>
        </w:rPr>
        <w:t xml:space="preserve"> and last but not least</w:t>
      </w:r>
      <w:r w:rsidR="000C1230">
        <w:rPr>
          <w:rFonts w:asciiTheme="minorBidi" w:hAnsiTheme="minorBidi"/>
        </w:rPr>
        <w:t>,</w:t>
      </w:r>
      <w:r w:rsidRPr="00045A9F">
        <w:rPr>
          <w:rFonts w:asciiTheme="minorBidi" w:hAnsiTheme="minorBidi"/>
        </w:rPr>
        <w:t xml:space="preserve"> lifestyle factors</w:t>
      </w:r>
      <w:r>
        <w:rPr>
          <w:rFonts w:asciiTheme="minorBidi" w:hAnsiTheme="minorBidi"/>
          <w:lang w:val="en-US"/>
        </w:rPr>
        <w:t>, as diet and exercise</w:t>
      </w:r>
      <w:r>
        <w:rPr>
          <w:lang w:val="en-US"/>
        </w:rPr>
        <w:t xml:space="preserve"> </w:t>
      </w:r>
      <w:r>
        <w:rPr>
          <w:lang w:val="en-US"/>
        </w:rPr>
        <w:fldChar w:fldCharType="begin" w:fldLock="1"/>
      </w:r>
      <w:r w:rsidR="0071027E">
        <w:rPr>
          <w:lang w:val="en-US"/>
        </w:rPr>
        <w:instrText>ADDIN CSL_CITATION {"citationItems":[{"id":"ITEM-1","itemData":{"author":[{"dropping-particle":"","family":"Eijk","given":"Kristel R","non-dropping-particle":"van","parse-names":false,"suffix":""},{"dropping-particle":"","family":"Jong","given":"Simone","non-dropping-particle":"de","parse-names":false,"suffix":""},{"dropping-particle":"","family":"Boks","given":"Marco P M","non-dropping-particle":"","parse-names":false,"suffix":""},{"dropping-particle":"","family":"Langeveld","given":"Terry","non-dropping-particle":"","parse-names":false,"suffix":""},{"dropping-particle":"","family":"Colas","given":"Fabrice","non-dropping-particle":"","parse-names":false,"suffix":""},{"dropping-particle":"","family":"Veldink","given":"Jan H","non-dropping-particle":"","parse-names":false,"suffix":""},{"dropping-particle":"","family":"Kovel","given":"Carolien G F","non-dropping-particle":"de","parse-names":false,"suffix":""},{"dropping-particle":"","family":"Janson","given":"Esther","non-dropping-particle":"","parse-names":false,"suffix":""},{"dropping-particle":"","family":"Strengman","given":"Eric","non-dropping-particle":"","parse-names":false,"suffix":""},{"dropping-particle":"","family":"Langfelder","given":"Peter","non-dropping-particle":"","parse-names":false,"suffix":""}],"container-title":"BMC genomics","id":"ITEM-1","issue":"1","issued":{"date-parts":[["2012"]]},"page":"636","title":"Genetic analysis of DNA methylation and gene expression levels in whole blood of healthy human subjects","type":"article-journal","volume":"13"},"uris":["http://www.mendeley.com/documents/?uuid=50205751-29bf-3817-b629-d477fd90d81c"]},{"id":"ITEM-2","itemData":{"author":[{"dropping-particle":"","family":"Tammen","given":"Stephanie A","non-dropping-particle":"","parse-names":false,"suffix":""},{"dropping-particle":"","family":"Friso","given":"Simonetta","non-dropping-particle":"","parse-names":false,"suffix":""},{"dropping-particle":"","family":"Choi","given":"Sang-Woon","non-dropping-particle":"","parse-names":false,"suffix":""}],"container-title":"Molecular aspects of medicine","id":"ITEM-2","issue":"4","issued":{"date-parts":[["2013"]]},"page":"753-764","title":"Epigenetics: the link between nature and nurture","type":"article-journal","volume":"34"},"uris":["http://www.mendeley.com/documents/?uuid=32703950-e93c-3d00-be8e-5d3024d4ef49"]},{"id":"ITEM-3","itemData":{"author":[{"dropping-particle":"","family":"Arpon","given":"Ana","non-dropping-particle":"","parse-names":false,"suffix":""},{"dropping-particle":"","family":"Riezu-Boj","given":"José Ignacio","non-dropping-particle":"","parse-names":false,"suffix":""},{"dropping-particle":"","family":"Milagro","given":"Fermin Ignacio","non-dropping-particle":"","parse-names":false,"suffix":""},{"dropping-particle":"","family":"Razquin","given":"Cristina","non-dropping-particle":"","parse-names":false,"suffix":""},{"dropping-particle":"","family":"Martínez-González","given":"M A","non-dropping-particle":"","parse-names":false,"suffix":""},{"dropping-particle":"","family":"Corella","given":"Dolores","non-dropping-particle":"","parse-names":false,"suffix":""},{"dropping-particle":"","family":"Estruch","given":"Ramon","non-dropping-particle":"","parse-names":false,"suffix":""},{"dropping-particle":"","family":"Casas","given":"Rosa","non-dropping-particle":"","parse-names":false,"suffix":""},{"dropping-particle":"","family":"Fito","given":"Montserrat","non-dropping-particle":"","parse-names":false,"suffix":""},{"dropping-particle":"","family":"Ros","given":"Emilio","non-dropping-particle":"","parse-names":false,"suffix":""}],"container-title":"Journal of physiology and biochemistry","id":"ITEM-3","issued":{"date-parts":[["2017"]]},"page":"1-11","title":"Adherence to Mediterranean diet is associated with methylation changes in inflammation-related genes in peripheral blood cells","type":"article-journal"},"uris":["http://www.mendeley.com/documents/?uuid=fa8ddf48-48a6-3b7d-9f29-e35928172978"]},{"id":"ITEM-4","itemData":{"author":[{"dropping-particle":"","family":"Voisin","given":"S","non-dropping-particle":"","parse-names":false,"suffix":""},{"dropping-particle":"","family":"Eynon","given":"Nir","non-dropping-particle":"","parse-names":false,"suffix":""},{"dropping-particle":"","family":"Yan","given":"Xu","non-dropping-particle":"","parse-names":false,"suffix":""},{"dropping-particle":"","family":"Bishop","given":"D J","non-dropping-particle":"","parse-names":false,"suffix":""}],"container-title":"Acta Physiologica","id":"ITEM-4","issue":"1","issued":{"date-parts":[["2015"]]},"page":"39-59","title":"Exercise training and DNA methylation in humans","type":"article-journal","volume":"213"},"uris":["http://www.mendeley.com/documents/?uuid=97db9eec-0fa2-3a5d-84bc-ef83f29b79a6"]}],"mendeley":{"formattedCitation":"&lt;sup&gt;9,14–16&lt;/sup&gt;","plainTextFormattedCitation":"9,14–16","previouslyFormattedCitation":"&lt;sup&gt;9,14–16&lt;/sup&gt;"},"properties":{"noteIndex":0},"schema":"https://github.com/citation-style-language/schema/raw/master/csl-citation.json"}</w:instrText>
      </w:r>
      <w:r>
        <w:rPr>
          <w:lang w:val="en-US"/>
        </w:rPr>
        <w:fldChar w:fldCharType="separate"/>
      </w:r>
      <w:r w:rsidRPr="00045A9F">
        <w:rPr>
          <w:noProof/>
          <w:vertAlign w:val="superscript"/>
          <w:lang w:val="en-US"/>
        </w:rPr>
        <w:t>9,14–16</w:t>
      </w:r>
      <w:r>
        <w:rPr>
          <w:lang w:val="en-US"/>
        </w:rPr>
        <w:fldChar w:fldCharType="end"/>
      </w:r>
      <w:r>
        <w:rPr>
          <w:rFonts w:asciiTheme="minorBidi" w:hAnsiTheme="minorBidi"/>
          <w:lang w:val="en-US"/>
        </w:rPr>
        <w:t xml:space="preserve">. </w:t>
      </w:r>
      <w:r w:rsidR="00105688" w:rsidRPr="00105688">
        <w:rPr>
          <w:rFonts w:asciiTheme="minorBidi" w:hAnsiTheme="minorBidi"/>
        </w:rPr>
        <w:t xml:space="preserve">It has been suggested that some nutritional components can </w:t>
      </w:r>
      <w:r w:rsidR="00033E73">
        <w:rPr>
          <w:rFonts w:asciiTheme="minorBidi" w:hAnsiTheme="minorBidi"/>
        </w:rPr>
        <w:t>lead to</w:t>
      </w:r>
      <w:r w:rsidR="00105688" w:rsidRPr="00105688">
        <w:rPr>
          <w:rFonts w:asciiTheme="minorBidi" w:hAnsiTheme="minorBidi"/>
        </w:rPr>
        <w:t xml:space="preserve"> epigenetic modifications</w:t>
      </w:r>
      <w:r w:rsidR="00105688">
        <w:rPr>
          <w:rFonts w:asciiTheme="minorBidi" w:hAnsiTheme="minorBidi"/>
        </w:rPr>
        <w:t xml:space="preserve"> </w:t>
      </w:r>
      <w:r w:rsidR="00105688">
        <w:rPr>
          <w:rFonts w:asciiTheme="minorBidi" w:hAnsiTheme="minorBidi"/>
        </w:rPr>
        <w:fldChar w:fldCharType="begin" w:fldLock="1"/>
      </w:r>
      <w:r w:rsidR="0071027E">
        <w:rPr>
          <w:rFonts w:asciiTheme="minorBidi" w:hAnsiTheme="minorBidi"/>
        </w:rPr>
        <w:instrText>ADDIN CSL_CITATION {"citationItems":[{"id":"ITEM-1","itemData":{"author":[{"dropping-particle":"","family":"Russo","given":"Gian Luigi","non-dropping-particle":"","parse-names":false,"suffix":""},{"dropping-particle":"","family":"Vastolo","given":"Viviana","non-dropping-particle":"","parse-names":false,"suffix":""},{"dropping-particle":"","family":"Ciccarelli","given":"Marco","non-dropping-particle":"","parse-names":false,"suffix":""},{"dropping-particle":"","family":"Albano","given":"Luigi","non-dropping-particle":"","parse-names":false,"suffix":""},{"dropping-particle":"","family":"Macchia","given":"Paolo Emidio","non-dropping-particle":"","parse-names":false,"suffix":""},{"dropping-particle":"","family":"Ungaro","given":"Paola","non-dropping-particle":"","parse-names":false,"suffix":""}],"container-title":"Critical reviews in food science and nutrition","id":"ITEM-1","issue":"just-accepted","issued":{"date-parts":[["2015"]]},"page":"0","title":"Dietary polyphenols and chromatin remodelling","type":"article-journal"},"uris":["http://www.mendeley.com/documents/?uuid=ac708b42-36db-3ad4-baf4-9c5715af469e"]}],"mendeley":{"formattedCitation":"&lt;sup&gt;17&lt;/sup&gt;","plainTextFormattedCitation":"17","previouslyFormattedCitation":"&lt;sup&gt;17&lt;/sup&gt;"},"properties":{"noteIndex":0},"schema":"https://github.com/citation-style-language/schema/raw/master/csl-citation.json"}</w:instrText>
      </w:r>
      <w:r w:rsidR="00105688">
        <w:rPr>
          <w:rFonts w:asciiTheme="minorBidi" w:hAnsiTheme="minorBidi"/>
        </w:rPr>
        <w:fldChar w:fldCharType="separate"/>
      </w:r>
      <w:r w:rsidRPr="00045A9F">
        <w:rPr>
          <w:rFonts w:asciiTheme="minorBidi" w:hAnsiTheme="minorBidi"/>
          <w:noProof/>
          <w:vertAlign w:val="superscript"/>
        </w:rPr>
        <w:t>17</w:t>
      </w:r>
      <w:r w:rsidR="00105688">
        <w:rPr>
          <w:rFonts w:asciiTheme="minorBidi" w:hAnsiTheme="minorBidi"/>
        </w:rPr>
        <w:fldChar w:fldCharType="end"/>
      </w:r>
      <w:r w:rsidR="00105688" w:rsidRPr="00105688">
        <w:rPr>
          <w:rFonts w:asciiTheme="minorBidi" w:hAnsiTheme="minorBidi"/>
        </w:rPr>
        <w:t xml:space="preserve">. These nutritional and dietary factors may affect DNA methylation in </w:t>
      </w:r>
      <w:r w:rsidR="00105688" w:rsidRPr="00105688">
        <w:rPr>
          <w:rFonts w:asciiTheme="minorBidi" w:hAnsiTheme="minorBidi"/>
        </w:rPr>
        <w:lastRenderedPageBreak/>
        <w:t xml:space="preserve">two proposed mechanisms, namely, changing the availability of methyl donors or altering the activity of enzymes involved in DNA methylation (e.g., the DNA methyltransferases family of enzymes) </w:t>
      </w:r>
      <w:r w:rsidR="00105688" w:rsidRPr="00105688">
        <w:rPr>
          <w:rFonts w:asciiTheme="minorBidi" w:hAnsiTheme="minorBidi"/>
        </w:rPr>
        <w:fldChar w:fldCharType="begin" w:fldLock="1"/>
      </w:r>
      <w:r>
        <w:rPr>
          <w:rFonts w:asciiTheme="minorBidi" w:hAnsiTheme="minorBidi"/>
        </w:rPr>
        <w:instrText>ADDIN CSL_CITATION {"citationItems":[{"id":"ITEM-1","itemData":{"author":[{"dropping-particle":"","family":"McKay","given":"J A","non-dropping-particle":"","parse-names":false,"suffix":""},{"dropping-particle":"","family":"Mathers","given":"J C","non-dropping-particle":"","parse-names":false,"suffix":""}],"container-title":"Acta Physiologica","id":"ITEM-1","issue":"2","issued":{"date-parts":[["2011"]]},"page":"103-118","title":"Diet induced epigenetic changes and their implications for health","type":"article-journal","volume":"202"},"uris":["http://www.mendeley.com/documents/?uuid=e368d46e-4c69-3966-a3af-85f93ed86333"]}],"mendeley":{"formattedCitation":"&lt;sup&gt;8&lt;/sup&gt;","plainTextFormattedCitation":"8","previouslyFormattedCitation":"&lt;sup&gt;8&lt;/sup&gt;"},"properties":{"noteIndex":0},"schema":"https://github.com/citation-style-language/schema/raw/master/csl-citation.json"}</w:instrText>
      </w:r>
      <w:r w:rsidR="00105688" w:rsidRPr="00105688">
        <w:rPr>
          <w:rFonts w:asciiTheme="minorBidi" w:hAnsiTheme="minorBidi"/>
        </w:rPr>
        <w:fldChar w:fldCharType="separate"/>
      </w:r>
      <w:r w:rsidR="00D53F9E" w:rsidRPr="00D53F9E">
        <w:rPr>
          <w:rFonts w:asciiTheme="minorBidi" w:hAnsiTheme="minorBidi"/>
          <w:noProof/>
          <w:vertAlign w:val="superscript"/>
        </w:rPr>
        <w:t>8</w:t>
      </w:r>
      <w:r w:rsidR="00105688" w:rsidRPr="00105688">
        <w:rPr>
          <w:rFonts w:asciiTheme="minorBidi" w:hAnsiTheme="minorBidi"/>
        </w:rPr>
        <w:fldChar w:fldCharType="end"/>
      </w:r>
      <w:r w:rsidR="00105688" w:rsidRPr="001A3081">
        <w:rPr>
          <w:rFonts w:asciiTheme="minorBidi" w:hAnsiTheme="minorBidi"/>
        </w:rPr>
        <w:t xml:space="preserve">. </w:t>
      </w:r>
      <w:r w:rsidR="001A3081" w:rsidRPr="001A3081">
        <w:rPr>
          <w:rFonts w:asciiTheme="minorBidi" w:hAnsiTheme="minorBidi"/>
        </w:rPr>
        <w:t>Previous studies suggested that dietary composition may affect epigenetic mechanisms, as adherence to the M</w:t>
      </w:r>
      <w:r w:rsidR="00461177">
        <w:rPr>
          <w:rFonts w:asciiTheme="minorBidi" w:hAnsiTheme="minorBidi"/>
        </w:rPr>
        <w:t>editerranean (MED)</w:t>
      </w:r>
      <w:r w:rsidR="001A3081" w:rsidRPr="001A3081">
        <w:rPr>
          <w:rFonts w:asciiTheme="minorBidi" w:hAnsiTheme="minorBidi"/>
        </w:rPr>
        <w:t xml:space="preserve"> diet is associated with methylation of selected genes related to inflammation </w:t>
      </w:r>
      <w:r w:rsidR="001A3081" w:rsidRPr="001A3081">
        <w:rPr>
          <w:rFonts w:asciiTheme="minorBidi" w:hAnsiTheme="minorBidi"/>
        </w:rPr>
        <w:fldChar w:fldCharType="begin" w:fldLock="1"/>
      </w:r>
      <w:r>
        <w:rPr>
          <w:rFonts w:asciiTheme="minorBidi" w:hAnsiTheme="minorBidi"/>
        </w:rPr>
        <w:instrText>ADDIN CSL_CITATION {"citationItems":[{"id":"ITEM-1","itemData":{"author":[{"dropping-particle":"","family":"Arpon","given":"Ana","non-dropping-particle":"","parse-names":false,"suffix":""},{"dropping-particle":"","family":"Riezu-Boj","given":"José Ignacio","non-dropping-particle":"","parse-names":false,"suffix":""},{"dropping-particle":"","family":"Milagro","given":"Fermin Ignacio","non-dropping-particle":"","parse-names":false,"suffix":""},{"dropping-particle":"","family":"Razquin","given":"Cristina","non-dropping-particle":"","parse-names":false,"suffix":""},{"dropping-particle":"","family":"Martínez-González","given":"M A","non-dropping-particle":"","parse-names":false,"suffix":""},{"dropping-particle":"","family":"Corella","given":"Dolores","non-dropping-particle":"","parse-names":false,"suffix":""},{"dropping-particle":"","family":"Estruch","given":"Ramon","non-dropping-particle":"","parse-names":false,"suffix":""},{"dropping-particle":"","family":"Casas","given":"Rosa","non-dropping-particle":"","parse-names":false,"suffix":""},{"dropping-particle":"","family":"Fito","given":"Montserrat","non-dropping-particle":"","parse-names":false,"suffix":""},{"dropping-particle":"","family":"Ros","given":"Emilio","non-dropping-particle":"","parse-names":false,"suffix":""}],"container-title":"Journal of physiology and biochemistry","id":"ITEM-1","issued":{"date-parts":[["2017"]]},"page":"1-11","title":"Adherence to Mediterranean diet is associated with methylation changes in inflammation-related genes in peripheral blood cells","type":"article-journal"},"uris":["http://www.mendeley.com/documents/?uuid=fa8ddf48-48a6-3b7d-9f29-e35928172978"]}],"mendeley":{"formattedCitation":"&lt;sup&gt;15&lt;/sup&gt;","plainTextFormattedCitation":"15","previouslyFormattedCitation":"&lt;sup&gt;15&lt;/sup&gt;"},"properties":{"noteIndex":0},"schema":"https://github.com/citation-style-language/schema/raw/master/csl-citation.json"}</w:instrText>
      </w:r>
      <w:r w:rsidR="001A3081" w:rsidRPr="001A3081">
        <w:rPr>
          <w:rFonts w:asciiTheme="minorBidi" w:hAnsiTheme="minorBidi"/>
        </w:rPr>
        <w:fldChar w:fldCharType="separate"/>
      </w:r>
      <w:r w:rsidRPr="00045A9F">
        <w:rPr>
          <w:rFonts w:asciiTheme="minorBidi" w:hAnsiTheme="minorBidi"/>
          <w:noProof/>
          <w:vertAlign w:val="superscript"/>
        </w:rPr>
        <w:t>15</w:t>
      </w:r>
      <w:r w:rsidR="001A3081" w:rsidRPr="001A3081">
        <w:rPr>
          <w:rFonts w:asciiTheme="minorBidi" w:hAnsiTheme="minorBidi"/>
        </w:rPr>
        <w:fldChar w:fldCharType="end"/>
      </w:r>
      <w:r w:rsidR="001A3081" w:rsidRPr="001A3081">
        <w:rPr>
          <w:rFonts w:asciiTheme="minorBidi" w:hAnsiTheme="minorBidi"/>
        </w:rPr>
        <w:t xml:space="preserve">. </w:t>
      </w:r>
      <w:r w:rsidR="0071027E" w:rsidRPr="0071027E">
        <w:rPr>
          <w:rFonts w:asciiTheme="minorBidi" w:hAnsiTheme="minorBidi"/>
        </w:rPr>
        <w:t xml:space="preserve">In this way, antioxidant and microRNAs are an emerging field of research, especially </w:t>
      </w:r>
      <w:r w:rsidR="000C1230">
        <w:rPr>
          <w:rFonts w:asciiTheme="minorBidi" w:hAnsiTheme="minorBidi"/>
        </w:rPr>
        <w:t>regarding</w:t>
      </w:r>
      <w:r w:rsidR="0071027E" w:rsidRPr="0071027E">
        <w:rPr>
          <w:rFonts w:asciiTheme="minorBidi" w:hAnsiTheme="minorBidi"/>
        </w:rPr>
        <w:t xml:space="preserve"> the epigenetic ability of </w:t>
      </w:r>
      <w:r w:rsidR="00C51051">
        <w:rPr>
          <w:rFonts w:asciiTheme="minorBidi" w:hAnsiTheme="minorBidi"/>
          <w:lang w:val="en-US"/>
        </w:rPr>
        <w:t>MED</w:t>
      </w:r>
      <w:r w:rsidR="0071027E" w:rsidRPr="0071027E">
        <w:rPr>
          <w:rFonts w:asciiTheme="minorBidi" w:hAnsiTheme="minorBidi"/>
        </w:rPr>
        <w:t xml:space="preserve"> diet</w:t>
      </w:r>
      <w:r w:rsidR="0071027E">
        <w:rPr>
          <w:rFonts w:asciiTheme="minorBidi" w:hAnsiTheme="minorBidi"/>
          <w:lang w:val="en-US"/>
        </w:rPr>
        <w:t xml:space="preserve"> </w:t>
      </w:r>
      <w:r w:rsidR="0071027E">
        <w:rPr>
          <w:rFonts w:asciiTheme="minorBidi" w:hAnsiTheme="minorBidi"/>
          <w:lang w:val="en-US"/>
        </w:rPr>
        <w:fldChar w:fldCharType="begin" w:fldLock="1"/>
      </w:r>
      <w:r w:rsidR="00BD25E2">
        <w:rPr>
          <w:rFonts w:asciiTheme="minorBidi" w:hAnsiTheme="minorBidi"/>
          <w:lang w:val="en-US"/>
        </w:rPr>
        <w:instrText>ADDIN CSL_CITATION {"citationItems":[{"id":"ITEM-1","itemData":{"author":[{"dropping-particle":"","family":"Cannataro","given":"Roberto","non-dropping-particle":"","parse-names":false,"suffix":""},{"dropping-particle":"","family":"Fazio","given":"Alessia","non-dropping-particle":"","parse-names":false,"suffix":""},{"dropping-particle":"","family":"Torre","given":"Chiara","non-dropping-particle":"La","parse-names":false,"suffix":""},{"dropping-particle":"","family":"Caroleo","given":"Maria Cristina","non-dropping-particle":"","parse-names":false,"suffix":""},{"dropping-particle":"","family":"Cione","given":"Erika","non-dropping-particle":"","parse-names":false,"suffix":""}],"container-title":"Antioxidants","id":"ITEM-1","issue":"2","issued":{"date-parts":[["2021"]]},"page":"328","publisher":"Multidisciplinary Digital Publishing Institute","title":"Polyphenols in the Mediterranean Diet: From Dietary Sources to microRNA Modulation","type":"article-journal","volume":"10"},"uris":["http://www.mendeley.com/documents/?uuid=ba0d9305-8e04-4917-a069-bde5016e81c9"]}],"mendeley":{"formattedCitation":"&lt;sup&gt;18&lt;/sup&gt;","plainTextFormattedCitation":"18","previouslyFormattedCitation":"&lt;sup&gt;18&lt;/sup&gt;"},"properties":{"noteIndex":0},"schema":"https://github.com/citation-style-language/schema/raw/master/csl-citation.json"}</w:instrText>
      </w:r>
      <w:r w:rsidR="0071027E">
        <w:rPr>
          <w:rFonts w:asciiTheme="minorBidi" w:hAnsiTheme="minorBidi"/>
          <w:lang w:val="en-US"/>
        </w:rPr>
        <w:fldChar w:fldCharType="separate"/>
      </w:r>
      <w:r w:rsidR="0071027E" w:rsidRPr="0071027E">
        <w:rPr>
          <w:rFonts w:asciiTheme="minorBidi" w:hAnsiTheme="minorBidi"/>
          <w:noProof/>
          <w:vertAlign w:val="superscript"/>
          <w:lang w:val="en-US"/>
        </w:rPr>
        <w:t>18</w:t>
      </w:r>
      <w:r w:rsidR="0071027E">
        <w:rPr>
          <w:rFonts w:asciiTheme="minorBidi" w:hAnsiTheme="minorBidi"/>
          <w:lang w:val="en-US"/>
        </w:rPr>
        <w:fldChar w:fldCharType="end"/>
      </w:r>
      <w:r w:rsidR="0071027E">
        <w:rPr>
          <w:rFonts w:asciiTheme="minorBidi" w:hAnsiTheme="minorBidi"/>
          <w:lang w:val="en-US"/>
        </w:rPr>
        <w:t xml:space="preserve">. </w:t>
      </w:r>
      <w:r w:rsidR="00033E73" w:rsidRPr="001A3081">
        <w:rPr>
          <w:rFonts w:asciiTheme="minorBidi" w:hAnsiTheme="minorBidi"/>
        </w:rPr>
        <w:t>Exercise</w:t>
      </w:r>
      <w:r w:rsidR="00033E73">
        <w:rPr>
          <w:rFonts w:asciiTheme="minorBidi" w:hAnsiTheme="minorBidi"/>
        </w:rPr>
        <w:t>, both chronic and acute, is an a</w:t>
      </w:r>
      <w:r w:rsidR="00105688" w:rsidRPr="00105688">
        <w:rPr>
          <w:rFonts w:asciiTheme="minorBidi" w:hAnsiTheme="minorBidi"/>
        </w:rPr>
        <w:t xml:space="preserve">dditional lifestyle factor </w:t>
      </w:r>
      <w:r w:rsidR="00033E73">
        <w:rPr>
          <w:rFonts w:asciiTheme="minorBidi" w:hAnsiTheme="minorBidi"/>
        </w:rPr>
        <w:t xml:space="preserve">that </w:t>
      </w:r>
      <w:r w:rsidR="00105688" w:rsidRPr="00105688">
        <w:rPr>
          <w:rFonts w:asciiTheme="minorBidi" w:hAnsiTheme="minorBidi"/>
        </w:rPr>
        <w:t>may also lead to changes in DNA methylation</w:t>
      </w:r>
      <w:r w:rsidR="00105688" w:rsidRPr="00105688">
        <w:rPr>
          <w:rFonts w:asciiTheme="minorBidi" w:hAnsiTheme="minorBidi"/>
        </w:rPr>
        <w:fldChar w:fldCharType="begin" w:fldLock="1"/>
      </w:r>
      <w:r w:rsidR="0071027E">
        <w:rPr>
          <w:rFonts w:asciiTheme="minorBidi" w:hAnsiTheme="minorBidi"/>
        </w:rPr>
        <w:instrText>ADDIN CSL_CITATION {"citationItems":[{"id":"ITEM-1","itemData":{"author":[{"dropping-particle":"","family":"Voisin","given":"S","non-dropping-particle":"","parse-names":false,"suffix":""},{"dropping-particle":"","family":"Eynon","given":"Nir","non-dropping-particle":"","parse-names":false,"suffix":""},{"dropping-particle":"","family":"Yan","given":"Xu","non-dropping-particle":"","parse-names":false,"suffix":""},{"dropping-particle":"","family":"Bishop","given":"D J","non-dropping-particle":"","parse-names":false,"suffix":""}],"container-title":"Acta Physiologica","id":"ITEM-1","issue":"1","issued":{"date-parts":[["2015"]]},"page":"39-59","title":"Exercise training and DNA methylation in humans","type":"article-journal","volume":"213"},"uris":["http://www.mendeley.com/documents/?uuid=97db9eec-0fa2-3a5d-84bc-ef83f29b79a6"]}],"mendeley":{"formattedCitation":"&lt;sup&gt;16&lt;/sup&gt;","plainTextFormattedCitation":"16","previouslyFormattedCitation":"&lt;sup&gt;16&lt;/sup&gt;"},"properties":{"noteIndex":0},"schema":"https://github.com/citation-style-language/schema/raw/master/csl-citation.json"}</w:instrText>
      </w:r>
      <w:r w:rsidR="00105688" w:rsidRPr="00105688">
        <w:rPr>
          <w:rFonts w:asciiTheme="minorBidi" w:hAnsiTheme="minorBidi"/>
        </w:rPr>
        <w:fldChar w:fldCharType="separate"/>
      </w:r>
      <w:r w:rsidRPr="00045A9F">
        <w:rPr>
          <w:rFonts w:asciiTheme="minorBidi" w:hAnsiTheme="minorBidi"/>
          <w:noProof/>
          <w:vertAlign w:val="superscript"/>
        </w:rPr>
        <w:t>16</w:t>
      </w:r>
      <w:r w:rsidR="00105688" w:rsidRPr="00105688">
        <w:rPr>
          <w:rFonts w:asciiTheme="minorBidi" w:hAnsiTheme="minorBidi"/>
        </w:rPr>
        <w:fldChar w:fldCharType="end"/>
      </w:r>
      <w:r w:rsidR="00105688" w:rsidRPr="00105688">
        <w:rPr>
          <w:rFonts w:asciiTheme="minorBidi" w:hAnsiTheme="minorBidi"/>
        </w:rPr>
        <w:t>. These changes included both hypo- and hyper-methylation in specific genes related to metabolism and energy usage.</w:t>
      </w:r>
    </w:p>
    <w:p w14:paraId="1299CEC7" w14:textId="6C80DDE9" w:rsidR="009748B5" w:rsidRPr="00B81F2B" w:rsidRDefault="00DC099B" w:rsidP="007E6643">
      <w:pPr>
        <w:spacing w:before="120" w:line="480" w:lineRule="auto"/>
        <w:rPr>
          <w:rFonts w:asciiTheme="minorBidi" w:eastAsia="Arial" w:hAnsiTheme="minorBidi"/>
          <w:lang w:val="en-US"/>
        </w:rPr>
      </w:pPr>
      <w:r w:rsidRPr="00B81F2B">
        <w:rPr>
          <w:rFonts w:asciiTheme="minorBidi" w:hAnsiTheme="minorBidi"/>
        </w:rPr>
        <w:t xml:space="preserve">The CENTRAL trial aimed to explore the effect of lifestyle interventions on fat </w:t>
      </w:r>
      <w:r w:rsidR="003E706B">
        <w:rPr>
          <w:rFonts w:asciiTheme="minorBidi" w:hAnsiTheme="minorBidi"/>
        </w:rPr>
        <w:t>deposit</w:t>
      </w:r>
      <w:r w:rsidRPr="00B81F2B">
        <w:rPr>
          <w:rFonts w:asciiTheme="minorBidi" w:hAnsiTheme="minorBidi"/>
        </w:rPr>
        <w:t xml:space="preserve"> mobilization, offers the unique opportunity to </w:t>
      </w:r>
      <w:r w:rsidR="003A35BD" w:rsidRPr="00B81F2B">
        <w:rPr>
          <w:rFonts w:asciiTheme="minorBidi" w:hAnsiTheme="minorBidi"/>
          <w:lang w:val="en-US"/>
        </w:rPr>
        <w:t>analy</w:t>
      </w:r>
      <w:r w:rsidR="00141AAF" w:rsidRPr="00B81F2B">
        <w:rPr>
          <w:rFonts w:asciiTheme="minorBidi" w:hAnsiTheme="minorBidi"/>
          <w:lang w:val="en-US"/>
        </w:rPr>
        <w:t>z</w:t>
      </w:r>
      <w:r w:rsidR="003A35BD" w:rsidRPr="00B81F2B">
        <w:rPr>
          <w:rFonts w:asciiTheme="minorBidi" w:hAnsiTheme="minorBidi"/>
          <w:lang w:val="en-US"/>
        </w:rPr>
        <w:t>e</w:t>
      </w:r>
      <w:r w:rsidRPr="00B81F2B">
        <w:rPr>
          <w:rFonts w:asciiTheme="minorBidi" w:hAnsiTheme="minorBidi"/>
        </w:rPr>
        <w:t xml:space="preserve"> diet-DNA-interactions at the </w:t>
      </w:r>
      <w:r w:rsidR="003E706B">
        <w:rPr>
          <w:rFonts w:asciiTheme="minorBidi" w:hAnsiTheme="minorBidi"/>
        </w:rPr>
        <w:t>epigenome level</w:t>
      </w:r>
      <w:r w:rsidRPr="00B81F2B">
        <w:rPr>
          <w:rFonts w:asciiTheme="minorBidi" w:hAnsiTheme="minorBidi"/>
        </w:rPr>
        <w:t xml:space="preserve">. </w:t>
      </w:r>
      <w:r w:rsidR="009748B5" w:rsidRPr="00B81F2B">
        <w:rPr>
          <w:rFonts w:asciiTheme="minorBidi" w:hAnsiTheme="minorBidi"/>
        </w:rPr>
        <w:t xml:space="preserve">To get more insights regarding the </w:t>
      </w:r>
      <w:r w:rsidR="004D4A15">
        <w:rPr>
          <w:rFonts w:asciiTheme="minorBidi" w:hAnsiTheme="minorBidi"/>
        </w:rPr>
        <w:t xml:space="preserve">underlying molecular mechanisms of the relationships </w:t>
      </w:r>
      <w:r w:rsidR="009748B5" w:rsidRPr="00B81F2B">
        <w:rPr>
          <w:rFonts w:asciiTheme="minorBidi" w:hAnsiTheme="minorBidi"/>
        </w:rPr>
        <w:t xml:space="preserve">between </w:t>
      </w:r>
      <w:r w:rsidR="00926211">
        <w:rPr>
          <w:rFonts w:asciiTheme="minorBidi" w:hAnsiTheme="minorBidi"/>
          <w:lang w:val="en-US"/>
        </w:rPr>
        <w:t xml:space="preserve">lifestyle intervention, </w:t>
      </w:r>
      <w:r w:rsidR="009748B5" w:rsidRPr="00B81F2B">
        <w:rPr>
          <w:rFonts w:asciiTheme="minorBidi" w:hAnsiTheme="minorBidi"/>
        </w:rPr>
        <w:t>intrahepatic fat</w:t>
      </w:r>
      <w:r w:rsidR="00526E3D">
        <w:rPr>
          <w:rFonts w:asciiTheme="minorBidi" w:hAnsiTheme="minorBidi"/>
        </w:rPr>
        <w:t>,</w:t>
      </w:r>
      <w:r w:rsidR="004D4A15">
        <w:rPr>
          <w:rFonts w:asciiTheme="minorBidi" w:hAnsiTheme="minorBidi"/>
        </w:rPr>
        <w:t xml:space="preserve"> and</w:t>
      </w:r>
      <w:r w:rsidR="009748B5" w:rsidRPr="00B81F2B">
        <w:rPr>
          <w:rFonts w:asciiTheme="minorBidi" w:hAnsiTheme="minorBidi"/>
        </w:rPr>
        <w:t xml:space="preserve"> NAFLD</w:t>
      </w:r>
      <w:r w:rsidR="00141AAF" w:rsidRPr="00B81F2B">
        <w:rPr>
          <w:rFonts w:asciiTheme="minorBidi" w:hAnsiTheme="minorBidi"/>
        </w:rPr>
        <w:t>,</w:t>
      </w:r>
      <w:r w:rsidR="009748B5" w:rsidRPr="00B81F2B">
        <w:rPr>
          <w:rFonts w:asciiTheme="minorBidi" w:hAnsiTheme="minorBidi"/>
        </w:rPr>
        <w:t xml:space="preserve"> we aimed t</w:t>
      </w:r>
      <w:r w:rsidR="00926211">
        <w:rPr>
          <w:rFonts w:asciiTheme="minorBidi" w:hAnsiTheme="minorBidi"/>
        </w:rPr>
        <w:t xml:space="preserve">o </w:t>
      </w:r>
      <w:r w:rsidR="009748B5" w:rsidRPr="00B81F2B">
        <w:rPr>
          <w:rFonts w:asciiTheme="minorBidi" w:hAnsiTheme="minorBidi"/>
        </w:rPr>
        <w:t xml:space="preserve">examine </w:t>
      </w:r>
      <w:r w:rsidR="00926211">
        <w:rPr>
          <w:rFonts w:asciiTheme="minorBidi" w:hAnsiTheme="minorBidi"/>
        </w:rPr>
        <w:t xml:space="preserve">the effect of lifestyle interventions on epigenetic modifications of liver </w:t>
      </w:r>
      <w:r w:rsidR="003E706B">
        <w:rPr>
          <w:rFonts w:asciiTheme="minorBidi" w:hAnsiTheme="minorBidi"/>
        </w:rPr>
        <w:t>fat</w:t>
      </w:r>
      <w:r w:rsidR="00EE5D7B">
        <w:rPr>
          <w:rFonts w:asciiTheme="minorBidi" w:hAnsiTheme="minorBidi"/>
        </w:rPr>
        <w:t xml:space="preserve"> </w:t>
      </w:r>
      <w:r w:rsidR="003E706B">
        <w:rPr>
          <w:rFonts w:asciiTheme="minorBidi" w:hAnsiTheme="minorBidi"/>
        </w:rPr>
        <w:t>related</w:t>
      </w:r>
      <w:r w:rsidR="00926211">
        <w:rPr>
          <w:rFonts w:asciiTheme="minorBidi" w:hAnsiTheme="minorBidi"/>
        </w:rPr>
        <w:t xml:space="preserve"> genes. </w:t>
      </w:r>
    </w:p>
    <w:p w14:paraId="4DA2B227" w14:textId="54FC2F88" w:rsidR="00F4046B" w:rsidRPr="00B81F2B" w:rsidRDefault="00FD167B" w:rsidP="008B7584">
      <w:pPr>
        <w:spacing w:line="480" w:lineRule="auto"/>
        <w:rPr>
          <w:rFonts w:asciiTheme="minorBidi" w:hAnsiTheme="minorBidi"/>
          <w:b/>
          <w:bCs/>
          <w:u w:val="single"/>
        </w:rPr>
      </w:pPr>
      <w:bookmarkStart w:id="4" w:name="_Hlk28850461"/>
      <w:r>
        <w:rPr>
          <w:rFonts w:asciiTheme="minorBidi" w:hAnsiTheme="minorBidi"/>
          <w:b/>
          <w:bCs/>
          <w:u w:val="single"/>
        </w:rPr>
        <w:t>Materials</w:t>
      </w:r>
      <w:r w:rsidR="008D4189">
        <w:rPr>
          <w:rFonts w:asciiTheme="minorBidi" w:hAnsiTheme="minorBidi"/>
          <w:b/>
          <w:bCs/>
          <w:u w:val="single"/>
        </w:rPr>
        <w:t xml:space="preserve"> and </w:t>
      </w:r>
      <w:r w:rsidR="00A95815" w:rsidRPr="00B81F2B">
        <w:rPr>
          <w:rFonts w:asciiTheme="minorBidi" w:hAnsiTheme="minorBidi"/>
          <w:b/>
          <w:bCs/>
          <w:u w:val="single"/>
        </w:rPr>
        <w:t>M</w:t>
      </w:r>
      <w:r w:rsidR="00F4046B" w:rsidRPr="00B81F2B">
        <w:rPr>
          <w:rFonts w:asciiTheme="minorBidi" w:hAnsiTheme="minorBidi"/>
          <w:b/>
          <w:bCs/>
          <w:u w:val="single"/>
        </w:rPr>
        <w:t>ethods</w:t>
      </w:r>
    </w:p>
    <w:p w14:paraId="5A25937E" w14:textId="24A0F34E" w:rsidR="007C7C0A" w:rsidRPr="00B81F2B" w:rsidRDefault="007C7C0A" w:rsidP="008B7584">
      <w:pPr>
        <w:spacing w:line="480" w:lineRule="auto"/>
        <w:rPr>
          <w:rFonts w:asciiTheme="minorBidi" w:hAnsiTheme="minorBidi"/>
          <w:u w:val="single"/>
          <w:rtl/>
        </w:rPr>
      </w:pPr>
      <w:r w:rsidRPr="00B81F2B">
        <w:rPr>
          <w:rFonts w:asciiTheme="minorBidi" w:hAnsiTheme="minorBidi"/>
          <w:u w:val="single"/>
        </w:rPr>
        <w:t>Study design and participants</w:t>
      </w:r>
    </w:p>
    <w:bookmarkEnd w:id="4"/>
    <w:p w14:paraId="6E9822E9" w14:textId="1AEFFC5C" w:rsidR="00FB3213" w:rsidRPr="00B81F2B" w:rsidRDefault="00BA3C4B" w:rsidP="00830CE6">
      <w:pPr>
        <w:spacing w:line="480" w:lineRule="auto"/>
        <w:rPr>
          <w:rFonts w:asciiTheme="minorBidi" w:hAnsiTheme="minorBidi"/>
          <w:color w:val="000000"/>
        </w:rPr>
      </w:pPr>
      <w:r w:rsidRPr="00B81F2B">
        <w:rPr>
          <w:rFonts w:asciiTheme="minorBidi" w:hAnsiTheme="minorBidi"/>
        </w:rPr>
        <w:t>The data for this analysis was taken from the 18-month CENTRAL trial</w:t>
      </w:r>
      <w:r w:rsidR="000B7646" w:rsidRPr="00B81F2B">
        <w:rPr>
          <w:rFonts w:asciiTheme="minorBidi" w:hAnsiTheme="minorBidi"/>
        </w:rPr>
        <w:t xml:space="preserve"> (</w:t>
      </w:r>
      <w:r w:rsidR="00100B46" w:rsidRPr="00B81F2B">
        <w:rPr>
          <w:rFonts w:asciiTheme="minorBidi" w:hAnsiTheme="minorBidi"/>
          <w:lang w:val="en-US"/>
        </w:rPr>
        <w:t>NCT01530724)</w:t>
      </w:r>
      <w:r w:rsidRPr="00B81F2B">
        <w:rPr>
          <w:rFonts w:asciiTheme="minorBidi" w:hAnsiTheme="minorBidi"/>
        </w:rPr>
        <w:t xml:space="preserve">, which </w:t>
      </w:r>
      <w:r w:rsidRPr="00B81F2B">
        <w:rPr>
          <w:rFonts w:asciiTheme="minorBidi" w:hAnsiTheme="minorBidi"/>
          <w:color w:val="000000"/>
        </w:rPr>
        <w:t xml:space="preserve">was conducted between </w:t>
      </w:r>
      <w:r w:rsidRPr="00B81F2B">
        <w:rPr>
          <w:rFonts w:asciiTheme="minorBidi" w:hAnsiTheme="minorBidi"/>
          <w:spacing w:val="-2"/>
        </w:rPr>
        <w:t>October 2012 and April 2014 in</w:t>
      </w:r>
      <w:r w:rsidRPr="00B81F2B">
        <w:rPr>
          <w:rFonts w:asciiTheme="minorBidi" w:hAnsiTheme="minorBidi"/>
          <w:color w:val="000000"/>
        </w:rPr>
        <w:t xml:space="preserve"> a </w:t>
      </w:r>
      <w:r w:rsidRPr="00B81F2B">
        <w:rPr>
          <w:rFonts w:asciiTheme="minorBidi" w:hAnsiTheme="minorBidi"/>
          <w:spacing w:val="-2"/>
        </w:rPr>
        <w:t xml:space="preserve">research </w:t>
      </w:r>
      <w:r w:rsidRPr="00B81F2B">
        <w:rPr>
          <w:rFonts w:asciiTheme="minorBidi" w:hAnsiTheme="minorBidi"/>
          <w:spacing w:val="-2"/>
          <w:lang w:val="en-US"/>
        </w:rPr>
        <w:t>center</w:t>
      </w:r>
      <w:r w:rsidRPr="00B81F2B">
        <w:rPr>
          <w:rFonts w:asciiTheme="minorBidi" w:hAnsiTheme="minorBidi"/>
          <w:spacing w:val="-2"/>
        </w:rPr>
        <w:t xml:space="preserve"> workplace</w:t>
      </w:r>
      <w:r w:rsidRPr="00B81F2B">
        <w:rPr>
          <w:rFonts w:asciiTheme="minorBidi" w:hAnsiTheme="minorBidi"/>
          <w:color w:val="000000"/>
        </w:rPr>
        <w:t xml:space="preserve"> in Dimona, Israel</w:t>
      </w:r>
      <w:r w:rsidR="00CE3284" w:rsidRPr="00B81F2B">
        <w:rPr>
          <w:rFonts w:asciiTheme="minorBidi" w:hAnsiTheme="minorBidi"/>
          <w:color w:val="000000"/>
        </w:rPr>
        <w:t xml:space="preserve">, with an onsite clinic and with a monitored provided lunch. </w:t>
      </w:r>
      <w:r w:rsidRPr="00B81F2B">
        <w:rPr>
          <w:rFonts w:asciiTheme="minorBidi" w:hAnsiTheme="minorBidi"/>
        </w:rPr>
        <w:t xml:space="preserve">Recruitment </w:t>
      </w:r>
      <w:r w:rsidRPr="00B81F2B">
        <w:rPr>
          <w:rFonts w:asciiTheme="minorBidi" w:hAnsiTheme="minorBidi"/>
          <w:lang w:val="en-US"/>
        </w:rPr>
        <w:t>began in May 2012, and by the start of the trial</w:t>
      </w:r>
      <w:r w:rsidR="003E706B">
        <w:rPr>
          <w:rFonts w:asciiTheme="minorBidi" w:hAnsiTheme="minorBidi"/>
          <w:lang w:val="en-US"/>
        </w:rPr>
        <w:t>,</w:t>
      </w:r>
      <w:r w:rsidRPr="00B81F2B">
        <w:rPr>
          <w:rFonts w:asciiTheme="minorBidi" w:hAnsiTheme="minorBidi"/>
          <w:lang w:val="en-US"/>
        </w:rPr>
        <w:t xml:space="preserve"> 278 sedentary </w:t>
      </w:r>
      <w:r w:rsidR="00C13D07">
        <w:rPr>
          <w:rFonts w:asciiTheme="minorBidi" w:hAnsiTheme="minorBidi"/>
          <w:lang w:val="en-US"/>
        </w:rPr>
        <w:t xml:space="preserve">Caucasian </w:t>
      </w:r>
      <w:r w:rsidRPr="00B81F2B">
        <w:rPr>
          <w:rFonts w:asciiTheme="minorBidi" w:hAnsiTheme="minorBidi"/>
          <w:lang w:val="en-US"/>
        </w:rPr>
        <w:t>individuals were found to be</w:t>
      </w:r>
      <w:r w:rsidRPr="00B81F2B">
        <w:rPr>
          <w:rFonts w:asciiTheme="minorBidi" w:hAnsiTheme="minorBidi"/>
        </w:rPr>
        <w:t xml:space="preserve"> eligible to participate in the study. Inclusion criteria were abdominal obesity or </w:t>
      </w:r>
      <w:r w:rsidR="0066744D">
        <w:rPr>
          <w:rFonts w:asciiTheme="minorBidi" w:hAnsiTheme="minorBidi"/>
        </w:rPr>
        <w:t>dyslipidemia</w:t>
      </w:r>
      <w:r w:rsidRPr="00B81F2B">
        <w:rPr>
          <w:rFonts w:asciiTheme="minorBidi" w:hAnsiTheme="minorBidi"/>
        </w:rPr>
        <w:t xml:space="preserve">. Exclusion criteria </w:t>
      </w:r>
      <w:r w:rsidR="002D6D37" w:rsidRPr="00B81F2B">
        <w:rPr>
          <w:rFonts w:asciiTheme="minorBidi" w:hAnsiTheme="minorBidi"/>
        </w:rPr>
        <w:t xml:space="preserve">are </w:t>
      </w:r>
      <w:r w:rsidR="000309E0" w:rsidRPr="00B81F2B">
        <w:rPr>
          <w:rFonts w:asciiTheme="minorBidi" w:hAnsiTheme="minorBidi"/>
        </w:rPr>
        <w:t xml:space="preserve">described </w:t>
      </w:r>
      <w:r w:rsidR="00141AAF" w:rsidRPr="00B81F2B">
        <w:rPr>
          <w:rFonts w:asciiTheme="minorBidi" w:hAnsiTheme="minorBidi"/>
        </w:rPr>
        <w:t xml:space="preserve">in </w:t>
      </w:r>
      <w:r w:rsidR="002D6D37" w:rsidRPr="00B81F2B">
        <w:rPr>
          <w:rFonts w:asciiTheme="minorBidi" w:hAnsiTheme="minorBidi"/>
        </w:rPr>
        <w:t xml:space="preserve">detail in </w:t>
      </w:r>
      <w:r w:rsidR="002D6D37" w:rsidRPr="00B81F2B">
        <w:rPr>
          <w:rFonts w:asciiTheme="minorBidi" w:hAnsiTheme="minorBidi"/>
          <w:b/>
          <w:bCs/>
        </w:rPr>
        <w:t>Supplementa</w:t>
      </w:r>
      <w:r w:rsidR="00A26692" w:rsidRPr="00B81F2B">
        <w:rPr>
          <w:rFonts w:asciiTheme="minorBidi" w:hAnsiTheme="minorBidi"/>
          <w:b/>
          <w:bCs/>
        </w:rPr>
        <w:t xml:space="preserve">ry </w:t>
      </w:r>
      <w:r w:rsidR="00BF2998">
        <w:rPr>
          <w:rFonts w:asciiTheme="minorBidi" w:hAnsiTheme="minorBidi"/>
          <w:b/>
          <w:bCs/>
        </w:rPr>
        <w:t>Information</w:t>
      </w:r>
      <w:r w:rsidR="002D6D37" w:rsidRPr="00B81F2B">
        <w:rPr>
          <w:rFonts w:asciiTheme="minorBidi" w:hAnsiTheme="minorBidi"/>
          <w:b/>
          <w:bCs/>
        </w:rPr>
        <w:t xml:space="preserve"> 1</w:t>
      </w:r>
      <w:r w:rsidR="002D6D37" w:rsidRPr="00B81F2B">
        <w:rPr>
          <w:rFonts w:asciiTheme="minorBidi" w:hAnsiTheme="minorBidi"/>
        </w:rPr>
        <w:t>.</w:t>
      </w:r>
      <w:r w:rsidR="003E706B">
        <w:rPr>
          <w:rFonts w:asciiTheme="minorBidi" w:hAnsiTheme="minorBidi"/>
        </w:rPr>
        <w:t xml:space="preserve"> </w:t>
      </w:r>
      <w:r w:rsidR="003E706B" w:rsidRPr="00B81F2B">
        <w:rPr>
          <w:rFonts w:asciiTheme="minorBidi" w:hAnsiTheme="minorBidi"/>
        </w:rPr>
        <w:t xml:space="preserve">Medical Ethics </w:t>
      </w:r>
      <w:r w:rsidR="003E706B" w:rsidRPr="00B81F2B">
        <w:rPr>
          <w:rFonts w:asciiTheme="minorBidi" w:hAnsiTheme="minorBidi"/>
        </w:rPr>
        <w:lastRenderedPageBreak/>
        <w:t xml:space="preserve">Board and the Helsinki Committee of the Soroka University Medical </w:t>
      </w:r>
      <w:r w:rsidR="003E706B" w:rsidRPr="00B81F2B">
        <w:rPr>
          <w:rFonts w:asciiTheme="minorBidi" w:hAnsiTheme="minorBidi"/>
          <w:lang w:val="en-US"/>
        </w:rPr>
        <w:t>Center</w:t>
      </w:r>
      <w:r w:rsidR="003E706B" w:rsidRPr="00B81F2B">
        <w:rPr>
          <w:rFonts w:asciiTheme="minorBidi" w:hAnsiTheme="minorBidi"/>
        </w:rPr>
        <w:t xml:space="preserve"> </w:t>
      </w:r>
      <w:r w:rsidR="003E706B">
        <w:rPr>
          <w:rFonts w:asciiTheme="minorBidi" w:hAnsiTheme="minorBidi"/>
        </w:rPr>
        <w:t xml:space="preserve">approved the </w:t>
      </w:r>
      <w:r w:rsidRPr="00B81F2B">
        <w:rPr>
          <w:rFonts w:asciiTheme="minorBidi" w:hAnsiTheme="minorBidi"/>
        </w:rPr>
        <w:t xml:space="preserve">study protocol. All participants provided written informed consent and received no financial compensation or gifts. </w:t>
      </w:r>
    </w:p>
    <w:p w14:paraId="5D803230" w14:textId="77777777" w:rsidR="00BA3C4B" w:rsidRPr="00B81F2B" w:rsidRDefault="00BA3C4B" w:rsidP="008B7584">
      <w:pPr>
        <w:spacing w:line="480" w:lineRule="auto"/>
        <w:rPr>
          <w:rFonts w:asciiTheme="minorBidi" w:hAnsiTheme="minorBidi"/>
          <w:u w:val="single"/>
        </w:rPr>
      </w:pPr>
      <w:r w:rsidRPr="00B81F2B">
        <w:rPr>
          <w:rFonts w:asciiTheme="minorBidi" w:hAnsiTheme="minorBidi"/>
          <w:u w:val="single"/>
        </w:rPr>
        <w:t>Randomization and intervention</w:t>
      </w:r>
    </w:p>
    <w:p w14:paraId="1A124ADC" w14:textId="3321649B" w:rsidR="00BA3C4B" w:rsidRPr="00B81F2B" w:rsidRDefault="00BA3C4B" w:rsidP="00A75330">
      <w:pPr>
        <w:autoSpaceDE w:val="0"/>
        <w:autoSpaceDN w:val="0"/>
        <w:adjustRightInd w:val="0"/>
        <w:spacing w:line="480" w:lineRule="auto"/>
        <w:rPr>
          <w:rFonts w:asciiTheme="minorBidi" w:hAnsiTheme="minorBidi"/>
        </w:rPr>
      </w:pPr>
      <w:r w:rsidRPr="00B81F2B">
        <w:rPr>
          <w:rFonts w:asciiTheme="minorBidi" w:hAnsiTheme="minorBidi"/>
        </w:rPr>
        <w:t xml:space="preserve">The randomization and lifestyle interventions of the CENTRAL study were described </w:t>
      </w:r>
      <w:r w:rsidR="00F34B87">
        <w:rPr>
          <w:rFonts w:asciiTheme="minorBidi" w:hAnsiTheme="minorBidi"/>
        </w:rPr>
        <w:t xml:space="preserve">in detail </w:t>
      </w:r>
      <w:r w:rsidRPr="00B81F2B">
        <w:rPr>
          <w:rFonts w:asciiTheme="minorBidi" w:hAnsiTheme="minorBidi"/>
        </w:rPr>
        <w:t>elsewhere</w:t>
      </w:r>
      <w:r w:rsidR="00C9020F" w:rsidRPr="00B81F2B">
        <w:rPr>
          <w:rFonts w:asciiTheme="minorBidi" w:hAnsiTheme="minorBidi"/>
        </w:rPr>
        <w:t xml:space="preserve"> </w:t>
      </w:r>
      <w:r w:rsidR="00C9020F" w:rsidRPr="00B81F2B">
        <w:rPr>
          <w:rFonts w:asciiTheme="minorBidi" w:hAnsiTheme="minorBidi"/>
        </w:rPr>
        <w:fldChar w:fldCharType="begin" w:fldLock="1"/>
      </w:r>
      <w:r w:rsidR="00BD25E2">
        <w:rPr>
          <w:rFonts w:asciiTheme="minorBidi" w:hAnsiTheme="minorBidi"/>
        </w:rPr>
        <w:instrText>ADDIN CSL_CITATION {"citationItems":[{"id":"ITEM-1","itemData":{"author":[{"dropping-particle":"","family":"Gepner","given":"Yftach","non-dropping-particle":"","parse-names":false,"suffix":""},{"dropping-particle":"","family":"Shelef","given":"Ilan","non-dropping-particle":"","parse-names":false,"suffix":""},{"dropping-particle":"","family":"Schwarzfuchs","given":"Dan","non-dropping-particle":"","parse-names":false,"suffix":""},{"dropping-particle":"","family":"Zelicha","given":"Hila","non-dropping-particle":"","parse-names":false,"suffix":""},{"dropping-particle":"","family":"Tene","given":"Lilac","non-dropping-particle":"","parse-names":false,"suffix":""},{"dropping-particle":"","family":"Meir","given":"Anat Yaskolka","non-dropping-particle":"","parse-names":false,"suffix":""},{"dropping-particle":"","family":"Tsaban","given":"Gal","non-dropping-particle":"","parse-names":false,"suffix":""},{"dropping-particle":"","family":"Cohen","given":"Noa","non-dropping-particle":"","parse-names":false,"suffix":""},{"dropping-particle":"","family":"Bril","given":"Nitzan","non-dropping-particle":"","parse-names":false,"suffix":""},{"dropping-particle":"","family":"Rein","given":"Michal","non-dropping-particle":"","parse-names":false,"suffix":""}],"container-title":"Circulation","id":"ITEM-1","issue":"11","issued":{"date-parts":[["2018"]]},"page":"1143-1157","title":"Effect of distinct lifestyle interventions on mobilization of fat storage pools: CENTRAL magnetic resonance imaging randomized controlled trial","type":"article-journal","volume":"137"},"uris":["http://www.mendeley.com/documents/?uuid=00f81552-319b-3f96-bd96-4a0b23f627e3"]}],"mendeley":{"formattedCitation":"&lt;sup&gt;19&lt;/sup&gt;","plainTextFormattedCitation":"19","previouslyFormattedCitation":"&lt;sup&gt;19&lt;/sup&gt;"},"properties":{"noteIndex":0},"schema":"https://github.com/citation-style-language/schema/raw/master/csl-citation.json"}</w:instrText>
      </w:r>
      <w:r w:rsidR="00C9020F" w:rsidRPr="00B81F2B">
        <w:rPr>
          <w:rFonts w:asciiTheme="minorBidi" w:hAnsiTheme="minorBidi"/>
        </w:rPr>
        <w:fldChar w:fldCharType="separate"/>
      </w:r>
      <w:r w:rsidR="0071027E" w:rsidRPr="0071027E">
        <w:rPr>
          <w:rFonts w:asciiTheme="minorBidi" w:hAnsiTheme="minorBidi"/>
          <w:noProof/>
          <w:vertAlign w:val="superscript"/>
        </w:rPr>
        <w:t>19</w:t>
      </w:r>
      <w:r w:rsidR="00C9020F" w:rsidRPr="00B81F2B">
        <w:rPr>
          <w:rFonts w:asciiTheme="minorBidi" w:hAnsiTheme="minorBidi"/>
        </w:rPr>
        <w:fldChar w:fldCharType="end"/>
      </w:r>
      <w:r w:rsidRPr="00B81F2B">
        <w:rPr>
          <w:rFonts w:asciiTheme="minorBidi" w:hAnsiTheme="minorBidi"/>
        </w:rPr>
        <w:t xml:space="preserve">. Briefly, participants were randomly assigned in two phases: first, into one of two equally hypocaloric diets: a </w:t>
      </w:r>
      <w:r w:rsidRPr="00B81F2B">
        <w:rPr>
          <w:rFonts w:asciiTheme="minorBidi" w:hAnsiTheme="minorBidi"/>
          <w:color w:val="000000" w:themeColor="text1"/>
        </w:rPr>
        <w:t>low-fat (LF) diet</w:t>
      </w:r>
      <w:r w:rsidRPr="00B81F2B">
        <w:rPr>
          <w:rFonts w:asciiTheme="minorBidi" w:hAnsiTheme="minorBidi"/>
        </w:rPr>
        <w:t xml:space="preserve"> or a </w:t>
      </w:r>
      <w:r w:rsidR="00461177">
        <w:rPr>
          <w:rFonts w:asciiTheme="minorBidi" w:hAnsiTheme="minorBidi"/>
          <w:color w:val="000000" w:themeColor="text1"/>
        </w:rPr>
        <w:t>MED</w:t>
      </w:r>
      <w:r w:rsidRPr="00B81F2B">
        <w:rPr>
          <w:rFonts w:asciiTheme="minorBidi" w:hAnsiTheme="minorBidi"/>
          <w:color w:val="000000" w:themeColor="text1"/>
        </w:rPr>
        <w:t>/low-carbohydrate (MED/LC) diet</w:t>
      </w:r>
      <w:r w:rsidR="00692EBA" w:rsidRPr="00B81F2B">
        <w:rPr>
          <w:rFonts w:asciiTheme="minorBidi" w:hAnsiTheme="minorBidi"/>
          <w:color w:val="000000" w:themeColor="text1"/>
          <w:lang w:val="en-US"/>
        </w:rPr>
        <w:t xml:space="preserve"> with 28g/day of provided walnuts</w:t>
      </w:r>
      <w:r w:rsidRPr="00B81F2B">
        <w:rPr>
          <w:rFonts w:asciiTheme="minorBidi" w:hAnsiTheme="minorBidi"/>
        </w:rPr>
        <w:t>. Second, after 6 months of dietary intervention, the two dietary groups were further randomized into diet</w:t>
      </w:r>
      <w:r w:rsidR="00141AAF" w:rsidRPr="00B81F2B">
        <w:rPr>
          <w:rFonts w:asciiTheme="minorBidi" w:hAnsiTheme="minorBidi"/>
        </w:rPr>
        <w:t>-</w:t>
      </w:r>
      <w:r w:rsidRPr="00B81F2B">
        <w:rPr>
          <w:rFonts w:asciiTheme="minorBidi" w:hAnsiTheme="minorBidi"/>
        </w:rPr>
        <w:t>only group</w:t>
      </w:r>
      <w:r w:rsidR="000606D1" w:rsidRPr="00B81F2B">
        <w:rPr>
          <w:rFonts w:asciiTheme="minorBidi" w:hAnsiTheme="minorBidi"/>
        </w:rPr>
        <w:t>s</w:t>
      </w:r>
      <w:r w:rsidRPr="00B81F2B">
        <w:rPr>
          <w:rFonts w:asciiTheme="minorBidi" w:hAnsiTheme="minorBidi"/>
        </w:rPr>
        <w:t xml:space="preserve"> (LF, MED/LC) or group</w:t>
      </w:r>
      <w:r w:rsidR="000606D1" w:rsidRPr="00B81F2B">
        <w:rPr>
          <w:rFonts w:asciiTheme="minorBidi" w:hAnsiTheme="minorBidi"/>
        </w:rPr>
        <w:t>s</w:t>
      </w:r>
      <w:r w:rsidRPr="00B81F2B">
        <w:rPr>
          <w:rFonts w:asciiTheme="minorBidi" w:hAnsiTheme="minorBidi"/>
        </w:rPr>
        <w:t xml:space="preserve"> with additional moderate PA intervention, mostly (80%) aerobic</w:t>
      </w:r>
      <w:r w:rsidR="001B29B7" w:rsidRPr="00B81F2B">
        <w:rPr>
          <w:rFonts w:asciiTheme="minorBidi" w:hAnsiTheme="minorBidi"/>
        </w:rPr>
        <w:t xml:space="preserve">. </w:t>
      </w:r>
    </w:p>
    <w:p w14:paraId="4ACE9138" w14:textId="569BE048" w:rsidR="00376DC4" w:rsidRPr="00B81F2B" w:rsidRDefault="00376DC4" w:rsidP="008B7584">
      <w:pPr>
        <w:spacing w:line="480" w:lineRule="auto"/>
        <w:rPr>
          <w:rFonts w:asciiTheme="minorBidi" w:hAnsiTheme="minorBidi"/>
          <w:u w:val="single"/>
        </w:rPr>
      </w:pPr>
      <w:r w:rsidRPr="00B81F2B">
        <w:rPr>
          <w:rFonts w:asciiTheme="minorBidi" w:hAnsiTheme="minorBidi"/>
          <w:u w:val="single"/>
        </w:rPr>
        <w:t xml:space="preserve">Magnetic resonance imaging </w:t>
      </w:r>
      <w:r w:rsidR="00E27883">
        <w:rPr>
          <w:rFonts w:asciiTheme="minorBidi" w:hAnsiTheme="minorBidi"/>
          <w:u w:val="single"/>
          <w:lang w:val="en-US"/>
        </w:rPr>
        <w:t xml:space="preserve">(MRI) </w:t>
      </w:r>
      <w:r w:rsidRPr="00B81F2B">
        <w:rPr>
          <w:rFonts w:asciiTheme="minorBidi" w:hAnsiTheme="minorBidi"/>
          <w:u w:val="single"/>
        </w:rPr>
        <w:t>and clinical measurements</w:t>
      </w:r>
    </w:p>
    <w:p w14:paraId="71A5ED21" w14:textId="0D0C7E97" w:rsidR="00376DC4" w:rsidRPr="00B81F2B" w:rsidRDefault="009D146E" w:rsidP="008B7584">
      <w:pPr>
        <w:autoSpaceDE w:val="0"/>
        <w:autoSpaceDN w:val="0"/>
        <w:adjustRightInd w:val="0"/>
        <w:spacing w:line="480" w:lineRule="auto"/>
        <w:rPr>
          <w:rFonts w:asciiTheme="minorBidi" w:hAnsiTheme="minorBidi"/>
          <w:color w:val="000000" w:themeColor="text1"/>
          <w:spacing w:val="-2"/>
        </w:rPr>
      </w:pPr>
      <w:r w:rsidRPr="00B81F2B">
        <w:rPr>
          <w:rFonts w:asciiTheme="minorBidi" w:hAnsiTheme="minorBidi"/>
          <w:color w:val="000000" w:themeColor="text1"/>
          <w:spacing w:val="-2"/>
        </w:rPr>
        <w:t>Whole</w:t>
      </w:r>
      <w:r w:rsidR="00141AAF" w:rsidRPr="00B81F2B">
        <w:rPr>
          <w:rFonts w:asciiTheme="minorBidi" w:hAnsiTheme="minorBidi"/>
          <w:color w:val="000000" w:themeColor="text1"/>
          <w:spacing w:val="-2"/>
        </w:rPr>
        <w:t>-</w:t>
      </w:r>
      <w:r w:rsidRPr="00B81F2B">
        <w:rPr>
          <w:rFonts w:asciiTheme="minorBidi" w:hAnsiTheme="minorBidi"/>
          <w:color w:val="000000" w:themeColor="text1"/>
          <w:spacing w:val="-2"/>
        </w:rPr>
        <w:t xml:space="preserve">body </w:t>
      </w:r>
      <w:r w:rsidR="00376DC4" w:rsidRPr="00B81F2B">
        <w:rPr>
          <w:rFonts w:asciiTheme="minorBidi" w:hAnsiTheme="minorBidi"/>
          <w:color w:val="000000" w:themeColor="text1"/>
          <w:spacing w:val="-2"/>
        </w:rPr>
        <w:t>Magnetic resonance imaging (</w:t>
      </w:r>
      <w:r w:rsidR="00376DC4" w:rsidRPr="00B81F2B">
        <w:rPr>
          <w:rFonts w:asciiTheme="minorBidi" w:hAnsiTheme="minorBidi"/>
          <w:color w:val="000000" w:themeColor="text1"/>
        </w:rPr>
        <w:t>Ingenia 3.0 T, Philips Healthcare, Best,</w:t>
      </w:r>
      <w:r w:rsidR="00360D22" w:rsidRPr="00B81F2B">
        <w:rPr>
          <w:rFonts w:asciiTheme="minorBidi" w:hAnsiTheme="minorBidi"/>
          <w:color w:val="000000" w:themeColor="text1"/>
        </w:rPr>
        <w:t xml:space="preserve"> </w:t>
      </w:r>
      <w:r w:rsidR="00376DC4" w:rsidRPr="00B81F2B">
        <w:rPr>
          <w:rFonts w:asciiTheme="minorBidi" w:hAnsiTheme="minorBidi"/>
          <w:color w:val="000000" w:themeColor="text1"/>
        </w:rPr>
        <w:t xml:space="preserve">Netherlands) was used </w:t>
      </w:r>
      <w:r w:rsidR="008506DF">
        <w:rPr>
          <w:rFonts w:asciiTheme="minorBidi" w:hAnsiTheme="minorBidi"/>
          <w:color w:val="000000" w:themeColor="text1"/>
        </w:rPr>
        <w:t>to</w:t>
      </w:r>
      <w:r w:rsidR="00376DC4" w:rsidRPr="00B81F2B">
        <w:rPr>
          <w:rFonts w:asciiTheme="minorBidi" w:hAnsiTheme="minorBidi"/>
          <w:color w:val="000000" w:themeColor="text1"/>
        </w:rPr>
        <w:t xml:space="preserve"> scan all participants at baseline </w:t>
      </w:r>
      <w:r w:rsidR="002F24B0" w:rsidRPr="00B81F2B">
        <w:rPr>
          <w:rFonts w:asciiTheme="minorBidi" w:hAnsiTheme="minorBidi"/>
          <w:color w:val="000000" w:themeColor="text1"/>
        </w:rPr>
        <w:t xml:space="preserve">(T0) </w:t>
      </w:r>
      <w:r w:rsidR="00376DC4" w:rsidRPr="00B81F2B">
        <w:rPr>
          <w:rFonts w:asciiTheme="minorBidi" w:hAnsiTheme="minorBidi"/>
          <w:color w:val="000000" w:themeColor="text1"/>
        </w:rPr>
        <w:t>and after 18 months</w:t>
      </w:r>
      <w:r w:rsidR="002F24B0" w:rsidRPr="00B81F2B">
        <w:rPr>
          <w:rFonts w:asciiTheme="minorBidi" w:hAnsiTheme="minorBidi"/>
          <w:color w:val="000000" w:themeColor="text1"/>
        </w:rPr>
        <w:t xml:space="preserve"> (T18)</w:t>
      </w:r>
      <w:r w:rsidR="00376DC4" w:rsidRPr="00B81F2B">
        <w:rPr>
          <w:rFonts w:asciiTheme="minorBidi" w:hAnsiTheme="minorBidi"/>
          <w:color w:val="000000" w:themeColor="text1"/>
          <w:spacing w:val="-2"/>
        </w:rPr>
        <w:t>. Technical description of the scanning procedure</w:t>
      </w:r>
      <w:r w:rsidR="00376DC4" w:rsidRPr="00B81F2B">
        <w:rPr>
          <w:rFonts w:asciiTheme="minorBidi" w:hAnsiTheme="minorBidi"/>
          <w:color w:val="000000" w:themeColor="text1"/>
          <w:spacing w:val="-2"/>
          <w:lang w:val="en-US"/>
        </w:rPr>
        <w:t>, IHF%</w:t>
      </w:r>
      <w:r w:rsidR="00FF3045">
        <w:rPr>
          <w:rFonts w:asciiTheme="minorBidi" w:hAnsiTheme="minorBidi"/>
          <w:color w:val="000000" w:themeColor="text1"/>
          <w:spacing w:val="-2"/>
          <w:lang w:val="en-US"/>
        </w:rPr>
        <w:t xml:space="preserve">, and </w:t>
      </w:r>
      <w:r w:rsidR="00FF3045" w:rsidRPr="00B81F2B">
        <w:rPr>
          <w:rFonts w:asciiTheme="minorBidi" w:hAnsiTheme="minorBidi"/>
          <w:color w:val="000000" w:themeColor="text1"/>
          <w:spacing w:val="-2"/>
          <w:lang w:val="en-US"/>
        </w:rPr>
        <w:t>abdominal fat depots</w:t>
      </w:r>
      <w:r w:rsidR="00FF3045">
        <w:rPr>
          <w:rFonts w:asciiTheme="minorBidi" w:hAnsiTheme="minorBidi"/>
          <w:color w:val="000000" w:themeColor="text1"/>
          <w:spacing w:val="-2"/>
          <w:lang w:val="en-US"/>
        </w:rPr>
        <w:t xml:space="preserve"> </w:t>
      </w:r>
      <w:r w:rsidR="00376DC4" w:rsidRPr="00B81F2B">
        <w:rPr>
          <w:rFonts w:asciiTheme="minorBidi" w:hAnsiTheme="minorBidi"/>
          <w:color w:val="000000" w:themeColor="text1"/>
          <w:spacing w:val="-2"/>
          <w:lang w:val="en-US"/>
        </w:rPr>
        <w:t>acquisition</w:t>
      </w:r>
      <w:r w:rsidR="002F24B0" w:rsidRPr="00B81F2B">
        <w:rPr>
          <w:rFonts w:asciiTheme="minorBidi" w:hAnsiTheme="minorBidi"/>
          <w:color w:val="000000" w:themeColor="text1"/>
          <w:spacing w:val="-2"/>
          <w:lang w:val="en-US"/>
        </w:rPr>
        <w:t>s</w:t>
      </w:r>
      <w:r w:rsidR="00376DC4" w:rsidRPr="00B81F2B">
        <w:rPr>
          <w:rFonts w:asciiTheme="minorBidi" w:hAnsiTheme="minorBidi"/>
          <w:color w:val="000000" w:themeColor="text1"/>
          <w:spacing w:val="-2"/>
          <w:lang w:val="en-US"/>
        </w:rPr>
        <w:t xml:space="preserve"> and</w:t>
      </w:r>
      <w:r w:rsidR="00376DC4" w:rsidRPr="00B81F2B">
        <w:rPr>
          <w:rFonts w:asciiTheme="minorBidi" w:hAnsiTheme="minorBidi"/>
          <w:color w:val="000000" w:themeColor="text1"/>
          <w:spacing w:val="-2"/>
        </w:rPr>
        <w:t xml:space="preserve"> </w:t>
      </w:r>
      <w:r w:rsidR="00376DC4" w:rsidRPr="00B81F2B">
        <w:rPr>
          <w:rFonts w:asciiTheme="minorBidi" w:hAnsiTheme="minorBidi"/>
        </w:rPr>
        <w:t>clinical measurements</w:t>
      </w:r>
      <w:r w:rsidR="00376DC4" w:rsidRPr="00B81F2B">
        <w:rPr>
          <w:rFonts w:asciiTheme="minorBidi" w:hAnsiTheme="minorBidi"/>
          <w:color w:val="000000" w:themeColor="text1"/>
          <w:spacing w:val="-2"/>
        </w:rPr>
        <w:t xml:space="preserve"> are available in </w:t>
      </w:r>
      <w:r w:rsidR="00376DC4" w:rsidRPr="00B81F2B">
        <w:rPr>
          <w:rFonts w:asciiTheme="minorBidi" w:hAnsiTheme="minorBidi"/>
          <w:b/>
          <w:bCs/>
          <w:color w:val="000000" w:themeColor="text1"/>
          <w:spacing w:val="-2"/>
        </w:rPr>
        <w:t>Supplement</w:t>
      </w:r>
      <w:r w:rsidR="003A35BD" w:rsidRPr="00B81F2B">
        <w:rPr>
          <w:rFonts w:asciiTheme="minorBidi" w:hAnsiTheme="minorBidi"/>
          <w:b/>
          <w:bCs/>
          <w:color w:val="000000" w:themeColor="text1"/>
          <w:spacing w:val="-2"/>
        </w:rPr>
        <w:t>a</w:t>
      </w:r>
      <w:r w:rsidR="00A26692" w:rsidRPr="00B81F2B">
        <w:rPr>
          <w:rFonts w:asciiTheme="minorBidi" w:hAnsiTheme="minorBidi"/>
          <w:b/>
          <w:bCs/>
          <w:color w:val="000000" w:themeColor="text1"/>
          <w:spacing w:val="-2"/>
        </w:rPr>
        <w:t xml:space="preserve">ry </w:t>
      </w:r>
      <w:r w:rsidR="00BF2998">
        <w:rPr>
          <w:rFonts w:asciiTheme="minorBidi" w:hAnsiTheme="minorBidi"/>
          <w:b/>
          <w:bCs/>
          <w:color w:val="000000" w:themeColor="text1"/>
          <w:spacing w:val="-2"/>
        </w:rPr>
        <w:t>Information</w:t>
      </w:r>
      <w:r w:rsidR="002D6D37" w:rsidRPr="00B81F2B">
        <w:rPr>
          <w:rFonts w:asciiTheme="minorBidi" w:hAnsiTheme="minorBidi"/>
          <w:b/>
          <w:bCs/>
          <w:color w:val="000000" w:themeColor="text1"/>
          <w:spacing w:val="-2"/>
        </w:rPr>
        <w:t xml:space="preserve"> 2</w:t>
      </w:r>
      <w:r w:rsidR="00376DC4" w:rsidRPr="00B81F2B">
        <w:rPr>
          <w:rFonts w:asciiTheme="minorBidi" w:hAnsiTheme="minorBidi"/>
          <w:color w:val="000000" w:themeColor="text1"/>
          <w:spacing w:val="-2"/>
        </w:rPr>
        <w:t>.</w:t>
      </w:r>
    </w:p>
    <w:p w14:paraId="0586F863" w14:textId="78088764" w:rsidR="00376DC4" w:rsidRPr="00346D4F" w:rsidRDefault="00376DC4" w:rsidP="008B7584">
      <w:pPr>
        <w:autoSpaceDE w:val="0"/>
        <w:autoSpaceDN w:val="0"/>
        <w:adjustRightInd w:val="0"/>
        <w:spacing w:line="480" w:lineRule="auto"/>
        <w:rPr>
          <w:rFonts w:asciiTheme="minorBidi" w:hAnsiTheme="minorBidi"/>
          <w:color w:val="000000" w:themeColor="text1"/>
          <w:spacing w:val="-2"/>
          <w:u w:val="single"/>
        </w:rPr>
      </w:pPr>
      <w:r w:rsidRPr="00B81F2B">
        <w:rPr>
          <w:rFonts w:asciiTheme="minorBidi" w:hAnsiTheme="minorBidi"/>
          <w:color w:val="000000" w:themeColor="text1"/>
          <w:spacing w:val="-2"/>
          <w:u w:val="single"/>
          <w:lang w:val="en-US"/>
        </w:rPr>
        <w:t>DNA sampling and extraction</w:t>
      </w:r>
    </w:p>
    <w:p w14:paraId="134FFE6B" w14:textId="336131A3" w:rsidR="009771AC" w:rsidRPr="00B81F2B" w:rsidRDefault="00FD0BC8" w:rsidP="008B7584">
      <w:pPr>
        <w:autoSpaceDE w:val="0"/>
        <w:autoSpaceDN w:val="0"/>
        <w:adjustRightInd w:val="0"/>
        <w:spacing w:line="480" w:lineRule="auto"/>
        <w:rPr>
          <w:rFonts w:asciiTheme="minorBidi" w:hAnsiTheme="minorBidi"/>
          <w:color w:val="000000" w:themeColor="text1"/>
          <w:spacing w:val="-2"/>
          <w:lang w:val="en-US"/>
        </w:rPr>
      </w:pPr>
      <w:r w:rsidRPr="00B81F2B">
        <w:rPr>
          <w:rFonts w:asciiTheme="minorBidi" w:hAnsiTheme="minorBidi"/>
          <w:color w:val="000000" w:themeColor="text1"/>
          <w:spacing w:val="-2"/>
          <w:lang w:val="en-US"/>
        </w:rPr>
        <w:t>Whole b</w:t>
      </w:r>
      <w:r w:rsidR="009771AC" w:rsidRPr="00B81F2B">
        <w:rPr>
          <w:rFonts w:asciiTheme="minorBidi" w:hAnsiTheme="minorBidi"/>
          <w:color w:val="000000" w:themeColor="text1"/>
          <w:spacing w:val="-2"/>
          <w:lang w:val="en-US"/>
        </w:rPr>
        <w:t xml:space="preserve">lood samples were taken after an overnight fast at baseline (T0) and 18 months (T18) after the individuals completed their interventions. Samples were stored at -80°C until DNA was extracted following a standard protocol using proteinase K and 0.2%  </w:t>
      </w:r>
      <w:r w:rsidR="00E27883" w:rsidRPr="00E27883">
        <w:rPr>
          <w:rFonts w:asciiTheme="minorBidi" w:hAnsiTheme="minorBidi"/>
          <w:color w:val="000000" w:themeColor="text1"/>
          <w:spacing w:val="-2"/>
          <w:lang w:val="en-US"/>
        </w:rPr>
        <w:t>Sodium dodecyl sul</w:t>
      </w:r>
      <w:r w:rsidR="000C1230">
        <w:rPr>
          <w:rFonts w:asciiTheme="minorBidi" w:hAnsiTheme="minorBidi"/>
          <w:color w:val="000000" w:themeColor="text1"/>
          <w:spacing w:val="-2"/>
          <w:lang w:val="en-US"/>
        </w:rPr>
        <w:t>f</w:t>
      </w:r>
      <w:r w:rsidR="00E27883" w:rsidRPr="00E27883">
        <w:rPr>
          <w:rFonts w:asciiTheme="minorBidi" w:hAnsiTheme="minorBidi"/>
          <w:color w:val="000000" w:themeColor="text1"/>
          <w:spacing w:val="-2"/>
          <w:lang w:val="en-US"/>
        </w:rPr>
        <w:t xml:space="preserve">ate </w:t>
      </w:r>
      <w:r w:rsidR="009771AC" w:rsidRPr="00B81F2B">
        <w:rPr>
          <w:rFonts w:asciiTheme="minorBidi" w:hAnsiTheme="minorBidi"/>
          <w:color w:val="000000" w:themeColor="text1"/>
          <w:spacing w:val="-2"/>
          <w:lang w:val="en-US"/>
        </w:rPr>
        <w:t>at Hadassah Hebrew University Medical Center, Jerusalem. Samples were integrity-controlled using gel electrophoresis. Concentrations of double-stranded DNA were measured using Quant-</w:t>
      </w:r>
      <w:proofErr w:type="spellStart"/>
      <w:r w:rsidR="009771AC" w:rsidRPr="00B81F2B">
        <w:rPr>
          <w:rFonts w:asciiTheme="minorBidi" w:hAnsiTheme="minorBidi"/>
          <w:color w:val="000000" w:themeColor="text1"/>
          <w:spacing w:val="-2"/>
          <w:lang w:val="en-US"/>
        </w:rPr>
        <w:t>iT</w:t>
      </w:r>
      <w:proofErr w:type="spellEnd"/>
      <w:r w:rsidR="009771AC" w:rsidRPr="00B81F2B">
        <w:rPr>
          <w:rFonts w:asciiTheme="minorBidi" w:hAnsiTheme="minorBidi"/>
          <w:color w:val="000000" w:themeColor="text1"/>
          <w:spacing w:val="-2"/>
          <w:lang w:val="en-US"/>
        </w:rPr>
        <w:t xml:space="preserve"> </w:t>
      </w:r>
      <w:proofErr w:type="spellStart"/>
      <w:r w:rsidR="009771AC" w:rsidRPr="00B81F2B">
        <w:rPr>
          <w:rFonts w:asciiTheme="minorBidi" w:hAnsiTheme="minorBidi"/>
          <w:color w:val="000000" w:themeColor="text1"/>
          <w:spacing w:val="-2"/>
          <w:lang w:val="en-US"/>
        </w:rPr>
        <w:t>PicoGreen</w:t>
      </w:r>
      <w:proofErr w:type="spellEnd"/>
      <w:r w:rsidR="009771AC" w:rsidRPr="00B81F2B">
        <w:rPr>
          <w:rFonts w:asciiTheme="minorBidi" w:hAnsiTheme="minorBidi"/>
          <w:color w:val="000000" w:themeColor="text1"/>
          <w:spacing w:val="-2"/>
          <w:lang w:val="en-US"/>
        </w:rPr>
        <w:t xml:space="preserve"> </w:t>
      </w:r>
      <w:r w:rsidR="009771AC" w:rsidRPr="00B81F2B">
        <w:rPr>
          <w:rFonts w:asciiTheme="minorBidi" w:hAnsiTheme="minorBidi"/>
          <w:color w:val="000000" w:themeColor="text1"/>
          <w:spacing w:val="-2"/>
          <w:lang w:val="en-US"/>
        </w:rPr>
        <w:lastRenderedPageBreak/>
        <w:t xml:space="preserve">dsDNA (Invitrogen, </w:t>
      </w:r>
      <w:proofErr w:type="spellStart"/>
      <w:r w:rsidR="009771AC" w:rsidRPr="00B81F2B">
        <w:rPr>
          <w:rFonts w:asciiTheme="minorBidi" w:hAnsiTheme="minorBidi"/>
          <w:color w:val="000000" w:themeColor="text1"/>
          <w:spacing w:val="-2"/>
          <w:lang w:val="en-US"/>
        </w:rPr>
        <w:t>TheroFisher</w:t>
      </w:r>
      <w:proofErr w:type="spellEnd"/>
      <w:r w:rsidR="009771AC" w:rsidRPr="00B81F2B">
        <w:rPr>
          <w:rFonts w:asciiTheme="minorBidi" w:hAnsiTheme="minorBidi"/>
          <w:color w:val="000000" w:themeColor="text1"/>
          <w:spacing w:val="-2"/>
          <w:lang w:val="en-US"/>
        </w:rPr>
        <w:t xml:space="preserve"> Scientific, Germany) and </w:t>
      </w:r>
      <w:proofErr w:type="spellStart"/>
      <w:r w:rsidR="009771AC" w:rsidRPr="00B81F2B">
        <w:rPr>
          <w:rFonts w:asciiTheme="minorBidi" w:hAnsiTheme="minorBidi"/>
          <w:color w:val="000000" w:themeColor="text1"/>
          <w:spacing w:val="-2"/>
          <w:lang w:val="en-US"/>
        </w:rPr>
        <w:t>Quantus</w:t>
      </w:r>
      <w:proofErr w:type="spellEnd"/>
      <w:r w:rsidR="009771AC" w:rsidRPr="00B81F2B">
        <w:rPr>
          <w:rFonts w:asciiTheme="minorBidi" w:hAnsiTheme="minorBidi"/>
          <w:color w:val="000000" w:themeColor="text1"/>
          <w:spacing w:val="-2"/>
          <w:lang w:val="en-US"/>
        </w:rPr>
        <w:t xml:space="preserve"> (Promega, Germany) technologies. </w:t>
      </w:r>
    </w:p>
    <w:p w14:paraId="0FA4B0CB" w14:textId="4246058E" w:rsidR="00376DC4" w:rsidRPr="00B81F2B" w:rsidRDefault="00376DC4" w:rsidP="008B7584">
      <w:pPr>
        <w:autoSpaceDE w:val="0"/>
        <w:autoSpaceDN w:val="0"/>
        <w:adjustRightInd w:val="0"/>
        <w:spacing w:line="480" w:lineRule="auto"/>
        <w:rPr>
          <w:rFonts w:asciiTheme="minorBidi" w:hAnsiTheme="minorBidi"/>
          <w:color w:val="000000" w:themeColor="text1"/>
          <w:spacing w:val="-2"/>
          <w:u w:val="single"/>
        </w:rPr>
      </w:pPr>
      <w:bookmarkStart w:id="5" w:name="_Hlk51641380"/>
      <w:r w:rsidRPr="00B81F2B">
        <w:rPr>
          <w:rFonts w:asciiTheme="minorBidi" w:hAnsiTheme="minorBidi"/>
          <w:color w:val="000000" w:themeColor="text1"/>
          <w:spacing w:val="-2"/>
          <w:u w:val="single"/>
        </w:rPr>
        <w:t xml:space="preserve">Sample selection and </w:t>
      </w:r>
      <w:r w:rsidR="0024273A" w:rsidRPr="00B81F2B">
        <w:rPr>
          <w:rFonts w:asciiTheme="minorBidi" w:hAnsiTheme="minorBidi"/>
          <w:color w:val="000000" w:themeColor="text1"/>
          <w:spacing w:val="-2"/>
          <w:u w:val="single"/>
        </w:rPr>
        <w:t>g</w:t>
      </w:r>
      <w:r w:rsidRPr="00B81F2B">
        <w:rPr>
          <w:rFonts w:asciiTheme="minorBidi" w:hAnsiTheme="minorBidi"/>
          <w:color w:val="000000" w:themeColor="text1"/>
          <w:spacing w:val="-2"/>
          <w:u w:val="single"/>
        </w:rPr>
        <w:t xml:space="preserve">enome-wide DNA methylation </w:t>
      </w:r>
    </w:p>
    <w:bookmarkEnd w:id="5"/>
    <w:p w14:paraId="3C1F18AA" w14:textId="702F89AA" w:rsidR="00376DC4" w:rsidRPr="00FC6BE7" w:rsidRDefault="000E6A44" w:rsidP="00FC6BE7">
      <w:pPr>
        <w:spacing w:line="480" w:lineRule="auto"/>
        <w:rPr>
          <w:rFonts w:asciiTheme="minorBidi" w:hAnsiTheme="minorBidi"/>
          <w:lang w:val="en-US"/>
        </w:rPr>
      </w:pPr>
      <w:r w:rsidRPr="00B81F2B">
        <w:rPr>
          <w:rFonts w:asciiTheme="minorBidi" w:hAnsiTheme="minorBidi"/>
        </w:rPr>
        <w:t>This is a sub-study of the</w:t>
      </w:r>
      <w:r w:rsidR="00FC7524" w:rsidRPr="00B81F2B">
        <w:rPr>
          <w:rFonts w:asciiTheme="minorBidi" w:hAnsiTheme="minorBidi"/>
        </w:rPr>
        <w:t xml:space="preserve"> CENTRAL </w:t>
      </w:r>
      <w:r w:rsidRPr="00B81F2B">
        <w:rPr>
          <w:rFonts w:asciiTheme="minorBidi" w:hAnsiTheme="minorBidi"/>
        </w:rPr>
        <w:t>trial</w:t>
      </w:r>
      <w:r w:rsidR="00C44726" w:rsidRPr="00B81F2B">
        <w:rPr>
          <w:rFonts w:asciiTheme="minorBidi" w:hAnsiTheme="minorBidi"/>
          <w:lang w:val="en-US"/>
        </w:rPr>
        <w:t xml:space="preserve"> (</w:t>
      </w:r>
      <w:r w:rsidR="00772B2D" w:rsidRPr="00B81F2B">
        <w:rPr>
          <w:rFonts w:asciiTheme="minorBidi" w:hAnsiTheme="minorBidi"/>
          <w:b/>
          <w:bCs/>
          <w:lang w:val="en-US"/>
        </w:rPr>
        <w:t>Fig</w:t>
      </w:r>
      <w:r w:rsidR="009176D4">
        <w:rPr>
          <w:rFonts w:asciiTheme="minorBidi" w:hAnsiTheme="minorBidi"/>
          <w:b/>
          <w:bCs/>
          <w:lang w:val="en-US"/>
        </w:rPr>
        <w:t>ure</w:t>
      </w:r>
      <w:r w:rsidR="00BF2998">
        <w:rPr>
          <w:rFonts w:asciiTheme="minorBidi" w:hAnsiTheme="minorBidi"/>
          <w:b/>
          <w:bCs/>
          <w:lang w:val="en-US"/>
        </w:rPr>
        <w:t xml:space="preserve"> </w:t>
      </w:r>
      <w:r w:rsidR="00772B2D" w:rsidRPr="00B81F2B">
        <w:rPr>
          <w:rFonts w:asciiTheme="minorBidi" w:hAnsiTheme="minorBidi"/>
          <w:b/>
          <w:bCs/>
          <w:lang w:val="en-US"/>
        </w:rPr>
        <w:t>1</w:t>
      </w:r>
      <w:r w:rsidR="00C44726" w:rsidRPr="00B81F2B">
        <w:rPr>
          <w:rFonts w:asciiTheme="minorBidi" w:hAnsiTheme="minorBidi"/>
          <w:lang w:val="en-US"/>
        </w:rPr>
        <w:t>)</w:t>
      </w:r>
      <w:r w:rsidRPr="00B81F2B">
        <w:rPr>
          <w:rFonts w:asciiTheme="minorBidi" w:hAnsiTheme="minorBidi"/>
        </w:rPr>
        <w:t xml:space="preserve">, including 120 </w:t>
      </w:r>
      <w:r w:rsidR="00FC7524" w:rsidRPr="00B81F2B">
        <w:rPr>
          <w:rFonts w:asciiTheme="minorBidi" w:hAnsiTheme="minorBidi"/>
        </w:rPr>
        <w:t>participants</w:t>
      </w:r>
      <w:r w:rsidR="00456D6B" w:rsidRPr="00B81F2B">
        <w:rPr>
          <w:rFonts w:asciiTheme="minorBidi" w:hAnsiTheme="minorBidi"/>
        </w:rPr>
        <w:t>, according to</w:t>
      </w:r>
      <w:r w:rsidR="00FC7524" w:rsidRPr="00B81F2B">
        <w:rPr>
          <w:rFonts w:asciiTheme="minorBidi" w:hAnsiTheme="minorBidi"/>
        </w:rPr>
        <w:t xml:space="preserve"> the following criteria: both baseline and 18 months available blood samples </w:t>
      </w:r>
      <w:r w:rsidR="00061C6B">
        <w:rPr>
          <w:rFonts w:asciiTheme="minorBidi" w:hAnsiTheme="minorBidi"/>
        </w:rPr>
        <w:t xml:space="preserve">as well as </w:t>
      </w:r>
      <w:r w:rsidR="00FC7524" w:rsidRPr="00B81F2B">
        <w:rPr>
          <w:rFonts w:asciiTheme="minorBidi" w:hAnsiTheme="minorBidi"/>
        </w:rPr>
        <w:t xml:space="preserve">additional consent to genetic analysis. </w:t>
      </w:r>
      <w:r w:rsidR="00346D4F">
        <w:rPr>
          <w:rFonts w:asciiTheme="minorBidi" w:hAnsiTheme="minorBidi"/>
        </w:rPr>
        <w:t>Sample selection was detailed elsewhere</w:t>
      </w:r>
      <w:r w:rsidR="0018620A">
        <w:rPr>
          <w:rFonts w:asciiTheme="minorBidi" w:hAnsiTheme="minorBidi"/>
        </w:rPr>
        <w:t xml:space="preserve"> </w:t>
      </w:r>
      <w:r w:rsidR="0018620A">
        <w:rPr>
          <w:rFonts w:asciiTheme="minorBidi" w:hAnsiTheme="minorBidi"/>
        </w:rPr>
        <w:fldChar w:fldCharType="begin" w:fldLock="1"/>
      </w:r>
      <w:r w:rsidR="00BD25E2">
        <w:rPr>
          <w:rFonts w:asciiTheme="minorBidi" w:hAnsiTheme="minorBidi"/>
        </w:rPr>
        <w:instrText>ADDIN CSL_CITATION {"citationItems":[{"id":"ITEM-1","itemData":{"ISSN":"1756-994X","author":[{"dropping-particle":"","family":"Keller","given":"Maria","non-dropping-particle":"","parse-names":false,"suffix":""},{"dropping-particle":"","family":"Meir","given":"Anat Yaskolka","non-dropping-particle":"","parse-names":false,"suffix":""},{"dropping-particle":"","family":"Bernhart","given":"Stephan H","non-dropping-particle":"","parse-names":false,"suffix":""},{"dropping-particle":"","family":"Gepner","given":"Yftach","non-dropping-particle":"","parse-names":false,"suffix":""},{"dropping-particle":"","family":"Shelef","given":"Ilan","non-dropping-particle":"","parse-names":false,"suffix":""},{"dropping-particle":"","family":"Schwarzfuchs","given":"Dan","non-dropping-particle":"","parse-names":false,"suffix":""},{"dropping-particle":"","family":"Tsaban","given":"Gal","non-dropping-particle":"","parse-names":false,"suffix":""},{"dropping-particle":"","family":"Zelicha","given":"Hila","non-dropping-particle":"","parse-names":false,"suffix":""},{"dropping-particle":"","family":"Hopp","given":"Lydia","non-dropping-particle":"","parse-names":false,"suffix":""},{"dropping-particle":"","family":"Müller","given":"Luise","non-dropping-particle":"","parse-names":false,"suffix":""}],"container-title":"Genome medicine","id":"ITEM-1","issue":"1","issued":{"date-parts":[["2020"]]},"page":"1-18","publisher":"Springer","title":"DNA methylation signature in blood mirrors successful weight-loss during lifestyle interventions: the CENTRAL trial","type":"article-journal","volume":"12"},"uris":["http://www.mendeley.com/documents/?uuid=f018ee48-79b5-4543-adf1-10c020652f16"]}],"mendeley":{"formattedCitation":"&lt;sup&gt;20&lt;/sup&gt;","plainTextFormattedCitation":"20","previouslyFormattedCitation":"&lt;sup&gt;20&lt;/sup&gt;"},"properties":{"noteIndex":0},"schema":"https://github.com/citation-style-language/schema/raw/master/csl-citation.json"}</w:instrText>
      </w:r>
      <w:r w:rsidR="0018620A">
        <w:rPr>
          <w:rFonts w:asciiTheme="minorBidi" w:hAnsiTheme="minorBidi"/>
        </w:rPr>
        <w:fldChar w:fldCharType="separate"/>
      </w:r>
      <w:r w:rsidR="0071027E" w:rsidRPr="0071027E">
        <w:rPr>
          <w:rFonts w:asciiTheme="minorBidi" w:hAnsiTheme="minorBidi"/>
          <w:noProof/>
          <w:vertAlign w:val="superscript"/>
        </w:rPr>
        <w:t>20</w:t>
      </w:r>
      <w:r w:rsidR="0018620A">
        <w:rPr>
          <w:rFonts w:asciiTheme="minorBidi" w:hAnsiTheme="minorBidi"/>
        </w:rPr>
        <w:fldChar w:fldCharType="end"/>
      </w:r>
      <w:r w:rsidR="004333DA">
        <w:rPr>
          <w:rFonts w:asciiTheme="minorBidi" w:hAnsiTheme="minorBidi"/>
        </w:rPr>
        <w:t>.</w:t>
      </w:r>
      <w:r w:rsidR="00FC6BE7">
        <w:rPr>
          <w:rFonts w:asciiTheme="minorBidi" w:hAnsiTheme="minorBidi"/>
        </w:rPr>
        <w:t xml:space="preserve"> </w:t>
      </w:r>
      <w:r w:rsidR="00FC6BE7" w:rsidRPr="002A617E">
        <w:rPr>
          <w:rFonts w:asciiTheme="minorBidi" w:hAnsiTheme="minorBidi"/>
          <w:lang w:val="en-US"/>
        </w:rPr>
        <w:t>Following quality control, amplification</w:t>
      </w:r>
      <w:r w:rsidR="00E2109E">
        <w:rPr>
          <w:rFonts w:asciiTheme="minorBidi" w:hAnsiTheme="minorBidi"/>
          <w:lang w:val="en-US"/>
        </w:rPr>
        <w:t>,</w:t>
      </w:r>
      <w:r w:rsidR="00FC6BE7" w:rsidRPr="002A617E">
        <w:rPr>
          <w:rFonts w:asciiTheme="minorBidi" w:hAnsiTheme="minorBidi"/>
          <w:lang w:val="en-US"/>
        </w:rPr>
        <w:t xml:space="preserve"> and hybridization on Illumina HumanMethylation850 Bead Chips (Illumina, Inc., San Diego, CA, U.S.A)</w:t>
      </w:r>
      <w:r w:rsidR="00E2109E">
        <w:rPr>
          <w:rFonts w:asciiTheme="minorBidi" w:hAnsiTheme="minorBidi"/>
          <w:lang w:val="en-US"/>
        </w:rPr>
        <w:t>,</w:t>
      </w:r>
      <w:r w:rsidR="00FC6BE7" w:rsidRPr="002A617E">
        <w:rPr>
          <w:rFonts w:asciiTheme="minorBidi" w:hAnsiTheme="minorBidi"/>
          <w:lang w:val="en-US"/>
        </w:rPr>
        <w:t xml:space="preserve"> the Illumina </w:t>
      </w:r>
      <w:proofErr w:type="spellStart"/>
      <w:r w:rsidR="00FC6BE7" w:rsidRPr="002A617E">
        <w:rPr>
          <w:rFonts w:asciiTheme="minorBidi" w:hAnsiTheme="minorBidi"/>
          <w:lang w:val="en-US"/>
        </w:rPr>
        <w:t>iScan</w:t>
      </w:r>
      <w:proofErr w:type="spellEnd"/>
      <w:r w:rsidR="00FC6BE7" w:rsidRPr="002A617E">
        <w:rPr>
          <w:rFonts w:asciiTheme="minorBidi" w:hAnsiTheme="minorBidi"/>
          <w:lang w:val="en-US"/>
        </w:rPr>
        <w:t xml:space="preserve"> array scanner was used to quantify genome-wide DNA methylation levels at 850K CpG sites per sample on single-nucleotide resolution (</w:t>
      </w:r>
      <w:proofErr w:type="spellStart"/>
      <w:r w:rsidR="00FC6BE7" w:rsidRPr="002A617E">
        <w:rPr>
          <w:rFonts w:asciiTheme="minorBidi" w:hAnsiTheme="minorBidi"/>
          <w:lang w:val="en-US"/>
        </w:rPr>
        <w:t>GenomeScan</w:t>
      </w:r>
      <w:proofErr w:type="spellEnd"/>
      <w:r w:rsidR="00FC6BE7" w:rsidRPr="002A617E">
        <w:rPr>
          <w:rFonts w:asciiTheme="minorBidi" w:hAnsiTheme="minorBidi"/>
          <w:lang w:val="en-US"/>
        </w:rPr>
        <w:t>, Leiden, Netherlands).</w:t>
      </w:r>
      <w:r w:rsidR="004333DA">
        <w:rPr>
          <w:rFonts w:asciiTheme="minorBidi" w:hAnsiTheme="minorBidi"/>
        </w:rPr>
        <w:t xml:space="preserve"> </w:t>
      </w:r>
      <w:r w:rsidR="00DC5FC4" w:rsidRPr="00B81F2B">
        <w:rPr>
          <w:rFonts w:asciiTheme="minorBidi" w:hAnsiTheme="minorBidi"/>
        </w:rPr>
        <w:t xml:space="preserve">Further details </w:t>
      </w:r>
      <w:r w:rsidR="004333DA">
        <w:rPr>
          <w:rFonts w:asciiTheme="minorBidi" w:hAnsiTheme="minorBidi"/>
        </w:rPr>
        <w:t xml:space="preserve">regarding sample selection and genome-wide DNA methylation </w:t>
      </w:r>
      <w:r w:rsidR="00DC5FC4" w:rsidRPr="00B81F2B">
        <w:rPr>
          <w:rFonts w:asciiTheme="minorBidi" w:hAnsiTheme="minorBidi"/>
        </w:rPr>
        <w:t xml:space="preserve">are presented in </w:t>
      </w:r>
      <w:r w:rsidR="00DC5FC4" w:rsidRPr="00B81F2B">
        <w:rPr>
          <w:rFonts w:asciiTheme="minorBidi" w:hAnsiTheme="minorBidi"/>
          <w:b/>
          <w:bCs/>
        </w:rPr>
        <w:t xml:space="preserve">Supplementary </w:t>
      </w:r>
      <w:r w:rsidR="00BF2998">
        <w:rPr>
          <w:rFonts w:asciiTheme="minorBidi" w:hAnsiTheme="minorBidi"/>
          <w:b/>
          <w:bCs/>
        </w:rPr>
        <w:t>Information</w:t>
      </w:r>
      <w:r w:rsidR="00DC5FC4" w:rsidRPr="00B81F2B">
        <w:rPr>
          <w:rFonts w:asciiTheme="minorBidi" w:hAnsiTheme="minorBidi"/>
          <w:b/>
          <w:bCs/>
        </w:rPr>
        <w:t xml:space="preserve"> 3</w:t>
      </w:r>
      <w:r w:rsidR="00DC5FC4" w:rsidRPr="00B81F2B">
        <w:rPr>
          <w:rFonts w:asciiTheme="minorBidi" w:hAnsiTheme="minorBidi"/>
        </w:rPr>
        <w:t xml:space="preserve">. </w:t>
      </w:r>
      <w:r w:rsidR="00BC58B0" w:rsidRPr="00BC58B0">
        <w:rPr>
          <w:rFonts w:asciiTheme="minorBidi" w:hAnsiTheme="minorBidi"/>
        </w:rPr>
        <w:t>Cell type composition according to the Houseman approach</w:t>
      </w:r>
      <w:r w:rsidR="00BC58B0">
        <w:rPr>
          <w:rFonts w:asciiTheme="minorBidi" w:hAnsiTheme="minorBidi"/>
        </w:rPr>
        <w:t xml:space="preserve"> is presented in </w:t>
      </w:r>
      <w:r w:rsidR="009176D4" w:rsidRPr="009176D4">
        <w:rPr>
          <w:rFonts w:asciiTheme="minorBidi" w:hAnsiTheme="minorBidi"/>
          <w:b/>
          <w:bCs/>
          <w:lang w:val="en-US"/>
        </w:rPr>
        <w:t>Supplementary</w:t>
      </w:r>
      <w:r w:rsidR="009176D4">
        <w:rPr>
          <w:rFonts w:asciiTheme="minorBidi" w:hAnsiTheme="minorBidi"/>
          <w:lang w:val="en-US"/>
        </w:rPr>
        <w:t xml:space="preserve"> </w:t>
      </w:r>
      <w:r w:rsidR="00BC58B0" w:rsidRPr="00BC58B0">
        <w:rPr>
          <w:rFonts w:asciiTheme="minorBidi" w:hAnsiTheme="minorBidi"/>
          <w:b/>
          <w:bCs/>
        </w:rPr>
        <w:t>Fig</w:t>
      </w:r>
      <w:proofErr w:type="spellStart"/>
      <w:r w:rsidR="009176D4">
        <w:rPr>
          <w:rFonts w:asciiTheme="minorBidi" w:hAnsiTheme="minorBidi"/>
          <w:b/>
          <w:bCs/>
          <w:lang w:val="en-US"/>
        </w:rPr>
        <w:t>ure</w:t>
      </w:r>
      <w:proofErr w:type="spellEnd"/>
      <w:r w:rsidR="00BC58B0" w:rsidRPr="00BC58B0">
        <w:rPr>
          <w:rFonts w:asciiTheme="minorBidi" w:hAnsiTheme="minorBidi"/>
          <w:b/>
          <w:bCs/>
        </w:rPr>
        <w:t xml:space="preserve"> 1</w:t>
      </w:r>
      <w:r w:rsidR="00BC58B0">
        <w:rPr>
          <w:rFonts w:asciiTheme="minorBidi" w:hAnsiTheme="minorBidi"/>
        </w:rPr>
        <w:t>.</w:t>
      </w:r>
    </w:p>
    <w:p w14:paraId="1001FF16" w14:textId="77777777" w:rsidR="0081331D" w:rsidRPr="00B81F2B" w:rsidRDefault="00FB3213" w:rsidP="008B7584">
      <w:pPr>
        <w:autoSpaceDE w:val="0"/>
        <w:autoSpaceDN w:val="0"/>
        <w:adjustRightInd w:val="0"/>
        <w:spacing w:line="480" w:lineRule="auto"/>
        <w:rPr>
          <w:rFonts w:asciiTheme="minorBidi" w:hAnsiTheme="minorBidi"/>
          <w:color w:val="000000" w:themeColor="text1"/>
          <w:spacing w:val="-2"/>
          <w:u w:val="single"/>
        </w:rPr>
      </w:pPr>
      <w:r w:rsidRPr="00B81F2B">
        <w:rPr>
          <w:rFonts w:asciiTheme="minorBidi" w:hAnsiTheme="minorBidi"/>
          <w:color w:val="000000" w:themeColor="text1"/>
          <w:spacing w:val="-2"/>
          <w:u w:val="single"/>
        </w:rPr>
        <w:t>Selection of c</w:t>
      </w:r>
      <w:r w:rsidR="00216058" w:rsidRPr="00B81F2B">
        <w:rPr>
          <w:rFonts w:asciiTheme="minorBidi" w:hAnsiTheme="minorBidi"/>
          <w:color w:val="000000" w:themeColor="text1"/>
          <w:spacing w:val="-2"/>
          <w:u w:val="single"/>
        </w:rPr>
        <w:t xml:space="preserve">andidate </w:t>
      </w:r>
      <w:r w:rsidRPr="00B81F2B">
        <w:rPr>
          <w:rFonts w:asciiTheme="minorBidi" w:hAnsiTheme="minorBidi"/>
          <w:color w:val="000000" w:themeColor="text1"/>
          <w:spacing w:val="-2"/>
          <w:u w:val="single"/>
        </w:rPr>
        <w:t xml:space="preserve">genes related to </w:t>
      </w:r>
      <w:r w:rsidR="00FD7FE8" w:rsidRPr="00B81F2B">
        <w:rPr>
          <w:rFonts w:asciiTheme="minorBidi" w:hAnsiTheme="minorBidi"/>
          <w:color w:val="000000" w:themeColor="text1"/>
          <w:spacing w:val="-2"/>
          <w:u w:val="single"/>
        </w:rPr>
        <w:t xml:space="preserve">liver fat </w:t>
      </w:r>
    </w:p>
    <w:p w14:paraId="37A3B3DA" w14:textId="54616BAD" w:rsidR="0081331D" w:rsidRPr="00B81F2B" w:rsidRDefault="0081331D" w:rsidP="008B7584">
      <w:pPr>
        <w:spacing w:line="480" w:lineRule="auto"/>
        <w:rPr>
          <w:rFonts w:asciiTheme="minorBidi" w:hAnsiTheme="minorBidi"/>
          <w:b/>
          <w:bCs/>
          <w:color w:val="000000" w:themeColor="text1"/>
          <w:spacing w:val="-2"/>
        </w:rPr>
      </w:pPr>
      <w:r w:rsidRPr="00B81F2B">
        <w:rPr>
          <w:rFonts w:asciiTheme="minorBidi" w:hAnsiTheme="minorBidi"/>
          <w:color w:val="000000" w:themeColor="text1"/>
          <w:spacing w:val="-2"/>
        </w:rPr>
        <w:t xml:space="preserve">We based the </w:t>
      </w:r>
      <w:r w:rsidR="000E6A44" w:rsidRPr="00B81F2B">
        <w:rPr>
          <w:rFonts w:asciiTheme="minorBidi" w:hAnsiTheme="minorBidi"/>
          <w:color w:val="000000" w:themeColor="text1"/>
          <w:spacing w:val="-2"/>
        </w:rPr>
        <w:t xml:space="preserve">determination </w:t>
      </w:r>
      <w:r w:rsidRPr="00B81F2B">
        <w:rPr>
          <w:rFonts w:asciiTheme="minorBidi" w:hAnsiTheme="minorBidi"/>
          <w:color w:val="000000" w:themeColor="text1"/>
          <w:spacing w:val="-2"/>
        </w:rPr>
        <w:t xml:space="preserve">of the candidate genes for this study on GWAS </w:t>
      </w:r>
      <w:r w:rsidR="00E2109E">
        <w:rPr>
          <w:rFonts w:asciiTheme="minorBidi" w:hAnsiTheme="minorBidi"/>
          <w:color w:val="000000" w:themeColor="text1"/>
          <w:spacing w:val="-2"/>
        </w:rPr>
        <w:t>catalog</w:t>
      </w:r>
      <w:r w:rsidR="00FB3213" w:rsidRPr="00B81F2B">
        <w:rPr>
          <w:rFonts w:asciiTheme="minorBidi" w:hAnsiTheme="minorBidi"/>
          <w:color w:val="000000" w:themeColor="text1"/>
          <w:spacing w:val="-2"/>
        </w:rPr>
        <w:t xml:space="preserve"> hits</w:t>
      </w:r>
      <w:r w:rsidRPr="00B81F2B">
        <w:rPr>
          <w:rFonts w:asciiTheme="minorBidi" w:hAnsiTheme="minorBidi"/>
          <w:color w:val="000000" w:themeColor="text1"/>
          <w:spacing w:val="-2"/>
        </w:rPr>
        <w:t xml:space="preserve"> for NAFLD traits</w:t>
      </w:r>
      <w:r w:rsidR="00C9020F" w:rsidRPr="00B81F2B">
        <w:rPr>
          <w:rFonts w:asciiTheme="minorBidi" w:hAnsiTheme="minorBidi"/>
          <w:color w:val="000000" w:themeColor="text1"/>
          <w:spacing w:val="-2"/>
        </w:rPr>
        <w:t xml:space="preserve"> </w:t>
      </w:r>
      <w:r w:rsidR="00C9020F" w:rsidRPr="00B81F2B">
        <w:rPr>
          <w:rFonts w:asciiTheme="minorBidi" w:hAnsiTheme="minorBidi"/>
          <w:color w:val="000000" w:themeColor="text1"/>
          <w:spacing w:val="-2"/>
        </w:rPr>
        <w:fldChar w:fldCharType="begin" w:fldLock="1"/>
      </w:r>
      <w:r w:rsidR="00BD25E2">
        <w:rPr>
          <w:rFonts w:asciiTheme="minorBidi" w:hAnsiTheme="minorBidi"/>
          <w:color w:val="000000" w:themeColor="text1"/>
          <w:spacing w:val="-2"/>
        </w:rPr>
        <w:instrText>ADDIN CSL_CITATION {"citationItems":[{"id":"ITEM-1","itemData":{"author":[{"dropping-particle":"","family":"Buniello","given":"Annalisa","non-dropping-particle":"","parse-names":false,"suffix":""},{"dropping-particle":"","family":"MacArthur","given":"Jacqueline A L","non-dropping-particle":"","parse-names":false,"suffix":""},{"dropping-particle":"","family":"Cerezo","given":"Maria","non-dropping-particle":"","parse-names":false,"suffix":""},{"dropping-particle":"","family":"Harris","given":"Laura W","non-dropping-particle":"","parse-names":false,"suffix":""},{"dropping-particle":"","family":"Hayhurst","given":"James","non-dropping-particle":"","parse-names":false,"suffix":""},{"dropping-particle":"","family":"Malangone","given":"Cinzia","non-dropping-particle":"","parse-names":false,"suffix":""},{"dropping-particle":"","family":"McMahon","given":"Aoife","non-dropping-particle":"","parse-names":false,"suffix":""},{"dropping-particle":"","family":"Morales","given":"Joannella","non-dropping-particle":"","parse-names":false,"suffix":""},{"dropping-particle":"","family":"Mountjoy","given":"Edward","non-dropping-particle":"","parse-names":false,"suffix":""},{"dropping-particle":"","family":"Sollis","given":"Elliot","non-dropping-particle":"","parse-names":false,"suffix":""}],"container-title":"Nucleic acids research","id":"ITEM-1","issue":"D1","issued":{"date-parts":[["2018"]]},"page":"D1005-D1012","title":"The NHGRI-EBI GWAS Catalog of published genome-wide association studies, targeted arrays and summary statistics 2019","type":"article-journal","volume":"47"},"uris":["http://www.mendeley.com/documents/?uuid=559d3535-3749-31c6-a1eb-5125e6e4a291"]}],"mendeley":{"formattedCitation":"&lt;sup&gt;21&lt;/sup&gt;","plainTextFormattedCitation":"21","previouslyFormattedCitation":"&lt;sup&gt;21&lt;/sup&gt;"},"properties":{"noteIndex":0},"schema":"https://github.com/citation-style-language/schema/raw/master/csl-citation.json"}</w:instrText>
      </w:r>
      <w:r w:rsidR="00C9020F" w:rsidRPr="00B81F2B">
        <w:rPr>
          <w:rFonts w:asciiTheme="minorBidi" w:hAnsiTheme="minorBidi"/>
          <w:color w:val="000000" w:themeColor="text1"/>
          <w:spacing w:val="-2"/>
        </w:rPr>
        <w:fldChar w:fldCharType="separate"/>
      </w:r>
      <w:r w:rsidR="0071027E" w:rsidRPr="0071027E">
        <w:rPr>
          <w:rFonts w:asciiTheme="minorBidi" w:hAnsiTheme="minorBidi"/>
          <w:noProof/>
          <w:color w:val="000000" w:themeColor="text1"/>
          <w:spacing w:val="-2"/>
          <w:vertAlign w:val="superscript"/>
        </w:rPr>
        <w:t>21</w:t>
      </w:r>
      <w:r w:rsidR="00C9020F" w:rsidRPr="00B81F2B">
        <w:rPr>
          <w:rFonts w:asciiTheme="minorBidi" w:hAnsiTheme="minorBidi"/>
          <w:color w:val="000000" w:themeColor="text1"/>
          <w:spacing w:val="-2"/>
        </w:rPr>
        <w:fldChar w:fldCharType="end"/>
      </w:r>
      <w:r w:rsidR="00153EBC" w:rsidRPr="00B81F2B">
        <w:rPr>
          <w:rFonts w:asciiTheme="minorBidi" w:hAnsiTheme="minorBidi"/>
          <w:color w:val="000000" w:themeColor="text1"/>
          <w:spacing w:val="-2"/>
        </w:rPr>
        <w:t>.</w:t>
      </w:r>
      <w:r w:rsidR="00CD49E4" w:rsidRPr="00B81F2B">
        <w:rPr>
          <w:rFonts w:asciiTheme="minorBidi" w:hAnsiTheme="minorBidi"/>
          <w:color w:val="000000" w:themeColor="text1"/>
          <w:spacing w:val="-2"/>
        </w:rPr>
        <w:t xml:space="preserve"> </w:t>
      </w:r>
      <w:bookmarkStart w:id="6" w:name="_Hlk25841998"/>
      <w:r w:rsidR="009771AC" w:rsidRPr="00B81F2B">
        <w:rPr>
          <w:rFonts w:asciiTheme="minorBidi" w:hAnsiTheme="minorBidi"/>
          <w:color w:val="000000" w:themeColor="text1"/>
          <w:spacing w:val="-2"/>
        </w:rPr>
        <w:t xml:space="preserve">According to the representation of such </w:t>
      </w:r>
      <w:r w:rsidR="00EF0546" w:rsidRPr="00B81F2B">
        <w:rPr>
          <w:rFonts w:asciiTheme="minorBidi" w:hAnsiTheme="minorBidi"/>
          <w:color w:val="000000" w:themeColor="text1"/>
          <w:spacing w:val="-2"/>
        </w:rPr>
        <w:t xml:space="preserve">a </w:t>
      </w:r>
      <w:r w:rsidR="009771AC" w:rsidRPr="00B81F2B">
        <w:rPr>
          <w:rFonts w:asciiTheme="minorBidi" w:hAnsiTheme="minorBidi"/>
          <w:color w:val="000000" w:themeColor="text1"/>
          <w:spacing w:val="-2"/>
        </w:rPr>
        <w:t xml:space="preserve">candidate in Illumina arrays, </w:t>
      </w:r>
      <w:r w:rsidR="001C244D" w:rsidRPr="00B81F2B">
        <w:rPr>
          <w:rFonts w:asciiTheme="minorBidi" w:hAnsiTheme="minorBidi"/>
          <w:color w:val="000000" w:themeColor="text1"/>
          <w:spacing w:val="-2"/>
        </w:rPr>
        <w:t>2</w:t>
      </w:r>
      <w:r w:rsidR="00CD39ED" w:rsidRPr="00B81F2B">
        <w:rPr>
          <w:rFonts w:asciiTheme="minorBidi" w:hAnsiTheme="minorBidi"/>
          <w:color w:val="000000" w:themeColor="text1"/>
          <w:spacing w:val="-2"/>
        </w:rPr>
        <w:t>095</w:t>
      </w:r>
      <w:r w:rsidR="009771AC" w:rsidRPr="00B81F2B">
        <w:rPr>
          <w:rFonts w:asciiTheme="minorBidi" w:hAnsiTheme="minorBidi"/>
          <w:color w:val="000000" w:themeColor="text1"/>
          <w:spacing w:val="-2"/>
        </w:rPr>
        <w:t xml:space="preserve"> different CpGs located among </w:t>
      </w:r>
      <w:r w:rsidR="00153EBC" w:rsidRPr="00B81F2B">
        <w:rPr>
          <w:rFonts w:asciiTheme="minorBidi" w:hAnsiTheme="minorBidi"/>
          <w:color w:val="000000" w:themeColor="text1"/>
          <w:spacing w:val="-2"/>
        </w:rPr>
        <w:t>4</w:t>
      </w:r>
      <w:r w:rsidR="00CD39ED" w:rsidRPr="00B81F2B">
        <w:rPr>
          <w:rFonts w:asciiTheme="minorBidi" w:hAnsiTheme="minorBidi"/>
          <w:color w:val="000000" w:themeColor="text1"/>
          <w:spacing w:val="-2"/>
        </w:rPr>
        <w:t>1</w:t>
      </w:r>
      <w:r w:rsidR="009771AC" w:rsidRPr="00B81F2B">
        <w:rPr>
          <w:rFonts w:asciiTheme="minorBidi" w:hAnsiTheme="minorBidi"/>
          <w:color w:val="000000" w:themeColor="text1"/>
          <w:spacing w:val="-2"/>
        </w:rPr>
        <w:t xml:space="preserve"> genes were </w:t>
      </w:r>
      <w:r w:rsidR="009771AC" w:rsidRPr="00B81F2B">
        <w:rPr>
          <w:rFonts w:asciiTheme="minorBidi" w:hAnsiTheme="minorBidi"/>
          <w:color w:val="000000" w:themeColor="text1"/>
          <w:spacing w:val="-2"/>
          <w:lang w:val="en-US"/>
        </w:rPr>
        <w:t>analyzed</w:t>
      </w:r>
      <w:bookmarkEnd w:id="6"/>
      <w:r w:rsidR="005E1023" w:rsidRPr="00B81F2B">
        <w:rPr>
          <w:rFonts w:asciiTheme="minorBidi" w:hAnsiTheme="minorBidi"/>
          <w:color w:val="000000" w:themeColor="text1"/>
          <w:spacing w:val="-2"/>
        </w:rPr>
        <w:t xml:space="preserve"> (</w:t>
      </w:r>
      <w:r w:rsidR="009176D4" w:rsidRPr="00ED4D26">
        <w:rPr>
          <w:rFonts w:asciiTheme="minorBidi" w:hAnsiTheme="minorBidi"/>
          <w:b/>
          <w:bCs/>
          <w:color w:val="000000" w:themeColor="text1"/>
          <w:spacing w:val="-2"/>
          <w:lang w:val="en-US"/>
        </w:rPr>
        <w:t>Supplementary</w:t>
      </w:r>
      <w:r w:rsidR="009176D4">
        <w:rPr>
          <w:rFonts w:asciiTheme="minorBidi" w:hAnsiTheme="minorBidi"/>
          <w:color w:val="000000" w:themeColor="text1"/>
          <w:spacing w:val="-2"/>
          <w:lang w:val="en-US"/>
        </w:rPr>
        <w:t xml:space="preserve"> </w:t>
      </w:r>
      <w:r w:rsidR="00BF2998">
        <w:rPr>
          <w:rFonts w:asciiTheme="minorBidi" w:hAnsiTheme="minorBidi"/>
          <w:b/>
          <w:bCs/>
          <w:color w:val="000000" w:themeColor="text1"/>
          <w:spacing w:val="-2"/>
        </w:rPr>
        <w:t>T</w:t>
      </w:r>
      <w:r w:rsidR="00B94164" w:rsidRPr="00B81F2B">
        <w:rPr>
          <w:rFonts w:asciiTheme="minorBidi" w:hAnsiTheme="minorBidi"/>
          <w:b/>
          <w:bCs/>
          <w:color w:val="000000" w:themeColor="text1"/>
          <w:spacing w:val="-2"/>
        </w:rPr>
        <w:t>able</w:t>
      </w:r>
      <w:r w:rsidRPr="00B81F2B">
        <w:rPr>
          <w:rFonts w:asciiTheme="minorBidi" w:hAnsiTheme="minorBidi"/>
          <w:b/>
          <w:bCs/>
          <w:color w:val="000000" w:themeColor="text1"/>
          <w:spacing w:val="-2"/>
        </w:rPr>
        <w:t xml:space="preserve"> </w:t>
      </w:r>
      <w:r w:rsidR="00BF2998">
        <w:rPr>
          <w:rFonts w:asciiTheme="minorBidi" w:hAnsiTheme="minorBidi"/>
          <w:b/>
          <w:bCs/>
          <w:color w:val="000000" w:themeColor="text1"/>
          <w:spacing w:val="-2"/>
        </w:rPr>
        <w:t>1</w:t>
      </w:r>
      <w:r w:rsidR="005E1023" w:rsidRPr="00B81F2B">
        <w:rPr>
          <w:rFonts w:asciiTheme="minorBidi" w:hAnsiTheme="minorBidi"/>
          <w:color w:val="000000" w:themeColor="text1"/>
          <w:spacing w:val="-2"/>
        </w:rPr>
        <w:t>)</w:t>
      </w:r>
      <w:r w:rsidRPr="00B81F2B">
        <w:rPr>
          <w:rFonts w:asciiTheme="minorBidi" w:hAnsiTheme="minorBidi"/>
          <w:b/>
          <w:bCs/>
          <w:color w:val="000000" w:themeColor="text1"/>
          <w:spacing w:val="-2"/>
        </w:rPr>
        <w:t>.</w:t>
      </w:r>
    </w:p>
    <w:p w14:paraId="1E378944" w14:textId="7B296B2F" w:rsidR="00DC65FE" w:rsidRPr="00B81F2B" w:rsidRDefault="00E27883" w:rsidP="008B7584">
      <w:pPr>
        <w:spacing w:line="480" w:lineRule="auto"/>
        <w:rPr>
          <w:rFonts w:asciiTheme="minorBidi" w:hAnsiTheme="minorBidi"/>
          <w:color w:val="000000" w:themeColor="text1"/>
          <w:spacing w:val="-2"/>
          <w:u w:val="single"/>
        </w:rPr>
      </w:pPr>
      <w:r w:rsidRPr="00E27883">
        <w:rPr>
          <w:rFonts w:asciiTheme="minorBidi" w:hAnsiTheme="minorBidi"/>
          <w:color w:val="000000" w:themeColor="text1"/>
          <w:spacing w:val="-2"/>
          <w:u w:val="single"/>
        </w:rPr>
        <w:t>Single nucleotide polymorphism</w:t>
      </w:r>
      <w:r>
        <w:rPr>
          <w:rFonts w:asciiTheme="minorBidi" w:hAnsiTheme="minorBidi"/>
          <w:color w:val="000000" w:themeColor="text1"/>
          <w:spacing w:val="-2"/>
          <w:u w:val="single"/>
          <w:lang w:val="en-US"/>
        </w:rPr>
        <w:t>s</w:t>
      </w:r>
      <w:r w:rsidRPr="00E27883">
        <w:rPr>
          <w:rFonts w:asciiTheme="minorBidi" w:hAnsiTheme="minorBidi"/>
          <w:color w:val="000000" w:themeColor="text1"/>
          <w:spacing w:val="-2"/>
          <w:u w:val="single"/>
        </w:rPr>
        <w:t xml:space="preserve"> </w:t>
      </w:r>
      <w:r>
        <w:rPr>
          <w:rFonts w:asciiTheme="minorBidi" w:hAnsiTheme="minorBidi"/>
          <w:color w:val="000000" w:themeColor="text1"/>
          <w:spacing w:val="-2"/>
          <w:u w:val="single"/>
          <w:lang w:val="en-US"/>
        </w:rPr>
        <w:t>(</w:t>
      </w:r>
      <w:r w:rsidR="00DC65FE" w:rsidRPr="00B81F2B">
        <w:rPr>
          <w:rFonts w:asciiTheme="minorBidi" w:hAnsiTheme="minorBidi"/>
          <w:color w:val="000000" w:themeColor="text1"/>
          <w:spacing w:val="-2"/>
          <w:u w:val="single"/>
        </w:rPr>
        <w:t>SNP</w:t>
      </w:r>
      <w:r>
        <w:rPr>
          <w:rFonts w:asciiTheme="minorBidi" w:hAnsiTheme="minorBidi"/>
          <w:color w:val="000000" w:themeColor="text1"/>
          <w:spacing w:val="-2"/>
          <w:u w:val="single"/>
          <w:lang w:val="en-US"/>
        </w:rPr>
        <w:t>s)</w:t>
      </w:r>
      <w:r w:rsidR="00DC65FE" w:rsidRPr="00B81F2B">
        <w:rPr>
          <w:rFonts w:asciiTheme="minorBidi" w:hAnsiTheme="minorBidi"/>
          <w:color w:val="000000" w:themeColor="text1"/>
          <w:spacing w:val="-2"/>
          <w:u w:val="single"/>
        </w:rPr>
        <w:t xml:space="preserve"> </w:t>
      </w:r>
      <w:r w:rsidR="009D146E" w:rsidRPr="00B81F2B">
        <w:rPr>
          <w:rFonts w:asciiTheme="minorBidi" w:hAnsiTheme="minorBidi"/>
          <w:color w:val="000000" w:themeColor="text1"/>
          <w:spacing w:val="-2"/>
          <w:u w:val="single"/>
        </w:rPr>
        <w:t xml:space="preserve">determination </w:t>
      </w:r>
      <w:r w:rsidR="00F8525A" w:rsidRPr="00B81F2B">
        <w:rPr>
          <w:rFonts w:asciiTheme="minorBidi" w:hAnsiTheme="minorBidi"/>
          <w:color w:val="000000" w:themeColor="text1"/>
          <w:spacing w:val="-2"/>
          <w:u w:val="single"/>
        </w:rPr>
        <w:t>and genotyping</w:t>
      </w:r>
    </w:p>
    <w:p w14:paraId="5399ABBA" w14:textId="32B9F855" w:rsidR="00DC65FE" w:rsidRPr="00B81F2B" w:rsidRDefault="00E27883" w:rsidP="008B7584">
      <w:pPr>
        <w:spacing w:line="480" w:lineRule="auto"/>
        <w:rPr>
          <w:rFonts w:asciiTheme="minorBidi" w:hAnsiTheme="minorBidi"/>
          <w:lang w:val="en-US"/>
        </w:rPr>
      </w:pPr>
      <w:r>
        <w:rPr>
          <w:rFonts w:asciiTheme="minorBidi" w:hAnsiTheme="minorBidi"/>
          <w:lang w:val="en-US"/>
        </w:rPr>
        <w:t>We analyzed t</w:t>
      </w:r>
      <w:r w:rsidR="00AD0037" w:rsidRPr="00B81F2B">
        <w:rPr>
          <w:rFonts w:asciiTheme="minorBidi" w:hAnsiTheme="minorBidi"/>
          <w:lang w:val="en-US"/>
        </w:rPr>
        <w:t>hree</w:t>
      </w:r>
      <w:r w:rsidR="008A4094" w:rsidRPr="00B81F2B">
        <w:rPr>
          <w:rFonts w:asciiTheme="minorBidi" w:hAnsiTheme="minorBidi"/>
          <w:lang w:val="en-US"/>
        </w:rPr>
        <w:t xml:space="preserve"> SNPs (rs1529093, rs9584805, rs887304) mapping within </w:t>
      </w:r>
      <w:r w:rsidR="00DC65FE" w:rsidRPr="00B81F2B">
        <w:rPr>
          <w:rFonts w:asciiTheme="minorBidi" w:hAnsiTheme="minorBidi"/>
          <w:lang w:val="en-US"/>
        </w:rPr>
        <w:t xml:space="preserve">gene regions of the </w:t>
      </w:r>
      <w:proofErr w:type="spellStart"/>
      <w:r w:rsidR="00DC65FE" w:rsidRPr="00B81F2B">
        <w:rPr>
          <w:rFonts w:asciiTheme="minorBidi" w:hAnsiTheme="minorBidi"/>
          <w:lang w:val="en-US"/>
        </w:rPr>
        <w:t>CpGs</w:t>
      </w:r>
      <w:proofErr w:type="spellEnd"/>
      <w:r w:rsidR="00360D22" w:rsidRPr="00B81F2B">
        <w:rPr>
          <w:rFonts w:asciiTheme="minorBidi" w:hAnsiTheme="minorBidi"/>
          <w:lang w:val="en-US"/>
        </w:rPr>
        <w:t xml:space="preserve">, </w:t>
      </w:r>
      <w:r w:rsidR="008E623B">
        <w:rPr>
          <w:rFonts w:asciiTheme="minorBidi" w:hAnsiTheme="minorBidi"/>
          <w:lang w:val="en-US"/>
        </w:rPr>
        <w:t>whose</w:t>
      </w:r>
      <w:r w:rsidR="00360D22" w:rsidRPr="00B81F2B">
        <w:rPr>
          <w:rFonts w:asciiTheme="minorBidi" w:hAnsiTheme="minorBidi"/>
          <w:lang w:val="en-US"/>
        </w:rPr>
        <w:t xml:space="preserve"> methylation</w:t>
      </w:r>
      <w:r w:rsidR="00DC65FE" w:rsidRPr="00B81F2B">
        <w:rPr>
          <w:rFonts w:asciiTheme="minorBidi" w:hAnsiTheme="minorBidi"/>
          <w:lang w:val="en-US"/>
        </w:rPr>
        <w:t xml:space="preserve"> associated with </w:t>
      </w:r>
      <w:r w:rsidR="00360D22" w:rsidRPr="00B81F2B">
        <w:rPr>
          <w:rFonts w:asciiTheme="minorBidi" w:hAnsiTheme="minorBidi"/>
          <w:lang w:val="en-US"/>
        </w:rPr>
        <w:t>IHF</w:t>
      </w:r>
      <w:r w:rsidR="00DC65FE" w:rsidRPr="00B81F2B">
        <w:rPr>
          <w:rFonts w:asciiTheme="minorBidi" w:hAnsiTheme="minorBidi"/>
          <w:lang w:val="en-US"/>
        </w:rPr>
        <w:t>%</w:t>
      </w:r>
      <w:r w:rsidR="00AD0037" w:rsidRPr="00B81F2B">
        <w:rPr>
          <w:rFonts w:asciiTheme="minorBidi" w:hAnsiTheme="minorBidi"/>
          <w:lang w:val="en-US"/>
        </w:rPr>
        <w:t xml:space="preserve"> and </w:t>
      </w:r>
      <w:r w:rsidR="00A9432B" w:rsidRPr="00B81F2B">
        <w:rPr>
          <w:rFonts w:asciiTheme="minorBidi" w:hAnsiTheme="minorBidi"/>
          <w:lang w:val="en-US"/>
        </w:rPr>
        <w:t xml:space="preserve">with </w:t>
      </w:r>
      <w:r w:rsidR="00AD0037" w:rsidRPr="00B81F2B">
        <w:rPr>
          <w:rFonts w:asciiTheme="minorBidi" w:hAnsiTheme="minorBidi"/>
          <w:lang w:val="en-US"/>
        </w:rPr>
        <w:t>blood biomarkers</w:t>
      </w:r>
      <w:r w:rsidR="00B46E2E" w:rsidRPr="00B81F2B">
        <w:rPr>
          <w:rFonts w:asciiTheme="minorBidi" w:hAnsiTheme="minorBidi"/>
          <w:lang w:val="en-US"/>
        </w:rPr>
        <w:t xml:space="preserve"> </w:t>
      </w:r>
      <w:r w:rsidR="008A4094" w:rsidRPr="00B81F2B">
        <w:rPr>
          <w:rFonts w:asciiTheme="minorBidi" w:hAnsiTheme="minorBidi"/>
          <w:lang w:val="en-US"/>
        </w:rPr>
        <w:t>in</w:t>
      </w:r>
      <w:r w:rsidR="00B46E2E" w:rsidRPr="00B81F2B">
        <w:rPr>
          <w:rFonts w:asciiTheme="minorBidi" w:hAnsiTheme="minorBidi"/>
          <w:lang w:val="en-US"/>
        </w:rPr>
        <w:t xml:space="preserve"> our</w:t>
      </w:r>
      <w:r w:rsidR="00BF7EA1" w:rsidRPr="00B81F2B">
        <w:rPr>
          <w:rFonts w:asciiTheme="minorBidi" w:hAnsiTheme="minorBidi"/>
          <w:lang w:val="en-US"/>
        </w:rPr>
        <w:t xml:space="preserve"> baseline</w:t>
      </w:r>
      <w:r w:rsidR="00B46E2E" w:rsidRPr="00B81F2B">
        <w:rPr>
          <w:rFonts w:asciiTheme="minorBidi" w:hAnsiTheme="minorBidi"/>
          <w:lang w:val="en-US"/>
        </w:rPr>
        <w:t xml:space="preserve"> analys</w:t>
      </w:r>
      <w:r w:rsidR="008A4094" w:rsidRPr="00B81F2B">
        <w:rPr>
          <w:rFonts w:asciiTheme="minorBidi" w:hAnsiTheme="minorBidi"/>
          <w:lang w:val="en-US"/>
        </w:rPr>
        <w:t>e</w:t>
      </w:r>
      <w:r w:rsidR="00B46E2E" w:rsidRPr="00B81F2B">
        <w:rPr>
          <w:rFonts w:asciiTheme="minorBidi" w:hAnsiTheme="minorBidi"/>
          <w:lang w:val="en-US"/>
        </w:rPr>
        <w:t>s</w:t>
      </w:r>
      <w:r w:rsidR="00DC65FE" w:rsidRPr="00B81F2B">
        <w:rPr>
          <w:rFonts w:asciiTheme="minorBidi" w:hAnsiTheme="minorBidi"/>
          <w:lang w:val="en-US"/>
        </w:rPr>
        <w:t xml:space="preserve"> </w:t>
      </w:r>
      <w:r w:rsidR="003C32BD" w:rsidRPr="00B81F2B">
        <w:rPr>
          <w:rFonts w:asciiTheme="minorBidi" w:hAnsiTheme="minorBidi"/>
          <w:lang w:val="en-US"/>
        </w:rPr>
        <w:t>[</w:t>
      </w:r>
      <w:r w:rsidR="00DC65FE" w:rsidRPr="00B81F2B">
        <w:rPr>
          <w:rFonts w:asciiTheme="minorBidi" w:hAnsiTheme="minorBidi"/>
          <w:i/>
          <w:iCs/>
          <w:lang w:val="en-US"/>
        </w:rPr>
        <w:t>AC074286</w:t>
      </w:r>
      <w:r w:rsidR="00DC65FE" w:rsidRPr="00B81F2B">
        <w:rPr>
          <w:rFonts w:asciiTheme="minorBidi" w:hAnsiTheme="minorBidi"/>
          <w:lang w:val="en-US"/>
        </w:rPr>
        <w:t xml:space="preserve">.1, </w:t>
      </w:r>
      <w:r w:rsidR="003C32BD" w:rsidRPr="00B81F2B">
        <w:rPr>
          <w:rFonts w:asciiTheme="minorBidi" w:hAnsiTheme="minorBidi"/>
          <w:i/>
          <w:iCs/>
          <w:lang w:val="en-US"/>
        </w:rPr>
        <w:t>FERM</w:t>
      </w:r>
      <w:r w:rsidR="003C32BD" w:rsidRPr="00B81F2B">
        <w:rPr>
          <w:rFonts w:asciiTheme="minorBidi" w:hAnsiTheme="minorBidi"/>
          <w:lang w:val="en-US"/>
        </w:rPr>
        <w:t xml:space="preserve">, </w:t>
      </w:r>
      <w:bookmarkStart w:id="7" w:name="_Hlk38367362"/>
      <w:r w:rsidR="003C32BD" w:rsidRPr="00B81F2B">
        <w:rPr>
          <w:rFonts w:asciiTheme="minorBidi" w:hAnsiTheme="minorBidi"/>
          <w:i/>
          <w:iCs/>
          <w:lang w:val="en-US"/>
        </w:rPr>
        <w:t>ARH/</w:t>
      </w:r>
      <w:proofErr w:type="spellStart"/>
      <w:r w:rsidR="003C32BD" w:rsidRPr="00B81F2B">
        <w:rPr>
          <w:rFonts w:asciiTheme="minorBidi" w:hAnsiTheme="minorBidi"/>
          <w:i/>
          <w:iCs/>
          <w:lang w:val="en-US"/>
        </w:rPr>
        <w:t>RhoGEF</w:t>
      </w:r>
      <w:proofErr w:type="spellEnd"/>
      <w:r w:rsidR="003C32BD" w:rsidRPr="00B81F2B">
        <w:rPr>
          <w:rFonts w:asciiTheme="minorBidi" w:hAnsiTheme="minorBidi"/>
          <w:i/>
          <w:iCs/>
          <w:lang w:val="en-US"/>
        </w:rPr>
        <w:t xml:space="preserve"> And </w:t>
      </w:r>
      <w:proofErr w:type="spellStart"/>
      <w:r w:rsidR="003C32BD" w:rsidRPr="00B81F2B">
        <w:rPr>
          <w:rFonts w:asciiTheme="minorBidi" w:hAnsiTheme="minorBidi"/>
          <w:i/>
          <w:iCs/>
          <w:lang w:val="en-US"/>
        </w:rPr>
        <w:t>Pleckstrin</w:t>
      </w:r>
      <w:proofErr w:type="spellEnd"/>
      <w:r w:rsidR="003C32BD" w:rsidRPr="00B81F2B">
        <w:rPr>
          <w:rFonts w:asciiTheme="minorBidi" w:hAnsiTheme="minorBidi"/>
          <w:i/>
          <w:iCs/>
          <w:lang w:val="en-US"/>
        </w:rPr>
        <w:t xml:space="preserve"> Domain Protein 1</w:t>
      </w:r>
      <w:r w:rsidR="00DC65FE" w:rsidRPr="00B81F2B">
        <w:rPr>
          <w:rFonts w:asciiTheme="minorBidi" w:hAnsiTheme="minorBidi"/>
          <w:lang w:val="en-US"/>
        </w:rPr>
        <w:t xml:space="preserve"> </w:t>
      </w:r>
      <w:r w:rsidR="003C32BD" w:rsidRPr="00B81F2B">
        <w:rPr>
          <w:rFonts w:asciiTheme="minorBidi" w:hAnsiTheme="minorBidi"/>
          <w:lang w:val="en-US"/>
        </w:rPr>
        <w:t>(</w:t>
      </w:r>
      <w:bookmarkEnd w:id="7"/>
      <w:r w:rsidR="00DC65FE" w:rsidRPr="00B81F2B">
        <w:rPr>
          <w:rFonts w:asciiTheme="minorBidi" w:hAnsiTheme="minorBidi"/>
          <w:i/>
          <w:iCs/>
          <w:lang w:val="en-US"/>
        </w:rPr>
        <w:t>FARP1</w:t>
      </w:r>
      <w:r w:rsidR="003C32BD" w:rsidRPr="00B81F2B">
        <w:rPr>
          <w:rFonts w:asciiTheme="minorBidi" w:hAnsiTheme="minorBidi"/>
          <w:i/>
          <w:iCs/>
          <w:lang w:val="en-US"/>
        </w:rPr>
        <w:t>)</w:t>
      </w:r>
      <w:r w:rsidR="00DC65FE" w:rsidRPr="00B81F2B">
        <w:rPr>
          <w:rFonts w:asciiTheme="minorBidi" w:hAnsiTheme="minorBidi"/>
          <w:lang w:val="en-US"/>
        </w:rPr>
        <w:t xml:space="preserve">, </w:t>
      </w:r>
      <w:bookmarkStart w:id="8" w:name="_Hlk38367381"/>
      <w:r w:rsidR="003C32BD" w:rsidRPr="00B81F2B">
        <w:rPr>
          <w:rFonts w:asciiTheme="minorBidi" w:hAnsiTheme="minorBidi"/>
          <w:i/>
          <w:iCs/>
          <w:lang w:val="en-US"/>
        </w:rPr>
        <w:t>Calcium Release Activated Channel Regulator 2A</w:t>
      </w:r>
      <w:r w:rsidR="003C32BD" w:rsidRPr="00B81F2B">
        <w:rPr>
          <w:rFonts w:asciiTheme="minorBidi" w:hAnsiTheme="minorBidi"/>
          <w:lang w:val="en-US"/>
        </w:rPr>
        <w:t xml:space="preserve"> </w:t>
      </w:r>
      <w:bookmarkEnd w:id="8"/>
      <w:r w:rsidR="003C32BD" w:rsidRPr="00B81F2B">
        <w:rPr>
          <w:rFonts w:asciiTheme="minorBidi" w:hAnsiTheme="minorBidi"/>
          <w:lang w:val="en-US"/>
        </w:rPr>
        <w:t>(</w:t>
      </w:r>
      <w:r w:rsidR="00DC65FE" w:rsidRPr="00B81F2B">
        <w:rPr>
          <w:rFonts w:asciiTheme="minorBidi" w:hAnsiTheme="minorBidi"/>
          <w:i/>
          <w:iCs/>
          <w:lang w:val="en-US"/>
        </w:rPr>
        <w:t>CRACR2A</w:t>
      </w:r>
      <w:r w:rsidR="00DC65FE" w:rsidRPr="00B81F2B">
        <w:rPr>
          <w:rFonts w:asciiTheme="minorBidi" w:hAnsiTheme="minorBidi"/>
          <w:lang w:val="en-US"/>
        </w:rPr>
        <w:t>)</w:t>
      </w:r>
      <w:r w:rsidR="003C32BD" w:rsidRPr="00B81F2B">
        <w:rPr>
          <w:rFonts w:asciiTheme="minorBidi" w:hAnsiTheme="minorBidi"/>
          <w:lang w:val="en-US"/>
        </w:rPr>
        <w:t>]</w:t>
      </w:r>
      <w:r w:rsidR="008C41AD">
        <w:rPr>
          <w:rFonts w:asciiTheme="minorBidi" w:hAnsiTheme="minorBidi"/>
          <w:lang w:val="en-US"/>
        </w:rPr>
        <w:t xml:space="preserve">. These genes were </w:t>
      </w:r>
      <w:r w:rsidR="008A4094" w:rsidRPr="00B81F2B">
        <w:rPr>
          <w:rFonts w:asciiTheme="minorBidi" w:hAnsiTheme="minorBidi"/>
          <w:lang w:val="en-US"/>
        </w:rPr>
        <w:t xml:space="preserve">shown to be </w:t>
      </w:r>
      <w:r w:rsidR="00DC65FE" w:rsidRPr="00B81F2B">
        <w:rPr>
          <w:rFonts w:asciiTheme="minorBidi" w:hAnsiTheme="minorBidi"/>
          <w:lang w:val="en-US"/>
        </w:rPr>
        <w:t>associat</w:t>
      </w:r>
      <w:r w:rsidR="008A4094" w:rsidRPr="00B81F2B">
        <w:rPr>
          <w:rFonts w:asciiTheme="minorBidi" w:hAnsiTheme="minorBidi"/>
          <w:lang w:val="en-US"/>
        </w:rPr>
        <w:t>ed</w:t>
      </w:r>
      <w:r w:rsidR="00DC65FE" w:rsidRPr="00B81F2B">
        <w:rPr>
          <w:rFonts w:asciiTheme="minorBidi" w:hAnsiTheme="minorBidi"/>
          <w:lang w:val="en-US"/>
        </w:rPr>
        <w:t xml:space="preserve"> in GWAS </w:t>
      </w:r>
      <w:r w:rsidR="00DC65FE" w:rsidRPr="00B81F2B">
        <w:rPr>
          <w:rFonts w:asciiTheme="minorBidi" w:hAnsiTheme="minorBidi"/>
          <w:lang w:val="en-US"/>
        </w:rPr>
        <w:lastRenderedPageBreak/>
        <w:t>with NAFLD</w:t>
      </w:r>
      <w:r w:rsidR="00C9020F" w:rsidRPr="00B81F2B">
        <w:rPr>
          <w:rFonts w:asciiTheme="minorBidi" w:hAnsiTheme="minorBidi"/>
          <w:lang w:val="en-US"/>
        </w:rPr>
        <w:t xml:space="preserve"> </w:t>
      </w:r>
      <w:r w:rsidR="00C9020F" w:rsidRPr="00B81F2B">
        <w:rPr>
          <w:rFonts w:asciiTheme="minorBidi" w:hAnsiTheme="minorBidi"/>
          <w:lang w:val="en-US"/>
        </w:rPr>
        <w:fldChar w:fldCharType="begin" w:fldLock="1"/>
      </w:r>
      <w:r w:rsidR="00BD25E2">
        <w:rPr>
          <w:rFonts w:asciiTheme="minorBidi" w:hAnsiTheme="minorBidi"/>
          <w:lang w:val="en-US"/>
        </w:rPr>
        <w:instrText>ADDIN CSL_CITATION {"citationItems":[{"id":"ITEM-1","itemData":{"author":[{"dropping-particle":"","family":"Chalasani","given":"Naga","non-dropping-particle":"","parse-names":false,"suffix":""},{"dropping-particle":"","family":"Guo","given":"Xiuqing","non-dropping-particle":"","parse-names":false,"suffix":""},{"dropping-particle":"","family":"Loomba","given":"Rohit","non-dropping-particle":"","parse-names":false,"suffix":""},{"dropping-particle":"","family":"Goodarzi","given":"Mark O","non-dropping-particle":"","parse-names":false,"suffix":""},{"dropping-particle":"","family":"Haritunians","given":"Talin","non-dropping-particle":"","parse-names":false,"suffix":""},{"dropping-particle":"","family":"Kwon","given":"Soonil","non-dropping-particle":"","parse-names":false,"suffix":""},{"dropping-particle":"","family":"Cui","given":"Jinrui","non-dropping-particle":"","parse-names":false,"suffix":""},{"dropping-particle":"","family":"Taylor","given":"Kent D","non-dropping-particle":"","parse-names":false,"suffix":""},{"dropping-particle":"","family":"Wilson","given":"Laura","non-dropping-particle":"","parse-names":false,"suffix":""},{"dropping-particle":"","family":"Cummings","given":"Oscar W","non-dropping-particle":"","parse-names":false,"suffix":""}],"container-title":"Gastroenterology","id":"ITEM-1","issue":"5","issued":{"date-parts":[["2010"]]},"page":"1567-1576. e6","title":"Genome-wide association study identifies variants associated with histologic features of nonalcoholic Fatty liver disease","type":"article-journal","volume":"139"},"uris":["http://www.mendeley.com/documents/?uuid=76ee72c9-0e4c-36d9-8922-9c1a1730e186"]}],"mendeley":{"formattedCitation":"&lt;sup&gt;22&lt;/sup&gt;","plainTextFormattedCitation":"22","previouslyFormattedCitation":"&lt;sup&gt;22&lt;/sup&gt;"},"properties":{"noteIndex":0},"schema":"https://github.com/citation-style-language/schema/raw/master/csl-citation.json"}</w:instrText>
      </w:r>
      <w:r w:rsidR="00C9020F" w:rsidRPr="00B81F2B">
        <w:rPr>
          <w:rFonts w:asciiTheme="minorBidi" w:hAnsiTheme="minorBidi"/>
          <w:lang w:val="en-US"/>
        </w:rPr>
        <w:fldChar w:fldCharType="separate"/>
      </w:r>
      <w:r w:rsidR="0071027E" w:rsidRPr="0071027E">
        <w:rPr>
          <w:rFonts w:asciiTheme="minorBidi" w:hAnsiTheme="minorBidi"/>
          <w:noProof/>
          <w:vertAlign w:val="superscript"/>
          <w:lang w:val="en-US"/>
        </w:rPr>
        <w:t>22</w:t>
      </w:r>
      <w:r w:rsidR="00C9020F" w:rsidRPr="00B81F2B">
        <w:rPr>
          <w:rFonts w:asciiTheme="minorBidi" w:hAnsiTheme="minorBidi"/>
          <w:lang w:val="en-US"/>
        </w:rPr>
        <w:fldChar w:fldCharType="end"/>
      </w:r>
      <w:r w:rsidR="008C41AD">
        <w:rPr>
          <w:rFonts w:asciiTheme="minorBidi" w:hAnsiTheme="minorBidi"/>
          <w:lang w:val="en-US"/>
        </w:rPr>
        <w:t xml:space="preserve">, and </w:t>
      </w:r>
      <w:r w:rsidR="008A4094" w:rsidRPr="00B81F2B">
        <w:rPr>
          <w:rFonts w:asciiTheme="minorBidi" w:hAnsiTheme="minorBidi"/>
          <w:lang w:val="en-US"/>
        </w:rPr>
        <w:t xml:space="preserve">were </w:t>
      </w:r>
      <w:r w:rsidR="007C2DAF" w:rsidRPr="00B81F2B">
        <w:rPr>
          <w:rFonts w:asciiTheme="minorBidi" w:hAnsiTheme="minorBidi"/>
          <w:lang w:val="en-US"/>
        </w:rPr>
        <w:t>g</w:t>
      </w:r>
      <w:r w:rsidR="00DC65FE" w:rsidRPr="00B81F2B">
        <w:rPr>
          <w:rFonts w:asciiTheme="minorBidi" w:hAnsiTheme="minorBidi"/>
          <w:lang w:val="en-US"/>
        </w:rPr>
        <w:t>enotyp</w:t>
      </w:r>
      <w:r w:rsidR="008A4094" w:rsidRPr="00B81F2B">
        <w:rPr>
          <w:rFonts w:asciiTheme="minorBidi" w:hAnsiTheme="minorBidi"/>
          <w:lang w:val="en-US"/>
        </w:rPr>
        <w:t xml:space="preserve">ed in </w:t>
      </w:r>
      <w:r w:rsidR="00DC65FE" w:rsidRPr="00B81F2B">
        <w:rPr>
          <w:rFonts w:asciiTheme="minorBidi" w:hAnsiTheme="minorBidi"/>
          <w:lang w:val="en-US"/>
        </w:rPr>
        <w:t xml:space="preserve">genomic DNA </w:t>
      </w:r>
      <w:r w:rsidR="008A4094" w:rsidRPr="00B81F2B">
        <w:rPr>
          <w:rFonts w:asciiTheme="minorBidi" w:hAnsiTheme="minorBidi"/>
          <w:lang w:val="en-US"/>
        </w:rPr>
        <w:t xml:space="preserve">samples </w:t>
      </w:r>
      <w:r w:rsidR="00DC65FE" w:rsidRPr="00B81F2B">
        <w:rPr>
          <w:rFonts w:asciiTheme="minorBidi" w:hAnsiTheme="minorBidi"/>
          <w:lang w:val="en-US"/>
        </w:rPr>
        <w:t xml:space="preserve">extracted from blood using the Allelic Discrimination TaqMan SNP Genotyping System (Applied Biosystems by Life-Technologies Carlsbad, CA, USA) according to </w:t>
      </w:r>
      <w:r w:rsidR="00526E3D">
        <w:rPr>
          <w:rFonts w:asciiTheme="minorBidi" w:hAnsiTheme="minorBidi"/>
          <w:lang w:val="en-US"/>
        </w:rPr>
        <w:t xml:space="preserve">the </w:t>
      </w:r>
      <w:r w:rsidR="00DC65FE" w:rsidRPr="00B81F2B">
        <w:rPr>
          <w:rFonts w:asciiTheme="minorBidi" w:hAnsiTheme="minorBidi"/>
          <w:lang w:val="en-US"/>
        </w:rPr>
        <w:t>manufacturer‘s protocol. Water controls were included as no</w:t>
      </w:r>
      <w:r w:rsidR="0061191B" w:rsidRPr="00B81F2B">
        <w:rPr>
          <w:rFonts w:asciiTheme="minorBidi" w:hAnsiTheme="minorBidi"/>
          <w:lang w:val="en-US"/>
        </w:rPr>
        <w:t>n</w:t>
      </w:r>
      <w:r w:rsidR="00DC65FE" w:rsidRPr="00B81F2B">
        <w:rPr>
          <w:rFonts w:asciiTheme="minorBidi" w:hAnsiTheme="minorBidi"/>
          <w:lang w:val="en-US"/>
        </w:rPr>
        <w:t>-template control (N=6 per run)</w:t>
      </w:r>
      <w:r w:rsidR="00E2109E">
        <w:rPr>
          <w:rFonts w:asciiTheme="minorBidi" w:hAnsiTheme="minorBidi"/>
          <w:lang w:val="en-US"/>
        </w:rPr>
        <w:t>,</w:t>
      </w:r>
      <w:r w:rsidR="00DC65FE" w:rsidRPr="00B81F2B">
        <w:rPr>
          <w:rFonts w:asciiTheme="minorBidi" w:hAnsiTheme="minorBidi"/>
          <w:lang w:val="en-US"/>
        </w:rPr>
        <w:t xml:space="preserve"> and random samples (5%) were genotyped in duplicates on different plates to validate </w:t>
      </w:r>
      <w:r w:rsidR="00931A3E" w:rsidRPr="00B81F2B">
        <w:rPr>
          <w:rFonts w:asciiTheme="minorBidi" w:hAnsiTheme="minorBidi"/>
          <w:lang w:val="en-US"/>
        </w:rPr>
        <w:t xml:space="preserve">the </w:t>
      </w:r>
      <w:r w:rsidR="00E2109E">
        <w:rPr>
          <w:rFonts w:asciiTheme="minorBidi" w:hAnsiTheme="minorBidi"/>
          <w:lang w:val="en-US"/>
        </w:rPr>
        <w:t xml:space="preserve">assay's </w:t>
      </w:r>
      <w:r w:rsidR="00DC65FE" w:rsidRPr="00B81F2B">
        <w:rPr>
          <w:rFonts w:asciiTheme="minorBidi" w:hAnsiTheme="minorBidi"/>
          <w:lang w:val="en-US"/>
        </w:rPr>
        <w:t>reproducibility and accuracy. Fluorescence was detected by an ABI 7500 Real-Time PCR system. All variants were in Hardy-Weinberg-equilibrium (p</w:t>
      </w:r>
      <w:r w:rsidR="00AC6B09" w:rsidRPr="00B81F2B">
        <w:rPr>
          <w:rFonts w:asciiTheme="minorBidi" w:hAnsiTheme="minorBidi"/>
          <w:lang w:val="en-US"/>
        </w:rPr>
        <w:t>&gt;</w:t>
      </w:r>
      <w:r w:rsidR="00DC65FE" w:rsidRPr="00B81F2B">
        <w:rPr>
          <w:rFonts w:asciiTheme="minorBidi" w:hAnsiTheme="minorBidi"/>
          <w:lang w:val="en-US"/>
        </w:rPr>
        <w:t>0.05).</w:t>
      </w:r>
    </w:p>
    <w:p w14:paraId="495DD6FC" w14:textId="77777777" w:rsidR="00BA3C4B" w:rsidRPr="00B81F2B" w:rsidRDefault="00BA3C4B" w:rsidP="008B7584">
      <w:pPr>
        <w:spacing w:line="480" w:lineRule="auto"/>
        <w:rPr>
          <w:rFonts w:asciiTheme="minorBidi" w:hAnsiTheme="minorBidi"/>
          <w:u w:val="single"/>
        </w:rPr>
      </w:pPr>
      <w:r w:rsidRPr="00B81F2B">
        <w:rPr>
          <w:rFonts w:asciiTheme="minorBidi" w:hAnsiTheme="minorBidi"/>
          <w:u w:val="single"/>
        </w:rPr>
        <w:t>Statistical analysis</w:t>
      </w:r>
    </w:p>
    <w:p w14:paraId="300D6846" w14:textId="65699652" w:rsidR="00676D93" w:rsidRPr="00ED4D26" w:rsidRDefault="00E2109E" w:rsidP="00ED4D26">
      <w:pPr>
        <w:spacing w:line="480" w:lineRule="auto"/>
        <w:rPr>
          <w:rFonts w:asciiTheme="minorBidi" w:eastAsia="Arial" w:hAnsiTheme="minorBidi"/>
          <w:b/>
          <w:bCs/>
          <w:lang w:val="en-US"/>
        </w:rPr>
      </w:pPr>
      <w:r>
        <w:rPr>
          <w:rFonts w:asciiTheme="minorBidi" w:hAnsiTheme="minorBidi"/>
        </w:rPr>
        <w:t>This report's</w:t>
      </w:r>
      <w:r w:rsidR="009D146E" w:rsidRPr="00B81F2B">
        <w:rPr>
          <w:rFonts w:asciiTheme="minorBidi" w:hAnsiTheme="minorBidi"/>
        </w:rPr>
        <w:t xml:space="preserve"> prima</w:t>
      </w:r>
      <w:r w:rsidR="00086F8F" w:rsidRPr="00B81F2B">
        <w:rPr>
          <w:rFonts w:asciiTheme="minorBidi" w:hAnsiTheme="minorBidi"/>
        </w:rPr>
        <w:t>r</w:t>
      </w:r>
      <w:r w:rsidR="009D146E" w:rsidRPr="00B81F2B">
        <w:rPr>
          <w:rFonts w:asciiTheme="minorBidi" w:hAnsiTheme="minorBidi"/>
        </w:rPr>
        <w:t xml:space="preserve">y aim was </w:t>
      </w:r>
      <w:r w:rsidR="00086F8F" w:rsidRPr="00B81F2B">
        <w:rPr>
          <w:rFonts w:asciiTheme="minorBidi" w:hAnsiTheme="minorBidi"/>
        </w:rPr>
        <w:t>to examine</w:t>
      </w:r>
      <w:r w:rsidR="00B87A44" w:rsidRPr="00B81F2B">
        <w:rPr>
          <w:rFonts w:asciiTheme="minorBidi" w:hAnsiTheme="minorBidi"/>
        </w:rPr>
        <w:t xml:space="preserve"> whether </w:t>
      </w:r>
      <w:r w:rsidR="009D146E" w:rsidRPr="00B81F2B">
        <w:rPr>
          <w:rFonts w:asciiTheme="minorBidi" w:hAnsiTheme="minorBidi"/>
        </w:rPr>
        <w:t xml:space="preserve">specific </w:t>
      </w:r>
      <w:r w:rsidR="00B87A44" w:rsidRPr="00B81F2B">
        <w:rPr>
          <w:rFonts w:asciiTheme="minorBidi" w:hAnsiTheme="minorBidi"/>
        </w:rPr>
        <w:t>lifestyle interventions</w:t>
      </w:r>
      <w:r w:rsidR="009D146E" w:rsidRPr="00B81F2B">
        <w:rPr>
          <w:rFonts w:asciiTheme="minorBidi" w:hAnsiTheme="minorBidi"/>
        </w:rPr>
        <w:t xml:space="preserve"> differentially affect</w:t>
      </w:r>
      <w:r w:rsidR="00086F8F" w:rsidRPr="00B81F2B">
        <w:rPr>
          <w:rFonts w:asciiTheme="minorBidi" w:hAnsiTheme="minorBidi"/>
        </w:rPr>
        <w:t xml:space="preserve"> </w:t>
      </w:r>
      <w:r w:rsidR="001B029C" w:rsidRPr="00B81F2B">
        <w:rPr>
          <w:rFonts w:asciiTheme="minorBidi" w:hAnsiTheme="minorBidi"/>
        </w:rPr>
        <w:t>DNA</w:t>
      </w:r>
      <w:r w:rsidR="002B7EC6" w:rsidRPr="00B81F2B">
        <w:rPr>
          <w:rFonts w:asciiTheme="minorBidi" w:hAnsiTheme="minorBidi"/>
        </w:rPr>
        <w:t xml:space="preserve"> </w:t>
      </w:r>
      <w:r w:rsidR="00B87A44" w:rsidRPr="00B81F2B">
        <w:rPr>
          <w:rFonts w:asciiTheme="minorBidi" w:hAnsiTheme="minorBidi"/>
        </w:rPr>
        <w:t>methylation</w:t>
      </w:r>
      <w:r w:rsidR="001B029C" w:rsidRPr="00B81F2B">
        <w:rPr>
          <w:rFonts w:asciiTheme="minorBidi" w:hAnsiTheme="minorBidi"/>
        </w:rPr>
        <w:t xml:space="preserve"> in genes related to </w:t>
      </w:r>
      <w:r w:rsidR="009D146E" w:rsidRPr="00B81F2B">
        <w:rPr>
          <w:rFonts w:asciiTheme="minorBidi" w:hAnsiTheme="minorBidi"/>
        </w:rPr>
        <w:t>hepatosteatosis</w:t>
      </w:r>
      <w:r w:rsidR="00B87A44" w:rsidRPr="00B81F2B">
        <w:rPr>
          <w:rFonts w:asciiTheme="minorBidi" w:hAnsiTheme="minorBidi"/>
        </w:rPr>
        <w:t>.</w:t>
      </w:r>
      <w:r w:rsidR="0045184E">
        <w:rPr>
          <w:rFonts w:asciiTheme="minorBidi" w:hAnsiTheme="minorBidi"/>
        </w:rPr>
        <w:t xml:space="preserve"> </w:t>
      </w:r>
      <w:r w:rsidR="00A337C1">
        <w:rPr>
          <w:rFonts w:asciiTheme="minorBidi" w:hAnsiTheme="minorBidi"/>
        </w:rPr>
        <w:t>W</w:t>
      </w:r>
      <w:r w:rsidR="0045184E">
        <w:rPr>
          <w:rFonts w:asciiTheme="minorBidi" w:hAnsiTheme="minorBidi"/>
        </w:rPr>
        <w:t>e examined diet groups (LF, MED/LC) and PA groups (no PA added (PA-), PA added (PA+))</w:t>
      </w:r>
      <w:r w:rsidR="00A337C1">
        <w:rPr>
          <w:rFonts w:asciiTheme="minorBidi" w:hAnsiTheme="minorBidi"/>
        </w:rPr>
        <w:t xml:space="preserve"> separately, similarly to previous reported </w:t>
      </w:r>
      <w:r w:rsidR="005F2AAB">
        <w:rPr>
          <w:rFonts w:asciiTheme="minorBidi" w:hAnsiTheme="minorBidi"/>
        </w:rPr>
        <w:fldChar w:fldCharType="begin" w:fldLock="1"/>
      </w:r>
      <w:r w:rsidR="00BD25E2">
        <w:rPr>
          <w:rFonts w:asciiTheme="minorBidi" w:hAnsiTheme="minorBidi"/>
        </w:rPr>
        <w:instrText>ADDIN CSL_CITATION {"citationItems":[{"id":"ITEM-1","itemData":{"author":[{"dropping-particle":"","family":"Gepner","given":"Yftach","non-dropping-particle":"","parse-names":false,"suffix":""},{"dropping-particle":"","family":"Shelef","given":"Ilan","non-dropping-particle":"","parse-names":false,"suffix":""},{"dropping-particle":"","family":"Schwarzfuchs","given":"Dan","non-dropping-particle":"","parse-names":false,"suffix":""},{"dropping-particle":"","family":"Zelicha","given":"Hila","non-dropping-particle":"","parse-names":false,"suffix":""},{"dropping-particle":"","family":"Tene","given":"Lilac","non-dropping-particle":"","parse-names":false,"suffix":""},{"dropping-particle":"","family":"Meir","given":"Anat Yaskolka","non-dropping-particle":"","parse-names":false,"suffix":""},{"dropping-particle":"","family":"Tsaban","given":"Gal","non-dropping-particle":"","parse-names":false,"suffix":""},{"dropping-particle":"","family":"Cohen","given":"Noa","non-dropping-particle":"","parse-names":false,"suffix":""},{"dropping-particle":"","family":"Bril","given":"Nitzan","non-dropping-particle":"","parse-names":false,"suffix":""},{"dropping-particle":"","family":"Rein","given":"Michal","non-dropping-particle":"","parse-names":false,"suffix":""}],"container-title":"Circulation","id":"ITEM-1","issue":"11","issued":{"date-parts":[["2018"]]},"page":"1143-1157","title":"Effect of distinct lifestyle interventions on mobilization of fat storage pools: CENTRAL magnetic resonance imaging randomized controlled trial","type":"article-journal","volume":"137"},"uris":["http://www.mendeley.com/documents/?uuid=00f81552-319b-3f96-bd96-4a0b23f627e3"]},{"id":"ITEM-2","itemData":{"DOI":"10.3945/ajcn.117.157115","ISSN":"19383207","abstract":"© 2017 American Society for Nutrition. Background: In view of evidence linking pericardial fat accumulation with increased cardiovascular disease risk, strategies to reduce its burden are needed. Data comparing the effects of specific long-term dietary interventions on pericardial fat tissue mobilization are sparse. Objective: We sought to evaluate intrapericardial-fat (IPF) and extrapericardial-fat (EPF) changes during weight-loss interventions by different dietary regimens. Design: During 18 mo of a randomized controlled trial, we compared a Mediterranean/low-carbohydrate (MED/LC) diet plus 28 g walnuts/d with a calorically equal low-fat (LF) diet among randomly assigned participants with moderate abdominal obesity. We performed whole-body MRI and volumetrically quantified IPF and EPF among 80 participants to follow the 18-mo changes. Results: The participants [mean age: 48.6 y; mean body mass index (BMI; in kg/m2); 31.7; 90% men] had baseline IPF and EPF (mean 6 SD) volumes of 172.4 6 53.3 mL and 194.9 6 71.5 mL, respectively. The 18-mo moderate weight loss of 3.7 kg was similar in both groups, but the reduction in waist circumference was higher in the MED/LC group (26.9 6 6.6 cm) than in the LF diet group (22.3 6 6.5 cm; P = 0.01). After 18 mo, the IPF volume had reduced twice as much in the MED/LC group compared with the LF group [237 6 26.2 mL (222% 6 15%) compared with 215.5 6 26.2 mL (28% 6 15%), respectively; P, 0.05, after adjustment for changes in weight or visceral adipose tissue]. The EPF volume had reduced similarly in both groups [241.6 6 30.2 mL (223% 6 16%) in the MED/LC group compared with 237.9 6 28.3 mL (219% 6 14%) in the LF group; P . 0.1]. After controlling for weight loss, IPF and EPF volume reduction paralleled changes in lipid profile but not with improved glycemic profile variables: the IPF relative reduction was associated with a decrease in triglycerides (TGs) (b = 0.090; 95% CI: 0.026, 0.154; P = 0.007) and the ratio of TGs to high-density lipoprotein (HDL) cholesterol (b = 2.689; 95% CI: 0.373, 5.003; P = 0.024), and the EPF relative reduction was associated with an increase in HDL cholesterol (b = 20.452; 95% CI: 20.880, 20.023; P = 0.039) and a decrease in total cholesterol and HDL cholesterol (b = 3.766; 95% CI: 1.092, 6.440; P = 0.007). Conclusions: Moderate but persistent dietary-induced weight loss substantially decreased both IPF and EPF volumes. Reduction of pericardial adipose tissues is independently associated w…","author":[{"dropping-particle":"","family":"Tsaban","given":"G.","non-dropping-particle":"","parse-names":false,"suffix":""},{"dropping-particle":"","family":"Wolak","given":"A.","non-dropping-particle":"","parse-names":false,"suffix":""},{"dropping-particle":"","family":"Avni-Hassid","given":"H.","non-dropping-particle":"","parse-names":false,"suffix":""},{"dropping-particle":"","family":"Gepner","given":"Y.","non-dropping-particle":"","parse-names":false,"suffix":""},{"dropping-particle":"","family":"Shelef","given":"I.","non-dropping-particle":"","parse-names":false,"suffix":""},{"dropping-particle":"","family":"Henkin","given":"Y.","non-dropping-particle":"","parse-names":false,"suffix":""},{"dropping-particle":"","family":"Schwarzfuchs","given":"D.","non-dropping-particle":"","parse-names":false,"suffix":""},{"dropping-particle":"","family":"Cohen","given":"N.","non-dropping-particle":"","parse-names":false,"suffix":""},{"dropping-particle":"","family":"Bril","given":"N.","non-dropping-particle":"","parse-names":false,"suffix":""},{"dropping-particle":"","family":"Rein","given":"M.","non-dropping-particle":"","parse-names":false,"suffix":""},{"dropping-particle":"","family":"Serfaty","given":"D.","non-dropping-particle":"","parse-names":false,"suffix":""},{"dropping-particle":"","family":"Kenigsbuch","given":"S.","non-dropping-particle":"","parse-names":false,"suffix":""},{"dropping-particle":"","family":"Tene","given":"L.","non-dropping-particle":"","parse-names":false,"suffix":""},{"dropping-particle":"","family":"Zelicha","given":"H.","non-dropping-particle":"","parse-names":false,"suffix":""},{"dropping-particle":"","family":"Yaskolka-Meir","given":"A.","non-dropping-particle":"","parse-names":false,"suffix":""},{"dropping-particle":"","family":"Komy","given":"O.","non-dropping-particle":"","parse-names":false,"suffix":""},{"dropping-particle":"","family":"Bilitzky","given":"A.","non-dropping-particle":"","parse-names":false,"suffix":""},{"dropping-particle":"","family":"Chassidim","given":"Y.","non-dropping-particle":"","parse-names":false,"suffix":""},{"dropping-particle":"","family":"Ceglarek","given":"U.","non-dropping-particle":"","parse-names":false,"suffix":""},{"dropping-particle":"","family":"Stumvoll","given":"M.","non-dropping-particle":"","parse-names":false,"suffix":""},{"dropping-particle":"","family":"Blüher","given":"M.","non-dropping-particle":"","parse-names":false,"suffix":""},{"dropping-particle":"","family":"Thiery","given":"J.","non-dropping-particle":"","parse-names":false,"suffix":""},{"dropping-particle":"","family":"Dicker","given":"D.","non-dropping-particle":"","parse-names":false,"suffix":""},{"dropping-particle":"","family":"Rudich","given":"A.","non-dropping-particle":"","parse-names":false,"suffix":""},{"dropping-particle":"","family":"Stampfer","given":"M.J.","non-dropping-particle":"","parse-names":false,"suffix":""},{"dropping-particle":"","family":"Shai","given":"I.","non-dropping-particle":"","parse-names":false,"suffix":""}],"container-title":"American Journal of Clinical Nutrition","id":"ITEM-2","issue":"4","issued":{"date-parts":[["2017"]]},"title":"Dynamics of intrapericardial and extrapericardial fat tissues during long-term, dietary-induced, moderate weight loss","type":"article-journal","volume":"106"},"uris":["http://www.mendeley.com/documents/?uuid=16d3d6b6-23db-3799-b37b-5d0e53744b47"]}],"mendeley":{"formattedCitation":"&lt;sup&gt;19,23&lt;/sup&gt;","plainTextFormattedCitation":"19,23","previouslyFormattedCitation":"&lt;sup&gt;19,23&lt;/sup&gt;"},"properties":{"noteIndex":0},"schema":"https://github.com/citation-style-language/schema/raw/master/csl-citation.json"}</w:instrText>
      </w:r>
      <w:r w:rsidR="005F2AAB">
        <w:rPr>
          <w:rFonts w:asciiTheme="minorBidi" w:hAnsiTheme="minorBidi"/>
        </w:rPr>
        <w:fldChar w:fldCharType="separate"/>
      </w:r>
      <w:r w:rsidR="0071027E" w:rsidRPr="0071027E">
        <w:rPr>
          <w:rFonts w:asciiTheme="minorBidi" w:hAnsiTheme="minorBidi"/>
          <w:noProof/>
          <w:vertAlign w:val="superscript"/>
        </w:rPr>
        <w:t>19,23</w:t>
      </w:r>
      <w:r w:rsidR="005F2AAB">
        <w:rPr>
          <w:rFonts w:asciiTheme="minorBidi" w:hAnsiTheme="minorBidi"/>
        </w:rPr>
        <w:fldChar w:fldCharType="end"/>
      </w:r>
      <w:r w:rsidR="0045184E">
        <w:rPr>
          <w:rFonts w:asciiTheme="minorBidi" w:hAnsiTheme="minorBidi"/>
        </w:rPr>
        <w:t>.</w:t>
      </w:r>
      <w:r w:rsidR="007D073B" w:rsidRPr="00B81F2B">
        <w:rPr>
          <w:rFonts w:asciiTheme="minorBidi" w:hAnsiTheme="minorBidi"/>
        </w:rPr>
        <w:t xml:space="preserve"> Secondary aims </w:t>
      </w:r>
      <w:r w:rsidR="00786ABE" w:rsidRPr="00B81F2B">
        <w:rPr>
          <w:rFonts w:asciiTheme="minorBidi" w:hAnsiTheme="minorBidi"/>
        </w:rPr>
        <w:t xml:space="preserve">were </w:t>
      </w:r>
      <w:r w:rsidR="007D073B" w:rsidRPr="00B81F2B">
        <w:rPr>
          <w:rFonts w:asciiTheme="minorBidi" w:hAnsiTheme="minorBidi"/>
        </w:rPr>
        <w:t>to test</w:t>
      </w:r>
      <w:r w:rsidR="007D073B" w:rsidRPr="00B81F2B">
        <w:rPr>
          <w:rFonts w:asciiTheme="minorBidi" w:eastAsia="Arial" w:hAnsiTheme="minorBidi"/>
          <w:lang w:val="en-US"/>
        </w:rPr>
        <w:t xml:space="preserve"> whether blood DNA methylation levels of genes known to be involved in NAFLD development may reflect IHF storage and whether these relations might be affected by genetic variation. </w:t>
      </w:r>
      <w:r w:rsidR="00B86A68" w:rsidRPr="00B81F2B">
        <w:rPr>
          <w:rFonts w:asciiTheme="minorBidi" w:eastAsia="Arial" w:hAnsiTheme="minorBidi"/>
          <w:lang w:val="en-US"/>
        </w:rPr>
        <w:t>A f</w:t>
      </w:r>
      <w:r w:rsidR="00B50A18" w:rsidRPr="00B81F2B">
        <w:rPr>
          <w:rFonts w:asciiTheme="minorBidi" w:eastAsia="Arial" w:hAnsiTheme="minorBidi"/>
          <w:lang w:val="en-US"/>
        </w:rPr>
        <w:t xml:space="preserve">urther exploratory analysis was performed for the association of </w:t>
      </w:r>
      <w:r w:rsidR="004A6371" w:rsidRPr="00B81F2B">
        <w:rPr>
          <w:rFonts w:asciiTheme="minorBidi" w:eastAsia="Arial" w:hAnsiTheme="minorBidi"/>
          <w:lang w:val="en-US"/>
        </w:rPr>
        <w:t xml:space="preserve">the </w:t>
      </w:r>
      <w:r w:rsidR="00B50A18" w:rsidRPr="00B81F2B">
        <w:rPr>
          <w:rFonts w:asciiTheme="minorBidi" w:eastAsia="Arial" w:hAnsiTheme="minorBidi"/>
          <w:lang w:val="en-US"/>
        </w:rPr>
        <w:t xml:space="preserve">candidate </w:t>
      </w:r>
      <w:proofErr w:type="spellStart"/>
      <w:r w:rsidR="00B50A18" w:rsidRPr="00B81F2B">
        <w:rPr>
          <w:rFonts w:asciiTheme="minorBidi" w:eastAsia="Arial" w:hAnsiTheme="minorBidi"/>
          <w:lang w:val="en-US"/>
        </w:rPr>
        <w:t>CpGs</w:t>
      </w:r>
      <w:proofErr w:type="spellEnd"/>
      <w:r w:rsidR="00B50A18" w:rsidRPr="00B81F2B">
        <w:rPr>
          <w:rFonts w:asciiTheme="minorBidi" w:eastAsia="Arial" w:hAnsiTheme="minorBidi"/>
          <w:lang w:val="en-US"/>
        </w:rPr>
        <w:t xml:space="preserve"> with blood biomarkers. </w:t>
      </w:r>
      <w:r w:rsidR="00B6129B">
        <w:rPr>
          <w:rFonts w:asciiTheme="minorBidi" w:eastAsia="Arial" w:hAnsiTheme="minorBidi"/>
          <w:lang w:val="en-US"/>
        </w:rPr>
        <w:t xml:space="preserve">A summary of the analysis is presented in </w:t>
      </w:r>
      <w:r w:rsidR="00ED4D26">
        <w:rPr>
          <w:rFonts w:asciiTheme="minorBidi" w:eastAsia="Arial" w:hAnsiTheme="minorBidi"/>
          <w:b/>
          <w:bCs/>
          <w:lang w:val="en-US"/>
        </w:rPr>
        <w:t xml:space="preserve">Supplementary Figure </w:t>
      </w:r>
      <w:r w:rsidR="00B6129B" w:rsidRPr="00B6129B">
        <w:rPr>
          <w:rFonts w:asciiTheme="minorBidi" w:eastAsia="Arial" w:hAnsiTheme="minorBidi"/>
          <w:b/>
          <w:bCs/>
          <w:lang w:val="en-US"/>
        </w:rPr>
        <w:t>2</w:t>
      </w:r>
      <w:r w:rsidR="00B6129B">
        <w:rPr>
          <w:rFonts w:asciiTheme="minorBidi" w:eastAsia="Arial" w:hAnsiTheme="minorBidi"/>
          <w:lang w:val="en-US"/>
        </w:rPr>
        <w:t xml:space="preserve">. </w:t>
      </w:r>
      <w:r w:rsidR="00FB3213" w:rsidRPr="00B81F2B">
        <w:rPr>
          <w:rFonts w:asciiTheme="minorBidi" w:hAnsiTheme="minorBidi"/>
          <w:color w:val="000000" w:themeColor="text1"/>
          <w:spacing w:val="-2"/>
          <w:lang w:val="en-US"/>
        </w:rPr>
        <w:t>DNA methylation values were used as</w:t>
      </w:r>
      <w:r w:rsidR="00B86A68" w:rsidRPr="00B81F2B">
        <w:rPr>
          <w:rFonts w:asciiTheme="minorBidi" w:hAnsiTheme="minorBidi"/>
          <w:color w:val="000000" w:themeColor="text1"/>
          <w:spacing w:val="-2"/>
          <w:lang w:val="en-US"/>
        </w:rPr>
        <w:t xml:space="preserve"> a</w:t>
      </w:r>
      <w:r w:rsidR="00FB3213" w:rsidRPr="00B81F2B">
        <w:rPr>
          <w:rFonts w:asciiTheme="minorBidi" w:hAnsiTheme="minorBidi"/>
          <w:color w:val="000000" w:themeColor="text1"/>
          <w:spacing w:val="-2"/>
          <w:lang w:val="en-US"/>
        </w:rPr>
        <w:t xml:space="preserve"> </w:t>
      </w:r>
      <w:r w:rsidR="00466D49" w:rsidRPr="00B81F2B">
        <w:rPr>
          <w:rFonts w:asciiTheme="minorBidi" w:hAnsiTheme="minorBidi"/>
          <w:color w:val="000000" w:themeColor="text1"/>
          <w:spacing w:val="-2"/>
          <w:lang w:val="en-US"/>
        </w:rPr>
        <w:t>continuous variable</w:t>
      </w:r>
      <w:r w:rsidR="00FB3213" w:rsidRPr="00B81F2B">
        <w:rPr>
          <w:rFonts w:asciiTheme="minorBidi" w:hAnsiTheme="minorBidi"/>
          <w:color w:val="000000" w:themeColor="text1"/>
          <w:spacing w:val="-2"/>
          <w:lang w:val="en-US"/>
        </w:rPr>
        <w:t xml:space="preserve"> (normalized beta values).</w:t>
      </w:r>
      <w:r w:rsidR="00CF72B4" w:rsidRPr="00B81F2B">
        <w:rPr>
          <w:rFonts w:asciiTheme="minorBidi" w:hAnsiTheme="minorBidi"/>
        </w:rPr>
        <w:t xml:space="preserve"> </w:t>
      </w:r>
      <w:r w:rsidR="000C0D1F">
        <w:rPr>
          <w:rFonts w:asciiTheme="minorBidi" w:hAnsiTheme="minorBidi"/>
        </w:rPr>
        <w:t>A comparison</w:t>
      </w:r>
      <w:r w:rsidR="000C0D1F" w:rsidRPr="00B81F2B">
        <w:rPr>
          <w:rFonts w:asciiTheme="minorBidi" w:hAnsiTheme="minorBidi"/>
        </w:rPr>
        <w:t xml:space="preserve"> </w:t>
      </w:r>
      <w:r w:rsidR="000C0D1F">
        <w:rPr>
          <w:rFonts w:asciiTheme="minorBidi" w:hAnsiTheme="minorBidi"/>
        </w:rPr>
        <w:t>between baseline characteristics was</w:t>
      </w:r>
      <w:r w:rsidR="000C0D1F" w:rsidRPr="00B81F2B">
        <w:rPr>
          <w:rFonts w:asciiTheme="minorBidi" w:hAnsiTheme="minorBidi"/>
        </w:rPr>
        <w:t xml:space="preserve"> performed using T-test for normally </w:t>
      </w:r>
      <w:r w:rsidR="000C0D1F">
        <w:rPr>
          <w:rFonts w:asciiTheme="minorBidi" w:hAnsiTheme="minorBidi"/>
        </w:rPr>
        <w:t>distributed</w:t>
      </w:r>
      <w:r w:rsidR="000C0D1F" w:rsidRPr="00B81F2B">
        <w:rPr>
          <w:rFonts w:asciiTheme="minorBidi" w:hAnsiTheme="minorBidi"/>
        </w:rPr>
        <w:t xml:space="preserve"> variables, Mann Whitney test otherwise</w:t>
      </w:r>
      <w:r w:rsidR="000C0D1F">
        <w:rPr>
          <w:rFonts w:asciiTheme="minorBidi" w:hAnsiTheme="minorBidi"/>
        </w:rPr>
        <w:t>,</w:t>
      </w:r>
      <w:r w:rsidR="000C0D1F" w:rsidRPr="00B81F2B">
        <w:rPr>
          <w:rFonts w:asciiTheme="minorBidi" w:hAnsiTheme="minorBidi"/>
        </w:rPr>
        <w:t xml:space="preserve"> and chi-square for categorical variables</w:t>
      </w:r>
      <w:r w:rsidR="000C0D1F">
        <w:rPr>
          <w:rFonts w:asciiTheme="minorBidi" w:hAnsiTheme="minorBidi"/>
        </w:rPr>
        <w:t>.</w:t>
      </w:r>
      <w:r w:rsidR="000C0D1F" w:rsidRPr="00B81F2B">
        <w:rPr>
          <w:rFonts w:asciiTheme="minorBidi" w:hAnsiTheme="minorBidi"/>
        </w:rPr>
        <w:t xml:space="preserve"> </w:t>
      </w:r>
      <w:r w:rsidR="00782AD7" w:rsidRPr="00B81F2B">
        <w:rPr>
          <w:rFonts w:asciiTheme="minorBidi" w:hAnsiTheme="minorBidi"/>
        </w:rPr>
        <w:t xml:space="preserve">Pearson and Spearman </w:t>
      </w:r>
      <w:r w:rsidR="005579C0" w:rsidRPr="00B81F2B">
        <w:rPr>
          <w:rFonts w:asciiTheme="minorBidi" w:hAnsiTheme="minorBidi"/>
        </w:rPr>
        <w:t xml:space="preserve">correlation </w:t>
      </w:r>
      <w:r w:rsidR="00782AD7" w:rsidRPr="00B81F2B">
        <w:rPr>
          <w:rFonts w:asciiTheme="minorBidi" w:hAnsiTheme="minorBidi"/>
        </w:rPr>
        <w:t xml:space="preserve">tests were used </w:t>
      </w:r>
      <w:r>
        <w:rPr>
          <w:rFonts w:asciiTheme="minorBidi" w:hAnsiTheme="minorBidi"/>
        </w:rPr>
        <w:t>to</w:t>
      </w:r>
      <w:r w:rsidR="00782AD7" w:rsidRPr="00B81F2B">
        <w:rPr>
          <w:rFonts w:asciiTheme="minorBidi" w:hAnsiTheme="minorBidi"/>
        </w:rPr>
        <w:t xml:space="preserve"> examine </w:t>
      </w:r>
      <w:r w:rsidR="005579C0" w:rsidRPr="00B81F2B">
        <w:rPr>
          <w:rFonts w:asciiTheme="minorBidi" w:hAnsiTheme="minorBidi"/>
        </w:rPr>
        <w:t xml:space="preserve">the relationships </w:t>
      </w:r>
      <w:r w:rsidR="00782AD7" w:rsidRPr="00B81F2B">
        <w:rPr>
          <w:rFonts w:asciiTheme="minorBidi" w:hAnsiTheme="minorBidi"/>
        </w:rPr>
        <w:t>between normal and not normally distributed variables.</w:t>
      </w:r>
      <w:r w:rsidR="00FB3213" w:rsidRPr="00B81F2B">
        <w:rPr>
          <w:rFonts w:asciiTheme="minorBidi" w:hAnsiTheme="minorBidi"/>
        </w:rPr>
        <w:t xml:space="preserve"> </w:t>
      </w:r>
      <w:r w:rsidR="000C0D1F" w:rsidRPr="00B81F2B">
        <w:rPr>
          <w:rFonts w:asciiTheme="minorBidi" w:hAnsiTheme="minorBidi"/>
        </w:rPr>
        <w:t xml:space="preserve">For correlations control, we used a partial correlation rank test. </w:t>
      </w:r>
      <w:r w:rsidR="0045184E">
        <w:rPr>
          <w:rFonts w:asciiTheme="minorBidi" w:eastAsia="Arial" w:hAnsiTheme="minorBidi"/>
          <w:lang w:val="en-US"/>
        </w:rPr>
        <w:t xml:space="preserve">Where appropriate, </w:t>
      </w:r>
      <w:r w:rsidR="0045184E">
        <w:rPr>
          <w:rFonts w:asciiTheme="minorBidi" w:hAnsiTheme="minorBidi"/>
        </w:rPr>
        <w:t>n</w:t>
      </w:r>
      <w:r w:rsidR="0045184E" w:rsidRPr="00B81F2B">
        <w:rPr>
          <w:rFonts w:asciiTheme="minorBidi" w:hAnsiTheme="minorBidi"/>
        </w:rPr>
        <w:t>o</w:t>
      </w:r>
      <w:r w:rsidR="0045184E" w:rsidRPr="00B81F2B">
        <w:rPr>
          <w:rFonts w:asciiTheme="minorBidi" w:hAnsiTheme="minorBidi"/>
          <w:lang w:val="en-US"/>
        </w:rPr>
        <w:t>n-</w:t>
      </w:r>
      <w:r w:rsidR="0045184E" w:rsidRPr="00B81F2B">
        <w:rPr>
          <w:rFonts w:asciiTheme="minorBidi" w:hAnsiTheme="minorBidi"/>
        </w:rPr>
        <w:t xml:space="preserve">normally distributed variables were Ln transformed to achieve normal distribution. </w:t>
      </w:r>
      <w:r w:rsidR="002B7EC6" w:rsidRPr="00B81F2B">
        <w:rPr>
          <w:rFonts w:asciiTheme="minorBidi" w:hAnsiTheme="minorBidi"/>
        </w:rPr>
        <w:t xml:space="preserve">Benjamini-Hochberg correction </w:t>
      </w:r>
      <w:r w:rsidR="00C9020F" w:rsidRPr="00B81F2B">
        <w:rPr>
          <w:rFonts w:asciiTheme="minorBidi" w:hAnsiTheme="minorBidi"/>
        </w:rPr>
        <w:fldChar w:fldCharType="begin" w:fldLock="1"/>
      </w:r>
      <w:r w:rsidR="00BD25E2">
        <w:rPr>
          <w:rFonts w:asciiTheme="minorBidi" w:hAnsiTheme="minorBidi"/>
        </w:rPr>
        <w:instrText>ADDIN CSL_CITATION {"citationItems":[{"id":"ITEM-1","itemData":{"author":[{"dropping-particle":"","family":"Thissen","given":"David","non-dropping-particle":"","parse-names":false,"suffix":""},{"dropping-particle":"","family":"Steinberg","given":"Lynne","non-dropping-particle":"","parse-names":false,"suffix":""},{"dropping-particle":"","family":"Kuang","given":"Daniel","non-dropping-particle":"","parse-names":false,"suffix":""}],"container-title":"Journal of educational and behavioral statistics","id":"ITEM-1","issue":"1","issued":{"date-parts":[["2002"]]},"page":"77-83","title":"Quick and easy implementation of the Benjamini-Hochberg procedure for controlling the false positive rate in multiple comparisons","type":"article-journal","volume":"27"},"uris":["http://www.mendeley.com/documents/?uuid=2b727490-aac2-3c66-8e85-77f9048fba35"]}],"mendeley":{"formattedCitation":"&lt;sup&gt;24&lt;/sup&gt;","plainTextFormattedCitation":"24","previouslyFormattedCitation":"&lt;sup&gt;24&lt;/sup&gt;"},"properties":{"noteIndex":0},"schema":"https://github.com/citation-style-language/schema/raw/master/csl-citation.json"}</w:instrText>
      </w:r>
      <w:r w:rsidR="00C9020F" w:rsidRPr="00B81F2B">
        <w:rPr>
          <w:rFonts w:asciiTheme="minorBidi" w:hAnsiTheme="minorBidi"/>
        </w:rPr>
        <w:fldChar w:fldCharType="separate"/>
      </w:r>
      <w:r w:rsidR="0071027E" w:rsidRPr="0071027E">
        <w:rPr>
          <w:rFonts w:asciiTheme="minorBidi" w:hAnsiTheme="minorBidi"/>
          <w:noProof/>
          <w:vertAlign w:val="superscript"/>
        </w:rPr>
        <w:t>24</w:t>
      </w:r>
      <w:r w:rsidR="00C9020F" w:rsidRPr="00B81F2B">
        <w:rPr>
          <w:rFonts w:asciiTheme="minorBidi" w:hAnsiTheme="minorBidi"/>
        </w:rPr>
        <w:fldChar w:fldCharType="end"/>
      </w:r>
      <w:r w:rsidR="002B7EC6" w:rsidRPr="00B81F2B">
        <w:rPr>
          <w:rFonts w:asciiTheme="minorBidi" w:hAnsiTheme="minorBidi"/>
        </w:rPr>
        <w:t xml:space="preserve"> with a</w:t>
      </w:r>
      <w:r w:rsidR="002B7EC6" w:rsidRPr="00B81F2B">
        <w:rPr>
          <w:rFonts w:asciiTheme="minorBidi" w:hAnsiTheme="minorBidi"/>
          <w:lang w:val="en-US"/>
        </w:rPr>
        <w:t xml:space="preserve"> </w:t>
      </w:r>
      <w:r w:rsidR="004C5EE3" w:rsidRPr="00B81F2B">
        <w:rPr>
          <w:rFonts w:asciiTheme="minorBidi" w:hAnsiTheme="minorBidi"/>
        </w:rPr>
        <w:lastRenderedPageBreak/>
        <w:t>2</w:t>
      </w:r>
      <w:r w:rsidR="002B7EC6" w:rsidRPr="00B81F2B">
        <w:rPr>
          <w:rFonts w:asciiTheme="minorBidi" w:hAnsiTheme="minorBidi"/>
        </w:rPr>
        <w:t>5% false discovery rate was used to control for multiple comparisons (reported as “q</w:t>
      </w:r>
      <w:r w:rsidR="00672A84" w:rsidRPr="00B81F2B">
        <w:rPr>
          <w:rFonts w:asciiTheme="minorBidi" w:hAnsiTheme="minorBidi"/>
        </w:rPr>
        <w:t>”</w:t>
      </w:r>
      <w:r w:rsidR="002B7EC6" w:rsidRPr="00B81F2B">
        <w:rPr>
          <w:rFonts w:asciiTheme="minorBidi" w:hAnsiTheme="minorBidi"/>
        </w:rPr>
        <w:t xml:space="preserve"> value) in the exploratory phase</w:t>
      </w:r>
      <w:r w:rsidR="00006A4B" w:rsidRPr="00B81F2B">
        <w:rPr>
          <w:rFonts w:asciiTheme="minorBidi" w:hAnsiTheme="minorBidi"/>
        </w:rPr>
        <w:t>,</w:t>
      </w:r>
      <w:r w:rsidR="003F46B4" w:rsidRPr="00B81F2B">
        <w:rPr>
          <w:rFonts w:asciiTheme="minorBidi" w:hAnsiTheme="minorBidi"/>
          <w:lang w:val="en-US"/>
        </w:rPr>
        <w:t xml:space="preserve"> </w:t>
      </w:r>
      <w:r w:rsidR="000314BB" w:rsidRPr="00B81F2B">
        <w:rPr>
          <w:rFonts w:asciiTheme="minorBidi" w:hAnsiTheme="minorBidi"/>
          <w:lang w:val="en-US"/>
        </w:rPr>
        <w:t>across all the CpG sites within each of the 41 genes</w:t>
      </w:r>
      <w:r w:rsidR="00006A4B" w:rsidRPr="00B81F2B">
        <w:rPr>
          <w:rFonts w:asciiTheme="minorBidi" w:hAnsiTheme="minorBidi"/>
        </w:rPr>
        <w:t>,</w:t>
      </w:r>
      <w:r w:rsidR="00CE5442" w:rsidRPr="00B81F2B">
        <w:rPr>
          <w:rFonts w:asciiTheme="minorBidi" w:hAnsiTheme="minorBidi"/>
        </w:rPr>
        <w:t xml:space="preserve"> </w:t>
      </w:r>
      <w:r w:rsidR="002B7EC6" w:rsidRPr="00B81F2B">
        <w:rPr>
          <w:rFonts w:asciiTheme="minorBidi" w:hAnsiTheme="minorBidi"/>
        </w:rPr>
        <w:t>to avoid excessively strict filtering</w:t>
      </w:r>
      <w:r w:rsidR="00D86378" w:rsidRPr="00B81F2B">
        <w:rPr>
          <w:rFonts w:asciiTheme="minorBidi" w:hAnsiTheme="minorBidi"/>
        </w:rPr>
        <w:t xml:space="preserve">, as further adjustments </w:t>
      </w:r>
      <w:r w:rsidR="002A2ACE" w:rsidRPr="00B81F2B">
        <w:rPr>
          <w:rFonts w:asciiTheme="minorBidi" w:hAnsiTheme="minorBidi"/>
        </w:rPr>
        <w:t xml:space="preserve">and multivariate models </w:t>
      </w:r>
      <w:r w:rsidR="00D86378" w:rsidRPr="00B81F2B">
        <w:rPr>
          <w:rFonts w:asciiTheme="minorBidi" w:hAnsiTheme="minorBidi"/>
        </w:rPr>
        <w:t xml:space="preserve">were </w:t>
      </w:r>
      <w:r w:rsidR="002A2ACE" w:rsidRPr="00B81F2B">
        <w:rPr>
          <w:rFonts w:asciiTheme="minorBidi" w:hAnsiTheme="minorBidi"/>
        </w:rPr>
        <w:t>introduced</w:t>
      </w:r>
      <w:r w:rsidR="00D86378" w:rsidRPr="00B81F2B">
        <w:rPr>
          <w:rFonts w:asciiTheme="minorBidi" w:hAnsiTheme="minorBidi"/>
        </w:rPr>
        <w:t xml:space="preserve"> in the next stages of the analysis.</w:t>
      </w:r>
      <w:r w:rsidR="000C0D1F" w:rsidRPr="00B81F2B">
        <w:rPr>
          <w:rFonts w:asciiTheme="minorBidi" w:hAnsiTheme="minorBidi"/>
        </w:rPr>
        <w:t xml:space="preserve"> </w:t>
      </w:r>
      <w:r w:rsidR="00870443">
        <w:rPr>
          <w:rFonts w:asciiTheme="minorBidi" w:hAnsiTheme="minorBidi"/>
        </w:rPr>
        <w:t>For NAFLD prediction, t</w:t>
      </w:r>
      <w:r w:rsidR="00870443" w:rsidRPr="0092134F">
        <w:rPr>
          <w:rFonts w:asciiTheme="minorBidi" w:hAnsiTheme="minorBidi"/>
        </w:rPr>
        <w:t xml:space="preserve">he </w:t>
      </w:r>
      <w:r w:rsidR="00870443">
        <w:rPr>
          <w:rFonts w:asciiTheme="minorBidi" w:hAnsiTheme="minorBidi"/>
        </w:rPr>
        <w:t>baseline methylation levels</w:t>
      </w:r>
      <w:r w:rsidR="00870443" w:rsidRPr="0092134F">
        <w:rPr>
          <w:rFonts w:asciiTheme="minorBidi" w:hAnsiTheme="minorBidi"/>
        </w:rPr>
        <w:t xml:space="preserve"> </w:t>
      </w:r>
      <w:r w:rsidR="00870443">
        <w:rPr>
          <w:rFonts w:asciiTheme="minorBidi" w:hAnsiTheme="minorBidi"/>
        </w:rPr>
        <w:t xml:space="preserve">of specific CpGs </w:t>
      </w:r>
      <w:r w:rsidR="00870443" w:rsidRPr="0092134F">
        <w:rPr>
          <w:rFonts w:asciiTheme="minorBidi" w:hAnsiTheme="minorBidi"/>
        </w:rPr>
        <w:t>were examined</w:t>
      </w:r>
      <w:r w:rsidR="00870443">
        <w:rPr>
          <w:rFonts w:asciiTheme="minorBidi" w:hAnsiTheme="minorBidi"/>
        </w:rPr>
        <w:t xml:space="preserve"> </w:t>
      </w:r>
      <w:r w:rsidR="00870443" w:rsidRPr="0092134F">
        <w:rPr>
          <w:rFonts w:asciiTheme="minorBidi" w:hAnsiTheme="minorBidi"/>
        </w:rPr>
        <w:t>in terms of area under the curve (AUC) to determine which</w:t>
      </w:r>
      <w:r w:rsidR="00870443">
        <w:rPr>
          <w:rFonts w:asciiTheme="minorBidi" w:hAnsiTheme="minorBidi"/>
        </w:rPr>
        <w:t xml:space="preserve"> </w:t>
      </w:r>
      <w:r w:rsidR="00870443" w:rsidRPr="0092134F">
        <w:rPr>
          <w:rFonts w:asciiTheme="minorBidi" w:hAnsiTheme="minorBidi"/>
        </w:rPr>
        <w:t>independent variables should be used in the pooled receiver operating</w:t>
      </w:r>
      <w:r w:rsidR="00870443">
        <w:rPr>
          <w:rFonts w:asciiTheme="minorBidi" w:hAnsiTheme="minorBidi"/>
        </w:rPr>
        <w:t xml:space="preserve"> </w:t>
      </w:r>
      <w:r w:rsidR="00870443" w:rsidRPr="0092134F">
        <w:rPr>
          <w:rFonts w:asciiTheme="minorBidi" w:hAnsiTheme="minorBidi"/>
        </w:rPr>
        <w:t>characteristic (ROC) analysis</w:t>
      </w:r>
      <w:r w:rsidR="00870443">
        <w:rPr>
          <w:rFonts w:asciiTheme="minorBidi" w:hAnsiTheme="minorBidi"/>
        </w:rPr>
        <w:t>.</w:t>
      </w:r>
      <w:r w:rsidR="00870443" w:rsidRPr="00B81F2B">
        <w:rPr>
          <w:rFonts w:asciiTheme="minorBidi" w:hAnsiTheme="minorBidi"/>
        </w:rPr>
        <w:t xml:space="preserve"> </w:t>
      </w:r>
      <w:r w:rsidR="0076063D" w:rsidRPr="00B81F2B">
        <w:rPr>
          <w:rFonts w:asciiTheme="minorBidi" w:hAnsiTheme="minorBidi"/>
        </w:rPr>
        <w:t>Differences between groups were tested using</w:t>
      </w:r>
      <w:r w:rsidR="000C0D1F">
        <w:rPr>
          <w:rFonts w:asciiTheme="minorBidi" w:hAnsiTheme="minorBidi"/>
        </w:rPr>
        <w:t xml:space="preserve"> </w:t>
      </w:r>
      <w:r w:rsidR="000C0D1F" w:rsidRPr="00B81F2B">
        <w:rPr>
          <w:rFonts w:asciiTheme="minorBidi" w:hAnsiTheme="minorBidi"/>
        </w:rPr>
        <w:t xml:space="preserve">Generalized </w:t>
      </w:r>
      <w:r w:rsidR="0039634D">
        <w:rPr>
          <w:rFonts w:asciiTheme="minorBidi" w:hAnsiTheme="minorBidi"/>
          <w:lang w:val="en-US"/>
        </w:rPr>
        <w:t>l</w:t>
      </w:r>
      <w:r w:rsidR="000C0D1F" w:rsidRPr="00B81F2B">
        <w:rPr>
          <w:rFonts w:asciiTheme="minorBidi" w:hAnsiTheme="minorBidi"/>
        </w:rPr>
        <w:t xml:space="preserve">inear </w:t>
      </w:r>
      <w:r w:rsidR="0039634D">
        <w:rPr>
          <w:rFonts w:asciiTheme="minorBidi" w:hAnsiTheme="minorBidi"/>
          <w:lang w:val="en-US"/>
        </w:rPr>
        <w:t>m</w:t>
      </w:r>
      <w:r w:rsidR="000C0D1F" w:rsidRPr="00B81F2B">
        <w:rPr>
          <w:rFonts w:asciiTheme="minorBidi" w:hAnsiTheme="minorBidi"/>
        </w:rPr>
        <w:t>odels</w:t>
      </w:r>
      <w:r w:rsidR="000C0D1F">
        <w:rPr>
          <w:rFonts w:asciiTheme="minorBidi" w:hAnsiTheme="minorBidi"/>
        </w:rPr>
        <w:t xml:space="preserve">. </w:t>
      </w:r>
      <w:r w:rsidR="00F26B91" w:rsidRPr="00B81F2B">
        <w:rPr>
          <w:rFonts w:asciiTheme="minorBidi" w:hAnsiTheme="minorBidi"/>
        </w:rPr>
        <w:t xml:space="preserve">Differences from baseline </w:t>
      </w:r>
      <w:r w:rsidR="00DD2BE4" w:rsidRPr="00B81F2B">
        <w:rPr>
          <w:rFonts w:asciiTheme="minorBidi" w:hAnsiTheme="minorBidi"/>
        </w:rPr>
        <w:t xml:space="preserve">were </w:t>
      </w:r>
      <w:r w:rsidR="0092134F" w:rsidRPr="00B81F2B">
        <w:rPr>
          <w:rFonts w:asciiTheme="minorBidi" w:hAnsiTheme="minorBidi"/>
        </w:rPr>
        <w:t>expressed</w:t>
      </w:r>
      <w:r w:rsidR="00F26B91" w:rsidRPr="00B81F2B">
        <w:rPr>
          <w:rFonts w:asciiTheme="minorBidi" w:hAnsiTheme="minorBidi"/>
        </w:rPr>
        <w:t xml:space="preserve"> as absolute values (T18-T0) or as relative change [(T18-T0)/T0*100]</w:t>
      </w:r>
      <w:r w:rsidR="00F50220" w:rsidRPr="00B81F2B">
        <w:rPr>
          <w:rFonts w:asciiTheme="minorBidi" w:hAnsiTheme="minorBidi"/>
        </w:rPr>
        <w:t xml:space="preserve">. </w:t>
      </w:r>
      <w:r w:rsidR="0076063D" w:rsidRPr="00B81F2B">
        <w:rPr>
          <w:rFonts w:asciiTheme="minorBidi" w:hAnsiTheme="minorBidi"/>
        </w:rPr>
        <w:t>Within</w:t>
      </w:r>
      <w:r w:rsidR="004E02AA" w:rsidRPr="00B81F2B">
        <w:rPr>
          <w:rFonts w:asciiTheme="minorBidi" w:hAnsiTheme="minorBidi"/>
        </w:rPr>
        <w:t>-</w:t>
      </w:r>
      <w:r w:rsidR="0076063D" w:rsidRPr="00B81F2B">
        <w:rPr>
          <w:rFonts w:asciiTheme="minorBidi" w:hAnsiTheme="minorBidi"/>
        </w:rPr>
        <w:t xml:space="preserve">group changes were tested using </w:t>
      </w:r>
      <w:r w:rsidR="0019410E" w:rsidRPr="00B81F2B">
        <w:rPr>
          <w:rFonts w:asciiTheme="minorBidi" w:hAnsiTheme="minorBidi"/>
        </w:rPr>
        <w:t>p</w:t>
      </w:r>
      <w:r w:rsidR="0076063D" w:rsidRPr="00B81F2B">
        <w:rPr>
          <w:rFonts w:asciiTheme="minorBidi" w:hAnsiTheme="minorBidi"/>
        </w:rPr>
        <w:t xml:space="preserve">aired samples </w:t>
      </w:r>
      <w:r>
        <w:rPr>
          <w:rFonts w:asciiTheme="minorBidi" w:hAnsiTheme="minorBidi"/>
        </w:rPr>
        <w:t>T-test</w:t>
      </w:r>
      <w:r w:rsidR="0076063D" w:rsidRPr="00B81F2B">
        <w:rPr>
          <w:rFonts w:asciiTheme="minorBidi" w:hAnsiTheme="minorBidi"/>
        </w:rPr>
        <w:t xml:space="preserve">. </w:t>
      </w:r>
      <w:r w:rsidR="00DC65FE" w:rsidRPr="00B81F2B">
        <w:rPr>
          <w:rFonts w:asciiTheme="minorBidi" w:hAnsiTheme="minorBidi"/>
        </w:rPr>
        <w:t>All analyses for the SNPs were performed for 3 modes of inheritance (m = minor allele; M = major allele; additive (mm vs</w:t>
      </w:r>
      <w:r>
        <w:rPr>
          <w:rFonts w:asciiTheme="minorBidi" w:hAnsiTheme="minorBidi"/>
        </w:rPr>
        <w:t>.</w:t>
      </w:r>
      <w:r w:rsidR="00DC65FE" w:rsidRPr="00B81F2B">
        <w:rPr>
          <w:rFonts w:asciiTheme="minorBidi" w:hAnsiTheme="minorBidi"/>
        </w:rPr>
        <w:t xml:space="preserve"> Mm vs</w:t>
      </w:r>
      <w:r w:rsidR="00B96B61" w:rsidRPr="00B81F2B">
        <w:rPr>
          <w:rFonts w:asciiTheme="minorBidi" w:hAnsiTheme="minorBidi"/>
        </w:rPr>
        <w:t>.</w:t>
      </w:r>
      <w:r w:rsidR="00DC65FE" w:rsidRPr="00B81F2B">
        <w:rPr>
          <w:rFonts w:asciiTheme="minorBidi" w:hAnsiTheme="minorBidi"/>
        </w:rPr>
        <w:t xml:space="preserve"> MM), dominant (mm + Mm vs</w:t>
      </w:r>
      <w:r w:rsidR="00B96B61" w:rsidRPr="00B81F2B">
        <w:rPr>
          <w:rFonts w:asciiTheme="minorBidi" w:hAnsiTheme="minorBidi"/>
        </w:rPr>
        <w:t>.</w:t>
      </w:r>
      <w:r w:rsidR="00DC65FE" w:rsidRPr="00B81F2B">
        <w:rPr>
          <w:rFonts w:asciiTheme="minorBidi" w:hAnsiTheme="minorBidi"/>
        </w:rPr>
        <w:t xml:space="preserve"> MM)</w:t>
      </w:r>
      <w:r>
        <w:rPr>
          <w:rFonts w:asciiTheme="minorBidi" w:hAnsiTheme="minorBidi"/>
        </w:rPr>
        <w:t>,</w:t>
      </w:r>
      <w:r w:rsidR="00DC65FE" w:rsidRPr="00B81F2B">
        <w:rPr>
          <w:rFonts w:asciiTheme="minorBidi" w:hAnsiTheme="minorBidi"/>
        </w:rPr>
        <w:t xml:space="preserve"> and recessive (mm vs</w:t>
      </w:r>
      <w:r w:rsidR="00B96B61" w:rsidRPr="00B81F2B">
        <w:rPr>
          <w:rFonts w:asciiTheme="minorBidi" w:hAnsiTheme="minorBidi"/>
        </w:rPr>
        <w:t>.</w:t>
      </w:r>
      <w:r w:rsidR="00DC65FE" w:rsidRPr="00B81F2B">
        <w:rPr>
          <w:rFonts w:asciiTheme="minorBidi" w:hAnsiTheme="minorBidi"/>
        </w:rPr>
        <w:t xml:space="preserve"> Mm + MM)). </w:t>
      </w:r>
      <w:r w:rsidR="00E85EDF" w:rsidRPr="00B81F2B">
        <w:rPr>
          <w:rFonts w:asciiTheme="minorBidi" w:hAnsiTheme="minorBidi"/>
        </w:rPr>
        <w:t>All statistical analyses were performed using IBM SPSS Statistics Version 2</w:t>
      </w:r>
      <w:r w:rsidR="00876A9D">
        <w:rPr>
          <w:rFonts w:asciiTheme="minorBidi" w:hAnsiTheme="minorBidi"/>
        </w:rPr>
        <w:t>7</w:t>
      </w:r>
      <w:r w:rsidR="00E85EDF" w:rsidRPr="00B81F2B">
        <w:rPr>
          <w:rFonts w:asciiTheme="minorBidi" w:hAnsiTheme="minorBidi"/>
        </w:rPr>
        <w:t xml:space="preserve"> </w:t>
      </w:r>
      <w:r w:rsidR="00DC65FE" w:rsidRPr="00B81F2B">
        <w:rPr>
          <w:rFonts w:asciiTheme="minorBidi" w:hAnsiTheme="minorBidi"/>
        </w:rPr>
        <w:t>(IBM, Armonk, NY)</w:t>
      </w:r>
      <w:r w:rsidR="0043440F" w:rsidRPr="00B81F2B">
        <w:rPr>
          <w:rFonts w:asciiTheme="minorBidi" w:hAnsiTheme="minorBidi"/>
        </w:rPr>
        <w:t xml:space="preserve">. </w:t>
      </w:r>
      <w:r w:rsidR="00E85EDF" w:rsidRPr="00B81F2B">
        <w:rPr>
          <w:rFonts w:asciiTheme="minorBidi" w:hAnsiTheme="minorBidi"/>
        </w:rPr>
        <w:t xml:space="preserve">Significance was defined as </w:t>
      </w:r>
      <w:r>
        <w:rPr>
          <w:rFonts w:asciiTheme="minorBidi" w:hAnsiTheme="minorBidi"/>
        </w:rPr>
        <w:t xml:space="preserve">a </w:t>
      </w:r>
      <w:r w:rsidR="00E85EDF" w:rsidRPr="00B81F2B">
        <w:rPr>
          <w:rFonts w:asciiTheme="minorBidi" w:hAnsiTheme="minorBidi"/>
        </w:rPr>
        <w:t>two-sided P-value of p&lt;0.05.</w:t>
      </w:r>
      <w:r w:rsidR="0043440F" w:rsidRPr="00B81F2B">
        <w:rPr>
          <w:rFonts w:asciiTheme="minorBidi" w:hAnsiTheme="minorBidi"/>
        </w:rPr>
        <w:t xml:space="preserve"> </w:t>
      </w:r>
      <w:r w:rsidR="004E02AA" w:rsidRPr="00B81F2B">
        <w:rPr>
          <w:rFonts w:asciiTheme="minorBidi" w:hAnsiTheme="minorBidi"/>
          <w:lang w:val="en-US"/>
        </w:rPr>
        <w:t>The s</w:t>
      </w:r>
      <w:r w:rsidR="00781E4E" w:rsidRPr="00B81F2B">
        <w:rPr>
          <w:rFonts w:asciiTheme="minorBidi" w:hAnsiTheme="minorBidi"/>
          <w:lang w:val="en-US"/>
        </w:rPr>
        <w:t xml:space="preserve">ample size calculation is presented in </w:t>
      </w:r>
      <w:r w:rsidR="00781E4E" w:rsidRPr="00B81F2B">
        <w:rPr>
          <w:rFonts w:asciiTheme="minorBidi" w:hAnsiTheme="minorBidi"/>
          <w:b/>
          <w:bCs/>
          <w:lang w:val="en-US"/>
        </w:rPr>
        <w:t xml:space="preserve">Supplementary </w:t>
      </w:r>
      <w:r w:rsidR="00BF2998">
        <w:rPr>
          <w:rFonts w:asciiTheme="minorBidi" w:hAnsiTheme="minorBidi"/>
          <w:b/>
          <w:bCs/>
          <w:lang w:val="en-US"/>
        </w:rPr>
        <w:t>Information</w:t>
      </w:r>
      <w:r w:rsidR="00781E4E" w:rsidRPr="00B81F2B">
        <w:rPr>
          <w:rFonts w:asciiTheme="minorBidi" w:hAnsiTheme="minorBidi"/>
          <w:b/>
          <w:bCs/>
          <w:lang w:val="en-US"/>
        </w:rPr>
        <w:t xml:space="preserve"> </w:t>
      </w:r>
      <w:r w:rsidR="00DC5FC4" w:rsidRPr="00B81F2B">
        <w:rPr>
          <w:rFonts w:asciiTheme="minorBidi" w:hAnsiTheme="minorBidi"/>
          <w:b/>
          <w:bCs/>
          <w:lang w:val="en-US"/>
        </w:rPr>
        <w:t>4</w:t>
      </w:r>
      <w:r w:rsidR="00781E4E" w:rsidRPr="00B81F2B">
        <w:rPr>
          <w:rFonts w:asciiTheme="minorBidi" w:hAnsiTheme="minorBidi"/>
          <w:lang w:val="en-US"/>
        </w:rPr>
        <w:t xml:space="preserve">. </w:t>
      </w:r>
    </w:p>
    <w:p w14:paraId="0D662065" w14:textId="1D976C7B" w:rsidR="00902AAA" w:rsidRDefault="00902AAA" w:rsidP="008B7584">
      <w:pPr>
        <w:spacing w:line="480" w:lineRule="auto"/>
        <w:rPr>
          <w:rFonts w:asciiTheme="minorBidi" w:hAnsiTheme="minorBidi"/>
          <w:b/>
          <w:bCs/>
          <w:u w:val="single"/>
        </w:rPr>
      </w:pPr>
      <w:r w:rsidRPr="00B81F2B">
        <w:rPr>
          <w:rFonts w:asciiTheme="minorBidi" w:hAnsiTheme="minorBidi"/>
          <w:b/>
          <w:bCs/>
          <w:u w:val="single"/>
        </w:rPr>
        <w:t>Results</w:t>
      </w:r>
    </w:p>
    <w:p w14:paraId="55296008" w14:textId="770C0C30" w:rsidR="000D191D" w:rsidRPr="000D191D" w:rsidRDefault="000D191D" w:rsidP="008B7584">
      <w:pPr>
        <w:spacing w:line="480" w:lineRule="auto"/>
        <w:rPr>
          <w:rFonts w:asciiTheme="minorBidi" w:hAnsiTheme="minorBidi"/>
          <w:i/>
          <w:iCs/>
          <w:lang w:val="en-US"/>
        </w:rPr>
      </w:pPr>
      <w:r w:rsidRPr="000D191D">
        <w:rPr>
          <w:rFonts w:asciiTheme="minorBidi" w:hAnsiTheme="minorBidi"/>
          <w:i/>
          <w:iCs/>
          <w:lang w:val="en-US"/>
        </w:rPr>
        <w:t>Cross-sectional analyses at baseline</w:t>
      </w:r>
    </w:p>
    <w:p w14:paraId="63B43F68" w14:textId="77777777" w:rsidR="00324558" w:rsidRPr="00B81F2B" w:rsidRDefault="002923A4" w:rsidP="008B7584">
      <w:pPr>
        <w:spacing w:line="480" w:lineRule="auto"/>
        <w:rPr>
          <w:rFonts w:asciiTheme="minorBidi" w:hAnsiTheme="minorBidi"/>
          <w:u w:val="single"/>
          <w:lang w:val="en-US"/>
        </w:rPr>
      </w:pPr>
      <w:r w:rsidRPr="00B81F2B">
        <w:rPr>
          <w:rFonts w:asciiTheme="minorBidi" w:hAnsiTheme="minorBidi"/>
          <w:u w:val="single"/>
          <w:lang w:val="en-US"/>
        </w:rPr>
        <w:t>C</w:t>
      </w:r>
      <w:r w:rsidR="00FE6166" w:rsidRPr="00B81F2B">
        <w:rPr>
          <w:rFonts w:asciiTheme="minorBidi" w:hAnsiTheme="minorBidi"/>
          <w:u w:val="single"/>
          <w:lang w:val="en-US"/>
        </w:rPr>
        <w:t>haracteristics</w:t>
      </w:r>
    </w:p>
    <w:p w14:paraId="19EC8B53" w14:textId="55270374" w:rsidR="00B61610" w:rsidRDefault="00B61610" w:rsidP="008B7584">
      <w:pPr>
        <w:spacing w:line="480" w:lineRule="auto"/>
        <w:rPr>
          <w:rFonts w:asciiTheme="minorBidi" w:hAnsiTheme="minorBidi"/>
          <w:lang w:val="en-US"/>
        </w:rPr>
      </w:pPr>
      <w:r w:rsidRPr="00B61610">
        <w:rPr>
          <w:rFonts w:asciiTheme="minorBidi" w:hAnsiTheme="minorBidi"/>
          <w:lang w:val="en-US"/>
        </w:rPr>
        <w:t xml:space="preserve">119 participants had a valid MRI scan. Mean (± SD) WC was 107.2±7.1 cm for men and 101.8±15.0 cm for women. Mean </w:t>
      </w:r>
      <w:r w:rsidR="00E16EB3">
        <w:rPr>
          <w:rFonts w:asciiTheme="minorBidi" w:hAnsiTheme="minorBidi"/>
          <w:lang w:val="en-US"/>
        </w:rPr>
        <w:t>High-density lipoprotein cholesterol (</w:t>
      </w:r>
      <w:r w:rsidRPr="00B61610">
        <w:rPr>
          <w:rFonts w:asciiTheme="minorBidi" w:hAnsiTheme="minorBidi"/>
          <w:lang w:val="en-US"/>
        </w:rPr>
        <w:t>HDL</w:t>
      </w:r>
      <w:r w:rsidR="00E16EB3">
        <w:rPr>
          <w:rFonts w:asciiTheme="minorBidi" w:hAnsiTheme="minorBidi"/>
          <w:lang w:val="en-US"/>
        </w:rPr>
        <w:t>)</w:t>
      </w:r>
      <w:r w:rsidRPr="00B61610">
        <w:rPr>
          <w:rFonts w:asciiTheme="minorBidi" w:hAnsiTheme="minorBidi"/>
          <w:lang w:val="en-US"/>
        </w:rPr>
        <w:t xml:space="preserve"> was 41.8±9.1 mg/dL and 53.9±12.4 mg/dL for men and women, respectively. None of the participants reported alcohol abuse, with a mean alcohol intake of 0.25±0.3 servings/day for men and 0.03±0.07 servings/day for women. </w:t>
      </w:r>
      <w:r w:rsidR="002A1BC1">
        <w:rPr>
          <w:rFonts w:asciiTheme="minorBidi" w:hAnsiTheme="minorBidi"/>
          <w:lang w:val="en-US"/>
        </w:rPr>
        <w:t>According</w:t>
      </w:r>
      <w:r w:rsidR="002A1BC1" w:rsidRPr="00B61610">
        <w:rPr>
          <w:rFonts w:asciiTheme="minorBidi" w:hAnsiTheme="minorBidi"/>
          <w:lang w:val="en-US"/>
        </w:rPr>
        <w:t xml:space="preserve"> to diet groups</w:t>
      </w:r>
      <w:r w:rsidR="002A1BC1">
        <w:rPr>
          <w:rFonts w:asciiTheme="minorBidi" w:hAnsiTheme="minorBidi"/>
          <w:lang w:val="en-US"/>
        </w:rPr>
        <w:t>,</w:t>
      </w:r>
      <w:r w:rsidR="002A1BC1" w:rsidRPr="00B61610">
        <w:rPr>
          <w:rFonts w:asciiTheme="minorBidi" w:hAnsiTheme="minorBidi"/>
          <w:lang w:val="en-US"/>
        </w:rPr>
        <w:t xml:space="preserve"> </w:t>
      </w:r>
      <w:r w:rsidR="002A1BC1">
        <w:rPr>
          <w:rFonts w:asciiTheme="minorBidi" w:hAnsiTheme="minorBidi"/>
          <w:lang w:val="en-US"/>
        </w:rPr>
        <w:t xml:space="preserve">the characteristics of participants </w:t>
      </w:r>
      <w:r w:rsidR="002A1BC1" w:rsidRPr="00B61610">
        <w:rPr>
          <w:rFonts w:asciiTheme="minorBidi" w:hAnsiTheme="minorBidi"/>
          <w:lang w:val="en-US"/>
        </w:rPr>
        <w:t xml:space="preserve">are presented in </w:t>
      </w:r>
      <w:r w:rsidR="002A1BC1" w:rsidRPr="00B61610">
        <w:rPr>
          <w:rFonts w:asciiTheme="minorBidi" w:hAnsiTheme="minorBidi"/>
          <w:b/>
          <w:bCs/>
          <w:lang w:val="en-US"/>
        </w:rPr>
        <w:t>Table 1</w:t>
      </w:r>
      <w:r w:rsidR="002A1BC1" w:rsidRPr="00B61610">
        <w:rPr>
          <w:rFonts w:asciiTheme="minorBidi" w:hAnsiTheme="minorBidi"/>
          <w:lang w:val="en-US"/>
        </w:rPr>
        <w:t>.</w:t>
      </w:r>
    </w:p>
    <w:p w14:paraId="47C17F7B" w14:textId="123A09ED" w:rsidR="00C95847" w:rsidRPr="00B81F2B" w:rsidRDefault="00341A68" w:rsidP="00B34770">
      <w:pPr>
        <w:spacing w:line="480" w:lineRule="auto"/>
        <w:rPr>
          <w:rFonts w:asciiTheme="minorBidi" w:hAnsiTheme="minorBidi"/>
          <w:u w:val="single"/>
        </w:rPr>
      </w:pPr>
      <w:r w:rsidRPr="00B81F2B">
        <w:rPr>
          <w:rFonts w:asciiTheme="minorBidi" w:hAnsiTheme="minorBidi"/>
          <w:u w:val="single"/>
        </w:rPr>
        <w:lastRenderedPageBreak/>
        <w:t xml:space="preserve">Baseline </w:t>
      </w:r>
      <w:r w:rsidR="00672A0C" w:rsidRPr="00B81F2B">
        <w:rPr>
          <w:rFonts w:asciiTheme="minorBidi" w:hAnsiTheme="minorBidi"/>
          <w:u w:val="single"/>
        </w:rPr>
        <w:t>c</w:t>
      </w:r>
      <w:r w:rsidR="007A11B8" w:rsidRPr="00B81F2B">
        <w:rPr>
          <w:rFonts w:asciiTheme="minorBidi" w:hAnsiTheme="minorBidi"/>
          <w:u w:val="single"/>
        </w:rPr>
        <w:t>orrelations</w:t>
      </w:r>
      <w:r w:rsidR="008922D8" w:rsidRPr="00B81F2B">
        <w:rPr>
          <w:rFonts w:asciiTheme="minorBidi" w:hAnsiTheme="minorBidi"/>
          <w:u w:val="single"/>
        </w:rPr>
        <w:t xml:space="preserve"> </w:t>
      </w:r>
      <w:r w:rsidR="00875F32" w:rsidRPr="00B81F2B">
        <w:rPr>
          <w:rFonts w:asciiTheme="minorBidi" w:hAnsiTheme="minorBidi"/>
          <w:u w:val="single"/>
        </w:rPr>
        <w:t xml:space="preserve">between </w:t>
      </w:r>
      <w:r w:rsidR="00F63A52" w:rsidRPr="00B81F2B">
        <w:rPr>
          <w:rFonts w:asciiTheme="minorBidi" w:hAnsiTheme="minorBidi"/>
          <w:u w:val="single"/>
          <w:lang w:val="en-US"/>
        </w:rPr>
        <w:t xml:space="preserve">methylation levels, </w:t>
      </w:r>
      <w:r w:rsidR="00BD20D3" w:rsidRPr="00B81F2B">
        <w:rPr>
          <w:rFonts w:asciiTheme="minorBidi" w:hAnsiTheme="minorBidi"/>
          <w:u w:val="single"/>
        </w:rPr>
        <w:t>intrahepatic fat</w:t>
      </w:r>
      <w:r w:rsidR="00E2109E">
        <w:rPr>
          <w:rFonts w:asciiTheme="minorBidi" w:hAnsiTheme="minorBidi"/>
          <w:u w:val="single"/>
        </w:rPr>
        <w:t>,</w:t>
      </w:r>
      <w:r w:rsidR="00F63A52" w:rsidRPr="00B81F2B">
        <w:rPr>
          <w:rFonts w:asciiTheme="minorBidi" w:hAnsiTheme="minorBidi"/>
          <w:u w:val="single"/>
        </w:rPr>
        <w:t xml:space="preserve"> and </w:t>
      </w:r>
      <w:r w:rsidR="004A2310" w:rsidRPr="00B81F2B">
        <w:rPr>
          <w:rFonts w:asciiTheme="minorBidi" w:hAnsiTheme="minorBidi"/>
          <w:u w:val="single"/>
        </w:rPr>
        <w:t>blood biomarkers</w:t>
      </w:r>
    </w:p>
    <w:p w14:paraId="26532049" w14:textId="1EB8A4DA" w:rsidR="00C67A7B" w:rsidRDefault="007E4E7A" w:rsidP="003F4436">
      <w:pPr>
        <w:spacing w:line="480" w:lineRule="auto"/>
        <w:rPr>
          <w:rFonts w:asciiTheme="minorBidi" w:hAnsiTheme="minorBidi"/>
        </w:rPr>
      </w:pPr>
      <w:r w:rsidRPr="00B81F2B">
        <w:rPr>
          <w:rFonts w:asciiTheme="minorBidi" w:hAnsiTheme="minorBidi"/>
          <w:lang w:val="en-US"/>
        </w:rPr>
        <w:t xml:space="preserve">At baseline, </w:t>
      </w:r>
      <w:r w:rsidR="00AD1812">
        <w:rPr>
          <w:rFonts w:asciiTheme="minorBidi" w:hAnsiTheme="minorBidi"/>
          <w:lang w:val="en-US"/>
        </w:rPr>
        <w:t xml:space="preserve">out </w:t>
      </w:r>
      <w:r w:rsidR="00526E3D">
        <w:rPr>
          <w:rFonts w:asciiTheme="minorBidi" w:hAnsiTheme="minorBidi"/>
          <w:lang w:val="en-US"/>
        </w:rPr>
        <w:t xml:space="preserve">of </w:t>
      </w:r>
      <w:r w:rsidR="00AD1812">
        <w:rPr>
          <w:rFonts w:asciiTheme="minorBidi" w:hAnsiTheme="minorBidi"/>
          <w:lang w:val="en-US"/>
        </w:rPr>
        <w:t xml:space="preserve">2095 </w:t>
      </w:r>
      <w:proofErr w:type="spellStart"/>
      <w:r w:rsidR="00AD1812">
        <w:rPr>
          <w:rFonts w:asciiTheme="minorBidi" w:hAnsiTheme="minorBidi"/>
          <w:lang w:val="en-US"/>
        </w:rPr>
        <w:t>CpGs</w:t>
      </w:r>
      <w:proofErr w:type="spellEnd"/>
      <w:r w:rsidR="00AD1812">
        <w:rPr>
          <w:rFonts w:asciiTheme="minorBidi" w:hAnsiTheme="minorBidi"/>
          <w:lang w:val="en-US"/>
        </w:rPr>
        <w:t xml:space="preserve"> examined, </w:t>
      </w:r>
      <w:r w:rsidRPr="00B81F2B">
        <w:rPr>
          <w:rFonts w:asciiTheme="minorBidi" w:hAnsiTheme="minorBidi"/>
          <w:lang w:val="en-US"/>
        </w:rPr>
        <w:t xml:space="preserve">IHF% was significantly correlated with </w:t>
      </w:r>
      <w:r w:rsidR="00AD1812">
        <w:rPr>
          <w:rFonts w:asciiTheme="minorBidi" w:hAnsiTheme="minorBidi"/>
          <w:lang w:val="en-US"/>
        </w:rPr>
        <w:t xml:space="preserve">10 </w:t>
      </w:r>
      <w:proofErr w:type="spellStart"/>
      <w:r w:rsidR="00AD1812">
        <w:rPr>
          <w:rFonts w:asciiTheme="minorBidi" w:hAnsiTheme="minorBidi"/>
          <w:lang w:val="en-US"/>
        </w:rPr>
        <w:t>CpGs</w:t>
      </w:r>
      <w:proofErr w:type="spellEnd"/>
      <w:r w:rsidR="00AD1812">
        <w:rPr>
          <w:rFonts w:asciiTheme="minorBidi" w:hAnsiTheme="minorBidi"/>
          <w:lang w:val="en-US"/>
        </w:rPr>
        <w:t xml:space="preserve"> annotating to 6 genes </w:t>
      </w:r>
      <w:r w:rsidR="0098653A" w:rsidRPr="00B81F2B">
        <w:rPr>
          <w:rFonts w:asciiTheme="minorBidi" w:hAnsiTheme="minorBidi"/>
          <w:lang w:val="en-US"/>
        </w:rPr>
        <w:t>(</w:t>
      </w:r>
      <w:r w:rsidR="000906B0" w:rsidRPr="000906B0">
        <w:rPr>
          <w:rFonts w:asciiTheme="minorBidi" w:hAnsiTheme="minorBidi"/>
          <w:lang w:val="en-US"/>
        </w:rPr>
        <w:t>q&lt;0.05</w:t>
      </w:r>
      <w:r w:rsidR="0098653A" w:rsidRPr="00B81F2B">
        <w:rPr>
          <w:rFonts w:asciiTheme="minorBidi" w:hAnsiTheme="minorBidi"/>
          <w:lang w:val="en-US"/>
        </w:rPr>
        <w:t>).</w:t>
      </w:r>
      <w:r w:rsidR="000B2763" w:rsidRPr="00B81F2B">
        <w:rPr>
          <w:rFonts w:asciiTheme="minorBidi" w:hAnsiTheme="minorBidi"/>
          <w:b/>
          <w:bCs/>
          <w:lang w:val="en-US"/>
        </w:rPr>
        <w:t xml:space="preserve"> </w:t>
      </w:r>
      <w:r w:rsidR="00490BDE">
        <w:rPr>
          <w:rFonts w:asciiTheme="minorBidi" w:hAnsiTheme="minorBidi"/>
          <w:lang w:val="en-US"/>
        </w:rPr>
        <w:t xml:space="preserve">Of note, no correlation was observed between MRI measured IHF% and </w:t>
      </w:r>
      <w:r w:rsidR="00490BDE" w:rsidRPr="00490BDE">
        <w:rPr>
          <w:rFonts w:asciiTheme="minorBidi" w:hAnsiTheme="minorBidi"/>
          <w:i/>
          <w:iCs/>
          <w:lang w:val="en-US"/>
        </w:rPr>
        <w:t>PNPLA3</w:t>
      </w:r>
      <w:r w:rsidR="00490BDE">
        <w:rPr>
          <w:rFonts w:asciiTheme="minorBidi" w:hAnsiTheme="minorBidi"/>
          <w:lang w:val="en-US"/>
        </w:rPr>
        <w:t xml:space="preserve"> methylation. </w:t>
      </w:r>
      <w:r w:rsidRPr="00B81F2B">
        <w:rPr>
          <w:rFonts w:asciiTheme="minorBidi" w:hAnsiTheme="minorBidi"/>
          <w:lang w:val="en-US"/>
        </w:rPr>
        <w:t xml:space="preserve">Correlations remained significant for </w:t>
      </w:r>
      <w:r w:rsidR="00DE26A9" w:rsidRPr="00B81F2B">
        <w:rPr>
          <w:rFonts w:asciiTheme="minorBidi" w:hAnsiTheme="minorBidi"/>
          <w:lang w:val="en-US"/>
        </w:rPr>
        <w:t>5</w:t>
      </w:r>
      <w:r w:rsidRPr="00B81F2B">
        <w:rPr>
          <w:rFonts w:asciiTheme="minorBidi" w:hAnsiTheme="minorBidi"/>
          <w:lang w:val="en-US"/>
        </w:rPr>
        <w:t xml:space="preserve"> CpG sites in </w:t>
      </w:r>
      <w:r w:rsidR="00DE26A9" w:rsidRPr="00B81F2B">
        <w:rPr>
          <w:rFonts w:asciiTheme="minorBidi" w:hAnsiTheme="minorBidi"/>
          <w:lang w:val="en-US"/>
        </w:rPr>
        <w:t>4</w:t>
      </w:r>
      <w:r w:rsidRPr="00B81F2B">
        <w:rPr>
          <w:rFonts w:asciiTheme="minorBidi" w:hAnsiTheme="minorBidi"/>
          <w:lang w:val="en-US"/>
        </w:rPr>
        <w:t xml:space="preserve"> genes: </w:t>
      </w:r>
      <w:r w:rsidRPr="00B81F2B">
        <w:rPr>
          <w:rFonts w:asciiTheme="minorBidi" w:hAnsiTheme="minorBidi"/>
          <w:i/>
          <w:iCs/>
          <w:lang w:val="en-US"/>
        </w:rPr>
        <w:t>AC074286.1,</w:t>
      </w:r>
      <w:r w:rsidR="00DE26A9" w:rsidRPr="00B81F2B">
        <w:rPr>
          <w:rFonts w:asciiTheme="minorBidi" w:hAnsiTheme="minorBidi"/>
          <w:i/>
          <w:iCs/>
          <w:lang w:val="en-US"/>
        </w:rPr>
        <w:t xml:space="preserve"> </w:t>
      </w:r>
      <w:r w:rsidRPr="00B81F2B">
        <w:rPr>
          <w:rFonts w:asciiTheme="minorBidi" w:hAnsiTheme="minorBidi"/>
          <w:i/>
          <w:iCs/>
          <w:lang w:val="en-US"/>
        </w:rPr>
        <w:t>Calcium Release Activated Channel Regulator 2A</w:t>
      </w:r>
      <w:r w:rsidRPr="00B81F2B">
        <w:rPr>
          <w:rFonts w:asciiTheme="minorBidi" w:hAnsiTheme="minorBidi"/>
          <w:lang w:val="en-US"/>
        </w:rPr>
        <w:t xml:space="preserve"> (</w:t>
      </w:r>
      <w:r w:rsidRPr="00B81F2B">
        <w:rPr>
          <w:rFonts w:asciiTheme="minorBidi" w:hAnsiTheme="minorBidi"/>
          <w:i/>
          <w:iCs/>
          <w:lang w:val="en-US"/>
        </w:rPr>
        <w:t>CRACR2A</w:t>
      </w:r>
      <w:r w:rsidRPr="00B81F2B">
        <w:rPr>
          <w:rFonts w:asciiTheme="minorBidi" w:hAnsiTheme="minorBidi"/>
          <w:lang w:val="en-US"/>
        </w:rPr>
        <w:t>)</w:t>
      </w:r>
      <w:r w:rsidR="0012338F">
        <w:rPr>
          <w:rFonts w:asciiTheme="minorBidi" w:hAnsiTheme="minorBidi"/>
          <w:lang w:val="en-US"/>
        </w:rPr>
        <w:t xml:space="preserve">, </w:t>
      </w:r>
      <w:r w:rsidR="00C66A36" w:rsidRPr="00C66A36">
        <w:rPr>
          <w:rFonts w:asciiTheme="minorBidi" w:hAnsiTheme="minorBidi"/>
          <w:i/>
          <w:iCs/>
        </w:rPr>
        <w:t>Alpha-2-Macroglobulin Pseudogene 1</w:t>
      </w:r>
      <w:r w:rsidR="00C66A36">
        <w:rPr>
          <w:rFonts w:asciiTheme="minorBidi" w:hAnsiTheme="minorBidi"/>
        </w:rPr>
        <w:t xml:space="preserve"> (</w:t>
      </w:r>
      <w:r w:rsidRPr="00B81F2B">
        <w:rPr>
          <w:rFonts w:asciiTheme="minorBidi" w:hAnsiTheme="minorBidi"/>
          <w:i/>
          <w:iCs/>
          <w:lang w:val="en-US"/>
        </w:rPr>
        <w:t>A2MP1</w:t>
      </w:r>
      <w:r w:rsidR="00C66A36">
        <w:rPr>
          <w:rFonts w:asciiTheme="minorBidi" w:hAnsiTheme="minorBidi"/>
          <w:i/>
          <w:iCs/>
          <w:lang w:val="en-US"/>
        </w:rPr>
        <w:t>)</w:t>
      </w:r>
      <w:r w:rsidRPr="00B81F2B">
        <w:rPr>
          <w:rFonts w:asciiTheme="minorBidi" w:hAnsiTheme="minorBidi"/>
          <w:i/>
          <w:iCs/>
          <w:lang w:val="en-US"/>
        </w:rPr>
        <w:t>, ARH/</w:t>
      </w:r>
      <w:proofErr w:type="spellStart"/>
      <w:r w:rsidRPr="00B81F2B">
        <w:rPr>
          <w:rFonts w:asciiTheme="minorBidi" w:hAnsiTheme="minorBidi"/>
          <w:i/>
          <w:iCs/>
          <w:lang w:val="en-US"/>
        </w:rPr>
        <w:t>RhoGEF</w:t>
      </w:r>
      <w:proofErr w:type="spellEnd"/>
      <w:r w:rsidRPr="00B81F2B">
        <w:rPr>
          <w:rFonts w:asciiTheme="minorBidi" w:hAnsiTheme="minorBidi"/>
          <w:i/>
          <w:iCs/>
          <w:lang w:val="en-US"/>
        </w:rPr>
        <w:t xml:space="preserve"> And </w:t>
      </w:r>
      <w:proofErr w:type="spellStart"/>
      <w:r w:rsidRPr="00B81F2B">
        <w:rPr>
          <w:rFonts w:asciiTheme="minorBidi" w:hAnsiTheme="minorBidi"/>
          <w:i/>
          <w:iCs/>
          <w:lang w:val="en-US"/>
        </w:rPr>
        <w:t>Pleckstrin</w:t>
      </w:r>
      <w:proofErr w:type="spellEnd"/>
      <w:r w:rsidRPr="00B81F2B">
        <w:rPr>
          <w:rFonts w:asciiTheme="minorBidi" w:hAnsiTheme="minorBidi"/>
          <w:i/>
          <w:iCs/>
          <w:lang w:val="en-US"/>
        </w:rPr>
        <w:t xml:space="preserve"> Domain Protein 1</w:t>
      </w:r>
      <w:r w:rsidRPr="00B81F2B">
        <w:rPr>
          <w:rFonts w:asciiTheme="minorBidi" w:hAnsiTheme="minorBidi"/>
          <w:lang w:val="en-US"/>
        </w:rPr>
        <w:t xml:space="preserve"> (</w:t>
      </w:r>
      <w:r w:rsidRPr="00B81F2B">
        <w:rPr>
          <w:rFonts w:asciiTheme="minorBidi" w:hAnsiTheme="minorBidi"/>
          <w:i/>
          <w:iCs/>
          <w:lang w:val="en-US"/>
        </w:rPr>
        <w:t>FARP1</w:t>
      </w:r>
      <w:r w:rsidRPr="00B81F2B">
        <w:rPr>
          <w:rFonts w:asciiTheme="minorBidi" w:hAnsiTheme="minorBidi"/>
          <w:lang w:val="en-US"/>
        </w:rPr>
        <w:t>) after adjusting for age, sex</w:t>
      </w:r>
      <w:r w:rsidR="00E2109E">
        <w:rPr>
          <w:rFonts w:asciiTheme="minorBidi" w:hAnsiTheme="minorBidi"/>
          <w:lang w:val="en-US"/>
        </w:rPr>
        <w:t>,</w:t>
      </w:r>
      <w:r w:rsidRPr="00B81F2B">
        <w:rPr>
          <w:rFonts w:asciiTheme="minorBidi" w:hAnsiTheme="minorBidi"/>
          <w:lang w:val="en-US"/>
        </w:rPr>
        <w:t xml:space="preserve"> and either baseline </w:t>
      </w:r>
      <w:r w:rsidR="004D06CB" w:rsidRPr="00B81F2B">
        <w:rPr>
          <w:rFonts w:asciiTheme="minorBidi" w:hAnsiTheme="minorBidi"/>
          <w:lang w:val="en-US"/>
        </w:rPr>
        <w:t>body mass index (BMI)</w:t>
      </w:r>
      <w:r w:rsidRPr="00B81F2B">
        <w:rPr>
          <w:rFonts w:asciiTheme="minorBidi" w:hAnsiTheme="minorBidi"/>
          <w:lang w:val="en-US"/>
        </w:rPr>
        <w:t>, WC or visceral adipose tissue (VAT)</w:t>
      </w:r>
      <w:r w:rsidR="00BC06C9" w:rsidRPr="00B81F2B">
        <w:rPr>
          <w:rFonts w:asciiTheme="minorBidi" w:hAnsiTheme="minorBidi"/>
          <w:lang w:val="en-US"/>
        </w:rPr>
        <w:t xml:space="preserve"> </w:t>
      </w:r>
      <w:r w:rsidR="007A5DCD" w:rsidRPr="00B81F2B">
        <w:rPr>
          <w:rFonts w:asciiTheme="minorBidi" w:hAnsiTheme="minorBidi"/>
        </w:rPr>
        <w:t>(</w:t>
      </w:r>
      <w:r w:rsidR="00BC06C9" w:rsidRPr="00B81F2B">
        <w:rPr>
          <w:rFonts w:asciiTheme="minorBidi" w:hAnsiTheme="minorBidi"/>
        </w:rPr>
        <w:t>p&lt;0.05</w:t>
      </w:r>
      <w:r w:rsidR="00FD5769" w:rsidRPr="00B81F2B">
        <w:rPr>
          <w:rFonts w:asciiTheme="minorBidi" w:hAnsiTheme="minorBidi"/>
        </w:rPr>
        <w:t xml:space="preserve"> for all</w:t>
      </w:r>
      <w:r w:rsidR="00792567" w:rsidRPr="00033F2E">
        <w:rPr>
          <w:rFonts w:asciiTheme="minorBidi" w:hAnsiTheme="minorBidi"/>
        </w:rPr>
        <w:t>,</w:t>
      </w:r>
      <w:r w:rsidR="00E872FC" w:rsidRPr="00033F2E">
        <w:rPr>
          <w:rFonts w:asciiTheme="minorBidi" w:hAnsiTheme="minorBidi"/>
          <w:b/>
          <w:bCs/>
        </w:rPr>
        <w:t xml:space="preserve"> </w:t>
      </w:r>
      <w:r w:rsidR="00792567" w:rsidRPr="00033F2E">
        <w:rPr>
          <w:rFonts w:asciiTheme="minorBidi" w:hAnsiTheme="minorBidi"/>
          <w:b/>
          <w:bCs/>
        </w:rPr>
        <w:t>T</w:t>
      </w:r>
      <w:r w:rsidR="00E872FC" w:rsidRPr="00033F2E">
        <w:rPr>
          <w:rFonts w:asciiTheme="minorBidi" w:hAnsiTheme="minorBidi"/>
          <w:b/>
          <w:bCs/>
        </w:rPr>
        <w:t xml:space="preserve">able </w:t>
      </w:r>
      <w:r w:rsidR="00792567" w:rsidRPr="00033F2E">
        <w:rPr>
          <w:rFonts w:asciiTheme="minorBidi" w:hAnsiTheme="minorBidi"/>
          <w:b/>
          <w:bCs/>
        </w:rPr>
        <w:t>2</w:t>
      </w:r>
      <w:r w:rsidR="007A5DCD" w:rsidRPr="00033F2E">
        <w:rPr>
          <w:rFonts w:asciiTheme="minorBidi" w:hAnsiTheme="minorBidi"/>
        </w:rPr>
        <w:t xml:space="preserve">). </w:t>
      </w:r>
      <w:bookmarkStart w:id="9" w:name="_Hlk31308555"/>
      <w:r w:rsidR="00282648" w:rsidRPr="00033F2E">
        <w:rPr>
          <w:rFonts w:asciiTheme="minorBidi" w:hAnsiTheme="minorBidi"/>
        </w:rPr>
        <w:t xml:space="preserve">For </w:t>
      </w:r>
      <w:r w:rsidR="00872591" w:rsidRPr="00033F2E">
        <w:rPr>
          <w:rFonts w:asciiTheme="minorBidi" w:hAnsiTheme="minorBidi"/>
        </w:rPr>
        <w:t>the</w:t>
      </w:r>
      <w:r w:rsidR="00826537" w:rsidRPr="00033F2E">
        <w:rPr>
          <w:rFonts w:asciiTheme="minorBidi" w:hAnsiTheme="minorBidi"/>
        </w:rPr>
        <w:t xml:space="preserve">se </w:t>
      </w:r>
      <w:r w:rsidR="00DE26A9" w:rsidRPr="00033F2E">
        <w:rPr>
          <w:rFonts w:asciiTheme="minorBidi" w:hAnsiTheme="minorBidi"/>
        </w:rPr>
        <w:t xml:space="preserve">5 </w:t>
      </w:r>
      <w:r w:rsidR="003213CD" w:rsidRPr="00033F2E">
        <w:rPr>
          <w:rFonts w:asciiTheme="minorBidi" w:hAnsiTheme="minorBidi"/>
        </w:rPr>
        <w:t xml:space="preserve">specific </w:t>
      </w:r>
      <w:r w:rsidR="00282648" w:rsidRPr="00033F2E">
        <w:rPr>
          <w:rFonts w:asciiTheme="minorBidi" w:hAnsiTheme="minorBidi"/>
        </w:rPr>
        <w:t xml:space="preserve">CpGs, we further examined associations with </w:t>
      </w:r>
      <w:r w:rsidR="00475663" w:rsidRPr="00033F2E">
        <w:rPr>
          <w:rFonts w:asciiTheme="minorBidi" w:hAnsiTheme="minorBidi"/>
        </w:rPr>
        <w:t>liver enzymes</w:t>
      </w:r>
      <w:r w:rsidR="000709C2" w:rsidRPr="00B81F2B">
        <w:rPr>
          <w:rFonts w:asciiTheme="minorBidi" w:hAnsiTheme="minorBidi"/>
        </w:rPr>
        <w:t xml:space="preserve"> and parameters of glucose and lipid metabolism</w:t>
      </w:r>
      <w:r w:rsidR="00C67A7B">
        <w:rPr>
          <w:rFonts w:asciiTheme="minorBidi" w:hAnsiTheme="minorBidi"/>
          <w:lang w:val="en-US"/>
        </w:rPr>
        <w:t xml:space="preserve"> (</w:t>
      </w:r>
      <w:r w:rsidR="00ED4D26" w:rsidRPr="00ED4D26">
        <w:rPr>
          <w:rFonts w:asciiTheme="minorBidi" w:hAnsiTheme="minorBidi" w:cstheme="minorBidi"/>
          <w:b/>
          <w:bCs/>
          <w:lang w:val="en-US"/>
        </w:rPr>
        <w:t xml:space="preserve">Supplementary </w:t>
      </w:r>
      <w:r w:rsidR="00C67A7B" w:rsidRPr="00ED4D26">
        <w:rPr>
          <w:rFonts w:asciiTheme="minorBidi" w:hAnsiTheme="minorBidi" w:cstheme="minorBidi"/>
          <w:b/>
          <w:bCs/>
          <w:lang w:val="en-US"/>
        </w:rPr>
        <w:t xml:space="preserve">Table </w:t>
      </w:r>
      <w:r w:rsidR="000906B0" w:rsidRPr="00ED4D26">
        <w:rPr>
          <w:rFonts w:asciiTheme="minorBidi" w:hAnsiTheme="minorBidi" w:cstheme="minorBidi"/>
          <w:b/>
          <w:bCs/>
          <w:rtl/>
          <w:lang w:val="en-US"/>
        </w:rPr>
        <w:t>2</w:t>
      </w:r>
      <w:r w:rsidR="00C67A7B">
        <w:rPr>
          <w:rFonts w:asciiTheme="minorBidi" w:hAnsiTheme="minorBidi"/>
          <w:lang w:val="en-US"/>
        </w:rPr>
        <w:t>)</w:t>
      </w:r>
      <w:r w:rsidR="00B93E79" w:rsidRPr="00B81F2B">
        <w:rPr>
          <w:rFonts w:asciiTheme="minorBidi" w:hAnsiTheme="minorBidi"/>
        </w:rPr>
        <w:t xml:space="preserve">. </w:t>
      </w:r>
      <w:r w:rsidR="00C67A7B">
        <w:rPr>
          <w:rFonts w:asciiTheme="minorBidi" w:hAnsiTheme="minorBidi"/>
        </w:rPr>
        <w:t xml:space="preserve">When adjusted for IHF%, cg 04614981 annotated to </w:t>
      </w:r>
      <w:r w:rsidR="00C67A7B" w:rsidRPr="00B81F2B">
        <w:rPr>
          <w:rFonts w:asciiTheme="minorBidi" w:hAnsiTheme="minorBidi"/>
          <w:i/>
          <w:iCs/>
        </w:rPr>
        <w:t>CRACR2A</w:t>
      </w:r>
      <w:r w:rsidR="00C67A7B">
        <w:rPr>
          <w:rFonts w:asciiTheme="minorBidi" w:hAnsiTheme="minorBidi"/>
        </w:rPr>
        <w:t xml:space="preserve"> was inversely </w:t>
      </w:r>
      <w:r w:rsidR="0012338F">
        <w:rPr>
          <w:rFonts w:asciiTheme="minorBidi" w:hAnsiTheme="minorBidi"/>
        </w:rPr>
        <w:t>associated</w:t>
      </w:r>
      <w:r w:rsidR="00C67A7B">
        <w:rPr>
          <w:rFonts w:asciiTheme="minorBidi" w:hAnsiTheme="minorBidi"/>
        </w:rPr>
        <w:t xml:space="preserve"> with </w:t>
      </w:r>
      <w:r w:rsidR="00896EFE">
        <w:rPr>
          <w:rFonts w:asciiTheme="minorBidi" w:hAnsiTheme="minorBidi"/>
        </w:rPr>
        <w:t>t</w:t>
      </w:r>
      <w:r w:rsidR="00C67A7B">
        <w:rPr>
          <w:rFonts w:asciiTheme="minorBidi" w:hAnsiTheme="minorBidi"/>
        </w:rPr>
        <w:t>riglycerides (</w:t>
      </w:r>
      <w:r w:rsidR="00C67A7B" w:rsidRPr="00C67A7B">
        <w:rPr>
          <w:rFonts w:asciiTheme="minorBidi" w:hAnsiTheme="minorBidi"/>
        </w:rPr>
        <w:t>β=-0.234</w:t>
      </w:r>
      <w:r w:rsidR="00C67A7B">
        <w:rPr>
          <w:rFonts w:asciiTheme="minorBidi" w:hAnsiTheme="minorBidi"/>
        </w:rPr>
        <w:t>) and directly associated with HDL (</w:t>
      </w:r>
      <w:r w:rsidR="00C67A7B" w:rsidRPr="00C67A7B">
        <w:rPr>
          <w:rFonts w:asciiTheme="minorBidi" w:hAnsiTheme="minorBidi"/>
        </w:rPr>
        <w:t>β=</w:t>
      </w:r>
      <w:r w:rsidR="00C67A7B">
        <w:rPr>
          <w:rFonts w:asciiTheme="minorBidi" w:hAnsiTheme="minorBidi"/>
        </w:rPr>
        <w:t xml:space="preserve">0.205; p&lt;0.05 for both). Also, </w:t>
      </w:r>
      <w:r w:rsidR="00C67A7B">
        <w:rPr>
          <w:rFonts w:asciiTheme="minorBidi" w:hAnsiTheme="minorBidi"/>
          <w:i/>
          <w:iCs/>
        </w:rPr>
        <w:t>FARP1</w:t>
      </w:r>
      <w:r w:rsidR="00C67A7B">
        <w:rPr>
          <w:rFonts w:asciiTheme="minorBidi" w:hAnsiTheme="minorBidi"/>
        </w:rPr>
        <w:t xml:space="preserve"> cg00071727 was found to be associated with triglycerides (</w:t>
      </w:r>
      <w:r w:rsidR="00C67A7B" w:rsidRPr="00C67A7B">
        <w:rPr>
          <w:rFonts w:asciiTheme="minorBidi" w:hAnsiTheme="minorBidi"/>
        </w:rPr>
        <w:t>β=-0</w:t>
      </w:r>
      <w:r w:rsidR="00C67A7B">
        <w:rPr>
          <w:rFonts w:asciiTheme="minorBidi" w:hAnsiTheme="minorBidi"/>
        </w:rPr>
        <w:t xml:space="preserve">.231), </w:t>
      </w:r>
      <w:r w:rsidR="005E29C4" w:rsidRPr="005E29C4">
        <w:rPr>
          <w:rFonts w:asciiTheme="minorBidi" w:hAnsiTheme="minorBidi"/>
        </w:rPr>
        <w:t xml:space="preserve">Alanine transaminase </w:t>
      </w:r>
      <w:r w:rsidR="005E29C4">
        <w:rPr>
          <w:rFonts w:asciiTheme="minorBidi" w:hAnsiTheme="minorBidi"/>
          <w:lang w:val="en-US"/>
        </w:rPr>
        <w:t>(</w:t>
      </w:r>
      <w:r w:rsidR="00C67A7B">
        <w:rPr>
          <w:rFonts w:asciiTheme="minorBidi" w:hAnsiTheme="minorBidi"/>
        </w:rPr>
        <w:t>ALT</w:t>
      </w:r>
      <w:r w:rsidR="005E29C4">
        <w:rPr>
          <w:rFonts w:asciiTheme="minorBidi" w:hAnsiTheme="minorBidi"/>
          <w:lang w:val="en-US"/>
        </w:rPr>
        <w:t>)</w:t>
      </w:r>
      <w:r w:rsidR="00C67A7B">
        <w:rPr>
          <w:rFonts w:asciiTheme="minorBidi" w:hAnsiTheme="minorBidi"/>
        </w:rPr>
        <w:t xml:space="preserve"> (</w:t>
      </w:r>
      <w:r w:rsidR="00C67A7B" w:rsidRPr="00C67A7B">
        <w:rPr>
          <w:rFonts w:asciiTheme="minorBidi" w:hAnsiTheme="minorBidi"/>
        </w:rPr>
        <w:t>β=-0.</w:t>
      </w:r>
      <w:r w:rsidR="00C67A7B">
        <w:rPr>
          <w:rFonts w:asciiTheme="minorBidi" w:hAnsiTheme="minorBidi"/>
        </w:rPr>
        <w:t>21)</w:t>
      </w:r>
      <w:r w:rsidR="00E2109E">
        <w:rPr>
          <w:rFonts w:asciiTheme="minorBidi" w:hAnsiTheme="minorBidi"/>
        </w:rPr>
        <w:t>,</w:t>
      </w:r>
      <w:r w:rsidR="00C67A7B">
        <w:rPr>
          <w:rFonts w:asciiTheme="minorBidi" w:hAnsiTheme="minorBidi"/>
        </w:rPr>
        <w:t xml:space="preserve"> and </w:t>
      </w:r>
      <w:r w:rsidR="005E29C4">
        <w:rPr>
          <w:rFonts w:asciiTheme="minorBidi" w:hAnsiTheme="minorBidi"/>
          <w:lang w:val="en-US"/>
        </w:rPr>
        <w:t>A</w:t>
      </w:r>
      <w:r w:rsidR="005E29C4" w:rsidRPr="00565BA5">
        <w:rPr>
          <w:rFonts w:asciiTheme="minorBidi" w:hAnsiTheme="minorBidi"/>
          <w:lang w:val="en-US"/>
        </w:rPr>
        <w:t>spartate aminotransferase</w:t>
      </w:r>
      <w:r w:rsidR="005E29C4" w:rsidDel="005E29C4">
        <w:rPr>
          <w:rFonts w:asciiTheme="minorBidi" w:hAnsiTheme="minorBidi"/>
        </w:rPr>
        <w:t xml:space="preserve"> </w:t>
      </w:r>
      <w:r w:rsidR="005E29C4">
        <w:rPr>
          <w:rFonts w:asciiTheme="minorBidi" w:hAnsiTheme="minorBidi"/>
          <w:lang w:val="en-US"/>
        </w:rPr>
        <w:t>(AST)</w:t>
      </w:r>
      <w:r w:rsidR="00C67A7B">
        <w:rPr>
          <w:rFonts w:asciiTheme="minorBidi" w:hAnsiTheme="minorBidi"/>
        </w:rPr>
        <w:t xml:space="preserve"> (</w:t>
      </w:r>
      <w:r w:rsidR="00C67A7B" w:rsidRPr="00C67A7B">
        <w:rPr>
          <w:rFonts w:asciiTheme="minorBidi" w:hAnsiTheme="minorBidi"/>
        </w:rPr>
        <w:t>β=-0.</w:t>
      </w:r>
      <w:r w:rsidR="00C67A7B">
        <w:rPr>
          <w:rFonts w:asciiTheme="minorBidi" w:hAnsiTheme="minorBidi"/>
        </w:rPr>
        <w:t>285; all p&lt;0.05, adjusted p-values</w:t>
      </w:r>
      <w:r w:rsidR="002671F0">
        <w:rPr>
          <w:rFonts w:asciiTheme="minorBidi" w:hAnsiTheme="minorBidi"/>
        </w:rPr>
        <w:t xml:space="preserve">). </w:t>
      </w:r>
    </w:p>
    <w:p w14:paraId="153CA19D" w14:textId="3B8A2687" w:rsidR="00524AD7" w:rsidRDefault="00524AD7" w:rsidP="003F4436">
      <w:pPr>
        <w:spacing w:line="480" w:lineRule="auto"/>
        <w:rPr>
          <w:rFonts w:asciiTheme="minorBidi" w:hAnsiTheme="minorBidi"/>
          <w:u w:val="single"/>
        </w:rPr>
      </w:pPr>
      <w:r w:rsidRPr="00F00567">
        <w:rPr>
          <w:rFonts w:asciiTheme="minorBidi" w:hAnsiTheme="minorBidi"/>
          <w:u w:val="single"/>
        </w:rPr>
        <w:t>NAFLD prediction by specific DNA methylation</w:t>
      </w:r>
    </w:p>
    <w:p w14:paraId="76315E7A" w14:textId="175E155F" w:rsidR="00524AD7" w:rsidRPr="004653D0" w:rsidRDefault="000156E7" w:rsidP="00BC58B0">
      <w:pPr>
        <w:spacing w:line="480" w:lineRule="auto"/>
        <w:rPr>
          <w:rFonts w:asciiTheme="minorBidi" w:hAnsiTheme="minorBidi"/>
          <w:lang w:val="en-US"/>
        </w:rPr>
      </w:pPr>
      <w:r>
        <w:rPr>
          <w:rFonts w:asciiTheme="minorBidi" w:hAnsiTheme="minorBidi"/>
        </w:rPr>
        <w:t>As previously reported</w:t>
      </w:r>
      <w:r w:rsidR="00F00567">
        <w:rPr>
          <w:rFonts w:asciiTheme="minorBidi" w:hAnsiTheme="minorBidi"/>
        </w:rPr>
        <w:t xml:space="preserve"> by us</w:t>
      </w:r>
      <w:r>
        <w:rPr>
          <w:rFonts w:asciiTheme="minorBidi" w:hAnsiTheme="minorBidi"/>
        </w:rPr>
        <w:t>, NAFLD was predicted by WC and specific blood biomarkers</w:t>
      </w:r>
      <w:r w:rsidR="00560829">
        <w:rPr>
          <w:rFonts w:asciiTheme="minorBidi" w:hAnsiTheme="minorBidi"/>
        </w:rPr>
        <w:t xml:space="preserve"> </w:t>
      </w:r>
      <w:r w:rsidR="00560829">
        <w:rPr>
          <w:rFonts w:asciiTheme="minorBidi" w:hAnsiTheme="minorBidi"/>
        </w:rPr>
        <w:fldChar w:fldCharType="begin" w:fldLock="1"/>
      </w:r>
      <w:r w:rsidR="00045A9F">
        <w:rPr>
          <w:rFonts w:asciiTheme="minorBidi" w:hAnsiTheme="minorBidi"/>
        </w:rPr>
        <w:instrText>ADDIN CSL_CITATION {"citationItems":[{"id":"ITEM-1","itemData":{"DOI":"10.1002/dmrr.2888","ISSN":"15207560","abstract":"Copyright © 2017 John Wiley  &amp;  Sons, Ltd. Background: Intrahepatic fat (IHF) is best known to associate with waist circumference (WC) and visceral adipose tissue (VAT), but its relation to abdominal subcutaneous adipose tissue is controversial. While IHF ≥ 5% dichotomously defines fatty liver, %IHF is rarely considered as a continuous variable that includes the normal range. In this study, we aimed to evaluate %IHF association with abdominal fat subdepots, pancreatic, and renal-sinus fats. Methods: We evaluated %IHF, abdominal fat subdepots, %pancreatic, and renal-sinus fats, among individuals with moderate abdominal obesity, using 3-Tesla magnetic resonance imaging. Results: Among 275 participants, %IHF widely ranged (0.01%-50.4%) and was lower in women (1.6%) than men (7.3%; P &lt;.001). In an age, sex, and WC-adjusted models, VAT area (P &lt;.006) was directly associated with %IHF, while superficial–subcutaneous adipose tissue proportion was inversely associated with %IHF (P &lt;.006). In these models, renal-sinus fat was positively associated with %IHF (P =.005). In an age, sex, WC, and VAT-adjusted models, elevated liver enzymes, glycemic, lipid, and inflammatory biomarkers were associated with increased %IHF (P &lt;.003 for all). In these models, the associations remained robust even within the normal range strata of IHF &lt; 5% for triglycerides and chemerin (P ≤.004 for all). For the diagnosis of fatty liver, the joint area under the curve of WC, alanine-aminotransferase, triglycerides/high-density lipoprotein cholesterol, and homeostasis model assessment of insulin resistance was 0.84(95% CI, 0.79-0.89). Conclusions: Intrahepatic fat is differentially associated with abdominal fat subdepots. Intrahepatic-fat as a continuous variable could be predicted by specific traditional parameters, even within the current normal range, and partially independent of VAT.","author":[{"dropping-particle":"","family":"Yaskolka Meir","given":"A.","non-dropping-particle":"","parse-names":false,"suffix":""},{"dropping-particle":"","family":"Tene","given":"L.","non-dropping-particle":"","parse-names":false,"suffix":""},{"dropping-particle":"","family":"Cohen","given":"N.","non-dropping-particle":"","parse-names":false,"suffix":""},{"dropping-particle":"","family":"Shelef","given":"I.","non-dropping-particle":"","parse-names":false,"suffix":""},{"dropping-particle":"","family":"Schwarzfuchs","given":"D.","non-dropping-particle":"","parse-names":false,"suffix":""},{"dropping-particle":"","family":"Gepner","given":"Y.","non-dropping-particle":"","parse-names":false,"suffix":""},{"dropping-particle":"","family":"Zelicha","given":"H.","non-dropping-particle":"","parse-names":false,"suffix":""},{"dropping-particle":"","family":"Rein","given":"M.","non-dropping-particle":"","parse-names":false,"suffix":""},{"dropping-particle":"","family":"Bril","given":"N.","non-dropping-particle":"","parse-names":false,"suffix":""},{"dropping-particle":"","family":"Serfaty","given":"D.","non-dropping-particle":"","parse-names":false,"suffix":""},{"dropping-particle":"","family":"Kenigsbuch","given":"S.","non-dropping-particle":"","parse-names":false,"suffix":""},{"dropping-particle":"","family":"Chassidim","given":"Y.","non-dropping-particle":"","parse-names":false,"suffix":""},{"dropping-particle":"","family":"Sarusy","given":"B.","non-dropping-particle":"","parse-names":false,"suffix":""},{"dropping-particle":"","family":"Dicker","given":"D.","non-dropping-particle":"","parse-names":false,"suffix":""},{"dropping-particle":"","family":"Thiery","given":"J.","non-dropping-particle":"","parse-names":false,"suffix":""},{"dropping-particle":"","family":"Ceglarek","given":"U.","non-dropping-particle":"","parse-names":false,"suffix":""},{"dropping-particle":"","family":"Stumvoll","given":"M.","non-dropping-particle":"","parse-names":false,"suffix":""},{"dropping-particle":"","family":"Blüher","given":"M.","non-dropping-particle":"","parse-names":false,"suffix":""},{"dropping-particle":"","family":"Stampfer","given":"M.J.","non-dropping-particle":"","parse-names":false,"suffix":""},{"dropping-particle":"","family":"Rudich","given":"A.","non-dropping-particle":"","parse-names":false,"suffix":""},{"dropping-particle":"","family":"Shai","given":"I.","non-dropping-particle":"","parse-names":false,"suffix":""}],"container-title":"Diabetes/Metabolism Research and Reviews","id":"ITEM-1","issue":"5","issued":{"date-parts":[["2017"]]},"title":"Intrahepatic fat, abdominal adipose tissues, and metabolic state: magnetic resonance imaging study","type":"article-journal","volume":"33"},"uris":["http://www.mendeley.com/documents/?uuid=f0484996-f002-334f-87f8-83ded28a3cda"]}],"mendeley":{"formattedCitation":"&lt;sup&gt;3&lt;/sup&gt;","plainTextFormattedCitation":"3","previouslyFormattedCitation":"&lt;sup&gt;3&lt;/sup&gt;"},"properties":{"noteIndex":0},"schema":"https://github.com/citation-style-language/schema/raw/master/csl-citation.json"}</w:instrText>
      </w:r>
      <w:r w:rsidR="00560829">
        <w:rPr>
          <w:rFonts w:asciiTheme="minorBidi" w:hAnsiTheme="minorBidi"/>
        </w:rPr>
        <w:fldChar w:fldCharType="separate"/>
      </w:r>
      <w:r w:rsidR="00D53F9E" w:rsidRPr="00D53F9E">
        <w:rPr>
          <w:rFonts w:asciiTheme="minorBidi" w:hAnsiTheme="minorBidi"/>
          <w:noProof/>
          <w:vertAlign w:val="superscript"/>
        </w:rPr>
        <w:t>3</w:t>
      </w:r>
      <w:r w:rsidR="00560829">
        <w:rPr>
          <w:rFonts w:asciiTheme="minorBidi" w:hAnsiTheme="minorBidi"/>
        </w:rPr>
        <w:fldChar w:fldCharType="end"/>
      </w:r>
      <w:r>
        <w:rPr>
          <w:rFonts w:asciiTheme="minorBidi" w:hAnsiTheme="minorBidi"/>
        </w:rPr>
        <w:t xml:space="preserve">. Applying this </w:t>
      </w:r>
      <w:r w:rsidR="00F00567">
        <w:rPr>
          <w:rFonts w:asciiTheme="minorBidi" w:hAnsiTheme="minorBidi"/>
          <w:lang w:val="en-US"/>
        </w:rPr>
        <w:t xml:space="preserve">prediction equation </w:t>
      </w:r>
      <w:r>
        <w:rPr>
          <w:rFonts w:asciiTheme="minorBidi" w:hAnsiTheme="minorBidi"/>
        </w:rPr>
        <w:t xml:space="preserve">in our sub-cohort resulted in </w:t>
      </w:r>
      <w:r w:rsidR="00F00567">
        <w:rPr>
          <w:rFonts w:asciiTheme="minorBidi" w:hAnsiTheme="minorBidi"/>
        </w:rPr>
        <w:t xml:space="preserve">an </w:t>
      </w:r>
      <w:r>
        <w:rPr>
          <w:rFonts w:asciiTheme="minorBidi" w:hAnsiTheme="minorBidi"/>
        </w:rPr>
        <w:t xml:space="preserve">AUC of </w:t>
      </w:r>
      <w:r w:rsidR="00F00567">
        <w:rPr>
          <w:rFonts w:asciiTheme="minorBidi" w:hAnsiTheme="minorBidi"/>
        </w:rPr>
        <w:t>79</w:t>
      </w:r>
      <w:r w:rsidR="009D5647">
        <w:rPr>
          <w:rFonts w:asciiTheme="minorBidi" w:hAnsiTheme="minorBidi"/>
        </w:rPr>
        <w:t>.</w:t>
      </w:r>
      <w:r w:rsidR="00F00567">
        <w:rPr>
          <w:rFonts w:asciiTheme="minorBidi" w:hAnsiTheme="minorBidi"/>
        </w:rPr>
        <w:t>5</w:t>
      </w:r>
      <w:r w:rsidR="009D5647">
        <w:rPr>
          <w:rFonts w:asciiTheme="minorBidi" w:hAnsiTheme="minorBidi"/>
        </w:rPr>
        <w:t>%</w:t>
      </w:r>
      <w:r w:rsidR="00F00567">
        <w:rPr>
          <w:rFonts w:asciiTheme="minorBidi" w:hAnsiTheme="minorBidi"/>
          <w:lang w:val="en-US"/>
        </w:rPr>
        <w:t xml:space="preserve"> (95% confidence interval (CI): 70</w:t>
      </w:r>
      <w:r w:rsidR="009D5647">
        <w:rPr>
          <w:rFonts w:asciiTheme="minorBidi" w:hAnsiTheme="minorBidi"/>
          <w:lang w:val="en-US"/>
        </w:rPr>
        <w:t>.</w:t>
      </w:r>
      <w:r w:rsidR="00F00567">
        <w:rPr>
          <w:rFonts w:asciiTheme="minorBidi" w:hAnsiTheme="minorBidi"/>
          <w:lang w:val="en-US"/>
        </w:rPr>
        <w:t>9, 88</w:t>
      </w:r>
      <w:r w:rsidR="009D5647">
        <w:rPr>
          <w:rFonts w:asciiTheme="minorBidi" w:hAnsiTheme="minorBidi"/>
          <w:lang w:val="en-US"/>
        </w:rPr>
        <w:t>.</w:t>
      </w:r>
      <w:r w:rsidR="00F00567">
        <w:rPr>
          <w:rFonts w:asciiTheme="minorBidi" w:hAnsiTheme="minorBidi"/>
          <w:lang w:val="en-US"/>
        </w:rPr>
        <w:t xml:space="preserve">2), an optimal cut-off of </w:t>
      </w:r>
      <w:r w:rsidR="00BC58B0">
        <w:rPr>
          <w:rFonts w:asciiTheme="minorBidi" w:hAnsiTheme="minorBidi"/>
          <w:lang w:val="en-US"/>
        </w:rPr>
        <w:t>53</w:t>
      </w:r>
      <w:r w:rsidR="009D5647">
        <w:rPr>
          <w:rFonts w:asciiTheme="minorBidi" w:hAnsiTheme="minorBidi"/>
          <w:lang w:val="en-US"/>
        </w:rPr>
        <w:t>.</w:t>
      </w:r>
      <w:r w:rsidR="00BC58B0">
        <w:rPr>
          <w:rFonts w:asciiTheme="minorBidi" w:hAnsiTheme="minorBidi"/>
          <w:lang w:val="en-US"/>
        </w:rPr>
        <w:t xml:space="preserve">7, </w:t>
      </w:r>
      <w:r w:rsidR="00526E3D">
        <w:rPr>
          <w:rFonts w:asciiTheme="minorBidi" w:hAnsiTheme="minorBidi"/>
          <w:lang w:val="en-US"/>
        </w:rPr>
        <w:t xml:space="preserve">a </w:t>
      </w:r>
      <w:r w:rsidR="00BC58B0">
        <w:rPr>
          <w:rFonts w:asciiTheme="minorBidi" w:hAnsiTheme="minorBidi"/>
          <w:lang w:val="en-US"/>
        </w:rPr>
        <w:t>sensitivity of 74.2%</w:t>
      </w:r>
      <w:r w:rsidR="00526E3D">
        <w:rPr>
          <w:rFonts w:asciiTheme="minorBidi" w:hAnsiTheme="minorBidi"/>
          <w:lang w:val="en-US"/>
        </w:rPr>
        <w:t>,</w:t>
      </w:r>
      <w:r w:rsidR="00BC58B0">
        <w:rPr>
          <w:rFonts w:asciiTheme="minorBidi" w:hAnsiTheme="minorBidi"/>
          <w:lang w:val="en-US"/>
        </w:rPr>
        <w:t xml:space="preserve"> and specificity of 79.5%. </w:t>
      </w:r>
      <w:r w:rsidR="00F00567">
        <w:rPr>
          <w:rFonts w:asciiTheme="minorBidi" w:hAnsiTheme="minorBidi"/>
        </w:rPr>
        <w:t xml:space="preserve">Constructing a new model using </w:t>
      </w:r>
      <w:r w:rsidR="0045184E">
        <w:rPr>
          <w:rFonts w:asciiTheme="minorBidi" w:hAnsiTheme="minorBidi"/>
        </w:rPr>
        <w:t xml:space="preserve">only </w:t>
      </w:r>
      <w:r w:rsidR="00F00567">
        <w:rPr>
          <w:rFonts w:asciiTheme="minorBidi" w:hAnsiTheme="minorBidi"/>
        </w:rPr>
        <w:t xml:space="preserve">the </w:t>
      </w:r>
      <w:r w:rsidR="00981AA8">
        <w:rPr>
          <w:rFonts w:asciiTheme="minorBidi" w:hAnsiTheme="minorBidi"/>
        </w:rPr>
        <w:t xml:space="preserve">5 </w:t>
      </w:r>
      <w:r w:rsidR="00F00567">
        <w:rPr>
          <w:rFonts w:asciiTheme="minorBidi" w:hAnsiTheme="minorBidi"/>
        </w:rPr>
        <w:t xml:space="preserve">specific CpGs significantly correlated with </w:t>
      </w:r>
      <w:r w:rsidR="00981AA8">
        <w:rPr>
          <w:rFonts w:asciiTheme="minorBidi" w:hAnsiTheme="minorBidi"/>
        </w:rPr>
        <w:t>IHF%</w:t>
      </w:r>
      <w:r w:rsidR="00F00567">
        <w:rPr>
          <w:rFonts w:asciiTheme="minorBidi" w:hAnsiTheme="minorBidi"/>
        </w:rPr>
        <w:t xml:space="preserve"> at baseline resulted in an AUC of 78</w:t>
      </w:r>
      <w:r w:rsidR="009D5647">
        <w:rPr>
          <w:rFonts w:asciiTheme="minorBidi" w:hAnsiTheme="minorBidi"/>
        </w:rPr>
        <w:t>.</w:t>
      </w:r>
      <w:r w:rsidR="00F00567">
        <w:rPr>
          <w:rFonts w:asciiTheme="minorBidi" w:hAnsiTheme="minorBidi"/>
        </w:rPr>
        <w:t>3</w:t>
      </w:r>
      <w:r w:rsidR="00BC58B0">
        <w:rPr>
          <w:rFonts w:asciiTheme="minorBidi" w:hAnsiTheme="minorBidi"/>
        </w:rPr>
        <w:t xml:space="preserve"> (95% CI: 69</w:t>
      </w:r>
      <w:r w:rsidR="009D5647">
        <w:rPr>
          <w:rFonts w:asciiTheme="minorBidi" w:hAnsiTheme="minorBidi"/>
        </w:rPr>
        <w:t>.</w:t>
      </w:r>
      <w:r w:rsidR="00BC58B0">
        <w:rPr>
          <w:rFonts w:asciiTheme="minorBidi" w:hAnsiTheme="minorBidi"/>
        </w:rPr>
        <w:t>3, 87</w:t>
      </w:r>
      <w:r w:rsidR="009D5647">
        <w:rPr>
          <w:rFonts w:asciiTheme="minorBidi" w:hAnsiTheme="minorBidi"/>
        </w:rPr>
        <w:t>.</w:t>
      </w:r>
      <w:r w:rsidR="00BC58B0">
        <w:rPr>
          <w:rFonts w:asciiTheme="minorBidi" w:hAnsiTheme="minorBidi"/>
        </w:rPr>
        <w:t>4)</w:t>
      </w:r>
      <w:r w:rsidR="00F00567">
        <w:rPr>
          <w:rFonts w:asciiTheme="minorBidi" w:hAnsiTheme="minorBidi"/>
        </w:rPr>
        <w:t xml:space="preserve">, with </w:t>
      </w:r>
      <w:r w:rsidR="00BC58B0">
        <w:rPr>
          <w:rFonts w:asciiTheme="minorBidi" w:hAnsiTheme="minorBidi"/>
        </w:rPr>
        <w:t>an optimal cut-off of 47</w:t>
      </w:r>
      <w:r w:rsidR="009D5647">
        <w:rPr>
          <w:rFonts w:asciiTheme="minorBidi" w:hAnsiTheme="minorBidi"/>
        </w:rPr>
        <w:t>.</w:t>
      </w:r>
      <w:r w:rsidR="00BC58B0">
        <w:rPr>
          <w:rFonts w:asciiTheme="minorBidi" w:hAnsiTheme="minorBidi"/>
        </w:rPr>
        <w:t>9</w:t>
      </w:r>
      <w:r w:rsidR="00526E3D">
        <w:rPr>
          <w:rFonts w:asciiTheme="minorBidi" w:hAnsiTheme="minorBidi"/>
        </w:rPr>
        <w:t>, a</w:t>
      </w:r>
      <w:r w:rsidR="00BC58B0">
        <w:rPr>
          <w:rFonts w:asciiTheme="minorBidi" w:hAnsiTheme="minorBidi"/>
        </w:rPr>
        <w:t xml:space="preserve"> sensitivity of 64.6%</w:t>
      </w:r>
      <w:r w:rsidR="000C1230">
        <w:rPr>
          <w:rFonts w:asciiTheme="minorBidi" w:hAnsiTheme="minorBidi"/>
        </w:rPr>
        <w:t>,</w:t>
      </w:r>
      <w:r w:rsidR="00BC58B0">
        <w:rPr>
          <w:rFonts w:asciiTheme="minorBidi" w:hAnsiTheme="minorBidi"/>
        </w:rPr>
        <w:t xml:space="preserve"> and specificity of 83.1% </w:t>
      </w:r>
      <w:r w:rsidR="00737D5F">
        <w:rPr>
          <w:rFonts w:asciiTheme="minorBidi" w:hAnsiTheme="minorBidi"/>
        </w:rPr>
        <w:t xml:space="preserve">for the prediction of NAFLD </w:t>
      </w:r>
      <w:r w:rsidR="00BC58B0">
        <w:rPr>
          <w:rFonts w:asciiTheme="minorBidi" w:hAnsiTheme="minorBidi"/>
        </w:rPr>
        <w:t>(</w:t>
      </w:r>
      <w:r w:rsidR="00AB436A" w:rsidRPr="00AB436A">
        <w:rPr>
          <w:rFonts w:asciiTheme="minorBidi" w:hAnsiTheme="minorBidi"/>
          <w:b/>
          <w:bCs/>
        </w:rPr>
        <w:t>Fig</w:t>
      </w:r>
      <w:proofErr w:type="spellStart"/>
      <w:r w:rsidR="00ED4D26">
        <w:rPr>
          <w:rFonts w:asciiTheme="minorBidi" w:hAnsiTheme="minorBidi"/>
          <w:b/>
          <w:bCs/>
          <w:lang w:val="en-US"/>
        </w:rPr>
        <w:t>ure</w:t>
      </w:r>
      <w:proofErr w:type="spellEnd"/>
      <w:r w:rsidR="00AB436A" w:rsidRPr="00AB436A">
        <w:rPr>
          <w:rFonts w:asciiTheme="minorBidi" w:hAnsiTheme="minorBidi"/>
          <w:b/>
          <w:bCs/>
        </w:rPr>
        <w:t xml:space="preserve"> </w:t>
      </w:r>
      <w:r w:rsidR="004C5546">
        <w:rPr>
          <w:rFonts w:asciiTheme="minorBidi" w:hAnsiTheme="minorBidi"/>
          <w:b/>
          <w:bCs/>
        </w:rPr>
        <w:t>2</w:t>
      </w:r>
      <w:r w:rsidR="00AB436A">
        <w:rPr>
          <w:rFonts w:asciiTheme="minorBidi" w:hAnsiTheme="minorBidi"/>
        </w:rPr>
        <w:t xml:space="preserve">, </w:t>
      </w:r>
      <w:r w:rsidR="00ED4D26" w:rsidRPr="00ED4D26">
        <w:rPr>
          <w:rFonts w:asciiTheme="minorBidi" w:hAnsiTheme="minorBidi"/>
          <w:b/>
          <w:bCs/>
          <w:lang w:val="en-US"/>
        </w:rPr>
        <w:t xml:space="preserve">Supplementary </w:t>
      </w:r>
      <w:r w:rsidR="00BF2998">
        <w:rPr>
          <w:rFonts w:asciiTheme="minorBidi" w:hAnsiTheme="minorBidi"/>
          <w:b/>
          <w:bCs/>
        </w:rPr>
        <w:t>Fig</w:t>
      </w:r>
      <w:proofErr w:type="spellStart"/>
      <w:r w:rsidR="00ED4D26">
        <w:rPr>
          <w:rFonts w:asciiTheme="minorBidi" w:hAnsiTheme="minorBidi"/>
          <w:b/>
          <w:bCs/>
          <w:lang w:val="en-US"/>
        </w:rPr>
        <w:t>ure</w:t>
      </w:r>
      <w:proofErr w:type="spellEnd"/>
      <w:r w:rsidR="00BF2998">
        <w:rPr>
          <w:rFonts w:asciiTheme="minorBidi" w:hAnsiTheme="minorBidi"/>
          <w:b/>
          <w:bCs/>
        </w:rPr>
        <w:t xml:space="preserve"> 3</w:t>
      </w:r>
      <w:r w:rsidR="00BC58B0">
        <w:rPr>
          <w:rFonts w:asciiTheme="minorBidi" w:hAnsiTheme="minorBidi"/>
        </w:rPr>
        <w:t>).</w:t>
      </w:r>
      <w:r w:rsidR="004653D0">
        <w:rPr>
          <w:rFonts w:asciiTheme="minorBidi" w:hAnsiTheme="minorBidi"/>
          <w:lang w:val="en-US"/>
        </w:rPr>
        <w:t xml:space="preserve"> Combining these two models (WC, specific blood biomarkers, and all 5 </w:t>
      </w:r>
      <w:proofErr w:type="spellStart"/>
      <w:r w:rsidR="004653D0">
        <w:rPr>
          <w:rFonts w:asciiTheme="minorBidi" w:hAnsiTheme="minorBidi"/>
          <w:lang w:val="en-US"/>
        </w:rPr>
        <w:lastRenderedPageBreak/>
        <w:t>CpGs</w:t>
      </w:r>
      <w:proofErr w:type="spellEnd"/>
      <w:r w:rsidR="004653D0">
        <w:rPr>
          <w:rFonts w:asciiTheme="minorBidi" w:hAnsiTheme="minorBidi"/>
          <w:lang w:val="en-US"/>
        </w:rPr>
        <w:t xml:space="preserve">) resulted in an </w:t>
      </w:r>
      <w:r w:rsidR="0039634D">
        <w:rPr>
          <w:rFonts w:asciiTheme="minorBidi" w:hAnsiTheme="minorBidi"/>
          <w:lang w:val="en-US"/>
        </w:rPr>
        <w:t xml:space="preserve">improved </w:t>
      </w:r>
      <w:r w:rsidR="004653D0">
        <w:rPr>
          <w:rFonts w:asciiTheme="minorBidi" w:hAnsiTheme="minorBidi"/>
          <w:lang w:val="en-US"/>
        </w:rPr>
        <w:t>AUC of 87.3% (95% CI: 80.1, 94.5), with an optimal cut-off of 71.0, a sensitivity of 91.9%</w:t>
      </w:r>
      <w:r w:rsidR="000C1230">
        <w:rPr>
          <w:rFonts w:asciiTheme="minorBidi" w:hAnsiTheme="minorBidi"/>
          <w:lang w:val="en-US"/>
        </w:rPr>
        <w:t>,</w:t>
      </w:r>
      <w:r w:rsidR="004653D0">
        <w:rPr>
          <w:rFonts w:asciiTheme="minorBidi" w:hAnsiTheme="minorBidi"/>
          <w:lang w:val="en-US"/>
        </w:rPr>
        <w:t xml:space="preserve"> and specificity of 79.1%. </w:t>
      </w:r>
    </w:p>
    <w:p w14:paraId="1E248C80" w14:textId="1A56E1C9" w:rsidR="002923A4" w:rsidRPr="00B81F2B" w:rsidRDefault="002923A4" w:rsidP="00BF227F">
      <w:pPr>
        <w:spacing w:line="480" w:lineRule="auto"/>
        <w:rPr>
          <w:rFonts w:asciiTheme="minorBidi" w:hAnsiTheme="minorBidi"/>
          <w:u w:val="single"/>
          <w:rtl/>
        </w:rPr>
      </w:pPr>
      <w:r w:rsidRPr="00B81F2B">
        <w:rPr>
          <w:rFonts w:asciiTheme="minorBidi" w:hAnsiTheme="minorBidi"/>
          <w:u w:val="single"/>
        </w:rPr>
        <w:t>Associations of selected SNPs with intrahepatic fat</w:t>
      </w:r>
      <w:r w:rsidR="00BF227F" w:rsidRPr="00B81F2B">
        <w:rPr>
          <w:rFonts w:asciiTheme="minorBidi" w:hAnsiTheme="minorBidi"/>
          <w:u w:val="single"/>
        </w:rPr>
        <w:t xml:space="preserve"> </w:t>
      </w:r>
    </w:p>
    <w:p w14:paraId="0EEDD5A2" w14:textId="2C99099A" w:rsidR="00F36E74" w:rsidRDefault="00C11485" w:rsidP="00F36E74">
      <w:pPr>
        <w:spacing w:line="480" w:lineRule="auto"/>
        <w:rPr>
          <w:rFonts w:asciiTheme="minorBidi" w:hAnsiTheme="minorBidi"/>
        </w:rPr>
      </w:pPr>
      <w:r>
        <w:rPr>
          <w:rFonts w:asciiTheme="minorBidi" w:hAnsiTheme="minorBidi"/>
        </w:rPr>
        <w:t xml:space="preserve">Out of all SNPs examined, only </w:t>
      </w:r>
      <w:r w:rsidR="002923A4" w:rsidRPr="00B81F2B">
        <w:rPr>
          <w:rFonts w:asciiTheme="minorBidi" w:hAnsiTheme="minorBidi"/>
        </w:rPr>
        <w:t xml:space="preserve">rs9584805 located in </w:t>
      </w:r>
      <w:r w:rsidR="002923A4" w:rsidRPr="00B81F2B">
        <w:rPr>
          <w:rFonts w:asciiTheme="minorBidi" w:hAnsiTheme="minorBidi"/>
          <w:i/>
          <w:iCs/>
        </w:rPr>
        <w:t>FARP1</w:t>
      </w:r>
      <w:r w:rsidR="002923A4" w:rsidRPr="00B81F2B">
        <w:rPr>
          <w:rFonts w:asciiTheme="minorBidi" w:hAnsiTheme="minorBidi"/>
        </w:rPr>
        <w:t xml:space="preserve"> showed association with baseline IHF levels (dominant mode of inheritance; p=0.039, </w:t>
      </w:r>
      <w:r w:rsidR="002923A4" w:rsidRPr="00B81F2B">
        <w:rPr>
          <w:rFonts w:asciiTheme="minorBidi" w:hAnsiTheme="minorBidi"/>
          <w:b/>
          <w:bCs/>
        </w:rPr>
        <w:t>Fig</w:t>
      </w:r>
      <w:proofErr w:type="spellStart"/>
      <w:r w:rsidR="0057350F">
        <w:rPr>
          <w:rFonts w:asciiTheme="minorBidi" w:hAnsiTheme="minorBidi"/>
          <w:b/>
          <w:bCs/>
          <w:lang w:val="en-US"/>
        </w:rPr>
        <w:t>ure</w:t>
      </w:r>
      <w:proofErr w:type="spellEnd"/>
      <w:r w:rsidR="002923A4" w:rsidRPr="00B81F2B">
        <w:rPr>
          <w:rFonts w:asciiTheme="minorBidi" w:hAnsiTheme="minorBidi"/>
          <w:b/>
          <w:bCs/>
        </w:rPr>
        <w:t xml:space="preserve"> </w:t>
      </w:r>
      <w:r w:rsidR="004C5546">
        <w:rPr>
          <w:rFonts w:asciiTheme="minorBidi" w:hAnsiTheme="minorBidi"/>
          <w:b/>
          <w:bCs/>
        </w:rPr>
        <w:t>3</w:t>
      </w:r>
      <w:r w:rsidR="002923A4" w:rsidRPr="00B81F2B">
        <w:rPr>
          <w:rFonts w:asciiTheme="minorBidi" w:hAnsiTheme="minorBidi"/>
          <w:b/>
          <w:bCs/>
        </w:rPr>
        <w:t>a</w:t>
      </w:r>
      <w:r w:rsidR="002923A4" w:rsidRPr="00B81F2B">
        <w:rPr>
          <w:rFonts w:asciiTheme="minorBidi" w:hAnsiTheme="minorBidi"/>
        </w:rPr>
        <w:t xml:space="preserve">), with the prevalence of NAFLD before and after </w:t>
      </w:r>
      <w:r w:rsidR="00B86A68" w:rsidRPr="00B81F2B">
        <w:rPr>
          <w:rFonts w:asciiTheme="minorBidi" w:hAnsiTheme="minorBidi"/>
        </w:rPr>
        <w:t xml:space="preserve">the </w:t>
      </w:r>
      <w:r w:rsidR="002923A4" w:rsidRPr="00B81F2B">
        <w:rPr>
          <w:rFonts w:asciiTheme="minorBidi" w:hAnsiTheme="minorBidi"/>
        </w:rPr>
        <w:t>intervention (dominant mode of inheritance; T0, p=0.027 and T18, p=0.044) (</w:t>
      </w:r>
      <w:r w:rsidR="002923A4" w:rsidRPr="00B81F2B">
        <w:rPr>
          <w:rFonts w:asciiTheme="minorBidi" w:hAnsiTheme="minorBidi"/>
          <w:b/>
          <w:bCs/>
        </w:rPr>
        <w:t>Fig</w:t>
      </w:r>
      <w:proofErr w:type="spellStart"/>
      <w:r w:rsidR="0057350F">
        <w:rPr>
          <w:rFonts w:asciiTheme="minorBidi" w:hAnsiTheme="minorBidi"/>
          <w:b/>
          <w:bCs/>
          <w:lang w:val="en-US"/>
        </w:rPr>
        <w:t>ure</w:t>
      </w:r>
      <w:proofErr w:type="spellEnd"/>
      <w:r w:rsidR="002923A4" w:rsidRPr="00B81F2B">
        <w:rPr>
          <w:rFonts w:asciiTheme="minorBidi" w:hAnsiTheme="minorBidi"/>
          <w:b/>
          <w:bCs/>
        </w:rPr>
        <w:t xml:space="preserve"> </w:t>
      </w:r>
      <w:r w:rsidR="004C5546">
        <w:rPr>
          <w:rFonts w:asciiTheme="minorBidi" w:hAnsiTheme="minorBidi"/>
          <w:b/>
          <w:bCs/>
        </w:rPr>
        <w:t>3</w:t>
      </w:r>
      <w:r w:rsidR="002923A4" w:rsidRPr="00B81F2B">
        <w:rPr>
          <w:rFonts w:asciiTheme="minorBidi" w:hAnsiTheme="minorBidi"/>
          <w:b/>
          <w:bCs/>
        </w:rPr>
        <w:t>b</w:t>
      </w:r>
      <w:r w:rsidR="002923A4" w:rsidRPr="00B81F2B">
        <w:rPr>
          <w:rFonts w:asciiTheme="minorBidi" w:hAnsiTheme="minorBidi"/>
        </w:rPr>
        <w:t>), as well as with baseline methylation level of the CpG site (cg00071727) associated with IHF% (</w:t>
      </w:r>
      <w:r w:rsidR="002923A4" w:rsidRPr="00B81F2B">
        <w:rPr>
          <w:rFonts w:asciiTheme="minorBidi" w:hAnsiTheme="minorBidi"/>
          <w:b/>
          <w:bCs/>
        </w:rPr>
        <w:t>Fig</w:t>
      </w:r>
      <w:proofErr w:type="spellStart"/>
      <w:r w:rsidR="0057350F">
        <w:rPr>
          <w:rFonts w:asciiTheme="minorBidi" w:hAnsiTheme="minorBidi"/>
          <w:b/>
          <w:bCs/>
          <w:lang w:val="en-US"/>
        </w:rPr>
        <w:t>ure</w:t>
      </w:r>
      <w:proofErr w:type="spellEnd"/>
      <w:r w:rsidR="00BF2998">
        <w:rPr>
          <w:rFonts w:asciiTheme="minorBidi" w:hAnsiTheme="minorBidi"/>
          <w:b/>
          <w:bCs/>
        </w:rPr>
        <w:t xml:space="preserve"> </w:t>
      </w:r>
      <w:r w:rsidR="004C5546">
        <w:rPr>
          <w:rFonts w:asciiTheme="minorBidi" w:hAnsiTheme="minorBidi"/>
          <w:b/>
          <w:bCs/>
        </w:rPr>
        <w:t>3</w:t>
      </w:r>
      <w:r w:rsidR="002923A4" w:rsidRPr="00B81F2B">
        <w:rPr>
          <w:rFonts w:asciiTheme="minorBidi" w:hAnsiTheme="minorBidi"/>
          <w:b/>
          <w:bCs/>
        </w:rPr>
        <w:t>c</w:t>
      </w:r>
      <w:r w:rsidR="002923A4" w:rsidRPr="00B81F2B">
        <w:rPr>
          <w:rFonts w:asciiTheme="minorBidi" w:hAnsiTheme="minorBidi"/>
        </w:rPr>
        <w:t xml:space="preserve">). </w:t>
      </w:r>
      <w:bookmarkEnd w:id="9"/>
      <w:r w:rsidR="00E2109E">
        <w:rPr>
          <w:rFonts w:asciiTheme="minorBidi" w:hAnsiTheme="minorBidi"/>
        </w:rPr>
        <w:t>Other</w:t>
      </w:r>
      <w:r w:rsidR="00F36E74" w:rsidRPr="00F36E74">
        <w:rPr>
          <w:rFonts w:asciiTheme="minorBidi" w:hAnsiTheme="minorBidi"/>
        </w:rPr>
        <w:t xml:space="preserve"> associations of the selected three SNPs with baseline </w:t>
      </w:r>
      <w:r w:rsidR="00E2109E">
        <w:rPr>
          <w:rFonts w:asciiTheme="minorBidi" w:hAnsiTheme="minorBidi"/>
        </w:rPr>
        <w:t>liver fat parameters</w:t>
      </w:r>
      <w:r w:rsidR="00F36E74" w:rsidRPr="00F36E74">
        <w:rPr>
          <w:rFonts w:asciiTheme="minorBidi" w:hAnsiTheme="minorBidi"/>
        </w:rPr>
        <w:t>, anthropometric measures</w:t>
      </w:r>
      <w:r w:rsidR="00E2109E">
        <w:rPr>
          <w:rFonts w:asciiTheme="minorBidi" w:hAnsiTheme="minorBidi"/>
        </w:rPr>
        <w:t>,</w:t>
      </w:r>
      <w:r w:rsidR="00F36E74" w:rsidRPr="00F36E74">
        <w:rPr>
          <w:rFonts w:asciiTheme="minorBidi" w:hAnsiTheme="minorBidi"/>
        </w:rPr>
        <w:t xml:space="preserve"> and blood biomarkers are presented in </w:t>
      </w:r>
      <w:r w:rsidR="0057350F" w:rsidRPr="0057350F">
        <w:rPr>
          <w:rFonts w:asciiTheme="minorBidi" w:hAnsiTheme="minorBidi"/>
          <w:b/>
          <w:bCs/>
          <w:lang w:val="en-US"/>
        </w:rPr>
        <w:t xml:space="preserve">Supplementary </w:t>
      </w:r>
      <w:r w:rsidR="00BF2998">
        <w:rPr>
          <w:rFonts w:asciiTheme="minorBidi" w:hAnsiTheme="minorBidi"/>
          <w:b/>
          <w:bCs/>
        </w:rPr>
        <w:t xml:space="preserve">Table </w:t>
      </w:r>
      <w:r w:rsidR="00033F2E">
        <w:rPr>
          <w:rFonts w:asciiTheme="minorBidi" w:hAnsiTheme="minorBidi"/>
          <w:b/>
          <w:bCs/>
          <w:lang w:val="en-US"/>
        </w:rPr>
        <w:t>3</w:t>
      </w:r>
      <w:r w:rsidR="00F36E74" w:rsidRPr="00F36E74">
        <w:rPr>
          <w:rFonts w:asciiTheme="minorBidi" w:hAnsiTheme="minorBidi"/>
          <w:b/>
          <w:bCs/>
        </w:rPr>
        <w:t>a-c</w:t>
      </w:r>
      <w:r w:rsidR="00F36E74" w:rsidRPr="00F36E74">
        <w:rPr>
          <w:rFonts w:asciiTheme="minorBidi" w:hAnsiTheme="minorBidi"/>
        </w:rPr>
        <w:t>.</w:t>
      </w:r>
    </w:p>
    <w:p w14:paraId="024F8B11" w14:textId="3DD8F9E6" w:rsidR="000D191D" w:rsidRPr="000D191D" w:rsidRDefault="000D191D" w:rsidP="00F36E74">
      <w:pPr>
        <w:spacing w:line="480" w:lineRule="auto"/>
        <w:rPr>
          <w:rFonts w:asciiTheme="minorBidi" w:hAnsiTheme="minorBidi"/>
          <w:i/>
          <w:iCs/>
        </w:rPr>
      </w:pPr>
      <w:r w:rsidRPr="000D191D">
        <w:rPr>
          <w:rFonts w:asciiTheme="minorBidi" w:hAnsiTheme="minorBidi"/>
          <w:i/>
          <w:iCs/>
        </w:rPr>
        <w:t>Effects of diet intervention on liver fat and DNA methylation</w:t>
      </w:r>
    </w:p>
    <w:p w14:paraId="1F0021C4" w14:textId="7B1F4108" w:rsidR="00DF7267" w:rsidRPr="00B81F2B" w:rsidRDefault="00AD04C2" w:rsidP="00F36E74">
      <w:pPr>
        <w:spacing w:line="480" w:lineRule="auto"/>
        <w:rPr>
          <w:rFonts w:asciiTheme="minorBidi" w:hAnsiTheme="minorBidi"/>
          <w:u w:val="single"/>
          <w:rtl/>
        </w:rPr>
      </w:pPr>
      <w:r w:rsidRPr="00B81F2B">
        <w:rPr>
          <w:rFonts w:asciiTheme="minorBidi" w:hAnsiTheme="minorBidi"/>
          <w:u w:val="single"/>
        </w:rPr>
        <w:t>C</w:t>
      </w:r>
      <w:proofErr w:type="spellStart"/>
      <w:r w:rsidRPr="00B81F2B">
        <w:rPr>
          <w:rFonts w:asciiTheme="minorBidi" w:hAnsiTheme="minorBidi"/>
          <w:u w:val="single"/>
          <w:lang w:val="en-US"/>
        </w:rPr>
        <w:t>hanges</w:t>
      </w:r>
      <w:proofErr w:type="spellEnd"/>
      <w:r w:rsidR="00D11084" w:rsidRPr="00B81F2B">
        <w:rPr>
          <w:rFonts w:asciiTheme="minorBidi" w:hAnsiTheme="minorBidi"/>
          <w:u w:val="single"/>
        </w:rPr>
        <w:t xml:space="preserve"> in </w:t>
      </w:r>
      <w:r w:rsidR="00755570" w:rsidRPr="00B81F2B">
        <w:rPr>
          <w:rFonts w:asciiTheme="minorBidi" w:hAnsiTheme="minorBidi"/>
          <w:u w:val="single"/>
          <w:lang w:val="en-US"/>
        </w:rPr>
        <w:t>intrahepa</w:t>
      </w:r>
      <w:r w:rsidR="005C4708" w:rsidRPr="00B81F2B">
        <w:rPr>
          <w:rFonts w:asciiTheme="minorBidi" w:hAnsiTheme="minorBidi"/>
          <w:u w:val="single"/>
          <w:lang w:val="en-US"/>
        </w:rPr>
        <w:t xml:space="preserve">tic fat </w:t>
      </w:r>
      <w:r w:rsidR="00494201" w:rsidRPr="00B81F2B">
        <w:rPr>
          <w:rFonts w:asciiTheme="minorBidi" w:hAnsiTheme="minorBidi"/>
          <w:u w:val="single"/>
        </w:rPr>
        <w:t>following the intervention</w:t>
      </w:r>
    </w:p>
    <w:p w14:paraId="631C2D93" w14:textId="4A97102F" w:rsidR="00D07685" w:rsidRDefault="00D11084" w:rsidP="00672A84">
      <w:pPr>
        <w:spacing w:line="480" w:lineRule="auto"/>
        <w:rPr>
          <w:rFonts w:asciiTheme="minorBidi" w:hAnsiTheme="minorBidi"/>
        </w:rPr>
      </w:pPr>
      <w:r w:rsidRPr="00B81F2B">
        <w:rPr>
          <w:rFonts w:asciiTheme="minorBidi" w:hAnsiTheme="minorBidi"/>
        </w:rPr>
        <w:t>After 18 months, significant reductions in IHF% (</w:t>
      </w:r>
      <w:r w:rsidR="002B504C" w:rsidRPr="00B81F2B">
        <w:rPr>
          <w:rFonts w:asciiTheme="minorBidi" w:hAnsiTheme="minorBidi"/>
        </w:rPr>
        <w:t>-4.7±6.8 absolute units</w:t>
      </w:r>
      <w:r w:rsidRPr="00B81F2B">
        <w:rPr>
          <w:rFonts w:asciiTheme="minorBidi" w:hAnsiTheme="minorBidi"/>
        </w:rPr>
        <w:t>, p</w:t>
      </w:r>
      <w:r w:rsidR="002B504C" w:rsidRPr="00B81F2B">
        <w:rPr>
          <w:rFonts w:asciiTheme="minorBidi" w:hAnsiTheme="minorBidi"/>
        </w:rPr>
        <w:t>&lt;0.001</w:t>
      </w:r>
      <w:r w:rsidRPr="00B81F2B">
        <w:rPr>
          <w:rFonts w:asciiTheme="minorBidi" w:hAnsiTheme="minorBidi"/>
        </w:rPr>
        <w:t xml:space="preserve"> vs. baseline), weight (</w:t>
      </w:r>
      <w:r w:rsidR="002B504C" w:rsidRPr="00B81F2B">
        <w:rPr>
          <w:rFonts w:asciiTheme="minorBidi" w:hAnsiTheme="minorBidi"/>
        </w:rPr>
        <w:t>-3.7±5.2 kg</w:t>
      </w:r>
      <w:r w:rsidRPr="00B81F2B">
        <w:rPr>
          <w:rFonts w:asciiTheme="minorBidi" w:hAnsiTheme="minorBidi"/>
        </w:rPr>
        <w:t>, p</w:t>
      </w:r>
      <w:r w:rsidR="002B504C" w:rsidRPr="00B81F2B">
        <w:rPr>
          <w:rFonts w:asciiTheme="minorBidi" w:hAnsiTheme="minorBidi"/>
        </w:rPr>
        <w:t xml:space="preserve">&lt;0.001 </w:t>
      </w:r>
      <w:r w:rsidRPr="00B81F2B">
        <w:rPr>
          <w:rFonts w:asciiTheme="minorBidi" w:hAnsiTheme="minorBidi"/>
        </w:rPr>
        <w:t>vs. baseline)</w:t>
      </w:r>
      <w:r w:rsidR="00E2109E">
        <w:rPr>
          <w:rFonts w:asciiTheme="minorBidi" w:hAnsiTheme="minorBidi"/>
        </w:rPr>
        <w:t>,</w:t>
      </w:r>
      <w:r w:rsidRPr="00B81F2B">
        <w:rPr>
          <w:rFonts w:asciiTheme="minorBidi" w:hAnsiTheme="minorBidi"/>
        </w:rPr>
        <w:t xml:space="preserve"> and WC (</w:t>
      </w:r>
      <w:r w:rsidR="002B504C" w:rsidRPr="00B81F2B">
        <w:rPr>
          <w:rFonts w:asciiTheme="minorBidi" w:hAnsiTheme="minorBidi"/>
        </w:rPr>
        <w:t>-4.8±5.6 cm</w:t>
      </w:r>
      <w:r w:rsidRPr="00B81F2B">
        <w:rPr>
          <w:rFonts w:asciiTheme="minorBidi" w:hAnsiTheme="minorBidi"/>
        </w:rPr>
        <w:t xml:space="preserve"> </w:t>
      </w:r>
      <w:r w:rsidR="00DF7E6B" w:rsidRPr="00B81F2B">
        <w:rPr>
          <w:rFonts w:asciiTheme="minorBidi" w:hAnsiTheme="minorBidi"/>
          <w:lang w:val="en-US"/>
        </w:rPr>
        <w:t>p</w:t>
      </w:r>
      <w:r w:rsidR="002B504C" w:rsidRPr="00B81F2B">
        <w:rPr>
          <w:rFonts w:asciiTheme="minorBidi" w:hAnsiTheme="minorBidi"/>
        </w:rPr>
        <w:t xml:space="preserve">&lt;0.001 </w:t>
      </w:r>
      <w:r w:rsidRPr="00B81F2B">
        <w:rPr>
          <w:rFonts w:asciiTheme="minorBidi" w:hAnsiTheme="minorBidi"/>
        </w:rPr>
        <w:t>vs. baseline) were observed</w:t>
      </w:r>
      <w:r w:rsidR="001F1DED">
        <w:rPr>
          <w:rFonts w:asciiTheme="minorBidi" w:hAnsiTheme="minorBidi"/>
        </w:rPr>
        <w:t xml:space="preserve">, </w:t>
      </w:r>
      <w:r w:rsidR="00214455">
        <w:rPr>
          <w:rFonts w:asciiTheme="minorBidi" w:hAnsiTheme="minorBidi"/>
        </w:rPr>
        <w:t xml:space="preserve">with no differences between </w:t>
      </w:r>
      <w:r w:rsidR="0045184E">
        <w:rPr>
          <w:rFonts w:asciiTheme="minorBidi" w:hAnsiTheme="minorBidi"/>
        </w:rPr>
        <w:t xml:space="preserve">the </w:t>
      </w:r>
      <w:r w:rsidR="00214455">
        <w:rPr>
          <w:rFonts w:asciiTheme="minorBidi" w:hAnsiTheme="minorBidi"/>
        </w:rPr>
        <w:t>diet groups</w:t>
      </w:r>
      <w:r w:rsidRPr="00B81F2B">
        <w:rPr>
          <w:rFonts w:asciiTheme="minorBidi" w:hAnsiTheme="minorBidi"/>
        </w:rPr>
        <w:t xml:space="preserve"> </w:t>
      </w:r>
      <w:r w:rsidR="0045184E">
        <w:rPr>
          <w:rFonts w:asciiTheme="minorBidi" w:hAnsiTheme="minorBidi"/>
        </w:rPr>
        <w:t xml:space="preserve">LF and MED/LC </w:t>
      </w:r>
      <w:r w:rsidR="001F1DED">
        <w:rPr>
          <w:rFonts w:asciiTheme="minorBidi" w:hAnsiTheme="minorBidi"/>
        </w:rPr>
        <w:t>(</w:t>
      </w:r>
      <w:r w:rsidRPr="00B81F2B">
        <w:rPr>
          <w:rFonts w:asciiTheme="minorBidi" w:hAnsiTheme="minorBidi"/>
          <w:b/>
          <w:bCs/>
        </w:rPr>
        <w:t>Supplement</w:t>
      </w:r>
      <w:r w:rsidR="003A35BD" w:rsidRPr="00B81F2B">
        <w:rPr>
          <w:rFonts w:asciiTheme="minorBidi" w:hAnsiTheme="minorBidi"/>
          <w:b/>
          <w:bCs/>
        </w:rPr>
        <w:t>a</w:t>
      </w:r>
      <w:r w:rsidR="00A26692" w:rsidRPr="00B81F2B">
        <w:rPr>
          <w:rFonts w:asciiTheme="minorBidi" w:hAnsiTheme="minorBidi"/>
          <w:b/>
          <w:bCs/>
        </w:rPr>
        <w:t xml:space="preserve">ry </w:t>
      </w:r>
      <w:r w:rsidR="00BF2998">
        <w:rPr>
          <w:rFonts w:asciiTheme="minorBidi" w:hAnsiTheme="minorBidi"/>
          <w:b/>
          <w:bCs/>
        </w:rPr>
        <w:t>Information</w:t>
      </w:r>
      <w:r w:rsidR="0097290B" w:rsidRPr="00B81F2B">
        <w:rPr>
          <w:rFonts w:asciiTheme="minorBidi" w:hAnsiTheme="minorBidi"/>
          <w:b/>
          <w:bCs/>
        </w:rPr>
        <w:t xml:space="preserve"> </w:t>
      </w:r>
      <w:r w:rsidR="00BF2998">
        <w:rPr>
          <w:rFonts w:asciiTheme="minorBidi" w:hAnsiTheme="minorBidi"/>
          <w:b/>
          <w:bCs/>
        </w:rPr>
        <w:t>5</w:t>
      </w:r>
      <w:r w:rsidR="00BF15F0" w:rsidRPr="00B81F2B">
        <w:rPr>
          <w:rFonts w:asciiTheme="minorBidi" w:hAnsiTheme="minorBidi"/>
        </w:rPr>
        <w:t>)</w:t>
      </w:r>
      <w:r w:rsidRPr="00B81F2B">
        <w:rPr>
          <w:rFonts w:asciiTheme="minorBidi" w:hAnsiTheme="minorBidi"/>
        </w:rPr>
        <w:t xml:space="preserve">. </w:t>
      </w:r>
      <w:r w:rsidR="004315B4">
        <w:rPr>
          <w:rFonts w:asciiTheme="minorBidi" w:hAnsiTheme="minorBidi"/>
        </w:rPr>
        <w:t xml:space="preserve">However, </w:t>
      </w:r>
      <w:r w:rsidR="006E345C">
        <w:rPr>
          <w:rFonts w:asciiTheme="minorBidi" w:hAnsiTheme="minorBidi"/>
          <w:lang w:val="en-US"/>
        </w:rPr>
        <w:t xml:space="preserve">between PA groups (PA-/PA+), </w:t>
      </w:r>
      <w:r w:rsidR="004D258D">
        <w:rPr>
          <w:rFonts w:asciiTheme="minorBidi" w:hAnsiTheme="minorBidi"/>
        </w:rPr>
        <w:t>significant difference</w:t>
      </w:r>
      <w:r w:rsidR="006E345C">
        <w:rPr>
          <w:rFonts w:asciiTheme="minorBidi" w:hAnsiTheme="minorBidi"/>
          <w:lang w:val="en-US"/>
        </w:rPr>
        <w:t>s</w:t>
      </w:r>
      <w:r w:rsidR="004D258D">
        <w:rPr>
          <w:rFonts w:asciiTheme="minorBidi" w:hAnsiTheme="minorBidi"/>
        </w:rPr>
        <w:t xml:space="preserve"> in IHF% loss (</w:t>
      </w:r>
      <w:r w:rsidR="000033DD">
        <w:rPr>
          <w:rFonts w:asciiTheme="minorBidi" w:hAnsiTheme="minorBidi"/>
        </w:rPr>
        <w:t>PA-: -4.4</w:t>
      </w:r>
      <w:r w:rsidR="000033DD">
        <w:rPr>
          <w:rFonts w:ascii="Arial" w:hAnsi="Arial" w:cs="Arial"/>
        </w:rPr>
        <w:t>±</w:t>
      </w:r>
      <w:r w:rsidR="000033DD">
        <w:rPr>
          <w:rFonts w:asciiTheme="minorBidi" w:hAnsiTheme="minorBidi"/>
        </w:rPr>
        <w:t>7.0 absolute units, -5.3%; PA+: -5.0</w:t>
      </w:r>
      <w:r w:rsidR="000033DD">
        <w:rPr>
          <w:rFonts w:ascii="Arial" w:hAnsi="Arial" w:cs="Arial"/>
        </w:rPr>
        <w:t>±</w:t>
      </w:r>
      <w:r w:rsidR="000033DD">
        <w:rPr>
          <w:rFonts w:asciiTheme="minorBidi" w:hAnsiTheme="minorBidi"/>
        </w:rPr>
        <w:t xml:space="preserve">6.7 absolute units, -31.6%; </w:t>
      </w:r>
      <w:r w:rsidR="004D258D" w:rsidRPr="004D258D">
        <w:rPr>
          <w:rFonts w:asciiTheme="minorBidi" w:hAnsiTheme="minorBidi"/>
          <w:b/>
          <w:bCs/>
        </w:rPr>
        <w:t>Fig</w:t>
      </w:r>
      <w:proofErr w:type="spellStart"/>
      <w:r w:rsidR="00E27B8B">
        <w:rPr>
          <w:rFonts w:asciiTheme="minorBidi" w:hAnsiTheme="minorBidi"/>
          <w:b/>
          <w:bCs/>
          <w:lang w:val="en-US"/>
        </w:rPr>
        <w:t>ure</w:t>
      </w:r>
      <w:proofErr w:type="spellEnd"/>
      <w:r w:rsidR="004D258D" w:rsidRPr="004D258D">
        <w:rPr>
          <w:rFonts w:asciiTheme="minorBidi" w:hAnsiTheme="minorBidi"/>
          <w:b/>
          <w:bCs/>
        </w:rPr>
        <w:t xml:space="preserve"> </w:t>
      </w:r>
      <w:r w:rsidR="004C5546">
        <w:rPr>
          <w:rFonts w:asciiTheme="minorBidi" w:hAnsiTheme="minorBidi"/>
          <w:b/>
          <w:bCs/>
        </w:rPr>
        <w:t>4</w:t>
      </w:r>
      <w:r w:rsidR="004D258D">
        <w:rPr>
          <w:rFonts w:asciiTheme="minorBidi" w:hAnsiTheme="minorBidi"/>
        </w:rPr>
        <w:t>)</w:t>
      </w:r>
      <w:r w:rsidR="005A668F">
        <w:rPr>
          <w:rFonts w:asciiTheme="minorBidi" w:hAnsiTheme="minorBidi"/>
        </w:rPr>
        <w:t>, WC reduction (-3.3</w:t>
      </w:r>
      <w:r w:rsidR="005A668F">
        <w:rPr>
          <w:rFonts w:ascii="Arial" w:hAnsi="Arial" w:cs="Arial"/>
        </w:rPr>
        <w:t>±5.2cm vs. –6.3±5.7cm; p=0.02</w:t>
      </w:r>
      <w:r w:rsidR="005A668F">
        <w:rPr>
          <w:rFonts w:asciiTheme="minorBidi" w:hAnsiTheme="minorBidi"/>
        </w:rPr>
        <w:t>)</w:t>
      </w:r>
      <w:r w:rsidR="002A47D7">
        <w:rPr>
          <w:rFonts w:asciiTheme="minorBidi" w:hAnsiTheme="minorBidi"/>
        </w:rPr>
        <w:t>,</w:t>
      </w:r>
      <w:r w:rsidR="005A668F">
        <w:rPr>
          <w:rFonts w:asciiTheme="minorBidi" w:hAnsiTheme="minorBidi"/>
        </w:rPr>
        <w:t xml:space="preserve"> but not in weight loss (p=0.11</w:t>
      </w:r>
      <w:r w:rsidR="00252AD7">
        <w:rPr>
          <w:rFonts w:asciiTheme="minorBidi" w:hAnsiTheme="minorBidi"/>
        </w:rPr>
        <w:t>; All models adjusted for baseline levels</w:t>
      </w:r>
      <w:r w:rsidR="00D90219">
        <w:rPr>
          <w:rFonts w:asciiTheme="minorBidi" w:hAnsiTheme="minorBidi"/>
        </w:rPr>
        <w:t xml:space="preserve"> of the changed parameter</w:t>
      </w:r>
      <w:r w:rsidR="005A668F">
        <w:rPr>
          <w:rFonts w:asciiTheme="minorBidi" w:hAnsiTheme="minorBidi"/>
        </w:rPr>
        <w:t>)</w:t>
      </w:r>
      <w:r w:rsidR="006E345C">
        <w:rPr>
          <w:rFonts w:asciiTheme="minorBidi" w:hAnsiTheme="minorBidi"/>
          <w:lang w:val="en-US"/>
        </w:rPr>
        <w:t xml:space="preserve"> were observed</w:t>
      </w:r>
      <w:r w:rsidR="005A668F">
        <w:rPr>
          <w:rFonts w:asciiTheme="minorBidi" w:hAnsiTheme="minorBidi"/>
        </w:rPr>
        <w:t xml:space="preserve">. </w:t>
      </w:r>
    </w:p>
    <w:p w14:paraId="07B00F6A" w14:textId="102267C6" w:rsidR="00C525B8" w:rsidRDefault="00C525B8" w:rsidP="00672A84">
      <w:pPr>
        <w:spacing w:line="480" w:lineRule="auto"/>
        <w:rPr>
          <w:rFonts w:asciiTheme="minorBidi" w:hAnsiTheme="minorBidi"/>
          <w:u w:val="single"/>
        </w:rPr>
      </w:pPr>
      <w:r w:rsidRPr="00C525B8">
        <w:rPr>
          <w:rFonts w:asciiTheme="minorBidi" w:hAnsiTheme="minorBidi"/>
          <w:u w:val="single"/>
        </w:rPr>
        <w:t>Investigation of DNA methylation changes</w:t>
      </w:r>
    </w:p>
    <w:p w14:paraId="12F3DB1E" w14:textId="2563B4A6" w:rsidR="00C525B8" w:rsidRDefault="00801660" w:rsidP="00672A84">
      <w:pPr>
        <w:spacing w:line="480" w:lineRule="auto"/>
        <w:rPr>
          <w:rFonts w:asciiTheme="minorBidi" w:hAnsiTheme="minorBidi"/>
          <w:lang w:val="en-US"/>
        </w:rPr>
      </w:pPr>
      <w:r>
        <w:rPr>
          <w:rFonts w:asciiTheme="minorBidi" w:hAnsiTheme="minorBidi"/>
        </w:rPr>
        <w:t xml:space="preserve">For </w:t>
      </w:r>
      <w:r w:rsidR="00180F87">
        <w:rPr>
          <w:rFonts w:asciiTheme="minorBidi" w:hAnsiTheme="minorBidi"/>
        </w:rPr>
        <w:t xml:space="preserve">the specific CpGs </w:t>
      </w:r>
      <w:r w:rsidR="008D6C32">
        <w:rPr>
          <w:rFonts w:asciiTheme="minorBidi" w:hAnsiTheme="minorBidi"/>
        </w:rPr>
        <w:t>with</w:t>
      </w:r>
      <w:r w:rsidR="00180F87">
        <w:rPr>
          <w:rFonts w:asciiTheme="minorBidi" w:hAnsiTheme="minorBidi"/>
        </w:rPr>
        <w:t xml:space="preserve">in </w:t>
      </w:r>
      <w:r w:rsidRPr="00B81F2B">
        <w:rPr>
          <w:rFonts w:asciiTheme="minorBidi" w:hAnsiTheme="minorBidi"/>
          <w:i/>
          <w:iCs/>
          <w:lang w:val="en-US"/>
        </w:rPr>
        <w:t>AC074286.1</w:t>
      </w:r>
      <w:r>
        <w:rPr>
          <w:rFonts w:asciiTheme="minorBidi" w:hAnsiTheme="minorBidi"/>
          <w:i/>
          <w:iCs/>
          <w:lang w:val="en-US"/>
        </w:rPr>
        <w:t>,</w:t>
      </w:r>
      <w:r w:rsidRPr="00B81F2B">
        <w:rPr>
          <w:rFonts w:asciiTheme="minorBidi" w:hAnsiTheme="minorBidi"/>
          <w:lang w:val="en-US"/>
        </w:rPr>
        <w:t xml:space="preserve"> </w:t>
      </w:r>
      <w:r w:rsidRPr="00B81F2B">
        <w:rPr>
          <w:rFonts w:asciiTheme="minorBidi" w:hAnsiTheme="minorBidi"/>
          <w:i/>
          <w:iCs/>
          <w:lang w:val="en-US"/>
        </w:rPr>
        <w:t>CRACR2A</w:t>
      </w:r>
      <w:r>
        <w:rPr>
          <w:rFonts w:asciiTheme="minorBidi" w:hAnsiTheme="minorBidi"/>
          <w:lang w:val="en-US"/>
        </w:rPr>
        <w:t xml:space="preserve">, </w:t>
      </w:r>
      <w:r w:rsidRPr="00B81F2B">
        <w:rPr>
          <w:rFonts w:asciiTheme="minorBidi" w:hAnsiTheme="minorBidi"/>
          <w:i/>
          <w:iCs/>
          <w:lang w:val="en-US"/>
        </w:rPr>
        <w:t>A2MP1</w:t>
      </w:r>
      <w:r>
        <w:rPr>
          <w:rFonts w:asciiTheme="minorBidi" w:hAnsiTheme="minorBidi"/>
          <w:i/>
          <w:iCs/>
          <w:lang w:val="en-US"/>
        </w:rPr>
        <w:t xml:space="preserve">, </w:t>
      </w:r>
      <w:r>
        <w:rPr>
          <w:rFonts w:asciiTheme="minorBidi" w:hAnsiTheme="minorBidi"/>
          <w:lang w:val="en-US"/>
        </w:rPr>
        <w:t xml:space="preserve">and </w:t>
      </w:r>
      <w:r w:rsidRPr="00B81F2B">
        <w:rPr>
          <w:rFonts w:asciiTheme="minorBidi" w:hAnsiTheme="minorBidi"/>
          <w:i/>
          <w:iCs/>
          <w:lang w:val="en-US"/>
        </w:rPr>
        <w:t>FARP1</w:t>
      </w:r>
      <w:r>
        <w:rPr>
          <w:rFonts w:asciiTheme="minorBidi" w:hAnsiTheme="minorBidi"/>
          <w:lang w:val="en-US"/>
        </w:rPr>
        <w:t xml:space="preserve">, that showed </w:t>
      </w:r>
      <w:r w:rsidR="00180F87">
        <w:rPr>
          <w:rFonts w:asciiTheme="minorBidi" w:hAnsiTheme="minorBidi"/>
          <w:lang w:val="en-US"/>
        </w:rPr>
        <w:t xml:space="preserve">significant </w:t>
      </w:r>
      <w:r>
        <w:rPr>
          <w:rFonts w:asciiTheme="minorBidi" w:hAnsiTheme="minorBidi"/>
          <w:lang w:val="en-US"/>
        </w:rPr>
        <w:t xml:space="preserve">baseline correlation with IHF% levels, we further examined </w:t>
      </w:r>
      <w:r w:rsidR="005D6C5F">
        <w:rPr>
          <w:rFonts w:asciiTheme="minorBidi" w:hAnsiTheme="minorBidi"/>
          <w:lang w:val="en-US"/>
        </w:rPr>
        <w:t>18-</w:t>
      </w:r>
      <w:r w:rsidR="005D6C5F">
        <w:rPr>
          <w:rFonts w:asciiTheme="minorBidi" w:hAnsiTheme="minorBidi"/>
          <w:lang w:val="en-US"/>
        </w:rPr>
        <w:lastRenderedPageBreak/>
        <w:t xml:space="preserve">months changes of DNA methylation </w:t>
      </w:r>
      <w:r w:rsidR="00B43707">
        <w:rPr>
          <w:rFonts w:asciiTheme="minorBidi" w:hAnsiTheme="minorBidi"/>
          <w:lang w:val="en-US"/>
        </w:rPr>
        <w:t xml:space="preserve">correlations and between lifestyle group differences. </w:t>
      </w:r>
      <w:r w:rsidR="003A7B3F">
        <w:rPr>
          <w:rFonts w:asciiTheme="minorBidi" w:hAnsiTheme="minorBidi"/>
          <w:lang w:val="en-US"/>
        </w:rPr>
        <w:t xml:space="preserve"> </w:t>
      </w:r>
    </w:p>
    <w:p w14:paraId="066CF9C5" w14:textId="3DABAD68" w:rsidR="00FA792A" w:rsidRDefault="00526E3D" w:rsidP="006F1F77">
      <w:pPr>
        <w:spacing w:line="480" w:lineRule="auto"/>
        <w:rPr>
          <w:rFonts w:asciiTheme="minorBidi" w:hAnsiTheme="minorBidi"/>
          <w:lang w:val="en-US"/>
        </w:rPr>
      </w:pPr>
      <w:r>
        <w:rPr>
          <w:rFonts w:asciiTheme="minorBidi" w:hAnsiTheme="minorBidi"/>
          <w:lang w:val="en-US"/>
        </w:rPr>
        <w:t xml:space="preserve">The </w:t>
      </w:r>
      <w:r w:rsidR="0054078A">
        <w:rPr>
          <w:rFonts w:asciiTheme="minorBidi" w:hAnsiTheme="minorBidi"/>
          <w:lang w:val="en-US"/>
        </w:rPr>
        <w:t xml:space="preserve">18-month change in IHF% was found to be </w:t>
      </w:r>
      <w:r w:rsidR="00D04835">
        <w:rPr>
          <w:rFonts w:asciiTheme="minorBidi" w:hAnsiTheme="minorBidi"/>
          <w:lang w:val="en-US"/>
        </w:rPr>
        <w:t xml:space="preserve">marginally </w:t>
      </w:r>
      <w:r w:rsidR="0054078A">
        <w:rPr>
          <w:rFonts w:asciiTheme="minorBidi" w:hAnsiTheme="minorBidi"/>
          <w:lang w:val="en-US"/>
        </w:rPr>
        <w:t xml:space="preserve">correlated with changes in the following </w:t>
      </w:r>
      <w:proofErr w:type="spellStart"/>
      <w:r w:rsidR="0054078A">
        <w:rPr>
          <w:rFonts w:asciiTheme="minorBidi" w:hAnsiTheme="minorBidi"/>
          <w:lang w:val="en-US"/>
        </w:rPr>
        <w:t>CpGs</w:t>
      </w:r>
      <w:proofErr w:type="spellEnd"/>
      <w:r w:rsidR="0054078A">
        <w:rPr>
          <w:rFonts w:asciiTheme="minorBidi" w:hAnsiTheme="minorBidi"/>
          <w:lang w:val="en-US"/>
        </w:rPr>
        <w:t xml:space="preserve">: (partial correlation, adjusted for </w:t>
      </w:r>
      <w:r w:rsidR="00D04835">
        <w:rPr>
          <w:rFonts w:asciiTheme="minorBidi" w:hAnsiTheme="minorBidi"/>
          <w:lang w:val="en-US"/>
        </w:rPr>
        <w:t xml:space="preserve">baseline IHF and baseline CpG) </w:t>
      </w:r>
      <w:r w:rsidR="00342A22" w:rsidRPr="00342A22">
        <w:rPr>
          <w:rFonts w:asciiTheme="minorBidi" w:hAnsiTheme="minorBidi"/>
          <w:lang w:val="en-US"/>
        </w:rPr>
        <w:t>cg00668495</w:t>
      </w:r>
      <w:r w:rsidR="00342A22">
        <w:rPr>
          <w:rFonts w:asciiTheme="minorBidi" w:hAnsiTheme="minorBidi"/>
          <w:lang w:val="en-US"/>
        </w:rPr>
        <w:t xml:space="preserve"> of </w:t>
      </w:r>
      <w:r w:rsidR="00342A22" w:rsidRPr="00342A22">
        <w:rPr>
          <w:rFonts w:asciiTheme="minorBidi" w:hAnsiTheme="minorBidi"/>
          <w:i/>
          <w:iCs/>
          <w:lang w:val="en-US"/>
        </w:rPr>
        <w:t>CRACR2A</w:t>
      </w:r>
      <w:r w:rsidR="00342A22">
        <w:rPr>
          <w:rFonts w:asciiTheme="minorBidi" w:hAnsiTheme="minorBidi"/>
          <w:lang w:val="en-US"/>
        </w:rPr>
        <w:t xml:space="preserve"> (r=0.174, p=0.07</w:t>
      </w:r>
      <w:r w:rsidR="00775C6A">
        <w:rPr>
          <w:rFonts w:asciiTheme="minorBidi" w:hAnsiTheme="minorBidi"/>
          <w:lang w:val="en-US"/>
        </w:rPr>
        <w:t>4</w:t>
      </w:r>
      <w:r w:rsidR="00342A22">
        <w:rPr>
          <w:rFonts w:asciiTheme="minorBidi" w:hAnsiTheme="minorBidi"/>
          <w:lang w:val="en-US"/>
        </w:rPr>
        <w:t xml:space="preserve">), and </w:t>
      </w:r>
      <w:r w:rsidR="00342A22" w:rsidRPr="00342A22">
        <w:rPr>
          <w:rFonts w:asciiTheme="minorBidi" w:hAnsiTheme="minorBidi"/>
          <w:lang w:val="en-US"/>
        </w:rPr>
        <w:t>cg02961200</w:t>
      </w:r>
      <w:r w:rsidR="00342A22">
        <w:rPr>
          <w:rFonts w:asciiTheme="minorBidi" w:hAnsiTheme="minorBidi"/>
          <w:lang w:val="en-US"/>
        </w:rPr>
        <w:t xml:space="preserve"> of </w:t>
      </w:r>
      <w:r w:rsidR="00342A22" w:rsidRPr="00342A22">
        <w:rPr>
          <w:rFonts w:asciiTheme="minorBidi" w:hAnsiTheme="minorBidi"/>
          <w:i/>
          <w:iCs/>
          <w:lang w:val="en-US"/>
        </w:rPr>
        <w:t>AC074286.1</w:t>
      </w:r>
      <w:r w:rsidR="00342A22">
        <w:rPr>
          <w:rFonts w:asciiTheme="minorBidi" w:hAnsiTheme="minorBidi"/>
          <w:lang w:val="en-US"/>
        </w:rPr>
        <w:t xml:space="preserve"> (</w:t>
      </w:r>
      <w:r w:rsidR="00775C6A">
        <w:rPr>
          <w:rFonts w:asciiTheme="minorBidi" w:hAnsiTheme="minorBidi"/>
          <w:lang w:val="en-US"/>
        </w:rPr>
        <w:t>r=-0.177, p=0.068)</w:t>
      </w:r>
      <w:r w:rsidR="00FA792A">
        <w:rPr>
          <w:rFonts w:asciiTheme="minorBidi" w:hAnsiTheme="minorBidi"/>
          <w:lang w:val="en-US"/>
        </w:rPr>
        <w:t>.</w:t>
      </w:r>
      <w:r w:rsidR="00B43707">
        <w:rPr>
          <w:rFonts w:asciiTheme="minorBidi" w:hAnsiTheme="minorBidi"/>
          <w:lang w:val="en-US"/>
        </w:rPr>
        <w:t xml:space="preserve"> </w:t>
      </w:r>
      <w:r w:rsidR="002E5A70">
        <w:rPr>
          <w:rFonts w:asciiTheme="minorBidi" w:hAnsiTheme="minorBidi"/>
          <w:lang w:val="en-US"/>
        </w:rPr>
        <w:t xml:space="preserve">Further adjustment for potential epigenetic drivers (weight loss, PA, and type of diet) </w:t>
      </w:r>
      <w:r w:rsidR="00C5751C">
        <w:rPr>
          <w:rFonts w:asciiTheme="minorBidi" w:hAnsiTheme="minorBidi"/>
          <w:lang w:val="en-US"/>
        </w:rPr>
        <w:t xml:space="preserve">completely </w:t>
      </w:r>
      <w:r w:rsidR="002E5A70">
        <w:rPr>
          <w:rFonts w:asciiTheme="minorBidi" w:hAnsiTheme="minorBidi"/>
          <w:lang w:val="en-US"/>
        </w:rPr>
        <w:t xml:space="preserve">attenuated these marginal correlations. </w:t>
      </w:r>
    </w:p>
    <w:p w14:paraId="543BE6DD" w14:textId="2054A75A" w:rsidR="00B43707" w:rsidRPr="00C5751C" w:rsidRDefault="00B43707" w:rsidP="00C5751C">
      <w:pPr>
        <w:spacing w:line="480" w:lineRule="auto"/>
        <w:rPr>
          <w:rFonts w:asciiTheme="minorBidi" w:hAnsiTheme="minorBidi"/>
          <w:i/>
          <w:iCs/>
          <w:lang w:val="en-US"/>
        </w:rPr>
      </w:pPr>
      <w:r>
        <w:rPr>
          <w:rFonts w:asciiTheme="minorBidi" w:hAnsiTheme="minorBidi"/>
          <w:lang w:val="en-US"/>
        </w:rPr>
        <w:t xml:space="preserve">Different lifestyle </w:t>
      </w:r>
      <w:r w:rsidR="00526E3D">
        <w:rPr>
          <w:rFonts w:asciiTheme="minorBidi" w:hAnsiTheme="minorBidi"/>
          <w:lang w:val="en-US"/>
        </w:rPr>
        <w:t>interventions</w:t>
      </w:r>
      <w:r>
        <w:rPr>
          <w:rFonts w:asciiTheme="minorBidi" w:hAnsiTheme="minorBidi"/>
          <w:lang w:val="en-US"/>
        </w:rPr>
        <w:t xml:space="preserve"> resulted in differential methylation </w:t>
      </w:r>
      <w:r w:rsidR="00C666C4">
        <w:rPr>
          <w:rFonts w:asciiTheme="minorBidi" w:hAnsiTheme="minorBidi"/>
          <w:lang w:val="en-US"/>
        </w:rPr>
        <w:t xml:space="preserve">in some </w:t>
      </w:r>
      <w:proofErr w:type="spellStart"/>
      <w:r w:rsidR="00C666C4">
        <w:rPr>
          <w:rFonts w:asciiTheme="minorBidi" w:hAnsiTheme="minorBidi"/>
          <w:lang w:val="en-US"/>
        </w:rPr>
        <w:t>CpGs</w:t>
      </w:r>
      <w:proofErr w:type="spellEnd"/>
      <w:r w:rsidR="00C666C4">
        <w:rPr>
          <w:rFonts w:asciiTheme="minorBidi" w:hAnsiTheme="minorBidi"/>
          <w:lang w:val="en-US"/>
        </w:rPr>
        <w:t>, mostly between the PA groups (</w:t>
      </w:r>
      <w:r w:rsidR="00C666C4">
        <w:rPr>
          <w:rFonts w:asciiTheme="minorBidi" w:hAnsiTheme="minorBidi"/>
          <w:b/>
          <w:bCs/>
          <w:lang w:val="en-US"/>
        </w:rPr>
        <w:t>Table 3</w:t>
      </w:r>
      <w:r w:rsidR="00C666C4">
        <w:rPr>
          <w:rFonts w:asciiTheme="minorBidi" w:hAnsiTheme="minorBidi"/>
          <w:lang w:val="en-US"/>
        </w:rPr>
        <w:t xml:space="preserve">). </w:t>
      </w:r>
      <w:r w:rsidR="002E5A70">
        <w:rPr>
          <w:rFonts w:asciiTheme="minorBidi" w:hAnsiTheme="minorBidi"/>
          <w:lang w:val="en-US"/>
        </w:rPr>
        <w:t>Adding 18-month weight loss to the multivariate model</w:t>
      </w:r>
      <w:r w:rsidR="004B44E0">
        <w:rPr>
          <w:rFonts w:asciiTheme="minorBidi" w:hAnsiTheme="minorBidi"/>
          <w:lang w:val="en-US"/>
        </w:rPr>
        <w:t xml:space="preserve"> (accounting for </w:t>
      </w:r>
      <w:r w:rsidR="004B44E0" w:rsidRPr="00870443">
        <w:rPr>
          <w:rFonts w:asciiTheme="minorBidi" w:hAnsiTheme="minorBidi"/>
        </w:rPr>
        <w:t xml:space="preserve">baseline </w:t>
      </w:r>
      <w:r w:rsidR="004B44E0">
        <w:rPr>
          <w:rFonts w:asciiTheme="minorBidi" w:hAnsiTheme="minorBidi"/>
          <w:lang w:val="en-US"/>
        </w:rPr>
        <w:t>IHF</w:t>
      </w:r>
      <w:r w:rsidR="004B44E0" w:rsidRPr="00870443">
        <w:rPr>
          <w:rFonts w:asciiTheme="minorBidi" w:hAnsiTheme="minorBidi"/>
        </w:rPr>
        <w:t>, PA</w:t>
      </w:r>
      <w:r w:rsidR="004B44E0">
        <w:rPr>
          <w:rFonts w:asciiTheme="minorBidi" w:hAnsiTheme="minorBidi"/>
        </w:rPr>
        <w:t xml:space="preserve"> or </w:t>
      </w:r>
      <w:r w:rsidR="004B44E0">
        <w:rPr>
          <w:rFonts w:asciiTheme="minorBidi" w:hAnsiTheme="minorBidi"/>
          <w:lang w:val="en-US"/>
        </w:rPr>
        <w:t xml:space="preserve">type of </w:t>
      </w:r>
      <w:r w:rsidR="004B44E0" w:rsidRPr="00870443">
        <w:rPr>
          <w:rFonts w:asciiTheme="minorBidi" w:hAnsiTheme="minorBidi"/>
        </w:rPr>
        <w:t>diet</w:t>
      </w:r>
      <w:r w:rsidR="004B44E0">
        <w:rPr>
          <w:rFonts w:asciiTheme="minorBidi" w:hAnsiTheme="minorBidi"/>
          <w:lang w:val="en-US"/>
        </w:rPr>
        <w:t xml:space="preserve">, </w:t>
      </w:r>
      <w:r w:rsidR="004B44E0" w:rsidRPr="00870443">
        <w:rPr>
          <w:rFonts w:asciiTheme="minorBidi" w:hAnsiTheme="minorBidi"/>
        </w:rPr>
        <w:t>as appropriate, and baseline CpG in-interest</w:t>
      </w:r>
      <w:r w:rsidR="004B44E0">
        <w:rPr>
          <w:rFonts w:asciiTheme="minorBidi" w:hAnsiTheme="minorBidi"/>
          <w:lang w:val="en-US"/>
        </w:rPr>
        <w:t>)</w:t>
      </w:r>
      <w:r w:rsidR="002E5A70">
        <w:rPr>
          <w:rFonts w:asciiTheme="minorBidi" w:hAnsiTheme="minorBidi"/>
          <w:lang w:val="en-US"/>
        </w:rPr>
        <w:t xml:space="preserve"> did not affect </w:t>
      </w:r>
      <w:r w:rsidR="00C5751C">
        <w:rPr>
          <w:rFonts w:asciiTheme="minorBidi" w:hAnsiTheme="minorBidi"/>
          <w:lang w:val="en-US"/>
        </w:rPr>
        <w:t xml:space="preserve">the </w:t>
      </w:r>
      <w:r w:rsidR="002E5A70">
        <w:rPr>
          <w:rFonts w:asciiTheme="minorBidi" w:hAnsiTheme="minorBidi"/>
          <w:lang w:val="en-US"/>
        </w:rPr>
        <w:t>differences observed</w:t>
      </w:r>
      <w:r w:rsidR="004B44E0">
        <w:rPr>
          <w:rFonts w:asciiTheme="minorBidi" w:hAnsiTheme="minorBidi"/>
          <w:lang w:val="en-US"/>
        </w:rPr>
        <w:t xml:space="preserve"> </w:t>
      </w:r>
      <w:r w:rsidR="00C5751C">
        <w:rPr>
          <w:rFonts w:asciiTheme="minorBidi" w:hAnsiTheme="minorBidi"/>
          <w:lang w:val="en-US"/>
        </w:rPr>
        <w:t xml:space="preserve">between the PA groups </w:t>
      </w:r>
      <w:r w:rsidR="004B44E0">
        <w:rPr>
          <w:rFonts w:asciiTheme="minorBidi" w:hAnsiTheme="minorBidi"/>
          <w:lang w:val="en-US"/>
        </w:rPr>
        <w:t xml:space="preserve">for </w:t>
      </w:r>
      <w:r w:rsidR="004B44E0" w:rsidRPr="004B44E0">
        <w:rPr>
          <w:rFonts w:asciiTheme="minorBidi" w:hAnsiTheme="minorBidi"/>
          <w:lang w:val="en-US"/>
        </w:rPr>
        <w:t>cg02961200</w:t>
      </w:r>
      <w:r w:rsidR="004B44E0">
        <w:rPr>
          <w:rFonts w:asciiTheme="minorBidi" w:hAnsiTheme="minorBidi"/>
          <w:lang w:val="en-US"/>
        </w:rPr>
        <w:t xml:space="preserve"> of </w:t>
      </w:r>
      <w:r w:rsidR="004B44E0" w:rsidRPr="004B44E0">
        <w:rPr>
          <w:rFonts w:asciiTheme="minorBidi" w:hAnsiTheme="minorBidi"/>
          <w:i/>
          <w:iCs/>
          <w:lang w:val="en-US"/>
        </w:rPr>
        <w:t>AC074286.1</w:t>
      </w:r>
      <w:r w:rsidR="004B44E0">
        <w:rPr>
          <w:rFonts w:asciiTheme="minorBidi" w:hAnsiTheme="minorBidi"/>
          <w:lang w:val="en-US"/>
        </w:rPr>
        <w:t xml:space="preserve"> </w:t>
      </w:r>
      <w:r w:rsidR="00C5751C">
        <w:rPr>
          <w:rFonts w:asciiTheme="minorBidi" w:hAnsiTheme="minorBidi"/>
          <w:lang w:val="en-US"/>
        </w:rPr>
        <w:t xml:space="preserve">and cg21126338 of </w:t>
      </w:r>
      <w:r w:rsidR="00C5751C">
        <w:rPr>
          <w:rFonts w:asciiTheme="minorBidi" w:hAnsiTheme="minorBidi"/>
          <w:i/>
          <w:iCs/>
          <w:lang w:val="en-US"/>
        </w:rPr>
        <w:t>FARP1</w:t>
      </w:r>
      <w:r w:rsidR="00C5751C">
        <w:rPr>
          <w:rFonts w:asciiTheme="minorBidi" w:hAnsiTheme="minorBidi"/>
          <w:lang w:val="en-US"/>
        </w:rPr>
        <w:t xml:space="preserve"> </w:t>
      </w:r>
      <w:r w:rsidR="004B44E0">
        <w:rPr>
          <w:rFonts w:asciiTheme="minorBidi" w:hAnsiTheme="minorBidi"/>
          <w:lang w:val="en-US"/>
        </w:rPr>
        <w:t>(p=0.033</w:t>
      </w:r>
      <w:r w:rsidR="00C5751C">
        <w:rPr>
          <w:rFonts w:asciiTheme="minorBidi" w:hAnsiTheme="minorBidi"/>
          <w:lang w:val="en-US"/>
        </w:rPr>
        <w:t xml:space="preserve"> and p=0.02, respectively</w:t>
      </w:r>
      <w:r w:rsidR="004B44E0">
        <w:rPr>
          <w:rFonts w:asciiTheme="minorBidi" w:hAnsiTheme="minorBidi"/>
          <w:lang w:val="en-US"/>
        </w:rPr>
        <w:t xml:space="preserve">), </w:t>
      </w:r>
      <w:r w:rsidR="00C5751C">
        <w:rPr>
          <w:rFonts w:asciiTheme="minorBidi" w:hAnsiTheme="minorBidi"/>
          <w:lang w:val="en-US"/>
        </w:rPr>
        <w:t xml:space="preserve">and the difference in </w:t>
      </w:r>
      <w:r w:rsidR="004B44E0" w:rsidRPr="004B44E0">
        <w:rPr>
          <w:rFonts w:asciiTheme="minorBidi" w:hAnsiTheme="minorBidi"/>
          <w:lang w:val="en-US"/>
        </w:rPr>
        <w:t>cg14335324</w:t>
      </w:r>
      <w:r w:rsidR="004B44E0">
        <w:rPr>
          <w:rFonts w:asciiTheme="minorBidi" w:hAnsiTheme="minorBidi"/>
          <w:lang w:val="en-US"/>
        </w:rPr>
        <w:t xml:space="preserve"> of </w:t>
      </w:r>
      <w:r w:rsidR="004B44E0" w:rsidRPr="004B44E0">
        <w:rPr>
          <w:rFonts w:asciiTheme="minorBidi" w:hAnsiTheme="minorBidi"/>
          <w:i/>
          <w:iCs/>
          <w:lang w:val="en-US"/>
        </w:rPr>
        <w:t>A2MP1</w:t>
      </w:r>
      <w:r w:rsidR="00C5751C">
        <w:rPr>
          <w:rFonts w:asciiTheme="minorBidi" w:hAnsiTheme="minorBidi"/>
          <w:i/>
          <w:iCs/>
          <w:lang w:val="en-US"/>
        </w:rPr>
        <w:t xml:space="preserve"> </w:t>
      </w:r>
      <w:r w:rsidR="00C5751C" w:rsidRPr="00C5751C">
        <w:rPr>
          <w:rFonts w:asciiTheme="minorBidi" w:hAnsiTheme="minorBidi"/>
          <w:lang w:val="en-US"/>
        </w:rPr>
        <w:t>between the diet groups</w:t>
      </w:r>
      <w:r w:rsidR="004B44E0">
        <w:rPr>
          <w:rFonts w:asciiTheme="minorBidi" w:hAnsiTheme="minorBidi"/>
          <w:lang w:val="en-US"/>
        </w:rPr>
        <w:t xml:space="preserve"> (p=0.039)</w:t>
      </w:r>
      <w:r w:rsidR="00C5751C">
        <w:rPr>
          <w:rFonts w:asciiTheme="minorBidi" w:hAnsiTheme="minorBidi"/>
          <w:lang w:val="en-US"/>
        </w:rPr>
        <w:t xml:space="preserve">. </w:t>
      </w:r>
      <w:r w:rsidR="00526E3D">
        <w:rPr>
          <w:rFonts w:asciiTheme="minorBidi" w:hAnsiTheme="minorBidi"/>
          <w:lang w:val="en-US"/>
        </w:rPr>
        <w:t>Within-group</w:t>
      </w:r>
      <w:r w:rsidR="00C666C4">
        <w:rPr>
          <w:rFonts w:asciiTheme="minorBidi" w:hAnsiTheme="minorBidi"/>
          <w:lang w:val="en-US"/>
        </w:rPr>
        <w:t xml:space="preserve"> differences (T18 vs. T0) were observed for the following groups and </w:t>
      </w:r>
      <w:proofErr w:type="spellStart"/>
      <w:r w:rsidR="00C666C4">
        <w:rPr>
          <w:rFonts w:asciiTheme="minorBidi" w:hAnsiTheme="minorBidi"/>
          <w:lang w:val="en-US"/>
        </w:rPr>
        <w:t>CpGs</w:t>
      </w:r>
      <w:proofErr w:type="spellEnd"/>
      <w:r w:rsidR="00C666C4">
        <w:rPr>
          <w:rFonts w:asciiTheme="minorBidi" w:hAnsiTheme="minorBidi"/>
          <w:lang w:val="en-US"/>
        </w:rPr>
        <w:t xml:space="preserve">: </w:t>
      </w:r>
      <w:r w:rsidR="00915BEA">
        <w:rPr>
          <w:rFonts w:asciiTheme="minorBidi" w:hAnsiTheme="minorBidi"/>
          <w:lang w:val="en-US"/>
        </w:rPr>
        <w:t xml:space="preserve">a decrease in DNA methylation of </w:t>
      </w:r>
      <w:r w:rsidR="00C666C4" w:rsidRPr="00C666C4">
        <w:rPr>
          <w:rFonts w:asciiTheme="minorBidi" w:hAnsiTheme="minorBidi"/>
          <w:lang w:val="en-US"/>
        </w:rPr>
        <w:t>cg21126338</w:t>
      </w:r>
      <w:r w:rsidR="00C666C4">
        <w:rPr>
          <w:rFonts w:asciiTheme="minorBidi" w:hAnsiTheme="minorBidi"/>
          <w:lang w:val="en-US"/>
        </w:rPr>
        <w:t xml:space="preserve"> at </w:t>
      </w:r>
      <w:r w:rsidR="00C666C4" w:rsidRPr="004F63DC">
        <w:rPr>
          <w:rFonts w:asciiTheme="minorBidi" w:hAnsiTheme="minorBidi"/>
          <w:i/>
          <w:iCs/>
          <w:lang w:val="en-US"/>
        </w:rPr>
        <w:t>FARP1</w:t>
      </w:r>
      <w:r w:rsidR="00C666C4">
        <w:rPr>
          <w:rFonts w:asciiTheme="minorBidi" w:hAnsiTheme="minorBidi"/>
          <w:lang w:val="en-US"/>
        </w:rPr>
        <w:t xml:space="preserve"> for PA+ (p=0.014), </w:t>
      </w:r>
      <w:r w:rsidR="00915BEA">
        <w:rPr>
          <w:rFonts w:asciiTheme="minorBidi" w:hAnsiTheme="minorBidi"/>
          <w:lang w:val="en-US"/>
        </w:rPr>
        <w:t xml:space="preserve">an increase in methylation of </w:t>
      </w:r>
      <w:r w:rsidR="00C666C4" w:rsidRPr="00C666C4">
        <w:rPr>
          <w:rFonts w:asciiTheme="minorBidi" w:hAnsiTheme="minorBidi"/>
          <w:lang w:val="en-US"/>
        </w:rPr>
        <w:t>cg0066849</w:t>
      </w:r>
      <w:r w:rsidR="00C666C4">
        <w:rPr>
          <w:rFonts w:asciiTheme="minorBidi" w:hAnsiTheme="minorBidi"/>
          <w:lang w:val="en-US"/>
        </w:rPr>
        <w:t xml:space="preserve">5 at </w:t>
      </w:r>
      <w:r w:rsidR="00C666C4" w:rsidRPr="004F63DC">
        <w:rPr>
          <w:rFonts w:asciiTheme="minorBidi" w:hAnsiTheme="minorBidi"/>
          <w:i/>
          <w:iCs/>
          <w:lang w:val="en-US"/>
        </w:rPr>
        <w:t>CRACR2A</w:t>
      </w:r>
      <w:r w:rsidR="00C666C4">
        <w:rPr>
          <w:rFonts w:asciiTheme="minorBidi" w:hAnsiTheme="minorBidi"/>
          <w:lang w:val="en-US"/>
        </w:rPr>
        <w:t xml:space="preserve"> for PA- (p=0.001), and a marginal difference for </w:t>
      </w:r>
      <w:r w:rsidR="00C666C4" w:rsidRPr="00C666C4">
        <w:rPr>
          <w:rFonts w:asciiTheme="minorBidi" w:hAnsiTheme="minorBidi"/>
          <w:lang w:val="en-US"/>
        </w:rPr>
        <w:t>cg00071727</w:t>
      </w:r>
      <w:r w:rsidR="00C666C4">
        <w:rPr>
          <w:rFonts w:asciiTheme="minorBidi" w:hAnsiTheme="minorBidi"/>
          <w:lang w:val="en-US"/>
        </w:rPr>
        <w:t xml:space="preserve"> </w:t>
      </w:r>
      <w:r w:rsidR="00915BEA">
        <w:rPr>
          <w:rFonts w:asciiTheme="minorBidi" w:hAnsiTheme="minorBidi"/>
          <w:lang w:val="en-US"/>
        </w:rPr>
        <w:t>methylation</w:t>
      </w:r>
      <w:r w:rsidR="000C1230">
        <w:rPr>
          <w:rFonts w:asciiTheme="minorBidi" w:hAnsiTheme="minorBidi"/>
          <w:lang w:val="en-US"/>
        </w:rPr>
        <w:t>-</w:t>
      </w:r>
      <w:r w:rsidR="00915BEA">
        <w:rPr>
          <w:rFonts w:asciiTheme="minorBidi" w:hAnsiTheme="minorBidi"/>
          <w:lang w:val="en-US"/>
        </w:rPr>
        <w:t xml:space="preserve">increase </w:t>
      </w:r>
      <w:r w:rsidR="00C666C4">
        <w:rPr>
          <w:rFonts w:asciiTheme="minorBidi" w:hAnsiTheme="minorBidi"/>
          <w:lang w:val="en-US"/>
        </w:rPr>
        <w:t xml:space="preserve">at </w:t>
      </w:r>
      <w:r w:rsidR="00C666C4" w:rsidRPr="004F63DC">
        <w:rPr>
          <w:rFonts w:asciiTheme="minorBidi" w:hAnsiTheme="minorBidi"/>
          <w:i/>
          <w:iCs/>
          <w:lang w:val="en-US"/>
        </w:rPr>
        <w:t>FARP1</w:t>
      </w:r>
      <w:r w:rsidR="00C666C4">
        <w:rPr>
          <w:rFonts w:asciiTheme="minorBidi" w:hAnsiTheme="minorBidi"/>
          <w:lang w:val="en-US"/>
        </w:rPr>
        <w:t xml:space="preserve"> in the PA+ group (p=0.068). </w:t>
      </w:r>
    </w:p>
    <w:p w14:paraId="20BD31D8" w14:textId="44D51B24" w:rsidR="00C62D94" w:rsidRDefault="0093428A" w:rsidP="0093428A">
      <w:pPr>
        <w:spacing w:line="480" w:lineRule="auto"/>
        <w:rPr>
          <w:rFonts w:asciiTheme="minorBidi" w:hAnsiTheme="minorBidi"/>
          <w:lang w:val="en-US"/>
        </w:rPr>
      </w:pPr>
      <w:r>
        <w:rPr>
          <w:rFonts w:asciiTheme="minorBidi" w:hAnsiTheme="minorBidi"/>
          <w:lang w:val="en-US"/>
        </w:rPr>
        <w:t xml:space="preserve">No correlations were observed between </w:t>
      </w:r>
      <w:r w:rsidR="00526E3D">
        <w:rPr>
          <w:rFonts w:asciiTheme="minorBidi" w:hAnsiTheme="minorBidi"/>
          <w:lang w:val="en-US"/>
        </w:rPr>
        <w:t xml:space="preserve">the </w:t>
      </w:r>
      <w:r>
        <w:rPr>
          <w:rFonts w:asciiTheme="minorBidi" w:hAnsiTheme="minorBidi"/>
          <w:lang w:val="en-US"/>
        </w:rPr>
        <w:t xml:space="preserve">change in the 5 </w:t>
      </w:r>
      <w:proofErr w:type="spellStart"/>
      <w:r>
        <w:rPr>
          <w:rFonts w:asciiTheme="minorBidi" w:hAnsiTheme="minorBidi"/>
          <w:lang w:val="en-US"/>
        </w:rPr>
        <w:t>CpGs</w:t>
      </w:r>
      <w:proofErr w:type="spellEnd"/>
      <w:r>
        <w:rPr>
          <w:rFonts w:asciiTheme="minorBidi" w:hAnsiTheme="minorBidi"/>
          <w:lang w:val="en-US"/>
        </w:rPr>
        <w:t xml:space="preserve"> and liver enzymes, glycemic and lipid biomarkers</w:t>
      </w:r>
      <w:r w:rsidR="009309A7">
        <w:rPr>
          <w:rFonts w:asciiTheme="minorBidi" w:hAnsiTheme="minorBidi"/>
          <w:lang w:val="en-US"/>
        </w:rPr>
        <w:t xml:space="preserve"> 18-month changes</w:t>
      </w:r>
      <w:r>
        <w:rPr>
          <w:rFonts w:asciiTheme="minorBidi" w:hAnsiTheme="minorBidi"/>
          <w:lang w:val="en-US"/>
        </w:rPr>
        <w:t xml:space="preserve">. </w:t>
      </w:r>
    </w:p>
    <w:p w14:paraId="705F9CBA" w14:textId="03BDF28D" w:rsidR="00DC030B" w:rsidRPr="00B81F2B" w:rsidRDefault="00D43C96" w:rsidP="008B7584">
      <w:pPr>
        <w:spacing w:line="480" w:lineRule="auto"/>
        <w:rPr>
          <w:rFonts w:asciiTheme="minorBidi" w:hAnsiTheme="minorBidi"/>
          <w:b/>
          <w:bCs/>
          <w:u w:val="single"/>
          <w:rtl/>
          <w:lang w:val="en-US"/>
        </w:rPr>
      </w:pPr>
      <w:r w:rsidRPr="00B81F2B">
        <w:rPr>
          <w:rFonts w:asciiTheme="minorBidi" w:hAnsiTheme="minorBidi"/>
          <w:b/>
          <w:bCs/>
          <w:u w:val="single"/>
          <w:lang w:val="en-US"/>
        </w:rPr>
        <w:t>Discussion</w:t>
      </w:r>
    </w:p>
    <w:p w14:paraId="1F0C7EF6" w14:textId="5862F6B1" w:rsidR="00151639" w:rsidRPr="00B81F2B" w:rsidRDefault="000B19F9" w:rsidP="00297798">
      <w:pPr>
        <w:spacing w:line="480" w:lineRule="auto"/>
        <w:rPr>
          <w:rFonts w:asciiTheme="minorBidi" w:hAnsiTheme="minorBidi"/>
        </w:rPr>
      </w:pPr>
      <w:bookmarkStart w:id="10" w:name="_Hlk28520252"/>
      <w:r w:rsidRPr="00B81F2B">
        <w:rPr>
          <w:rFonts w:asciiTheme="minorBidi" w:hAnsiTheme="minorBidi"/>
          <w:color w:val="000000"/>
        </w:rPr>
        <w:t xml:space="preserve">The results of this sub-study of the CENTRAL trial suggest </w:t>
      </w:r>
      <w:r w:rsidR="00AC5E21" w:rsidRPr="00B81F2B">
        <w:rPr>
          <w:rFonts w:asciiTheme="minorBidi" w:hAnsiTheme="minorBidi"/>
          <w:color w:val="000000"/>
        </w:rPr>
        <w:t xml:space="preserve">an </w:t>
      </w:r>
      <w:r w:rsidR="00F935A6" w:rsidRPr="00B81F2B">
        <w:rPr>
          <w:rFonts w:asciiTheme="minorBidi" w:hAnsiTheme="minorBidi"/>
        </w:rPr>
        <w:t xml:space="preserve">association of </w:t>
      </w:r>
      <w:r w:rsidR="00151639" w:rsidRPr="00B81F2B">
        <w:rPr>
          <w:rFonts w:asciiTheme="minorBidi" w:hAnsiTheme="minorBidi"/>
        </w:rPr>
        <w:t xml:space="preserve">distinct </w:t>
      </w:r>
      <w:r w:rsidR="00A3207F" w:rsidRPr="00B81F2B">
        <w:rPr>
          <w:rFonts w:asciiTheme="minorBidi" w:hAnsiTheme="minorBidi"/>
        </w:rPr>
        <w:t>DNA</w:t>
      </w:r>
      <w:r w:rsidR="0080037B" w:rsidRPr="00B81F2B">
        <w:rPr>
          <w:rFonts w:asciiTheme="minorBidi" w:hAnsiTheme="minorBidi"/>
        </w:rPr>
        <w:t xml:space="preserve"> </w:t>
      </w:r>
      <w:r w:rsidR="00A3207F" w:rsidRPr="00B81F2B">
        <w:rPr>
          <w:rFonts w:asciiTheme="minorBidi" w:hAnsiTheme="minorBidi"/>
        </w:rPr>
        <w:t>methylation patterns</w:t>
      </w:r>
      <w:r w:rsidR="00297798">
        <w:rPr>
          <w:rFonts w:asciiTheme="minorBidi" w:hAnsiTheme="minorBidi"/>
        </w:rPr>
        <w:t xml:space="preserve">, genetic variation, </w:t>
      </w:r>
      <w:r w:rsidR="000E5D37">
        <w:rPr>
          <w:rFonts w:asciiTheme="minorBidi" w:hAnsiTheme="minorBidi"/>
        </w:rPr>
        <w:t xml:space="preserve">and MRI measured </w:t>
      </w:r>
      <w:r w:rsidRPr="00B81F2B">
        <w:rPr>
          <w:rFonts w:asciiTheme="minorBidi" w:hAnsiTheme="minorBidi"/>
          <w:color w:val="000000"/>
        </w:rPr>
        <w:t xml:space="preserve">intrahepatic fat </w:t>
      </w:r>
      <w:r w:rsidR="00F935A6" w:rsidRPr="00B81F2B">
        <w:rPr>
          <w:rFonts w:asciiTheme="minorBidi" w:hAnsiTheme="minorBidi"/>
          <w:color w:val="000000"/>
        </w:rPr>
        <w:t>accumulation</w:t>
      </w:r>
      <w:r w:rsidR="00297798">
        <w:rPr>
          <w:rFonts w:asciiTheme="minorBidi" w:hAnsiTheme="minorBidi"/>
          <w:color w:val="000000"/>
        </w:rPr>
        <w:t xml:space="preserve">. </w:t>
      </w:r>
      <w:r w:rsidR="007B10D4" w:rsidRPr="00B81F2B">
        <w:rPr>
          <w:rFonts w:asciiTheme="minorBidi" w:hAnsiTheme="minorBidi"/>
          <w:color w:val="000000"/>
        </w:rPr>
        <w:t>We</w:t>
      </w:r>
      <w:r w:rsidR="0082787F" w:rsidRPr="00B81F2B">
        <w:rPr>
          <w:rFonts w:asciiTheme="minorBidi" w:hAnsiTheme="minorBidi"/>
          <w:color w:val="000000"/>
        </w:rPr>
        <w:t xml:space="preserve"> </w:t>
      </w:r>
      <w:r w:rsidR="001926C2" w:rsidRPr="00B81F2B">
        <w:rPr>
          <w:rFonts w:asciiTheme="minorBidi" w:hAnsiTheme="minorBidi"/>
          <w:color w:val="000000"/>
        </w:rPr>
        <w:t>detected</w:t>
      </w:r>
      <w:r w:rsidR="0082787F" w:rsidRPr="00B81F2B">
        <w:rPr>
          <w:rFonts w:asciiTheme="minorBidi" w:hAnsiTheme="minorBidi"/>
          <w:color w:val="000000"/>
        </w:rPr>
        <w:t xml:space="preserve"> differential methylat</w:t>
      </w:r>
      <w:r w:rsidR="001926C2" w:rsidRPr="00B81F2B">
        <w:rPr>
          <w:rFonts w:asciiTheme="minorBidi" w:hAnsiTheme="minorBidi"/>
          <w:color w:val="000000"/>
        </w:rPr>
        <w:t xml:space="preserve">ion </w:t>
      </w:r>
      <w:r w:rsidR="0082787F" w:rsidRPr="00B81F2B">
        <w:rPr>
          <w:rFonts w:asciiTheme="minorBidi" w:hAnsiTheme="minorBidi"/>
          <w:color w:val="000000"/>
        </w:rPr>
        <w:t xml:space="preserve">between </w:t>
      </w:r>
      <w:r w:rsidR="00357376" w:rsidRPr="00B81F2B">
        <w:rPr>
          <w:rFonts w:asciiTheme="minorBidi" w:hAnsiTheme="minorBidi"/>
          <w:color w:val="000000"/>
        </w:rPr>
        <w:t xml:space="preserve">participants adhering to </w:t>
      </w:r>
      <w:r w:rsidR="00C62D94">
        <w:rPr>
          <w:rFonts w:asciiTheme="minorBidi" w:hAnsiTheme="minorBidi"/>
          <w:color w:val="000000"/>
        </w:rPr>
        <w:lastRenderedPageBreak/>
        <w:t xml:space="preserve">either diet or </w:t>
      </w:r>
      <w:r w:rsidR="00297798">
        <w:rPr>
          <w:rFonts w:asciiTheme="minorBidi" w:hAnsiTheme="minorBidi"/>
          <w:color w:val="000000"/>
        </w:rPr>
        <w:t xml:space="preserve">physical activity </w:t>
      </w:r>
      <w:r w:rsidR="000E5D37">
        <w:rPr>
          <w:rFonts w:asciiTheme="minorBidi" w:hAnsiTheme="minorBidi"/>
          <w:color w:val="000000"/>
        </w:rPr>
        <w:t>regimen</w:t>
      </w:r>
      <w:r w:rsidR="00C62D94">
        <w:rPr>
          <w:rFonts w:asciiTheme="minorBidi" w:hAnsiTheme="minorBidi"/>
          <w:color w:val="000000"/>
        </w:rPr>
        <w:t>,</w:t>
      </w:r>
      <w:r w:rsidR="00115215" w:rsidRPr="00B81F2B">
        <w:rPr>
          <w:rFonts w:asciiTheme="minorBidi" w:hAnsiTheme="minorBidi"/>
          <w:color w:val="000000"/>
        </w:rPr>
        <w:t xml:space="preserve"> </w:t>
      </w:r>
      <w:r w:rsidR="00526E3D">
        <w:rPr>
          <w:rFonts w:asciiTheme="minorBidi" w:hAnsiTheme="minorBidi"/>
          <w:color w:val="000000"/>
        </w:rPr>
        <w:t>which</w:t>
      </w:r>
      <w:r w:rsidR="00115215" w:rsidRPr="00B81F2B">
        <w:rPr>
          <w:rFonts w:asciiTheme="minorBidi" w:hAnsiTheme="minorBidi"/>
          <w:color w:val="000000"/>
        </w:rPr>
        <w:t xml:space="preserve"> might </w:t>
      </w:r>
      <w:r w:rsidR="00357376" w:rsidRPr="00B81F2B">
        <w:rPr>
          <w:rFonts w:asciiTheme="minorBidi" w:hAnsiTheme="minorBidi"/>
          <w:color w:val="000000"/>
        </w:rPr>
        <w:t>provide</w:t>
      </w:r>
      <w:r w:rsidR="009D51E3" w:rsidRPr="00B81F2B">
        <w:rPr>
          <w:rFonts w:asciiTheme="minorBidi" w:hAnsiTheme="minorBidi"/>
          <w:color w:val="000000"/>
        </w:rPr>
        <w:t xml:space="preserve"> evidence for a</w:t>
      </w:r>
      <w:r w:rsidR="00115215" w:rsidRPr="00B81F2B">
        <w:rPr>
          <w:rFonts w:asciiTheme="minorBidi" w:hAnsiTheme="minorBidi"/>
          <w:color w:val="000000"/>
        </w:rPr>
        <w:t xml:space="preserve">n epigenetic </w:t>
      </w:r>
      <w:r w:rsidR="00E2109E" w:rsidRPr="000E5D37">
        <w:rPr>
          <w:rFonts w:asciiTheme="minorBidi" w:hAnsiTheme="minorBidi"/>
          <w:color w:val="000000"/>
          <w:lang w:val="en-US"/>
        </w:rPr>
        <w:t>remodeling</w:t>
      </w:r>
      <w:r w:rsidR="00115215" w:rsidRPr="00B81F2B">
        <w:rPr>
          <w:rFonts w:asciiTheme="minorBidi" w:hAnsiTheme="minorBidi"/>
          <w:color w:val="000000"/>
        </w:rPr>
        <w:t xml:space="preserve"> following </w:t>
      </w:r>
      <w:r w:rsidR="00AC5E21" w:rsidRPr="00B81F2B">
        <w:rPr>
          <w:rFonts w:asciiTheme="minorBidi" w:hAnsiTheme="minorBidi"/>
          <w:color w:val="000000"/>
        </w:rPr>
        <w:t xml:space="preserve">a </w:t>
      </w:r>
      <w:r w:rsidR="00297798">
        <w:rPr>
          <w:rFonts w:asciiTheme="minorBidi" w:hAnsiTheme="minorBidi"/>
          <w:color w:val="000000"/>
        </w:rPr>
        <w:t>lifestyle</w:t>
      </w:r>
      <w:r w:rsidR="00115215" w:rsidRPr="00B81F2B">
        <w:rPr>
          <w:rFonts w:asciiTheme="minorBidi" w:hAnsiTheme="minorBidi"/>
          <w:color w:val="000000"/>
        </w:rPr>
        <w:t xml:space="preserve"> intervention. </w:t>
      </w:r>
    </w:p>
    <w:p w14:paraId="6D091FC5" w14:textId="27BE1E5B" w:rsidR="0021152E" w:rsidRDefault="00520315" w:rsidP="007E6643">
      <w:pPr>
        <w:spacing w:before="120" w:line="480" w:lineRule="auto"/>
        <w:rPr>
          <w:rFonts w:asciiTheme="minorBidi" w:hAnsiTheme="minorBidi"/>
        </w:rPr>
      </w:pPr>
      <w:bookmarkStart w:id="11" w:name="_Hlk28520308"/>
      <w:bookmarkStart w:id="12" w:name="_Hlk37524506"/>
      <w:bookmarkEnd w:id="10"/>
      <w:r w:rsidRPr="00B81F2B">
        <w:rPr>
          <w:rFonts w:asciiTheme="minorBidi" w:hAnsiTheme="minorBidi"/>
        </w:rPr>
        <w:t>At baseline, w</w:t>
      </w:r>
      <w:r w:rsidR="00207497" w:rsidRPr="00B81F2B">
        <w:rPr>
          <w:rFonts w:asciiTheme="minorBidi" w:hAnsiTheme="minorBidi"/>
        </w:rPr>
        <w:t>e</w:t>
      </w:r>
      <w:r w:rsidR="00F96EF2" w:rsidRPr="00B81F2B">
        <w:rPr>
          <w:rFonts w:asciiTheme="minorBidi" w:hAnsiTheme="minorBidi"/>
        </w:rPr>
        <w:t xml:space="preserve"> </w:t>
      </w:r>
      <w:r w:rsidR="00B70CF2" w:rsidRPr="00B81F2B">
        <w:rPr>
          <w:rFonts w:asciiTheme="minorBidi" w:hAnsiTheme="minorBidi"/>
        </w:rPr>
        <w:t xml:space="preserve">searched for </w:t>
      </w:r>
      <w:r w:rsidR="00F96EF2" w:rsidRPr="00B81F2B">
        <w:rPr>
          <w:rFonts w:asciiTheme="minorBidi" w:hAnsiTheme="minorBidi"/>
        </w:rPr>
        <w:t xml:space="preserve">specific CpGs </w:t>
      </w:r>
      <w:r w:rsidR="00097023" w:rsidRPr="00B81F2B">
        <w:rPr>
          <w:rFonts w:asciiTheme="minorBidi" w:hAnsiTheme="minorBidi"/>
        </w:rPr>
        <w:t>correlat</w:t>
      </w:r>
      <w:r w:rsidR="00B70CF2" w:rsidRPr="00B81F2B">
        <w:rPr>
          <w:rFonts w:asciiTheme="minorBidi" w:hAnsiTheme="minorBidi"/>
        </w:rPr>
        <w:t>ed</w:t>
      </w:r>
      <w:r w:rsidR="00F96EF2" w:rsidRPr="00B81F2B">
        <w:rPr>
          <w:rFonts w:asciiTheme="minorBidi" w:hAnsiTheme="minorBidi"/>
        </w:rPr>
        <w:t xml:space="preserve"> with IHF</w:t>
      </w:r>
      <w:r w:rsidR="00097023" w:rsidRPr="00B81F2B">
        <w:rPr>
          <w:rFonts w:asciiTheme="minorBidi" w:hAnsiTheme="minorBidi"/>
          <w:lang w:val="en-US"/>
        </w:rPr>
        <w:t xml:space="preserve"> as measured by MRI</w:t>
      </w:r>
      <w:r w:rsidR="00097023" w:rsidRPr="00B81F2B">
        <w:rPr>
          <w:rFonts w:asciiTheme="minorBidi" w:hAnsiTheme="minorBidi"/>
        </w:rPr>
        <w:t xml:space="preserve"> </w:t>
      </w:r>
      <w:r w:rsidR="000C67AF" w:rsidRPr="00B81F2B">
        <w:rPr>
          <w:rFonts w:asciiTheme="minorBidi" w:hAnsiTheme="minorBidi"/>
        </w:rPr>
        <w:t>and further</w:t>
      </w:r>
      <w:r w:rsidR="007B349C" w:rsidRPr="00B81F2B">
        <w:rPr>
          <w:rFonts w:asciiTheme="minorBidi" w:hAnsiTheme="minorBidi"/>
        </w:rPr>
        <w:t xml:space="preserve"> </w:t>
      </w:r>
      <w:r w:rsidR="00097023" w:rsidRPr="00B81F2B">
        <w:rPr>
          <w:rFonts w:asciiTheme="minorBidi" w:hAnsiTheme="minorBidi"/>
        </w:rPr>
        <w:t>adjust</w:t>
      </w:r>
      <w:r w:rsidR="000C67AF" w:rsidRPr="00B81F2B">
        <w:rPr>
          <w:rFonts w:asciiTheme="minorBidi" w:hAnsiTheme="minorBidi"/>
        </w:rPr>
        <w:t>ed</w:t>
      </w:r>
      <w:r w:rsidR="007B349C" w:rsidRPr="00B81F2B">
        <w:rPr>
          <w:rFonts w:asciiTheme="minorBidi" w:hAnsiTheme="minorBidi"/>
        </w:rPr>
        <w:t xml:space="preserve"> </w:t>
      </w:r>
      <w:r w:rsidR="00097023" w:rsidRPr="00B81F2B">
        <w:rPr>
          <w:rFonts w:asciiTheme="minorBidi" w:hAnsiTheme="minorBidi"/>
        </w:rPr>
        <w:t xml:space="preserve">for other factors tightly associated with </w:t>
      </w:r>
      <w:r w:rsidR="00BC3B7F" w:rsidRPr="00B81F2B">
        <w:rPr>
          <w:rFonts w:asciiTheme="minorBidi" w:hAnsiTheme="minorBidi"/>
        </w:rPr>
        <w:t>IHF</w:t>
      </w:r>
      <w:r w:rsidR="00F96EF2" w:rsidRPr="00B81F2B">
        <w:rPr>
          <w:rFonts w:asciiTheme="minorBidi" w:hAnsiTheme="minorBidi"/>
        </w:rPr>
        <w:t>.</w:t>
      </w:r>
      <w:r w:rsidR="00F525FB" w:rsidRPr="00B81F2B">
        <w:rPr>
          <w:rFonts w:asciiTheme="minorBidi" w:hAnsiTheme="minorBidi"/>
        </w:rPr>
        <w:t xml:space="preserve"> Previous studies showed that DNA methylation signatures might reflect hepatosteatosis and liver fibrosis</w:t>
      </w:r>
      <w:r w:rsidR="00C9020F" w:rsidRPr="00B81F2B">
        <w:rPr>
          <w:rFonts w:asciiTheme="minorBidi" w:hAnsiTheme="minorBidi"/>
        </w:rPr>
        <w:t xml:space="preserve"> </w:t>
      </w:r>
      <w:r w:rsidR="00C9020F" w:rsidRPr="00B81F2B">
        <w:rPr>
          <w:rFonts w:asciiTheme="minorBidi" w:hAnsiTheme="minorBidi"/>
        </w:rPr>
        <w:fldChar w:fldCharType="begin" w:fldLock="1"/>
      </w:r>
      <w:r w:rsidR="00BD25E2">
        <w:rPr>
          <w:rFonts w:asciiTheme="minorBidi" w:hAnsiTheme="minorBidi"/>
        </w:rPr>
        <w:instrText>ADDIN CSL_CITATION {"citationItems":[{"id":"ITEM-1","itemData":{"PMID":"27002005","author":[{"dropping-particle":"","family":"Hardy","given":"Timothy","non-dropping-particle":"","parse-names":false,"suffix":""},{"dropping-particle":"","family":"Zeybel","given":"Mujdat","non-dropping-particle":"","parse-names":false,"suffix":""},{"dropping-particle":"","family":"Day","given":"Christopher P","non-dropping-particle":"","parse-names":false,"suffix":""},{"dropping-particle":"","family":"Dipper","given":"Christian","non-dropping-particle":"","parse-names":false,"suffix":""},{"dropping-particle":"","family":"Masson","given":"Steven","non-dropping-particle":"","parse-names":false,"suffix":""},{"dropping-particle":"","family":"McPherson","given":"Stuart","non-dropping-particle":"","parse-names":false,"suffix":""},{"dropping-particle":"","family":"Henderson","given":"Elsbeth","non-dropping-particle":"","parse-names":false,"suffix":""},{"dropping-particle":"","family":"Tiniakos","given":"Dina","non-dropping-particle":"","parse-names":false,"suffix":""},{"dropping-particle":"","family":"White","given":"Steve","non-dropping-particle":"","parse-names":false,"suffix":""},{"dropping-particle":"","family":"French","given":"Jeremy","non-dropping-particle":"","parse-names":false,"suffix":""}],"container-title":"Gut","id":"ITEM-1","issue":"7","issued":{"date-parts":[["2017"]]},"note":"pmid:27002005","page":"1321-1328","title":"Plasma DNA methylation: a potential biomarker for stratification of liver fibrosis in non-alcoholic fatty liver disease","type":"article-journal","volume":"66"},"uris":["http://www.mendeley.com/documents/?uuid=ff2b96b0-e70d-3c0d-9a20-a3171f419852"]},{"id":"ITEM-2","itemData":{"author":[{"dropping-particle":"","family":"Zeybel","given":"Müjdat","non-dropping-particle":"","parse-names":false,"suffix":""},{"dropping-particle":"","family":"Hardy","given":"Timothy","non-dropping-particle":"","parse-names":false,"suffix":""},{"dropping-particle":"","family":"Robinson","given":"Stuart M","non-dropping-particle":"","parse-names":false,"suffix":""},{"dropping-particle":"","family":"Fox","given":"Christopher","non-dropping-particle":"","parse-names":false,"suffix":""},{"dropping-particle":"","family":"Anstee","given":"Quentin M","non-dropping-particle":"","parse-names":false,"suffix":""},{"dropping-particle":"","family":"Ness","given":"Thomas","non-dropping-particle":"","parse-names":false,"suffix":""},{"dropping-particle":"","family":"Masson","given":"Steven","non-dropping-particle":"","parse-names":false,"suffix":""},{"dropping-particle":"","family":"Mathers","given":"John C","non-dropping-particle":"","parse-names":false,"suffix":""},{"dropping-particle":"","family":"French","given":"Jeremy","non-dropping-particle":"","parse-names":false,"suffix":""},{"dropping-particle":"","family":"White","given":"Steve","non-dropping-particle":"","parse-names":false,"suffix":""}],"container-title":"Clinical epigenetics","id":"ITEM-2","issue":"1","issued":{"date-parts":[["2015"]]},"page":"25","title":"Differential DNA methylation of genes involved in fibrosis progression in non-alcoholic fatty liver disease and alcoholic liver disease","type":"article-journal","volume":"7"},"uris":["http://www.mendeley.com/documents/?uuid=2a6b2278-16d9-3b38-a5aa-105c238e7f49"]},{"id":"ITEM-3","itemData":{"author":[{"dropping-particle":"","family":"Murphy","given":"Susan K","non-dropping-particle":"","parse-names":false,"suffix":""},{"dropping-particle":"","family":"Yang","given":"Hyuna","non-dropping-particle":"","parse-names":false,"suffix":""},{"dropping-particle":"","family":"Moylan","given":"Cynthia A","non-dropping-particle":"","parse-names":false,"suffix":""},{"dropping-particle":"","family":"Pang","given":"Herbert","non-dropping-particle":"","parse-names":false,"suffix":""},{"dropping-particle":"","family":"Dellinger","given":"Andrew","non-dropping-particle":"","parse-names":false,"suffix":""},{"dropping-particle":"","family":"Abdelmalek","given":"Manal F","non-dropping-particle":"","parse-names":false,"suffix":""},{"dropping-particle":"","family":"Garrett","given":"Melanie E","non-dropping-particle":"","parse-names":false,"suffix":""},{"dropping-particle":"","family":"Ashley–Koch","given":"Allison","non-dropping-particle":"","parse-names":false,"suffix":""},{"dropping-particle":"","family":"Suzuki","given":"Ayako","non-dropping-particle":"","parse-names":false,"suffix":""},{"dropping-particle":"","family":"Tillmann","given":"Hans L","non-dropping-particle":"","parse-names":false,"suffix":""}],"container-title":"Gastroenterology","id":"ITEM-3","issue":"5","issued":{"date-parts":[["2013"]]},"page":"1076-1087","title":"Relationship between methylome and transcriptome in patients with nonalcoholic fatty liver disease","type":"article-journal","volume":"145"},"uris":["http://www.mendeley.com/documents/?uuid=a4c23f4c-7c7d-3ef2-b217-de1b56964d7b"]}],"mendeley":{"formattedCitation":"&lt;sup&gt;13,25,26&lt;/sup&gt;","plainTextFormattedCitation":"13,25,26","previouslyFormattedCitation":"&lt;sup&gt;13,25,26&lt;/sup&gt;"},"properties":{"noteIndex":0},"schema":"https://github.com/citation-style-language/schema/raw/master/csl-citation.json"}</w:instrText>
      </w:r>
      <w:r w:rsidR="00C9020F" w:rsidRPr="00B81F2B">
        <w:rPr>
          <w:rFonts w:asciiTheme="minorBidi" w:hAnsiTheme="minorBidi"/>
        </w:rPr>
        <w:fldChar w:fldCharType="separate"/>
      </w:r>
      <w:r w:rsidR="0071027E" w:rsidRPr="0071027E">
        <w:rPr>
          <w:rFonts w:asciiTheme="minorBidi" w:hAnsiTheme="minorBidi"/>
          <w:noProof/>
          <w:vertAlign w:val="superscript"/>
        </w:rPr>
        <w:t>13,25,26</w:t>
      </w:r>
      <w:r w:rsidR="00C9020F" w:rsidRPr="00B81F2B">
        <w:rPr>
          <w:rFonts w:asciiTheme="minorBidi" w:hAnsiTheme="minorBidi"/>
        </w:rPr>
        <w:fldChar w:fldCharType="end"/>
      </w:r>
      <w:r w:rsidR="00F525FB" w:rsidRPr="00B81F2B">
        <w:rPr>
          <w:rFonts w:asciiTheme="minorBidi" w:hAnsiTheme="minorBidi"/>
        </w:rPr>
        <w:t>, with differential DNA methylation of certain genes at specific regions.</w:t>
      </w:r>
      <w:r w:rsidR="00F96EF2" w:rsidRPr="00B81F2B">
        <w:rPr>
          <w:rFonts w:asciiTheme="minorBidi" w:hAnsiTheme="minorBidi"/>
        </w:rPr>
        <w:t xml:space="preserve"> </w:t>
      </w:r>
      <w:r w:rsidR="00FA728C">
        <w:rPr>
          <w:rFonts w:asciiTheme="minorBidi" w:hAnsiTheme="minorBidi"/>
        </w:rPr>
        <w:t xml:space="preserve">Furthermore, we recently showed that IHF, measured by MRI, is associated with biological age predicted by specific CpGs </w:t>
      </w:r>
      <w:r w:rsidR="00FA728C">
        <w:rPr>
          <w:rFonts w:asciiTheme="minorBidi" w:hAnsiTheme="minorBidi"/>
        </w:rPr>
        <w:fldChar w:fldCharType="begin" w:fldLock="1"/>
      </w:r>
      <w:r w:rsidR="00BD25E2">
        <w:rPr>
          <w:rFonts w:asciiTheme="minorBidi" w:hAnsiTheme="minorBidi"/>
        </w:rPr>
        <w:instrText>ADDIN CSL_CITATION {"citationItems":[{"id":"ITEM-1","itemData":{"ISSN":"1868-7083","author":[{"dropping-particle":"","family":"Meir","given":"Anat Yaskolka","non-dropping-particle":"","parse-names":false,"suffix":""},{"dropping-particle":"","family":"Keller","given":"Maria","non-dropping-particle":"","parse-names":false,"suffix":""},{"dropping-particle":"","family":"Bernhart","given":"Stephan H","non-dropping-particle":"","parse-names":false,"suffix":""},{"dropping-particle":"","family":"Rinott","given":"Ehud","non-dropping-particle":"","parse-names":false,"suffix":""},{"dropping-particle":"","family":"Tsaban","given":"Gal","non-dropping-particle":"","parse-names":false,"suffix":""},{"dropping-particle":"","family":"Zelicha","given":"Hila","non-dropping-particle":"","parse-names":false,"suffix":""},{"dropping-particle":"","family":"Kaplan","given":"Alon","non-dropping-particle":"","parse-names":false,"suffix":""},{"dropping-particle":"","family":"Schwarzfuchs","given":"Dan","non-dropping-particle":"","parse-names":false,"suffix":""},{"dropping-particle":"","family":"Shelef","given":"Ilan","non-dropping-particle":"","parse-names":false,"suffix":""},{"dropping-particle":"","family":"Gepner","given":"Yftach","non-dropping-particle":"","parse-names":false,"suffix":""}],"container-title":"Clinical epigenetics","id":"ITEM-1","issue":"1","issued":{"date-parts":[["2021"]]},"page":"1-10","publisher":"Springer","title":"Lifestyle weight-loss intervention may attenuate methylation aging: the CENTRAL MRI randomized controlled trial","type":"article-journal","volume":"13"},"uris":["http://www.mendeley.com/documents/?uuid=0c8bc7c1-6640-42af-a9ab-f9f76cf19ec0"]}],"mendeley":{"formattedCitation":"&lt;sup&gt;27&lt;/sup&gt;","plainTextFormattedCitation":"27","previouslyFormattedCitation":"&lt;sup&gt;27&lt;/sup&gt;"},"properties":{"noteIndex":0},"schema":"https://github.com/citation-style-language/schema/raw/master/csl-citation.json"}</w:instrText>
      </w:r>
      <w:r w:rsidR="00FA728C">
        <w:rPr>
          <w:rFonts w:asciiTheme="minorBidi" w:hAnsiTheme="minorBidi"/>
        </w:rPr>
        <w:fldChar w:fldCharType="separate"/>
      </w:r>
      <w:r w:rsidR="0071027E" w:rsidRPr="0071027E">
        <w:rPr>
          <w:rFonts w:asciiTheme="minorBidi" w:hAnsiTheme="minorBidi"/>
          <w:noProof/>
          <w:vertAlign w:val="superscript"/>
        </w:rPr>
        <w:t>27</w:t>
      </w:r>
      <w:r w:rsidR="00FA728C">
        <w:rPr>
          <w:rFonts w:asciiTheme="minorBidi" w:hAnsiTheme="minorBidi"/>
        </w:rPr>
        <w:fldChar w:fldCharType="end"/>
      </w:r>
      <w:r w:rsidR="00FA728C">
        <w:rPr>
          <w:rFonts w:asciiTheme="minorBidi" w:hAnsiTheme="minorBidi"/>
        </w:rPr>
        <w:t xml:space="preserve">. </w:t>
      </w:r>
      <w:r w:rsidR="00097023" w:rsidRPr="00B81F2B">
        <w:rPr>
          <w:rFonts w:asciiTheme="minorBidi" w:hAnsiTheme="minorBidi"/>
        </w:rPr>
        <w:t>Next, we examined which biomarkers correlated with the</w:t>
      </w:r>
      <w:r w:rsidR="00E83B43" w:rsidRPr="00B81F2B">
        <w:rPr>
          <w:rFonts w:asciiTheme="minorBidi" w:hAnsiTheme="minorBidi"/>
        </w:rPr>
        <w:t>se</w:t>
      </w:r>
      <w:r w:rsidR="00097023" w:rsidRPr="00B81F2B">
        <w:rPr>
          <w:rFonts w:asciiTheme="minorBidi" w:hAnsiTheme="minorBidi"/>
        </w:rPr>
        <w:t xml:space="preserve"> CpGs</w:t>
      </w:r>
      <w:r w:rsidR="007B349C" w:rsidRPr="00B81F2B">
        <w:rPr>
          <w:rFonts w:asciiTheme="minorBidi" w:hAnsiTheme="minorBidi"/>
        </w:rPr>
        <w:t xml:space="preserve"> </w:t>
      </w:r>
      <w:r w:rsidR="00E83B43" w:rsidRPr="00B81F2B">
        <w:rPr>
          <w:rFonts w:asciiTheme="minorBidi" w:hAnsiTheme="minorBidi"/>
        </w:rPr>
        <w:t xml:space="preserve">independent from </w:t>
      </w:r>
      <w:r w:rsidR="00097023" w:rsidRPr="00B81F2B">
        <w:rPr>
          <w:rFonts w:asciiTheme="minorBidi" w:hAnsiTheme="minorBidi"/>
        </w:rPr>
        <w:t xml:space="preserve">IHF, thus allowing us to </w:t>
      </w:r>
      <w:r w:rsidR="002067E6" w:rsidRPr="00B81F2B">
        <w:rPr>
          <w:rFonts w:asciiTheme="minorBidi" w:hAnsiTheme="minorBidi"/>
        </w:rPr>
        <w:t>highlight</w:t>
      </w:r>
      <w:r w:rsidR="00097023" w:rsidRPr="00B81F2B">
        <w:rPr>
          <w:rFonts w:asciiTheme="minorBidi" w:hAnsiTheme="minorBidi"/>
        </w:rPr>
        <w:t xml:space="preserve"> correlation</w:t>
      </w:r>
      <w:r w:rsidR="00E83B43" w:rsidRPr="00B81F2B">
        <w:rPr>
          <w:rFonts w:asciiTheme="minorBidi" w:hAnsiTheme="minorBidi"/>
        </w:rPr>
        <w:t>s</w:t>
      </w:r>
      <w:r w:rsidR="00097023" w:rsidRPr="00B81F2B">
        <w:rPr>
          <w:rFonts w:asciiTheme="minorBidi" w:hAnsiTheme="minorBidi"/>
        </w:rPr>
        <w:t xml:space="preserve"> between methylation level</w:t>
      </w:r>
      <w:r w:rsidR="00E83B43" w:rsidRPr="00B81F2B">
        <w:rPr>
          <w:rFonts w:asciiTheme="minorBidi" w:hAnsiTheme="minorBidi"/>
        </w:rPr>
        <w:t>s</w:t>
      </w:r>
      <w:r w:rsidR="00097023" w:rsidRPr="00B81F2B">
        <w:rPr>
          <w:rFonts w:asciiTheme="minorBidi" w:hAnsiTheme="minorBidi"/>
        </w:rPr>
        <w:t xml:space="preserve"> and liver enzymes</w:t>
      </w:r>
      <w:r w:rsidR="00B91FF2" w:rsidRPr="00B81F2B">
        <w:rPr>
          <w:rFonts w:asciiTheme="minorBidi" w:hAnsiTheme="minorBidi"/>
        </w:rPr>
        <w:t xml:space="preserve"> and</w:t>
      </w:r>
      <w:r w:rsidR="005A2B4D" w:rsidRPr="00B81F2B">
        <w:rPr>
          <w:rFonts w:asciiTheme="minorBidi" w:hAnsiTheme="minorBidi"/>
        </w:rPr>
        <w:t xml:space="preserve"> </w:t>
      </w:r>
      <w:r w:rsidR="00B91FF2" w:rsidRPr="00B81F2B">
        <w:rPr>
          <w:rFonts w:asciiTheme="minorBidi" w:hAnsiTheme="minorBidi"/>
        </w:rPr>
        <w:t>cardiometabolic blood indicators</w:t>
      </w:r>
      <w:bookmarkStart w:id="13" w:name="_Hlk37524957"/>
      <w:r w:rsidR="00D25FE5" w:rsidRPr="00B81F2B">
        <w:rPr>
          <w:rFonts w:asciiTheme="minorBidi" w:hAnsiTheme="minorBidi"/>
        </w:rPr>
        <w:t xml:space="preserve">. </w:t>
      </w:r>
      <w:r w:rsidR="00FE7396" w:rsidRPr="00B81F2B">
        <w:rPr>
          <w:rFonts w:asciiTheme="minorBidi" w:hAnsiTheme="minorBidi"/>
        </w:rPr>
        <w:t xml:space="preserve">Indeed, previous studies have demonstrated an association between blood DNA methylation of some genes and components related to metabolic syndrome, including </w:t>
      </w:r>
      <w:r w:rsidR="00BC3B7F" w:rsidRPr="00B81F2B">
        <w:rPr>
          <w:rFonts w:asciiTheme="minorBidi" w:hAnsiTheme="minorBidi"/>
        </w:rPr>
        <w:t xml:space="preserve">blood </w:t>
      </w:r>
      <w:r w:rsidR="00FE7396" w:rsidRPr="00B81F2B">
        <w:rPr>
          <w:rFonts w:asciiTheme="minorBidi" w:hAnsiTheme="minorBidi"/>
        </w:rPr>
        <w:t>lipid</w:t>
      </w:r>
      <w:r w:rsidR="00BC3B7F" w:rsidRPr="00B81F2B">
        <w:rPr>
          <w:rFonts w:asciiTheme="minorBidi" w:hAnsiTheme="minorBidi"/>
        </w:rPr>
        <w:t>s and markers of glycemia</w:t>
      </w:r>
      <w:r w:rsidR="00C9020F" w:rsidRPr="00B81F2B">
        <w:rPr>
          <w:rFonts w:asciiTheme="minorBidi" w:hAnsiTheme="minorBidi"/>
        </w:rPr>
        <w:t xml:space="preserve"> </w:t>
      </w:r>
      <w:r w:rsidR="00C9020F" w:rsidRPr="00B81F2B">
        <w:rPr>
          <w:rFonts w:asciiTheme="minorBidi" w:hAnsiTheme="minorBidi"/>
        </w:rPr>
        <w:fldChar w:fldCharType="begin" w:fldLock="1"/>
      </w:r>
      <w:r w:rsidR="00BD25E2">
        <w:rPr>
          <w:rFonts w:asciiTheme="minorBidi" w:hAnsiTheme="minorBidi"/>
        </w:rPr>
        <w:instrText>ADDIN CSL_CITATION {"citationItems":[{"id":"ITEM-1","itemData":{"author":[{"dropping-particle":"","family":"Braun","given":"Kim V E","non-dropping-particle":"","parse-names":false,"suffix":""},{"dropping-particle":"","family":"Voortman","given":"Trudy","non-dropping-particle":"","parse-names":false,"suffix":""},{"dropping-particle":"","family":"Dhana","given":"Klodian","non-dropping-particle":"","parse-names":false,"suffix":""},{"dropping-particle":"","family":"Troup","given":"Jenna","non-dropping-particle":"","parse-names":false,"suffix":""},{"dropping-particle":"","family":"Bramer","given":"Wichor M","non-dropping-particle":"","parse-names":false,"suffix":""},{"dropping-particle":"","family":"Troup","given":"John","non-dropping-particle":"","parse-names":false,"suffix":""},{"dropping-particle":"","family":"Chowdhury","given":"Rajiv","non-dropping-particle":"","parse-names":false,"suffix":""},{"dropping-particle":"","family":"Dehghan","given":"Abbas","non-dropping-particle":"","parse-names":false,"suffix":""},{"dropping-particle":"","family":"Muka","given":"Taulant","non-dropping-particle":"","parse-names":false,"suffix":""},{"dropping-particle":"","family":"Franco","given":"Oscar H","non-dropping-particle":"","parse-names":false,"suffix":""}],"container-title":"Progress in lipid research","id":"ITEM-1","issued":{"date-parts":[["2016"]]},"page":"178-191","title":"The role of DNA methylation in dyslipidaemia: A systematic review","type":"article-journal","volume":"64"},"uris":["http://www.mendeley.com/documents/?uuid=b096bb01-1340-3684-aae5-08616ad3b1cd"]},{"id":"ITEM-2","itemData":{"author":[{"dropping-particle":"","family":"Pearce","given":"Mark S","non-dropping-particle":"","parse-names":false,"suffix":""},{"dropping-particle":"","family":"McConnell","given":"James C","non-dropping-particle":"","parse-names":false,"suffix":""},{"dropping-particle":"","family":"Potter","given":"Catherine","non-dropping-particle":"","parse-names":false,"suffix":""},{"dropping-particle":"","family":"Barrett","given":"Laura M","non-dropping-particle":"","parse-names":false,"suffix":""},{"dropping-particle":"","family":"Parker","given":"Louise","non-dropping-particle":"","parse-names":false,"suffix":""},{"dropping-particle":"","family":"Mathers","given":"John C","non-dropping-particle":"","parse-names":false,"suffix":""},{"dropping-particle":"","family":"Relton","given":"Caroline L","non-dropping-particle":"","parse-names":false,"suffix":""}],"container-title":"International journal of epidemiology","id":"ITEM-2","issue":"1","issued":{"date-parts":[["2012"]]},"page":"210-217","title":"Global LINE-1 DNA methylation is associated with blood glycaemic and lipid profiles","type":"article-journal","volume":"41"},"uris":["http://www.mendeley.com/documents/?uuid=68128c48-101b-3807-854a-ea01e4ffe53b"]},{"id":"ITEM-3","itemData":{"author":[{"dropping-particle":"","family":"Mello","given":"Vanessa D","non-dropping-particle":"de","parse-names":false,"suffix":""},{"dropping-particle":"","family":"Matte","given":"Ashok","non-dropping-particle":"","parse-names":false,"suffix":""},{"dropping-particle":"","family":"Perfilyev","given":"Alexander","non-dropping-particle":"","parse-names":false,"suffix":""},{"dropping-particle":"","family":"Männistö","given":"Ville","non-dropping-particle":"","parse-names":false,"suffix":""},{"dropping-particle":"","family":"Rönn","given":"Tina","non-dropping-particle":"","parse-names":false,"suffix":""},{"dropping-particle":"","family":"Nilsson","given":"Emma","non-dropping-particle":"","parse-names":false,"suffix":""},{"dropping-particle":"","family":"Käkelä","given":"Pirjo","non-dropping-particle":"","parse-names":false,"suffix":""},{"dropping-particle":"","family":"Ling","given":"Charlotte","non-dropping-particle":"","parse-names":false,"suffix":""},{"dropping-particle":"","family":"Pihlajamäki","given":"Jussi","non-dropping-particle":"","parse-names":false,"suffix":""}],"container-title":"Epigenetics","id":"ITEM-3","issue":"4","issued":{"date-parts":[["2017"]]},"page":"287-295","title":"Human liver epigenetic alterations in non-alcoholic steatohepatitis are related to insulin action","type":"article-journal","volume":"12"},"uris":["http://www.mendeley.com/documents/?uuid=f76b3a0a-c24c-37c3-858a-a9d7821fa31d"]}],"mendeley":{"formattedCitation":"&lt;sup&gt;28–30&lt;/sup&gt;","plainTextFormattedCitation":"28–30","previouslyFormattedCitation":"&lt;sup&gt;28–30&lt;/sup&gt;"},"properties":{"noteIndex":0},"schema":"https://github.com/citation-style-language/schema/raw/master/csl-citation.json"}</w:instrText>
      </w:r>
      <w:r w:rsidR="00C9020F" w:rsidRPr="00B81F2B">
        <w:rPr>
          <w:rFonts w:asciiTheme="minorBidi" w:hAnsiTheme="minorBidi"/>
        </w:rPr>
        <w:fldChar w:fldCharType="separate"/>
      </w:r>
      <w:r w:rsidR="0071027E" w:rsidRPr="0071027E">
        <w:rPr>
          <w:rFonts w:asciiTheme="minorBidi" w:hAnsiTheme="minorBidi"/>
          <w:noProof/>
          <w:vertAlign w:val="superscript"/>
        </w:rPr>
        <w:t>28–30</w:t>
      </w:r>
      <w:r w:rsidR="00C9020F" w:rsidRPr="00B81F2B">
        <w:rPr>
          <w:rFonts w:asciiTheme="minorBidi" w:hAnsiTheme="minorBidi"/>
        </w:rPr>
        <w:fldChar w:fldCharType="end"/>
      </w:r>
      <w:r w:rsidR="00FE7396" w:rsidRPr="00B81F2B">
        <w:rPr>
          <w:rFonts w:asciiTheme="minorBidi" w:hAnsiTheme="minorBidi"/>
        </w:rPr>
        <w:t xml:space="preserve">, as well as liver enzymes </w:t>
      </w:r>
      <w:r w:rsidR="00C9020F" w:rsidRPr="00B81F2B">
        <w:rPr>
          <w:rFonts w:asciiTheme="minorBidi" w:hAnsiTheme="minorBidi"/>
        </w:rPr>
        <w:fldChar w:fldCharType="begin" w:fldLock="1"/>
      </w:r>
      <w:r w:rsidR="00BD25E2">
        <w:rPr>
          <w:rFonts w:asciiTheme="minorBidi" w:hAnsiTheme="minorBidi"/>
        </w:rPr>
        <w:instrText>ADDIN CSL_CITATION {"citationItems":[{"id":"ITEM-1","itemData":{"PMID":"26717317","author":[{"dropping-particle":"","family":"Wang","given":"Shuo","non-dropping-particle":"","parse-names":false,"suffix":""},{"dropping-particle":"","family":"Song","given":"Jieyun","non-dropping-particle":"","parse-names":false,"suffix":""},{"dropping-particle":"","family":"Yang","given":"Yide","non-dropping-particle":"","parse-names":false,"suffix":""},{"dropping-particle":"","family":"Zhang","given":"Yining","non-dropping-particle":"","parse-names":false,"suffix":""},{"dropping-particle":"","family":"Wang","given":"Haijun","non-dropping-particle":"","parse-names":false,"suffix":""},{"dropping-particle":"","family":"Ma","given":"Jun","non-dropping-particle":"","parse-names":false,"suffix":""}],"container-title":"PloS one","id":"ITEM-1","issue":"12","issued":{"date-parts":[["2015"]]},"note":"pmid:26717317","title":"HIF3A DNA methylation is associated with childhood obesity and ALT","type":"article-journal","volume":"10"},"uris":["http://www.mendeley.com/documents/?uuid=fca9e735-77ec-3972-ab6b-053cb4b6adc2"]}],"mendeley":{"formattedCitation":"&lt;sup&gt;31&lt;/sup&gt;","plainTextFormattedCitation":"31","previouslyFormattedCitation":"&lt;sup&gt;31&lt;/sup&gt;"},"properties":{"noteIndex":0},"schema":"https://github.com/citation-style-language/schema/raw/master/csl-citation.json"}</w:instrText>
      </w:r>
      <w:r w:rsidR="00C9020F" w:rsidRPr="00B81F2B">
        <w:rPr>
          <w:rFonts w:asciiTheme="minorBidi" w:hAnsiTheme="minorBidi"/>
        </w:rPr>
        <w:fldChar w:fldCharType="separate"/>
      </w:r>
      <w:r w:rsidR="0071027E" w:rsidRPr="0071027E">
        <w:rPr>
          <w:rFonts w:asciiTheme="minorBidi" w:hAnsiTheme="minorBidi"/>
          <w:noProof/>
          <w:vertAlign w:val="superscript"/>
        </w:rPr>
        <w:t>31</w:t>
      </w:r>
      <w:r w:rsidR="00C9020F" w:rsidRPr="00B81F2B">
        <w:rPr>
          <w:rFonts w:asciiTheme="minorBidi" w:hAnsiTheme="minorBidi"/>
        </w:rPr>
        <w:fldChar w:fldCharType="end"/>
      </w:r>
      <w:r w:rsidR="00FE7396" w:rsidRPr="00B81F2B">
        <w:rPr>
          <w:rFonts w:asciiTheme="minorBidi" w:hAnsiTheme="minorBidi"/>
        </w:rPr>
        <w:t xml:space="preserve">. </w:t>
      </w:r>
      <w:bookmarkEnd w:id="13"/>
      <w:r w:rsidR="00D25FE5" w:rsidRPr="00B81F2B">
        <w:rPr>
          <w:rFonts w:asciiTheme="minorBidi" w:hAnsiTheme="minorBidi"/>
        </w:rPr>
        <w:t xml:space="preserve">These associations are most </w:t>
      </w:r>
      <w:r w:rsidR="005B1A9C" w:rsidRPr="00B81F2B">
        <w:rPr>
          <w:rFonts w:asciiTheme="minorBidi" w:hAnsiTheme="minorBidi"/>
        </w:rPr>
        <w:t>conceivably</w:t>
      </w:r>
      <w:r w:rsidR="00D25FE5" w:rsidRPr="00B81F2B">
        <w:rPr>
          <w:rFonts w:asciiTheme="minorBidi" w:hAnsiTheme="minorBidi"/>
        </w:rPr>
        <w:t xml:space="preserve"> explained </w:t>
      </w:r>
      <w:r w:rsidR="00E2109E">
        <w:rPr>
          <w:rFonts w:asciiTheme="minorBidi" w:hAnsiTheme="minorBidi"/>
        </w:rPr>
        <w:t>because</w:t>
      </w:r>
      <w:r w:rsidR="00D25FE5" w:rsidRPr="00B81F2B">
        <w:rPr>
          <w:rFonts w:asciiTheme="minorBidi" w:hAnsiTheme="minorBidi"/>
        </w:rPr>
        <w:t xml:space="preserve"> </w:t>
      </w:r>
      <w:r w:rsidR="005B1A9C" w:rsidRPr="00B81F2B">
        <w:rPr>
          <w:rFonts w:asciiTheme="minorBidi" w:hAnsiTheme="minorBidi"/>
        </w:rPr>
        <w:t xml:space="preserve">the </w:t>
      </w:r>
      <w:r w:rsidR="006A5573" w:rsidRPr="00B81F2B">
        <w:rPr>
          <w:rFonts w:asciiTheme="minorBidi" w:hAnsiTheme="minorBidi"/>
        </w:rPr>
        <w:t xml:space="preserve">explored </w:t>
      </w:r>
      <w:r w:rsidR="00D25FE5" w:rsidRPr="00B81F2B">
        <w:rPr>
          <w:rFonts w:asciiTheme="minorBidi" w:hAnsiTheme="minorBidi"/>
        </w:rPr>
        <w:t xml:space="preserve">candidate genes are tightly associated with </w:t>
      </w:r>
      <w:r w:rsidR="00855801" w:rsidRPr="00B81F2B">
        <w:rPr>
          <w:rFonts w:asciiTheme="minorBidi" w:hAnsiTheme="minorBidi"/>
        </w:rPr>
        <w:t xml:space="preserve">a </w:t>
      </w:r>
      <w:r w:rsidR="00D25FE5" w:rsidRPr="00B81F2B">
        <w:rPr>
          <w:rFonts w:asciiTheme="minorBidi" w:hAnsiTheme="minorBidi"/>
        </w:rPr>
        <w:t xml:space="preserve">cardiometabolic state. </w:t>
      </w:r>
      <w:r w:rsidR="00E2109E">
        <w:rPr>
          <w:rFonts w:asciiTheme="minorBidi" w:hAnsiTheme="minorBidi"/>
        </w:rPr>
        <w:t>Despite</w:t>
      </w:r>
      <w:r w:rsidR="006A5573" w:rsidRPr="00B81F2B">
        <w:rPr>
          <w:rFonts w:asciiTheme="minorBidi" w:hAnsiTheme="minorBidi"/>
          <w:lang w:val="en-US"/>
        </w:rPr>
        <w:t xml:space="preserve"> the st</w:t>
      </w:r>
      <w:r w:rsidR="00BC3B7F" w:rsidRPr="00B81F2B">
        <w:rPr>
          <w:rFonts w:asciiTheme="minorBidi" w:hAnsiTheme="minorBidi"/>
          <w:lang w:val="en-US"/>
        </w:rPr>
        <w:t>r</w:t>
      </w:r>
      <w:r w:rsidR="006A5573" w:rsidRPr="00B81F2B">
        <w:rPr>
          <w:rFonts w:asciiTheme="minorBidi" w:hAnsiTheme="minorBidi"/>
          <w:lang w:val="en-US"/>
        </w:rPr>
        <w:t xml:space="preserve">ong link between cardiometabolic state and </w:t>
      </w:r>
      <w:proofErr w:type="spellStart"/>
      <w:r w:rsidR="006A5573" w:rsidRPr="00B81F2B">
        <w:rPr>
          <w:rFonts w:asciiTheme="minorBidi" w:hAnsiTheme="minorBidi"/>
          <w:lang w:val="en-US"/>
        </w:rPr>
        <w:t>hepatosteatosis</w:t>
      </w:r>
      <w:proofErr w:type="spellEnd"/>
      <w:r w:rsidR="006A5573" w:rsidRPr="00B81F2B">
        <w:rPr>
          <w:rFonts w:asciiTheme="minorBidi" w:hAnsiTheme="minorBidi"/>
          <w:lang w:val="en-US"/>
        </w:rPr>
        <w:t>,</w:t>
      </w:r>
      <w:r w:rsidR="00B57451" w:rsidRPr="00B81F2B">
        <w:rPr>
          <w:rFonts w:asciiTheme="minorBidi" w:hAnsiTheme="minorBidi"/>
        </w:rPr>
        <w:t xml:space="preserve"> some association</w:t>
      </w:r>
      <w:r w:rsidR="00E95B85" w:rsidRPr="00B81F2B">
        <w:rPr>
          <w:rFonts w:asciiTheme="minorBidi" w:hAnsiTheme="minorBidi"/>
        </w:rPr>
        <w:t>s</w:t>
      </w:r>
      <w:r w:rsidR="00B57451" w:rsidRPr="00B81F2B">
        <w:rPr>
          <w:rFonts w:asciiTheme="minorBidi" w:hAnsiTheme="minorBidi"/>
        </w:rPr>
        <w:t xml:space="preserve"> observed were beyond IHF% level, implying that these genes are probably </w:t>
      </w:r>
      <w:r w:rsidR="002E50C4" w:rsidRPr="00B81F2B">
        <w:rPr>
          <w:rFonts w:asciiTheme="minorBidi" w:hAnsiTheme="minorBidi"/>
        </w:rPr>
        <w:t>associated with</w:t>
      </w:r>
      <w:r w:rsidR="0074671B" w:rsidRPr="00B81F2B">
        <w:rPr>
          <w:rFonts w:asciiTheme="minorBidi" w:hAnsiTheme="minorBidi"/>
        </w:rPr>
        <w:t xml:space="preserve"> </w:t>
      </w:r>
      <w:r w:rsidR="00B57451" w:rsidRPr="00B81F2B">
        <w:rPr>
          <w:rFonts w:asciiTheme="minorBidi" w:hAnsiTheme="minorBidi"/>
        </w:rPr>
        <w:t xml:space="preserve">traits other than </w:t>
      </w:r>
      <w:r w:rsidR="00E2109E">
        <w:rPr>
          <w:rFonts w:asciiTheme="minorBidi" w:hAnsiTheme="minorBidi"/>
        </w:rPr>
        <w:t xml:space="preserve">the </w:t>
      </w:r>
      <w:r w:rsidR="00B57451" w:rsidRPr="00B81F2B">
        <w:rPr>
          <w:rFonts w:asciiTheme="minorBidi" w:hAnsiTheme="minorBidi"/>
        </w:rPr>
        <w:t>fatty liver and might serve as general metabolic epigenetic markers</w:t>
      </w:r>
      <w:r w:rsidR="0021152E">
        <w:rPr>
          <w:rFonts w:asciiTheme="minorBidi" w:hAnsiTheme="minorBidi"/>
        </w:rPr>
        <w:t>.</w:t>
      </w:r>
    </w:p>
    <w:p w14:paraId="2C1FC2D0" w14:textId="16FCF738" w:rsidR="0021152E" w:rsidRDefault="00556484" w:rsidP="007E6643">
      <w:pPr>
        <w:spacing w:before="120" w:line="480" w:lineRule="auto"/>
        <w:rPr>
          <w:rFonts w:asciiTheme="minorBidi" w:hAnsiTheme="minorBidi"/>
          <w:lang w:val="en-US"/>
        </w:rPr>
      </w:pPr>
      <w:r w:rsidRPr="0099441B">
        <w:rPr>
          <w:rFonts w:asciiTheme="minorBidi" w:hAnsiTheme="minorBidi"/>
        </w:rPr>
        <w:t xml:space="preserve">Receiver operating characteristic analysis is an appropriate method for determining optimal cut-off values and is commonly used in epidemiological and medical studies </w:t>
      </w:r>
      <w:r w:rsidRPr="0099441B">
        <w:rPr>
          <w:rFonts w:asciiTheme="minorBidi" w:hAnsiTheme="minorBidi"/>
        </w:rPr>
        <w:fldChar w:fldCharType="begin" w:fldLock="1"/>
      </w:r>
      <w:r w:rsidR="00BD25E2">
        <w:rPr>
          <w:rFonts w:asciiTheme="minorBidi" w:hAnsiTheme="minorBidi"/>
        </w:rPr>
        <w:instrText>ADDIN CSL_CITATION {"citationItems":[{"id":"ITEM-1","itemData":{"ISBN":"2008-6164","PMID":"24009950","abstract":"This review provides the basic principle and rational for ROC analysis of rating and continuous diagnostic test results versus a gold standard. Derived indexes of accuracy, in particular area under the curve (AUC) has a meaningful interpretation for disease classification from healthy subjects. The methods of estimate of AUC and its testing in single diagnostic test and also comparative studies, the advantage of ROC curve to determine the optimal cut off values and the issues of bias and confounding have been discussed.","author":[{"dropping-particle":"","family":"Hajian-Tilaki","given":"K","non-dropping-particle":"","parse-names":false,"suffix":""}],"container-title":"Caspian journal of internal medicine","id":"ITEM-1","issue":"2","issued":{"date-parts":[["2013"]]},"language":"eng","note":"LR: 20140624; JID: 101523876; OID: NLM: PMC3755824; OTO: NOTNLM; 2012/12/05 [received]; 2013/01/25 [revised]; 2013/03/06 [accepted]; ppublish","page":"627-635","title":"Receiver Operating Characteristic (ROC) Curve Analysis for Medical Diagnostic Test Evaluation","type":"article-journal","volume":"4"},"uris":["http://www.mendeley.com/documents/?uuid=a8c1aefa-6006-3e32-bab5-aaa7fba24079"]}],"mendeley":{"formattedCitation":"&lt;sup&gt;32&lt;/sup&gt;","plainTextFormattedCitation":"32","previouslyFormattedCitation":"&lt;sup&gt;32&lt;/sup&gt;"},"properties":{"noteIndex":0},"schema":"https://github.com/citation-style-language/schema/raw/master/csl-citation.json"}</w:instrText>
      </w:r>
      <w:r w:rsidRPr="0099441B">
        <w:rPr>
          <w:rFonts w:asciiTheme="minorBidi" w:hAnsiTheme="minorBidi"/>
        </w:rPr>
        <w:fldChar w:fldCharType="separate"/>
      </w:r>
      <w:r w:rsidR="0071027E" w:rsidRPr="0071027E">
        <w:rPr>
          <w:rFonts w:asciiTheme="minorBidi" w:hAnsiTheme="minorBidi"/>
          <w:noProof/>
          <w:vertAlign w:val="superscript"/>
        </w:rPr>
        <w:t>32</w:t>
      </w:r>
      <w:r w:rsidRPr="0099441B">
        <w:rPr>
          <w:rFonts w:asciiTheme="minorBidi" w:hAnsiTheme="minorBidi"/>
        </w:rPr>
        <w:fldChar w:fldCharType="end"/>
      </w:r>
      <w:r w:rsidRPr="0099441B">
        <w:rPr>
          <w:rFonts w:asciiTheme="minorBidi" w:hAnsiTheme="minorBidi"/>
        </w:rPr>
        <w:t xml:space="preserve">. </w:t>
      </w:r>
      <w:r w:rsidR="0021152E" w:rsidRPr="0099441B">
        <w:rPr>
          <w:rFonts w:asciiTheme="minorBidi" w:hAnsiTheme="minorBidi"/>
          <w:lang w:val="en-US"/>
        </w:rPr>
        <w:t xml:space="preserve">Previous studies attempted to generate predictive formulae for </w:t>
      </w:r>
      <w:r w:rsidR="00E35700" w:rsidRPr="0099441B">
        <w:rPr>
          <w:rFonts w:asciiTheme="minorBidi" w:hAnsiTheme="minorBidi"/>
          <w:lang w:val="en-US"/>
        </w:rPr>
        <w:t>NAFLD</w:t>
      </w:r>
      <w:r w:rsidR="0021152E" w:rsidRPr="0099441B">
        <w:rPr>
          <w:rFonts w:asciiTheme="minorBidi" w:hAnsiTheme="minorBidi"/>
          <w:lang w:val="en-US"/>
        </w:rPr>
        <w:t xml:space="preserve"> based on simple biomarkers. </w:t>
      </w:r>
      <w:r w:rsidR="0021152E" w:rsidRPr="0099441B">
        <w:rPr>
          <w:rFonts w:asciiTheme="minorBidi" w:hAnsiTheme="minorBidi"/>
        </w:rPr>
        <w:t xml:space="preserve">Among the </w:t>
      </w:r>
      <w:r w:rsidR="00E35700" w:rsidRPr="0099441B">
        <w:rPr>
          <w:rFonts w:asciiTheme="minorBidi" w:hAnsiTheme="minorBidi"/>
        </w:rPr>
        <w:t>entire</w:t>
      </w:r>
      <w:r w:rsidR="0021152E" w:rsidRPr="0099441B">
        <w:rPr>
          <w:rFonts w:asciiTheme="minorBidi" w:hAnsiTheme="minorBidi"/>
        </w:rPr>
        <w:t xml:space="preserve"> CENTRAL cohort</w:t>
      </w:r>
      <w:r w:rsidR="008320FC">
        <w:rPr>
          <w:rFonts w:asciiTheme="minorBidi" w:hAnsiTheme="minorBidi"/>
        </w:rPr>
        <w:t xml:space="preserve"> </w:t>
      </w:r>
      <w:r w:rsidR="008320FC">
        <w:rPr>
          <w:rFonts w:asciiTheme="minorBidi" w:hAnsiTheme="minorBidi"/>
        </w:rPr>
        <w:fldChar w:fldCharType="begin" w:fldLock="1"/>
      </w:r>
      <w:r w:rsidR="00045A9F">
        <w:rPr>
          <w:rFonts w:asciiTheme="minorBidi" w:hAnsiTheme="minorBidi"/>
        </w:rPr>
        <w:instrText>ADDIN CSL_CITATION {"citationItems":[{"id":"ITEM-1","itemData":{"DOI":"10.1002/dmrr.2888","ISSN":"15207560","abstract":"Copyright © 2017 John Wiley  &amp;  Sons, Ltd. Background: Intrahepatic fat (IHF) is best known to associate with waist circumference (WC) and visceral adipose tissue (VAT), but its relation to abdominal subcutaneous adipose tissue is controversial. While IHF ≥ 5% dichotomously defines fatty liver, %IHF is rarely considered as a continuous variable that includes the normal range. In this study, we aimed to evaluate %IHF association with abdominal fat subdepots, pancreatic, and renal-sinus fats. Methods: We evaluated %IHF, abdominal fat subdepots, %pancreatic, and renal-sinus fats, among individuals with moderate abdominal obesity, using 3-Tesla magnetic resonance imaging. Results: Among 275 participants, %IHF widely ranged (0.01%-50.4%) and was lower in women (1.6%) than men (7.3%; P &lt;.001). In an age, sex, and WC-adjusted models, VAT area (P &lt;.006) was directly associated with %IHF, while superficial–subcutaneous adipose tissue proportion was inversely associated with %IHF (P &lt;.006). In these models, renal-sinus fat was positively associated with %IHF (P =.005). In an age, sex, WC, and VAT-adjusted models, elevated liver enzymes, glycemic, lipid, and inflammatory biomarkers were associated with increased %IHF (P &lt;.003 for all). In these models, the associations remained robust even within the normal range strata of IHF &lt; 5% for triglycerides and chemerin (P ≤.004 for all). For the diagnosis of fatty liver, the joint area under the curve of WC, alanine-aminotransferase, triglycerides/high-density lipoprotein cholesterol, and homeostasis model assessment of insulin resistance was 0.84(95% CI, 0.79-0.89). Conclusions: Intrahepatic fat is differentially associated with abdominal fat subdepots. Intrahepatic-fat as a continuous variable could be predicted by specific traditional parameters, even within the current normal range, and partially independent of VAT.","author":[{"dropping-particle":"","family":"Yaskolka Meir","given":"A.","non-dropping-particle":"","parse-names":false,"suffix":""},{"dropping-particle":"","family":"Tene","given":"L.","non-dropping-particle":"","parse-names":false,"suffix":""},{"dropping-particle":"","family":"Cohen","given":"N.","non-dropping-particle":"","parse-names":false,"suffix":""},{"dropping-particle":"","family":"Shelef","given":"I.","non-dropping-particle":"","parse-names":false,"suffix":""},{"dropping-particle":"","family":"Schwarzfuchs","given":"D.","non-dropping-particle":"","parse-names":false,"suffix":""},{"dropping-particle":"","family":"Gepner","given":"Y.","non-dropping-particle":"","parse-names":false,"suffix":""},{"dropping-particle":"","family":"Zelicha","given":"H.","non-dropping-particle":"","parse-names":false,"suffix":""},{"dropping-particle":"","family":"Rein","given":"M.","non-dropping-particle":"","parse-names":false,"suffix":""},{"dropping-particle":"","family":"Bril","given":"N.","non-dropping-particle":"","parse-names":false,"suffix":""},{"dropping-particle":"","family":"Serfaty","given":"D.","non-dropping-particle":"","parse-names":false,"suffix":""},{"dropping-particle":"","family":"Kenigsbuch","given":"S.","non-dropping-particle":"","parse-names":false,"suffix":""},{"dropping-particle":"","family":"Chassidim","given":"Y.","non-dropping-particle":"","parse-names":false,"suffix":""},{"dropping-particle":"","family":"Sarusy","given":"B.","non-dropping-particle":"","parse-names":false,"suffix":""},{"dropping-particle":"","family":"Dicker","given":"D.","non-dropping-particle":"","parse-names":false,"suffix":""},{"dropping-particle":"","family":"Thiery","given":"J.","non-dropping-particle":"","parse-names":false,"suffix":""},{"dropping-particle":"","family":"Ceglarek","given":"U.","non-dropping-particle":"","parse-names":false,"suffix":""},{"dropping-particle":"","family":"Stumvoll","given":"M.","non-dropping-particle":"","parse-names":false,"suffix":""},{"dropping-particle":"","family":"Blüher","given":"M.","non-dropping-particle":"","parse-names":false,"suffix":""},{"dropping-particle":"","family":"Stampfer","given":"M.J.","non-dropping-particle":"","parse-names":false,"suffix":""},{"dropping-particle":"","family":"Rudich","given":"A.","non-dropping-particle":"","parse-names":false,"suffix":""},{"dropping-particle":"","family":"Shai","given":"I.","non-dropping-particle":"","parse-names":false,"suffix":""}],"container-title":"Diabetes/Metabolism Research and Reviews","id":"ITEM-1","issue":"5","issued":{"date-parts":[["2017"]]},"title":"Intrahepatic fat, abdominal adipose tissues, and metabolic state: magnetic resonance imaging study","type":"article-journal","volume":"33"},"uris":["http://www.mendeley.com/documents/?uuid=f0484996-f002-334f-87f8-83ded28a3cda"]}],"mendeley":{"formattedCitation":"&lt;sup&gt;3&lt;/sup&gt;","plainTextFormattedCitation":"3","previouslyFormattedCitation":"&lt;sup&gt;3&lt;/sup&gt;"},"properties":{"noteIndex":0},"schema":"https://github.com/citation-style-language/schema/raw/master/csl-citation.json"}</w:instrText>
      </w:r>
      <w:r w:rsidR="008320FC">
        <w:rPr>
          <w:rFonts w:asciiTheme="minorBidi" w:hAnsiTheme="minorBidi"/>
        </w:rPr>
        <w:fldChar w:fldCharType="separate"/>
      </w:r>
      <w:r w:rsidR="00D53F9E" w:rsidRPr="00D53F9E">
        <w:rPr>
          <w:rFonts w:asciiTheme="minorBidi" w:hAnsiTheme="minorBidi"/>
          <w:noProof/>
          <w:vertAlign w:val="superscript"/>
        </w:rPr>
        <w:t>3</w:t>
      </w:r>
      <w:r w:rsidR="008320FC">
        <w:rPr>
          <w:rFonts w:asciiTheme="minorBidi" w:hAnsiTheme="minorBidi"/>
        </w:rPr>
        <w:fldChar w:fldCharType="end"/>
      </w:r>
      <w:r w:rsidR="0021152E" w:rsidRPr="0099441B">
        <w:rPr>
          <w:rFonts w:asciiTheme="minorBidi" w:hAnsiTheme="minorBidi"/>
        </w:rPr>
        <w:t xml:space="preserve">, </w:t>
      </w:r>
      <w:r w:rsidR="00E35700" w:rsidRPr="0099441B">
        <w:rPr>
          <w:rFonts w:asciiTheme="minorBidi" w:hAnsiTheme="minorBidi"/>
        </w:rPr>
        <w:t>a</w:t>
      </w:r>
      <w:r w:rsidR="0021152E" w:rsidRPr="0099441B">
        <w:rPr>
          <w:rFonts w:asciiTheme="minorBidi" w:hAnsiTheme="minorBidi"/>
        </w:rPr>
        <w:t xml:space="preserve"> ROC analysis </w:t>
      </w:r>
      <w:r w:rsidR="0021152E" w:rsidRPr="00B41A66">
        <w:rPr>
          <w:rFonts w:asciiTheme="minorBidi" w:hAnsiTheme="minorBidi"/>
        </w:rPr>
        <w:t xml:space="preserve">demonstrated a joint AUC of 84% for MRI-based fatty liver diagnosis according to WC, ALT, </w:t>
      </w:r>
      <w:r w:rsidR="00E50AF8">
        <w:rPr>
          <w:rFonts w:asciiTheme="minorBidi" w:hAnsiTheme="minorBidi"/>
          <w:lang w:val="en-US"/>
        </w:rPr>
        <w:t>triglycerides</w:t>
      </w:r>
      <w:r w:rsidR="0021152E" w:rsidRPr="00B41A66">
        <w:rPr>
          <w:rFonts w:asciiTheme="minorBidi" w:hAnsiTheme="minorBidi"/>
        </w:rPr>
        <w:t>/HDL</w:t>
      </w:r>
      <w:r w:rsidR="00B41A66" w:rsidRPr="00B41A66">
        <w:rPr>
          <w:rFonts w:asciiTheme="minorBidi" w:hAnsiTheme="minorBidi"/>
        </w:rPr>
        <w:t xml:space="preserve"> ratio</w:t>
      </w:r>
      <w:r w:rsidR="0021152E" w:rsidRPr="00B41A66">
        <w:rPr>
          <w:rFonts w:asciiTheme="minorBidi" w:hAnsiTheme="minorBidi"/>
        </w:rPr>
        <w:t xml:space="preserve">, and </w:t>
      </w:r>
      <w:r w:rsidR="00E50AF8" w:rsidRPr="00E50AF8">
        <w:rPr>
          <w:rFonts w:asciiTheme="minorBidi" w:hAnsiTheme="minorBidi"/>
        </w:rPr>
        <w:t xml:space="preserve">Homeostatic Model Assessment for Insulin </w:t>
      </w:r>
      <w:r w:rsidR="00E50AF8" w:rsidRPr="00E50AF8">
        <w:rPr>
          <w:rFonts w:asciiTheme="minorBidi" w:hAnsiTheme="minorBidi"/>
        </w:rPr>
        <w:lastRenderedPageBreak/>
        <w:t xml:space="preserve">Resistance </w:t>
      </w:r>
      <w:r w:rsidR="00E50AF8">
        <w:rPr>
          <w:rFonts w:asciiTheme="minorBidi" w:hAnsiTheme="minorBidi"/>
          <w:lang w:val="en-US"/>
        </w:rPr>
        <w:t>(</w:t>
      </w:r>
      <w:r w:rsidR="0021152E" w:rsidRPr="00B41A66">
        <w:rPr>
          <w:rFonts w:asciiTheme="minorBidi" w:hAnsiTheme="minorBidi"/>
        </w:rPr>
        <w:t>HOMA</w:t>
      </w:r>
      <w:r w:rsidR="0021152E" w:rsidRPr="00B41A66">
        <w:rPr>
          <w:rFonts w:ascii="Cambria Math" w:hAnsi="Cambria Math" w:cs="Cambria Math"/>
        </w:rPr>
        <w:t>‐</w:t>
      </w:r>
      <w:r w:rsidR="0021152E" w:rsidRPr="00B41A66">
        <w:rPr>
          <w:rFonts w:asciiTheme="minorBidi" w:hAnsiTheme="minorBidi"/>
        </w:rPr>
        <w:t>IR</w:t>
      </w:r>
      <w:r w:rsidR="00E50AF8">
        <w:rPr>
          <w:rFonts w:asciiTheme="minorBidi" w:hAnsiTheme="minorBidi"/>
          <w:lang w:val="en-US"/>
        </w:rPr>
        <w:t>)</w:t>
      </w:r>
      <w:r w:rsidR="0021152E" w:rsidRPr="00B41A66">
        <w:rPr>
          <w:rFonts w:asciiTheme="minorBidi" w:hAnsiTheme="minorBidi"/>
        </w:rPr>
        <w:t xml:space="preserve"> </w:t>
      </w:r>
      <w:r w:rsidR="008320C4">
        <w:rPr>
          <w:rFonts w:asciiTheme="minorBidi" w:hAnsiTheme="minorBidi"/>
        </w:rPr>
        <w:t>levels</w:t>
      </w:r>
      <w:r w:rsidR="0021152E" w:rsidRPr="00B41A66">
        <w:rPr>
          <w:rFonts w:asciiTheme="minorBidi" w:hAnsiTheme="minorBidi"/>
        </w:rPr>
        <w:t xml:space="preserve">. In this analysis, we used the same markers </w:t>
      </w:r>
      <w:r w:rsidR="000C1230">
        <w:rPr>
          <w:rFonts w:asciiTheme="minorBidi" w:hAnsiTheme="minorBidi"/>
        </w:rPr>
        <w:t>to</w:t>
      </w:r>
      <w:r w:rsidR="0021152E" w:rsidRPr="00B41A66">
        <w:rPr>
          <w:rFonts w:asciiTheme="minorBidi" w:hAnsiTheme="minorBidi"/>
        </w:rPr>
        <w:t xml:space="preserve"> predict</w:t>
      </w:r>
      <w:r w:rsidR="0021152E" w:rsidRPr="0099441B">
        <w:rPr>
          <w:rFonts w:asciiTheme="minorBidi" w:hAnsiTheme="minorBidi"/>
        </w:rPr>
        <w:t xml:space="preserve"> NAFLD among the 120 participants of </w:t>
      </w:r>
      <w:r w:rsidR="008320C4">
        <w:rPr>
          <w:rFonts w:asciiTheme="minorBidi" w:hAnsiTheme="minorBidi"/>
        </w:rPr>
        <w:t>our</w:t>
      </w:r>
      <w:r w:rsidR="0021152E" w:rsidRPr="0099441B">
        <w:rPr>
          <w:rFonts w:asciiTheme="minorBidi" w:hAnsiTheme="minorBidi"/>
        </w:rPr>
        <w:t xml:space="preserve"> sub-study. This yielded a joint AUC of </w:t>
      </w:r>
      <w:r w:rsidR="00E35700" w:rsidRPr="0099441B">
        <w:rPr>
          <w:rFonts w:asciiTheme="minorBidi" w:hAnsiTheme="minorBidi"/>
        </w:rPr>
        <w:t>79.5</w:t>
      </w:r>
      <w:r w:rsidR="0021152E" w:rsidRPr="0099441B">
        <w:rPr>
          <w:rFonts w:asciiTheme="minorBidi" w:hAnsiTheme="minorBidi"/>
        </w:rPr>
        <w:t xml:space="preserve">% for MRI-based </w:t>
      </w:r>
      <w:r w:rsidR="00E35700" w:rsidRPr="0099441B">
        <w:rPr>
          <w:rFonts w:asciiTheme="minorBidi" w:hAnsiTheme="minorBidi"/>
        </w:rPr>
        <w:t>NAFLD</w:t>
      </w:r>
      <w:r w:rsidR="0021152E" w:rsidRPr="0099441B">
        <w:rPr>
          <w:rFonts w:asciiTheme="minorBidi" w:hAnsiTheme="minorBidi"/>
        </w:rPr>
        <w:t xml:space="preserve"> diagnosis. </w:t>
      </w:r>
      <w:r w:rsidR="00C34535" w:rsidRPr="0099441B">
        <w:rPr>
          <w:rFonts w:asciiTheme="minorBidi" w:hAnsiTheme="minorBidi"/>
        </w:rPr>
        <w:t xml:space="preserve">Here, we demonstrated that based on DNA methylation in specific CpGs, we </w:t>
      </w:r>
      <w:r w:rsidR="000C1230">
        <w:rPr>
          <w:rFonts w:asciiTheme="minorBidi" w:hAnsiTheme="minorBidi"/>
        </w:rPr>
        <w:t>could</w:t>
      </w:r>
      <w:r w:rsidR="00C34535" w:rsidRPr="0099441B">
        <w:rPr>
          <w:rFonts w:asciiTheme="minorBidi" w:hAnsiTheme="minorBidi"/>
        </w:rPr>
        <w:t xml:space="preserve"> achieve </w:t>
      </w:r>
      <w:r w:rsidR="000C1230">
        <w:rPr>
          <w:rFonts w:asciiTheme="minorBidi" w:hAnsiTheme="minorBidi"/>
        </w:rPr>
        <w:t xml:space="preserve">a </w:t>
      </w:r>
      <w:r w:rsidR="00C34535" w:rsidRPr="0099441B">
        <w:rPr>
          <w:rFonts w:asciiTheme="minorBidi" w:hAnsiTheme="minorBidi"/>
        </w:rPr>
        <w:t>similar predictive value</w:t>
      </w:r>
      <w:r w:rsidR="0099441B" w:rsidRPr="0099441B">
        <w:rPr>
          <w:rFonts w:asciiTheme="minorBidi" w:hAnsiTheme="minorBidi"/>
        </w:rPr>
        <w:t xml:space="preserve"> for NAFLD</w:t>
      </w:r>
      <w:r w:rsidR="000C1230">
        <w:rPr>
          <w:rFonts w:asciiTheme="minorBidi" w:hAnsiTheme="minorBidi"/>
          <w:lang w:val="en-US"/>
        </w:rPr>
        <w:t xml:space="preserve"> diagnosis</w:t>
      </w:r>
      <w:r w:rsidR="0099441B" w:rsidRPr="0099441B">
        <w:rPr>
          <w:rFonts w:asciiTheme="minorBidi" w:hAnsiTheme="minorBidi"/>
        </w:rPr>
        <w:t>.</w:t>
      </w:r>
    </w:p>
    <w:p w14:paraId="7790BE07" w14:textId="27BE9205" w:rsidR="00FE7396" w:rsidRPr="00B81F2B" w:rsidRDefault="00FE7396" w:rsidP="007E6643">
      <w:pPr>
        <w:spacing w:before="120" w:line="480" w:lineRule="auto"/>
        <w:rPr>
          <w:rFonts w:asciiTheme="minorBidi" w:hAnsiTheme="minorBidi"/>
          <w:rtl/>
        </w:rPr>
      </w:pPr>
      <w:r w:rsidRPr="00B81F2B">
        <w:rPr>
          <w:rFonts w:asciiTheme="minorBidi" w:hAnsiTheme="minorBidi"/>
        </w:rPr>
        <w:t xml:space="preserve">Further examining </w:t>
      </w:r>
      <w:r w:rsidR="000478F4" w:rsidRPr="00B81F2B">
        <w:rPr>
          <w:rFonts w:asciiTheme="minorBidi" w:hAnsiTheme="minorBidi"/>
        </w:rPr>
        <w:t>genetic variation in</w:t>
      </w:r>
      <w:r w:rsidR="00D25FE5" w:rsidRPr="00B81F2B">
        <w:rPr>
          <w:rFonts w:asciiTheme="minorBidi" w:hAnsiTheme="minorBidi"/>
        </w:rPr>
        <w:t xml:space="preserve"> genes that showed </w:t>
      </w:r>
      <w:r w:rsidR="00E95B85" w:rsidRPr="00B81F2B">
        <w:rPr>
          <w:rFonts w:asciiTheme="minorBidi" w:hAnsiTheme="minorBidi"/>
        </w:rPr>
        <w:t xml:space="preserve">an </w:t>
      </w:r>
      <w:r w:rsidR="00D25FE5" w:rsidRPr="00B81F2B">
        <w:rPr>
          <w:rFonts w:asciiTheme="minorBidi" w:hAnsiTheme="minorBidi"/>
        </w:rPr>
        <w:t xml:space="preserve">association of baseline methylation levels </w:t>
      </w:r>
      <w:r w:rsidR="00195FA9" w:rsidRPr="00B81F2B">
        <w:rPr>
          <w:rFonts w:asciiTheme="minorBidi" w:hAnsiTheme="minorBidi"/>
        </w:rPr>
        <w:t xml:space="preserve">with </w:t>
      </w:r>
      <w:r w:rsidR="00D25FE5" w:rsidRPr="00B81F2B">
        <w:rPr>
          <w:rFonts w:asciiTheme="minorBidi" w:hAnsiTheme="minorBidi"/>
        </w:rPr>
        <w:t>IHF</w:t>
      </w:r>
      <w:r w:rsidR="00A5680E" w:rsidRPr="00B81F2B">
        <w:rPr>
          <w:rFonts w:asciiTheme="minorBidi" w:hAnsiTheme="minorBidi"/>
        </w:rPr>
        <w:t xml:space="preserve"> and other blood biomarkers</w:t>
      </w:r>
      <w:r w:rsidRPr="00B81F2B">
        <w:rPr>
          <w:rFonts w:asciiTheme="minorBidi" w:hAnsiTheme="minorBidi"/>
        </w:rPr>
        <w:t xml:space="preserve"> revealed associations with, mostly, anthropometric parameters</w:t>
      </w:r>
      <w:r w:rsidR="00421892" w:rsidRPr="00B81F2B">
        <w:rPr>
          <w:rFonts w:asciiTheme="minorBidi" w:hAnsiTheme="minorBidi"/>
        </w:rPr>
        <w:t xml:space="preserve"> </w:t>
      </w:r>
      <w:r w:rsidR="00AF0167" w:rsidRPr="00B81F2B">
        <w:rPr>
          <w:rFonts w:asciiTheme="minorBidi" w:hAnsiTheme="minorBidi"/>
        </w:rPr>
        <w:t>(i.e.</w:t>
      </w:r>
      <w:r w:rsidR="00E2109E">
        <w:rPr>
          <w:rFonts w:asciiTheme="minorBidi" w:hAnsiTheme="minorBidi"/>
        </w:rPr>
        <w:t>,</w:t>
      </w:r>
      <w:r w:rsidR="00AF0167" w:rsidRPr="00B81F2B">
        <w:rPr>
          <w:rFonts w:asciiTheme="minorBidi" w:hAnsiTheme="minorBidi"/>
        </w:rPr>
        <w:t xml:space="preserve"> weight and WC</w:t>
      </w:r>
      <w:r w:rsidR="00750568" w:rsidRPr="00B81F2B">
        <w:rPr>
          <w:rFonts w:asciiTheme="minorBidi" w:hAnsiTheme="minorBidi"/>
        </w:rPr>
        <w:t>) and lipid</w:t>
      </w:r>
      <w:r w:rsidR="006A5573" w:rsidRPr="00B81F2B">
        <w:rPr>
          <w:rFonts w:asciiTheme="minorBidi" w:hAnsiTheme="minorBidi"/>
        </w:rPr>
        <w:t xml:space="preserve"> profile</w:t>
      </w:r>
      <w:r w:rsidR="00750568" w:rsidRPr="00B81F2B">
        <w:rPr>
          <w:rFonts w:asciiTheme="minorBidi" w:hAnsiTheme="minorBidi"/>
        </w:rPr>
        <w:t>.</w:t>
      </w:r>
      <w:r w:rsidR="0029359E" w:rsidRPr="00B81F2B">
        <w:rPr>
          <w:rFonts w:asciiTheme="minorBidi" w:hAnsiTheme="minorBidi"/>
          <w:lang w:val="en-US"/>
        </w:rPr>
        <w:t xml:space="preserve"> </w:t>
      </w:r>
      <w:r w:rsidR="00F82765">
        <w:rPr>
          <w:rFonts w:asciiTheme="minorBidi" w:hAnsiTheme="minorBidi"/>
          <w:lang w:val="en-US"/>
        </w:rPr>
        <w:t xml:space="preserve">Although the </w:t>
      </w:r>
      <w:r w:rsidR="00F82765" w:rsidRPr="00F82765">
        <w:rPr>
          <w:rFonts w:asciiTheme="minorBidi" w:hAnsiTheme="minorBidi"/>
          <w:i/>
          <w:iCs/>
          <w:lang w:val="en-US"/>
        </w:rPr>
        <w:t>PNPLA3</w:t>
      </w:r>
      <w:r w:rsidR="00F82765">
        <w:rPr>
          <w:rFonts w:asciiTheme="minorBidi" w:hAnsiTheme="minorBidi"/>
          <w:lang w:val="en-US"/>
        </w:rPr>
        <w:t xml:space="preserve"> gene is widely studied in the context of NAFLD, we could not find any </w:t>
      </w:r>
      <w:r w:rsidR="00F82765" w:rsidRPr="002E3EAB">
        <w:rPr>
          <w:rFonts w:asciiTheme="minorBidi" w:hAnsiTheme="minorBidi"/>
          <w:lang w:val="en-US"/>
        </w:rPr>
        <w:t xml:space="preserve">significant correlation between methylation at any site of this gene and IHF levels. </w:t>
      </w:r>
      <w:r w:rsidR="002E3EAB" w:rsidRPr="002E3EAB">
        <w:rPr>
          <w:rFonts w:ascii="Arial" w:hAnsi="Arial" w:cs="Arial"/>
          <w:color w:val="222222"/>
          <w:lang w:val="en-US"/>
        </w:rPr>
        <w:t>This might be explained by the limited statistical power to detect significant correlations due to the rather small sample size of our cohort, considering we also adjusted the p-values for multiple comparisons to avoid a type-1 error</w:t>
      </w:r>
      <w:r w:rsidR="00F82765" w:rsidRPr="002E3EAB">
        <w:rPr>
          <w:rFonts w:asciiTheme="minorBidi" w:hAnsiTheme="minorBidi"/>
          <w:lang w:val="en-US"/>
        </w:rPr>
        <w:t>.</w:t>
      </w:r>
      <w:r w:rsidR="00F82765">
        <w:rPr>
          <w:rFonts w:asciiTheme="minorBidi" w:hAnsiTheme="minorBidi"/>
          <w:lang w:val="en-US"/>
        </w:rPr>
        <w:t xml:space="preserve"> </w:t>
      </w:r>
      <w:r w:rsidR="00BD25E2">
        <w:rPr>
          <w:rFonts w:asciiTheme="minorBidi" w:hAnsiTheme="minorBidi"/>
          <w:lang w:val="en-US"/>
        </w:rPr>
        <w:t>Another explanation might be that</w:t>
      </w:r>
      <w:r w:rsidR="00F82765">
        <w:rPr>
          <w:rFonts w:asciiTheme="minorBidi" w:hAnsiTheme="minorBidi"/>
          <w:lang w:val="en-US"/>
        </w:rPr>
        <w:t xml:space="preserve"> </w:t>
      </w:r>
      <w:r w:rsidR="00F82765" w:rsidRPr="00F82765">
        <w:rPr>
          <w:rFonts w:ascii="Arial" w:hAnsi="Arial" w:cs="Arial"/>
          <w:color w:val="000000" w:themeColor="text1"/>
          <w:lang w:val="en-US"/>
        </w:rPr>
        <w:t xml:space="preserve">while </w:t>
      </w:r>
      <w:r w:rsidR="00F82765" w:rsidRPr="00F82765">
        <w:rPr>
          <w:rFonts w:ascii="Arial" w:hAnsi="Arial" w:cs="Arial"/>
          <w:i/>
          <w:iCs/>
          <w:color w:val="000000" w:themeColor="text1"/>
          <w:lang w:val="en-US"/>
        </w:rPr>
        <w:t>PNPLA3</w:t>
      </w:r>
      <w:r w:rsidR="00F82765" w:rsidRPr="00F82765">
        <w:rPr>
          <w:rFonts w:ascii="Arial" w:hAnsi="Arial" w:cs="Arial"/>
          <w:color w:val="000000" w:themeColor="text1"/>
          <w:lang w:val="en-US"/>
        </w:rPr>
        <w:t xml:space="preserve"> SNPs were associated with NAFLD and liver fat</w:t>
      </w:r>
      <w:r w:rsidR="00BD25E2">
        <w:rPr>
          <w:rFonts w:ascii="Arial" w:hAnsi="Arial" w:cs="Arial"/>
          <w:color w:val="000000" w:themeColor="text1"/>
          <w:lang w:val="en-US"/>
        </w:rPr>
        <w:t xml:space="preserve"> </w:t>
      </w:r>
      <w:r w:rsidR="00BD25E2">
        <w:rPr>
          <w:rFonts w:ascii="Arial" w:hAnsi="Arial" w:cs="Arial"/>
          <w:color w:val="000000" w:themeColor="text1"/>
          <w:lang w:val="en-US"/>
        </w:rPr>
        <w:fldChar w:fldCharType="begin" w:fldLock="1"/>
      </w:r>
      <w:r w:rsidR="00BD25E2">
        <w:rPr>
          <w:rFonts w:ascii="Arial" w:hAnsi="Arial" w:cs="Arial"/>
          <w:color w:val="000000" w:themeColor="text1"/>
          <w:lang w:val="en-US"/>
        </w:rPr>
        <w:instrText>ADDIN CSL_CITATION {"citationItems":[{"id":"ITEM-1","itemData":{"author":[{"dropping-particle":"","family":"Campo","given":"José A","non-dropping-particle":"Del","parse-names":false,"suffix":""},{"dropping-particle":"","family":"Gallego-Durán","given":"Rocío","non-dropping-particle":"","parse-names":false,"suffix":""},{"dropping-particle":"","family":"Gallego","given":"Paloma","non-dropping-particle":"","parse-names":false,"suffix":""},{"dropping-particle":"","family":"Grande","given":"Lourdes","non-dropping-particle":"","parse-names":false,"suffix":""}],"container-title":"International journal of molecular sciences","id":"ITEM-1","issue":"3","issued":{"date-parts":[["2018"]]},"page":"911","publisher":"Multidisciplinary Digital Publishing Institute","title":"Genetic and epigenetic regulation in nonalcoholic fatty liver disease (NAFLD)","type":"article-journal","volume":"19"},"uris":["http://www.mendeley.com/documents/?uuid=7626c074-39dd-4844-8f52-03d9dcba49d2"]}],"mendeley":{"formattedCitation":"&lt;sup&gt;33&lt;/sup&gt;","plainTextFormattedCitation":"33","previouslyFormattedCitation":"&lt;sup&gt;33&lt;/sup&gt;"},"properties":{"noteIndex":0},"schema":"https://github.com/citation-style-language/schema/raw/master/csl-citation.json"}</w:instrText>
      </w:r>
      <w:r w:rsidR="00BD25E2">
        <w:rPr>
          <w:rFonts w:ascii="Arial" w:hAnsi="Arial" w:cs="Arial"/>
          <w:color w:val="000000" w:themeColor="text1"/>
          <w:lang w:val="en-US"/>
        </w:rPr>
        <w:fldChar w:fldCharType="separate"/>
      </w:r>
      <w:r w:rsidR="00BD25E2" w:rsidRPr="00BD25E2">
        <w:rPr>
          <w:rFonts w:ascii="Arial" w:hAnsi="Arial" w:cs="Arial"/>
          <w:noProof/>
          <w:color w:val="000000" w:themeColor="text1"/>
          <w:vertAlign w:val="superscript"/>
          <w:lang w:val="en-US"/>
        </w:rPr>
        <w:t>33</w:t>
      </w:r>
      <w:r w:rsidR="00BD25E2">
        <w:rPr>
          <w:rFonts w:ascii="Arial" w:hAnsi="Arial" w:cs="Arial"/>
          <w:color w:val="000000" w:themeColor="text1"/>
          <w:lang w:val="en-US"/>
        </w:rPr>
        <w:fldChar w:fldCharType="end"/>
      </w:r>
      <w:r w:rsidR="00F82765" w:rsidRPr="00F82765">
        <w:rPr>
          <w:rFonts w:ascii="Arial" w:hAnsi="Arial" w:cs="Arial"/>
          <w:color w:val="000000" w:themeColor="text1"/>
          <w:lang w:val="en-US"/>
        </w:rPr>
        <w:t xml:space="preserve">, </w:t>
      </w:r>
      <w:r w:rsidR="000C1230">
        <w:rPr>
          <w:rFonts w:ascii="Arial" w:hAnsi="Arial" w:cs="Arial"/>
          <w:color w:val="000000" w:themeColor="text1"/>
          <w:lang w:val="en-US"/>
        </w:rPr>
        <w:t xml:space="preserve">with an </w:t>
      </w:r>
      <w:r w:rsidR="00F82765" w:rsidRPr="00F82765">
        <w:rPr>
          <w:rFonts w:ascii="Arial" w:hAnsi="Arial" w:cs="Arial"/>
          <w:color w:val="000000" w:themeColor="text1"/>
          <w:lang w:val="en-US"/>
        </w:rPr>
        <w:t>elevated RNA expression</w:t>
      </w:r>
      <w:r w:rsidR="00BD25E2">
        <w:rPr>
          <w:rFonts w:ascii="Arial" w:hAnsi="Arial" w:cs="Arial"/>
          <w:color w:val="000000" w:themeColor="text1"/>
          <w:lang w:val="en-US"/>
        </w:rPr>
        <w:t xml:space="preserve"> </w:t>
      </w:r>
      <w:r w:rsidR="00BD25E2">
        <w:rPr>
          <w:rFonts w:ascii="Arial" w:hAnsi="Arial" w:cs="Arial"/>
          <w:color w:val="000000" w:themeColor="text1"/>
          <w:lang w:val="en-US"/>
        </w:rPr>
        <w:fldChar w:fldCharType="begin" w:fldLock="1"/>
      </w:r>
      <w:r w:rsidR="00BD25E2">
        <w:rPr>
          <w:rFonts w:ascii="Arial" w:hAnsi="Arial" w:cs="Arial"/>
          <w:color w:val="000000" w:themeColor="text1"/>
          <w:lang w:val="en-US"/>
        </w:rPr>
        <w:instrText>ADDIN CSL_CITATION {"citationItems":[{"id":"ITEM-1","itemData":{"author":[{"dropping-particle":"","family":"Aragonès","given":"Gemma","non-dropping-particle":"","parse-names":false,"suffix":""},{"dropping-particle":"","family":"Auguet","given":"Teresa","non-dropping-particle":"","parse-names":false,"suffix":""},{"dropping-particle":"","family":"Armengol","given":"Sandra","non-dropping-particle":"","parse-names":false,"suffix":""},{"dropping-particle":"","family":"Berlanga","given":"Alba","non-dropping-particle":"","parse-names":false,"suffix":""},{"dropping-particle":"","family":"Guiu-Jurado","given":"Esther","non-dropping-particle":"","parse-names":false,"suffix":""},{"dropping-particle":"","family":"Aguilar","given":"Carmen","non-dropping-particle":"","parse-names":false,"suffix":""},{"dropping-particle":"","family":"Martínez","given":"Salomé","non-dropping-particle":"","parse-names":false,"suffix":""},{"dropping-particle":"","family":"Sabench","given":"Fátima","non-dropping-particle":"","parse-names":false,"suffix":""},{"dropping-particle":"","family":"Porras","given":"José Antonio","non-dropping-particle":"","parse-names":false,"suffix":""},{"dropping-particle":"","family":"Ruiz","given":"Maikel Daniel","non-dropping-particle":"","parse-names":false,"suffix":""}],"container-title":"International journal of molecular sciences","id":"ITEM-1","issue":"5","issued":{"date-parts":[["2016"]]},"page":"630","publisher":"Multidisciplinary Digital Publishing Institute","title":"PNPLA3 expression is related to liver steatosis in morbidly obese women with non-alcoholic fatty liver disease","type":"article-journal","volume":"17"},"uris":["http://www.mendeley.com/documents/?uuid=51900e49-5a60-4f9a-8ec8-9054d1d84230"]}],"mendeley":{"formattedCitation":"&lt;sup&gt;34&lt;/sup&gt;","plainTextFormattedCitation":"34","previouslyFormattedCitation":"&lt;sup&gt;34&lt;/sup&gt;"},"properties":{"noteIndex":0},"schema":"https://github.com/citation-style-language/schema/raw/master/csl-citation.json"}</w:instrText>
      </w:r>
      <w:r w:rsidR="00BD25E2">
        <w:rPr>
          <w:rFonts w:ascii="Arial" w:hAnsi="Arial" w:cs="Arial"/>
          <w:color w:val="000000" w:themeColor="text1"/>
          <w:lang w:val="en-US"/>
        </w:rPr>
        <w:fldChar w:fldCharType="separate"/>
      </w:r>
      <w:r w:rsidR="00BD25E2" w:rsidRPr="00BD25E2">
        <w:rPr>
          <w:rFonts w:ascii="Arial" w:hAnsi="Arial" w:cs="Arial"/>
          <w:noProof/>
          <w:color w:val="000000" w:themeColor="text1"/>
          <w:vertAlign w:val="superscript"/>
          <w:lang w:val="en-US"/>
        </w:rPr>
        <w:t>34</w:t>
      </w:r>
      <w:r w:rsidR="00BD25E2">
        <w:rPr>
          <w:rFonts w:ascii="Arial" w:hAnsi="Arial" w:cs="Arial"/>
          <w:color w:val="000000" w:themeColor="text1"/>
          <w:lang w:val="en-US"/>
        </w:rPr>
        <w:fldChar w:fldCharType="end"/>
      </w:r>
      <w:r w:rsidR="00F82765">
        <w:rPr>
          <w:rFonts w:ascii="Arial" w:hAnsi="Arial" w:cs="Arial"/>
          <w:color w:val="000000" w:themeColor="text1"/>
          <w:lang w:val="en-US"/>
        </w:rPr>
        <w:t xml:space="preserve"> and </w:t>
      </w:r>
      <w:r w:rsidR="000C1230">
        <w:rPr>
          <w:rFonts w:ascii="Arial" w:hAnsi="Arial" w:cs="Arial"/>
          <w:color w:val="000000" w:themeColor="text1"/>
          <w:lang w:val="en-US"/>
        </w:rPr>
        <w:t>hypermethylation</w:t>
      </w:r>
      <w:r w:rsidR="00F82765">
        <w:rPr>
          <w:rFonts w:ascii="Arial" w:hAnsi="Arial" w:cs="Arial"/>
          <w:color w:val="000000" w:themeColor="text1"/>
          <w:lang w:val="en-US"/>
        </w:rPr>
        <w:t xml:space="preserve"> of </w:t>
      </w:r>
      <w:r w:rsidR="00F82765">
        <w:rPr>
          <w:rFonts w:ascii="Arial" w:hAnsi="Arial" w:cs="Arial"/>
          <w:i/>
          <w:iCs/>
          <w:color w:val="000000" w:themeColor="text1"/>
          <w:lang w:val="en-US"/>
        </w:rPr>
        <w:t>PNPLA3</w:t>
      </w:r>
      <w:r w:rsidR="00BD25E2">
        <w:rPr>
          <w:rFonts w:ascii="Arial" w:hAnsi="Arial" w:cs="Arial"/>
          <w:i/>
          <w:iCs/>
          <w:color w:val="000000" w:themeColor="text1"/>
          <w:lang w:val="en-US"/>
        </w:rPr>
        <w:fldChar w:fldCharType="begin" w:fldLock="1"/>
      </w:r>
      <w:r w:rsidR="00EC7345">
        <w:rPr>
          <w:rFonts w:ascii="Arial" w:hAnsi="Arial" w:cs="Arial"/>
          <w:i/>
          <w:iCs/>
          <w:color w:val="000000" w:themeColor="text1"/>
          <w:lang w:val="en-US"/>
        </w:rPr>
        <w:instrText>ADDIN CSL_CITATION {"citationItems":[{"id":"ITEM-1","itemData":{"author":[{"dropping-particle":"","family":"Kitamoto","given":"Takuya","non-dropping-particle":"","parse-names":false,"suffix":""},{"dropping-particle":"","family":"Kitamoto","given":"Aya","non-dropping-particle":"","parse-names":false,"suffix":""},{"dropping-particle":"","family":"Ogawa","given":"Yuji","non-dropping-particle":"","parse-names":false,"suffix":""},{"dropping-particle":"","family":"Honda","given":"Yasushi","non-dropping-particle":"","parse-names":false,"suffix":""},{"dropping-particle":"","family":"Imajo","given":"Kento","non-dropping-particle":"","parse-names":false,"suffix":""},{"dropping-particle":"","family":"Saito","given":"Satoru","non-dropping-particle":"","parse-names":false,"suffix":""},{"dropping-particle":"","family":"Yoneda","given":"Masato","non-dropping-particle":"","parse-names":false,"suffix":""},{"dropping-particle":"","family":"Nakamura","given":"Takahiro","non-dropping-particle":"","parse-names":false,"suffix":""},{"dropping-particle":"","family":"Nakajima","given":"Atsushi","non-dropping-particle":"","parse-names":false,"suffix":""},{"dropping-particle":"","family":"Hotta","given":"Kikuko","non-dropping-particle":"","parse-names":false,"suffix":""}],"container-title":"Journal of hepatology","id":"ITEM-1","issue":"2","issued":{"date-parts":[["2015"]]},"page":"494-502","title":"Targeted-bisulfite sequence analysis of the methylation of CpG islands in genes encoding PNPLA3, SAMM50, and PARVB of patients with non-alcoholic fatty liver disease","type":"article-journal","volume":"63"},"uris":["http://www.mendeley.com/documents/?uuid=9cc614b5-e81d-3a36-8b13-61ebfd467c54"]}],"mendeley":{"formattedCitation":"&lt;sup&gt;35&lt;/sup&gt;","plainTextFormattedCitation":"35","previouslyFormattedCitation":"&lt;sup&gt;35&lt;/sup&gt;"},"properties":{"noteIndex":0},"schema":"https://github.com/citation-style-language/schema/raw/master/csl-citation.json"}</w:instrText>
      </w:r>
      <w:r w:rsidR="00BD25E2">
        <w:rPr>
          <w:rFonts w:ascii="Arial" w:hAnsi="Arial" w:cs="Arial"/>
          <w:i/>
          <w:iCs/>
          <w:color w:val="000000" w:themeColor="text1"/>
          <w:lang w:val="en-US"/>
        </w:rPr>
        <w:fldChar w:fldCharType="separate"/>
      </w:r>
      <w:r w:rsidR="00BD25E2" w:rsidRPr="00BD25E2">
        <w:rPr>
          <w:rFonts w:ascii="Arial" w:hAnsi="Arial" w:cs="Arial"/>
          <w:iCs/>
          <w:noProof/>
          <w:color w:val="000000" w:themeColor="text1"/>
          <w:vertAlign w:val="superscript"/>
          <w:lang w:val="en-US"/>
        </w:rPr>
        <w:t>35</w:t>
      </w:r>
      <w:r w:rsidR="00BD25E2">
        <w:rPr>
          <w:rFonts w:ascii="Arial" w:hAnsi="Arial" w:cs="Arial"/>
          <w:i/>
          <w:iCs/>
          <w:color w:val="000000" w:themeColor="text1"/>
          <w:lang w:val="en-US"/>
        </w:rPr>
        <w:fldChar w:fldCharType="end"/>
      </w:r>
      <w:r w:rsidR="00F82765" w:rsidRPr="00F82765">
        <w:rPr>
          <w:rFonts w:ascii="Arial" w:hAnsi="Arial" w:cs="Arial"/>
          <w:color w:val="000000" w:themeColor="text1"/>
          <w:lang w:val="en-US"/>
        </w:rPr>
        <w:t xml:space="preserve"> among NAFLD patients</w:t>
      </w:r>
      <w:r w:rsidR="00F82765">
        <w:rPr>
          <w:rFonts w:ascii="Arial" w:hAnsi="Arial" w:cs="Arial"/>
          <w:color w:val="000000" w:themeColor="text1"/>
          <w:lang w:val="en-US"/>
        </w:rPr>
        <w:t>,</w:t>
      </w:r>
      <w:r w:rsidR="00F82765" w:rsidRPr="00F82765">
        <w:rPr>
          <w:rFonts w:ascii="Arial" w:hAnsi="Arial" w:cs="Arial"/>
          <w:color w:val="000000" w:themeColor="text1"/>
          <w:lang w:val="en-US"/>
        </w:rPr>
        <w:t xml:space="preserve"> the association with liver fat as </w:t>
      </w:r>
      <w:r w:rsidR="000C1230">
        <w:rPr>
          <w:rFonts w:ascii="Arial" w:hAnsi="Arial" w:cs="Arial"/>
          <w:color w:val="000000" w:themeColor="text1"/>
          <w:lang w:val="en-US"/>
        </w:rPr>
        <w:t>a continuous</w:t>
      </w:r>
      <w:r w:rsidR="00F82765" w:rsidRPr="00F82765">
        <w:rPr>
          <w:rFonts w:ascii="Arial" w:hAnsi="Arial" w:cs="Arial"/>
          <w:color w:val="000000" w:themeColor="text1"/>
          <w:lang w:val="en-US"/>
        </w:rPr>
        <w:t xml:space="preserve"> parameter</w:t>
      </w:r>
      <w:r w:rsidR="00985EB3">
        <w:rPr>
          <w:rFonts w:ascii="Arial" w:hAnsi="Arial" w:cs="Arial"/>
          <w:color w:val="000000" w:themeColor="text1"/>
          <w:lang w:val="en-US"/>
        </w:rPr>
        <w:t xml:space="preserve"> is </w:t>
      </w:r>
      <w:r w:rsidR="000C1230">
        <w:rPr>
          <w:rFonts w:ascii="Arial" w:hAnsi="Arial" w:cs="Arial"/>
          <w:color w:val="000000" w:themeColor="text1"/>
          <w:lang w:val="en-US"/>
        </w:rPr>
        <w:t>underrepresented</w:t>
      </w:r>
      <w:r w:rsidR="00F82765" w:rsidRPr="00F82765">
        <w:rPr>
          <w:rFonts w:ascii="Arial" w:hAnsi="Arial" w:cs="Arial"/>
          <w:color w:val="000000" w:themeColor="text1"/>
          <w:lang w:val="en-US"/>
        </w:rPr>
        <w:t>. Thus, a</w:t>
      </w:r>
      <w:r w:rsidR="00F82765">
        <w:rPr>
          <w:rFonts w:ascii="Arial" w:hAnsi="Arial" w:cs="Arial"/>
          <w:i/>
          <w:iCs/>
          <w:color w:val="000000" w:themeColor="text1"/>
          <w:lang w:val="en-US"/>
        </w:rPr>
        <w:t xml:space="preserve"> </w:t>
      </w:r>
      <w:r w:rsidR="00F82765">
        <w:rPr>
          <w:rFonts w:asciiTheme="minorBidi" w:hAnsiTheme="minorBidi"/>
          <w:lang w:val="en-US"/>
        </w:rPr>
        <w:t xml:space="preserve">possible explanation for not finding </w:t>
      </w:r>
      <w:r w:rsidR="000C1230">
        <w:rPr>
          <w:rFonts w:asciiTheme="minorBidi" w:hAnsiTheme="minorBidi"/>
          <w:lang w:val="en-US"/>
        </w:rPr>
        <w:t xml:space="preserve">an </w:t>
      </w:r>
      <w:r w:rsidR="00F82765">
        <w:rPr>
          <w:rFonts w:asciiTheme="minorBidi" w:hAnsiTheme="minorBidi"/>
          <w:lang w:val="en-US"/>
        </w:rPr>
        <w:t xml:space="preserve">association between IHF and </w:t>
      </w:r>
      <w:r w:rsidR="00F82765">
        <w:rPr>
          <w:rFonts w:asciiTheme="minorBidi" w:hAnsiTheme="minorBidi"/>
          <w:i/>
          <w:iCs/>
          <w:lang w:val="en-US"/>
        </w:rPr>
        <w:t xml:space="preserve">PNPLA3 </w:t>
      </w:r>
      <w:r w:rsidR="00F82765" w:rsidRPr="00F82765">
        <w:rPr>
          <w:rFonts w:asciiTheme="minorBidi" w:hAnsiTheme="minorBidi"/>
          <w:lang w:val="en-US"/>
        </w:rPr>
        <w:t>methylation</w:t>
      </w:r>
      <w:r w:rsidR="00F82765">
        <w:rPr>
          <w:rFonts w:asciiTheme="minorBidi" w:hAnsiTheme="minorBidi"/>
          <w:lang w:val="en-US"/>
        </w:rPr>
        <w:t xml:space="preserve"> is the type of statistical test used</w:t>
      </w:r>
      <w:r w:rsidR="009F617A">
        <w:rPr>
          <w:rFonts w:asciiTheme="minorBidi" w:hAnsiTheme="minorBidi"/>
          <w:lang w:val="en-US"/>
        </w:rPr>
        <w:t>, as w</w:t>
      </w:r>
      <w:r w:rsidR="000C1230">
        <w:rPr>
          <w:rFonts w:asciiTheme="minorBidi" w:hAnsiTheme="minorBidi"/>
          <w:lang w:val="en-US"/>
        </w:rPr>
        <w:t>e</w:t>
      </w:r>
      <w:r w:rsidR="00F82765" w:rsidRPr="00F82765">
        <w:rPr>
          <w:rFonts w:ascii="Arial" w:hAnsi="Arial" w:cs="Arial"/>
          <w:color w:val="000000" w:themeColor="text1"/>
          <w:lang w:val="en-US"/>
        </w:rPr>
        <w:t xml:space="preserve"> used IHF as a continuous parameter and did not compare normal liver fat% </w:t>
      </w:r>
      <w:r w:rsidR="009F617A">
        <w:rPr>
          <w:rFonts w:ascii="Arial" w:hAnsi="Arial" w:cs="Arial"/>
          <w:color w:val="000000" w:themeColor="text1"/>
          <w:lang w:val="en-US"/>
        </w:rPr>
        <w:t>and</w:t>
      </w:r>
      <w:r w:rsidR="00F82765" w:rsidRPr="00F82765">
        <w:rPr>
          <w:rFonts w:ascii="Arial" w:hAnsi="Arial" w:cs="Arial"/>
          <w:color w:val="000000" w:themeColor="text1"/>
          <w:lang w:val="en-US"/>
        </w:rPr>
        <w:t xml:space="preserve"> NAFLD</w:t>
      </w:r>
      <w:r w:rsidR="000C1230">
        <w:rPr>
          <w:rFonts w:ascii="Arial" w:hAnsi="Arial" w:cs="Arial"/>
          <w:color w:val="000000" w:themeColor="text1"/>
          <w:lang w:val="en-US"/>
        </w:rPr>
        <w:t xml:space="preserve"> groups</w:t>
      </w:r>
      <w:r w:rsidR="00F82765">
        <w:rPr>
          <w:rFonts w:ascii="Arial" w:hAnsi="Arial" w:cs="Arial"/>
          <w:color w:val="000000" w:themeColor="text1"/>
          <w:lang w:val="en-US"/>
        </w:rPr>
        <w:t>.</w:t>
      </w:r>
      <w:r w:rsidR="00F82765" w:rsidRPr="00B81F2B">
        <w:rPr>
          <w:rFonts w:asciiTheme="minorBidi" w:hAnsiTheme="minorBidi"/>
          <w:i/>
          <w:iCs/>
        </w:rPr>
        <w:t xml:space="preserve"> </w:t>
      </w:r>
      <w:r w:rsidRPr="00B81F2B">
        <w:rPr>
          <w:rFonts w:asciiTheme="minorBidi" w:hAnsiTheme="minorBidi"/>
          <w:i/>
          <w:iCs/>
        </w:rPr>
        <w:t>FARP1</w:t>
      </w:r>
      <w:r w:rsidR="00D25FE5" w:rsidRPr="00B81F2B">
        <w:rPr>
          <w:rFonts w:asciiTheme="minorBidi" w:hAnsiTheme="minorBidi"/>
        </w:rPr>
        <w:t xml:space="preserve"> </w:t>
      </w:r>
      <w:r w:rsidRPr="00B81F2B">
        <w:rPr>
          <w:rFonts w:asciiTheme="minorBidi" w:hAnsiTheme="minorBidi"/>
        </w:rPr>
        <w:t xml:space="preserve">locus </w:t>
      </w:r>
      <w:r w:rsidR="00842980" w:rsidRPr="00B81F2B">
        <w:rPr>
          <w:rFonts w:asciiTheme="minorBidi" w:hAnsiTheme="minorBidi"/>
        </w:rPr>
        <w:t>turned out to be</w:t>
      </w:r>
      <w:r w:rsidRPr="00B81F2B">
        <w:rPr>
          <w:rFonts w:asciiTheme="minorBidi" w:hAnsiTheme="minorBidi"/>
        </w:rPr>
        <w:t xml:space="preserve"> the most </w:t>
      </w:r>
      <w:r w:rsidR="00BC3B7F" w:rsidRPr="00B81F2B">
        <w:rPr>
          <w:rFonts w:asciiTheme="minorBidi" w:hAnsiTheme="minorBidi"/>
          <w:lang w:val="en-US"/>
        </w:rPr>
        <w:t>promising</w:t>
      </w:r>
      <w:r w:rsidRPr="00B81F2B">
        <w:rPr>
          <w:rFonts w:asciiTheme="minorBidi" w:hAnsiTheme="minorBidi"/>
        </w:rPr>
        <w:t xml:space="preserve"> out of </w:t>
      </w:r>
      <w:r w:rsidR="008320C4">
        <w:rPr>
          <w:rFonts w:asciiTheme="minorBidi" w:hAnsiTheme="minorBidi"/>
        </w:rPr>
        <w:t>our</w:t>
      </w:r>
      <w:r w:rsidRPr="00B81F2B">
        <w:rPr>
          <w:rFonts w:asciiTheme="minorBidi" w:hAnsiTheme="minorBidi"/>
        </w:rPr>
        <w:t xml:space="preserve"> </w:t>
      </w:r>
      <w:r w:rsidR="005B1A9C" w:rsidRPr="00B81F2B">
        <w:rPr>
          <w:rFonts w:asciiTheme="minorBidi" w:hAnsiTheme="minorBidi"/>
        </w:rPr>
        <w:t>selected candidates</w:t>
      </w:r>
      <w:r w:rsidRPr="00B81F2B">
        <w:rPr>
          <w:rFonts w:asciiTheme="minorBidi" w:hAnsiTheme="minorBidi"/>
        </w:rPr>
        <w:t xml:space="preserve"> since </w:t>
      </w:r>
      <w:r w:rsidR="005B1A9C" w:rsidRPr="00B81F2B">
        <w:rPr>
          <w:rFonts w:asciiTheme="minorBidi" w:hAnsiTheme="minorBidi"/>
        </w:rPr>
        <w:t>rs9584805</w:t>
      </w:r>
      <w:r w:rsidRPr="00B81F2B">
        <w:rPr>
          <w:rFonts w:asciiTheme="minorBidi" w:hAnsiTheme="minorBidi"/>
        </w:rPr>
        <w:t xml:space="preserve"> was </w:t>
      </w:r>
      <w:r w:rsidR="00D25FE5" w:rsidRPr="00B81F2B">
        <w:rPr>
          <w:rFonts w:asciiTheme="minorBidi" w:hAnsiTheme="minorBidi"/>
        </w:rPr>
        <w:t xml:space="preserve">the only </w:t>
      </w:r>
      <w:r w:rsidR="005B1A9C" w:rsidRPr="00B81F2B">
        <w:rPr>
          <w:rFonts w:asciiTheme="minorBidi" w:hAnsiTheme="minorBidi"/>
        </w:rPr>
        <w:t>SNP</w:t>
      </w:r>
      <w:r w:rsidR="00D25FE5" w:rsidRPr="00B81F2B">
        <w:rPr>
          <w:rFonts w:asciiTheme="minorBidi" w:hAnsiTheme="minorBidi"/>
        </w:rPr>
        <w:t xml:space="preserve"> </w:t>
      </w:r>
      <w:r w:rsidR="006A5573" w:rsidRPr="00B81F2B">
        <w:rPr>
          <w:rFonts w:asciiTheme="minorBidi" w:hAnsiTheme="minorBidi"/>
          <w:lang w:val="en-US"/>
        </w:rPr>
        <w:t>associated</w:t>
      </w:r>
      <w:r w:rsidRPr="00B81F2B">
        <w:rPr>
          <w:rFonts w:asciiTheme="minorBidi" w:hAnsiTheme="minorBidi"/>
        </w:rPr>
        <w:t xml:space="preserve"> </w:t>
      </w:r>
      <w:r w:rsidR="00842980" w:rsidRPr="00B81F2B">
        <w:rPr>
          <w:rFonts w:asciiTheme="minorBidi" w:hAnsiTheme="minorBidi"/>
        </w:rPr>
        <w:t>with</w:t>
      </w:r>
      <w:r w:rsidRPr="00B81F2B">
        <w:rPr>
          <w:rFonts w:asciiTheme="minorBidi" w:hAnsiTheme="minorBidi"/>
        </w:rPr>
        <w:t xml:space="preserve"> </w:t>
      </w:r>
      <w:r w:rsidR="00842980" w:rsidRPr="00B81F2B">
        <w:rPr>
          <w:rFonts w:asciiTheme="minorBidi" w:hAnsiTheme="minorBidi"/>
        </w:rPr>
        <w:t xml:space="preserve">both </w:t>
      </w:r>
      <w:r w:rsidRPr="00B81F2B">
        <w:rPr>
          <w:rFonts w:asciiTheme="minorBidi" w:hAnsiTheme="minorBidi"/>
        </w:rPr>
        <w:t xml:space="preserve">liver fat </w:t>
      </w:r>
      <w:r w:rsidR="00842980" w:rsidRPr="00B81F2B">
        <w:rPr>
          <w:rFonts w:asciiTheme="minorBidi" w:hAnsiTheme="minorBidi"/>
        </w:rPr>
        <w:t>and</w:t>
      </w:r>
      <w:r w:rsidRPr="00B81F2B">
        <w:rPr>
          <w:rFonts w:asciiTheme="minorBidi" w:hAnsiTheme="minorBidi"/>
        </w:rPr>
        <w:t xml:space="preserve"> </w:t>
      </w:r>
      <w:r w:rsidR="00842980" w:rsidRPr="00B81F2B">
        <w:rPr>
          <w:rFonts w:asciiTheme="minorBidi" w:hAnsiTheme="minorBidi"/>
        </w:rPr>
        <w:t xml:space="preserve">DNA </w:t>
      </w:r>
      <w:r w:rsidRPr="00B81F2B">
        <w:rPr>
          <w:rFonts w:asciiTheme="minorBidi" w:hAnsiTheme="minorBidi"/>
        </w:rPr>
        <w:t xml:space="preserve">methylation in </w:t>
      </w:r>
      <w:r w:rsidRPr="00B81F2B">
        <w:rPr>
          <w:rFonts w:asciiTheme="minorBidi" w:hAnsiTheme="minorBidi"/>
          <w:lang w:val="en-US"/>
        </w:rPr>
        <w:t xml:space="preserve">its </w:t>
      </w:r>
      <w:r w:rsidRPr="00B81F2B">
        <w:rPr>
          <w:rFonts w:asciiTheme="minorBidi" w:hAnsiTheme="minorBidi"/>
        </w:rPr>
        <w:t>specific CpG sites.</w:t>
      </w:r>
      <w:r w:rsidR="00CA6894" w:rsidRPr="00B81F2B">
        <w:rPr>
          <w:rFonts w:asciiTheme="minorBidi" w:hAnsiTheme="minorBidi"/>
        </w:rPr>
        <w:t xml:space="preserve"> </w:t>
      </w:r>
      <w:r w:rsidR="009C1A1C" w:rsidRPr="00B81F2B">
        <w:rPr>
          <w:rFonts w:asciiTheme="minorBidi" w:hAnsiTheme="minorBidi"/>
        </w:rPr>
        <w:t xml:space="preserve">Previous human studies on </w:t>
      </w:r>
      <w:r w:rsidR="009C1A1C" w:rsidRPr="00B81F2B">
        <w:rPr>
          <w:rFonts w:asciiTheme="minorBidi" w:hAnsiTheme="minorBidi"/>
          <w:i/>
          <w:iCs/>
        </w:rPr>
        <w:t xml:space="preserve">FARP1 </w:t>
      </w:r>
      <w:r w:rsidR="009C1A1C" w:rsidRPr="00B81F2B">
        <w:rPr>
          <w:rFonts w:asciiTheme="minorBidi" w:hAnsiTheme="minorBidi"/>
        </w:rPr>
        <w:t xml:space="preserve">and fatty liver suggested that </w:t>
      </w:r>
      <w:r w:rsidR="009C1A1C" w:rsidRPr="00B81F2B">
        <w:rPr>
          <w:rFonts w:asciiTheme="minorBidi" w:hAnsiTheme="minorBidi"/>
          <w:i/>
          <w:iCs/>
        </w:rPr>
        <w:t xml:space="preserve">FARP1 </w:t>
      </w:r>
      <w:r w:rsidR="009C1A1C" w:rsidRPr="00B81F2B">
        <w:rPr>
          <w:rFonts w:asciiTheme="minorBidi" w:hAnsiTheme="minorBidi"/>
        </w:rPr>
        <w:t xml:space="preserve">rs9584805 might be </w:t>
      </w:r>
      <w:r w:rsidR="00E2109E">
        <w:rPr>
          <w:rFonts w:asciiTheme="minorBidi" w:hAnsiTheme="minorBidi"/>
        </w:rPr>
        <w:t>related to</w:t>
      </w:r>
      <w:r w:rsidR="009C1A1C" w:rsidRPr="00B81F2B">
        <w:rPr>
          <w:rFonts w:asciiTheme="minorBidi" w:hAnsiTheme="minorBidi"/>
        </w:rPr>
        <w:t xml:space="preserve"> </w:t>
      </w:r>
      <w:r w:rsidR="00E2109E">
        <w:rPr>
          <w:rFonts w:asciiTheme="minorBidi" w:hAnsiTheme="minorBidi"/>
        </w:rPr>
        <w:t>NAFLD</w:t>
      </w:r>
      <w:r w:rsidR="009C1A1C" w:rsidRPr="00B81F2B">
        <w:rPr>
          <w:rFonts w:asciiTheme="minorBidi" w:hAnsiTheme="minorBidi"/>
        </w:rPr>
        <w:t xml:space="preserve"> pathology </w:t>
      </w:r>
      <w:r w:rsidR="009C1A1C" w:rsidRPr="00B81F2B">
        <w:rPr>
          <w:rFonts w:asciiTheme="minorBidi" w:hAnsiTheme="minorBidi"/>
        </w:rPr>
        <w:fldChar w:fldCharType="begin" w:fldLock="1"/>
      </w:r>
      <w:r w:rsidR="00EC7345">
        <w:rPr>
          <w:rFonts w:asciiTheme="minorBidi" w:hAnsiTheme="minorBidi"/>
        </w:rPr>
        <w:instrText>ADDIN CSL_CITATION {"citationItems":[{"id":"ITEM-1","itemData":{"author":[{"dropping-particle":"","family":"Balsano","given":"Clara","non-dropping-particle":"","parse-names":false,"suffix":""},{"dropping-particle":"","family":"Porcu","given":"Cristiana","non-dropping-particle":"","parse-names":false,"suffix":""},{"dropping-particle":"","family":"Sideri","given":"Silvia","non-dropping-particle":"","parse-names":false,"suffix":""},{"dropping-particle":"","family":"Tavolaro","given":"Simona","non-dropping-particle":"","parse-names":false,"suffix":""}],"container-title":"Hepatoma Res","id":"ITEM-1","issued":{"date-parts":[["2018"]]},"page":"38","title":"Fat and hepatocellular carcinoma","type":"article-journal","volume":"4"},"uris":["http://www.mendeley.com/documents/?uuid=b56807e1-4e2c-3f84-98ef-3bb91b43bdc6"]}],"mendeley":{"formattedCitation":"&lt;sup&gt;36&lt;/sup&gt;","plainTextFormattedCitation":"36","previouslyFormattedCitation":"&lt;sup&gt;36&lt;/sup&gt;"},"properties":{"noteIndex":0},"schema":"https://github.com/citation-style-language/schema/raw/master/csl-citation.json"}</w:instrText>
      </w:r>
      <w:r w:rsidR="009C1A1C" w:rsidRPr="00B81F2B">
        <w:rPr>
          <w:rFonts w:asciiTheme="minorBidi" w:hAnsiTheme="minorBidi"/>
        </w:rPr>
        <w:fldChar w:fldCharType="separate"/>
      </w:r>
      <w:r w:rsidR="00BD25E2" w:rsidRPr="00BD25E2">
        <w:rPr>
          <w:rFonts w:asciiTheme="minorBidi" w:hAnsiTheme="minorBidi"/>
          <w:noProof/>
          <w:vertAlign w:val="superscript"/>
        </w:rPr>
        <w:t>36</w:t>
      </w:r>
      <w:r w:rsidR="009C1A1C" w:rsidRPr="00B81F2B">
        <w:rPr>
          <w:rFonts w:asciiTheme="minorBidi" w:hAnsiTheme="minorBidi"/>
        </w:rPr>
        <w:fldChar w:fldCharType="end"/>
      </w:r>
      <w:r w:rsidR="009C1A1C" w:rsidRPr="00B81F2B">
        <w:rPr>
          <w:rFonts w:asciiTheme="minorBidi" w:hAnsiTheme="minorBidi"/>
        </w:rPr>
        <w:t xml:space="preserve">. </w:t>
      </w:r>
      <w:r w:rsidR="00E95B85" w:rsidRPr="00B81F2B">
        <w:rPr>
          <w:rFonts w:asciiTheme="minorBidi" w:hAnsiTheme="minorBidi"/>
        </w:rPr>
        <w:t>Another</w:t>
      </w:r>
      <w:r w:rsidR="009C1A1C" w:rsidRPr="00B81F2B">
        <w:rPr>
          <w:rFonts w:asciiTheme="minorBidi" w:hAnsiTheme="minorBidi"/>
        </w:rPr>
        <w:t xml:space="preserve"> study has demonstrated that other SNPs in </w:t>
      </w:r>
      <w:r w:rsidR="009C1A1C" w:rsidRPr="00B81F2B">
        <w:rPr>
          <w:rFonts w:asciiTheme="minorBidi" w:hAnsiTheme="minorBidi"/>
          <w:i/>
          <w:iCs/>
        </w:rPr>
        <w:t>FARP1</w:t>
      </w:r>
      <w:r w:rsidR="00E2109E">
        <w:rPr>
          <w:rFonts w:asciiTheme="minorBidi" w:hAnsiTheme="minorBidi"/>
          <w:i/>
          <w:iCs/>
        </w:rPr>
        <w:t>,</w:t>
      </w:r>
      <w:r w:rsidR="009C1A1C" w:rsidRPr="00B81F2B">
        <w:rPr>
          <w:rFonts w:asciiTheme="minorBidi" w:hAnsiTheme="minorBidi"/>
        </w:rPr>
        <w:t xml:space="preserve"> like rs2127779</w:t>
      </w:r>
      <w:r w:rsidR="00E2109E">
        <w:rPr>
          <w:rFonts w:asciiTheme="minorBidi" w:hAnsiTheme="minorBidi"/>
        </w:rPr>
        <w:t>,</w:t>
      </w:r>
      <w:r w:rsidR="009C1A1C" w:rsidRPr="00B81F2B">
        <w:rPr>
          <w:rFonts w:asciiTheme="minorBidi" w:hAnsiTheme="minorBidi"/>
        </w:rPr>
        <w:t xml:space="preserve"> were associated </w:t>
      </w:r>
      <w:r w:rsidR="00E95B85" w:rsidRPr="00B81F2B">
        <w:rPr>
          <w:rFonts w:asciiTheme="minorBidi" w:hAnsiTheme="minorBidi"/>
        </w:rPr>
        <w:t xml:space="preserve">with </w:t>
      </w:r>
      <w:r w:rsidR="009C1A1C" w:rsidRPr="00B81F2B">
        <w:rPr>
          <w:rFonts w:asciiTheme="minorBidi" w:hAnsiTheme="minorBidi"/>
        </w:rPr>
        <w:t>obesity in</w:t>
      </w:r>
      <w:r w:rsidR="00E95B85" w:rsidRPr="00B81F2B">
        <w:rPr>
          <w:rFonts w:asciiTheme="minorBidi" w:hAnsiTheme="minorBidi"/>
        </w:rPr>
        <w:t xml:space="preserve"> the</w:t>
      </w:r>
      <w:r w:rsidR="009C1A1C" w:rsidRPr="00B81F2B">
        <w:rPr>
          <w:rFonts w:asciiTheme="minorBidi" w:hAnsiTheme="minorBidi"/>
        </w:rPr>
        <w:t xml:space="preserve"> Korean population </w:t>
      </w:r>
      <w:r w:rsidR="009C1A1C" w:rsidRPr="00B81F2B">
        <w:rPr>
          <w:rFonts w:asciiTheme="minorBidi" w:hAnsiTheme="minorBidi"/>
        </w:rPr>
        <w:fldChar w:fldCharType="begin" w:fldLock="1"/>
      </w:r>
      <w:r w:rsidR="00EC7345">
        <w:rPr>
          <w:rFonts w:asciiTheme="minorBidi" w:hAnsiTheme="minorBidi"/>
        </w:rPr>
        <w:instrText>ADDIN CSL_CITATION {"citationItems":[{"id":"ITEM-1","itemData":{"author":[{"dropping-particle":"","family":"Kim","given":"Minjoo","non-dropping-particle":"","parse-names":false,"suffix":""},{"dropping-particle":"","family":"Jeong","given":"Sarang","non-dropping-particle":"","parse-names":false,"suffix":""},{"dropping-particle":"","family":"Yoo","given":"Hye Jin","non-dropping-particle":"","parse-names":false,"suffix":""},{"dropping-particle":"","family":"An","given":"Hyoeun","non-dropping-particle":"","parse-names":false,"suffix":""},{"dropping-particle":"","family":"Jee","given":"Sun Ha","non-dropping-particle":"","parse-names":false,"suffix":""},{"dropping-particle":"","family":"Lee","given":"Jong Ho","non-dropping-particle":"","parse-names":false,"suffix":""}],"container-title":"Clinical genetics","id":"ITEM-1","issue":"4","issued":{"date-parts":[["2019"]]},"page":"488-495","title":"Newly identified set of obesity</w:instrText>
      </w:r>
      <w:r w:rsidR="00EC7345">
        <w:rPr>
          <w:rFonts w:ascii="Cambria Math" w:hAnsi="Cambria Math" w:cs="Cambria Math"/>
        </w:rPr>
        <w:instrText>‐</w:instrText>
      </w:r>
      <w:r w:rsidR="00EC7345">
        <w:rPr>
          <w:rFonts w:asciiTheme="minorBidi" w:hAnsiTheme="minorBidi"/>
        </w:rPr>
        <w:instrText>related genotypes and abdominal fat influence the risk of insulin resistance in a Korean population","type":"article-journal","volume":"95"},"uris":["http://www.mendeley.com/documents/?uuid=e7b85a68-692b-3a4f-ac19-25fd3a9028be"]}],"mendeley":{"formattedCitation":"&lt;sup&gt;37&lt;/sup&gt;","plainTextFormattedCitation":"37","previouslyFormattedCitation":"&lt;sup&gt;37&lt;/sup&gt;"},"properties":{"noteIndex":0},"schema":"https://github.com/citation-style-language/schema/raw/master/csl-citation.json"}</w:instrText>
      </w:r>
      <w:r w:rsidR="009C1A1C" w:rsidRPr="00B81F2B">
        <w:rPr>
          <w:rFonts w:asciiTheme="minorBidi" w:hAnsiTheme="minorBidi"/>
        </w:rPr>
        <w:fldChar w:fldCharType="separate"/>
      </w:r>
      <w:r w:rsidR="00BD25E2" w:rsidRPr="00BD25E2">
        <w:rPr>
          <w:rFonts w:asciiTheme="minorBidi" w:hAnsiTheme="minorBidi"/>
          <w:noProof/>
          <w:vertAlign w:val="superscript"/>
        </w:rPr>
        <w:t>37</w:t>
      </w:r>
      <w:r w:rsidR="009C1A1C" w:rsidRPr="00B81F2B">
        <w:rPr>
          <w:rFonts w:asciiTheme="minorBidi" w:hAnsiTheme="minorBidi"/>
        </w:rPr>
        <w:fldChar w:fldCharType="end"/>
      </w:r>
      <w:r w:rsidR="009C1A1C" w:rsidRPr="00B81F2B">
        <w:rPr>
          <w:rFonts w:asciiTheme="minorBidi" w:hAnsiTheme="minorBidi"/>
        </w:rPr>
        <w:t xml:space="preserve">. Our data suggest strong support </w:t>
      </w:r>
      <w:r w:rsidR="009C1A1C" w:rsidRPr="00B81F2B">
        <w:rPr>
          <w:rFonts w:asciiTheme="minorBidi" w:hAnsiTheme="minorBidi"/>
        </w:rPr>
        <w:lastRenderedPageBreak/>
        <w:t xml:space="preserve">regarding the role of </w:t>
      </w:r>
      <w:r w:rsidR="009C1A1C" w:rsidRPr="00B81F2B">
        <w:rPr>
          <w:rFonts w:asciiTheme="minorBidi" w:hAnsiTheme="minorBidi"/>
          <w:i/>
          <w:iCs/>
        </w:rPr>
        <w:t xml:space="preserve">FARP1 </w:t>
      </w:r>
      <w:r w:rsidR="009C1A1C" w:rsidRPr="00B81F2B">
        <w:rPr>
          <w:rFonts w:asciiTheme="minorBidi" w:hAnsiTheme="minorBidi"/>
        </w:rPr>
        <w:t xml:space="preserve">in the pathophysiology of NAFLD, which might be mediated by </w:t>
      </w:r>
      <w:r w:rsidR="009C1A1C" w:rsidRPr="00B81F2B">
        <w:rPr>
          <w:rFonts w:asciiTheme="minorBidi" w:hAnsiTheme="minorBidi"/>
          <w:iCs/>
        </w:rPr>
        <w:t xml:space="preserve">the effects of </w:t>
      </w:r>
      <w:r w:rsidR="009C1A1C" w:rsidRPr="00B81F2B">
        <w:rPr>
          <w:rFonts w:asciiTheme="minorBidi" w:hAnsiTheme="minorBidi"/>
        </w:rPr>
        <w:t>rs9584805 on liver fat</w:t>
      </w:r>
      <w:r w:rsidR="00237353" w:rsidRPr="00B81F2B">
        <w:rPr>
          <w:rFonts w:asciiTheme="minorBidi" w:hAnsiTheme="minorBidi"/>
        </w:rPr>
        <w:t xml:space="preserve">. </w:t>
      </w:r>
      <w:r w:rsidR="00CA6894" w:rsidRPr="00B81F2B">
        <w:rPr>
          <w:rFonts w:asciiTheme="minorBidi" w:hAnsiTheme="minorBidi"/>
        </w:rPr>
        <w:t>Although the Causal Inference Test</w:t>
      </w:r>
      <w:r w:rsidR="00C9020F" w:rsidRPr="00B81F2B">
        <w:rPr>
          <w:rFonts w:asciiTheme="minorBidi" w:hAnsiTheme="minorBidi"/>
        </w:rPr>
        <w:t xml:space="preserve"> </w:t>
      </w:r>
      <w:r w:rsidR="00C9020F" w:rsidRPr="00B81F2B">
        <w:rPr>
          <w:rFonts w:asciiTheme="minorBidi" w:hAnsiTheme="minorBidi"/>
        </w:rPr>
        <w:fldChar w:fldCharType="begin" w:fldLock="1"/>
      </w:r>
      <w:r w:rsidR="00EC7345">
        <w:rPr>
          <w:rFonts w:asciiTheme="minorBidi" w:hAnsiTheme="minorBidi"/>
        </w:rPr>
        <w:instrText>ADDIN CSL_CITATION {"citationItems":[{"id":"ITEM-1","itemData":{"author":[{"dropping-particle":"","family":"Millstein","given":"Joshua","non-dropping-particle":"","parse-names":false,"suffix":""},{"dropping-particle":"","family":"Zhang","given":"Bin","non-dropping-particle":"","parse-names":false,"suffix":""},{"dropping-particle":"","family":"Zhu","given":"Jun","non-dropping-particle":"","parse-names":false,"suffix":""},{"dropping-particle":"","family":"Schadt","given":"Eric E","non-dropping-particle":"","parse-names":false,"suffix":""}],"container-title":"BMC genetics","id":"ITEM-1","issue":"1","issued":{"date-parts":[["2009"]]},"page":"23","title":"Disentangling molecular relationships with a causal inference test","type":"article-journal","volume":"10"},"uris":["http://www.mendeley.com/documents/?uuid=112b8e4a-4ce2-3b87-8395-0eebfacb844d"]}],"mendeley":{"formattedCitation":"&lt;sup&gt;38&lt;/sup&gt;","plainTextFormattedCitation":"38","previouslyFormattedCitation":"&lt;sup&gt;38&lt;/sup&gt;"},"properties":{"noteIndex":0},"schema":"https://github.com/citation-style-language/schema/raw/master/csl-citation.json"}</w:instrText>
      </w:r>
      <w:r w:rsidR="00C9020F" w:rsidRPr="00B81F2B">
        <w:rPr>
          <w:rFonts w:asciiTheme="minorBidi" w:hAnsiTheme="minorBidi"/>
        </w:rPr>
        <w:fldChar w:fldCharType="separate"/>
      </w:r>
      <w:r w:rsidR="00BD25E2" w:rsidRPr="00BD25E2">
        <w:rPr>
          <w:rFonts w:asciiTheme="minorBidi" w:hAnsiTheme="minorBidi"/>
          <w:noProof/>
          <w:vertAlign w:val="superscript"/>
        </w:rPr>
        <w:t>38</w:t>
      </w:r>
      <w:r w:rsidR="00C9020F" w:rsidRPr="00B81F2B">
        <w:rPr>
          <w:rFonts w:asciiTheme="minorBidi" w:hAnsiTheme="minorBidi"/>
        </w:rPr>
        <w:fldChar w:fldCharType="end"/>
      </w:r>
      <w:r w:rsidR="00CA6894" w:rsidRPr="00B81F2B">
        <w:rPr>
          <w:rFonts w:asciiTheme="minorBidi" w:hAnsiTheme="minorBidi"/>
        </w:rPr>
        <w:t xml:space="preserve"> didn’t robustly support the causal role of DNA methylation as </w:t>
      </w:r>
      <w:r w:rsidR="00855801" w:rsidRPr="00B81F2B">
        <w:rPr>
          <w:rFonts w:asciiTheme="minorBidi" w:hAnsiTheme="minorBidi"/>
        </w:rPr>
        <w:t xml:space="preserve">a </w:t>
      </w:r>
      <w:r w:rsidR="00CA6894" w:rsidRPr="00B81F2B">
        <w:rPr>
          <w:rFonts w:asciiTheme="minorBidi" w:hAnsiTheme="minorBidi"/>
        </w:rPr>
        <w:t xml:space="preserve">mediator between genotype and outcome (IHF%) in our sample set, </w:t>
      </w:r>
      <w:r w:rsidR="00AC6613" w:rsidRPr="00B81F2B">
        <w:rPr>
          <w:rFonts w:asciiTheme="minorBidi" w:hAnsiTheme="minorBidi"/>
        </w:rPr>
        <w:t>methylation-genetic variation cross talk should be considered</w:t>
      </w:r>
      <w:r w:rsidR="00EA7B07" w:rsidRPr="00B81F2B">
        <w:rPr>
          <w:rFonts w:asciiTheme="minorBidi" w:hAnsiTheme="minorBidi"/>
        </w:rPr>
        <w:t xml:space="preserve"> </w:t>
      </w:r>
      <w:r w:rsidR="00EA7B07" w:rsidRPr="00B81F2B">
        <w:rPr>
          <w:rFonts w:asciiTheme="minorBidi" w:hAnsiTheme="minorBidi"/>
        </w:rPr>
        <w:fldChar w:fldCharType="begin" w:fldLock="1"/>
      </w:r>
      <w:r w:rsidR="00EC7345">
        <w:rPr>
          <w:rFonts w:asciiTheme="minorBidi" w:hAnsiTheme="minorBidi"/>
        </w:rPr>
        <w:instrText>ADDIN CSL_CITATION {"citationItems":[{"id":"ITEM-1","itemData":{"ISSN":"1868-7083","author":[{"dropping-particle":"","family":"Walle","given":"Paula","non-dropping-particle":"","parse-names":false,"suffix":""},{"dropping-particle":"","family":"Männistö","given":"Ville","non-dropping-particle":"","parse-names":false,"suffix":""},{"dropping-particle":"","family":"Mello","given":"Vanessa Derenji","non-dropping-particle":"De","parse-names":false,"suffix":""},{"dropping-particle":"","family":"Vaittinen","given":"Maija","non-dropping-particle":"","parse-names":false,"suffix":""},{"dropping-particle":"","family":"Perfilyev","given":"Alexander","non-dropping-particle":"","parse-names":false,"suffix":""},{"dropping-particle":"","family":"Hanhineva","given":"Kati","non-dropping-particle":"","parse-names":false,"suffix":""},{"dropping-particle":"","family":"Ling","given":"Charlotte","non-dropping-particle":"","parse-names":false,"suffix":""},{"dropping-particle":"","family":"Pihlajamäki","given":"Jussi","non-dropping-particle":"","parse-names":false,"suffix":""}],"container-title":"Clinical epigenetics","id":"ITEM-1","issue":"1","issued":{"date-parts":[["2019"]]},"page":"1-9","publisher":"BioMed Central","title":"Liver DNA methylation of FADS2 associates with FADS2 genotypex","type":"article-journal","volume":"11"},"uris":["http://www.mendeley.com/documents/?uuid=2955212f-7fcb-43c0-a984-624b386eef3f"]}],"mendeley":{"formattedCitation":"&lt;sup&gt;39&lt;/sup&gt;","plainTextFormattedCitation":"39","previouslyFormattedCitation":"&lt;sup&gt;39&lt;/sup&gt;"},"properties":{"noteIndex":0},"schema":"https://github.com/citation-style-language/schema/raw/master/csl-citation.json"}</w:instrText>
      </w:r>
      <w:r w:rsidR="00EA7B07" w:rsidRPr="00B81F2B">
        <w:rPr>
          <w:rFonts w:asciiTheme="minorBidi" w:hAnsiTheme="minorBidi"/>
        </w:rPr>
        <w:fldChar w:fldCharType="separate"/>
      </w:r>
      <w:r w:rsidR="00BD25E2" w:rsidRPr="00BD25E2">
        <w:rPr>
          <w:rFonts w:asciiTheme="minorBidi" w:hAnsiTheme="minorBidi"/>
          <w:noProof/>
          <w:vertAlign w:val="superscript"/>
        </w:rPr>
        <w:t>39</w:t>
      </w:r>
      <w:r w:rsidR="00EA7B07" w:rsidRPr="00B81F2B">
        <w:rPr>
          <w:rFonts w:asciiTheme="minorBidi" w:hAnsiTheme="minorBidi"/>
        </w:rPr>
        <w:fldChar w:fldCharType="end"/>
      </w:r>
      <w:r w:rsidR="00F947C2" w:rsidRPr="00B81F2B">
        <w:rPr>
          <w:rFonts w:asciiTheme="minorBidi" w:hAnsiTheme="minorBidi"/>
        </w:rPr>
        <w:t xml:space="preserve">, </w:t>
      </w:r>
      <w:r w:rsidR="009C1A1C" w:rsidRPr="00B81F2B">
        <w:rPr>
          <w:rFonts w:asciiTheme="minorBidi" w:hAnsiTheme="minorBidi"/>
        </w:rPr>
        <w:t>by</w:t>
      </w:r>
      <w:r w:rsidR="00E2109E">
        <w:rPr>
          <w:rFonts w:asciiTheme="minorBidi" w:hAnsiTheme="minorBidi"/>
        </w:rPr>
        <w:t>,</w:t>
      </w:r>
      <w:r w:rsidR="009C1A1C" w:rsidRPr="00B81F2B">
        <w:rPr>
          <w:rFonts w:asciiTheme="minorBidi" w:hAnsiTheme="minorBidi"/>
        </w:rPr>
        <w:t xml:space="preserve"> i.e.</w:t>
      </w:r>
      <w:r w:rsidR="00E2109E">
        <w:rPr>
          <w:rFonts w:asciiTheme="minorBidi" w:hAnsiTheme="minorBidi"/>
        </w:rPr>
        <w:t>,</w:t>
      </w:r>
      <w:r w:rsidR="009C1A1C" w:rsidRPr="00B81F2B">
        <w:rPr>
          <w:rFonts w:asciiTheme="minorBidi" w:hAnsiTheme="minorBidi"/>
        </w:rPr>
        <w:t xml:space="preserve"> transcription factors binding to gene target promoters gated by promoter methylation </w:t>
      </w:r>
      <w:r w:rsidR="009C1A1C" w:rsidRPr="00B81F2B">
        <w:rPr>
          <w:rFonts w:asciiTheme="minorBidi" w:hAnsiTheme="minorBidi"/>
        </w:rPr>
        <w:fldChar w:fldCharType="begin" w:fldLock="1"/>
      </w:r>
      <w:r w:rsidR="00EC7345">
        <w:rPr>
          <w:rFonts w:asciiTheme="minorBidi" w:hAnsiTheme="minorBidi"/>
        </w:rPr>
        <w:instrText>ADDIN CSL_CITATION {"citationItems":[{"id":"ITEM-1","itemData":{"ISSN":"1088-9051","author":[{"dropping-particle":"","family":"Luu","given":"Phuc-Loi","non-dropping-particle":"","parse-names":false,"suffix":""},{"dropping-particle":"","family":"Schöler","given":"Hans R","non-dropping-particle":"","parse-names":false,"suffix":""},{"dropping-particle":"","family":"Araúzo-Bravo","given":"Marcos J","non-dropping-particle":"","parse-names":false,"suffix":""}],"container-title":"Genome Research","id":"ITEM-1","issue":"12","issued":{"date-parts":[["2013"]]},"publisher":"Cold Spring Harbor Lab","title":"Disclosing the crosstalk among DNA methylation, transcription factors, and histone marks in human pluripotent cells through discovery of DNA methylation motifs","type":"article-journal","volume":"23"},"uris":["http://www.mendeley.com/documents/?uuid=d64aaf69-adc9-45ca-a33f-aeaa286f42b7"]}],"mendeley":{"formattedCitation":"&lt;sup&gt;40&lt;/sup&gt;","plainTextFormattedCitation":"40","previouslyFormattedCitation":"&lt;sup&gt;40&lt;/sup&gt;"},"properties":{"noteIndex":0},"schema":"https://github.com/citation-style-language/schema/raw/master/csl-citation.json"}</w:instrText>
      </w:r>
      <w:r w:rsidR="009C1A1C" w:rsidRPr="00B81F2B">
        <w:rPr>
          <w:rFonts w:asciiTheme="minorBidi" w:hAnsiTheme="minorBidi"/>
        </w:rPr>
        <w:fldChar w:fldCharType="separate"/>
      </w:r>
      <w:r w:rsidR="00BD25E2" w:rsidRPr="00BD25E2">
        <w:rPr>
          <w:rFonts w:asciiTheme="minorBidi" w:hAnsiTheme="minorBidi"/>
          <w:noProof/>
          <w:vertAlign w:val="superscript"/>
        </w:rPr>
        <w:t>40</w:t>
      </w:r>
      <w:r w:rsidR="009C1A1C" w:rsidRPr="00B81F2B">
        <w:rPr>
          <w:rFonts w:asciiTheme="minorBidi" w:hAnsiTheme="minorBidi"/>
        </w:rPr>
        <w:fldChar w:fldCharType="end"/>
      </w:r>
      <w:r w:rsidR="009C1A1C" w:rsidRPr="00B81F2B">
        <w:rPr>
          <w:rFonts w:asciiTheme="minorBidi" w:hAnsiTheme="minorBidi"/>
        </w:rPr>
        <w:t xml:space="preserve">. </w:t>
      </w:r>
      <w:bookmarkEnd w:id="11"/>
    </w:p>
    <w:p w14:paraId="45C0981E" w14:textId="02FBAD5C" w:rsidR="008C071D" w:rsidRDefault="00EC7345" w:rsidP="007E6643">
      <w:pPr>
        <w:spacing w:before="120" w:line="480" w:lineRule="auto"/>
        <w:rPr>
          <w:rFonts w:asciiTheme="minorBidi" w:hAnsiTheme="minorBidi"/>
        </w:rPr>
      </w:pPr>
      <w:bookmarkStart w:id="14" w:name="_Hlk28520284"/>
      <w:bookmarkEnd w:id="12"/>
      <w:r w:rsidRPr="0092728B">
        <w:rPr>
          <w:rFonts w:asciiTheme="minorBidi" w:hAnsiTheme="minorBidi"/>
          <w:color w:val="000000" w:themeColor="text1"/>
          <w:lang w:val="en-US"/>
        </w:rPr>
        <w:t>DNA methylation</w:t>
      </w:r>
      <w:r w:rsidRPr="0092728B">
        <w:rPr>
          <w:rFonts w:asciiTheme="minorBidi" w:hAnsiTheme="minorBidi"/>
          <w:color w:val="000000" w:themeColor="text1"/>
        </w:rPr>
        <w:t xml:space="preserve"> have been previously described as influenced by</w:t>
      </w:r>
      <w:r w:rsidR="001E7A59" w:rsidRPr="0092728B">
        <w:rPr>
          <w:rFonts w:asciiTheme="minorBidi" w:hAnsiTheme="minorBidi"/>
          <w:color w:val="000000" w:themeColor="text1"/>
          <w:lang w:val="en-US"/>
        </w:rPr>
        <w:t xml:space="preserve"> weight loss </w:t>
      </w:r>
      <w:r w:rsidR="001E7A59" w:rsidRPr="0092728B">
        <w:rPr>
          <w:rFonts w:asciiTheme="minorBidi" w:hAnsiTheme="minorBidi"/>
          <w:color w:val="000000" w:themeColor="text1"/>
        </w:rPr>
        <w:fldChar w:fldCharType="begin" w:fldLock="1"/>
      </w:r>
      <w:r w:rsidR="001E7A59" w:rsidRPr="0092728B">
        <w:rPr>
          <w:rFonts w:asciiTheme="minorBidi" w:hAnsiTheme="minorBidi"/>
          <w:color w:val="000000" w:themeColor="text1"/>
        </w:rPr>
        <w:instrText>ADDIN CSL_CITATION {"citationItems":[{"id":"ITEM-1","itemData":{"author":[{"dropping-particle":"","family":"Tammen","given":"Stephanie A","non-dropping-particle":"","parse-names":false,"suffix":""},{"dropping-particle":"","family":"Friso","given":"Simonetta","non-dropping-particle":"","parse-names":false,"suffix":""},{"dropping-particle":"","family":"Choi","given":"Sang-Woon","non-dropping-particle":"","parse-names":false,"suffix":""}],"container-title":"Molecular aspects of medicine","id":"ITEM-1","issue":"4","issued":{"date-parts":[["2013"]]},"page":"753-764","title":"Epigenetics: the link between nature and nurture","type":"article-journal","volume":"34"},"uris":["http://www.mendeley.com/documents/?uuid=32703950-e93c-3d00-be8e-5d3024d4ef49"]}],"mendeley":{"formattedCitation":"&lt;sup&gt;9&lt;/sup&gt;","plainTextFormattedCitation":"9","previouslyFormattedCitation":"&lt;sup&gt;9&lt;/sup&gt;"},"properties":{"noteIndex":0},"schema":"https://github.com/citation-style-language/schema/raw/master/csl-citation.json"}</w:instrText>
      </w:r>
      <w:r w:rsidR="001E7A59" w:rsidRPr="0092728B">
        <w:rPr>
          <w:rFonts w:asciiTheme="minorBidi" w:hAnsiTheme="minorBidi"/>
          <w:color w:val="000000" w:themeColor="text1"/>
        </w:rPr>
        <w:fldChar w:fldCharType="separate"/>
      </w:r>
      <w:r w:rsidR="001E7A59" w:rsidRPr="0092728B">
        <w:rPr>
          <w:rFonts w:asciiTheme="minorBidi" w:hAnsiTheme="minorBidi"/>
          <w:noProof/>
          <w:color w:val="000000" w:themeColor="text1"/>
          <w:vertAlign w:val="superscript"/>
        </w:rPr>
        <w:t>9</w:t>
      </w:r>
      <w:r w:rsidR="001E7A59" w:rsidRPr="0092728B">
        <w:rPr>
          <w:rFonts w:asciiTheme="minorBidi" w:hAnsiTheme="minorBidi"/>
          <w:color w:val="000000" w:themeColor="text1"/>
        </w:rPr>
        <w:fldChar w:fldCharType="end"/>
      </w:r>
      <w:r w:rsidR="001E7A59" w:rsidRPr="0092728B">
        <w:rPr>
          <w:rFonts w:asciiTheme="minorBidi" w:hAnsiTheme="minorBidi"/>
          <w:color w:val="000000" w:themeColor="text1"/>
          <w:lang w:val="en-US"/>
        </w:rPr>
        <w:t xml:space="preserve">, </w:t>
      </w:r>
      <w:r w:rsidRPr="0092728B">
        <w:rPr>
          <w:rFonts w:asciiTheme="minorBidi" w:hAnsiTheme="minorBidi"/>
          <w:color w:val="000000" w:themeColor="text1"/>
        </w:rPr>
        <w:t xml:space="preserve"> race/ethnicity and gender</w:t>
      </w:r>
      <w:r w:rsidRPr="0092728B">
        <w:rPr>
          <w:rFonts w:asciiTheme="minorBidi" w:hAnsiTheme="minorBidi"/>
          <w:color w:val="000000" w:themeColor="text1"/>
          <w:lang w:val="en-US"/>
        </w:rPr>
        <w:t xml:space="preserve"> </w:t>
      </w:r>
      <w:r w:rsidRPr="0092728B">
        <w:rPr>
          <w:rFonts w:asciiTheme="minorBidi" w:hAnsiTheme="minorBidi"/>
          <w:color w:val="000000" w:themeColor="text1"/>
          <w:lang w:val="en-US"/>
        </w:rPr>
        <w:fldChar w:fldCharType="begin" w:fldLock="1"/>
      </w:r>
      <w:r w:rsidR="001E7A59" w:rsidRPr="0092728B">
        <w:rPr>
          <w:rFonts w:asciiTheme="minorBidi" w:hAnsiTheme="minorBidi"/>
          <w:color w:val="000000" w:themeColor="text1"/>
          <w:lang w:val="en-US"/>
        </w:rPr>
        <w:instrText>ADDIN CSL_CITATION {"citationItems":[{"id":"ITEM-1","itemData":{"ISSN":"1559-2294","author":[{"dropping-particle":"","family":"Zhang","given":"Fang Fang","non-dropping-particle":"","parse-names":false,"suffix":""},{"dropping-particle":"","family":"Cardarelli","given":"Roberto","non-dropping-particle":"","parse-names":false,"suffix":""},{"dropping-particle":"","family":"Carroll","given":"Joan","non-dropping-particle":"","parse-names":false,"suffix":""},{"dropping-particle":"","family":"Fulda","given":"Kimberly G","non-dropping-particle":"","parse-names":false,"suffix":""},{"dropping-particle":"","family":"Kaur","given":"Manleen","non-dropping-particle":"","parse-names":false,"suffix":""},{"dropping-particle":"","family":"Gonzalez","given":"Karina","non-dropping-particle":"","parse-names":false,"suffix":""},{"dropping-particle":"","family":"Vishwanatha","given":"Jamboor K","non-dropping-particle":"","parse-names":false,"suffix":""},{"dropping-particle":"","family":"Santella","given":"Regina M","non-dropping-particle":"","parse-names":false,"suffix":""},{"dropping-particle":"","family":"Morabia","given":"Alfredo","non-dropping-particle":"","parse-names":false,"suffix":""}],"container-title":"Epigenetics","id":"ITEM-1","issue":"5","issued":{"date-parts":[["2011"]]},"page":"623-629","publisher":"Taylor &amp; Francis","title":"Significant differences in global genomic DNA methylation by gender and race/ethnicity in peripheral blood","type":"article-journal","volume":"6"},"uris":["http://www.mendeley.com/documents/?uuid=f40b7f5f-6bc9-427c-9f3b-74d808d1c5ee"]}],"mendeley":{"formattedCitation":"&lt;sup&gt;41&lt;/sup&gt;","plainTextFormattedCitation":"41","previouslyFormattedCitation":"&lt;sup&gt;41&lt;/sup&gt;"},"properties":{"noteIndex":0},"schema":"https://github.com/citation-style-language/schema/raw/master/csl-citation.json"}</w:instrText>
      </w:r>
      <w:r w:rsidRPr="0092728B">
        <w:rPr>
          <w:rFonts w:asciiTheme="minorBidi" w:hAnsiTheme="minorBidi"/>
          <w:color w:val="000000" w:themeColor="text1"/>
          <w:lang w:val="en-US"/>
        </w:rPr>
        <w:fldChar w:fldCharType="separate"/>
      </w:r>
      <w:r w:rsidRPr="0092728B">
        <w:rPr>
          <w:rFonts w:asciiTheme="minorBidi" w:hAnsiTheme="minorBidi"/>
          <w:noProof/>
          <w:color w:val="000000" w:themeColor="text1"/>
          <w:vertAlign w:val="superscript"/>
          <w:lang w:val="en-US"/>
        </w:rPr>
        <w:t>41</w:t>
      </w:r>
      <w:r w:rsidRPr="0092728B">
        <w:rPr>
          <w:rFonts w:asciiTheme="minorBidi" w:hAnsiTheme="minorBidi"/>
          <w:color w:val="000000" w:themeColor="text1"/>
          <w:lang w:val="en-US"/>
        </w:rPr>
        <w:fldChar w:fldCharType="end"/>
      </w:r>
      <w:r w:rsidRPr="0092728B">
        <w:rPr>
          <w:rFonts w:asciiTheme="minorBidi" w:hAnsiTheme="minorBidi"/>
          <w:color w:val="000000" w:themeColor="text1"/>
          <w:lang w:val="en-US"/>
        </w:rPr>
        <w:t xml:space="preserve">. </w:t>
      </w:r>
      <w:r w:rsidR="004777EE" w:rsidRPr="0092728B">
        <w:rPr>
          <w:rFonts w:asciiTheme="minorBidi" w:hAnsiTheme="minorBidi"/>
          <w:color w:val="000000" w:themeColor="text1"/>
          <w:lang w:val="en-US"/>
        </w:rPr>
        <w:t xml:space="preserve">Moreover, </w:t>
      </w:r>
      <w:r w:rsidR="007B4193" w:rsidRPr="0092728B">
        <w:rPr>
          <w:rFonts w:asciiTheme="minorBidi" w:hAnsiTheme="minorBidi"/>
          <w:color w:val="000000" w:themeColor="text1"/>
          <w:lang w:val="en-US"/>
        </w:rPr>
        <w:t>e</w:t>
      </w:r>
      <w:r w:rsidR="004777EE" w:rsidRPr="0092728B">
        <w:rPr>
          <w:rFonts w:ascii="Arial" w:hAnsi="Arial" w:cs="Arial"/>
          <w:color w:val="000000" w:themeColor="text1"/>
          <w:shd w:val="clear" w:color="auto" w:fill="FFFFFF"/>
        </w:rPr>
        <w:t>pigenetic diet</w:t>
      </w:r>
      <w:proofErr w:type="spellStart"/>
      <w:r w:rsidR="009930E6">
        <w:rPr>
          <w:rFonts w:ascii="Arial" w:hAnsi="Arial" w:cs="Arial"/>
          <w:color w:val="000000" w:themeColor="text1"/>
          <w:shd w:val="clear" w:color="auto" w:fill="FFFFFF"/>
          <w:lang w:val="en-US"/>
        </w:rPr>
        <w:t>ar</w:t>
      </w:r>
      <w:proofErr w:type="spellEnd"/>
      <w:r w:rsidR="004777EE" w:rsidRPr="0092728B">
        <w:rPr>
          <w:rFonts w:ascii="Arial" w:hAnsi="Arial" w:cs="Arial"/>
          <w:color w:val="000000" w:themeColor="text1"/>
          <w:shd w:val="clear" w:color="auto" w:fill="FFFFFF"/>
        </w:rPr>
        <w:t xml:space="preserve">y effects have been described as influenced by </w:t>
      </w:r>
      <w:r w:rsidR="007B4193" w:rsidRPr="0092728B">
        <w:rPr>
          <w:rFonts w:ascii="Arial" w:hAnsi="Arial" w:cs="Arial"/>
          <w:color w:val="000000" w:themeColor="text1"/>
          <w:shd w:val="clear" w:color="auto" w:fill="FFFFFF"/>
          <w:lang w:val="en-US"/>
        </w:rPr>
        <w:t>these factors.</w:t>
      </w:r>
      <w:r w:rsidR="004777EE" w:rsidRPr="0092728B">
        <w:rPr>
          <w:rFonts w:asciiTheme="minorBidi" w:hAnsiTheme="minorBidi"/>
          <w:color w:val="000000" w:themeColor="text1"/>
        </w:rPr>
        <w:t xml:space="preserve"> </w:t>
      </w:r>
      <w:r w:rsidR="001E7A59" w:rsidRPr="0092728B">
        <w:rPr>
          <w:rFonts w:asciiTheme="minorBidi" w:hAnsiTheme="minorBidi"/>
          <w:color w:val="000000" w:themeColor="text1"/>
          <w:lang w:val="en-US"/>
        </w:rPr>
        <w:t xml:space="preserve">A </w:t>
      </w:r>
      <w:r w:rsidR="00A81C6B" w:rsidRPr="0092728B">
        <w:rPr>
          <w:rFonts w:asciiTheme="minorBidi" w:hAnsiTheme="minorBidi"/>
          <w:color w:val="000000" w:themeColor="text1"/>
          <w:lang w:val="en-US"/>
        </w:rPr>
        <w:t>recent</w:t>
      </w:r>
      <w:r w:rsidR="001E7A59" w:rsidRPr="0092728B">
        <w:rPr>
          <w:rFonts w:asciiTheme="minorBidi" w:hAnsiTheme="minorBidi"/>
          <w:color w:val="000000" w:themeColor="text1"/>
          <w:lang w:val="en-US"/>
        </w:rPr>
        <w:t xml:space="preserve"> study found that gender might have a specific effect on epigenetic rejuvenation when following </w:t>
      </w:r>
      <w:r w:rsidR="00FB777B" w:rsidRPr="0092728B">
        <w:rPr>
          <w:rFonts w:asciiTheme="minorBidi" w:hAnsiTheme="minorBidi"/>
          <w:color w:val="000000" w:themeColor="text1"/>
          <w:lang w:val="en-US"/>
        </w:rPr>
        <w:t>a MED-style</w:t>
      </w:r>
      <w:r w:rsidR="001E7A59" w:rsidRPr="0092728B">
        <w:rPr>
          <w:rFonts w:asciiTheme="minorBidi" w:hAnsiTheme="minorBidi"/>
          <w:color w:val="000000" w:themeColor="text1"/>
          <w:lang w:val="en-US"/>
        </w:rPr>
        <w:t xml:space="preserve"> diet </w:t>
      </w:r>
      <w:r w:rsidR="001E7A59" w:rsidRPr="0092728B">
        <w:rPr>
          <w:rFonts w:asciiTheme="minorBidi" w:hAnsiTheme="minorBidi"/>
          <w:color w:val="000000" w:themeColor="text1"/>
          <w:lang w:val="en-US"/>
        </w:rPr>
        <w:fldChar w:fldCharType="begin" w:fldLock="1"/>
      </w:r>
      <w:r w:rsidR="001E7A59" w:rsidRPr="0092728B">
        <w:rPr>
          <w:rFonts w:asciiTheme="minorBidi" w:hAnsiTheme="minorBidi"/>
          <w:color w:val="000000" w:themeColor="text1"/>
          <w:lang w:val="en-US"/>
        </w:rPr>
        <w:instrText>ADDIN CSL_CITATION {"citationItems":[{"id":"ITEM-1","itemData":{"ISSN":"2509-2723","author":[{"dropping-particle":"","family":"Gensous","given":"Noémie","non-dropping-particle":"","parse-names":false,"suffix":""},{"dropping-particle":"","family":"Garagnani","given":"Paolo","non-dropping-particle":"","parse-names":false,"suffix":""},{"dropping-particle":"","family":"Santoro","given":"Aurelia","non-dropping-particle":"","parse-names":false,"suffix":""},{"dropping-particle":"","family":"Giuliani","given":"Cristina","non-dropping-particle":"","parse-names":false,"suffix":""},{"dropping-particle":"","family":"Ostan","given":"Rita","non-dropping-particle":"","parse-names":false,"suffix":""},{"dropping-particle":"","family":"Fabbri","given":"Cristina","non-dropping-particle":"","parse-names":false,"suffix":""},{"dropping-particle":"","family":"Milazzo","given":"Maddalena","non-dropping-particle":"","parse-names":false,"suffix":""},{"dropping-particle":"","family":"Gentilini","given":"Davide","non-dropping-particle":"","parse-names":false,"suffix":""},{"dropping-particle":"","family":"Blasio","given":"Anna Maria","non-dropping-particle":"di","parse-names":false,"suffix":""},{"dropping-particle":"","family":"Pietruszka","given":"Barbara","non-dropping-particle":"","parse-names":false,"suffix":""}],"container-title":"GeroScience","id":"ITEM-1","issue":"2","issued":{"date-parts":[["2020"]]},"page":"687-701","publisher":"Springer","title":"One-year Mediterranean diet promotes epigenetic rejuvenation with country-and sex-specific effects: a pilot study from the NU-AGE project","type":"article-journal","volume":"42"},"uris":["http://www.mendeley.com/documents/?uuid=f9179779-92db-4f68-8225-824f2945a081"]}],"mendeley":{"formattedCitation":"&lt;sup&gt;42&lt;/sup&gt;","plainTextFormattedCitation":"42","previouslyFormattedCitation":"&lt;sup&gt;42&lt;/sup&gt;"},"properties":{"noteIndex":0},"schema":"https://github.com/citation-style-language/schema/raw/master/csl-citation.json"}</w:instrText>
      </w:r>
      <w:r w:rsidR="001E7A59" w:rsidRPr="0092728B">
        <w:rPr>
          <w:rFonts w:asciiTheme="minorBidi" w:hAnsiTheme="minorBidi"/>
          <w:color w:val="000000" w:themeColor="text1"/>
          <w:lang w:val="en-US"/>
        </w:rPr>
        <w:fldChar w:fldCharType="separate"/>
      </w:r>
      <w:r w:rsidR="001E7A59" w:rsidRPr="0092728B">
        <w:rPr>
          <w:rFonts w:asciiTheme="minorBidi" w:hAnsiTheme="minorBidi"/>
          <w:noProof/>
          <w:color w:val="000000" w:themeColor="text1"/>
          <w:vertAlign w:val="superscript"/>
          <w:lang w:val="en-US"/>
        </w:rPr>
        <w:t>42</w:t>
      </w:r>
      <w:r w:rsidR="001E7A59" w:rsidRPr="0092728B">
        <w:rPr>
          <w:rFonts w:asciiTheme="minorBidi" w:hAnsiTheme="minorBidi"/>
          <w:color w:val="000000" w:themeColor="text1"/>
          <w:lang w:val="en-US"/>
        </w:rPr>
        <w:fldChar w:fldCharType="end"/>
      </w:r>
      <w:r w:rsidR="001E7A59" w:rsidRPr="0092728B">
        <w:rPr>
          <w:rFonts w:asciiTheme="minorBidi" w:hAnsiTheme="minorBidi"/>
          <w:color w:val="000000" w:themeColor="text1"/>
          <w:lang w:val="en-US"/>
        </w:rPr>
        <w:t xml:space="preserve">. </w:t>
      </w:r>
      <w:r w:rsidR="00A81C6B" w:rsidRPr="0092728B">
        <w:rPr>
          <w:rFonts w:asciiTheme="minorBidi" w:hAnsiTheme="minorBidi"/>
          <w:color w:val="000000" w:themeColor="text1"/>
          <w:lang w:val="en-US"/>
        </w:rPr>
        <w:t xml:space="preserve"> </w:t>
      </w:r>
      <w:r w:rsidR="00FB777B" w:rsidRPr="0092728B">
        <w:rPr>
          <w:rFonts w:asciiTheme="minorBidi" w:hAnsiTheme="minorBidi"/>
          <w:color w:val="000000" w:themeColor="text1"/>
          <w:lang w:val="en-US"/>
        </w:rPr>
        <w:t>Among</w:t>
      </w:r>
      <w:r w:rsidR="00A81C6B" w:rsidRPr="0092728B">
        <w:rPr>
          <w:rFonts w:asciiTheme="minorBidi" w:hAnsiTheme="minorBidi"/>
          <w:color w:val="000000" w:themeColor="text1"/>
          <w:lang w:val="en-US"/>
        </w:rPr>
        <w:t xml:space="preserve"> older men, an attenuation of age, reflected by DNA methylation</w:t>
      </w:r>
      <w:r w:rsidR="00FB777B" w:rsidRPr="0092728B">
        <w:rPr>
          <w:rFonts w:asciiTheme="minorBidi" w:hAnsiTheme="minorBidi"/>
          <w:color w:val="000000" w:themeColor="text1"/>
          <w:lang w:val="en-US"/>
        </w:rPr>
        <w:t>,</w:t>
      </w:r>
      <w:r w:rsidR="00A81C6B" w:rsidRPr="0092728B">
        <w:rPr>
          <w:rFonts w:asciiTheme="minorBidi" w:hAnsiTheme="minorBidi"/>
          <w:color w:val="000000" w:themeColor="text1"/>
          <w:lang w:val="en-US"/>
        </w:rPr>
        <w:t xml:space="preserve"> was observed following weight</w:t>
      </w:r>
      <w:r w:rsidR="00FB777B" w:rsidRPr="0092728B">
        <w:rPr>
          <w:rFonts w:asciiTheme="minorBidi" w:hAnsiTheme="minorBidi"/>
          <w:color w:val="000000" w:themeColor="text1"/>
          <w:lang w:val="en-US"/>
        </w:rPr>
        <w:t>-</w:t>
      </w:r>
      <w:r w:rsidR="00A81C6B" w:rsidRPr="0092728B">
        <w:rPr>
          <w:rFonts w:asciiTheme="minorBidi" w:hAnsiTheme="minorBidi"/>
          <w:color w:val="000000" w:themeColor="text1"/>
          <w:lang w:val="en-US"/>
        </w:rPr>
        <w:t>loss</w:t>
      </w:r>
      <w:r w:rsidR="00FB777B" w:rsidRPr="0092728B">
        <w:rPr>
          <w:rFonts w:asciiTheme="minorBidi" w:hAnsiTheme="minorBidi"/>
          <w:color w:val="000000" w:themeColor="text1"/>
          <w:lang w:val="en-US"/>
        </w:rPr>
        <w:t xml:space="preserve"> induced by lifestyle interventions</w:t>
      </w:r>
      <w:r w:rsidR="00A81C6B" w:rsidRPr="0092728B">
        <w:rPr>
          <w:rFonts w:asciiTheme="minorBidi" w:hAnsiTheme="minorBidi"/>
          <w:color w:val="000000" w:themeColor="text1"/>
          <w:lang w:val="en-US"/>
        </w:rPr>
        <w:t xml:space="preserve"> </w:t>
      </w:r>
      <w:r w:rsidR="00A81C6B" w:rsidRPr="0092728B">
        <w:rPr>
          <w:rFonts w:asciiTheme="minorBidi" w:hAnsiTheme="minorBidi"/>
          <w:color w:val="000000" w:themeColor="text1"/>
          <w:lang w:val="en-US"/>
        </w:rPr>
        <w:fldChar w:fldCharType="begin" w:fldLock="1"/>
      </w:r>
      <w:r w:rsidR="00A81C6B" w:rsidRPr="0092728B">
        <w:rPr>
          <w:rFonts w:asciiTheme="minorBidi" w:hAnsiTheme="minorBidi"/>
          <w:color w:val="000000" w:themeColor="text1"/>
          <w:lang w:val="en-US"/>
        </w:rPr>
        <w:instrText>ADDIN CSL_CITATION {"citationItems":[{"id":"ITEM-1","itemData":{"ISSN":"1868-7083","author":[{"dropping-particle":"","family":"Meir","given":"Anat Yaskolka","non-dropping-particle":"","parse-names":false,"suffix":""},{"dropping-particle":"","family":"Keller","given":"Maria","non-dropping-particle":"","parse-names":false,"suffix":""},{"dropping-particle":"","family":"Bernhart","given":"Stephan H","non-dropping-particle":"","parse-names":false,"suffix":""},{"dropping-particle":"","family":"Rinott","given":"Ehud","non-dropping-particle":"","parse-names":false,"suffix":""},{"dropping-particle":"","family":"Tsaban","given":"Gal","non-dropping-particle":"","parse-names":false,"suffix":""},{"dropping-particle":"","family":"Zelicha","given":"Hila","non-dropping-particle":"","parse-names":false,"suffix":""},{"dropping-particle":"","family":"Kaplan","given":"Alon","non-dropping-particle":"","parse-names":false,"suffix":""},{"dropping-particle":"","family":"Schwarzfuchs","given":"Dan","non-dropping-particle":"","parse-names":false,"suffix":""},{"dropping-particle":"","family":"Shelef","given":"Ilan","non-dropping-particle":"","parse-names":false,"suffix":""},{"dropping-particle":"","family":"Gepner","given":"Yftach","non-dropping-particle":"","parse-names":false,"suffix":""}],"container-title":"Clinical epigenetics","id":"ITEM-1","issue":"1","issued":{"date-parts":[["2021"]]},"page":"1-10","publisher":"Springer","title":"Lifestyle weight-loss intervention may attenuate methylation aging: the CENTRAL MRI randomized controlled trial","type":"article-journal","volume":"13"},"uris":["http://www.mendeley.com/documents/?uuid=0c8bc7c1-6640-42af-a9ab-f9f76cf19ec0"]}],"mendeley":{"formattedCitation":"&lt;sup&gt;27&lt;/sup&gt;","plainTextFormattedCitation":"27"},"properties":{"noteIndex":0},"schema":"https://github.com/citation-style-language/schema/raw/master/csl-citation.json"}</w:instrText>
      </w:r>
      <w:r w:rsidR="00A81C6B" w:rsidRPr="0092728B">
        <w:rPr>
          <w:rFonts w:asciiTheme="minorBidi" w:hAnsiTheme="minorBidi"/>
          <w:color w:val="000000" w:themeColor="text1"/>
          <w:lang w:val="en-US"/>
        </w:rPr>
        <w:fldChar w:fldCharType="separate"/>
      </w:r>
      <w:r w:rsidR="00A81C6B" w:rsidRPr="0092728B">
        <w:rPr>
          <w:rFonts w:asciiTheme="minorBidi" w:hAnsiTheme="minorBidi"/>
          <w:noProof/>
          <w:color w:val="000000" w:themeColor="text1"/>
          <w:vertAlign w:val="superscript"/>
          <w:lang w:val="en-US"/>
        </w:rPr>
        <w:t>27</w:t>
      </w:r>
      <w:r w:rsidR="00A81C6B" w:rsidRPr="0092728B">
        <w:rPr>
          <w:rFonts w:asciiTheme="minorBidi" w:hAnsiTheme="minorBidi"/>
          <w:color w:val="000000" w:themeColor="text1"/>
          <w:lang w:val="en-US"/>
        </w:rPr>
        <w:fldChar w:fldCharType="end"/>
      </w:r>
      <w:r w:rsidR="00A81C6B" w:rsidRPr="0092728B">
        <w:rPr>
          <w:rFonts w:asciiTheme="minorBidi" w:hAnsiTheme="minorBidi"/>
          <w:color w:val="000000" w:themeColor="text1"/>
          <w:lang w:val="en-US"/>
        </w:rPr>
        <w:t xml:space="preserve">. </w:t>
      </w:r>
      <w:r w:rsidR="001E7A59" w:rsidRPr="0092728B">
        <w:rPr>
          <w:rFonts w:asciiTheme="minorBidi" w:hAnsiTheme="minorBidi"/>
          <w:color w:val="000000" w:themeColor="text1"/>
          <w:lang w:val="en-US"/>
        </w:rPr>
        <w:t>Thus, it</w:t>
      </w:r>
      <w:r w:rsidR="00173A85" w:rsidRPr="0092728B">
        <w:rPr>
          <w:rFonts w:asciiTheme="minorBidi" w:hAnsiTheme="minorBidi"/>
          <w:color w:val="000000" w:themeColor="text1"/>
        </w:rPr>
        <w:t xml:space="preserve"> is reasonable to suspect that </w:t>
      </w:r>
      <w:r w:rsidR="00F10217" w:rsidRPr="0092728B">
        <w:rPr>
          <w:rFonts w:asciiTheme="minorBidi" w:hAnsiTheme="minorBidi"/>
          <w:color w:val="000000" w:themeColor="text1"/>
        </w:rPr>
        <w:t>months-long</w:t>
      </w:r>
      <w:r w:rsidR="00173A85" w:rsidRPr="0092728B">
        <w:rPr>
          <w:rFonts w:asciiTheme="minorBidi" w:hAnsiTheme="minorBidi"/>
          <w:color w:val="000000" w:themeColor="text1"/>
        </w:rPr>
        <w:t xml:space="preserve"> dietary changes </w:t>
      </w:r>
      <w:r w:rsidR="00674375" w:rsidRPr="0092728B">
        <w:rPr>
          <w:rFonts w:asciiTheme="minorBidi" w:hAnsiTheme="minorBidi"/>
          <w:color w:val="000000" w:themeColor="text1"/>
        </w:rPr>
        <w:t xml:space="preserve">and/or IHF reductions due to weight loss </w:t>
      </w:r>
      <w:r w:rsidR="00173A85" w:rsidRPr="0092728B">
        <w:rPr>
          <w:rFonts w:asciiTheme="minorBidi" w:hAnsiTheme="minorBidi"/>
          <w:color w:val="000000" w:themeColor="text1"/>
        </w:rPr>
        <w:t xml:space="preserve">might </w:t>
      </w:r>
      <w:r w:rsidR="00674375" w:rsidRPr="0092728B">
        <w:rPr>
          <w:rFonts w:asciiTheme="minorBidi" w:hAnsiTheme="minorBidi"/>
          <w:color w:val="000000" w:themeColor="text1"/>
        </w:rPr>
        <w:t xml:space="preserve">have </w:t>
      </w:r>
      <w:r w:rsidR="00173A85" w:rsidRPr="0092728B">
        <w:rPr>
          <w:rFonts w:asciiTheme="minorBidi" w:hAnsiTheme="minorBidi"/>
          <w:color w:val="000000" w:themeColor="text1"/>
        </w:rPr>
        <w:t>affect</w:t>
      </w:r>
      <w:r w:rsidR="00674375" w:rsidRPr="0092728B">
        <w:rPr>
          <w:rFonts w:asciiTheme="minorBidi" w:hAnsiTheme="minorBidi"/>
          <w:color w:val="000000" w:themeColor="text1"/>
        </w:rPr>
        <w:t>ed</w:t>
      </w:r>
      <w:r w:rsidR="00173A85" w:rsidRPr="0092728B">
        <w:rPr>
          <w:rFonts w:asciiTheme="minorBidi" w:hAnsiTheme="minorBidi"/>
          <w:color w:val="000000" w:themeColor="text1"/>
        </w:rPr>
        <w:t xml:space="preserve"> DNA</w:t>
      </w:r>
      <w:r w:rsidR="0080037B" w:rsidRPr="0092728B">
        <w:rPr>
          <w:rFonts w:asciiTheme="minorBidi" w:hAnsiTheme="minorBidi"/>
          <w:color w:val="000000" w:themeColor="text1"/>
        </w:rPr>
        <w:t xml:space="preserve"> </w:t>
      </w:r>
      <w:r w:rsidR="00173A85" w:rsidRPr="0092728B">
        <w:rPr>
          <w:rFonts w:asciiTheme="minorBidi" w:hAnsiTheme="minorBidi"/>
          <w:color w:val="000000" w:themeColor="text1"/>
        </w:rPr>
        <w:t>methylation</w:t>
      </w:r>
      <w:r w:rsidR="003E3E12" w:rsidRPr="0092728B">
        <w:rPr>
          <w:rFonts w:asciiTheme="minorBidi" w:hAnsiTheme="minorBidi"/>
          <w:color w:val="000000" w:themeColor="text1"/>
        </w:rPr>
        <w:t xml:space="preserve">, </w:t>
      </w:r>
      <w:r w:rsidR="00F10217" w:rsidRPr="0092728B">
        <w:rPr>
          <w:rFonts w:asciiTheme="minorBidi" w:hAnsiTheme="minorBidi"/>
          <w:color w:val="000000" w:themeColor="text1"/>
        </w:rPr>
        <w:t xml:space="preserve">as revealed with </w:t>
      </w:r>
      <w:r w:rsidR="001836C8" w:rsidRPr="0092728B">
        <w:rPr>
          <w:rFonts w:asciiTheme="minorBidi" w:hAnsiTheme="minorBidi"/>
          <w:color w:val="000000" w:themeColor="text1"/>
        </w:rPr>
        <w:t>this study's results</w:t>
      </w:r>
      <w:r w:rsidR="001836C8" w:rsidRPr="0092728B">
        <w:rPr>
          <w:rFonts w:asciiTheme="minorBidi" w:hAnsiTheme="minorBidi"/>
          <w:color w:val="000000" w:themeColor="text1"/>
          <w:lang w:val="en-US"/>
        </w:rPr>
        <w:t>.</w:t>
      </w:r>
      <w:r w:rsidR="00173A85" w:rsidRPr="00526E3D">
        <w:rPr>
          <w:rFonts w:asciiTheme="minorBidi" w:hAnsiTheme="minorBidi"/>
        </w:rPr>
        <w:t xml:space="preserve"> </w:t>
      </w:r>
      <w:r w:rsidR="008C071D" w:rsidRPr="00526E3D">
        <w:rPr>
          <w:rFonts w:asciiTheme="minorBidi" w:hAnsiTheme="minorBidi"/>
        </w:rPr>
        <w:t>Although specific mechanisms explaining the differences observed in methylation</w:t>
      </w:r>
      <w:r w:rsidR="003B5A84">
        <w:rPr>
          <w:rFonts w:asciiTheme="minorBidi" w:hAnsiTheme="minorBidi"/>
        </w:rPr>
        <w:t xml:space="preserve"> of </w:t>
      </w:r>
      <w:r w:rsidR="003B5A84">
        <w:rPr>
          <w:rFonts w:asciiTheme="minorBidi" w:hAnsiTheme="minorBidi"/>
          <w:i/>
          <w:iCs/>
        </w:rPr>
        <w:t>A2MP1</w:t>
      </w:r>
      <w:r w:rsidR="003B5A84">
        <w:rPr>
          <w:rFonts w:asciiTheme="minorBidi" w:hAnsiTheme="minorBidi"/>
        </w:rPr>
        <w:t xml:space="preserve"> </w:t>
      </w:r>
      <w:r w:rsidR="00526E3D" w:rsidRPr="00526E3D">
        <w:rPr>
          <w:rFonts w:asciiTheme="minorBidi" w:hAnsiTheme="minorBidi"/>
        </w:rPr>
        <w:t xml:space="preserve">between </w:t>
      </w:r>
      <w:r w:rsidR="003B5A84">
        <w:rPr>
          <w:rFonts w:asciiTheme="minorBidi" w:hAnsiTheme="minorBidi"/>
        </w:rPr>
        <w:t>diet</w:t>
      </w:r>
      <w:r w:rsidR="00526E3D" w:rsidRPr="00526E3D">
        <w:rPr>
          <w:rFonts w:asciiTheme="minorBidi" w:hAnsiTheme="minorBidi"/>
        </w:rPr>
        <w:t xml:space="preserve"> groups</w:t>
      </w:r>
      <w:r w:rsidR="008C071D" w:rsidRPr="00526E3D">
        <w:rPr>
          <w:rFonts w:asciiTheme="minorBidi" w:hAnsiTheme="minorBidi"/>
        </w:rPr>
        <w:t xml:space="preserve"> cannot be drawn from such analysis, one can offer plausible explanati</w:t>
      </w:r>
      <w:r w:rsidR="008C071D" w:rsidRPr="003B5A84">
        <w:rPr>
          <w:rFonts w:asciiTheme="minorBidi" w:hAnsiTheme="minorBidi"/>
        </w:rPr>
        <w:t>ons. Regarding the fact that differential methylation was achieved regardless of similar IHF and weight reductions</w:t>
      </w:r>
      <w:r w:rsidR="003F6409">
        <w:rPr>
          <w:rFonts w:asciiTheme="minorBidi" w:hAnsiTheme="minorBidi"/>
        </w:rPr>
        <w:t xml:space="preserve"> among the LF and MED/LC dieters in this sub-study</w:t>
      </w:r>
      <w:r w:rsidR="008C071D" w:rsidRPr="003B5A84">
        <w:rPr>
          <w:rFonts w:asciiTheme="minorBidi" w:hAnsiTheme="minorBidi"/>
        </w:rPr>
        <w:t xml:space="preserve">, one possible explanation reflects diet composition. The low-fat diet was based on American Heart Association guidelines </w:t>
      </w:r>
      <w:r w:rsidR="008C071D" w:rsidRPr="003B5A84">
        <w:rPr>
          <w:rFonts w:asciiTheme="minorBidi" w:hAnsiTheme="minorBidi"/>
        </w:rPr>
        <w:fldChar w:fldCharType="begin" w:fldLock="1"/>
      </w:r>
      <w:r w:rsidR="001E7A59">
        <w:rPr>
          <w:rFonts w:asciiTheme="minorBidi" w:hAnsiTheme="minorBidi"/>
        </w:rPr>
        <w:instrText>ADDIN CSL_CITATION {"citationItems":[{"id":"ITEM-1","itemData":{"ISBN":"1524-4539","PMID":"11056107","author":[{"dropping-particle":"","family":"Krauss","given":"R M","non-dropping-particle":"","parse-names":false,"suffix":""},{"dropping-particle":"","family":"Eckel","given":"R H","non-dropping-particle":"","parse-names":false,"suffix":""},{"dropping-particle":"","family":"Howard","given":"B","non-dropping-particle":"","parse-names":false,"suffix":""},{"dropping-particle":"","family":"Appel","given":"L J","non-dropping-particle":"","parse-names":false,"suffix":""},{"dropping-particle":"","family":"Daniels","given":"S R","non-dropping-particle":"","parse-names":false,"suffix":""},{"dropping-particle":"","family":"Deckelbaum","given":"R J","non-dropping-particle":"","parse-names":false,"suffix":""},{"dropping-particle":"","family":"Jr","given":"J W Erdman","non-dropping-particle":"","parse-names":false,"suffix":""},{"dropping-particle":"","family":"Kris-Etherton","given":"P","non-dropping-particle":"","parse-names":false,"suffix":""},{"dropping-particle":"","family":"Goldberg","given":"I J","non-dropping-particle":"","parse-names":false,"suffix":""},{"dropping-particle":"","family":"Kotchen","given":"T A","non-dropping-particle":"","parse-names":false,"suffix":""},{"dropping-particle":"","family":"Lichtenstein","given":"A H","non-dropping-particle":"","parse-names":false,"suffix":""},{"dropping-particle":"","family":"Mitch","given":"W E","non-dropping-particle":"","parse-names":false,"suffix":""},{"dropping-particle":"","family":"Mullis","given":"R","non-dropping-particle":"","parse-names":false,"suffix":""},{"dropping-particle":"","family":"Robinson","given":"K","non-dropping-particle":"","parse-names":false,"suffix":""},{"dropping-particle":"","family":"Wylie-Rosett","given":"J","non-dropping-particle":"","parse-names":false,"suffix":""},{"dropping-particle":"","family":"Jeor","given":"S St","non-dropping-particle":"","parse-names":false,"suffix":""},{"dropping-particle":"","family":"Suttie","given":"J","non-dropping-particle":"","parse-names":false,"suffix":""},{"dropping-particle":"","family":"Tribble","given":"D L","non-dropping-particle":"","parse-names":false,"suffix":""},{"dropping-particle":"","family":"Bazzarre","given":"T L","non-dropping-particle":"","parse-names":false,"suffix":""}],"container-title":"Circulation","id":"ITEM-1","issue":"18","issued":{"date-parts":[["2000","10"]]},"language":"eng","note":"LR: 20041117; JID: 0147763; 0 (Cholesterol, Dietary); 0 (Dietary Fats); 0 (Dietary Fats, Unsaturated); 0 (Dietary Proteins); ppublish","page":"2284-2299","title":"AHA Dietary Guidelines: revision 2000: A statement for healthcare professionals from the Nutrition Committee of the American Heart Association","type":"article-journal","volume":"102"},"uris":["http://www.mendeley.com/documents/?uuid=746a0e2b-b7dc-3eb6-b199-29e7897a91c1"]}],"mendeley":{"formattedCitation":"&lt;sup&gt;43&lt;/sup&gt;","plainTextFormattedCitation":"43","previouslyFormattedCitation":"&lt;sup&gt;43&lt;/sup&gt;"},"properties":{"noteIndex":0},"schema":"https://github.com/citation-style-language/schema/raw/master/csl-citation.json"}</w:instrText>
      </w:r>
      <w:r w:rsidR="008C071D" w:rsidRPr="003B5A84">
        <w:rPr>
          <w:rFonts w:asciiTheme="minorBidi" w:hAnsiTheme="minorBidi"/>
        </w:rPr>
        <w:fldChar w:fldCharType="separate"/>
      </w:r>
      <w:r w:rsidR="001E7A59" w:rsidRPr="001E7A59">
        <w:rPr>
          <w:rFonts w:asciiTheme="minorBidi" w:hAnsiTheme="minorBidi"/>
          <w:noProof/>
          <w:vertAlign w:val="superscript"/>
        </w:rPr>
        <w:t>43</w:t>
      </w:r>
      <w:r w:rsidR="008C071D" w:rsidRPr="003B5A84">
        <w:rPr>
          <w:rFonts w:asciiTheme="minorBidi" w:hAnsiTheme="minorBidi"/>
        </w:rPr>
        <w:fldChar w:fldCharType="end"/>
      </w:r>
      <w:r w:rsidR="008C071D" w:rsidRPr="003B5A84">
        <w:rPr>
          <w:rFonts w:asciiTheme="minorBidi" w:hAnsiTheme="minorBidi"/>
        </w:rPr>
        <w:t xml:space="preserve">, aiming for 30% of calories derived from fat, 10% of calories from saturated fat, and an intake of 300 mg of cholesterol per day. The MED/LC was based on restricted carbohydrates intake (less than 40gr/day in the first 2 months with increased gradual intake for up to 80gr/ day) and increased protein and fat intake, mostly, but not only, from vegetarian sources, according to the MED diet </w:t>
      </w:r>
      <w:r w:rsidR="008C071D" w:rsidRPr="003B5A84">
        <w:rPr>
          <w:rFonts w:asciiTheme="minorBidi" w:hAnsiTheme="minorBidi"/>
        </w:rPr>
        <w:fldChar w:fldCharType="begin" w:fldLock="1"/>
      </w:r>
      <w:r w:rsidR="001E7A59">
        <w:rPr>
          <w:rFonts w:asciiTheme="minorBidi" w:hAnsiTheme="minorBidi"/>
        </w:rPr>
        <w:instrText>ADDIN CSL_CITATION {"citationItems":[{"id":"ITEM-1","itemData":{"author":[{"dropping-particle":"","family":"Shai","given":"Iris","non-dropping-particle":"","parse-names":false,"suffix":""},{"dropping-particle":"","family":"Schwarzfuchs","given":"Dan","non-dropping-particle":"","parse-names":false,"suffix":""},{"dropping-particle":"","family":"Henkin","given":"Yaakov","non-dropping-particle":"","parse-names":false,"suffix":""},{"dropping-particle":"","family":"Shahar","given":"Danit R","non-dropping-particle":"","parse-names":false,"suffix":""},{"dropping-particle":"","family":"Witkow","given":"Shula","non-dropping-particle":"","parse-names":false,"suffix":""},{"dropping-particle":"","family":"Greenberg","given":"Ilana","non-dropping-particle":"","parse-names":false,"suffix":""},{"dropping-particle":"","family":"Golan","given":"Rachel","non-dropping-particle":"","parse-names":false,"suffix":""},{"dropping-particle":"","family":"Fraser","given":"Drora","non-dropping-particle":"","parse-names":false,"suffix":""},{"dropping-particle":"","family":"Bolotin","given":"Arkady","non-dropping-particle":"","parse-names":false,"suffix":""},{"dropping-particle":"","family":"Vardi","given":"Hilel","non-dropping-particle":"","parse-names":false,"suffix":""}],"container-title":"New England Journal of Medicine","id":"ITEM-1","issue":"3","issued":{"date-parts":[["2008"]]},"page":"229-241","title":"Weight loss with a low-carbohydrate, Mediterranean, or low-fat diet","type":"article-journal","volume":"359"},"uris":["http://www.mendeley.com/documents/?uuid=cab38849-a5e8-3db3-a558-cbaa3bb98f9b"]},{"id":"ITEM-2","itemData":{"author":[{"dropping-particle":"","family":"Willett","given":"Walter","non-dropping-particle":"","parse-names":false,"suffix":""}],"id":"ITEM-2","issued":{"date-parts":[["2011"]]},"publisher":"Simon and Schuster","title":"Eat, drink, and be healthy: the Harvard Medical School guide to healthy eating","type":"book"},"uris":["http://www.mendeley.com/documents/?uuid=7d57b1b0-cdea-3a84-9868-d7598605a4d5"]}],"mendeley":{"formattedCitation":"&lt;sup&gt;44,45&lt;/sup&gt;","plainTextFormattedCitation":"44,45","previouslyFormattedCitation":"&lt;sup&gt;44,45&lt;/sup&gt;"},"properties":{"noteIndex":0},"schema":"https://github.com/citation-style-language/schema/raw/master/csl-citation.json"}</w:instrText>
      </w:r>
      <w:r w:rsidR="008C071D" w:rsidRPr="003B5A84">
        <w:rPr>
          <w:rFonts w:asciiTheme="minorBidi" w:hAnsiTheme="minorBidi"/>
        </w:rPr>
        <w:fldChar w:fldCharType="separate"/>
      </w:r>
      <w:r w:rsidR="001E7A59" w:rsidRPr="001E7A59">
        <w:rPr>
          <w:rFonts w:asciiTheme="minorBidi" w:hAnsiTheme="minorBidi"/>
          <w:noProof/>
          <w:vertAlign w:val="superscript"/>
        </w:rPr>
        <w:t>44,45</w:t>
      </w:r>
      <w:r w:rsidR="008C071D" w:rsidRPr="003B5A84">
        <w:rPr>
          <w:rFonts w:asciiTheme="minorBidi" w:hAnsiTheme="minorBidi"/>
        </w:rPr>
        <w:fldChar w:fldCharType="end"/>
      </w:r>
      <w:r w:rsidR="008C071D" w:rsidRPr="003B5A84">
        <w:rPr>
          <w:rFonts w:asciiTheme="minorBidi" w:hAnsiTheme="minorBidi"/>
        </w:rPr>
        <w:t>.</w:t>
      </w:r>
      <w:r w:rsidR="003B5A84" w:rsidRPr="003B5A84">
        <w:rPr>
          <w:rFonts w:asciiTheme="minorBidi" w:hAnsiTheme="minorBidi"/>
        </w:rPr>
        <w:t xml:space="preserve"> </w:t>
      </w:r>
      <w:r w:rsidR="008C071D" w:rsidRPr="003B5A84">
        <w:rPr>
          <w:rFonts w:asciiTheme="minorBidi" w:hAnsiTheme="minorBidi"/>
        </w:rPr>
        <w:t xml:space="preserve">Additionally, MED/LC participants received </w:t>
      </w:r>
      <w:r w:rsidR="008C071D" w:rsidRPr="003B5A84">
        <w:rPr>
          <w:rFonts w:asciiTheme="minorBidi" w:hAnsiTheme="minorBidi"/>
        </w:rPr>
        <w:lastRenderedPageBreak/>
        <w:t xml:space="preserve">a daily dose of 28g walnut, containing mostly Ellagic acid </w:t>
      </w:r>
      <w:r w:rsidR="008C071D" w:rsidRPr="003B5A84">
        <w:rPr>
          <w:rFonts w:asciiTheme="minorBidi" w:hAnsiTheme="minorBidi"/>
        </w:rPr>
        <w:fldChar w:fldCharType="begin" w:fldLock="1"/>
      </w:r>
      <w:r w:rsidR="001E7A59">
        <w:rPr>
          <w:rFonts w:asciiTheme="minorBidi" w:hAnsiTheme="minorBidi"/>
        </w:rPr>
        <w:instrText>ADDIN CSL_CITATION {"citationItems":[{"id":"ITEM-1","itemData":{"author":[{"dropping-particle":"","family":"Regueiro","given":"Jorge","non-dropping-particle":"","parse-names":false,"suffix":""},{"dropping-particle":"","family":"Sánchez-González","given":"Claudia","non-dropping-particle":"","parse-names":false,"suffix":""},{"dropping-particle":"","family":"Vallverdú-Queralt","given":"Anna","non-dropping-particle":"","parse-names":false,"suffix":""},{"dropping-particle":"","family":"Simal-Gándara","given":"Jesús","non-dropping-particle":"","parse-names":false,"suffix":""},{"dropping-particle":"","family":"Lamuela-Raventós","given":"Rosa","non-dropping-particle":"","parse-names":false,"suffix":""},{"dropping-particle":"","family":"Izquierdo-Pulido","given":"Maria","non-dropping-particle":"","parse-names":false,"suffix":""}],"container-title":"Food Chemistry","id":"ITEM-1","issued":{"date-parts":[["2014"]]},"page":"340-348","title":"Comprehensive identification of walnut polyphenols by liquid chromatography coupled to linear ion trap–Orbitrap mass spectrometry","type":"article-journal","volume":"152"},"uris":["http://www.mendeley.com/documents/?uuid=81afa268-809c-3f73-bbbf-39fac54757f3"]}],"mendeley":{"formattedCitation":"&lt;sup&gt;46&lt;/sup&gt;","plainTextFormattedCitation":"46","previouslyFormattedCitation":"&lt;sup&gt;46&lt;/sup&gt;"},"properties":{"noteIndex":0},"schema":"https://github.com/citation-style-language/schema/raw/master/csl-citation.json"}</w:instrText>
      </w:r>
      <w:r w:rsidR="008C071D" w:rsidRPr="003B5A84">
        <w:rPr>
          <w:rFonts w:asciiTheme="minorBidi" w:hAnsiTheme="minorBidi"/>
        </w:rPr>
        <w:fldChar w:fldCharType="separate"/>
      </w:r>
      <w:r w:rsidR="001E7A59" w:rsidRPr="001E7A59">
        <w:rPr>
          <w:rFonts w:asciiTheme="minorBidi" w:hAnsiTheme="minorBidi"/>
          <w:noProof/>
          <w:vertAlign w:val="superscript"/>
        </w:rPr>
        <w:t>46</w:t>
      </w:r>
      <w:r w:rsidR="008C071D" w:rsidRPr="003B5A84">
        <w:rPr>
          <w:rFonts w:asciiTheme="minorBidi" w:hAnsiTheme="minorBidi"/>
        </w:rPr>
        <w:fldChar w:fldCharType="end"/>
      </w:r>
      <w:r w:rsidR="008C071D" w:rsidRPr="003B5A84">
        <w:rPr>
          <w:rFonts w:asciiTheme="minorBidi" w:hAnsiTheme="minorBidi"/>
        </w:rPr>
        <w:t xml:space="preserve">, an anti-inflammatory agent </w:t>
      </w:r>
      <w:r w:rsidR="00EC356A" w:rsidRPr="003B5A84">
        <w:rPr>
          <w:rFonts w:asciiTheme="minorBidi" w:hAnsiTheme="minorBidi"/>
        </w:rPr>
        <w:t xml:space="preserve">that </w:t>
      </w:r>
      <w:r w:rsidR="008C071D" w:rsidRPr="003B5A84">
        <w:rPr>
          <w:rFonts w:asciiTheme="minorBidi" w:hAnsiTheme="minorBidi"/>
        </w:rPr>
        <w:t xml:space="preserve">has possibly </w:t>
      </w:r>
      <w:r w:rsidR="00EC356A" w:rsidRPr="003B5A84">
        <w:rPr>
          <w:rFonts w:asciiTheme="minorBidi" w:hAnsiTheme="minorBidi"/>
        </w:rPr>
        <w:t>affected</w:t>
      </w:r>
      <w:r w:rsidR="008C071D" w:rsidRPr="003B5A84">
        <w:rPr>
          <w:rFonts w:asciiTheme="minorBidi" w:hAnsiTheme="minorBidi"/>
        </w:rPr>
        <w:t xml:space="preserve"> epigenetic modulations </w:t>
      </w:r>
      <w:r w:rsidR="008C071D" w:rsidRPr="003B5A84">
        <w:rPr>
          <w:rFonts w:asciiTheme="minorBidi" w:hAnsiTheme="minorBidi"/>
        </w:rPr>
        <w:fldChar w:fldCharType="begin" w:fldLock="1"/>
      </w:r>
      <w:r w:rsidR="001E7A59">
        <w:rPr>
          <w:rFonts w:asciiTheme="minorBidi" w:hAnsiTheme="minorBidi"/>
        </w:rPr>
        <w:instrText>ADDIN CSL_CITATION {"citationItems":[{"id":"ITEM-1","itemData":{"author":[{"dropping-particle":"","family":"Kang","given":"Inhae","non-dropping-particle":"","parse-names":false,"suffix":""},{"dropping-particle":"","family":"Okla","given":"Meshail","non-dropping-particle":"","parse-names":false,"suffix":""},{"dropping-particle":"","family":"Chung","given":"Soonkyu","non-dropping-particle":"","parse-names":false,"suffix":""}],"container-title":"The Journal of nutritional biochemistry","id":"ITEM-1","issue":"9","issued":{"date-parts":[["2014"]]},"page":"946-953","title":"Ellagic acid inhibits adipocyte differentiation through coactivator-associated arginine methyltransferase 1-mediated chromatin modification","type":"article-journal","volume":"25"},"uris":["http://www.mendeley.com/documents/?uuid=a939aabb-634e-3d06-beb8-ac5fa1a54588"]}],"mendeley":{"formattedCitation":"&lt;sup&gt;47&lt;/sup&gt;","plainTextFormattedCitation":"47","previouslyFormattedCitation":"&lt;sup&gt;47&lt;/sup&gt;"},"properties":{"noteIndex":0},"schema":"https://github.com/citation-style-language/schema/raw/master/csl-citation.json"}</w:instrText>
      </w:r>
      <w:r w:rsidR="008C071D" w:rsidRPr="003B5A84">
        <w:rPr>
          <w:rFonts w:asciiTheme="minorBidi" w:hAnsiTheme="minorBidi"/>
        </w:rPr>
        <w:fldChar w:fldCharType="separate"/>
      </w:r>
      <w:r w:rsidR="001E7A59" w:rsidRPr="001E7A59">
        <w:rPr>
          <w:rFonts w:asciiTheme="minorBidi" w:hAnsiTheme="minorBidi"/>
          <w:noProof/>
          <w:vertAlign w:val="superscript"/>
        </w:rPr>
        <w:t>47</w:t>
      </w:r>
      <w:r w:rsidR="008C071D" w:rsidRPr="003B5A84">
        <w:rPr>
          <w:rFonts w:asciiTheme="minorBidi" w:hAnsiTheme="minorBidi"/>
        </w:rPr>
        <w:fldChar w:fldCharType="end"/>
      </w:r>
      <w:r w:rsidR="008C071D" w:rsidRPr="003B5A84">
        <w:rPr>
          <w:rFonts w:asciiTheme="minorBidi" w:hAnsiTheme="minorBidi"/>
        </w:rPr>
        <w:t>. To</w:t>
      </w:r>
      <w:r w:rsidR="008C071D" w:rsidRPr="00526E3D">
        <w:rPr>
          <w:rFonts w:asciiTheme="minorBidi" w:hAnsiTheme="minorBidi"/>
        </w:rPr>
        <w:t xml:space="preserve"> examine if these changes are long-lasting and their causality, follow-up measurements and complementary models are required.</w:t>
      </w:r>
    </w:p>
    <w:p w14:paraId="6DF9A024" w14:textId="1F2825FD" w:rsidR="004A6588" w:rsidRPr="00011E31" w:rsidRDefault="003F6409" w:rsidP="007E6643">
      <w:pPr>
        <w:spacing w:before="120" w:line="480" w:lineRule="auto"/>
        <w:rPr>
          <w:rFonts w:asciiTheme="minorBidi" w:hAnsiTheme="minorBidi"/>
          <w:highlight w:val="yellow"/>
          <w:lang w:val="en-US"/>
        </w:rPr>
      </w:pPr>
      <w:r w:rsidRPr="003F6409">
        <w:rPr>
          <w:rFonts w:asciiTheme="minorBidi" w:hAnsiTheme="minorBidi"/>
        </w:rPr>
        <w:t xml:space="preserve">Participants who engaged in PA reduced more IHF compared with ones that did not initiate PA intervention. </w:t>
      </w:r>
      <w:r w:rsidR="004A6588" w:rsidRPr="003F6409">
        <w:rPr>
          <w:rFonts w:asciiTheme="minorBidi" w:hAnsiTheme="minorBidi"/>
        </w:rPr>
        <w:t xml:space="preserve">We observed some differential methylation changes between </w:t>
      </w:r>
      <w:r w:rsidRPr="003F6409">
        <w:rPr>
          <w:rFonts w:asciiTheme="minorBidi" w:hAnsiTheme="minorBidi"/>
        </w:rPr>
        <w:t xml:space="preserve">these </w:t>
      </w:r>
      <w:r w:rsidR="004A6588" w:rsidRPr="003F6409">
        <w:rPr>
          <w:rFonts w:asciiTheme="minorBidi" w:hAnsiTheme="minorBidi"/>
        </w:rPr>
        <w:t xml:space="preserve">PA groups. These modest changes in methylation were in different directions (i.e., hypo/hyper methylation), suggesting that epigenetic </w:t>
      </w:r>
      <w:r w:rsidR="004A6588" w:rsidRPr="003F6409">
        <w:rPr>
          <w:rFonts w:asciiTheme="minorBidi" w:hAnsiTheme="minorBidi"/>
          <w:lang w:val="en-US"/>
        </w:rPr>
        <w:t>remodeling</w:t>
      </w:r>
      <w:r w:rsidR="004A6588" w:rsidRPr="003F6409">
        <w:rPr>
          <w:rFonts w:asciiTheme="minorBidi" w:hAnsiTheme="minorBidi"/>
        </w:rPr>
        <w:t xml:space="preserve"> occurred </w:t>
      </w:r>
      <w:r w:rsidR="00AA566F" w:rsidRPr="003F6409">
        <w:rPr>
          <w:rFonts w:asciiTheme="minorBidi" w:hAnsiTheme="minorBidi"/>
        </w:rPr>
        <w:t>following initiating PA regimen</w:t>
      </w:r>
      <w:r w:rsidR="002D3880">
        <w:rPr>
          <w:rFonts w:asciiTheme="minorBidi" w:hAnsiTheme="minorBidi"/>
        </w:rPr>
        <w:t xml:space="preserve">. </w:t>
      </w:r>
      <w:r w:rsidR="00736ED3">
        <w:rPr>
          <w:rFonts w:asciiTheme="minorBidi" w:hAnsiTheme="minorBidi"/>
        </w:rPr>
        <w:t>A</w:t>
      </w:r>
      <w:r w:rsidR="00736ED3" w:rsidRPr="00736ED3">
        <w:rPr>
          <w:rFonts w:asciiTheme="minorBidi" w:hAnsiTheme="minorBidi"/>
        </w:rPr>
        <w:t xml:space="preserve">erobic training </w:t>
      </w:r>
      <w:r w:rsidR="009F617A">
        <w:rPr>
          <w:rFonts w:asciiTheme="minorBidi" w:hAnsiTheme="minorBidi"/>
          <w:lang w:val="en-US"/>
        </w:rPr>
        <w:t xml:space="preserve">may </w:t>
      </w:r>
      <w:r w:rsidR="00736ED3" w:rsidRPr="00736ED3">
        <w:rPr>
          <w:rFonts w:asciiTheme="minorBidi" w:hAnsiTheme="minorBidi"/>
        </w:rPr>
        <w:t>alter</w:t>
      </w:r>
      <w:r w:rsidR="009F617A">
        <w:rPr>
          <w:rFonts w:asciiTheme="minorBidi" w:hAnsiTheme="minorBidi"/>
          <w:lang w:val="en-US"/>
        </w:rPr>
        <w:t xml:space="preserve"> the</w:t>
      </w:r>
      <w:r w:rsidR="00736ED3" w:rsidRPr="00736ED3">
        <w:rPr>
          <w:rFonts w:asciiTheme="minorBidi" w:hAnsiTheme="minorBidi"/>
        </w:rPr>
        <w:t xml:space="preserve"> DNA methylation status of </w:t>
      </w:r>
      <w:r w:rsidR="00736ED3">
        <w:rPr>
          <w:rFonts w:asciiTheme="minorBidi" w:hAnsiTheme="minorBidi"/>
        </w:rPr>
        <w:t xml:space="preserve">blood cells </w:t>
      </w:r>
      <w:r w:rsidR="00736ED3">
        <w:rPr>
          <w:rFonts w:asciiTheme="minorBidi" w:hAnsiTheme="minorBidi"/>
        </w:rPr>
        <w:fldChar w:fldCharType="begin" w:fldLock="1"/>
      </w:r>
      <w:r w:rsidR="001E7A59">
        <w:rPr>
          <w:rFonts w:asciiTheme="minorBidi" w:hAnsiTheme="minorBidi"/>
        </w:rPr>
        <w:instrText>ADDIN CSL_CITATION {"citationItems":[{"id":"ITEM-1","itemData":{"ISSN":"1179-2035","author":[{"dropping-particle":"","family":"Denham","given":"Joshua","non-dropping-particle":"","parse-names":false,"suffix":""},{"dropping-particle":"","family":"Marques","given":"Francine Z","non-dropping-particle":"","parse-names":false,"suffix":""},{"dropping-particle":"","family":"O’Brien","given":"Brendan J","non-dropping-particle":"","parse-names":false,"suffix":""},{"dropping-particle":"","family":"Charchar","given":"Fadi J","non-dropping-particle":"","parse-names":false,"suffix":""}],"container-title":"Sports medicine","id":"ITEM-1","issue":"2","issued":{"date-parts":[["2014"]]},"page":"189-209","publisher":"Springer","title":"Exercise: putting action into our epigenome","type":"article-journal","volume":"44"},"uris":["http://www.mendeley.com/documents/?uuid=011952da-07d3-4c7c-b669-d4c005821b31"]}],"mendeley":{"formattedCitation":"&lt;sup&gt;48&lt;/sup&gt;","plainTextFormattedCitation":"48","previouslyFormattedCitation":"&lt;sup&gt;48&lt;/sup&gt;"},"properties":{"noteIndex":0},"schema":"https://github.com/citation-style-language/schema/raw/master/csl-citation.json"}</w:instrText>
      </w:r>
      <w:r w:rsidR="00736ED3">
        <w:rPr>
          <w:rFonts w:asciiTheme="minorBidi" w:hAnsiTheme="minorBidi"/>
        </w:rPr>
        <w:fldChar w:fldCharType="separate"/>
      </w:r>
      <w:r w:rsidR="001E7A59" w:rsidRPr="001E7A59">
        <w:rPr>
          <w:rFonts w:asciiTheme="minorBidi" w:hAnsiTheme="minorBidi"/>
          <w:noProof/>
          <w:vertAlign w:val="superscript"/>
        </w:rPr>
        <w:t>48</w:t>
      </w:r>
      <w:r w:rsidR="00736ED3">
        <w:rPr>
          <w:rFonts w:asciiTheme="minorBidi" w:hAnsiTheme="minorBidi"/>
        </w:rPr>
        <w:fldChar w:fldCharType="end"/>
      </w:r>
      <w:r w:rsidR="009F617A">
        <w:rPr>
          <w:rFonts w:asciiTheme="minorBidi" w:hAnsiTheme="minorBidi"/>
          <w:lang w:val="en-US"/>
        </w:rPr>
        <w:t>;</w:t>
      </w:r>
      <w:r w:rsidR="00736ED3">
        <w:rPr>
          <w:rFonts w:asciiTheme="minorBidi" w:hAnsiTheme="minorBidi"/>
        </w:rPr>
        <w:t xml:space="preserve"> For example, a</w:t>
      </w:r>
      <w:r w:rsidR="002D3880">
        <w:rPr>
          <w:rFonts w:asciiTheme="minorBidi" w:hAnsiTheme="minorBidi"/>
        </w:rPr>
        <w:t xml:space="preserve"> small study among 8 trained men showed that </w:t>
      </w:r>
      <w:r w:rsidR="002D3880" w:rsidRPr="002D3880">
        <w:rPr>
          <w:rFonts w:asciiTheme="minorBidi" w:hAnsiTheme="minorBidi"/>
        </w:rPr>
        <w:t xml:space="preserve">acute exercise and dietary supplementation of </w:t>
      </w:r>
      <w:r w:rsidR="002D3880">
        <w:rPr>
          <w:rFonts w:asciiTheme="minorBidi" w:hAnsiTheme="minorBidi"/>
        </w:rPr>
        <w:t>fatty acids</w:t>
      </w:r>
      <w:r w:rsidR="002D3880" w:rsidRPr="002D3880">
        <w:rPr>
          <w:rFonts w:asciiTheme="minorBidi" w:hAnsiTheme="minorBidi"/>
        </w:rPr>
        <w:t xml:space="preserve"> induce DNA methylation</w:t>
      </w:r>
      <w:r w:rsidR="002D3880">
        <w:rPr>
          <w:rFonts w:asciiTheme="minorBidi" w:hAnsiTheme="minorBidi"/>
        </w:rPr>
        <w:t xml:space="preserve"> measured in whole blood</w:t>
      </w:r>
      <w:r w:rsidR="002D3880">
        <w:rPr>
          <w:rFonts w:asciiTheme="minorBidi" w:hAnsiTheme="minorBidi"/>
        </w:rPr>
        <w:fldChar w:fldCharType="begin" w:fldLock="1"/>
      </w:r>
      <w:r w:rsidR="001E7A59">
        <w:rPr>
          <w:rFonts w:asciiTheme="minorBidi" w:hAnsiTheme="minorBidi"/>
        </w:rPr>
        <w:instrText>ADDIN CSL_CITATION {"citationItems":[{"id":"ITEM-1","itemData":{"ISSN":"1559-2294","author":[{"dropping-particle":"","family":"Hunter","given":"David John","non-dropping-particle":"","parse-names":false,"suffix":""},{"dropping-particle":"","family":"James","given":"Lynsey","non-dropping-particle":"","parse-names":false,"suffix":""},{"dropping-particle":"","family":"Hussey","given":"Bethan","non-dropping-particle":"","parse-names":false,"suffix":""},{"dropping-particle":"","family":"Wadley","given":"Alex J","non-dropping-particle":"","parse-names":false,"suffix":""},{"dropping-particle":"","family":"Lindley","given":"Martin R","non-dropping-particle":"","parse-names":false,"suffix":""},{"dropping-particle":"","family":"Mastana","given":"Sarabjit S","non-dropping-particle":"","parse-names":false,"suffix":""}],"container-title":"Epigenetics","id":"ITEM-1","issue":"3","issued":{"date-parts":[["2019"]]},"page":"294-309","publisher":"Taylor &amp; Francis","title":"Impact of aerobic exercise and fatty acid supplementation on global and gene-specific DNA methylation","type":"article-journal","volume":"14"},"uris":["http://www.mendeley.com/documents/?uuid=23dd71a6-9af9-453d-83d8-9fcfdf0c5cf2"]}],"mendeley":{"formattedCitation":"&lt;sup&gt;49&lt;/sup&gt;","plainTextFormattedCitation":"49","previouslyFormattedCitation":"&lt;sup&gt;49&lt;/sup&gt;"},"properties":{"noteIndex":0},"schema":"https://github.com/citation-style-language/schema/raw/master/csl-citation.json"}</w:instrText>
      </w:r>
      <w:r w:rsidR="002D3880">
        <w:rPr>
          <w:rFonts w:asciiTheme="minorBidi" w:hAnsiTheme="minorBidi"/>
        </w:rPr>
        <w:fldChar w:fldCharType="separate"/>
      </w:r>
      <w:r w:rsidR="001E7A59" w:rsidRPr="001E7A59">
        <w:rPr>
          <w:rFonts w:asciiTheme="minorBidi" w:hAnsiTheme="minorBidi"/>
          <w:noProof/>
          <w:vertAlign w:val="superscript"/>
        </w:rPr>
        <w:t>49</w:t>
      </w:r>
      <w:r w:rsidR="002D3880">
        <w:rPr>
          <w:rFonts w:asciiTheme="minorBidi" w:hAnsiTheme="minorBidi"/>
        </w:rPr>
        <w:fldChar w:fldCharType="end"/>
      </w:r>
      <w:r w:rsidR="002D3880">
        <w:rPr>
          <w:rFonts w:asciiTheme="minorBidi" w:hAnsiTheme="minorBidi"/>
        </w:rPr>
        <w:t xml:space="preserve">. </w:t>
      </w:r>
      <w:r w:rsidR="00591385">
        <w:rPr>
          <w:rFonts w:asciiTheme="minorBidi" w:hAnsiTheme="minorBidi"/>
        </w:rPr>
        <w:t xml:space="preserve">Changes in the </w:t>
      </w:r>
      <w:r w:rsidR="00591385" w:rsidRPr="0079250E">
        <w:rPr>
          <w:rFonts w:asciiTheme="minorBidi" w:hAnsiTheme="minorBidi"/>
          <w:color w:val="000000" w:themeColor="text1"/>
        </w:rPr>
        <w:t xml:space="preserve">methylation of </w:t>
      </w:r>
      <w:r w:rsidR="00011E31" w:rsidRPr="0079250E">
        <w:rPr>
          <w:rFonts w:asciiTheme="minorBidi" w:hAnsiTheme="minorBidi"/>
          <w:i/>
          <w:iCs/>
          <w:color w:val="000000" w:themeColor="text1"/>
        </w:rPr>
        <w:t>CRACR2A</w:t>
      </w:r>
      <w:r w:rsidR="00011E31" w:rsidRPr="0079250E">
        <w:rPr>
          <w:rFonts w:asciiTheme="minorBidi" w:hAnsiTheme="minorBidi"/>
          <w:color w:val="000000" w:themeColor="text1"/>
        </w:rPr>
        <w:t xml:space="preserve"> </w:t>
      </w:r>
      <w:r w:rsidR="00591385" w:rsidRPr="0079250E">
        <w:rPr>
          <w:rFonts w:asciiTheme="minorBidi" w:hAnsiTheme="minorBidi"/>
          <w:color w:val="000000" w:themeColor="text1"/>
        </w:rPr>
        <w:t>following initiating PA w</w:t>
      </w:r>
      <w:r w:rsidR="009F617A">
        <w:rPr>
          <w:rFonts w:asciiTheme="minorBidi" w:hAnsiTheme="minorBidi"/>
          <w:color w:val="000000" w:themeColor="text1"/>
          <w:lang w:val="en-US"/>
        </w:rPr>
        <w:t>ere</w:t>
      </w:r>
      <w:r w:rsidR="00591385" w:rsidRPr="0079250E">
        <w:rPr>
          <w:rFonts w:asciiTheme="minorBidi" w:hAnsiTheme="minorBidi"/>
          <w:color w:val="000000" w:themeColor="text1"/>
        </w:rPr>
        <w:t xml:space="preserve"> described in the context of prostate cancer </w:t>
      </w:r>
      <w:r w:rsidR="00591385" w:rsidRPr="0079250E">
        <w:rPr>
          <w:rFonts w:asciiTheme="minorBidi" w:hAnsiTheme="minorBidi"/>
          <w:color w:val="000000" w:themeColor="text1"/>
        </w:rPr>
        <w:fldChar w:fldCharType="begin" w:fldLock="1"/>
      </w:r>
      <w:r w:rsidR="001E7A59">
        <w:rPr>
          <w:rFonts w:asciiTheme="minorBidi" w:hAnsiTheme="minorBidi"/>
          <w:color w:val="000000" w:themeColor="text1"/>
        </w:rPr>
        <w:instrText>ADDIN CSL_CITATION {"citationItems":[{"id":"ITEM-1","itemData":{"ISSN":"1055-9965","author":[{"dropping-particle":"","family":"Dai","given":"James Y","non-dropping-particle":"","parse-names":false,"suffix":""},{"dropping-particle":"","family":"Wang","given":"Bo","non-dropping-particle":"","parse-names":false,"suffix":""},{"dropping-particle":"","family":"Wang","given":"Xiaoyu","non-dropping-particle":"","parse-names":false,"suffix":""},{"dropping-particle":"","family":"Cheng","given":"Anqi","non-dropping-particle":"","parse-names":false,"suffix":""},{"dropping-particle":"","family":"Kolb","given":"Suzanne","non-dropping-particle":"","parse-names":false,"suffix":""},{"dropping-particle":"","family":"Stanford","given":"Janet L","non-dropping-particle":"","parse-names":false,"suffix":""},{"dropping-particle":"","family":"Wright","given":"Jonathan L","non-dropping-particle":"","parse-names":false,"suffix":""}],"container-title":"Cancer Epidemiology and Prevention Biomarkers","id":"ITEM-1","issue":"2","issued":{"date-parts":[["2019"]]},"page":"258-264","publisher":"AACR","title":"Vigorous physical activity is associated with lower risk of metastatic–Lethal progression in prostate cancer and hypomethylation in the CRACR2A Gene","type":"article-journal","volume":"28"},"uris":["http://www.mendeley.com/documents/?uuid=707f6f78-09d0-4642-ae20-7178bebc654e"]}],"mendeley":{"formattedCitation":"&lt;sup&gt;50&lt;/sup&gt;","plainTextFormattedCitation":"50","previouslyFormattedCitation":"&lt;sup&gt;50&lt;/sup&gt;"},"properties":{"noteIndex":0},"schema":"https://github.com/citation-style-language/schema/raw/master/csl-citation.json"}</w:instrText>
      </w:r>
      <w:r w:rsidR="00591385" w:rsidRPr="0079250E">
        <w:rPr>
          <w:rFonts w:asciiTheme="minorBidi" w:hAnsiTheme="minorBidi"/>
          <w:color w:val="000000" w:themeColor="text1"/>
        </w:rPr>
        <w:fldChar w:fldCharType="separate"/>
      </w:r>
      <w:r w:rsidR="001E7A59" w:rsidRPr="001E7A59">
        <w:rPr>
          <w:rFonts w:asciiTheme="minorBidi" w:hAnsiTheme="minorBidi"/>
          <w:noProof/>
          <w:color w:val="000000" w:themeColor="text1"/>
          <w:vertAlign w:val="superscript"/>
        </w:rPr>
        <w:t>50</w:t>
      </w:r>
      <w:r w:rsidR="00591385" w:rsidRPr="0079250E">
        <w:rPr>
          <w:rFonts w:asciiTheme="minorBidi" w:hAnsiTheme="minorBidi"/>
          <w:color w:val="000000" w:themeColor="text1"/>
        </w:rPr>
        <w:fldChar w:fldCharType="end"/>
      </w:r>
      <w:r w:rsidR="00591385" w:rsidRPr="0079250E">
        <w:rPr>
          <w:rFonts w:asciiTheme="minorBidi" w:hAnsiTheme="minorBidi"/>
          <w:color w:val="000000" w:themeColor="text1"/>
        </w:rPr>
        <w:t xml:space="preserve">. </w:t>
      </w:r>
      <w:r w:rsidR="00591385" w:rsidRPr="0079250E">
        <w:rPr>
          <w:rFonts w:asciiTheme="minorBidi" w:hAnsiTheme="minorBidi"/>
          <w:i/>
          <w:iCs/>
          <w:color w:val="000000" w:themeColor="text1"/>
          <w:lang w:val="en-US"/>
        </w:rPr>
        <w:t>FARP1</w:t>
      </w:r>
      <w:r w:rsidR="00591385" w:rsidRPr="0079250E">
        <w:rPr>
          <w:rFonts w:asciiTheme="minorBidi" w:hAnsiTheme="minorBidi"/>
          <w:color w:val="000000" w:themeColor="text1"/>
          <w:lang w:val="en-US"/>
        </w:rPr>
        <w:t xml:space="preserve"> methylation</w:t>
      </w:r>
      <w:r w:rsidR="0079250E" w:rsidRPr="0079250E">
        <w:rPr>
          <w:rFonts w:asciiTheme="minorBidi" w:hAnsiTheme="minorBidi"/>
          <w:color w:val="000000" w:themeColor="text1"/>
          <w:lang w:val="en-US"/>
        </w:rPr>
        <w:t xml:space="preserve"> is yet to be described in response to PA intervention.</w:t>
      </w:r>
      <w:r w:rsidR="009D36E5" w:rsidRPr="0079250E">
        <w:rPr>
          <w:rFonts w:asciiTheme="minorBidi" w:hAnsiTheme="minorBidi"/>
          <w:color w:val="000000" w:themeColor="text1"/>
          <w:lang w:val="en-US"/>
        </w:rPr>
        <w:t xml:space="preserve"> </w:t>
      </w:r>
      <w:r w:rsidR="009D36E5">
        <w:rPr>
          <w:rFonts w:asciiTheme="minorBidi" w:hAnsiTheme="minorBidi"/>
          <w:lang w:val="en-US"/>
        </w:rPr>
        <w:t>We can now add to the current data our observations regarding DNA methylation changes following initiation aerobic PA.</w:t>
      </w:r>
    </w:p>
    <w:p w14:paraId="3DED8D00" w14:textId="285B4326" w:rsidR="0089762A" w:rsidRPr="00B81F2B" w:rsidRDefault="009E698D" w:rsidP="007E6643">
      <w:pPr>
        <w:spacing w:before="120" w:line="480" w:lineRule="auto"/>
        <w:rPr>
          <w:rFonts w:asciiTheme="minorBidi" w:hAnsiTheme="minorBidi"/>
        </w:rPr>
      </w:pPr>
      <w:bookmarkStart w:id="15" w:name="_Hlk28521307"/>
      <w:bookmarkEnd w:id="14"/>
      <w:r w:rsidRPr="00B81F2B">
        <w:rPr>
          <w:rFonts w:asciiTheme="minorBidi" w:hAnsiTheme="minorBidi"/>
        </w:rPr>
        <w:t xml:space="preserve">Several limitations should be considered. </w:t>
      </w:r>
      <w:r w:rsidR="000901DD" w:rsidRPr="00B81F2B">
        <w:rPr>
          <w:rFonts w:asciiTheme="minorBidi" w:hAnsiTheme="minorBidi"/>
        </w:rPr>
        <w:t xml:space="preserve">Since our study population comprises mostly </w:t>
      </w:r>
      <w:r w:rsidR="00C13D07">
        <w:rPr>
          <w:rFonts w:asciiTheme="minorBidi" w:hAnsiTheme="minorBidi"/>
          <w:lang w:val="en-US"/>
        </w:rPr>
        <w:t xml:space="preserve">Caucasian </w:t>
      </w:r>
      <w:r w:rsidR="000901DD" w:rsidRPr="00B81F2B">
        <w:rPr>
          <w:rFonts w:asciiTheme="minorBidi" w:hAnsiTheme="minorBidi"/>
        </w:rPr>
        <w:t>men</w:t>
      </w:r>
      <w:r w:rsidRPr="00B81F2B">
        <w:rPr>
          <w:rFonts w:asciiTheme="minorBidi" w:hAnsiTheme="minorBidi"/>
        </w:rPr>
        <w:t xml:space="preserve">, </w:t>
      </w:r>
      <w:r w:rsidR="000901DD" w:rsidRPr="00B81F2B">
        <w:rPr>
          <w:rFonts w:asciiTheme="minorBidi" w:hAnsiTheme="minorBidi"/>
        </w:rPr>
        <w:t>the generalizability of this study’s findings</w:t>
      </w:r>
      <w:r w:rsidRPr="00B81F2B">
        <w:rPr>
          <w:rFonts w:asciiTheme="minorBidi" w:hAnsiTheme="minorBidi"/>
        </w:rPr>
        <w:t xml:space="preserve"> </w:t>
      </w:r>
      <w:r w:rsidR="00EC356A">
        <w:rPr>
          <w:rFonts w:asciiTheme="minorBidi" w:hAnsiTheme="minorBidi"/>
        </w:rPr>
        <w:t xml:space="preserve">to </w:t>
      </w:r>
      <w:r w:rsidR="00C13D07">
        <w:rPr>
          <w:rFonts w:asciiTheme="minorBidi" w:hAnsiTheme="minorBidi"/>
          <w:lang w:val="en-US"/>
        </w:rPr>
        <w:t xml:space="preserve">other </w:t>
      </w:r>
      <w:r w:rsidR="009F617A">
        <w:rPr>
          <w:rFonts w:asciiTheme="minorBidi" w:hAnsiTheme="minorBidi"/>
          <w:lang w:val="en-US"/>
        </w:rPr>
        <w:t>races</w:t>
      </w:r>
      <w:r w:rsidR="00C13D07">
        <w:rPr>
          <w:rFonts w:asciiTheme="minorBidi" w:hAnsiTheme="minorBidi"/>
          <w:lang w:val="en-US"/>
        </w:rPr>
        <w:t xml:space="preserve"> and </w:t>
      </w:r>
      <w:r w:rsidRPr="00B81F2B">
        <w:rPr>
          <w:rFonts w:asciiTheme="minorBidi" w:hAnsiTheme="minorBidi"/>
        </w:rPr>
        <w:t>women</w:t>
      </w:r>
      <w:r w:rsidR="000901DD" w:rsidRPr="00B81F2B">
        <w:rPr>
          <w:rFonts w:asciiTheme="minorBidi" w:hAnsiTheme="minorBidi"/>
        </w:rPr>
        <w:t xml:space="preserve"> is limited</w:t>
      </w:r>
      <w:r w:rsidRPr="00B81F2B">
        <w:rPr>
          <w:rFonts w:asciiTheme="minorBidi" w:hAnsiTheme="minorBidi"/>
        </w:rPr>
        <w:t xml:space="preserve">. Similarly, </w:t>
      </w:r>
      <w:r w:rsidR="000901DD" w:rsidRPr="00B81F2B">
        <w:rPr>
          <w:rFonts w:asciiTheme="minorBidi" w:hAnsiTheme="minorBidi"/>
        </w:rPr>
        <w:t xml:space="preserve">the </w:t>
      </w:r>
      <w:r w:rsidRPr="00B81F2B">
        <w:rPr>
          <w:rFonts w:asciiTheme="minorBidi" w:hAnsiTheme="minorBidi"/>
        </w:rPr>
        <w:t xml:space="preserve">participants </w:t>
      </w:r>
      <w:r w:rsidR="000901DD" w:rsidRPr="00B81F2B">
        <w:rPr>
          <w:rFonts w:asciiTheme="minorBidi" w:hAnsiTheme="minorBidi"/>
        </w:rPr>
        <w:t>included in this study had abdominal obesity</w:t>
      </w:r>
      <w:r w:rsidRPr="00B81F2B">
        <w:rPr>
          <w:rFonts w:asciiTheme="minorBidi" w:hAnsiTheme="minorBidi"/>
        </w:rPr>
        <w:t xml:space="preserve"> with</w:t>
      </w:r>
      <w:r w:rsidR="00E95B85" w:rsidRPr="00B81F2B">
        <w:rPr>
          <w:rFonts w:asciiTheme="minorBidi" w:hAnsiTheme="minorBidi"/>
        </w:rPr>
        <w:t xml:space="preserve"> a</w:t>
      </w:r>
      <w:r w:rsidRPr="00B81F2B">
        <w:rPr>
          <w:rFonts w:asciiTheme="minorBidi" w:hAnsiTheme="minorBidi"/>
        </w:rPr>
        <w:t xml:space="preserve"> high prevalence of NAFLD</w:t>
      </w:r>
      <w:r w:rsidR="00EC356A">
        <w:rPr>
          <w:rFonts w:asciiTheme="minorBidi" w:hAnsiTheme="minorBidi"/>
        </w:rPr>
        <w:t>; therefore,</w:t>
      </w:r>
      <w:r w:rsidRPr="00B81F2B">
        <w:rPr>
          <w:rFonts w:asciiTheme="minorBidi" w:hAnsiTheme="minorBidi"/>
        </w:rPr>
        <w:t xml:space="preserve"> conclusions may not </w:t>
      </w:r>
      <w:r w:rsidR="00BD5527" w:rsidRPr="00B81F2B">
        <w:rPr>
          <w:rFonts w:asciiTheme="minorBidi" w:hAnsiTheme="minorBidi"/>
        </w:rPr>
        <w:t>extrapolate</w:t>
      </w:r>
      <w:r w:rsidRPr="00B81F2B">
        <w:rPr>
          <w:rFonts w:asciiTheme="minorBidi" w:hAnsiTheme="minorBidi"/>
        </w:rPr>
        <w:t xml:space="preserve"> to those with normal body weight and liver fat. </w:t>
      </w:r>
      <w:r w:rsidR="008B36C9">
        <w:rPr>
          <w:rFonts w:asciiTheme="minorBidi" w:hAnsiTheme="minorBidi"/>
        </w:rPr>
        <w:t>W</w:t>
      </w:r>
      <w:r w:rsidR="00F40989" w:rsidRPr="00B81F2B">
        <w:rPr>
          <w:rFonts w:asciiTheme="minorBidi" w:hAnsiTheme="minorBidi"/>
        </w:rPr>
        <w:t>e used several statistical models</w:t>
      </w:r>
      <w:r w:rsidR="00C63FB5" w:rsidRPr="00B81F2B">
        <w:rPr>
          <w:rFonts w:asciiTheme="minorBidi" w:hAnsiTheme="minorBidi"/>
        </w:rPr>
        <w:t xml:space="preserve"> for adjustments</w:t>
      </w:r>
      <w:r w:rsidR="008B36C9">
        <w:rPr>
          <w:rFonts w:asciiTheme="minorBidi" w:hAnsiTheme="minorBidi"/>
        </w:rPr>
        <w:t xml:space="preserve"> to overcome this</w:t>
      </w:r>
      <w:r w:rsidR="00F40989" w:rsidRPr="00B81F2B">
        <w:rPr>
          <w:rFonts w:asciiTheme="minorBidi" w:hAnsiTheme="minorBidi"/>
        </w:rPr>
        <w:t xml:space="preserve">. </w:t>
      </w:r>
      <w:r w:rsidRPr="00B81F2B">
        <w:rPr>
          <w:rFonts w:asciiTheme="minorBidi" w:hAnsiTheme="minorBidi"/>
        </w:rPr>
        <w:t xml:space="preserve">Additionally, we evaluated blood methylation levels and associated these values with </w:t>
      </w:r>
      <w:r w:rsidR="00E95B85" w:rsidRPr="00B81F2B">
        <w:rPr>
          <w:rFonts w:asciiTheme="minorBidi" w:hAnsiTheme="minorBidi"/>
        </w:rPr>
        <w:t xml:space="preserve">an </w:t>
      </w:r>
      <w:r w:rsidRPr="00B81F2B">
        <w:rPr>
          <w:rFonts w:asciiTheme="minorBidi" w:hAnsiTheme="minorBidi"/>
        </w:rPr>
        <w:t xml:space="preserve">indirect measure of liver fat. Thus, we cannot draw a </w:t>
      </w:r>
      <w:r w:rsidR="00EC356A">
        <w:rPr>
          <w:rFonts w:asciiTheme="minorBidi" w:hAnsiTheme="minorBidi"/>
        </w:rPr>
        <w:t>real direct</w:t>
      </w:r>
      <w:r w:rsidRPr="00B81F2B">
        <w:rPr>
          <w:rFonts w:asciiTheme="minorBidi" w:hAnsiTheme="minorBidi"/>
        </w:rPr>
        <w:t xml:space="preserve"> link between changes in methylation level</w:t>
      </w:r>
      <w:r w:rsidR="00E95B85" w:rsidRPr="00B81F2B">
        <w:rPr>
          <w:rFonts w:asciiTheme="minorBidi" w:hAnsiTheme="minorBidi"/>
        </w:rPr>
        <w:t>s</w:t>
      </w:r>
      <w:r w:rsidRPr="00B81F2B">
        <w:rPr>
          <w:rFonts w:asciiTheme="minorBidi" w:hAnsiTheme="minorBidi"/>
        </w:rPr>
        <w:t xml:space="preserve"> and </w:t>
      </w:r>
      <w:r w:rsidR="00EC356A">
        <w:rPr>
          <w:rFonts w:asciiTheme="minorBidi" w:hAnsiTheme="minorBidi"/>
        </w:rPr>
        <w:t>fat tissue changes</w:t>
      </w:r>
      <w:r w:rsidR="0006315D">
        <w:rPr>
          <w:rFonts w:asciiTheme="minorBidi" w:hAnsiTheme="minorBidi"/>
        </w:rPr>
        <w:t xml:space="preserve"> or other organs such as </w:t>
      </w:r>
      <w:r w:rsidR="00526E3D">
        <w:rPr>
          <w:rFonts w:asciiTheme="minorBidi" w:hAnsiTheme="minorBidi"/>
        </w:rPr>
        <w:t xml:space="preserve">the </w:t>
      </w:r>
      <w:r w:rsidR="0006315D">
        <w:rPr>
          <w:rFonts w:asciiTheme="minorBidi" w:hAnsiTheme="minorBidi"/>
        </w:rPr>
        <w:t>liver</w:t>
      </w:r>
      <w:r w:rsidRPr="00B81F2B">
        <w:rPr>
          <w:rFonts w:asciiTheme="minorBidi" w:hAnsiTheme="minorBidi"/>
        </w:rPr>
        <w:t xml:space="preserve">. </w:t>
      </w:r>
      <w:r w:rsidR="00A77C86" w:rsidRPr="00B81F2B">
        <w:rPr>
          <w:rFonts w:asciiTheme="minorBidi" w:hAnsiTheme="minorBidi"/>
        </w:rPr>
        <w:t>Yet</w:t>
      </w:r>
      <w:r w:rsidRPr="00B81F2B">
        <w:rPr>
          <w:rFonts w:asciiTheme="minorBidi" w:hAnsiTheme="minorBidi"/>
        </w:rPr>
        <w:t xml:space="preserve">, </w:t>
      </w:r>
      <w:r w:rsidR="00A77C86" w:rsidRPr="00B81F2B">
        <w:rPr>
          <w:rFonts w:asciiTheme="minorBidi" w:hAnsiTheme="minorBidi"/>
        </w:rPr>
        <w:t>since</w:t>
      </w:r>
      <w:r w:rsidRPr="00B81F2B">
        <w:rPr>
          <w:rFonts w:asciiTheme="minorBidi" w:hAnsiTheme="minorBidi"/>
        </w:rPr>
        <w:t xml:space="preserve"> obesity is linked </w:t>
      </w:r>
      <w:r w:rsidR="00A77C86" w:rsidRPr="00B81F2B">
        <w:rPr>
          <w:rFonts w:asciiTheme="minorBidi" w:hAnsiTheme="minorBidi"/>
        </w:rPr>
        <w:t xml:space="preserve">with </w:t>
      </w:r>
      <w:r w:rsidR="00E95B85" w:rsidRPr="00B81F2B">
        <w:rPr>
          <w:rFonts w:asciiTheme="minorBidi" w:hAnsiTheme="minorBidi"/>
        </w:rPr>
        <w:t xml:space="preserve">an </w:t>
      </w:r>
      <w:r w:rsidR="00A77C86" w:rsidRPr="00B81F2B">
        <w:rPr>
          <w:rFonts w:asciiTheme="minorBidi" w:hAnsiTheme="minorBidi"/>
        </w:rPr>
        <w:t>increase in</w:t>
      </w:r>
      <w:r w:rsidRPr="00B81F2B">
        <w:rPr>
          <w:rFonts w:asciiTheme="minorBidi" w:hAnsiTheme="minorBidi"/>
        </w:rPr>
        <w:t xml:space="preserve"> </w:t>
      </w:r>
      <w:r w:rsidRPr="00B81F2B">
        <w:rPr>
          <w:rFonts w:asciiTheme="minorBidi" w:hAnsiTheme="minorBidi"/>
        </w:rPr>
        <w:lastRenderedPageBreak/>
        <w:t>systemic inflammation</w:t>
      </w:r>
      <w:r w:rsidR="00A77C86" w:rsidRPr="00B81F2B">
        <w:rPr>
          <w:rFonts w:asciiTheme="minorBidi" w:hAnsiTheme="minorBidi"/>
        </w:rPr>
        <w:t xml:space="preserve">, evident in </w:t>
      </w:r>
      <w:r w:rsidR="00E95B85" w:rsidRPr="00B81F2B">
        <w:rPr>
          <w:rFonts w:asciiTheme="minorBidi" w:hAnsiTheme="minorBidi"/>
        </w:rPr>
        <w:t xml:space="preserve">the </w:t>
      </w:r>
      <w:r w:rsidR="00A77C86" w:rsidRPr="00B81F2B">
        <w:rPr>
          <w:rFonts w:asciiTheme="minorBidi" w:hAnsiTheme="minorBidi"/>
        </w:rPr>
        <w:t>bloodstream and metabolic organs</w:t>
      </w:r>
      <w:r w:rsidRPr="00B81F2B">
        <w:rPr>
          <w:rFonts w:asciiTheme="minorBidi" w:hAnsiTheme="minorBidi"/>
        </w:rPr>
        <w:t xml:space="preserve">, </w:t>
      </w:r>
      <w:r w:rsidR="00A77C86" w:rsidRPr="00B81F2B">
        <w:rPr>
          <w:rFonts w:asciiTheme="minorBidi" w:hAnsiTheme="minorBidi"/>
        </w:rPr>
        <w:t xml:space="preserve">methylation in </w:t>
      </w:r>
      <w:r w:rsidRPr="00B81F2B">
        <w:rPr>
          <w:rFonts w:asciiTheme="minorBidi" w:hAnsiTheme="minorBidi"/>
        </w:rPr>
        <w:t xml:space="preserve">white blood cells might be a good representative </w:t>
      </w:r>
      <w:r w:rsidR="00E95B85" w:rsidRPr="00B81F2B">
        <w:rPr>
          <w:rFonts w:asciiTheme="minorBidi" w:hAnsiTheme="minorBidi"/>
        </w:rPr>
        <w:t>of</w:t>
      </w:r>
      <w:r w:rsidRPr="00B81F2B">
        <w:rPr>
          <w:rFonts w:asciiTheme="minorBidi" w:hAnsiTheme="minorBidi"/>
        </w:rPr>
        <w:t xml:space="preserve"> methylation levels in other </w:t>
      </w:r>
      <w:r w:rsidR="00A77C86" w:rsidRPr="00B81F2B">
        <w:rPr>
          <w:rFonts w:asciiTheme="minorBidi" w:hAnsiTheme="minorBidi"/>
        </w:rPr>
        <w:t>organs</w:t>
      </w:r>
      <w:r w:rsidR="004D563B" w:rsidRPr="00B81F2B">
        <w:rPr>
          <w:rFonts w:asciiTheme="minorBidi" w:hAnsiTheme="minorBidi"/>
        </w:rPr>
        <w:t xml:space="preserve"> involved in systemic inflammation</w:t>
      </w:r>
      <w:r w:rsidRPr="00B81F2B">
        <w:rPr>
          <w:rFonts w:asciiTheme="minorBidi" w:hAnsiTheme="minorBidi"/>
        </w:rPr>
        <w:t>. We measured DN</w:t>
      </w:r>
      <w:r w:rsidR="0080037B" w:rsidRPr="00B81F2B">
        <w:rPr>
          <w:rFonts w:asciiTheme="minorBidi" w:hAnsiTheme="minorBidi"/>
        </w:rPr>
        <w:t xml:space="preserve">A </w:t>
      </w:r>
      <w:r w:rsidRPr="00B81F2B">
        <w:rPr>
          <w:rFonts w:asciiTheme="minorBidi" w:hAnsiTheme="minorBidi"/>
        </w:rPr>
        <w:t xml:space="preserve">methylation only, without measuring gene expression. </w:t>
      </w:r>
      <w:r w:rsidR="0085300E" w:rsidRPr="00B81F2B">
        <w:rPr>
          <w:rFonts w:asciiTheme="minorBidi" w:hAnsiTheme="minorBidi"/>
        </w:rPr>
        <w:t>Nevertheless</w:t>
      </w:r>
      <w:r w:rsidRPr="00B81F2B">
        <w:rPr>
          <w:rFonts w:asciiTheme="minorBidi" w:hAnsiTheme="minorBidi"/>
        </w:rPr>
        <w:t>, we correlated the normalized beta values with other outcomes</w:t>
      </w:r>
      <w:r w:rsidR="008B36C9">
        <w:rPr>
          <w:rFonts w:asciiTheme="minorBidi" w:hAnsiTheme="minorBidi"/>
        </w:rPr>
        <w:t xml:space="preserve"> </w:t>
      </w:r>
      <w:r w:rsidR="00EC356A">
        <w:rPr>
          <w:rFonts w:asciiTheme="minorBidi" w:hAnsiTheme="minorBidi"/>
        </w:rPr>
        <w:t>to</w:t>
      </w:r>
      <w:r w:rsidRPr="00B81F2B">
        <w:rPr>
          <w:rFonts w:asciiTheme="minorBidi" w:hAnsiTheme="minorBidi"/>
        </w:rPr>
        <w:t xml:space="preserve"> examine a possible link between them. Finally, </w:t>
      </w:r>
      <w:r w:rsidR="001A6425">
        <w:rPr>
          <w:rFonts w:asciiTheme="minorBidi" w:hAnsiTheme="minorBidi"/>
        </w:rPr>
        <w:t xml:space="preserve">due to </w:t>
      </w:r>
      <w:r w:rsidR="001835AC">
        <w:rPr>
          <w:rFonts w:asciiTheme="minorBidi" w:hAnsiTheme="minorBidi"/>
        </w:rPr>
        <w:t>lower frequencies of minor allele carriers for some SNPs</w:t>
      </w:r>
      <w:r w:rsidR="001A6425">
        <w:rPr>
          <w:rFonts w:asciiTheme="minorBidi" w:hAnsiTheme="minorBidi"/>
        </w:rPr>
        <w:t xml:space="preserve">, </w:t>
      </w:r>
      <w:r w:rsidRPr="00B81F2B">
        <w:rPr>
          <w:rFonts w:asciiTheme="minorBidi" w:hAnsiTheme="minorBidi"/>
        </w:rPr>
        <w:t>genotype results have to be interpreted with caution since</w:t>
      </w:r>
      <w:r w:rsidR="00EC356A">
        <w:rPr>
          <w:rFonts w:asciiTheme="minorBidi" w:hAnsiTheme="minorBidi"/>
        </w:rPr>
        <w:t>,</w:t>
      </w:r>
      <w:r w:rsidRPr="00B81F2B">
        <w:rPr>
          <w:rFonts w:asciiTheme="minorBidi" w:hAnsiTheme="minorBidi"/>
        </w:rPr>
        <w:t xml:space="preserve"> e.g.</w:t>
      </w:r>
      <w:r w:rsidR="00EC356A">
        <w:rPr>
          <w:rFonts w:asciiTheme="minorBidi" w:hAnsiTheme="minorBidi"/>
        </w:rPr>
        <w:t>,</w:t>
      </w:r>
      <w:r w:rsidRPr="00B81F2B">
        <w:rPr>
          <w:rFonts w:asciiTheme="minorBidi" w:hAnsiTheme="minorBidi"/>
        </w:rPr>
        <w:t xml:space="preserve"> homozygo</w:t>
      </w:r>
      <w:r w:rsidR="001A6425">
        <w:rPr>
          <w:rFonts w:asciiTheme="minorBidi" w:hAnsiTheme="minorBidi"/>
        </w:rPr>
        <w:t>u</w:t>
      </w:r>
      <w:r w:rsidRPr="00B81F2B">
        <w:rPr>
          <w:rFonts w:asciiTheme="minorBidi" w:hAnsiTheme="minorBidi"/>
        </w:rPr>
        <w:t xml:space="preserve">s GG allele carriers for </w:t>
      </w:r>
      <w:r w:rsidR="0085300E" w:rsidRPr="00B81F2B">
        <w:rPr>
          <w:rFonts w:asciiTheme="minorBidi" w:hAnsiTheme="minorBidi"/>
        </w:rPr>
        <w:t xml:space="preserve">the </w:t>
      </w:r>
      <w:r w:rsidRPr="00B81F2B">
        <w:rPr>
          <w:rFonts w:asciiTheme="minorBidi" w:hAnsiTheme="minorBidi"/>
          <w:i/>
          <w:iCs/>
        </w:rPr>
        <w:t>FARP1</w:t>
      </w:r>
      <w:r w:rsidRPr="00B81F2B">
        <w:rPr>
          <w:rFonts w:asciiTheme="minorBidi" w:hAnsiTheme="minorBidi"/>
        </w:rPr>
        <w:t xml:space="preserve"> SNP are underrepresented </w:t>
      </w:r>
      <w:r w:rsidR="0085300E" w:rsidRPr="00B81F2B">
        <w:rPr>
          <w:rFonts w:asciiTheme="minorBidi" w:hAnsiTheme="minorBidi"/>
        </w:rPr>
        <w:t>in</w:t>
      </w:r>
      <w:r w:rsidRPr="00B81F2B">
        <w:rPr>
          <w:rFonts w:asciiTheme="minorBidi" w:hAnsiTheme="minorBidi"/>
        </w:rPr>
        <w:t xml:space="preserve"> our cohort. </w:t>
      </w:r>
      <w:r w:rsidR="00EC356A">
        <w:rPr>
          <w:rFonts w:asciiTheme="minorBidi" w:hAnsiTheme="minorBidi"/>
        </w:rPr>
        <w:t>The</w:t>
      </w:r>
      <w:r w:rsidR="0089762A" w:rsidRPr="00B81F2B">
        <w:rPr>
          <w:rFonts w:asciiTheme="minorBidi" w:hAnsiTheme="minorBidi"/>
        </w:rPr>
        <w:t xml:space="preserve"> </w:t>
      </w:r>
      <w:r w:rsidR="00EC356A">
        <w:rPr>
          <w:rFonts w:asciiTheme="minorBidi" w:hAnsiTheme="minorBidi"/>
        </w:rPr>
        <w:t>study's strengths</w:t>
      </w:r>
      <w:r w:rsidR="0089762A" w:rsidRPr="00B81F2B">
        <w:rPr>
          <w:rFonts w:asciiTheme="minorBidi" w:hAnsiTheme="minorBidi"/>
        </w:rPr>
        <w:t xml:space="preserve"> include </w:t>
      </w:r>
      <w:r w:rsidR="00EC356A">
        <w:rPr>
          <w:rFonts w:asciiTheme="minorBidi" w:hAnsiTheme="minorBidi"/>
        </w:rPr>
        <w:t>using</w:t>
      </w:r>
      <w:r w:rsidR="0089762A" w:rsidRPr="00B81F2B">
        <w:rPr>
          <w:rFonts w:asciiTheme="minorBidi" w:hAnsiTheme="minorBidi"/>
        </w:rPr>
        <w:t xml:space="preserve"> </w:t>
      </w:r>
      <w:r w:rsidR="00526E3D">
        <w:rPr>
          <w:rFonts w:asciiTheme="minorBidi" w:hAnsiTheme="minorBidi"/>
        </w:rPr>
        <w:t xml:space="preserve">a </w:t>
      </w:r>
      <w:r w:rsidR="0089762A" w:rsidRPr="00B81F2B">
        <w:rPr>
          <w:rFonts w:asciiTheme="minorBidi" w:hAnsiTheme="minorBidi"/>
        </w:rPr>
        <w:t xml:space="preserve">relatively large sample size, </w:t>
      </w:r>
      <w:r w:rsidR="00EC356A">
        <w:rPr>
          <w:rFonts w:asciiTheme="minorBidi" w:hAnsiTheme="minorBidi"/>
        </w:rPr>
        <w:t xml:space="preserve">a </w:t>
      </w:r>
      <w:r w:rsidR="0089762A" w:rsidRPr="00B81F2B">
        <w:rPr>
          <w:rFonts w:asciiTheme="minorBidi" w:hAnsiTheme="minorBidi"/>
        </w:rPr>
        <w:t xml:space="preserve">one-phase randomized-controlled design, in which all participants started interventions on the same day, </w:t>
      </w:r>
      <w:r w:rsidR="00E95B85" w:rsidRPr="00B81F2B">
        <w:rPr>
          <w:rFonts w:asciiTheme="minorBidi" w:hAnsiTheme="minorBidi"/>
        </w:rPr>
        <w:t xml:space="preserve">an </w:t>
      </w:r>
      <w:r w:rsidR="0089762A" w:rsidRPr="00B81F2B">
        <w:rPr>
          <w:rFonts w:asciiTheme="minorBidi" w:hAnsiTheme="minorBidi"/>
        </w:rPr>
        <w:t xml:space="preserve">extended period of </w:t>
      </w:r>
      <w:r w:rsidR="00EC356A">
        <w:rPr>
          <w:rFonts w:asciiTheme="minorBidi" w:hAnsiTheme="minorBidi"/>
        </w:rPr>
        <w:t>follow-up</w:t>
      </w:r>
      <w:r w:rsidR="0089762A" w:rsidRPr="00B81F2B">
        <w:rPr>
          <w:rFonts w:asciiTheme="minorBidi" w:hAnsiTheme="minorBidi"/>
        </w:rPr>
        <w:t>, and the use of an accurate</w:t>
      </w:r>
      <w:r w:rsidR="00EC356A">
        <w:rPr>
          <w:rFonts w:asciiTheme="minorBidi" w:hAnsiTheme="minorBidi"/>
        </w:rPr>
        <w:t>,</w:t>
      </w:r>
      <w:r w:rsidR="0089762A" w:rsidRPr="00B81F2B">
        <w:rPr>
          <w:rFonts w:asciiTheme="minorBidi" w:hAnsiTheme="minorBidi"/>
        </w:rPr>
        <w:t xml:space="preserve"> high</w:t>
      </w:r>
      <w:r w:rsidR="00E95B85" w:rsidRPr="00B81F2B">
        <w:rPr>
          <w:rFonts w:asciiTheme="minorBidi" w:hAnsiTheme="minorBidi"/>
        </w:rPr>
        <w:t>-</w:t>
      </w:r>
      <w:r w:rsidR="0089762A" w:rsidRPr="00B81F2B">
        <w:rPr>
          <w:rFonts w:asciiTheme="minorBidi" w:hAnsiTheme="minorBidi"/>
        </w:rPr>
        <w:t>quality imaging technique to quantify IHF%</w:t>
      </w:r>
      <w:r w:rsidR="004F56C9" w:rsidRPr="00B81F2B">
        <w:rPr>
          <w:rFonts w:asciiTheme="minorBidi" w:hAnsiTheme="minorBidi"/>
        </w:rPr>
        <w:t xml:space="preserve"> </w:t>
      </w:r>
      <w:r w:rsidR="004F56C9" w:rsidRPr="00B81F2B">
        <w:rPr>
          <w:rFonts w:asciiTheme="minorBidi" w:hAnsiTheme="minorBidi"/>
        </w:rPr>
        <w:fldChar w:fldCharType="begin" w:fldLock="1"/>
      </w:r>
      <w:r w:rsidR="001E7A59">
        <w:rPr>
          <w:rFonts w:asciiTheme="minorBidi" w:hAnsiTheme="minorBidi"/>
        </w:rPr>
        <w:instrText>ADDIN CSL_CITATION {"citationItems":[{"id":"ITEM-1","itemData":{"author":[{"dropping-particle":"","family":"Kukuk","given":"Guido M","non-dropping-particle":"","parse-names":false,"suffix":""},{"dropping-particle":"","family":"Hittatiya","given":"Kanishka","non-dropping-particle":"","parse-names":false,"suffix":""},{"dropping-particle":"","family":"Sprinkart","given":"Alois M","non-dropping-particle":"","parse-names":false,"suffix":""},{"dropping-particle":"","family":"Eggers","given":"Holger","non-dropping-particle":"","parse-names":false,"suffix":""},{"dropping-particle":"","family":"Gieseke","given":"Jürgen","non-dropping-particle":"","parse-names":false,"suffix":""},{"dropping-particle":"","family":"Block","given":"Wolfgang","non-dropping-particle":"","parse-names":false,"suffix":""},{"dropping-particle":"","family":"Moeller","given":"Philipp","non-dropping-particle":"","parse-names":false,"suffix":""},{"dropping-particle":"","family":"Willinek","given":"Winfried A","non-dropping-particle":"","parse-names":false,"suffix":""},{"dropping-particle":"","family":"Spengler","given":"Ulrich","non-dropping-particle":"","parse-names":false,"suffix":""},{"dropping-particle":"","family":"Trebicka","given":"Jonel","non-dropping-particle":"","parse-names":false,"suffix":""}],"container-title":"European radiology","id":"ITEM-1","issue":"10","issued":{"date-parts":[["2015"]]},"page":"2869-2879","title":"Comparison between modified Dixon MRI techniques, MR spectroscopic relaxometry, and different histologic quantification methods in the assessment of hepatic steatosis","type":"article-journal","volume":"25"},"uris":["http://www.mendeley.com/documents/?uuid=14ea5c14-2338-3073-851d-52c96707a6e4"]}],"mendeley":{"formattedCitation":"&lt;sup&gt;51&lt;/sup&gt;","plainTextFormattedCitation":"51","previouslyFormattedCitation":"&lt;sup&gt;51&lt;/sup&gt;"},"properties":{"noteIndex":0},"schema":"https://github.com/citation-style-language/schema/raw/master/csl-citation.json"}</w:instrText>
      </w:r>
      <w:r w:rsidR="004F56C9" w:rsidRPr="00B81F2B">
        <w:rPr>
          <w:rFonts w:asciiTheme="minorBidi" w:hAnsiTheme="minorBidi"/>
        </w:rPr>
        <w:fldChar w:fldCharType="separate"/>
      </w:r>
      <w:r w:rsidR="001E7A59" w:rsidRPr="001E7A59">
        <w:rPr>
          <w:rFonts w:asciiTheme="minorBidi" w:hAnsiTheme="minorBidi"/>
          <w:noProof/>
          <w:vertAlign w:val="superscript"/>
        </w:rPr>
        <w:t>51</w:t>
      </w:r>
      <w:r w:rsidR="004F56C9" w:rsidRPr="00B81F2B">
        <w:rPr>
          <w:rFonts w:asciiTheme="minorBidi" w:hAnsiTheme="minorBidi"/>
        </w:rPr>
        <w:fldChar w:fldCharType="end"/>
      </w:r>
      <w:r w:rsidR="0089762A" w:rsidRPr="00B81F2B">
        <w:rPr>
          <w:rFonts w:asciiTheme="minorBidi" w:hAnsiTheme="minorBidi"/>
        </w:rPr>
        <w:t>.</w:t>
      </w:r>
    </w:p>
    <w:p w14:paraId="6783BD0F" w14:textId="768E8D4F" w:rsidR="00081479" w:rsidRPr="00081479" w:rsidRDefault="00FD167B" w:rsidP="007E6643">
      <w:pPr>
        <w:spacing w:before="120" w:line="480" w:lineRule="auto"/>
        <w:rPr>
          <w:rFonts w:asciiTheme="minorBidi" w:hAnsiTheme="minorBidi"/>
          <w:lang w:val="en-US"/>
        </w:rPr>
      </w:pPr>
      <w:r>
        <w:rPr>
          <w:rFonts w:asciiTheme="minorBidi" w:hAnsiTheme="minorBidi"/>
          <w:lang w:val="en-US"/>
        </w:rPr>
        <w:t xml:space="preserve">This </w:t>
      </w:r>
      <w:r w:rsidR="00EC356A">
        <w:rPr>
          <w:rFonts w:asciiTheme="minorBidi" w:hAnsiTheme="minorBidi"/>
          <w:lang w:val="en-US"/>
        </w:rPr>
        <w:t>study results</w:t>
      </w:r>
      <w:r w:rsidR="002B194F" w:rsidRPr="00B81F2B">
        <w:rPr>
          <w:rFonts w:asciiTheme="minorBidi" w:hAnsiTheme="minorBidi"/>
          <w:lang w:val="en-US"/>
        </w:rPr>
        <w:t xml:space="preserve"> </w:t>
      </w:r>
      <w:r w:rsidR="00B5539F" w:rsidRPr="00B81F2B">
        <w:rPr>
          <w:rFonts w:asciiTheme="minorBidi" w:hAnsiTheme="minorBidi"/>
          <w:lang w:val="en-US"/>
        </w:rPr>
        <w:t>suggest</w:t>
      </w:r>
      <w:r w:rsidR="000709C2" w:rsidRPr="00B81F2B">
        <w:rPr>
          <w:rFonts w:asciiTheme="minorBidi" w:hAnsiTheme="minorBidi"/>
          <w:lang w:val="en-US"/>
        </w:rPr>
        <w:t xml:space="preserve"> </w:t>
      </w:r>
      <w:r w:rsidR="00C62D94">
        <w:rPr>
          <w:rFonts w:asciiTheme="minorBidi" w:hAnsiTheme="minorBidi"/>
          <w:lang w:val="en-US"/>
        </w:rPr>
        <w:t xml:space="preserve">that lifestyle interventions </w:t>
      </w:r>
      <w:r w:rsidR="000709C2" w:rsidRPr="00B81F2B">
        <w:rPr>
          <w:rFonts w:asciiTheme="minorBidi" w:hAnsiTheme="minorBidi"/>
          <w:lang w:val="en-US"/>
        </w:rPr>
        <w:t>may cause</w:t>
      </w:r>
      <w:r w:rsidR="00C62D94">
        <w:rPr>
          <w:rFonts w:asciiTheme="minorBidi" w:hAnsiTheme="minorBidi"/>
          <w:lang w:val="en-US"/>
        </w:rPr>
        <w:t xml:space="preserve"> specific</w:t>
      </w:r>
      <w:r w:rsidR="000709C2" w:rsidRPr="00B81F2B">
        <w:rPr>
          <w:rFonts w:asciiTheme="minorBidi" w:hAnsiTheme="minorBidi"/>
          <w:lang w:val="en-US"/>
        </w:rPr>
        <w:t xml:space="preserve"> DNA methylation changes</w:t>
      </w:r>
      <w:r w:rsidR="00EC356A">
        <w:rPr>
          <w:rFonts w:asciiTheme="minorBidi" w:hAnsiTheme="minorBidi"/>
          <w:lang w:val="en-US"/>
        </w:rPr>
        <w:t>,</w:t>
      </w:r>
      <w:r w:rsidR="000709C2" w:rsidRPr="00B81F2B">
        <w:rPr>
          <w:rFonts w:asciiTheme="minorBidi" w:hAnsiTheme="minorBidi"/>
          <w:lang w:val="en-US"/>
        </w:rPr>
        <w:t xml:space="preserve"> which are associated with a heterogeneous response to</w:t>
      </w:r>
      <w:r w:rsidR="00C62D94">
        <w:rPr>
          <w:rFonts w:asciiTheme="minorBidi" w:hAnsiTheme="minorBidi"/>
          <w:lang w:val="en-US"/>
        </w:rPr>
        <w:t xml:space="preserve"> </w:t>
      </w:r>
      <w:r w:rsidR="000709C2" w:rsidRPr="00B81F2B">
        <w:rPr>
          <w:rFonts w:asciiTheme="minorBidi" w:hAnsiTheme="minorBidi"/>
          <w:lang w:val="en-US"/>
        </w:rPr>
        <w:t>liver fat reduction.</w:t>
      </w:r>
      <w:r w:rsidR="00B5539F" w:rsidRPr="00B81F2B">
        <w:rPr>
          <w:rFonts w:asciiTheme="minorBidi" w:hAnsiTheme="minorBidi"/>
          <w:lang w:val="en-US"/>
        </w:rPr>
        <w:t xml:space="preserve"> </w:t>
      </w:r>
      <w:r w:rsidR="00602237" w:rsidRPr="00B81F2B">
        <w:rPr>
          <w:rFonts w:asciiTheme="minorBidi" w:hAnsiTheme="minorBidi"/>
          <w:lang w:val="en-US"/>
        </w:rPr>
        <w:t xml:space="preserve">We identified previously unrecognized </w:t>
      </w:r>
      <w:r w:rsidR="00B5539F" w:rsidRPr="00B81F2B">
        <w:rPr>
          <w:rFonts w:asciiTheme="minorBidi" w:hAnsiTheme="minorBidi"/>
          <w:lang w:val="en-US"/>
        </w:rPr>
        <w:t>epigenetic markers for liver fat and liver fat changes</w:t>
      </w:r>
      <w:r w:rsidR="00EC356A">
        <w:rPr>
          <w:rFonts w:asciiTheme="minorBidi" w:hAnsiTheme="minorBidi"/>
          <w:lang w:val="en-US"/>
        </w:rPr>
        <w:t xml:space="preserve"> and</w:t>
      </w:r>
      <w:r w:rsidR="00B5539F" w:rsidRPr="00B81F2B">
        <w:rPr>
          <w:rFonts w:asciiTheme="minorBidi" w:hAnsiTheme="minorBidi"/>
          <w:lang w:val="en-US"/>
        </w:rPr>
        <w:t xml:space="preserve"> a potential epigenetic remodeling after long-term intense </w:t>
      </w:r>
      <w:r w:rsidR="00C62D94">
        <w:rPr>
          <w:rFonts w:asciiTheme="minorBidi" w:hAnsiTheme="minorBidi"/>
          <w:lang w:val="en-US"/>
        </w:rPr>
        <w:t>lifestyle</w:t>
      </w:r>
      <w:r w:rsidR="00B5539F" w:rsidRPr="00B81F2B">
        <w:rPr>
          <w:rFonts w:asciiTheme="minorBidi" w:hAnsiTheme="minorBidi"/>
          <w:lang w:val="en-US"/>
        </w:rPr>
        <w:t xml:space="preserve"> interventions. </w:t>
      </w:r>
      <w:r w:rsidR="009E698D" w:rsidRPr="00B81F2B">
        <w:rPr>
          <w:rFonts w:asciiTheme="minorBidi" w:hAnsiTheme="minorBidi"/>
          <w:lang w:val="en-US"/>
        </w:rPr>
        <w:t xml:space="preserve">Further analyses targeting </w:t>
      </w:r>
      <w:r w:rsidR="00EC356A">
        <w:rPr>
          <w:rFonts w:asciiTheme="minorBidi" w:hAnsiTheme="minorBidi"/>
          <w:lang w:val="en-US"/>
        </w:rPr>
        <w:t>these associations'</w:t>
      </w:r>
      <w:r w:rsidR="009E698D" w:rsidRPr="00B81F2B">
        <w:rPr>
          <w:rFonts w:asciiTheme="minorBidi" w:hAnsiTheme="minorBidi"/>
          <w:lang w:val="en-US"/>
        </w:rPr>
        <w:t xml:space="preserve"> underlying mechanisms are warranted </w:t>
      </w:r>
      <w:r w:rsidR="00526E3D">
        <w:rPr>
          <w:rFonts w:asciiTheme="minorBidi" w:hAnsiTheme="minorBidi"/>
          <w:lang w:val="en-US"/>
        </w:rPr>
        <w:t>to understand better</w:t>
      </w:r>
      <w:r w:rsidR="00B5539F" w:rsidRPr="00B81F2B">
        <w:rPr>
          <w:rFonts w:asciiTheme="minorBidi" w:hAnsiTheme="minorBidi"/>
          <w:lang w:val="en-US"/>
        </w:rPr>
        <w:t xml:space="preserve"> the role of epigenetic changes in liver disease and liver fat accumulation. </w:t>
      </w:r>
      <w:bookmarkEnd w:id="15"/>
    </w:p>
    <w:p w14:paraId="5218375E" w14:textId="77777777" w:rsidR="00DE689F" w:rsidRDefault="00DE689F" w:rsidP="008B7584">
      <w:pPr>
        <w:spacing w:line="480" w:lineRule="auto"/>
        <w:rPr>
          <w:rFonts w:asciiTheme="minorBidi" w:hAnsiTheme="minorBidi"/>
          <w:b/>
          <w:bCs/>
          <w:lang w:val="en-US"/>
        </w:rPr>
      </w:pPr>
    </w:p>
    <w:p w14:paraId="1BC7E231" w14:textId="67C52F4A" w:rsidR="009F617A" w:rsidRDefault="009F617A" w:rsidP="00B82238">
      <w:pPr>
        <w:pStyle w:val="DissnormText"/>
        <w:spacing w:line="480" w:lineRule="auto"/>
        <w:contextualSpacing/>
        <w:rPr>
          <w:rFonts w:asciiTheme="minorBidi" w:eastAsia="Arial" w:hAnsiTheme="minorBidi" w:cstheme="minorBidi"/>
          <w:sz w:val="24"/>
          <w:lang w:val="en-US"/>
        </w:rPr>
      </w:pPr>
    </w:p>
    <w:p w14:paraId="12B40FDD" w14:textId="5561237A" w:rsidR="007F2AA6" w:rsidRDefault="007F2AA6" w:rsidP="00B82238">
      <w:pPr>
        <w:pStyle w:val="DissnormText"/>
        <w:spacing w:line="480" w:lineRule="auto"/>
        <w:contextualSpacing/>
        <w:rPr>
          <w:rFonts w:asciiTheme="minorBidi" w:eastAsia="Arial" w:hAnsiTheme="minorBidi" w:cstheme="minorBidi"/>
          <w:sz w:val="24"/>
          <w:lang w:val="en-US"/>
        </w:rPr>
      </w:pPr>
    </w:p>
    <w:p w14:paraId="0A9AD737" w14:textId="77777777" w:rsidR="001A712C" w:rsidRDefault="001A712C" w:rsidP="00B82238">
      <w:pPr>
        <w:pStyle w:val="DissnormText"/>
        <w:spacing w:line="480" w:lineRule="auto"/>
        <w:contextualSpacing/>
        <w:rPr>
          <w:rFonts w:asciiTheme="minorBidi" w:eastAsia="Arial" w:hAnsiTheme="minorBidi" w:cstheme="minorBidi"/>
          <w:sz w:val="24"/>
          <w:rtl/>
          <w:lang w:val="en-US"/>
        </w:rPr>
      </w:pPr>
    </w:p>
    <w:p w14:paraId="0CEF358F" w14:textId="77777777" w:rsidR="0092728B" w:rsidRDefault="0092728B" w:rsidP="00B82238">
      <w:pPr>
        <w:pStyle w:val="DissnormText"/>
        <w:spacing w:line="480" w:lineRule="auto"/>
        <w:contextualSpacing/>
        <w:rPr>
          <w:rFonts w:asciiTheme="minorBidi" w:eastAsia="Arial" w:hAnsiTheme="minorBidi" w:cstheme="minorBidi"/>
          <w:sz w:val="24"/>
          <w:lang w:val="en-US"/>
        </w:rPr>
      </w:pPr>
    </w:p>
    <w:p w14:paraId="6C641419" w14:textId="77777777" w:rsidR="009F617A" w:rsidRDefault="009F617A" w:rsidP="00B82238">
      <w:pPr>
        <w:pStyle w:val="DissnormText"/>
        <w:spacing w:line="480" w:lineRule="auto"/>
        <w:contextualSpacing/>
        <w:rPr>
          <w:rFonts w:asciiTheme="minorBidi" w:eastAsia="Arial" w:hAnsiTheme="minorBidi" w:cstheme="minorBidi"/>
          <w:sz w:val="24"/>
          <w:lang w:val="en-US"/>
        </w:rPr>
      </w:pPr>
    </w:p>
    <w:p w14:paraId="6676F9BF" w14:textId="241AAE78" w:rsidR="008C4409" w:rsidRPr="00B81F2B" w:rsidRDefault="008C4409" w:rsidP="00F82446">
      <w:pPr>
        <w:spacing w:line="480" w:lineRule="auto"/>
        <w:rPr>
          <w:rFonts w:asciiTheme="minorBidi" w:hAnsiTheme="minorBidi"/>
          <w:b/>
          <w:bCs/>
          <w:lang w:val="en-US"/>
        </w:rPr>
      </w:pPr>
      <w:r w:rsidRPr="00B81F2B">
        <w:rPr>
          <w:rFonts w:asciiTheme="minorBidi" w:hAnsiTheme="minorBidi"/>
          <w:b/>
          <w:bCs/>
          <w:lang w:val="en-US"/>
        </w:rPr>
        <w:lastRenderedPageBreak/>
        <w:t>References</w:t>
      </w:r>
    </w:p>
    <w:p w14:paraId="20D70EBA" w14:textId="2215BF4F" w:rsidR="00A81C6B" w:rsidRPr="00A81C6B" w:rsidRDefault="00FC2DA0" w:rsidP="00A81C6B">
      <w:pPr>
        <w:widowControl w:val="0"/>
        <w:autoSpaceDE w:val="0"/>
        <w:autoSpaceDN w:val="0"/>
        <w:adjustRightInd w:val="0"/>
        <w:spacing w:before="100" w:after="100" w:line="480" w:lineRule="auto"/>
        <w:rPr>
          <w:rFonts w:ascii="Arial" w:hAnsi="Arial" w:cs="Arial"/>
          <w:noProof/>
          <w:lang w:val="en-US"/>
        </w:rPr>
      </w:pPr>
      <w:r w:rsidRPr="00B81F2B">
        <w:rPr>
          <w:rFonts w:asciiTheme="minorBidi" w:hAnsiTheme="minorBidi"/>
          <w:lang w:val="en-US"/>
        </w:rPr>
        <w:fldChar w:fldCharType="begin" w:fldLock="1"/>
      </w:r>
      <w:r w:rsidRPr="00B81F2B">
        <w:rPr>
          <w:rFonts w:asciiTheme="minorBidi" w:hAnsiTheme="minorBidi"/>
          <w:lang w:val="en-US"/>
        </w:rPr>
        <w:instrText xml:space="preserve">ADDIN Mendeley Bibliography CSL_BIBLIOGRAPHY </w:instrText>
      </w:r>
      <w:r w:rsidRPr="00B81F2B">
        <w:rPr>
          <w:rFonts w:asciiTheme="minorBidi" w:hAnsiTheme="minorBidi"/>
          <w:lang w:val="en-US"/>
        </w:rPr>
        <w:fldChar w:fldCharType="separate"/>
      </w:r>
      <w:r w:rsidR="00A81C6B" w:rsidRPr="00A81C6B">
        <w:rPr>
          <w:rFonts w:ascii="Arial" w:hAnsi="Arial" w:cs="Arial"/>
          <w:noProof/>
          <w:lang w:val="en-US"/>
        </w:rPr>
        <w:t xml:space="preserve">1. Teven CM, Liu X, Hu N, et al. Epigenetic regulation of mesenchymal stem cells: a focus on osteogenic and adipogenic differentiation. </w:t>
      </w:r>
      <w:r w:rsidR="00A81C6B" w:rsidRPr="00A81C6B">
        <w:rPr>
          <w:rFonts w:ascii="Arial" w:hAnsi="Arial" w:cs="Arial"/>
          <w:i/>
          <w:iCs/>
          <w:noProof/>
          <w:lang w:val="en-US"/>
        </w:rPr>
        <w:t>Stem Cells Int</w:t>
      </w:r>
      <w:r w:rsidR="00A81C6B" w:rsidRPr="00A81C6B">
        <w:rPr>
          <w:rFonts w:ascii="Arial" w:hAnsi="Arial" w:cs="Arial"/>
          <w:noProof/>
          <w:lang w:val="en-US"/>
        </w:rPr>
        <w:t xml:space="preserve">. 2011;2011:201371. </w:t>
      </w:r>
    </w:p>
    <w:p w14:paraId="755CC451"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 Moore JB. Non-alcoholic fatty liver disease: the hepatic consequence of obesity and the metabolic syndrome. </w:t>
      </w:r>
      <w:r w:rsidRPr="00A81C6B">
        <w:rPr>
          <w:rFonts w:ascii="Arial" w:hAnsi="Arial" w:cs="Arial"/>
          <w:i/>
          <w:iCs/>
          <w:noProof/>
          <w:lang w:val="en-US"/>
        </w:rPr>
        <w:t>Proc Nutr Soc</w:t>
      </w:r>
      <w:r w:rsidRPr="00A81C6B">
        <w:rPr>
          <w:rFonts w:ascii="Arial" w:hAnsi="Arial" w:cs="Arial"/>
          <w:noProof/>
          <w:lang w:val="en-US"/>
        </w:rPr>
        <w:t xml:space="preserve">. 2010;69:211–220. </w:t>
      </w:r>
    </w:p>
    <w:p w14:paraId="02E453F6"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 Yaskolka Meir A, Tene L, Cohen N, et al. Intrahepatic fat, abdominal adipose tissues, and metabolic state: magnetic resonance imaging study. </w:t>
      </w:r>
      <w:r w:rsidRPr="00A81C6B">
        <w:rPr>
          <w:rFonts w:ascii="Arial" w:hAnsi="Arial" w:cs="Arial"/>
          <w:i/>
          <w:iCs/>
          <w:noProof/>
          <w:lang w:val="en-US"/>
        </w:rPr>
        <w:t>Diabetes Metab Res Rev</w:t>
      </w:r>
      <w:r w:rsidRPr="00A81C6B">
        <w:rPr>
          <w:rFonts w:ascii="Arial" w:hAnsi="Arial" w:cs="Arial"/>
          <w:noProof/>
          <w:lang w:val="en-US"/>
        </w:rPr>
        <w:t xml:space="preserve">. 2017;33. </w:t>
      </w:r>
    </w:p>
    <w:p w14:paraId="0C75B3A7"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 Byrne CD, Targher G. NAFLD: A multisystem disease. </w:t>
      </w:r>
      <w:r w:rsidRPr="00A81C6B">
        <w:rPr>
          <w:rFonts w:ascii="Arial" w:hAnsi="Arial" w:cs="Arial"/>
          <w:i/>
          <w:iCs/>
          <w:noProof/>
          <w:lang w:val="en-US"/>
        </w:rPr>
        <w:t>J Hepatol</w:t>
      </w:r>
      <w:r w:rsidRPr="00A81C6B">
        <w:rPr>
          <w:rFonts w:ascii="Arial" w:hAnsi="Arial" w:cs="Arial"/>
          <w:noProof/>
          <w:lang w:val="en-US"/>
        </w:rPr>
        <w:t xml:space="preserve">. 2015;62:S47–S64. </w:t>
      </w:r>
    </w:p>
    <w:p w14:paraId="1A79B263"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5. Gepner Y, Shelef I, Komy O, et al. The beneficial effects of Mediterranean diet over low-fat diet may be mediated by decreasing hepatic fat content. </w:t>
      </w:r>
      <w:r w:rsidRPr="00A81C6B">
        <w:rPr>
          <w:rFonts w:ascii="Arial" w:hAnsi="Arial" w:cs="Arial"/>
          <w:i/>
          <w:iCs/>
          <w:noProof/>
          <w:lang w:val="en-US"/>
        </w:rPr>
        <w:t>J Hepatol</w:t>
      </w:r>
      <w:r w:rsidRPr="00A81C6B">
        <w:rPr>
          <w:rFonts w:ascii="Arial" w:hAnsi="Arial" w:cs="Arial"/>
          <w:noProof/>
          <w:lang w:val="en-US"/>
        </w:rPr>
        <w:t xml:space="preserve">. 2019;71. </w:t>
      </w:r>
    </w:p>
    <w:p w14:paraId="49BD4A95"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6. Younossi Z, Anstee QM, Marietti M, et al. Global burden of NAFLD and NASH: trends, predictions, risk factors and prevention. </w:t>
      </w:r>
      <w:r w:rsidRPr="00A81C6B">
        <w:rPr>
          <w:rFonts w:ascii="Arial" w:hAnsi="Arial" w:cs="Arial"/>
          <w:i/>
          <w:iCs/>
          <w:noProof/>
          <w:lang w:val="en-US"/>
        </w:rPr>
        <w:t>Nat Rev Gastroenterol Hepatol</w:t>
      </w:r>
      <w:r w:rsidRPr="00A81C6B">
        <w:rPr>
          <w:rFonts w:ascii="Arial" w:hAnsi="Arial" w:cs="Arial"/>
          <w:noProof/>
          <w:lang w:val="en-US"/>
        </w:rPr>
        <w:t xml:space="preserve">. 2018;15:11. </w:t>
      </w:r>
    </w:p>
    <w:p w14:paraId="7DE323C8"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7. Eslam M, Valenti L, Romeo S. Genetics and epigenetics of NAFLD and NASH: Clinical impact. </w:t>
      </w:r>
      <w:r w:rsidRPr="00A81C6B">
        <w:rPr>
          <w:rFonts w:ascii="Arial" w:hAnsi="Arial" w:cs="Arial"/>
          <w:i/>
          <w:iCs/>
          <w:noProof/>
          <w:lang w:val="en-US"/>
        </w:rPr>
        <w:t>Journal of Hepatology</w:t>
      </w:r>
      <w:r w:rsidRPr="00A81C6B">
        <w:rPr>
          <w:rFonts w:ascii="Arial" w:hAnsi="Arial" w:cs="Arial"/>
          <w:noProof/>
          <w:lang w:val="en-US"/>
        </w:rPr>
        <w:t xml:space="preserve">. 2018;68:268–279. </w:t>
      </w:r>
    </w:p>
    <w:p w14:paraId="0DE0BC86"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8. McKay JA, Mathers JC. Diet induced epigenetic changes and their implications for health. </w:t>
      </w:r>
      <w:r w:rsidRPr="00A81C6B">
        <w:rPr>
          <w:rFonts w:ascii="Arial" w:hAnsi="Arial" w:cs="Arial"/>
          <w:i/>
          <w:iCs/>
          <w:noProof/>
          <w:lang w:val="en-US"/>
        </w:rPr>
        <w:t>Acta Physiol</w:t>
      </w:r>
      <w:r w:rsidRPr="00A81C6B">
        <w:rPr>
          <w:rFonts w:ascii="Arial" w:hAnsi="Arial" w:cs="Arial"/>
          <w:noProof/>
          <w:lang w:val="en-US"/>
        </w:rPr>
        <w:t xml:space="preserve">. 2011;202:103–118. </w:t>
      </w:r>
    </w:p>
    <w:p w14:paraId="01AD26BE"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9. Tammen SA, Friso S, Choi S-W. Epigenetics: the link between nature and nurture. </w:t>
      </w:r>
      <w:r w:rsidRPr="00A81C6B">
        <w:rPr>
          <w:rFonts w:ascii="Arial" w:hAnsi="Arial" w:cs="Arial"/>
          <w:i/>
          <w:iCs/>
          <w:noProof/>
          <w:lang w:val="en-US"/>
        </w:rPr>
        <w:t>Mol Aspects Med</w:t>
      </w:r>
      <w:r w:rsidRPr="00A81C6B">
        <w:rPr>
          <w:rFonts w:ascii="Arial" w:hAnsi="Arial" w:cs="Arial"/>
          <w:noProof/>
          <w:lang w:val="en-US"/>
        </w:rPr>
        <w:t xml:space="preserve">. 2013;34:753–764. </w:t>
      </w:r>
    </w:p>
    <w:p w14:paraId="6AB3F421"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lastRenderedPageBreak/>
        <w:t xml:space="preserve">10. Heyman-Lindén L, Seki Y, Storm P, et al. Berry intake changes hepatic gene expression and DNA methylation patterns associated with high-fat diet. </w:t>
      </w:r>
      <w:r w:rsidRPr="00A81C6B">
        <w:rPr>
          <w:rFonts w:ascii="Arial" w:hAnsi="Arial" w:cs="Arial"/>
          <w:i/>
          <w:iCs/>
          <w:noProof/>
          <w:lang w:val="en-US"/>
        </w:rPr>
        <w:t>J Nutr Biochem</w:t>
      </w:r>
      <w:r w:rsidRPr="00A81C6B">
        <w:rPr>
          <w:rFonts w:ascii="Arial" w:hAnsi="Arial" w:cs="Arial"/>
          <w:noProof/>
          <w:lang w:val="en-US"/>
        </w:rPr>
        <w:t xml:space="preserve">. 2016;27:79–95. </w:t>
      </w:r>
    </w:p>
    <w:p w14:paraId="14A97D2B"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11. Pirola CJ, Gianotti TF, Burgueño AL, et al. Epigenetic modification of liver mitochondrial DNA is associated with histological severity of nonalcoholic fatty liver disease. </w:t>
      </w:r>
      <w:r w:rsidRPr="00A81C6B">
        <w:rPr>
          <w:rFonts w:ascii="Arial" w:hAnsi="Arial" w:cs="Arial"/>
          <w:i/>
          <w:iCs/>
          <w:noProof/>
          <w:lang w:val="en-US"/>
        </w:rPr>
        <w:t>Gut</w:t>
      </w:r>
      <w:r w:rsidRPr="00A81C6B">
        <w:rPr>
          <w:rFonts w:ascii="Arial" w:hAnsi="Arial" w:cs="Arial"/>
          <w:noProof/>
          <w:lang w:val="en-US"/>
        </w:rPr>
        <w:t xml:space="preserve">. 2013;62:1356–1363. </w:t>
      </w:r>
    </w:p>
    <w:p w14:paraId="4533A9AC"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12. Loomba R, Gindin Y, Jiang Z, et al. DNA methylation signatures reflect aging in patients with nonalcoholic steatohepatitis. </w:t>
      </w:r>
      <w:r w:rsidRPr="00A81C6B">
        <w:rPr>
          <w:rFonts w:ascii="Arial" w:hAnsi="Arial" w:cs="Arial"/>
          <w:i/>
          <w:iCs/>
          <w:noProof/>
          <w:lang w:val="en-US"/>
        </w:rPr>
        <w:t>JCI insight</w:t>
      </w:r>
      <w:r w:rsidRPr="00A81C6B">
        <w:rPr>
          <w:rFonts w:ascii="Arial" w:hAnsi="Arial" w:cs="Arial"/>
          <w:noProof/>
          <w:lang w:val="en-US"/>
        </w:rPr>
        <w:t xml:space="preserve">. 2018;3. </w:t>
      </w:r>
    </w:p>
    <w:p w14:paraId="6A00F729"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13. Zeybel M, Hardy T, Robinson SM, et al. Differential DNA methylation of genes involved in fibrosis progression in non-alcoholic fatty liver disease and alcoholic liver disease. </w:t>
      </w:r>
      <w:r w:rsidRPr="00A81C6B">
        <w:rPr>
          <w:rFonts w:ascii="Arial" w:hAnsi="Arial" w:cs="Arial"/>
          <w:i/>
          <w:iCs/>
          <w:noProof/>
          <w:lang w:val="en-US"/>
        </w:rPr>
        <w:t>Clin Epigenetics</w:t>
      </w:r>
      <w:r w:rsidRPr="00A81C6B">
        <w:rPr>
          <w:rFonts w:ascii="Arial" w:hAnsi="Arial" w:cs="Arial"/>
          <w:noProof/>
          <w:lang w:val="en-US"/>
        </w:rPr>
        <w:t xml:space="preserve">. 2015;7:25. </w:t>
      </w:r>
    </w:p>
    <w:p w14:paraId="4216CB44"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14. van Eijk KR, de Jong S, Boks MPM, et al. Genetic analysis of DNA methylation and gene expression levels in whole blood of healthy human subjects. </w:t>
      </w:r>
      <w:r w:rsidRPr="00A81C6B">
        <w:rPr>
          <w:rFonts w:ascii="Arial" w:hAnsi="Arial" w:cs="Arial"/>
          <w:i/>
          <w:iCs/>
          <w:noProof/>
          <w:lang w:val="en-US"/>
        </w:rPr>
        <w:t>BMC Genomics</w:t>
      </w:r>
      <w:r w:rsidRPr="00A81C6B">
        <w:rPr>
          <w:rFonts w:ascii="Arial" w:hAnsi="Arial" w:cs="Arial"/>
          <w:noProof/>
          <w:lang w:val="en-US"/>
        </w:rPr>
        <w:t xml:space="preserve">. 2012;13:636. </w:t>
      </w:r>
    </w:p>
    <w:p w14:paraId="7F80D4B4"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15. Arpon A, Riezu-Boj JI, Milagro FI, et al. Adherence to Mediterranean diet is associated with methylation changes in inflammation-related genes in peripheral blood cells. </w:t>
      </w:r>
      <w:r w:rsidRPr="00A81C6B">
        <w:rPr>
          <w:rFonts w:ascii="Arial" w:hAnsi="Arial" w:cs="Arial"/>
          <w:i/>
          <w:iCs/>
          <w:noProof/>
          <w:lang w:val="en-US"/>
        </w:rPr>
        <w:t>J Physiol Biochem</w:t>
      </w:r>
      <w:r w:rsidRPr="00A81C6B">
        <w:rPr>
          <w:rFonts w:ascii="Arial" w:hAnsi="Arial" w:cs="Arial"/>
          <w:noProof/>
          <w:lang w:val="en-US"/>
        </w:rPr>
        <w:t xml:space="preserve">. 2017;1–11. </w:t>
      </w:r>
    </w:p>
    <w:p w14:paraId="0C6CF7E7"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16. Voisin S, Eynon N, Yan X, Bishop DJ. Exercise training and DNA methylation in humans. </w:t>
      </w:r>
      <w:r w:rsidRPr="00A81C6B">
        <w:rPr>
          <w:rFonts w:ascii="Arial" w:hAnsi="Arial" w:cs="Arial"/>
          <w:i/>
          <w:iCs/>
          <w:noProof/>
          <w:lang w:val="en-US"/>
        </w:rPr>
        <w:t>Acta Physiol</w:t>
      </w:r>
      <w:r w:rsidRPr="00A81C6B">
        <w:rPr>
          <w:rFonts w:ascii="Arial" w:hAnsi="Arial" w:cs="Arial"/>
          <w:noProof/>
          <w:lang w:val="en-US"/>
        </w:rPr>
        <w:t xml:space="preserve">. 2015;213:39–59. </w:t>
      </w:r>
    </w:p>
    <w:p w14:paraId="4B6F0BCB"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17. Russo GL, Vastolo V, Ciccarelli M, Albano L, Macchia PE, Ungaro P. Dietary polyphenols and chromatin remodelling. </w:t>
      </w:r>
      <w:r w:rsidRPr="00A81C6B">
        <w:rPr>
          <w:rFonts w:ascii="Arial" w:hAnsi="Arial" w:cs="Arial"/>
          <w:i/>
          <w:iCs/>
          <w:noProof/>
          <w:lang w:val="en-US"/>
        </w:rPr>
        <w:t>Crit Rev Food Sci Nutr</w:t>
      </w:r>
      <w:r w:rsidRPr="00A81C6B">
        <w:rPr>
          <w:rFonts w:ascii="Arial" w:hAnsi="Arial" w:cs="Arial"/>
          <w:noProof/>
          <w:lang w:val="en-US"/>
        </w:rPr>
        <w:t xml:space="preserve">. 2015;0. </w:t>
      </w:r>
    </w:p>
    <w:p w14:paraId="7E245165"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18. Cannataro R, Fazio A, La Torre C, Caroleo MC, Cione E. Polyphenols in the Mediterranean Diet: From Dietary Sources to microRNA Modulation. </w:t>
      </w:r>
      <w:r w:rsidRPr="00A81C6B">
        <w:rPr>
          <w:rFonts w:ascii="Arial" w:hAnsi="Arial" w:cs="Arial"/>
          <w:i/>
          <w:iCs/>
          <w:noProof/>
          <w:lang w:val="en-US"/>
        </w:rPr>
        <w:t>Antioxidants</w:t>
      </w:r>
      <w:r w:rsidRPr="00A81C6B">
        <w:rPr>
          <w:rFonts w:ascii="Arial" w:hAnsi="Arial" w:cs="Arial"/>
          <w:noProof/>
          <w:lang w:val="en-US"/>
        </w:rPr>
        <w:t xml:space="preserve">. 2021;10:328. </w:t>
      </w:r>
    </w:p>
    <w:p w14:paraId="52538A0C"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lastRenderedPageBreak/>
        <w:t xml:space="preserve">19. Gepner Y, Shelef I, Schwarzfuchs D, et al. Effect of distinct lifestyle interventions on mobilization of fat storage pools: CENTRAL magnetic resonance imaging randomized controlled trial. </w:t>
      </w:r>
      <w:r w:rsidRPr="00A81C6B">
        <w:rPr>
          <w:rFonts w:ascii="Arial" w:hAnsi="Arial" w:cs="Arial"/>
          <w:i/>
          <w:iCs/>
          <w:noProof/>
          <w:lang w:val="en-US"/>
        </w:rPr>
        <w:t>Circulation</w:t>
      </w:r>
      <w:r w:rsidRPr="00A81C6B">
        <w:rPr>
          <w:rFonts w:ascii="Arial" w:hAnsi="Arial" w:cs="Arial"/>
          <w:noProof/>
          <w:lang w:val="en-US"/>
        </w:rPr>
        <w:t xml:space="preserve">. 2018;137:1143–1157. </w:t>
      </w:r>
    </w:p>
    <w:p w14:paraId="69E3E006"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20. Keller M, Meir AY, Bernhart SH, et al. DNA methylation signature in blood mirrors successful weight-loss during lifestyle interventions: the CENTRAL trial. </w:t>
      </w:r>
      <w:r w:rsidRPr="00A81C6B">
        <w:rPr>
          <w:rFonts w:ascii="Arial" w:hAnsi="Arial" w:cs="Arial"/>
          <w:i/>
          <w:iCs/>
          <w:noProof/>
          <w:lang w:val="en-US"/>
        </w:rPr>
        <w:t>Genome Med</w:t>
      </w:r>
      <w:r w:rsidRPr="00A81C6B">
        <w:rPr>
          <w:rFonts w:ascii="Arial" w:hAnsi="Arial" w:cs="Arial"/>
          <w:noProof/>
          <w:lang w:val="en-US"/>
        </w:rPr>
        <w:t xml:space="preserve">. 2020;12:1–18. </w:t>
      </w:r>
    </w:p>
    <w:p w14:paraId="66163512"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21. Buniello A, MacArthur JAL, Cerezo M, et al. The NHGRI-EBI GWAS Catalog of published genome-wide association studies, targeted arrays and summary statistics 2019. </w:t>
      </w:r>
      <w:r w:rsidRPr="00A81C6B">
        <w:rPr>
          <w:rFonts w:ascii="Arial" w:hAnsi="Arial" w:cs="Arial"/>
          <w:i/>
          <w:iCs/>
          <w:noProof/>
          <w:lang w:val="en-US"/>
        </w:rPr>
        <w:t>Nucleic Acids Res</w:t>
      </w:r>
      <w:r w:rsidRPr="00A81C6B">
        <w:rPr>
          <w:rFonts w:ascii="Arial" w:hAnsi="Arial" w:cs="Arial"/>
          <w:noProof/>
          <w:lang w:val="en-US"/>
        </w:rPr>
        <w:t xml:space="preserve">. 2018;47:D1005–D1012. </w:t>
      </w:r>
    </w:p>
    <w:p w14:paraId="7CFEED25"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22. Chalasani N, Guo X, Loomba R, et al. Genome-wide association study identifies variants associated with histologic features of nonalcoholic Fatty liver disease. </w:t>
      </w:r>
      <w:r w:rsidRPr="00A81C6B">
        <w:rPr>
          <w:rFonts w:ascii="Arial" w:hAnsi="Arial" w:cs="Arial"/>
          <w:i/>
          <w:iCs/>
          <w:noProof/>
          <w:lang w:val="en-US"/>
        </w:rPr>
        <w:t>Gastroenterology</w:t>
      </w:r>
      <w:r w:rsidRPr="00A81C6B">
        <w:rPr>
          <w:rFonts w:ascii="Arial" w:hAnsi="Arial" w:cs="Arial"/>
          <w:noProof/>
          <w:lang w:val="en-US"/>
        </w:rPr>
        <w:t xml:space="preserve">. 2010;139:1567-1576. e6. </w:t>
      </w:r>
    </w:p>
    <w:p w14:paraId="5ADC9D13"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23. Tsaban G, Wolak A, Avni-Hassid H, et al. Dynamics of intrapericardial and extrapericardial fat tissues during long-term, dietary-induced, moderate weight loss. </w:t>
      </w:r>
      <w:r w:rsidRPr="00A81C6B">
        <w:rPr>
          <w:rFonts w:ascii="Arial" w:hAnsi="Arial" w:cs="Arial"/>
          <w:i/>
          <w:iCs/>
          <w:noProof/>
          <w:lang w:val="en-US"/>
        </w:rPr>
        <w:t>Am J Clin Nutr</w:t>
      </w:r>
      <w:r w:rsidRPr="00A81C6B">
        <w:rPr>
          <w:rFonts w:ascii="Arial" w:hAnsi="Arial" w:cs="Arial"/>
          <w:noProof/>
          <w:lang w:val="en-US"/>
        </w:rPr>
        <w:t xml:space="preserve">. 2017;106. </w:t>
      </w:r>
    </w:p>
    <w:p w14:paraId="5C82CCD3"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24. Thissen D, Steinberg L, Kuang D. Quick and easy implementation of the Benjamini-Hochberg procedure for controlling the false positive rate in multiple comparisons. </w:t>
      </w:r>
      <w:r w:rsidRPr="00A81C6B">
        <w:rPr>
          <w:rFonts w:ascii="Arial" w:hAnsi="Arial" w:cs="Arial"/>
          <w:i/>
          <w:iCs/>
          <w:noProof/>
          <w:lang w:val="en-US"/>
        </w:rPr>
        <w:t>J Educ Behav Stat</w:t>
      </w:r>
      <w:r w:rsidRPr="00A81C6B">
        <w:rPr>
          <w:rFonts w:ascii="Arial" w:hAnsi="Arial" w:cs="Arial"/>
          <w:noProof/>
          <w:lang w:val="en-US"/>
        </w:rPr>
        <w:t xml:space="preserve">. 2002;27:77–83. </w:t>
      </w:r>
    </w:p>
    <w:p w14:paraId="20F89C36"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25. Hardy T, Zeybel M, Day CP, et al. Plasma DNA methylation: a potential biomarker for stratification of liver fibrosis in non-alcoholic fatty liver disease. </w:t>
      </w:r>
      <w:r w:rsidRPr="00A81C6B">
        <w:rPr>
          <w:rFonts w:ascii="Arial" w:hAnsi="Arial" w:cs="Arial"/>
          <w:i/>
          <w:iCs/>
          <w:noProof/>
          <w:lang w:val="en-US"/>
        </w:rPr>
        <w:t>Gut</w:t>
      </w:r>
      <w:r w:rsidRPr="00A81C6B">
        <w:rPr>
          <w:rFonts w:ascii="Arial" w:hAnsi="Arial" w:cs="Arial"/>
          <w:noProof/>
          <w:lang w:val="en-US"/>
        </w:rPr>
        <w:t xml:space="preserve">. 2017;66:1321–1328. </w:t>
      </w:r>
    </w:p>
    <w:p w14:paraId="7C8D8A1F"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26. Murphy SK, Yang H, Moylan CA, et al. Relationship between methylome and transcriptome in patients with nonalcoholic fatty liver disease. </w:t>
      </w:r>
      <w:r w:rsidRPr="00A81C6B">
        <w:rPr>
          <w:rFonts w:ascii="Arial" w:hAnsi="Arial" w:cs="Arial"/>
          <w:i/>
          <w:iCs/>
          <w:noProof/>
          <w:lang w:val="en-US"/>
        </w:rPr>
        <w:t>Gastroenterology</w:t>
      </w:r>
      <w:r w:rsidRPr="00A81C6B">
        <w:rPr>
          <w:rFonts w:ascii="Arial" w:hAnsi="Arial" w:cs="Arial"/>
          <w:noProof/>
          <w:lang w:val="en-US"/>
        </w:rPr>
        <w:t xml:space="preserve">. 2013;145:1076–1087. </w:t>
      </w:r>
    </w:p>
    <w:p w14:paraId="5CF8C48A"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lastRenderedPageBreak/>
        <w:t xml:space="preserve">27. Meir AY, Keller M, Bernhart SH, et al. Lifestyle weight-loss intervention may attenuate methylation aging: the CENTRAL MRI randomized controlled trial. </w:t>
      </w:r>
      <w:r w:rsidRPr="00A81C6B">
        <w:rPr>
          <w:rFonts w:ascii="Arial" w:hAnsi="Arial" w:cs="Arial"/>
          <w:i/>
          <w:iCs/>
          <w:noProof/>
          <w:lang w:val="en-US"/>
        </w:rPr>
        <w:t>Clin Epigenetics</w:t>
      </w:r>
      <w:r w:rsidRPr="00A81C6B">
        <w:rPr>
          <w:rFonts w:ascii="Arial" w:hAnsi="Arial" w:cs="Arial"/>
          <w:noProof/>
          <w:lang w:val="en-US"/>
        </w:rPr>
        <w:t xml:space="preserve">. 2021;13:1–10. </w:t>
      </w:r>
    </w:p>
    <w:p w14:paraId="4E98D6F2"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28. Braun KVE, Voortman T, Dhana K, et al. The role of DNA methylation in dyslipidaemia: A systematic review. </w:t>
      </w:r>
      <w:r w:rsidRPr="00A81C6B">
        <w:rPr>
          <w:rFonts w:ascii="Arial" w:hAnsi="Arial" w:cs="Arial"/>
          <w:i/>
          <w:iCs/>
          <w:noProof/>
          <w:lang w:val="en-US"/>
        </w:rPr>
        <w:t>Prog Lipid Res</w:t>
      </w:r>
      <w:r w:rsidRPr="00A81C6B">
        <w:rPr>
          <w:rFonts w:ascii="Arial" w:hAnsi="Arial" w:cs="Arial"/>
          <w:noProof/>
          <w:lang w:val="en-US"/>
        </w:rPr>
        <w:t xml:space="preserve">. 2016;64:178–191. </w:t>
      </w:r>
    </w:p>
    <w:p w14:paraId="587AE292"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29. Pearce MS, McConnell JC, Potter C, et al. Global LINE-1 DNA methylation is associated with blood glycaemic and lipid profiles. </w:t>
      </w:r>
      <w:r w:rsidRPr="00A81C6B">
        <w:rPr>
          <w:rFonts w:ascii="Arial" w:hAnsi="Arial" w:cs="Arial"/>
          <w:i/>
          <w:iCs/>
          <w:noProof/>
          <w:lang w:val="en-US"/>
        </w:rPr>
        <w:t>Int J Epidemiol</w:t>
      </w:r>
      <w:r w:rsidRPr="00A81C6B">
        <w:rPr>
          <w:rFonts w:ascii="Arial" w:hAnsi="Arial" w:cs="Arial"/>
          <w:noProof/>
          <w:lang w:val="en-US"/>
        </w:rPr>
        <w:t xml:space="preserve">. 2012;41:210–217. </w:t>
      </w:r>
    </w:p>
    <w:p w14:paraId="7D52E103"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30. de Mello VD, Matte A, Perfilyev A, et al. Human liver epigenetic alterations in non-alcoholic steatohepatitis are related to insulin action. </w:t>
      </w:r>
      <w:r w:rsidRPr="00A81C6B">
        <w:rPr>
          <w:rFonts w:ascii="Arial" w:hAnsi="Arial" w:cs="Arial"/>
          <w:i/>
          <w:iCs/>
          <w:noProof/>
          <w:lang w:val="en-US"/>
        </w:rPr>
        <w:t>Epigenetics</w:t>
      </w:r>
      <w:r w:rsidRPr="00A81C6B">
        <w:rPr>
          <w:rFonts w:ascii="Arial" w:hAnsi="Arial" w:cs="Arial"/>
          <w:noProof/>
          <w:lang w:val="en-US"/>
        </w:rPr>
        <w:t xml:space="preserve">. 2017;12:287–295. </w:t>
      </w:r>
    </w:p>
    <w:p w14:paraId="6F8F3875"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31. Wang S, Song J, Yang Y, Zhang Y, Wang H, Ma J. HIF3A DNA methylation is associated with childhood obesity and ALT. </w:t>
      </w:r>
      <w:r w:rsidRPr="00A81C6B">
        <w:rPr>
          <w:rFonts w:ascii="Arial" w:hAnsi="Arial" w:cs="Arial"/>
          <w:i/>
          <w:iCs/>
          <w:noProof/>
          <w:lang w:val="en-US"/>
        </w:rPr>
        <w:t>PLoS One</w:t>
      </w:r>
      <w:r w:rsidRPr="00A81C6B">
        <w:rPr>
          <w:rFonts w:ascii="Arial" w:hAnsi="Arial" w:cs="Arial"/>
          <w:noProof/>
          <w:lang w:val="en-US"/>
        </w:rPr>
        <w:t xml:space="preserve">. 2015;10. </w:t>
      </w:r>
    </w:p>
    <w:p w14:paraId="6475D0D2"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32. Hajian-Tilaki K. Receiver Operating Characteristic (ROC) Curve Analysis for Medical Diagnostic Test Evaluation. </w:t>
      </w:r>
      <w:r w:rsidRPr="00A81C6B">
        <w:rPr>
          <w:rFonts w:ascii="Arial" w:hAnsi="Arial" w:cs="Arial"/>
          <w:i/>
          <w:iCs/>
          <w:noProof/>
          <w:lang w:val="en-US"/>
        </w:rPr>
        <w:t>Casp J Intern Med</w:t>
      </w:r>
      <w:r w:rsidRPr="00A81C6B">
        <w:rPr>
          <w:rFonts w:ascii="Arial" w:hAnsi="Arial" w:cs="Arial"/>
          <w:noProof/>
          <w:lang w:val="en-US"/>
        </w:rPr>
        <w:t xml:space="preserve">. 2013;4:627–635. </w:t>
      </w:r>
    </w:p>
    <w:p w14:paraId="16D8ECEC"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33. Del Campo JA, Gallego-Durán R, Gallego P, Grande L. Genetic and epigenetic regulation in nonalcoholic fatty liver disease (NAFLD). </w:t>
      </w:r>
      <w:r w:rsidRPr="00A81C6B">
        <w:rPr>
          <w:rFonts w:ascii="Arial" w:hAnsi="Arial" w:cs="Arial"/>
          <w:i/>
          <w:iCs/>
          <w:noProof/>
          <w:lang w:val="en-US"/>
        </w:rPr>
        <w:t>Int J Mol Sci</w:t>
      </w:r>
      <w:r w:rsidRPr="00A81C6B">
        <w:rPr>
          <w:rFonts w:ascii="Arial" w:hAnsi="Arial" w:cs="Arial"/>
          <w:noProof/>
          <w:lang w:val="en-US"/>
        </w:rPr>
        <w:t xml:space="preserve">. 2018;19:911. </w:t>
      </w:r>
    </w:p>
    <w:p w14:paraId="1B05CB0A"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34. Aragonès G, Auguet T, Armengol S, et al. PNPLA3 expression is related to liver steatosis in morbidly obese women with non-alcoholic fatty liver disease. </w:t>
      </w:r>
      <w:r w:rsidRPr="00A81C6B">
        <w:rPr>
          <w:rFonts w:ascii="Arial" w:hAnsi="Arial" w:cs="Arial"/>
          <w:i/>
          <w:iCs/>
          <w:noProof/>
          <w:lang w:val="en-US"/>
        </w:rPr>
        <w:t>Int J Mol Sci</w:t>
      </w:r>
      <w:r w:rsidRPr="00A81C6B">
        <w:rPr>
          <w:rFonts w:ascii="Arial" w:hAnsi="Arial" w:cs="Arial"/>
          <w:noProof/>
          <w:lang w:val="en-US"/>
        </w:rPr>
        <w:t xml:space="preserve">. 2016;17:630. </w:t>
      </w:r>
    </w:p>
    <w:p w14:paraId="484B060A"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35. Kitamoto T, Kitamoto A, Ogawa Y, et al. Targeted-bisulfite sequence analysis of the methylation of CpG islands in genes encoding PNPLA3, SAMM50, and PARVB of patients with non-alcoholic fatty liver disease. </w:t>
      </w:r>
      <w:r w:rsidRPr="00A81C6B">
        <w:rPr>
          <w:rFonts w:ascii="Arial" w:hAnsi="Arial" w:cs="Arial"/>
          <w:i/>
          <w:iCs/>
          <w:noProof/>
          <w:lang w:val="en-US"/>
        </w:rPr>
        <w:t>J Hepatol</w:t>
      </w:r>
      <w:r w:rsidRPr="00A81C6B">
        <w:rPr>
          <w:rFonts w:ascii="Arial" w:hAnsi="Arial" w:cs="Arial"/>
          <w:noProof/>
          <w:lang w:val="en-US"/>
        </w:rPr>
        <w:t xml:space="preserve">. 2015;63:494–502. </w:t>
      </w:r>
    </w:p>
    <w:p w14:paraId="01338B72"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36. Balsano C, Porcu C, Sideri S, Tavolaro S. Fat and hepatocellular carcinoma. </w:t>
      </w:r>
      <w:r w:rsidRPr="00A81C6B">
        <w:rPr>
          <w:rFonts w:ascii="Arial" w:hAnsi="Arial" w:cs="Arial"/>
          <w:i/>
          <w:iCs/>
          <w:noProof/>
          <w:lang w:val="en-US"/>
        </w:rPr>
        <w:t>Hepatoma Res</w:t>
      </w:r>
      <w:r w:rsidRPr="00A81C6B">
        <w:rPr>
          <w:rFonts w:ascii="Arial" w:hAnsi="Arial" w:cs="Arial"/>
          <w:noProof/>
          <w:lang w:val="en-US"/>
        </w:rPr>
        <w:t xml:space="preserve">. 2018;4:38. </w:t>
      </w:r>
    </w:p>
    <w:p w14:paraId="317957C7"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lastRenderedPageBreak/>
        <w:t>37. Kim M, Jeong S, Yoo HJ, An H, Jee SH, Lee JH. Newly identified set of obesity</w:t>
      </w:r>
      <w:r w:rsidRPr="00A81C6B">
        <w:rPr>
          <w:rFonts w:ascii="Cambria Math" w:hAnsi="Cambria Math" w:cs="Cambria Math"/>
          <w:noProof/>
          <w:lang w:val="en-US"/>
        </w:rPr>
        <w:t>‐</w:t>
      </w:r>
      <w:r w:rsidRPr="00A81C6B">
        <w:rPr>
          <w:rFonts w:ascii="Arial" w:hAnsi="Arial" w:cs="Arial"/>
          <w:noProof/>
          <w:lang w:val="en-US"/>
        </w:rPr>
        <w:t xml:space="preserve">related genotypes and abdominal fat influence the risk of insulin resistance in a Korean population. </w:t>
      </w:r>
      <w:r w:rsidRPr="00A81C6B">
        <w:rPr>
          <w:rFonts w:ascii="Arial" w:hAnsi="Arial" w:cs="Arial"/>
          <w:i/>
          <w:iCs/>
          <w:noProof/>
          <w:lang w:val="en-US"/>
        </w:rPr>
        <w:t>Clin Genet</w:t>
      </w:r>
      <w:r w:rsidRPr="00A81C6B">
        <w:rPr>
          <w:rFonts w:ascii="Arial" w:hAnsi="Arial" w:cs="Arial"/>
          <w:noProof/>
          <w:lang w:val="en-US"/>
        </w:rPr>
        <w:t xml:space="preserve">. 2019;95:488–495. </w:t>
      </w:r>
    </w:p>
    <w:p w14:paraId="17292C16"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38. Millstein J, Zhang B, Zhu J, Schadt EE. Disentangling molecular relationships with a causal inference test. </w:t>
      </w:r>
      <w:r w:rsidRPr="00A81C6B">
        <w:rPr>
          <w:rFonts w:ascii="Arial" w:hAnsi="Arial" w:cs="Arial"/>
          <w:i/>
          <w:iCs/>
          <w:noProof/>
          <w:lang w:val="en-US"/>
        </w:rPr>
        <w:t>BMC Genet</w:t>
      </w:r>
      <w:r w:rsidRPr="00A81C6B">
        <w:rPr>
          <w:rFonts w:ascii="Arial" w:hAnsi="Arial" w:cs="Arial"/>
          <w:noProof/>
          <w:lang w:val="en-US"/>
        </w:rPr>
        <w:t xml:space="preserve">. 2009;10:23. </w:t>
      </w:r>
    </w:p>
    <w:p w14:paraId="218D0F37"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39. Walle P, Männistö V, De Mello VD, et al. Liver DNA methylation of FADS2 associates with FADS2 genotypex. </w:t>
      </w:r>
      <w:r w:rsidRPr="00A81C6B">
        <w:rPr>
          <w:rFonts w:ascii="Arial" w:hAnsi="Arial" w:cs="Arial"/>
          <w:i/>
          <w:iCs/>
          <w:noProof/>
          <w:lang w:val="en-US"/>
        </w:rPr>
        <w:t>Clin Epigenetics</w:t>
      </w:r>
      <w:r w:rsidRPr="00A81C6B">
        <w:rPr>
          <w:rFonts w:ascii="Arial" w:hAnsi="Arial" w:cs="Arial"/>
          <w:noProof/>
          <w:lang w:val="en-US"/>
        </w:rPr>
        <w:t xml:space="preserve">. 2019;11:1–9. </w:t>
      </w:r>
    </w:p>
    <w:p w14:paraId="3B8D6A30"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40. Luu P-L, Schöler HR, Araúzo-Bravo MJ. Disclosing the crosstalk among DNA methylation, transcription factors, and histone marks in human pluripotent cells through discovery of DNA methylation motifs. </w:t>
      </w:r>
      <w:r w:rsidRPr="00A81C6B">
        <w:rPr>
          <w:rFonts w:ascii="Arial" w:hAnsi="Arial" w:cs="Arial"/>
          <w:i/>
          <w:iCs/>
          <w:noProof/>
          <w:lang w:val="en-US"/>
        </w:rPr>
        <w:t>Genome Res</w:t>
      </w:r>
      <w:r w:rsidRPr="00A81C6B">
        <w:rPr>
          <w:rFonts w:ascii="Arial" w:hAnsi="Arial" w:cs="Arial"/>
          <w:noProof/>
          <w:lang w:val="en-US"/>
        </w:rPr>
        <w:t xml:space="preserve">. 2013;23. </w:t>
      </w:r>
    </w:p>
    <w:p w14:paraId="3B2F9448"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41. Zhang FF, Cardarelli R, Carroll J, et al. Significant differences in global genomic DNA methylation by gender and race/ethnicity in peripheral blood. </w:t>
      </w:r>
      <w:r w:rsidRPr="00A81C6B">
        <w:rPr>
          <w:rFonts w:ascii="Arial" w:hAnsi="Arial" w:cs="Arial"/>
          <w:i/>
          <w:iCs/>
          <w:noProof/>
          <w:lang w:val="en-US"/>
        </w:rPr>
        <w:t>Epigenetics</w:t>
      </w:r>
      <w:r w:rsidRPr="00A81C6B">
        <w:rPr>
          <w:rFonts w:ascii="Arial" w:hAnsi="Arial" w:cs="Arial"/>
          <w:noProof/>
          <w:lang w:val="en-US"/>
        </w:rPr>
        <w:t xml:space="preserve">. 2011;6:623–629. </w:t>
      </w:r>
    </w:p>
    <w:p w14:paraId="2B587269"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42. Gensous N, Garagnani P, Santoro A, et al. One-year Mediterranean diet promotes epigenetic rejuvenation with country-and sex-specific effects: a pilot study from the NU-AGE project. </w:t>
      </w:r>
      <w:r w:rsidRPr="00A81C6B">
        <w:rPr>
          <w:rFonts w:ascii="Arial" w:hAnsi="Arial" w:cs="Arial"/>
          <w:i/>
          <w:iCs/>
          <w:noProof/>
          <w:lang w:val="en-US"/>
        </w:rPr>
        <w:t>GeroScience</w:t>
      </w:r>
      <w:r w:rsidRPr="00A81C6B">
        <w:rPr>
          <w:rFonts w:ascii="Arial" w:hAnsi="Arial" w:cs="Arial"/>
          <w:noProof/>
          <w:lang w:val="en-US"/>
        </w:rPr>
        <w:t xml:space="preserve">. 2020;42:687–701. </w:t>
      </w:r>
    </w:p>
    <w:p w14:paraId="7B2A0154"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43. Krauss RM, Eckel RH, Howard B, et al. AHA Dietary Guidelines: revision 2000: A statement for healthcare professionals from the Nutrition Committee of the American Heart Association. </w:t>
      </w:r>
      <w:r w:rsidRPr="00A81C6B">
        <w:rPr>
          <w:rFonts w:ascii="Arial" w:hAnsi="Arial" w:cs="Arial"/>
          <w:i/>
          <w:iCs/>
          <w:noProof/>
          <w:lang w:val="en-US"/>
        </w:rPr>
        <w:t>Circulation</w:t>
      </w:r>
      <w:r w:rsidRPr="00A81C6B">
        <w:rPr>
          <w:rFonts w:ascii="Arial" w:hAnsi="Arial" w:cs="Arial"/>
          <w:noProof/>
          <w:lang w:val="en-US"/>
        </w:rPr>
        <w:t xml:space="preserve">. 2000;102:2284–2299. </w:t>
      </w:r>
    </w:p>
    <w:p w14:paraId="1581F5E5"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44. Shai I, Schwarzfuchs D, Henkin Y, et al. Weight loss with a low-carbohydrate, Mediterranean, or low-fat diet. </w:t>
      </w:r>
      <w:r w:rsidRPr="00A81C6B">
        <w:rPr>
          <w:rFonts w:ascii="Arial" w:hAnsi="Arial" w:cs="Arial"/>
          <w:i/>
          <w:iCs/>
          <w:noProof/>
          <w:lang w:val="en-US"/>
        </w:rPr>
        <w:t>N Engl J Med</w:t>
      </w:r>
      <w:r w:rsidRPr="00A81C6B">
        <w:rPr>
          <w:rFonts w:ascii="Arial" w:hAnsi="Arial" w:cs="Arial"/>
          <w:noProof/>
          <w:lang w:val="en-US"/>
        </w:rPr>
        <w:t xml:space="preserve">. 2008;359:229–241. </w:t>
      </w:r>
    </w:p>
    <w:p w14:paraId="35C307C4"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45. Willett W. Eat, drink, and be healthy: the Harvard Medical School guide to healthy eating. Simon and Schuster; 2011. </w:t>
      </w:r>
    </w:p>
    <w:p w14:paraId="160DBF2D"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46. Regueiro J, Sánchez-González C, Vallverdú-Queralt A, Simal-Gándara J, </w:t>
      </w:r>
      <w:r w:rsidRPr="00A81C6B">
        <w:rPr>
          <w:rFonts w:ascii="Arial" w:hAnsi="Arial" w:cs="Arial"/>
          <w:noProof/>
          <w:lang w:val="en-US"/>
        </w:rPr>
        <w:lastRenderedPageBreak/>
        <w:t xml:space="preserve">Lamuela-Raventós R, Izquierdo-Pulido M. Comprehensive identification of walnut polyphenols by liquid chromatography coupled to linear ion trap–Orbitrap mass spectrometry. </w:t>
      </w:r>
      <w:r w:rsidRPr="00A81C6B">
        <w:rPr>
          <w:rFonts w:ascii="Arial" w:hAnsi="Arial" w:cs="Arial"/>
          <w:i/>
          <w:iCs/>
          <w:noProof/>
          <w:lang w:val="en-US"/>
        </w:rPr>
        <w:t>Food Chem</w:t>
      </w:r>
      <w:r w:rsidRPr="00A81C6B">
        <w:rPr>
          <w:rFonts w:ascii="Arial" w:hAnsi="Arial" w:cs="Arial"/>
          <w:noProof/>
          <w:lang w:val="en-US"/>
        </w:rPr>
        <w:t xml:space="preserve">. 2014;152:340–348. </w:t>
      </w:r>
    </w:p>
    <w:p w14:paraId="286BD413"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47. Kang I, Okla M, Chung S. Ellagic acid inhibits adipocyte differentiation through coactivator-associated arginine methyltransferase 1-mediated chromatin modification. </w:t>
      </w:r>
      <w:r w:rsidRPr="00A81C6B">
        <w:rPr>
          <w:rFonts w:ascii="Arial" w:hAnsi="Arial" w:cs="Arial"/>
          <w:i/>
          <w:iCs/>
          <w:noProof/>
          <w:lang w:val="en-US"/>
        </w:rPr>
        <w:t>J Nutr Biochem</w:t>
      </w:r>
      <w:r w:rsidRPr="00A81C6B">
        <w:rPr>
          <w:rFonts w:ascii="Arial" w:hAnsi="Arial" w:cs="Arial"/>
          <w:noProof/>
          <w:lang w:val="en-US"/>
        </w:rPr>
        <w:t xml:space="preserve">. 2014;25:946–953. </w:t>
      </w:r>
    </w:p>
    <w:p w14:paraId="4BB3B59E"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48. Denham J, Marques FZ, O’Brien BJ, Charchar FJ. Exercise: putting action into our epigenome. </w:t>
      </w:r>
      <w:r w:rsidRPr="00A81C6B">
        <w:rPr>
          <w:rFonts w:ascii="Arial" w:hAnsi="Arial" w:cs="Arial"/>
          <w:i/>
          <w:iCs/>
          <w:noProof/>
          <w:lang w:val="en-US"/>
        </w:rPr>
        <w:t>Sport Med</w:t>
      </w:r>
      <w:r w:rsidRPr="00A81C6B">
        <w:rPr>
          <w:rFonts w:ascii="Arial" w:hAnsi="Arial" w:cs="Arial"/>
          <w:noProof/>
          <w:lang w:val="en-US"/>
        </w:rPr>
        <w:t xml:space="preserve">. 2014;44:189–209. </w:t>
      </w:r>
    </w:p>
    <w:p w14:paraId="484B4AA3"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49. Hunter DJ, James L, Hussey B, Wadley AJ, Lindley MR, Mastana SS. Impact of aerobic exercise and fatty acid supplementation on global and gene-specific DNA methylation. </w:t>
      </w:r>
      <w:r w:rsidRPr="00A81C6B">
        <w:rPr>
          <w:rFonts w:ascii="Arial" w:hAnsi="Arial" w:cs="Arial"/>
          <w:i/>
          <w:iCs/>
          <w:noProof/>
          <w:lang w:val="en-US"/>
        </w:rPr>
        <w:t>Epigenetics</w:t>
      </w:r>
      <w:r w:rsidRPr="00A81C6B">
        <w:rPr>
          <w:rFonts w:ascii="Arial" w:hAnsi="Arial" w:cs="Arial"/>
          <w:noProof/>
          <w:lang w:val="en-US"/>
        </w:rPr>
        <w:t xml:space="preserve">. 2019;14:294–309. </w:t>
      </w:r>
    </w:p>
    <w:p w14:paraId="0B7B19B2"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lang w:val="en-US"/>
        </w:rPr>
      </w:pPr>
      <w:r w:rsidRPr="00A81C6B">
        <w:rPr>
          <w:rFonts w:ascii="Arial" w:hAnsi="Arial" w:cs="Arial"/>
          <w:noProof/>
          <w:lang w:val="en-US"/>
        </w:rPr>
        <w:t xml:space="preserve">50. Dai JY, Wang B, Wang X, et al. Vigorous physical activity is associated with lower risk of metastatic–Lethal progression in prostate cancer and hypomethylation in the CRACR2A Gene. </w:t>
      </w:r>
      <w:r w:rsidRPr="00A81C6B">
        <w:rPr>
          <w:rFonts w:ascii="Arial" w:hAnsi="Arial" w:cs="Arial"/>
          <w:i/>
          <w:iCs/>
          <w:noProof/>
          <w:lang w:val="en-US"/>
        </w:rPr>
        <w:t>Cancer Epidemiol Prev Biomarkers</w:t>
      </w:r>
      <w:r w:rsidRPr="00A81C6B">
        <w:rPr>
          <w:rFonts w:ascii="Arial" w:hAnsi="Arial" w:cs="Arial"/>
          <w:noProof/>
          <w:lang w:val="en-US"/>
        </w:rPr>
        <w:t xml:space="preserve">. 2019;28:258–264. </w:t>
      </w:r>
    </w:p>
    <w:p w14:paraId="0C958A46" w14:textId="77777777" w:rsidR="00A81C6B" w:rsidRPr="00A81C6B" w:rsidRDefault="00A81C6B" w:rsidP="00A81C6B">
      <w:pPr>
        <w:widowControl w:val="0"/>
        <w:autoSpaceDE w:val="0"/>
        <w:autoSpaceDN w:val="0"/>
        <w:adjustRightInd w:val="0"/>
        <w:spacing w:before="100" w:after="100" w:line="480" w:lineRule="auto"/>
        <w:rPr>
          <w:rFonts w:ascii="Arial" w:hAnsi="Arial" w:cs="Arial"/>
          <w:noProof/>
        </w:rPr>
      </w:pPr>
      <w:r w:rsidRPr="00A81C6B">
        <w:rPr>
          <w:rFonts w:ascii="Arial" w:hAnsi="Arial" w:cs="Arial"/>
          <w:noProof/>
          <w:lang w:val="en-US"/>
        </w:rPr>
        <w:t xml:space="preserve">51. Kukuk GM, Hittatiya K, Sprinkart AM, et al. Comparison between modified Dixon MRI techniques, MR spectroscopic relaxometry, and different histologic quantification methods in the assessment of hepatic steatosis. </w:t>
      </w:r>
      <w:r w:rsidRPr="00A81C6B">
        <w:rPr>
          <w:rFonts w:ascii="Arial" w:hAnsi="Arial" w:cs="Arial"/>
          <w:i/>
          <w:iCs/>
          <w:noProof/>
          <w:lang w:val="en-US"/>
        </w:rPr>
        <w:t>Eur Radiol</w:t>
      </w:r>
      <w:r w:rsidRPr="00A81C6B">
        <w:rPr>
          <w:rFonts w:ascii="Arial" w:hAnsi="Arial" w:cs="Arial"/>
          <w:noProof/>
          <w:lang w:val="en-US"/>
        </w:rPr>
        <w:t xml:space="preserve">. 2015;25:2869–2879. </w:t>
      </w:r>
    </w:p>
    <w:p w14:paraId="0E8DE1B8" w14:textId="5FE65347" w:rsidR="004C253A" w:rsidRDefault="00FC2DA0" w:rsidP="00A81C6B">
      <w:pPr>
        <w:widowControl w:val="0"/>
        <w:autoSpaceDE w:val="0"/>
        <w:autoSpaceDN w:val="0"/>
        <w:adjustRightInd w:val="0"/>
        <w:spacing w:before="100" w:after="100" w:line="480" w:lineRule="auto"/>
        <w:rPr>
          <w:rFonts w:asciiTheme="minorBidi" w:hAnsiTheme="minorBidi"/>
          <w:lang w:val="en-US"/>
        </w:rPr>
      </w:pPr>
      <w:r w:rsidRPr="00B81F2B">
        <w:rPr>
          <w:rFonts w:asciiTheme="minorBidi" w:hAnsiTheme="minorBidi"/>
          <w:lang w:val="en-US"/>
        </w:rPr>
        <w:fldChar w:fldCharType="end"/>
      </w:r>
    </w:p>
    <w:p w14:paraId="5E18EE7A" w14:textId="301276DB" w:rsidR="00190419" w:rsidRDefault="00190419" w:rsidP="0071027E">
      <w:pPr>
        <w:widowControl w:val="0"/>
        <w:autoSpaceDE w:val="0"/>
        <w:autoSpaceDN w:val="0"/>
        <w:adjustRightInd w:val="0"/>
        <w:spacing w:before="100" w:after="100" w:line="480" w:lineRule="auto"/>
        <w:rPr>
          <w:rFonts w:asciiTheme="minorBidi" w:hAnsiTheme="minorBidi"/>
          <w:lang w:val="en-US"/>
        </w:rPr>
      </w:pPr>
    </w:p>
    <w:p w14:paraId="4F6674DE" w14:textId="289E432A" w:rsidR="00190419" w:rsidRDefault="00190419" w:rsidP="0071027E">
      <w:pPr>
        <w:widowControl w:val="0"/>
        <w:autoSpaceDE w:val="0"/>
        <w:autoSpaceDN w:val="0"/>
        <w:adjustRightInd w:val="0"/>
        <w:spacing w:before="100" w:after="100" w:line="480" w:lineRule="auto"/>
        <w:rPr>
          <w:rFonts w:asciiTheme="minorBidi" w:hAnsiTheme="minorBidi"/>
          <w:lang w:val="en-US"/>
        </w:rPr>
      </w:pPr>
    </w:p>
    <w:p w14:paraId="09878F38" w14:textId="3A05DF06" w:rsidR="009A4A2B" w:rsidRDefault="009A4A2B" w:rsidP="0071027E">
      <w:pPr>
        <w:widowControl w:val="0"/>
        <w:autoSpaceDE w:val="0"/>
        <w:autoSpaceDN w:val="0"/>
        <w:adjustRightInd w:val="0"/>
        <w:spacing w:before="100" w:after="100" w:line="480" w:lineRule="auto"/>
        <w:rPr>
          <w:rFonts w:asciiTheme="minorBidi" w:hAnsiTheme="minorBidi"/>
          <w:lang w:val="en-US"/>
        </w:rPr>
      </w:pPr>
    </w:p>
    <w:p w14:paraId="141E76F9" w14:textId="77777777" w:rsidR="00190419" w:rsidRDefault="00190419" w:rsidP="009D5F80">
      <w:pPr>
        <w:widowControl w:val="0"/>
        <w:autoSpaceDE w:val="0"/>
        <w:autoSpaceDN w:val="0"/>
        <w:bidi/>
        <w:adjustRightInd w:val="0"/>
        <w:spacing w:before="100" w:after="100" w:line="480" w:lineRule="auto"/>
        <w:rPr>
          <w:rFonts w:asciiTheme="minorBidi" w:hAnsiTheme="minorBidi"/>
          <w:rtl/>
          <w:lang w:val="en-US"/>
        </w:rPr>
      </w:pPr>
    </w:p>
    <w:p w14:paraId="241A77A5" w14:textId="77777777" w:rsidR="007D2E98" w:rsidRPr="00B82238" w:rsidRDefault="007D2E98" w:rsidP="007D2E98">
      <w:pPr>
        <w:pStyle w:val="DissnormText"/>
        <w:spacing w:line="480" w:lineRule="auto"/>
        <w:contextualSpacing/>
        <w:rPr>
          <w:rFonts w:asciiTheme="minorBidi" w:eastAsia="Arial" w:hAnsiTheme="minorBidi" w:cstheme="minorBidi"/>
          <w:sz w:val="24"/>
          <w:lang w:val="en-US"/>
        </w:rPr>
      </w:pPr>
      <w:r w:rsidRPr="00B81F2B">
        <w:rPr>
          <w:rFonts w:asciiTheme="minorBidi" w:hAnsiTheme="minorBidi" w:cstheme="minorBidi"/>
          <w:b/>
          <w:bCs/>
        </w:rPr>
        <w:lastRenderedPageBreak/>
        <w:t>Table 1</w:t>
      </w:r>
      <w:r w:rsidRPr="00B81F2B">
        <w:rPr>
          <w:rFonts w:asciiTheme="minorBidi" w:hAnsiTheme="minorBidi" w:cstheme="minorBidi"/>
        </w:rPr>
        <w:t>: Baseline characteristics of participants</w:t>
      </w:r>
    </w:p>
    <w:tbl>
      <w:tblPr>
        <w:tblStyle w:val="TableGrid"/>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1554"/>
        <w:gridCol w:w="1568"/>
        <w:gridCol w:w="2171"/>
        <w:gridCol w:w="1635"/>
      </w:tblGrid>
      <w:tr w:rsidR="007D2E98" w:rsidRPr="00B81F2B" w14:paraId="3F531C6A" w14:textId="77777777" w:rsidTr="00190419">
        <w:trPr>
          <w:trHeight w:val="395"/>
        </w:trPr>
        <w:tc>
          <w:tcPr>
            <w:tcW w:w="3211" w:type="dxa"/>
            <w:tcBorders>
              <w:top w:val="single" w:sz="4" w:space="0" w:color="auto"/>
              <w:bottom w:val="single" w:sz="4" w:space="0" w:color="auto"/>
            </w:tcBorders>
            <w:hideMark/>
          </w:tcPr>
          <w:p w14:paraId="266CAC17" w14:textId="77777777" w:rsidR="007D2E98" w:rsidRPr="00C66A36" w:rsidRDefault="007D2E98" w:rsidP="00190419">
            <w:pPr>
              <w:spacing w:line="276" w:lineRule="auto"/>
              <w:contextualSpacing/>
              <w:jc w:val="center"/>
              <w:rPr>
                <w:rFonts w:asciiTheme="minorBidi" w:hAnsiTheme="minorBidi"/>
                <w:lang w:val="en-US"/>
              </w:rPr>
            </w:pPr>
          </w:p>
        </w:tc>
        <w:tc>
          <w:tcPr>
            <w:tcW w:w="1554" w:type="dxa"/>
            <w:tcBorders>
              <w:top w:val="single" w:sz="4" w:space="0" w:color="auto"/>
              <w:bottom w:val="single" w:sz="4" w:space="0" w:color="auto"/>
            </w:tcBorders>
            <w:hideMark/>
          </w:tcPr>
          <w:p w14:paraId="3212BC35"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b/>
                <w:bCs/>
              </w:rPr>
              <w:t>Entire</w:t>
            </w:r>
          </w:p>
          <w:p w14:paraId="13CB0C8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b/>
                <w:bCs/>
              </w:rPr>
              <w:t>(n=120)</w:t>
            </w:r>
          </w:p>
        </w:tc>
        <w:tc>
          <w:tcPr>
            <w:tcW w:w="1568" w:type="dxa"/>
            <w:tcBorders>
              <w:top w:val="single" w:sz="4" w:space="0" w:color="auto"/>
              <w:bottom w:val="single" w:sz="4" w:space="0" w:color="auto"/>
            </w:tcBorders>
            <w:hideMark/>
          </w:tcPr>
          <w:p w14:paraId="6FAC779F"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b/>
                <w:bCs/>
              </w:rPr>
              <w:t>Low-Fat</w:t>
            </w:r>
          </w:p>
          <w:p w14:paraId="46761422"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b/>
                <w:bCs/>
              </w:rPr>
              <w:t>(n=60)</w:t>
            </w:r>
          </w:p>
        </w:tc>
        <w:tc>
          <w:tcPr>
            <w:tcW w:w="2171" w:type="dxa"/>
            <w:tcBorders>
              <w:top w:val="single" w:sz="4" w:space="0" w:color="auto"/>
              <w:bottom w:val="single" w:sz="4" w:space="0" w:color="auto"/>
            </w:tcBorders>
            <w:hideMark/>
          </w:tcPr>
          <w:p w14:paraId="3AEF427B"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b/>
                <w:bCs/>
              </w:rPr>
              <w:t>Mediterranean/ Low carb (n=60)</w:t>
            </w:r>
          </w:p>
        </w:tc>
        <w:tc>
          <w:tcPr>
            <w:tcW w:w="1635" w:type="dxa"/>
            <w:tcBorders>
              <w:top w:val="single" w:sz="4" w:space="0" w:color="auto"/>
              <w:bottom w:val="single" w:sz="4" w:space="0" w:color="auto"/>
            </w:tcBorders>
            <w:hideMark/>
          </w:tcPr>
          <w:p w14:paraId="07D63244" w14:textId="53FFBB93" w:rsidR="007D2E98" w:rsidRPr="00F47C01" w:rsidRDefault="007D2E98" w:rsidP="00F47C01">
            <w:pPr>
              <w:rPr>
                <w:rFonts w:asciiTheme="minorHAnsi" w:hAnsiTheme="minorHAnsi"/>
                <w:sz w:val="22"/>
                <w:szCs w:val="22"/>
              </w:rPr>
            </w:pPr>
            <w:r w:rsidRPr="00B81F2B">
              <w:rPr>
                <w:rFonts w:asciiTheme="minorBidi" w:hAnsiTheme="minorBidi"/>
                <w:b/>
                <w:bCs/>
              </w:rPr>
              <w:t>p between groups</w:t>
            </w:r>
            <w:r w:rsidR="00F47C01">
              <w:rPr>
                <w:rFonts w:ascii="Arial" w:hAnsi="Arial" w:cs="Arial"/>
                <w:color w:val="1C1D1E"/>
                <w:sz w:val="21"/>
                <w:szCs w:val="21"/>
                <w:shd w:val="clear" w:color="auto" w:fill="FFFFFF"/>
              </w:rPr>
              <w:t xml:space="preserve"> </w:t>
            </w:r>
            <w:r w:rsidR="00F47C01" w:rsidRPr="00F47C01">
              <w:rPr>
                <w:rFonts w:ascii="Arial" w:hAnsi="Arial" w:cs="Arial"/>
                <w:color w:val="1C1D1E"/>
                <w:sz w:val="21"/>
                <w:szCs w:val="21"/>
                <w:shd w:val="clear" w:color="auto" w:fill="FFFFFF"/>
                <w:vertAlign w:val="superscript"/>
              </w:rPr>
              <w:t>†</w:t>
            </w:r>
          </w:p>
        </w:tc>
      </w:tr>
      <w:tr w:rsidR="007D2E98" w:rsidRPr="00B81F2B" w14:paraId="390DB84A" w14:textId="77777777" w:rsidTr="00190419">
        <w:trPr>
          <w:trHeight w:val="215"/>
        </w:trPr>
        <w:tc>
          <w:tcPr>
            <w:tcW w:w="3211" w:type="dxa"/>
            <w:tcBorders>
              <w:top w:val="single" w:sz="4" w:space="0" w:color="auto"/>
            </w:tcBorders>
          </w:tcPr>
          <w:p w14:paraId="7275F3CF" w14:textId="77777777" w:rsidR="007D2E98" w:rsidRPr="00B81F2B" w:rsidRDefault="007D2E98" w:rsidP="00190419">
            <w:pPr>
              <w:spacing w:line="276" w:lineRule="auto"/>
              <w:contextualSpacing/>
              <w:rPr>
                <w:rFonts w:asciiTheme="minorBidi" w:hAnsiTheme="minorBidi"/>
                <w:b/>
                <w:bCs/>
                <w:lang w:val="en-US"/>
              </w:rPr>
            </w:pPr>
            <w:r w:rsidRPr="00B81F2B">
              <w:rPr>
                <w:rFonts w:asciiTheme="minorBidi" w:hAnsiTheme="minorBidi"/>
                <w:b/>
                <w:bCs/>
                <w:lang w:val="en-US"/>
              </w:rPr>
              <w:t>Liver fat</w:t>
            </w:r>
          </w:p>
        </w:tc>
        <w:tc>
          <w:tcPr>
            <w:tcW w:w="1554" w:type="dxa"/>
            <w:tcBorders>
              <w:top w:val="single" w:sz="4" w:space="0" w:color="auto"/>
            </w:tcBorders>
          </w:tcPr>
          <w:p w14:paraId="32173C38" w14:textId="77777777" w:rsidR="007D2E98" w:rsidRPr="00B81F2B" w:rsidRDefault="007D2E98" w:rsidP="00190419">
            <w:pPr>
              <w:spacing w:line="276" w:lineRule="auto"/>
              <w:contextualSpacing/>
              <w:jc w:val="center"/>
              <w:rPr>
                <w:rFonts w:asciiTheme="minorBidi" w:hAnsiTheme="minorBidi"/>
                <w:lang w:val="en-US"/>
              </w:rPr>
            </w:pPr>
          </w:p>
        </w:tc>
        <w:tc>
          <w:tcPr>
            <w:tcW w:w="1568" w:type="dxa"/>
            <w:tcBorders>
              <w:top w:val="single" w:sz="4" w:space="0" w:color="auto"/>
            </w:tcBorders>
          </w:tcPr>
          <w:p w14:paraId="406DF919" w14:textId="77777777" w:rsidR="007D2E98" w:rsidRPr="00B81F2B" w:rsidRDefault="007D2E98" w:rsidP="00190419">
            <w:pPr>
              <w:spacing w:line="276" w:lineRule="auto"/>
              <w:contextualSpacing/>
              <w:jc w:val="center"/>
              <w:rPr>
                <w:rFonts w:asciiTheme="minorBidi" w:hAnsiTheme="minorBidi"/>
                <w:lang w:val="en-US"/>
              </w:rPr>
            </w:pPr>
          </w:p>
        </w:tc>
        <w:tc>
          <w:tcPr>
            <w:tcW w:w="2171" w:type="dxa"/>
            <w:tcBorders>
              <w:top w:val="single" w:sz="4" w:space="0" w:color="auto"/>
            </w:tcBorders>
          </w:tcPr>
          <w:p w14:paraId="55FA1C3B" w14:textId="77777777" w:rsidR="007D2E98" w:rsidRPr="00B81F2B" w:rsidRDefault="007D2E98" w:rsidP="00190419">
            <w:pPr>
              <w:spacing w:line="276" w:lineRule="auto"/>
              <w:contextualSpacing/>
              <w:jc w:val="center"/>
              <w:rPr>
                <w:rFonts w:asciiTheme="minorBidi" w:hAnsiTheme="minorBidi"/>
                <w:lang w:val="en-US"/>
              </w:rPr>
            </w:pPr>
          </w:p>
        </w:tc>
        <w:tc>
          <w:tcPr>
            <w:tcW w:w="1635" w:type="dxa"/>
            <w:tcBorders>
              <w:top w:val="single" w:sz="4" w:space="0" w:color="auto"/>
            </w:tcBorders>
          </w:tcPr>
          <w:p w14:paraId="7719EFB4" w14:textId="77777777" w:rsidR="007D2E98" w:rsidRPr="00B81F2B" w:rsidRDefault="007D2E98" w:rsidP="00190419">
            <w:pPr>
              <w:spacing w:line="276" w:lineRule="auto"/>
              <w:contextualSpacing/>
              <w:jc w:val="center"/>
              <w:rPr>
                <w:rFonts w:asciiTheme="minorBidi" w:hAnsiTheme="minorBidi"/>
                <w:lang w:val="en-US"/>
              </w:rPr>
            </w:pPr>
          </w:p>
        </w:tc>
      </w:tr>
      <w:tr w:rsidR="007D2E98" w:rsidRPr="00B81F2B" w14:paraId="1468193C" w14:textId="77777777" w:rsidTr="00190419">
        <w:trPr>
          <w:trHeight w:val="215"/>
        </w:trPr>
        <w:tc>
          <w:tcPr>
            <w:tcW w:w="3211" w:type="dxa"/>
            <w:hideMark/>
          </w:tcPr>
          <w:p w14:paraId="5E63B7F0" w14:textId="4C4AA694" w:rsidR="007D2E98" w:rsidRPr="00F47C01" w:rsidRDefault="007D2E98" w:rsidP="00F47C01">
            <w:r w:rsidRPr="00B81F2B">
              <w:rPr>
                <w:rFonts w:asciiTheme="minorBidi" w:hAnsiTheme="minorBidi"/>
                <w:lang w:val="en-US"/>
              </w:rPr>
              <w:t>I</w:t>
            </w:r>
            <w:r>
              <w:rPr>
                <w:rFonts w:asciiTheme="minorBidi" w:hAnsiTheme="minorBidi"/>
                <w:lang w:val="en-US"/>
              </w:rPr>
              <w:t>ntrahepatic fat</w:t>
            </w:r>
            <w:r w:rsidRPr="00B81F2B">
              <w:rPr>
                <w:rFonts w:asciiTheme="minorBidi" w:hAnsiTheme="minorBidi"/>
                <w:lang w:val="en-US"/>
              </w:rPr>
              <w:t>, %</w:t>
            </w:r>
            <w:r w:rsidR="00F47C01" w:rsidRPr="00F47C01">
              <w:rPr>
                <w:rFonts w:ascii="Arial" w:hAnsi="Arial" w:cs="Arial"/>
                <w:color w:val="1C1D1E"/>
                <w:sz w:val="21"/>
                <w:szCs w:val="21"/>
                <w:shd w:val="clear" w:color="auto" w:fill="FFFFFF"/>
                <w:vertAlign w:val="superscript"/>
              </w:rPr>
              <w:t>‡</w:t>
            </w:r>
          </w:p>
        </w:tc>
        <w:tc>
          <w:tcPr>
            <w:tcW w:w="1554" w:type="dxa"/>
            <w:hideMark/>
          </w:tcPr>
          <w:p w14:paraId="32944FD9"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lang w:val="en-US"/>
              </w:rPr>
              <w:t>10.7±10.6</w:t>
            </w:r>
          </w:p>
        </w:tc>
        <w:tc>
          <w:tcPr>
            <w:tcW w:w="1568" w:type="dxa"/>
            <w:hideMark/>
          </w:tcPr>
          <w:p w14:paraId="7EC8139E"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lang w:val="en-US"/>
              </w:rPr>
              <w:t>10.7±9.7</w:t>
            </w:r>
          </w:p>
        </w:tc>
        <w:tc>
          <w:tcPr>
            <w:tcW w:w="2171" w:type="dxa"/>
            <w:hideMark/>
          </w:tcPr>
          <w:p w14:paraId="5CA581CB"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lang w:val="en-US"/>
              </w:rPr>
              <w:t>10.8±11.5</w:t>
            </w:r>
          </w:p>
        </w:tc>
        <w:tc>
          <w:tcPr>
            <w:tcW w:w="1635" w:type="dxa"/>
            <w:hideMark/>
          </w:tcPr>
          <w:p w14:paraId="54712A1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lang w:val="en-US"/>
              </w:rPr>
              <w:t>0.96</w:t>
            </w:r>
          </w:p>
        </w:tc>
      </w:tr>
      <w:tr w:rsidR="007D2E98" w:rsidRPr="00B81F2B" w14:paraId="5403DA18" w14:textId="77777777" w:rsidTr="00190419">
        <w:trPr>
          <w:trHeight w:val="215"/>
        </w:trPr>
        <w:tc>
          <w:tcPr>
            <w:tcW w:w="3211" w:type="dxa"/>
            <w:tcBorders>
              <w:bottom w:val="single" w:sz="4" w:space="0" w:color="auto"/>
            </w:tcBorders>
          </w:tcPr>
          <w:p w14:paraId="789CCFB6" w14:textId="77777777" w:rsidR="007D2E98" w:rsidRPr="00B81F2B" w:rsidRDefault="007D2E98" w:rsidP="00190419">
            <w:pPr>
              <w:spacing w:line="276" w:lineRule="auto"/>
              <w:contextualSpacing/>
              <w:rPr>
                <w:rFonts w:asciiTheme="minorBidi" w:hAnsiTheme="minorBidi"/>
                <w:lang w:val="en-US"/>
              </w:rPr>
            </w:pPr>
            <w:r w:rsidRPr="00B81F2B">
              <w:rPr>
                <w:rFonts w:asciiTheme="minorBidi" w:hAnsiTheme="minorBidi"/>
                <w:lang w:val="en-US"/>
              </w:rPr>
              <w:t>Fatty liver status %NAFLD</w:t>
            </w:r>
          </w:p>
        </w:tc>
        <w:tc>
          <w:tcPr>
            <w:tcW w:w="1554" w:type="dxa"/>
            <w:tcBorders>
              <w:bottom w:val="single" w:sz="4" w:space="0" w:color="auto"/>
            </w:tcBorders>
          </w:tcPr>
          <w:p w14:paraId="32D96CCF" w14:textId="77777777" w:rsidR="007D2E98" w:rsidRPr="00B81F2B" w:rsidRDefault="007D2E98" w:rsidP="00190419">
            <w:pPr>
              <w:spacing w:line="276" w:lineRule="auto"/>
              <w:contextualSpacing/>
              <w:jc w:val="center"/>
              <w:rPr>
                <w:rFonts w:asciiTheme="minorBidi" w:hAnsiTheme="minorBidi"/>
                <w:lang w:val="en-US"/>
              </w:rPr>
            </w:pPr>
            <w:r w:rsidRPr="00B81F2B">
              <w:rPr>
                <w:rFonts w:asciiTheme="minorBidi" w:hAnsiTheme="minorBidi"/>
                <w:lang w:val="en-US"/>
              </w:rPr>
              <w:t>58.8</w:t>
            </w:r>
          </w:p>
        </w:tc>
        <w:tc>
          <w:tcPr>
            <w:tcW w:w="1568" w:type="dxa"/>
            <w:tcBorders>
              <w:bottom w:val="single" w:sz="4" w:space="0" w:color="auto"/>
            </w:tcBorders>
          </w:tcPr>
          <w:p w14:paraId="5A30060F" w14:textId="77777777" w:rsidR="007D2E98" w:rsidRPr="00B81F2B" w:rsidRDefault="007D2E98" w:rsidP="00190419">
            <w:pPr>
              <w:spacing w:line="276" w:lineRule="auto"/>
              <w:contextualSpacing/>
              <w:jc w:val="center"/>
              <w:rPr>
                <w:rFonts w:asciiTheme="minorBidi" w:hAnsiTheme="minorBidi"/>
                <w:lang w:val="en-US"/>
              </w:rPr>
            </w:pPr>
            <w:r w:rsidRPr="00B81F2B">
              <w:rPr>
                <w:rFonts w:asciiTheme="minorBidi" w:hAnsiTheme="minorBidi"/>
                <w:lang w:val="en-US"/>
              </w:rPr>
              <w:t>64.4</w:t>
            </w:r>
          </w:p>
        </w:tc>
        <w:tc>
          <w:tcPr>
            <w:tcW w:w="2171" w:type="dxa"/>
            <w:tcBorders>
              <w:bottom w:val="single" w:sz="4" w:space="0" w:color="auto"/>
            </w:tcBorders>
          </w:tcPr>
          <w:p w14:paraId="7F654483" w14:textId="77777777" w:rsidR="007D2E98" w:rsidRPr="00B81F2B" w:rsidRDefault="007D2E98" w:rsidP="00190419">
            <w:pPr>
              <w:spacing w:line="276" w:lineRule="auto"/>
              <w:contextualSpacing/>
              <w:jc w:val="center"/>
              <w:rPr>
                <w:rFonts w:asciiTheme="minorBidi" w:hAnsiTheme="minorBidi"/>
                <w:lang w:val="en-US"/>
              </w:rPr>
            </w:pPr>
            <w:r w:rsidRPr="00B81F2B">
              <w:rPr>
                <w:rFonts w:asciiTheme="minorBidi" w:hAnsiTheme="minorBidi"/>
                <w:lang w:val="en-US"/>
              </w:rPr>
              <w:t>53.3</w:t>
            </w:r>
          </w:p>
        </w:tc>
        <w:tc>
          <w:tcPr>
            <w:tcW w:w="1635" w:type="dxa"/>
            <w:tcBorders>
              <w:bottom w:val="single" w:sz="4" w:space="0" w:color="auto"/>
            </w:tcBorders>
          </w:tcPr>
          <w:p w14:paraId="6B025856" w14:textId="77777777" w:rsidR="007D2E98" w:rsidRPr="00B81F2B" w:rsidRDefault="007D2E98" w:rsidP="00190419">
            <w:pPr>
              <w:spacing w:line="276" w:lineRule="auto"/>
              <w:contextualSpacing/>
              <w:jc w:val="center"/>
              <w:rPr>
                <w:rFonts w:asciiTheme="minorBidi" w:hAnsiTheme="minorBidi"/>
                <w:lang w:val="en-US"/>
              </w:rPr>
            </w:pPr>
            <w:r w:rsidRPr="00B81F2B">
              <w:rPr>
                <w:rFonts w:asciiTheme="minorBidi" w:hAnsiTheme="minorBidi"/>
                <w:lang w:val="en-US"/>
              </w:rPr>
              <w:t>0.22</w:t>
            </w:r>
          </w:p>
        </w:tc>
      </w:tr>
      <w:tr w:rsidR="007D2E98" w:rsidRPr="00B81F2B" w14:paraId="7DAAD680" w14:textId="77777777" w:rsidTr="00190419">
        <w:trPr>
          <w:trHeight w:val="197"/>
        </w:trPr>
        <w:tc>
          <w:tcPr>
            <w:tcW w:w="3211" w:type="dxa"/>
            <w:hideMark/>
          </w:tcPr>
          <w:p w14:paraId="32D2B87D"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Male gender, n. (%)</w:t>
            </w:r>
          </w:p>
        </w:tc>
        <w:tc>
          <w:tcPr>
            <w:tcW w:w="1554" w:type="dxa"/>
            <w:hideMark/>
          </w:tcPr>
          <w:p w14:paraId="58FC713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110 (92)</w:t>
            </w:r>
          </w:p>
        </w:tc>
        <w:tc>
          <w:tcPr>
            <w:tcW w:w="1568" w:type="dxa"/>
            <w:hideMark/>
          </w:tcPr>
          <w:p w14:paraId="67905B11"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54 (90)</w:t>
            </w:r>
          </w:p>
        </w:tc>
        <w:tc>
          <w:tcPr>
            <w:tcW w:w="2171" w:type="dxa"/>
            <w:hideMark/>
          </w:tcPr>
          <w:p w14:paraId="28028055"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56 (93)</w:t>
            </w:r>
          </w:p>
        </w:tc>
        <w:tc>
          <w:tcPr>
            <w:tcW w:w="1635" w:type="dxa"/>
            <w:hideMark/>
          </w:tcPr>
          <w:p w14:paraId="0301F89A"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0.51</w:t>
            </w:r>
          </w:p>
        </w:tc>
      </w:tr>
      <w:tr w:rsidR="007D2E98" w:rsidRPr="00B81F2B" w14:paraId="26666D91" w14:textId="77777777" w:rsidTr="00190419">
        <w:trPr>
          <w:trHeight w:val="197"/>
        </w:trPr>
        <w:tc>
          <w:tcPr>
            <w:tcW w:w="3211" w:type="dxa"/>
            <w:hideMark/>
          </w:tcPr>
          <w:p w14:paraId="1DF3F34D"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Age, years</w:t>
            </w:r>
          </w:p>
        </w:tc>
        <w:tc>
          <w:tcPr>
            <w:tcW w:w="1554" w:type="dxa"/>
            <w:hideMark/>
          </w:tcPr>
          <w:p w14:paraId="32C992B0"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48.6±9.3</w:t>
            </w:r>
          </w:p>
        </w:tc>
        <w:tc>
          <w:tcPr>
            <w:tcW w:w="1568" w:type="dxa"/>
            <w:hideMark/>
          </w:tcPr>
          <w:p w14:paraId="7A0D28E0"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48.9±9.8</w:t>
            </w:r>
          </w:p>
        </w:tc>
        <w:tc>
          <w:tcPr>
            <w:tcW w:w="2171" w:type="dxa"/>
            <w:hideMark/>
          </w:tcPr>
          <w:p w14:paraId="65E6096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48.2±8.8</w:t>
            </w:r>
          </w:p>
        </w:tc>
        <w:tc>
          <w:tcPr>
            <w:tcW w:w="1635" w:type="dxa"/>
            <w:hideMark/>
          </w:tcPr>
          <w:p w14:paraId="45033072"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0.70</w:t>
            </w:r>
          </w:p>
        </w:tc>
      </w:tr>
      <w:tr w:rsidR="007D2E98" w:rsidRPr="00B81F2B" w14:paraId="36778318" w14:textId="77777777" w:rsidTr="00190419">
        <w:trPr>
          <w:trHeight w:val="197"/>
        </w:trPr>
        <w:tc>
          <w:tcPr>
            <w:tcW w:w="3211" w:type="dxa"/>
            <w:hideMark/>
          </w:tcPr>
          <w:p w14:paraId="42861996" w14:textId="77777777" w:rsidR="007D2E98" w:rsidRPr="00B81F2B" w:rsidRDefault="007D2E98" w:rsidP="00190419">
            <w:pPr>
              <w:spacing w:line="276" w:lineRule="auto"/>
              <w:contextualSpacing/>
              <w:rPr>
                <w:rFonts w:asciiTheme="minorBidi" w:hAnsiTheme="minorBidi"/>
              </w:rPr>
            </w:pPr>
            <w:r>
              <w:rPr>
                <w:rFonts w:asciiTheme="minorBidi" w:hAnsiTheme="minorBidi"/>
              </w:rPr>
              <w:t>Body mass index</w:t>
            </w:r>
            <w:r w:rsidRPr="00B81F2B">
              <w:rPr>
                <w:rFonts w:asciiTheme="minorBidi" w:hAnsiTheme="minorBidi"/>
              </w:rPr>
              <w:t>, kg/m2</w:t>
            </w:r>
          </w:p>
        </w:tc>
        <w:tc>
          <w:tcPr>
            <w:tcW w:w="1554" w:type="dxa"/>
            <w:hideMark/>
          </w:tcPr>
          <w:p w14:paraId="2D905507"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30.2±3.3</w:t>
            </w:r>
          </w:p>
        </w:tc>
        <w:tc>
          <w:tcPr>
            <w:tcW w:w="1568" w:type="dxa"/>
            <w:hideMark/>
          </w:tcPr>
          <w:p w14:paraId="151AB69A"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30.2±2.9</w:t>
            </w:r>
          </w:p>
        </w:tc>
        <w:tc>
          <w:tcPr>
            <w:tcW w:w="2171" w:type="dxa"/>
            <w:hideMark/>
          </w:tcPr>
          <w:p w14:paraId="3CDBE93E"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30.1±3.7</w:t>
            </w:r>
          </w:p>
        </w:tc>
        <w:tc>
          <w:tcPr>
            <w:tcW w:w="1635" w:type="dxa"/>
            <w:hideMark/>
          </w:tcPr>
          <w:p w14:paraId="5B8FCB4F" w14:textId="77777777" w:rsidR="007D2E98" w:rsidRPr="00B81F2B" w:rsidRDefault="007D2E98" w:rsidP="00190419">
            <w:pPr>
              <w:spacing w:line="276" w:lineRule="auto"/>
              <w:contextualSpacing/>
              <w:jc w:val="center"/>
              <w:rPr>
                <w:rFonts w:asciiTheme="minorBidi" w:hAnsiTheme="minorBidi"/>
                <w:b/>
                <w:bCs/>
                <w:i/>
                <w:iCs/>
              </w:rPr>
            </w:pPr>
            <w:r w:rsidRPr="00B81F2B">
              <w:rPr>
                <w:rFonts w:asciiTheme="minorBidi" w:hAnsiTheme="minorBidi"/>
              </w:rPr>
              <w:t>0.85</w:t>
            </w:r>
          </w:p>
        </w:tc>
      </w:tr>
      <w:tr w:rsidR="007D2E98" w:rsidRPr="00B81F2B" w14:paraId="6EF6F508" w14:textId="77777777" w:rsidTr="00190419">
        <w:trPr>
          <w:trHeight w:val="247"/>
        </w:trPr>
        <w:tc>
          <w:tcPr>
            <w:tcW w:w="3211" w:type="dxa"/>
            <w:hideMark/>
          </w:tcPr>
          <w:p w14:paraId="21ED110E"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Waist circumference, cm</w:t>
            </w:r>
          </w:p>
        </w:tc>
        <w:tc>
          <w:tcPr>
            <w:tcW w:w="1554" w:type="dxa"/>
            <w:hideMark/>
          </w:tcPr>
          <w:p w14:paraId="1EB3F7B1"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106.7±8.1</w:t>
            </w:r>
          </w:p>
        </w:tc>
        <w:tc>
          <w:tcPr>
            <w:tcW w:w="1568" w:type="dxa"/>
            <w:hideMark/>
          </w:tcPr>
          <w:p w14:paraId="7931FE37"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106.1±6.8</w:t>
            </w:r>
          </w:p>
        </w:tc>
        <w:tc>
          <w:tcPr>
            <w:tcW w:w="2171" w:type="dxa"/>
            <w:hideMark/>
          </w:tcPr>
          <w:p w14:paraId="0DF277AC"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107.3±9.2</w:t>
            </w:r>
          </w:p>
        </w:tc>
        <w:tc>
          <w:tcPr>
            <w:tcW w:w="1635" w:type="dxa"/>
            <w:hideMark/>
          </w:tcPr>
          <w:p w14:paraId="29E5C65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0.42</w:t>
            </w:r>
          </w:p>
        </w:tc>
      </w:tr>
      <w:tr w:rsidR="007D2E98" w:rsidRPr="00B81F2B" w14:paraId="1A785CFD" w14:textId="77777777" w:rsidTr="00190419">
        <w:trPr>
          <w:trHeight w:val="247"/>
        </w:trPr>
        <w:tc>
          <w:tcPr>
            <w:tcW w:w="3211" w:type="dxa"/>
          </w:tcPr>
          <w:p w14:paraId="132336A9"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Smokers (current), %</w:t>
            </w:r>
          </w:p>
        </w:tc>
        <w:tc>
          <w:tcPr>
            <w:tcW w:w="1554" w:type="dxa"/>
          </w:tcPr>
          <w:p w14:paraId="48F4A385"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14</w:t>
            </w:r>
          </w:p>
        </w:tc>
        <w:tc>
          <w:tcPr>
            <w:tcW w:w="1568" w:type="dxa"/>
          </w:tcPr>
          <w:p w14:paraId="6C321302"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15</w:t>
            </w:r>
          </w:p>
        </w:tc>
        <w:tc>
          <w:tcPr>
            <w:tcW w:w="2171" w:type="dxa"/>
          </w:tcPr>
          <w:p w14:paraId="581030EE"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13.3</w:t>
            </w:r>
          </w:p>
        </w:tc>
        <w:tc>
          <w:tcPr>
            <w:tcW w:w="1635" w:type="dxa"/>
          </w:tcPr>
          <w:p w14:paraId="00320863"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0.75</w:t>
            </w:r>
          </w:p>
        </w:tc>
      </w:tr>
      <w:tr w:rsidR="007D2E98" w:rsidRPr="00B81F2B" w14:paraId="2AE0ED98" w14:textId="77777777" w:rsidTr="00190419">
        <w:trPr>
          <w:trHeight w:val="247"/>
        </w:trPr>
        <w:tc>
          <w:tcPr>
            <w:tcW w:w="3211" w:type="dxa"/>
          </w:tcPr>
          <w:p w14:paraId="16941108"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Type 2 diabetes, %</w:t>
            </w:r>
          </w:p>
        </w:tc>
        <w:tc>
          <w:tcPr>
            <w:tcW w:w="1554" w:type="dxa"/>
          </w:tcPr>
          <w:p w14:paraId="495E2DD0"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w:t>
            </w:r>
          </w:p>
        </w:tc>
        <w:tc>
          <w:tcPr>
            <w:tcW w:w="1568" w:type="dxa"/>
          </w:tcPr>
          <w:p w14:paraId="3D1062A7"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7</w:t>
            </w:r>
          </w:p>
        </w:tc>
        <w:tc>
          <w:tcPr>
            <w:tcW w:w="2171" w:type="dxa"/>
          </w:tcPr>
          <w:p w14:paraId="38A587C5"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13</w:t>
            </w:r>
          </w:p>
        </w:tc>
        <w:tc>
          <w:tcPr>
            <w:tcW w:w="1635" w:type="dxa"/>
          </w:tcPr>
          <w:p w14:paraId="41566802"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0.22</w:t>
            </w:r>
          </w:p>
        </w:tc>
      </w:tr>
      <w:tr w:rsidR="007D2E98" w:rsidRPr="00B81F2B" w14:paraId="5AE76279" w14:textId="77777777" w:rsidTr="00190419">
        <w:trPr>
          <w:trHeight w:val="247"/>
        </w:trPr>
        <w:tc>
          <w:tcPr>
            <w:tcW w:w="3211" w:type="dxa"/>
          </w:tcPr>
          <w:p w14:paraId="1207A408" w14:textId="42D9FADD" w:rsidR="007D2E98" w:rsidRPr="00F47C01" w:rsidRDefault="007D2E98" w:rsidP="00F47C01">
            <w:r w:rsidRPr="00B81F2B">
              <w:rPr>
                <w:rFonts w:asciiTheme="minorBidi" w:hAnsiTheme="minorBidi"/>
              </w:rPr>
              <w:t>Hypertension, %</w:t>
            </w:r>
            <w:r w:rsidR="00F47C01" w:rsidRPr="00F47C01">
              <w:rPr>
                <w:rFonts w:ascii="Arial" w:hAnsi="Arial" w:cs="Arial"/>
                <w:color w:val="1C1D1E"/>
                <w:sz w:val="21"/>
                <w:szCs w:val="21"/>
                <w:shd w:val="clear" w:color="auto" w:fill="FFFFFF"/>
                <w:vertAlign w:val="superscript"/>
              </w:rPr>
              <w:t>§</w:t>
            </w:r>
          </w:p>
        </w:tc>
        <w:tc>
          <w:tcPr>
            <w:tcW w:w="1554" w:type="dxa"/>
          </w:tcPr>
          <w:p w14:paraId="4A2C892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50</w:t>
            </w:r>
          </w:p>
        </w:tc>
        <w:tc>
          <w:tcPr>
            <w:tcW w:w="1568" w:type="dxa"/>
          </w:tcPr>
          <w:p w14:paraId="299619CC"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45</w:t>
            </w:r>
          </w:p>
        </w:tc>
        <w:tc>
          <w:tcPr>
            <w:tcW w:w="2171" w:type="dxa"/>
          </w:tcPr>
          <w:p w14:paraId="7E687A47"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55</w:t>
            </w:r>
          </w:p>
        </w:tc>
        <w:tc>
          <w:tcPr>
            <w:tcW w:w="1635" w:type="dxa"/>
          </w:tcPr>
          <w:p w14:paraId="0927E77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0.27</w:t>
            </w:r>
          </w:p>
        </w:tc>
      </w:tr>
      <w:tr w:rsidR="007D2E98" w:rsidRPr="00B81F2B" w14:paraId="62211199" w14:textId="77777777" w:rsidTr="00190419">
        <w:trPr>
          <w:trHeight w:val="197"/>
        </w:trPr>
        <w:tc>
          <w:tcPr>
            <w:tcW w:w="3211" w:type="dxa"/>
            <w:tcBorders>
              <w:top w:val="single" w:sz="4" w:space="0" w:color="auto"/>
            </w:tcBorders>
            <w:hideMark/>
          </w:tcPr>
          <w:p w14:paraId="79B9962B"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Systolic BP, mmHg</w:t>
            </w:r>
          </w:p>
        </w:tc>
        <w:tc>
          <w:tcPr>
            <w:tcW w:w="1554" w:type="dxa"/>
            <w:tcBorders>
              <w:top w:val="single" w:sz="4" w:space="0" w:color="auto"/>
            </w:tcBorders>
            <w:hideMark/>
          </w:tcPr>
          <w:p w14:paraId="5FC2E422"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125±16</w:t>
            </w:r>
          </w:p>
        </w:tc>
        <w:tc>
          <w:tcPr>
            <w:tcW w:w="1568" w:type="dxa"/>
            <w:tcBorders>
              <w:top w:val="single" w:sz="4" w:space="0" w:color="auto"/>
            </w:tcBorders>
            <w:hideMark/>
          </w:tcPr>
          <w:p w14:paraId="52B6D793"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124±15</w:t>
            </w:r>
          </w:p>
        </w:tc>
        <w:tc>
          <w:tcPr>
            <w:tcW w:w="2171" w:type="dxa"/>
            <w:tcBorders>
              <w:top w:val="single" w:sz="4" w:space="0" w:color="auto"/>
            </w:tcBorders>
            <w:hideMark/>
          </w:tcPr>
          <w:p w14:paraId="4B78F97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125±18</w:t>
            </w:r>
          </w:p>
        </w:tc>
        <w:tc>
          <w:tcPr>
            <w:tcW w:w="1635" w:type="dxa"/>
            <w:tcBorders>
              <w:top w:val="single" w:sz="4" w:space="0" w:color="auto"/>
            </w:tcBorders>
            <w:hideMark/>
          </w:tcPr>
          <w:p w14:paraId="7B074CFA"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0.63</w:t>
            </w:r>
          </w:p>
        </w:tc>
      </w:tr>
      <w:tr w:rsidR="007D2E98" w:rsidRPr="00B81F2B" w14:paraId="165CEACB" w14:textId="77777777" w:rsidTr="00190419">
        <w:trPr>
          <w:trHeight w:val="197"/>
        </w:trPr>
        <w:tc>
          <w:tcPr>
            <w:tcW w:w="3211" w:type="dxa"/>
            <w:tcBorders>
              <w:bottom w:val="single" w:sz="4" w:space="0" w:color="auto"/>
            </w:tcBorders>
            <w:hideMark/>
          </w:tcPr>
          <w:p w14:paraId="29AD014F"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Diastolic BP, mmHg</w:t>
            </w:r>
          </w:p>
        </w:tc>
        <w:tc>
          <w:tcPr>
            <w:tcW w:w="1554" w:type="dxa"/>
            <w:tcBorders>
              <w:bottom w:val="single" w:sz="4" w:space="0" w:color="auto"/>
            </w:tcBorders>
            <w:hideMark/>
          </w:tcPr>
          <w:p w14:paraId="6D180EA9"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80±11</w:t>
            </w:r>
          </w:p>
        </w:tc>
        <w:tc>
          <w:tcPr>
            <w:tcW w:w="1568" w:type="dxa"/>
            <w:tcBorders>
              <w:bottom w:val="single" w:sz="4" w:space="0" w:color="auto"/>
            </w:tcBorders>
            <w:hideMark/>
          </w:tcPr>
          <w:p w14:paraId="4EF756DD"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78±11</w:t>
            </w:r>
          </w:p>
        </w:tc>
        <w:tc>
          <w:tcPr>
            <w:tcW w:w="2171" w:type="dxa"/>
            <w:tcBorders>
              <w:bottom w:val="single" w:sz="4" w:space="0" w:color="auto"/>
            </w:tcBorders>
            <w:hideMark/>
          </w:tcPr>
          <w:p w14:paraId="01CC44AA"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81±11</w:t>
            </w:r>
          </w:p>
        </w:tc>
        <w:tc>
          <w:tcPr>
            <w:tcW w:w="1635" w:type="dxa"/>
            <w:tcBorders>
              <w:bottom w:val="single" w:sz="4" w:space="0" w:color="auto"/>
            </w:tcBorders>
            <w:hideMark/>
          </w:tcPr>
          <w:p w14:paraId="1472E23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0.18</w:t>
            </w:r>
          </w:p>
        </w:tc>
      </w:tr>
      <w:tr w:rsidR="007D2E98" w:rsidRPr="00B81F2B" w14:paraId="574C2F9B" w14:textId="77777777" w:rsidTr="00190419">
        <w:trPr>
          <w:trHeight w:val="197"/>
        </w:trPr>
        <w:tc>
          <w:tcPr>
            <w:tcW w:w="3211" w:type="dxa"/>
            <w:hideMark/>
          </w:tcPr>
          <w:p w14:paraId="05A82892"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Cholesterol, mg/dL</w:t>
            </w:r>
          </w:p>
        </w:tc>
        <w:tc>
          <w:tcPr>
            <w:tcW w:w="1554" w:type="dxa"/>
            <w:hideMark/>
          </w:tcPr>
          <w:p w14:paraId="1F290CB5"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201.1±38.8</w:t>
            </w:r>
          </w:p>
        </w:tc>
        <w:tc>
          <w:tcPr>
            <w:tcW w:w="1568" w:type="dxa"/>
            <w:hideMark/>
          </w:tcPr>
          <w:p w14:paraId="04D940EB"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204.8±35.6</w:t>
            </w:r>
          </w:p>
        </w:tc>
        <w:tc>
          <w:tcPr>
            <w:tcW w:w="2171" w:type="dxa"/>
            <w:hideMark/>
          </w:tcPr>
          <w:p w14:paraId="1D9C1D9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199.4±41.8</w:t>
            </w:r>
          </w:p>
        </w:tc>
        <w:tc>
          <w:tcPr>
            <w:tcW w:w="1635" w:type="dxa"/>
            <w:hideMark/>
          </w:tcPr>
          <w:p w14:paraId="0927CF6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0.63</w:t>
            </w:r>
          </w:p>
        </w:tc>
      </w:tr>
      <w:tr w:rsidR="007D2E98" w:rsidRPr="00B81F2B" w14:paraId="259EECAF" w14:textId="77777777" w:rsidTr="00190419">
        <w:trPr>
          <w:trHeight w:val="197"/>
        </w:trPr>
        <w:tc>
          <w:tcPr>
            <w:tcW w:w="3211" w:type="dxa"/>
            <w:hideMark/>
          </w:tcPr>
          <w:p w14:paraId="20CB25F3"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LDL, mg/dL</w:t>
            </w:r>
          </w:p>
        </w:tc>
        <w:tc>
          <w:tcPr>
            <w:tcW w:w="1554" w:type="dxa"/>
            <w:hideMark/>
          </w:tcPr>
          <w:p w14:paraId="2C7BB08C"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122.6±33.2</w:t>
            </w:r>
          </w:p>
        </w:tc>
        <w:tc>
          <w:tcPr>
            <w:tcW w:w="1568" w:type="dxa"/>
            <w:hideMark/>
          </w:tcPr>
          <w:p w14:paraId="2030B97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123.7±31.9</w:t>
            </w:r>
          </w:p>
        </w:tc>
        <w:tc>
          <w:tcPr>
            <w:tcW w:w="2171" w:type="dxa"/>
            <w:hideMark/>
          </w:tcPr>
          <w:p w14:paraId="0847AC1A"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121.5±34.6</w:t>
            </w:r>
          </w:p>
        </w:tc>
        <w:tc>
          <w:tcPr>
            <w:tcW w:w="1635" w:type="dxa"/>
            <w:hideMark/>
          </w:tcPr>
          <w:p w14:paraId="40A218D1"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0.71</w:t>
            </w:r>
          </w:p>
        </w:tc>
      </w:tr>
      <w:tr w:rsidR="007D2E98" w:rsidRPr="00B81F2B" w14:paraId="2CDFD8C5" w14:textId="77777777" w:rsidTr="00190419">
        <w:trPr>
          <w:trHeight w:val="197"/>
        </w:trPr>
        <w:tc>
          <w:tcPr>
            <w:tcW w:w="3211" w:type="dxa"/>
            <w:hideMark/>
          </w:tcPr>
          <w:p w14:paraId="5CEAB87C"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HDL, mg/dL</w:t>
            </w:r>
          </w:p>
        </w:tc>
        <w:tc>
          <w:tcPr>
            <w:tcW w:w="1554" w:type="dxa"/>
            <w:hideMark/>
          </w:tcPr>
          <w:p w14:paraId="33B44EC1"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42.8±10.0</w:t>
            </w:r>
          </w:p>
        </w:tc>
        <w:tc>
          <w:tcPr>
            <w:tcW w:w="1568" w:type="dxa"/>
            <w:hideMark/>
          </w:tcPr>
          <w:p w14:paraId="273E168F"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41.9±10.0</w:t>
            </w:r>
          </w:p>
        </w:tc>
        <w:tc>
          <w:tcPr>
            <w:tcW w:w="2171" w:type="dxa"/>
            <w:hideMark/>
          </w:tcPr>
          <w:p w14:paraId="13F43AA0"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43.8±10.0</w:t>
            </w:r>
          </w:p>
        </w:tc>
        <w:tc>
          <w:tcPr>
            <w:tcW w:w="1635" w:type="dxa"/>
            <w:hideMark/>
          </w:tcPr>
          <w:p w14:paraId="1B79DB5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0.29</w:t>
            </w:r>
          </w:p>
        </w:tc>
      </w:tr>
      <w:tr w:rsidR="007D2E98" w:rsidRPr="00B81F2B" w14:paraId="20B55897" w14:textId="77777777" w:rsidTr="00190419">
        <w:trPr>
          <w:trHeight w:val="197"/>
        </w:trPr>
        <w:tc>
          <w:tcPr>
            <w:tcW w:w="3211" w:type="dxa"/>
            <w:hideMark/>
          </w:tcPr>
          <w:p w14:paraId="228BBA56"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Fasting glucose, mg/dL</w:t>
            </w:r>
          </w:p>
        </w:tc>
        <w:tc>
          <w:tcPr>
            <w:tcW w:w="1554" w:type="dxa"/>
            <w:hideMark/>
          </w:tcPr>
          <w:p w14:paraId="657834A1"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106.5±16.2</w:t>
            </w:r>
          </w:p>
        </w:tc>
        <w:tc>
          <w:tcPr>
            <w:tcW w:w="1568" w:type="dxa"/>
            <w:hideMark/>
          </w:tcPr>
          <w:p w14:paraId="4F87F7F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104.3±13.6</w:t>
            </w:r>
          </w:p>
        </w:tc>
        <w:tc>
          <w:tcPr>
            <w:tcW w:w="2171" w:type="dxa"/>
            <w:hideMark/>
          </w:tcPr>
          <w:p w14:paraId="2E4021F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108.6±18.3</w:t>
            </w:r>
          </w:p>
        </w:tc>
        <w:tc>
          <w:tcPr>
            <w:tcW w:w="1635" w:type="dxa"/>
            <w:hideMark/>
          </w:tcPr>
          <w:p w14:paraId="6D63976E"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0.15</w:t>
            </w:r>
          </w:p>
        </w:tc>
      </w:tr>
      <w:tr w:rsidR="007D2E98" w:rsidRPr="00B81F2B" w14:paraId="16C9DDFD" w14:textId="77777777" w:rsidTr="00190419">
        <w:trPr>
          <w:trHeight w:val="197"/>
        </w:trPr>
        <w:tc>
          <w:tcPr>
            <w:tcW w:w="3211" w:type="dxa"/>
            <w:hideMark/>
          </w:tcPr>
          <w:p w14:paraId="6814559F" w14:textId="77777777" w:rsidR="007D2E98" w:rsidRPr="00B81F2B" w:rsidRDefault="007D2E98" w:rsidP="00190419">
            <w:pPr>
              <w:spacing w:line="276" w:lineRule="auto"/>
              <w:contextualSpacing/>
              <w:rPr>
                <w:rFonts w:asciiTheme="minorBidi" w:hAnsiTheme="minorBidi"/>
                <w:rtl/>
                <w:lang w:val="en-US"/>
              </w:rPr>
            </w:pPr>
            <w:r w:rsidRPr="00B81F2B">
              <w:rPr>
                <w:rFonts w:asciiTheme="minorBidi" w:hAnsiTheme="minorBidi"/>
              </w:rPr>
              <w:t xml:space="preserve">Insulin, </w:t>
            </w:r>
            <w:r w:rsidRPr="00B81F2B">
              <w:rPr>
                <w:rFonts w:asciiTheme="minorBidi" w:hAnsiTheme="minorBidi"/>
                <w:lang w:val="en-US"/>
              </w:rPr>
              <w:t>µU/mL</w:t>
            </w:r>
          </w:p>
        </w:tc>
        <w:tc>
          <w:tcPr>
            <w:tcW w:w="1554" w:type="dxa"/>
            <w:hideMark/>
          </w:tcPr>
          <w:p w14:paraId="6F259A83"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18.0±11.3</w:t>
            </w:r>
          </w:p>
        </w:tc>
        <w:tc>
          <w:tcPr>
            <w:tcW w:w="1568" w:type="dxa"/>
            <w:hideMark/>
          </w:tcPr>
          <w:p w14:paraId="10A5870F"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17.0±10.1</w:t>
            </w:r>
          </w:p>
        </w:tc>
        <w:tc>
          <w:tcPr>
            <w:tcW w:w="2171" w:type="dxa"/>
            <w:hideMark/>
          </w:tcPr>
          <w:p w14:paraId="393AFA7B"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19.0±12.4</w:t>
            </w:r>
          </w:p>
        </w:tc>
        <w:tc>
          <w:tcPr>
            <w:tcW w:w="1635" w:type="dxa"/>
            <w:hideMark/>
          </w:tcPr>
          <w:p w14:paraId="26A804B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0.35</w:t>
            </w:r>
          </w:p>
        </w:tc>
      </w:tr>
      <w:tr w:rsidR="007D2E98" w:rsidRPr="00B81F2B" w14:paraId="4C1B03A5" w14:textId="77777777" w:rsidTr="00190419">
        <w:trPr>
          <w:trHeight w:val="197"/>
        </w:trPr>
        <w:tc>
          <w:tcPr>
            <w:tcW w:w="3211" w:type="dxa"/>
          </w:tcPr>
          <w:p w14:paraId="5955EFE7"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HOMA-IR</w:t>
            </w:r>
          </w:p>
        </w:tc>
        <w:tc>
          <w:tcPr>
            <w:tcW w:w="1554" w:type="dxa"/>
          </w:tcPr>
          <w:p w14:paraId="50E1453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4.8±3.5</w:t>
            </w:r>
          </w:p>
        </w:tc>
        <w:tc>
          <w:tcPr>
            <w:tcW w:w="1568" w:type="dxa"/>
          </w:tcPr>
          <w:p w14:paraId="6D290FB7"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4.4±2.6</w:t>
            </w:r>
          </w:p>
        </w:tc>
        <w:tc>
          <w:tcPr>
            <w:tcW w:w="2171" w:type="dxa"/>
          </w:tcPr>
          <w:p w14:paraId="5B4CDD49"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5.3±4.2</w:t>
            </w:r>
          </w:p>
        </w:tc>
        <w:tc>
          <w:tcPr>
            <w:tcW w:w="1635" w:type="dxa"/>
          </w:tcPr>
          <w:p w14:paraId="2ED2127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0.52</w:t>
            </w:r>
          </w:p>
        </w:tc>
      </w:tr>
      <w:tr w:rsidR="007D2E98" w:rsidRPr="00B81F2B" w14:paraId="58AF76C4" w14:textId="77777777" w:rsidTr="00190419">
        <w:trPr>
          <w:trHeight w:val="197"/>
        </w:trPr>
        <w:tc>
          <w:tcPr>
            <w:tcW w:w="3211" w:type="dxa"/>
            <w:hideMark/>
          </w:tcPr>
          <w:p w14:paraId="4367B56C" w14:textId="77777777" w:rsidR="007D2E98" w:rsidRPr="00B81F2B" w:rsidRDefault="007D2E98" w:rsidP="00190419">
            <w:pPr>
              <w:spacing w:line="276" w:lineRule="auto"/>
              <w:contextualSpacing/>
              <w:rPr>
                <w:rFonts w:asciiTheme="minorBidi" w:hAnsiTheme="minorBidi"/>
              </w:rPr>
            </w:pPr>
            <w:r w:rsidRPr="00B81F2B">
              <w:rPr>
                <w:rFonts w:asciiTheme="minorBidi" w:hAnsiTheme="minorBidi"/>
              </w:rPr>
              <w:t>HbA1c, %</w:t>
            </w:r>
          </w:p>
        </w:tc>
        <w:tc>
          <w:tcPr>
            <w:tcW w:w="1554" w:type="dxa"/>
            <w:hideMark/>
          </w:tcPr>
          <w:p w14:paraId="7CA7B9F6"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5.6±0.5</w:t>
            </w:r>
          </w:p>
        </w:tc>
        <w:tc>
          <w:tcPr>
            <w:tcW w:w="1568" w:type="dxa"/>
            <w:hideMark/>
          </w:tcPr>
          <w:p w14:paraId="49960861"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5.6±0.4</w:t>
            </w:r>
          </w:p>
        </w:tc>
        <w:tc>
          <w:tcPr>
            <w:tcW w:w="2171" w:type="dxa"/>
            <w:hideMark/>
          </w:tcPr>
          <w:p w14:paraId="1BCC4E60"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5.6±0.5</w:t>
            </w:r>
          </w:p>
        </w:tc>
        <w:tc>
          <w:tcPr>
            <w:tcW w:w="1635" w:type="dxa"/>
            <w:hideMark/>
          </w:tcPr>
          <w:p w14:paraId="07E78A40"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0.29</w:t>
            </w:r>
          </w:p>
        </w:tc>
      </w:tr>
      <w:tr w:rsidR="007D2E98" w:rsidRPr="00B81F2B" w14:paraId="5B572F09" w14:textId="77777777" w:rsidTr="00190419">
        <w:trPr>
          <w:trHeight w:val="197"/>
        </w:trPr>
        <w:tc>
          <w:tcPr>
            <w:tcW w:w="3211" w:type="dxa"/>
            <w:hideMark/>
          </w:tcPr>
          <w:p w14:paraId="5E6C1BE9" w14:textId="77777777" w:rsidR="007D2E98" w:rsidRPr="00B81F2B" w:rsidRDefault="007D2E98" w:rsidP="00190419">
            <w:pPr>
              <w:spacing w:line="276" w:lineRule="auto"/>
              <w:contextualSpacing/>
              <w:rPr>
                <w:rFonts w:asciiTheme="minorBidi" w:hAnsiTheme="minorBidi"/>
                <w:rtl/>
                <w:lang w:val="en-US"/>
              </w:rPr>
            </w:pPr>
            <w:r w:rsidRPr="00B81F2B">
              <w:rPr>
                <w:rFonts w:asciiTheme="minorBidi" w:hAnsiTheme="minorBidi"/>
              </w:rPr>
              <w:t xml:space="preserve">Leptin, </w:t>
            </w:r>
            <w:r w:rsidRPr="00B81F2B">
              <w:rPr>
                <w:rFonts w:asciiTheme="minorBidi" w:hAnsiTheme="minorBidi"/>
                <w:lang w:val="en-US"/>
              </w:rPr>
              <w:t>ng/mL</w:t>
            </w:r>
          </w:p>
        </w:tc>
        <w:tc>
          <w:tcPr>
            <w:tcW w:w="1554" w:type="dxa"/>
            <w:hideMark/>
          </w:tcPr>
          <w:p w14:paraId="7477AA42"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14.2±13.5</w:t>
            </w:r>
          </w:p>
        </w:tc>
        <w:tc>
          <w:tcPr>
            <w:tcW w:w="1568" w:type="dxa"/>
            <w:hideMark/>
          </w:tcPr>
          <w:p w14:paraId="2DCBA66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14.2±11.7</w:t>
            </w:r>
          </w:p>
        </w:tc>
        <w:tc>
          <w:tcPr>
            <w:tcW w:w="2171" w:type="dxa"/>
            <w:hideMark/>
          </w:tcPr>
          <w:p w14:paraId="78BBA42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14.2±15.1</w:t>
            </w:r>
          </w:p>
        </w:tc>
        <w:tc>
          <w:tcPr>
            <w:tcW w:w="1635" w:type="dxa"/>
            <w:hideMark/>
          </w:tcPr>
          <w:p w14:paraId="5194FA67"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0.99</w:t>
            </w:r>
          </w:p>
        </w:tc>
      </w:tr>
      <w:tr w:rsidR="007D2E98" w:rsidRPr="00B81F2B" w14:paraId="0C2A7A79" w14:textId="77777777" w:rsidTr="00190419">
        <w:trPr>
          <w:trHeight w:val="197"/>
        </w:trPr>
        <w:tc>
          <w:tcPr>
            <w:tcW w:w="3211" w:type="dxa"/>
            <w:hideMark/>
          </w:tcPr>
          <w:p w14:paraId="3AB46282" w14:textId="77777777" w:rsidR="007D2E98" w:rsidRPr="00B81F2B" w:rsidRDefault="007D2E98" w:rsidP="00190419">
            <w:pPr>
              <w:spacing w:line="276" w:lineRule="auto"/>
              <w:contextualSpacing/>
              <w:rPr>
                <w:rFonts w:asciiTheme="minorBidi" w:hAnsiTheme="minorBidi"/>
              </w:rPr>
            </w:pPr>
            <w:r w:rsidRPr="00390DE3">
              <w:rPr>
                <w:rFonts w:asciiTheme="minorBidi" w:hAnsiTheme="minorBidi"/>
              </w:rPr>
              <w:t>Alanine transaminase</w:t>
            </w:r>
            <w:r>
              <w:rPr>
                <w:rFonts w:asciiTheme="minorBidi" w:hAnsiTheme="minorBidi"/>
              </w:rPr>
              <w:t>,</w:t>
            </w:r>
            <w:r w:rsidRPr="00B81F2B">
              <w:rPr>
                <w:rFonts w:asciiTheme="minorBidi" w:hAnsiTheme="minorBidi"/>
              </w:rPr>
              <w:t xml:space="preserve"> U/l</w:t>
            </w:r>
          </w:p>
        </w:tc>
        <w:tc>
          <w:tcPr>
            <w:tcW w:w="1554" w:type="dxa"/>
            <w:hideMark/>
          </w:tcPr>
          <w:p w14:paraId="3533E0D5"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29.7±13.7</w:t>
            </w:r>
          </w:p>
        </w:tc>
        <w:tc>
          <w:tcPr>
            <w:tcW w:w="1568" w:type="dxa"/>
            <w:hideMark/>
          </w:tcPr>
          <w:p w14:paraId="2245096C"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29.3±25.6</w:t>
            </w:r>
          </w:p>
        </w:tc>
        <w:tc>
          <w:tcPr>
            <w:tcW w:w="2171" w:type="dxa"/>
            <w:hideMark/>
          </w:tcPr>
          <w:p w14:paraId="4D8736FF"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30.1±19.3</w:t>
            </w:r>
          </w:p>
        </w:tc>
        <w:tc>
          <w:tcPr>
            <w:tcW w:w="1635" w:type="dxa"/>
            <w:hideMark/>
          </w:tcPr>
          <w:p w14:paraId="5755A868"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0.84</w:t>
            </w:r>
          </w:p>
        </w:tc>
      </w:tr>
      <w:tr w:rsidR="007D2E98" w:rsidRPr="00B81F2B" w14:paraId="5866406C" w14:textId="77777777" w:rsidTr="00190419">
        <w:trPr>
          <w:trHeight w:val="197"/>
        </w:trPr>
        <w:tc>
          <w:tcPr>
            <w:tcW w:w="3211" w:type="dxa"/>
            <w:tcBorders>
              <w:bottom w:val="single" w:sz="4" w:space="0" w:color="auto"/>
            </w:tcBorders>
            <w:hideMark/>
          </w:tcPr>
          <w:p w14:paraId="54A91B85" w14:textId="77777777" w:rsidR="007D2E98" w:rsidRPr="00B81F2B" w:rsidRDefault="007D2E98" w:rsidP="00190419">
            <w:pPr>
              <w:spacing w:line="276" w:lineRule="auto"/>
              <w:contextualSpacing/>
              <w:rPr>
                <w:rFonts w:asciiTheme="minorBidi" w:hAnsiTheme="minorBidi"/>
              </w:rPr>
            </w:pPr>
            <w:r w:rsidRPr="00390DE3">
              <w:rPr>
                <w:rFonts w:asciiTheme="minorBidi" w:hAnsiTheme="minorBidi"/>
              </w:rPr>
              <w:t>Aspartate transaminase</w:t>
            </w:r>
            <w:r w:rsidRPr="00B81F2B">
              <w:rPr>
                <w:rFonts w:asciiTheme="minorBidi" w:hAnsiTheme="minorBidi"/>
              </w:rPr>
              <w:t>, U/l</w:t>
            </w:r>
          </w:p>
        </w:tc>
        <w:tc>
          <w:tcPr>
            <w:tcW w:w="1554" w:type="dxa"/>
            <w:tcBorders>
              <w:bottom w:val="single" w:sz="4" w:space="0" w:color="auto"/>
            </w:tcBorders>
            <w:hideMark/>
          </w:tcPr>
          <w:p w14:paraId="7691938E"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28.8±13.7</w:t>
            </w:r>
          </w:p>
        </w:tc>
        <w:tc>
          <w:tcPr>
            <w:tcW w:w="1568" w:type="dxa"/>
            <w:tcBorders>
              <w:bottom w:val="single" w:sz="4" w:space="0" w:color="auto"/>
            </w:tcBorders>
            <w:hideMark/>
          </w:tcPr>
          <w:p w14:paraId="49D6B169"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28.2±16.1</w:t>
            </w:r>
          </w:p>
        </w:tc>
        <w:tc>
          <w:tcPr>
            <w:tcW w:w="2171" w:type="dxa"/>
            <w:tcBorders>
              <w:bottom w:val="single" w:sz="4" w:space="0" w:color="auto"/>
            </w:tcBorders>
            <w:hideMark/>
          </w:tcPr>
          <w:p w14:paraId="4C60E8AD"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29.4±10.9</w:t>
            </w:r>
          </w:p>
        </w:tc>
        <w:tc>
          <w:tcPr>
            <w:tcW w:w="1635" w:type="dxa"/>
            <w:tcBorders>
              <w:bottom w:val="single" w:sz="4" w:space="0" w:color="auto"/>
            </w:tcBorders>
            <w:hideMark/>
          </w:tcPr>
          <w:p w14:paraId="3CCB2564" w14:textId="77777777" w:rsidR="007D2E98" w:rsidRPr="00B81F2B" w:rsidRDefault="007D2E98" w:rsidP="00190419">
            <w:pPr>
              <w:spacing w:line="276" w:lineRule="auto"/>
              <w:contextualSpacing/>
              <w:jc w:val="center"/>
              <w:rPr>
                <w:rFonts w:asciiTheme="minorBidi" w:hAnsiTheme="minorBidi"/>
              </w:rPr>
            </w:pPr>
            <w:r w:rsidRPr="00B81F2B">
              <w:rPr>
                <w:rFonts w:asciiTheme="minorBidi" w:hAnsiTheme="minorBidi"/>
              </w:rPr>
              <w:t>0.65</w:t>
            </w:r>
          </w:p>
        </w:tc>
      </w:tr>
    </w:tbl>
    <w:p w14:paraId="65C259EE" w14:textId="0674C411" w:rsidR="007D2E98" w:rsidRPr="00B81F2B" w:rsidRDefault="00F47C01" w:rsidP="007D2E98">
      <w:pPr>
        <w:contextualSpacing/>
        <w:rPr>
          <w:rFonts w:asciiTheme="minorBidi" w:hAnsiTheme="minorBidi"/>
          <w:b/>
          <w:bCs/>
        </w:rPr>
      </w:pPr>
      <w:r w:rsidRPr="00F47C01">
        <w:rPr>
          <w:rFonts w:ascii="Arial" w:hAnsi="Arial" w:cs="Arial"/>
          <w:color w:val="1C1D1E"/>
          <w:sz w:val="21"/>
          <w:szCs w:val="21"/>
          <w:shd w:val="clear" w:color="auto" w:fill="FFFFFF"/>
          <w:vertAlign w:val="superscript"/>
        </w:rPr>
        <w:t>†</w:t>
      </w:r>
      <w:r w:rsidR="007D2E98" w:rsidRPr="00B81F2B">
        <w:rPr>
          <w:rFonts w:asciiTheme="minorBidi" w:hAnsiTheme="minorBidi"/>
        </w:rPr>
        <w:t xml:space="preserve"> </w:t>
      </w:r>
      <w:r w:rsidR="007D2E98">
        <w:rPr>
          <w:rFonts w:asciiTheme="minorBidi" w:hAnsiTheme="minorBidi"/>
        </w:rPr>
        <w:t>Comparison</w:t>
      </w:r>
      <w:r w:rsidR="007D2E98" w:rsidRPr="00B81F2B">
        <w:rPr>
          <w:rFonts w:asciiTheme="minorBidi" w:hAnsiTheme="minorBidi"/>
        </w:rPr>
        <w:t xml:space="preserve"> </w:t>
      </w:r>
      <w:r w:rsidR="007D2E98">
        <w:rPr>
          <w:rFonts w:asciiTheme="minorBidi" w:hAnsiTheme="minorBidi"/>
        </w:rPr>
        <w:t>was</w:t>
      </w:r>
      <w:r w:rsidR="007D2E98" w:rsidRPr="00B81F2B">
        <w:rPr>
          <w:rFonts w:asciiTheme="minorBidi" w:hAnsiTheme="minorBidi"/>
        </w:rPr>
        <w:t xml:space="preserve"> performed using T-test for normally </w:t>
      </w:r>
      <w:r w:rsidR="007D2E98">
        <w:rPr>
          <w:rFonts w:asciiTheme="minorBidi" w:hAnsiTheme="minorBidi"/>
        </w:rPr>
        <w:t>distributed</w:t>
      </w:r>
      <w:r w:rsidR="007D2E98" w:rsidRPr="00B81F2B">
        <w:rPr>
          <w:rFonts w:asciiTheme="minorBidi" w:hAnsiTheme="minorBidi"/>
        </w:rPr>
        <w:t xml:space="preserve"> variables, Mann Whitney test otherwise</w:t>
      </w:r>
      <w:r w:rsidR="007D2E98">
        <w:rPr>
          <w:rFonts w:asciiTheme="minorBidi" w:hAnsiTheme="minorBidi"/>
        </w:rPr>
        <w:t>,</w:t>
      </w:r>
      <w:r w:rsidR="007D2E98" w:rsidRPr="00B81F2B">
        <w:rPr>
          <w:rFonts w:asciiTheme="minorBidi" w:hAnsiTheme="minorBidi"/>
        </w:rPr>
        <w:t xml:space="preserve"> and chi-square for categorical variables. </w:t>
      </w:r>
      <w:r w:rsidRPr="00F47C01">
        <w:rPr>
          <w:rFonts w:ascii="Arial" w:hAnsi="Arial" w:cs="Arial"/>
          <w:color w:val="1C1D1E"/>
          <w:sz w:val="21"/>
          <w:szCs w:val="21"/>
          <w:shd w:val="clear" w:color="auto" w:fill="FFFFFF"/>
          <w:vertAlign w:val="superscript"/>
        </w:rPr>
        <w:t>‡</w:t>
      </w:r>
      <w:r w:rsidR="007D2E98" w:rsidRPr="00B81F2B">
        <w:rPr>
          <w:rFonts w:asciiTheme="minorBidi" w:hAnsiTheme="minorBidi"/>
        </w:rPr>
        <w:t xml:space="preserve"> n=119 with valid MRI scans. </w:t>
      </w:r>
      <w:r w:rsidRPr="00F47C01">
        <w:rPr>
          <w:rFonts w:ascii="Arial" w:hAnsi="Arial" w:cs="Arial"/>
          <w:color w:val="1C1D1E"/>
          <w:sz w:val="21"/>
          <w:szCs w:val="21"/>
          <w:shd w:val="clear" w:color="auto" w:fill="FFFFFF"/>
          <w:vertAlign w:val="superscript"/>
        </w:rPr>
        <w:t>§</w:t>
      </w:r>
      <w:r w:rsidR="007D2E98" w:rsidRPr="00B81F2B">
        <w:rPr>
          <w:rFonts w:asciiTheme="minorBidi" w:hAnsiTheme="minorBidi"/>
        </w:rPr>
        <w:t xml:space="preserve"> Reported on anti-hypertensive medication or have systolic blood pressure &gt; 130 or have diastolic blood pressure &gt;85</w:t>
      </w:r>
      <w:r w:rsidR="007D2E98">
        <w:rPr>
          <w:rFonts w:asciiTheme="minorBidi" w:hAnsiTheme="minorBidi"/>
        </w:rPr>
        <w:t>.</w:t>
      </w:r>
      <w:r w:rsidR="007D2E98" w:rsidRPr="009F1FD7">
        <w:t xml:space="preserve"> </w:t>
      </w:r>
      <w:r w:rsidR="007D2E98" w:rsidRPr="009F1FD7">
        <w:rPr>
          <w:rFonts w:asciiTheme="minorBidi" w:hAnsiTheme="minorBidi"/>
        </w:rPr>
        <w:t>BP, blood pressure; HbA1c, Hemoglobin A1c; HOMA IR, Homeostatic Model Assessment for Insulin Resistance; NAFLD, non-alcoholic fatty liver disease</w:t>
      </w:r>
      <w:r w:rsidR="007D2E98">
        <w:rPr>
          <w:rFonts w:asciiTheme="minorBidi" w:hAnsiTheme="minorBidi"/>
        </w:rPr>
        <w:t>.</w:t>
      </w:r>
    </w:p>
    <w:p w14:paraId="6C00F279" w14:textId="77777777" w:rsidR="007D2E98" w:rsidRPr="00B81F2B" w:rsidRDefault="007D2E98" w:rsidP="007D2E98">
      <w:pPr>
        <w:spacing w:line="480" w:lineRule="auto"/>
        <w:contextualSpacing/>
        <w:rPr>
          <w:rFonts w:asciiTheme="minorBidi" w:hAnsiTheme="minorBidi"/>
          <w:b/>
          <w:bCs/>
        </w:rPr>
      </w:pPr>
    </w:p>
    <w:p w14:paraId="7B630530" w14:textId="77777777" w:rsidR="007D2E98" w:rsidRDefault="007D2E98" w:rsidP="007D2E98"/>
    <w:p w14:paraId="20CAFEBF" w14:textId="77777777" w:rsidR="007D2E98" w:rsidRDefault="007D2E98" w:rsidP="007D2E98"/>
    <w:p w14:paraId="269BA60D" w14:textId="28360BDD" w:rsidR="007D2E98" w:rsidRDefault="007D2E98" w:rsidP="007D2E98"/>
    <w:p w14:paraId="3C71E957" w14:textId="79117017" w:rsidR="00904497" w:rsidRDefault="00904497" w:rsidP="007D2E98"/>
    <w:p w14:paraId="2D06191E" w14:textId="5DFE69FD" w:rsidR="00904497" w:rsidRDefault="00904497" w:rsidP="007D2E98"/>
    <w:p w14:paraId="043503CD" w14:textId="00DF90BD" w:rsidR="00904497" w:rsidRDefault="00904497" w:rsidP="007D2E98"/>
    <w:p w14:paraId="1BC05E28" w14:textId="77777777" w:rsidR="00904497" w:rsidRDefault="00904497" w:rsidP="007D2E98"/>
    <w:p w14:paraId="3C3E1132" w14:textId="77777777" w:rsidR="007D2E98" w:rsidRPr="002A1BC1" w:rsidRDefault="007D2E98" w:rsidP="007D2E98">
      <w:pPr>
        <w:spacing w:line="480" w:lineRule="auto"/>
        <w:rPr>
          <w:rFonts w:asciiTheme="minorBidi" w:hAnsiTheme="minorBidi"/>
          <w:b/>
          <w:bCs/>
        </w:rPr>
      </w:pPr>
    </w:p>
    <w:p w14:paraId="34268827" w14:textId="23823204" w:rsidR="007D2E98" w:rsidRDefault="007D2E98" w:rsidP="007D2E98">
      <w:pPr>
        <w:spacing w:line="480" w:lineRule="auto"/>
        <w:rPr>
          <w:rFonts w:asciiTheme="minorBidi" w:hAnsiTheme="minorBidi"/>
          <w:b/>
          <w:bCs/>
          <w:lang w:val="en-US"/>
        </w:rPr>
      </w:pPr>
    </w:p>
    <w:p w14:paraId="54C57B20" w14:textId="77777777" w:rsidR="00033F2E" w:rsidRDefault="00033F2E" w:rsidP="007D2E98">
      <w:pPr>
        <w:spacing w:line="480" w:lineRule="auto"/>
        <w:rPr>
          <w:rFonts w:asciiTheme="minorBidi" w:hAnsiTheme="minorBidi"/>
          <w:b/>
          <w:bCs/>
          <w:lang w:val="en-US"/>
        </w:rPr>
      </w:pPr>
    </w:p>
    <w:p w14:paraId="29CE099B" w14:textId="4EA56A7A" w:rsidR="00033F2E" w:rsidRDefault="007D2E98" w:rsidP="00033F2E">
      <w:pPr>
        <w:spacing w:line="480" w:lineRule="auto"/>
        <w:contextualSpacing/>
        <w:rPr>
          <w:rFonts w:asciiTheme="minorBidi" w:hAnsiTheme="minorBidi"/>
        </w:rPr>
      </w:pPr>
      <w:r w:rsidRPr="00B81F2B">
        <w:rPr>
          <w:rFonts w:asciiTheme="minorBidi" w:hAnsiTheme="minorBidi"/>
          <w:b/>
          <w:bCs/>
        </w:rPr>
        <w:lastRenderedPageBreak/>
        <w:t xml:space="preserve">Table 2: </w:t>
      </w:r>
      <w:r w:rsidRPr="00B81F2B">
        <w:rPr>
          <w:rFonts w:asciiTheme="minorBidi" w:hAnsiTheme="minorBidi"/>
        </w:rPr>
        <w:t>MV models for the baseline correlation of IHF% and methylation levels</w:t>
      </w:r>
    </w:p>
    <w:tbl>
      <w:tblPr>
        <w:tblStyle w:val="TableGrid"/>
        <w:tblpPr w:leftFromText="180" w:rightFromText="180" w:vertAnchor="text" w:horzAnchor="margin" w:tblpXSpec="center" w:tblpY="477"/>
        <w:tblW w:w="113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678"/>
        <w:gridCol w:w="1664"/>
        <w:gridCol w:w="1117"/>
        <w:gridCol w:w="1124"/>
        <w:gridCol w:w="805"/>
        <w:gridCol w:w="979"/>
        <w:gridCol w:w="805"/>
        <w:gridCol w:w="978"/>
      </w:tblGrid>
      <w:tr w:rsidR="00033F2E" w:rsidRPr="00B81F2B" w14:paraId="675CC500" w14:textId="77777777" w:rsidTr="00ED64BB">
        <w:trPr>
          <w:trHeight w:val="81"/>
        </w:trPr>
        <w:tc>
          <w:tcPr>
            <w:tcW w:w="2152" w:type="dxa"/>
            <w:tcBorders>
              <w:top w:val="single" w:sz="4" w:space="0" w:color="auto"/>
              <w:bottom w:val="nil"/>
            </w:tcBorders>
          </w:tcPr>
          <w:p w14:paraId="605345AA" w14:textId="77777777" w:rsidR="00033F2E" w:rsidRPr="00B81F2B" w:rsidRDefault="00033F2E" w:rsidP="00ED64BB">
            <w:pPr>
              <w:spacing w:line="276" w:lineRule="auto"/>
              <w:contextualSpacing/>
              <w:jc w:val="center"/>
              <w:rPr>
                <w:rFonts w:asciiTheme="minorBidi" w:hAnsiTheme="minorBidi"/>
                <w:b/>
                <w:bCs/>
              </w:rPr>
            </w:pPr>
          </w:p>
        </w:tc>
        <w:tc>
          <w:tcPr>
            <w:tcW w:w="1678" w:type="dxa"/>
            <w:vMerge w:val="restart"/>
            <w:tcBorders>
              <w:top w:val="single" w:sz="4" w:space="0" w:color="auto"/>
              <w:bottom w:val="nil"/>
            </w:tcBorders>
            <w:vAlign w:val="center"/>
          </w:tcPr>
          <w:p w14:paraId="75A47A19"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Gene name</w:t>
            </w:r>
          </w:p>
        </w:tc>
        <w:tc>
          <w:tcPr>
            <w:tcW w:w="1664" w:type="dxa"/>
            <w:vMerge w:val="restart"/>
            <w:tcBorders>
              <w:top w:val="single" w:sz="4" w:space="0" w:color="auto"/>
              <w:bottom w:val="nil"/>
            </w:tcBorders>
            <w:vAlign w:val="center"/>
          </w:tcPr>
          <w:p w14:paraId="41ED0E23"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CpG</w:t>
            </w:r>
          </w:p>
        </w:tc>
        <w:tc>
          <w:tcPr>
            <w:tcW w:w="2241" w:type="dxa"/>
            <w:gridSpan w:val="2"/>
            <w:tcBorders>
              <w:top w:val="single" w:sz="4" w:space="0" w:color="auto"/>
              <w:bottom w:val="single" w:sz="4" w:space="0" w:color="auto"/>
            </w:tcBorders>
            <w:vAlign w:val="center"/>
          </w:tcPr>
          <w:p w14:paraId="3E4434B3"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Model 1</w:t>
            </w:r>
          </w:p>
        </w:tc>
        <w:tc>
          <w:tcPr>
            <w:tcW w:w="1784" w:type="dxa"/>
            <w:gridSpan w:val="2"/>
            <w:tcBorders>
              <w:top w:val="single" w:sz="4" w:space="0" w:color="auto"/>
              <w:bottom w:val="single" w:sz="4" w:space="0" w:color="auto"/>
            </w:tcBorders>
            <w:vAlign w:val="center"/>
          </w:tcPr>
          <w:p w14:paraId="59A684A7"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Model 2</w:t>
            </w:r>
          </w:p>
        </w:tc>
        <w:tc>
          <w:tcPr>
            <w:tcW w:w="1783" w:type="dxa"/>
            <w:gridSpan w:val="2"/>
            <w:tcBorders>
              <w:top w:val="single" w:sz="4" w:space="0" w:color="auto"/>
              <w:bottom w:val="single" w:sz="4" w:space="0" w:color="auto"/>
            </w:tcBorders>
            <w:vAlign w:val="center"/>
          </w:tcPr>
          <w:p w14:paraId="643BDB66"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Model 3</w:t>
            </w:r>
          </w:p>
        </w:tc>
      </w:tr>
      <w:tr w:rsidR="00033F2E" w:rsidRPr="00B81F2B" w14:paraId="18B7097C" w14:textId="77777777" w:rsidTr="00ED64BB">
        <w:trPr>
          <w:trHeight w:val="168"/>
        </w:trPr>
        <w:tc>
          <w:tcPr>
            <w:tcW w:w="2152" w:type="dxa"/>
            <w:tcBorders>
              <w:top w:val="nil"/>
              <w:bottom w:val="single" w:sz="4" w:space="0" w:color="auto"/>
            </w:tcBorders>
          </w:tcPr>
          <w:p w14:paraId="6CFE6EE2" w14:textId="77777777" w:rsidR="00033F2E" w:rsidRPr="00B81F2B" w:rsidRDefault="00033F2E" w:rsidP="00ED64BB">
            <w:pPr>
              <w:spacing w:line="276" w:lineRule="auto"/>
              <w:contextualSpacing/>
              <w:rPr>
                <w:rFonts w:asciiTheme="minorBidi" w:hAnsiTheme="minorBidi"/>
                <w:b/>
                <w:bCs/>
              </w:rPr>
            </w:pPr>
            <w:r>
              <w:rPr>
                <w:rFonts w:asciiTheme="minorBidi" w:hAnsiTheme="minorBidi"/>
                <w:b/>
                <w:bCs/>
              </w:rPr>
              <w:t>Location</w:t>
            </w:r>
          </w:p>
        </w:tc>
        <w:tc>
          <w:tcPr>
            <w:tcW w:w="1678" w:type="dxa"/>
            <w:vMerge/>
            <w:tcBorders>
              <w:top w:val="nil"/>
              <w:bottom w:val="single" w:sz="4" w:space="0" w:color="auto"/>
            </w:tcBorders>
          </w:tcPr>
          <w:p w14:paraId="77F0C4CA" w14:textId="77777777" w:rsidR="00033F2E" w:rsidRPr="00B81F2B" w:rsidRDefault="00033F2E" w:rsidP="00ED64BB">
            <w:pPr>
              <w:spacing w:line="276" w:lineRule="auto"/>
              <w:contextualSpacing/>
              <w:rPr>
                <w:rFonts w:asciiTheme="minorBidi" w:hAnsiTheme="minorBidi"/>
                <w:b/>
                <w:bCs/>
              </w:rPr>
            </w:pPr>
          </w:p>
        </w:tc>
        <w:tc>
          <w:tcPr>
            <w:tcW w:w="1664" w:type="dxa"/>
            <w:vMerge/>
            <w:tcBorders>
              <w:top w:val="nil"/>
              <w:bottom w:val="single" w:sz="4" w:space="0" w:color="auto"/>
            </w:tcBorders>
          </w:tcPr>
          <w:p w14:paraId="6ABA80C7" w14:textId="77777777" w:rsidR="00033F2E" w:rsidRPr="00B81F2B" w:rsidRDefault="00033F2E" w:rsidP="00ED64BB">
            <w:pPr>
              <w:spacing w:line="276" w:lineRule="auto"/>
              <w:contextualSpacing/>
              <w:rPr>
                <w:rFonts w:asciiTheme="minorBidi" w:hAnsiTheme="minorBidi"/>
                <w:b/>
                <w:bCs/>
              </w:rPr>
            </w:pPr>
          </w:p>
        </w:tc>
        <w:tc>
          <w:tcPr>
            <w:tcW w:w="1117" w:type="dxa"/>
            <w:tcBorders>
              <w:top w:val="single" w:sz="4" w:space="0" w:color="auto"/>
              <w:bottom w:val="single" w:sz="4" w:space="0" w:color="auto"/>
            </w:tcBorders>
            <w:vAlign w:val="center"/>
          </w:tcPr>
          <w:p w14:paraId="0FEB34D4"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r</w:t>
            </w:r>
          </w:p>
        </w:tc>
        <w:tc>
          <w:tcPr>
            <w:tcW w:w="1123" w:type="dxa"/>
            <w:tcBorders>
              <w:top w:val="single" w:sz="4" w:space="0" w:color="auto"/>
              <w:bottom w:val="single" w:sz="4" w:space="0" w:color="auto"/>
            </w:tcBorders>
            <w:vAlign w:val="center"/>
          </w:tcPr>
          <w:p w14:paraId="4D565705" w14:textId="77777777" w:rsidR="00033F2E" w:rsidRPr="00B81F2B" w:rsidRDefault="00033F2E" w:rsidP="00ED64BB">
            <w:pPr>
              <w:spacing w:line="276" w:lineRule="auto"/>
              <w:contextualSpacing/>
              <w:jc w:val="center"/>
              <w:rPr>
                <w:rFonts w:asciiTheme="minorBidi" w:hAnsiTheme="minorBidi"/>
                <w:b/>
                <w:bCs/>
              </w:rPr>
            </w:pPr>
            <w:r>
              <w:rPr>
                <w:rFonts w:asciiTheme="minorBidi" w:hAnsiTheme="minorBidi"/>
                <w:b/>
                <w:bCs/>
              </w:rPr>
              <w:t>p-value</w:t>
            </w:r>
          </w:p>
        </w:tc>
        <w:tc>
          <w:tcPr>
            <w:tcW w:w="805" w:type="dxa"/>
            <w:tcBorders>
              <w:top w:val="single" w:sz="4" w:space="0" w:color="auto"/>
              <w:bottom w:val="single" w:sz="4" w:space="0" w:color="auto"/>
            </w:tcBorders>
            <w:vAlign w:val="center"/>
          </w:tcPr>
          <w:p w14:paraId="045548E4"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r</w:t>
            </w:r>
          </w:p>
        </w:tc>
        <w:tc>
          <w:tcPr>
            <w:tcW w:w="978" w:type="dxa"/>
            <w:tcBorders>
              <w:top w:val="single" w:sz="4" w:space="0" w:color="auto"/>
              <w:bottom w:val="single" w:sz="4" w:space="0" w:color="auto"/>
            </w:tcBorders>
            <w:vAlign w:val="center"/>
          </w:tcPr>
          <w:p w14:paraId="56D9FFC9" w14:textId="77777777" w:rsidR="00033F2E" w:rsidRPr="00B81F2B" w:rsidRDefault="00033F2E" w:rsidP="00ED64BB">
            <w:pPr>
              <w:spacing w:line="276" w:lineRule="auto"/>
              <w:contextualSpacing/>
              <w:jc w:val="center"/>
              <w:rPr>
                <w:rFonts w:asciiTheme="minorBidi" w:hAnsiTheme="minorBidi"/>
                <w:b/>
                <w:bCs/>
              </w:rPr>
            </w:pPr>
            <w:r>
              <w:rPr>
                <w:rFonts w:asciiTheme="minorBidi" w:hAnsiTheme="minorBidi"/>
                <w:b/>
                <w:bCs/>
              </w:rPr>
              <w:t>p-value</w:t>
            </w:r>
          </w:p>
        </w:tc>
        <w:tc>
          <w:tcPr>
            <w:tcW w:w="805" w:type="dxa"/>
            <w:tcBorders>
              <w:top w:val="single" w:sz="4" w:space="0" w:color="auto"/>
              <w:bottom w:val="single" w:sz="4" w:space="0" w:color="auto"/>
            </w:tcBorders>
            <w:vAlign w:val="center"/>
          </w:tcPr>
          <w:p w14:paraId="04369B43"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b/>
                <w:bCs/>
              </w:rPr>
              <w:t>r</w:t>
            </w:r>
          </w:p>
        </w:tc>
        <w:tc>
          <w:tcPr>
            <w:tcW w:w="977" w:type="dxa"/>
            <w:tcBorders>
              <w:top w:val="single" w:sz="4" w:space="0" w:color="auto"/>
              <w:bottom w:val="single" w:sz="4" w:space="0" w:color="auto"/>
            </w:tcBorders>
            <w:vAlign w:val="center"/>
          </w:tcPr>
          <w:p w14:paraId="3DEF19A1" w14:textId="77777777" w:rsidR="00033F2E" w:rsidRPr="00B81F2B" w:rsidRDefault="00033F2E" w:rsidP="00ED64BB">
            <w:pPr>
              <w:spacing w:line="276" w:lineRule="auto"/>
              <w:contextualSpacing/>
              <w:jc w:val="center"/>
              <w:rPr>
                <w:rFonts w:asciiTheme="minorBidi" w:hAnsiTheme="minorBidi"/>
                <w:b/>
                <w:bCs/>
              </w:rPr>
            </w:pPr>
            <w:r>
              <w:rPr>
                <w:rFonts w:asciiTheme="minorBidi" w:hAnsiTheme="minorBidi"/>
                <w:b/>
                <w:bCs/>
              </w:rPr>
              <w:t>p-value</w:t>
            </w:r>
          </w:p>
        </w:tc>
      </w:tr>
      <w:tr w:rsidR="00033F2E" w:rsidRPr="00B81F2B" w14:paraId="778031CF" w14:textId="77777777" w:rsidTr="00ED64BB">
        <w:trPr>
          <w:cantSplit/>
          <w:trHeight w:val="493"/>
        </w:trPr>
        <w:tc>
          <w:tcPr>
            <w:tcW w:w="2152" w:type="dxa"/>
            <w:tcBorders>
              <w:top w:val="single" w:sz="4" w:space="0" w:color="auto"/>
            </w:tcBorders>
          </w:tcPr>
          <w:p w14:paraId="40F3A546" w14:textId="77777777" w:rsidR="00033F2E" w:rsidRPr="00AD1812" w:rsidRDefault="00033F2E" w:rsidP="00ED64BB">
            <w:pPr>
              <w:spacing w:line="276" w:lineRule="auto"/>
              <w:contextualSpacing/>
              <w:rPr>
                <w:rFonts w:asciiTheme="minorBidi" w:hAnsiTheme="minorBidi"/>
              </w:rPr>
            </w:pPr>
            <w:r>
              <w:rPr>
                <w:rFonts w:asciiTheme="minorBidi" w:hAnsiTheme="minorBidi"/>
              </w:rPr>
              <w:t>chr2:</w:t>
            </w:r>
            <w:r w:rsidRPr="00C26E2F">
              <w:rPr>
                <w:rFonts w:asciiTheme="minorBidi" w:hAnsiTheme="minorBidi"/>
              </w:rPr>
              <w:t>178257726</w:t>
            </w:r>
            <w:r>
              <w:rPr>
                <w:rFonts w:asciiTheme="minorBidi" w:hAnsiTheme="minorBidi"/>
              </w:rPr>
              <w:t>-</w:t>
            </w:r>
            <w:r w:rsidRPr="00C26E2F">
              <w:rPr>
                <w:rFonts w:asciiTheme="minorBidi" w:hAnsiTheme="minorBidi"/>
              </w:rPr>
              <w:t>17825772</w:t>
            </w:r>
            <w:r>
              <w:rPr>
                <w:rFonts w:asciiTheme="minorBidi" w:hAnsiTheme="minorBidi"/>
              </w:rPr>
              <w:t>7</w:t>
            </w:r>
          </w:p>
        </w:tc>
        <w:tc>
          <w:tcPr>
            <w:tcW w:w="1678" w:type="dxa"/>
            <w:tcBorders>
              <w:top w:val="single" w:sz="4" w:space="0" w:color="auto"/>
            </w:tcBorders>
          </w:tcPr>
          <w:p w14:paraId="5E18565B" w14:textId="77777777" w:rsidR="00033F2E" w:rsidRPr="00B81F2B" w:rsidRDefault="00033F2E" w:rsidP="00ED64BB">
            <w:pPr>
              <w:spacing w:line="276" w:lineRule="auto"/>
              <w:contextualSpacing/>
              <w:rPr>
                <w:rFonts w:asciiTheme="minorBidi" w:hAnsiTheme="minorBidi"/>
                <w:b/>
                <w:bCs/>
                <w:i/>
                <w:iCs/>
              </w:rPr>
            </w:pPr>
            <w:bookmarkStart w:id="16" w:name="_Hlk31306706"/>
            <w:r w:rsidRPr="00B81F2B">
              <w:rPr>
                <w:rFonts w:asciiTheme="minorBidi" w:hAnsiTheme="minorBidi"/>
                <w:i/>
                <w:iCs/>
              </w:rPr>
              <w:t>AC074286.1</w:t>
            </w:r>
          </w:p>
        </w:tc>
        <w:tc>
          <w:tcPr>
            <w:tcW w:w="1664" w:type="dxa"/>
            <w:tcBorders>
              <w:top w:val="single" w:sz="4" w:space="0" w:color="auto"/>
            </w:tcBorders>
            <w:vAlign w:val="center"/>
          </w:tcPr>
          <w:p w14:paraId="66B5B86C"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lang w:val="en-US"/>
              </w:rPr>
              <w:t>cg15996499</w:t>
            </w:r>
          </w:p>
        </w:tc>
        <w:tc>
          <w:tcPr>
            <w:tcW w:w="1117" w:type="dxa"/>
            <w:tcBorders>
              <w:top w:val="single" w:sz="4" w:space="0" w:color="auto"/>
            </w:tcBorders>
            <w:vAlign w:val="center"/>
          </w:tcPr>
          <w:p w14:paraId="6470FF7E" w14:textId="77777777" w:rsidR="00033F2E" w:rsidRPr="00B81F2B" w:rsidRDefault="00033F2E" w:rsidP="00ED64BB">
            <w:pPr>
              <w:spacing w:line="276" w:lineRule="auto"/>
              <w:contextualSpacing/>
              <w:jc w:val="center"/>
              <w:rPr>
                <w:rFonts w:asciiTheme="minorBidi" w:hAnsiTheme="minorBidi"/>
                <w:b/>
                <w:bCs/>
                <w:lang w:val="en-US"/>
              </w:rPr>
            </w:pPr>
            <w:r w:rsidRPr="00B81F2B">
              <w:rPr>
                <w:rFonts w:asciiTheme="minorBidi" w:hAnsiTheme="minorBidi"/>
              </w:rPr>
              <w:t>-0.28</w:t>
            </w:r>
          </w:p>
        </w:tc>
        <w:tc>
          <w:tcPr>
            <w:tcW w:w="1123" w:type="dxa"/>
            <w:tcBorders>
              <w:top w:val="single" w:sz="4" w:space="0" w:color="auto"/>
            </w:tcBorders>
            <w:vAlign w:val="center"/>
          </w:tcPr>
          <w:p w14:paraId="5E067311"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0.003</w:t>
            </w:r>
          </w:p>
        </w:tc>
        <w:tc>
          <w:tcPr>
            <w:tcW w:w="805" w:type="dxa"/>
            <w:tcBorders>
              <w:top w:val="single" w:sz="4" w:space="0" w:color="auto"/>
            </w:tcBorders>
            <w:vAlign w:val="center"/>
          </w:tcPr>
          <w:p w14:paraId="38793B67"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rPr>
              <w:t>-0.27</w:t>
            </w:r>
          </w:p>
        </w:tc>
        <w:tc>
          <w:tcPr>
            <w:tcW w:w="978" w:type="dxa"/>
            <w:tcBorders>
              <w:top w:val="single" w:sz="4" w:space="0" w:color="auto"/>
            </w:tcBorders>
            <w:vAlign w:val="center"/>
          </w:tcPr>
          <w:p w14:paraId="1DE8AB4C"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0.005</w:t>
            </w:r>
          </w:p>
        </w:tc>
        <w:tc>
          <w:tcPr>
            <w:tcW w:w="805" w:type="dxa"/>
            <w:tcBorders>
              <w:top w:val="single" w:sz="4" w:space="0" w:color="auto"/>
            </w:tcBorders>
            <w:vAlign w:val="center"/>
          </w:tcPr>
          <w:p w14:paraId="02004407" w14:textId="77777777" w:rsidR="00033F2E" w:rsidRPr="00B81F2B" w:rsidRDefault="00033F2E" w:rsidP="00ED64BB">
            <w:pPr>
              <w:spacing w:line="276" w:lineRule="auto"/>
              <w:contextualSpacing/>
              <w:jc w:val="center"/>
              <w:rPr>
                <w:rFonts w:asciiTheme="minorBidi" w:hAnsiTheme="minorBidi"/>
                <w:b/>
                <w:bCs/>
              </w:rPr>
            </w:pPr>
            <w:r w:rsidRPr="00B81F2B">
              <w:rPr>
                <w:rFonts w:asciiTheme="minorBidi" w:hAnsiTheme="minorBidi"/>
              </w:rPr>
              <w:t>-0.24</w:t>
            </w:r>
          </w:p>
        </w:tc>
        <w:tc>
          <w:tcPr>
            <w:tcW w:w="977" w:type="dxa"/>
            <w:tcBorders>
              <w:top w:val="single" w:sz="4" w:space="0" w:color="auto"/>
            </w:tcBorders>
            <w:vAlign w:val="center"/>
          </w:tcPr>
          <w:p w14:paraId="5F3E639C"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0.01</w:t>
            </w:r>
          </w:p>
        </w:tc>
      </w:tr>
      <w:tr w:rsidR="00033F2E" w:rsidRPr="00B81F2B" w14:paraId="5D013814" w14:textId="77777777" w:rsidTr="00ED64BB">
        <w:trPr>
          <w:cantSplit/>
          <w:trHeight w:val="493"/>
        </w:trPr>
        <w:tc>
          <w:tcPr>
            <w:tcW w:w="2152" w:type="dxa"/>
          </w:tcPr>
          <w:p w14:paraId="0C03D6C0" w14:textId="77777777" w:rsidR="00033F2E" w:rsidRPr="00AD1812" w:rsidRDefault="00033F2E" w:rsidP="00ED64BB">
            <w:pPr>
              <w:spacing w:line="276" w:lineRule="auto"/>
              <w:contextualSpacing/>
              <w:rPr>
                <w:rFonts w:asciiTheme="minorBidi" w:hAnsiTheme="minorBidi"/>
              </w:rPr>
            </w:pPr>
            <w:r>
              <w:rPr>
                <w:rFonts w:asciiTheme="minorBidi" w:hAnsiTheme="minorBidi"/>
              </w:rPr>
              <w:t>chr12:</w:t>
            </w:r>
            <w:r w:rsidRPr="00C26E2F">
              <w:rPr>
                <w:rFonts w:asciiTheme="minorBidi" w:hAnsiTheme="minorBidi"/>
              </w:rPr>
              <w:t>3747219</w:t>
            </w:r>
            <w:r>
              <w:rPr>
                <w:rFonts w:asciiTheme="minorBidi" w:hAnsiTheme="minorBidi"/>
              </w:rPr>
              <w:t>-</w:t>
            </w:r>
            <w:r w:rsidRPr="00C26E2F">
              <w:rPr>
                <w:rFonts w:asciiTheme="minorBidi" w:hAnsiTheme="minorBidi"/>
              </w:rPr>
              <w:t>37472</w:t>
            </w:r>
            <w:r>
              <w:rPr>
                <w:rFonts w:asciiTheme="minorBidi" w:hAnsiTheme="minorBidi"/>
              </w:rPr>
              <w:t>20</w:t>
            </w:r>
          </w:p>
        </w:tc>
        <w:tc>
          <w:tcPr>
            <w:tcW w:w="1678" w:type="dxa"/>
          </w:tcPr>
          <w:p w14:paraId="0A5243AB" w14:textId="77777777" w:rsidR="00033F2E" w:rsidRPr="00B81F2B" w:rsidRDefault="00033F2E" w:rsidP="00ED64BB">
            <w:pPr>
              <w:spacing w:line="276" w:lineRule="auto"/>
              <w:contextualSpacing/>
              <w:rPr>
                <w:rFonts w:asciiTheme="minorBidi" w:hAnsiTheme="minorBidi"/>
                <w:i/>
                <w:iCs/>
              </w:rPr>
            </w:pPr>
            <w:r w:rsidRPr="00B81F2B">
              <w:rPr>
                <w:rFonts w:asciiTheme="minorBidi" w:hAnsiTheme="minorBidi"/>
                <w:i/>
                <w:iCs/>
              </w:rPr>
              <w:t>CRACR2A</w:t>
            </w:r>
          </w:p>
        </w:tc>
        <w:tc>
          <w:tcPr>
            <w:tcW w:w="1664" w:type="dxa"/>
            <w:vAlign w:val="center"/>
          </w:tcPr>
          <w:p w14:paraId="10FAA847"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cg04614981</w:t>
            </w:r>
          </w:p>
        </w:tc>
        <w:tc>
          <w:tcPr>
            <w:tcW w:w="1117" w:type="dxa"/>
            <w:vAlign w:val="center"/>
          </w:tcPr>
          <w:p w14:paraId="7B166542"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-0.26</w:t>
            </w:r>
          </w:p>
        </w:tc>
        <w:tc>
          <w:tcPr>
            <w:tcW w:w="1123" w:type="dxa"/>
            <w:vAlign w:val="center"/>
          </w:tcPr>
          <w:p w14:paraId="2537A165"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0.007</w:t>
            </w:r>
          </w:p>
        </w:tc>
        <w:tc>
          <w:tcPr>
            <w:tcW w:w="805" w:type="dxa"/>
            <w:vAlign w:val="center"/>
          </w:tcPr>
          <w:p w14:paraId="62376273"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-0.25</w:t>
            </w:r>
          </w:p>
        </w:tc>
        <w:tc>
          <w:tcPr>
            <w:tcW w:w="978" w:type="dxa"/>
            <w:vAlign w:val="center"/>
          </w:tcPr>
          <w:p w14:paraId="01C8CFEA"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0.008</w:t>
            </w:r>
          </w:p>
        </w:tc>
        <w:tc>
          <w:tcPr>
            <w:tcW w:w="805" w:type="dxa"/>
            <w:vAlign w:val="center"/>
          </w:tcPr>
          <w:p w14:paraId="0FDCFA56"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-0.24</w:t>
            </w:r>
          </w:p>
        </w:tc>
        <w:tc>
          <w:tcPr>
            <w:tcW w:w="977" w:type="dxa"/>
            <w:vAlign w:val="center"/>
          </w:tcPr>
          <w:p w14:paraId="2B7C5CCF"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0.01</w:t>
            </w:r>
          </w:p>
        </w:tc>
      </w:tr>
      <w:tr w:rsidR="00033F2E" w:rsidRPr="00B81F2B" w14:paraId="0538D5AA" w14:textId="77777777" w:rsidTr="00ED64BB">
        <w:trPr>
          <w:cantSplit/>
          <w:trHeight w:val="493"/>
        </w:trPr>
        <w:tc>
          <w:tcPr>
            <w:tcW w:w="2152" w:type="dxa"/>
          </w:tcPr>
          <w:p w14:paraId="12D15107" w14:textId="77777777" w:rsidR="00033F2E" w:rsidRPr="008B2158" w:rsidRDefault="00033F2E" w:rsidP="00ED64BB">
            <w:pPr>
              <w:spacing w:line="276" w:lineRule="auto"/>
              <w:contextualSpacing/>
              <w:rPr>
                <w:rFonts w:asciiTheme="minorBidi" w:hAnsiTheme="minorBidi"/>
                <w:lang w:val="en-US"/>
              </w:rPr>
            </w:pPr>
            <w:r>
              <w:rPr>
                <w:rFonts w:asciiTheme="minorBidi" w:hAnsiTheme="minorBidi"/>
                <w:lang w:val="en-US"/>
              </w:rPr>
              <w:t>chr12:</w:t>
            </w:r>
            <w:r w:rsidRPr="00C26E2F">
              <w:rPr>
                <w:rFonts w:asciiTheme="minorBidi" w:hAnsiTheme="minorBidi"/>
              </w:rPr>
              <w:t>9387271</w:t>
            </w:r>
            <w:r>
              <w:rPr>
                <w:rFonts w:asciiTheme="minorBidi" w:hAnsiTheme="minorBidi"/>
              </w:rPr>
              <w:t xml:space="preserve">- </w:t>
            </w:r>
            <w:r w:rsidRPr="00C26E2F">
              <w:rPr>
                <w:rFonts w:asciiTheme="minorBidi" w:hAnsiTheme="minorBidi"/>
              </w:rPr>
              <w:t>938727</w:t>
            </w:r>
            <w:r>
              <w:rPr>
                <w:rFonts w:asciiTheme="minorBidi" w:hAnsiTheme="minorBidi"/>
              </w:rPr>
              <w:t>2</w:t>
            </w:r>
          </w:p>
        </w:tc>
        <w:tc>
          <w:tcPr>
            <w:tcW w:w="1678" w:type="dxa"/>
          </w:tcPr>
          <w:p w14:paraId="031E3364" w14:textId="77777777" w:rsidR="00033F2E" w:rsidRPr="00B81F2B" w:rsidRDefault="00033F2E" w:rsidP="00ED64BB">
            <w:pPr>
              <w:spacing w:line="276" w:lineRule="auto"/>
              <w:contextualSpacing/>
              <w:rPr>
                <w:rFonts w:asciiTheme="minorBidi" w:hAnsiTheme="minorBidi"/>
                <w:i/>
                <w:iCs/>
              </w:rPr>
            </w:pPr>
            <w:r w:rsidRPr="00B81F2B">
              <w:rPr>
                <w:rFonts w:asciiTheme="minorBidi" w:hAnsiTheme="minorBidi"/>
                <w:i/>
                <w:iCs/>
                <w:lang w:val="en-US"/>
              </w:rPr>
              <w:t>A2MP1</w:t>
            </w:r>
          </w:p>
        </w:tc>
        <w:tc>
          <w:tcPr>
            <w:tcW w:w="1664" w:type="dxa"/>
            <w:vAlign w:val="center"/>
          </w:tcPr>
          <w:p w14:paraId="38A63F7F"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lang w:val="en-US"/>
              </w:rPr>
              <w:t>cg14335324</w:t>
            </w:r>
          </w:p>
        </w:tc>
        <w:tc>
          <w:tcPr>
            <w:tcW w:w="1117" w:type="dxa"/>
            <w:vAlign w:val="center"/>
          </w:tcPr>
          <w:p w14:paraId="5CDEBF82"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-0.23</w:t>
            </w:r>
          </w:p>
        </w:tc>
        <w:tc>
          <w:tcPr>
            <w:tcW w:w="1123" w:type="dxa"/>
            <w:vAlign w:val="center"/>
          </w:tcPr>
          <w:p w14:paraId="6865BCEF"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0.02</w:t>
            </w:r>
          </w:p>
        </w:tc>
        <w:tc>
          <w:tcPr>
            <w:tcW w:w="805" w:type="dxa"/>
            <w:vAlign w:val="center"/>
          </w:tcPr>
          <w:p w14:paraId="220E0D72"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-0.26</w:t>
            </w:r>
          </w:p>
        </w:tc>
        <w:tc>
          <w:tcPr>
            <w:tcW w:w="978" w:type="dxa"/>
            <w:vAlign w:val="center"/>
          </w:tcPr>
          <w:p w14:paraId="1026821E"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0.007</w:t>
            </w:r>
          </w:p>
        </w:tc>
        <w:tc>
          <w:tcPr>
            <w:tcW w:w="805" w:type="dxa"/>
            <w:vAlign w:val="center"/>
          </w:tcPr>
          <w:p w14:paraId="305A791D"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-0.26</w:t>
            </w:r>
          </w:p>
        </w:tc>
        <w:tc>
          <w:tcPr>
            <w:tcW w:w="977" w:type="dxa"/>
            <w:vAlign w:val="center"/>
          </w:tcPr>
          <w:p w14:paraId="19E51A90" w14:textId="77777777" w:rsidR="00033F2E" w:rsidRPr="00613311" w:rsidRDefault="00033F2E" w:rsidP="00ED64BB">
            <w:pPr>
              <w:spacing w:line="276" w:lineRule="auto"/>
              <w:contextualSpacing/>
              <w:jc w:val="center"/>
              <w:rPr>
                <w:rFonts w:asciiTheme="minorBidi" w:hAnsiTheme="minorBidi"/>
                <w:b/>
                <w:bCs/>
                <w:rtl/>
              </w:rPr>
            </w:pPr>
            <w:r w:rsidRPr="00613311">
              <w:rPr>
                <w:rFonts w:asciiTheme="minorBidi" w:hAnsiTheme="minorBidi"/>
                <w:b/>
                <w:bCs/>
              </w:rPr>
              <w:t>0.006</w:t>
            </w:r>
          </w:p>
        </w:tc>
      </w:tr>
      <w:tr w:rsidR="00033F2E" w:rsidRPr="00B81F2B" w14:paraId="50DF3FE5" w14:textId="77777777" w:rsidTr="00ED64BB">
        <w:trPr>
          <w:cantSplit/>
          <w:trHeight w:val="493"/>
        </w:trPr>
        <w:tc>
          <w:tcPr>
            <w:tcW w:w="2152" w:type="dxa"/>
          </w:tcPr>
          <w:p w14:paraId="70699BF1" w14:textId="77777777" w:rsidR="00033F2E" w:rsidRPr="008B2158" w:rsidRDefault="00033F2E" w:rsidP="00ED64BB">
            <w:pPr>
              <w:spacing w:line="276" w:lineRule="auto"/>
              <w:contextualSpacing/>
              <w:rPr>
                <w:rFonts w:asciiTheme="minorBidi" w:hAnsiTheme="minorBidi"/>
              </w:rPr>
            </w:pPr>
            <w:r>
              <w:rPr>
                <w:rFonts w:asciiTheme="minorBidi" w:hAnsiTheme="minorBidi"/>
              </w:rPr>
              <w:t>chr13:</w:t>
            </w:r>
            <w:r w:rsidRPr="00C26E2F">
              <w:rPr>
                <w:rFonts w:asciiTheme="minorBidi" w:hAnsiTheme="minorBidi"/>
              </w:rPr>
              <w:t>99084698</w:t>
            </w:r>
            <w:r>
              <w:rPr>
                <w:rFonts w:asciiTheme="minorBidi" w:hAnsiTheme="minorBidi"/>
              </w:rPr>
              <w:t xml:space="preserve">- </w:t>
            </w:r>
            <w:r w:rsidRPr="00C26E2F">
              <w:rPr>
                <w:rFonts w:asciiTheme="minorBidi" w:hAnsiTheme="minorBidi"/>
              </w:rPr>
              <w:t>9908469</w:t>
            </w:r>
            <w:r>
              <w:rPr>
                <w:rFonts w:asciiTheme="minorBidi" w:hAnsiTheme="minorBidi"/>
              </w:rPr>
              <w:t>9</w:t>
            </w:r>
          </w:p>
        </w:tc>
        <w:tc>
          <w:tcPr>
            <w:tcW w:w="1678" w:type="dxa"/>
          </w:tcPr>
          <w:p w14:paraId="1E906DCE" w14:textId="77777777" w:rsidR="00033F2E" w:rsidRPr="00B81F2B" w:rsidRDefault="00033F2E" w:rsidP="00ED64BB">
            <w:pPr>
              <w:spacing w:line="276" w:lineRule="auto"/>
              <w:contextualSpacing/>
              <w:rPr>
                <w:rFonts w:asciiTheme="minorBidi" w:hAnsiTheme="minorBidi"/>
                <w:i/>
                <w:iCs/>
                <w:lang w:val="en-US"/>
              </w:rPr>
            </w:pPr>
            <w:r w:rsidRPr="00B81F2B">
              <w:rPr>
                <w:rFonts w:asciiTheme="minorBidi" w:hAnsiTheme="minorBidi"/>
                <w:i/>
                <w:iCs/>
              </w:rPr>
              <w:t>FARP1</w:t>
            </w:r>
          </w:p>
        </w:tc>
        <w:tc>
          <w:tcPr>
            <w:tcW w:w="1664" w:type="dxa"/>
            <w:vAlign w:val="center"/>
          </w:tcPr>
          <w:p w14:paraId="25D1380D" w14:textId="77777777" w:rsidR="00033F2E" w:rsidRPr="00B81F2B" w:rsidRDefault="00033F2E" w:rsidP="00ED64BB">
            <w:pPr>
              <w:spacing w:line="276" w:lineRule="auto"/>
              <w:contextualSpacing/>
              <w:jc w:val="center"/>
              <w:rPr>
                <w:rFonts w:asciiTheme="minorBidi" w:hAnsiTheme="minorBidi"/>
                <w:lang w:val="en-US"/>
              </w:rPr>
            </w:pPr>
            <w:r w:rsidRPr="00B81F2B">
              <w:rPr>
                <w:rFonts w:asciiTheme="minorBidi" w:hAnsiTheme="minorBidi"/>
              </w:rPr>
              <w:t>cg21126338</w:t>
            </w:r>
          </w:p>
        </w:tc>
        <w:tc>
          <w:tcPr>
            <w:tcW w:w="1117" w:type="dxa"/>
            <w:vAlign w:val="center"/>
          </w:tcPr>
          <w:p w14:paraId="666017BF"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-0.36</w:t>
            </w:r>
          </w:p>
        </w:tc>
        <w:tc>
          <w:tcPr>
            <w:tcW w:w="1123" w:type="dxa"/>
            <w:vAlign w:val="center"/>
          </w:tcPr>
          <w:p w14:paraId="0F7BF01A"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&lt;0.001</w:t>
            </w:r>
          </w:p>
        </w:tc>
        <w:tc>
          <w:tcPr>
            <w:tcW w:w="805" w:type="dxa"/>
            <w:vAlign w:val="center"/>
          </w:tcPr>
          <w:p w14:paraId="20B6D6A3"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-0.32</w:t>
            </w:r>
          </w:p>
        </w:tc>
        <w:tc>
          <w:tcPr>
            <w:tcW w:w="978" w:type="dxa"/>
            <w:vAlign w:val="center"/>
          </w:tcPr>
          <w:p w14:paraId="2154DFBE"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0.001</w:t>
            </w:r>
          </w:p>
        </w:tc>
        <w:tc>
          <w:tcPr>
            <w:tcW w:w="805" w:type="dxa"/>
            <w:vAlign w:val="center"/>
          </w:tcPr>
          <w:p w14:paraId="50183C29"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-0.26</w:t>
            </w:r>
          </w:p>
        </w:tc>
        <w:tc>
          <w:tcPr>
            <w:tcW w:w="977" w:type="dxa"/>
            <w:vAlign w:val="center"/>
          </w:tcPr>
          <w:p w14:paraId="4CC8DD51"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0.007</w:t>
            </w:r>
          </w:p>
        </w:tc>
      </w:tr>
      <w:tr w:rsidR="00033F2E" w:rsidRPr="00B81F2B" w14:paraId="4842DAF2" w14:textId="77777777" w:rsidTr="00ED64BB">
        <w:trPr>
          <w:cantSplit/>
          <w:trHeight w:val="493"/>
        </w:trPr>
        <w:tc>
          <w:tcPr>
            <w:tcW w:w="2152" w:type="dxa"/>
          </w:tcPr>
          <w:p w14:paraId="1FA31B5F" w14:textId="77777777" w:rsidR="00033F2E" w:rsidRPr="00D975F0" w:rsidRDefault="00033F2E" w:rsidP="00ED64BB">
            <w:pPr>
              <w:spacing w:line="276" w:lineRule="auto"/>
              <w:contextualSpacing/>
              <w:rPr>
                <w:rFonts w:asciiTheme="minorBidi" w:hAnsiTheme="minorBidi"/>
              </w:rPr>
            </w:pPr>
            <w:r>
              <w:rPr>
                <w:rFonts w:asciiTheme="minorBidi" w:hAnsiTheme="minorBidi"/>
              </w:rPr>
              <w:t>chr13:</w:t>
            </w:r>
            <w:r w:rsidRPr="00C26E2F">
              <w:rPr>
                <w:rFonts w:asciiTheme="minorBidi" w:hAnsiTheme="minorBidi"/>
              </w:rPr>
              <w:t>98869894</w:t>
            </w:r>
            <w:r>
              <w:rPr>
                <w:rFonts w:asciiTheme="minorBidi" w:hAnsiTheme="minorBidi"/>
              </w:rPr>
              <w:t xml:space="preserve">- </w:t>
            </w:r>
            <w:r w:rsidRPr="00C26E2F">
              <w:rPr>
                <w:rFonts w:asciiTheme="minorBidi" w:hAnsiTheme="minorBidi"/>
              </w:rPr>
              <w:t>9886989</w:t>
            </w:r>
            <w:r>
              <w:rPr>
                <w:rFonts w:asciiTheme="minorBidi" w:hAnsiTheme="minorBidi"/>
              </w:rPr>
              <w:t>5</w:t>
            </w:r>
          </w:p>
        </w:tc>
        <w:tc>
          <w:tcPr>
            <w:tcW w:w="1678" w:type="dxa"/>
          </w:tcPr>
          <w:p w14:paraId="4F5DC38F" w14:textId="77777777" w:rsidR="00033F2E" w:rsidRPr="00B81F2B" w:rsidRDefault="00033F2E" w:rsidP="00ED64BB">
            <w:pPr>
              <w:spacing w:line="276" w:lineRule="auto"/>
              <w:contextualSpacing/>
              <w:rPr>
                <w:rFonts w:asciiTheme="minorBidi" w:hAnsiTheme="minorBidi"/>
                <w:i/>
                <w:iCs/>
              </w:rPr>
            </w:pPr>
            <w:r w:rsidRPr="00B81F2B">
              <w:rPr>
                <w:rFonts w:asciiTheme="minorBidi" w:hAnsiTheme="minorBidi"/>
                <w:i/>
                <w:iCs/>
              </w:rPr>
              <w:t>FARP1</w:t>
            </w:r>
          </w:p>
        </w:tc>
        <w:tc>
          <w:tcPr>
            <w:tcW w:w="1664" w:type="dxa"/>
            <w:vAlign w:val="center"/>
          </w:tcPr>
          <w:p w14:paraId="5B2419B1"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lang w:val="en-US"/>
              </w:rPr>
              <w:t>cg00071727</w:t>
            </w:r>
          </w:p>
        </w:tc>
        <w:tc>
          <w:tcPr>
            <w:tcW w:w="1117" w:type="dxa"/>
            <w:vAlign w:val="center"/>
          </w:tcPr>
          <w:p w14:paraId="12FA85DA" w14:textId="77777777" w:rsidR="00033F2E" w:rsidRPr="00B81F2B" w:rsidRDefault="00033F2E" w:rsidP="00ED64BB">
            <w:pPr>
              <w:spacing w:line="276" w:lineRule="auto"/>
              <w:contextualSpacing/>
              <w:jc w:val="center"/>
              <w:rPr>
                <w:rFonts w:asciiTheme="minorBidi" w:hAnsiTheme="minorBidi"/>
                <w:lang w:val="en-US"/>
              </w:rPr>
            </w:pPr>
            <w:r w:rsidRPr="00B81F2B">
              <w:rPr>
                <w:rFonts w:asciiTheme="minorBidi" w:hAnsiTheme="minorBidi"/>
              </w:rPr>
              <w:t>-0.29</w:t>
            </w:r>
          </w:p>
        </w:tc>
        <w:tc>
          <w:tcPr>
            <w:tcW w:w="1123" w:type="dxa"/>
            <w:vAlign w:val="center"/>
          </w:tcPr>
          <w:p w14:paraId="2FEDBAE9"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0.002</w:t>
            </w:r>
          </w:p>
        </w:tc>
        <w:tc>
          <w:tcPr>
            <w:tcW w:w="805" w:type="dxa"/>
            <w:vAlign w:val="center"/>
          </w:tcPr>
          <w:p w14:paraId="4E2857C2"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-0.31</w:t>
            </w:r>
          </w:p>
        </w:tc>
        <w:tc>
          <w:tcPr>
            <w:tcW w:w="978" w:type="dxa"/>
            <w:vAlign w:val="center"/>
          </w:tcPr>
          <w:p w14:paraId="7CBB8284"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0.001</w:t>
            </w:r>
          </w:p>
        </w:tc>
        <w:tc>
          <w:tcPr>
            <w:tcW w:w="805" w:type="dxa"/>
            <w:vAlign w:val="center"/>
          </w:tcPr>
          <w:p w14:paraId="408B0860" w14:textId="77777777" w:rsidR="00033F2E" w:rsidRPr="00B81F2B" w:rsidRDefault="00033F2E" w:rsidP="00ED64BB">
            <w:pPr>
              <w:spacing w:line="276" w:lineRule="auto"/>
              <w:contextualSpacing/>
              <w:jc w:val="center"/>
              <w:rPr>
                <w:rFonts w:asciiTheme="minorBidi" w:hAnsiTheme="minorBidi"/>
              </w:rPr>
            </w:pPr>
            <w:r w:rsidRPr="00B81F2B">
              <w:rPr>
                <w:rFonts w:asciiTheme="minorBidi" w:hAnsiTheme="minorBidi"/>
              </w:rPr>
              <w:t>-0.31</w:t>
            </w:r>
          </w:p>
        </w:tc>
        <w:tc>
          <w:tcPr>
            <w:tcW w:w="977" w:type="dxa"/>
            <w:vAlign w:val="center"/>
          </w:tcPr>
          <w:p w14:paraId="30CD1F9F" w14:textId="77777777" w:rsidR="00033F2E" w:rsidRPr="00613311" w:rsidRDefault="00033F2E" w:rsidP="00ED64BB">
            <w:pPr>
              <w:spacing w:line="276" w:lineRule="auto"/>
              <w:contextualSpacing/>
              <w:jc w:val="center"/>
              <w:rPr>
                <w:rFonts w:asciiTheme="minorBidi" w:hAnsiTheme="minorBidi"/>
                <w:b/>
                <w:bCs/>
              </w:rPr>
            </w:pPr>
            <w:r w:rsidRPr="00613311">
              <w:rPr>
                <w:rFonts w:asciiTheme="minorBidi" w:hAnsiTheme="minorBidi"/>
                <w:b/>
                <w:bCs/>
              </w:rPr>
              <w:t>0.001</w:t>
            </w:r>
          </w:p>
        </w:tc>
      </w:tr>
      <w:bookmarkEnd w:id="16"/>
    </w:tbl>
    <w:p w14:paraId="47D65AFE" w14:textId="77777777" w:rsidR="00033F2E" w:rsidRPr="003B6161" w:rsidRDefault="00033F2E" w:rsidP="00033F2E">
      <w:pPr>
        <w:spacing w:line="480" w:lineRule="auto"/>
        <w:contextualSpacing/>
        <w:rPr>
          <w:rFonts w:asciiTheme="minorBidi" w:hAnsiTheme="minorBidi"/>
          <w:u w:val="single"/>
        </w:rPr>
      </w:pPr>
    </w:p>
    <w:p w14:paraId="056D9D64" w14:textId="77777777" w:rsidR="00033F2E" w:rsidRPr="003B6161" w:rsidRDefault="00033F2E" w:rsidP="00033F2E">
      <w:pPr>
        <w:contextualSpacing/>
        <w:rPr>
          <w:rFonts w:asciiTheme="minorBidi" w:hAnsiTheme="minorBidi"/>
        </w:rPr>
      </w:pPr>
      <w:r w:rsidRPr="003B6161">
        <w:rPr>
          <w:rFonts w:asciiTheme="minorBidi" w:hAnsiTheme="minorBidi"/>
        </w:rPr>
        <w:t>Model 1: Adjusted for age, sex, and baseline body mass index</w:t>
      </w:r>
    </w:p>
    <w:p w14:paraId="593BB402" w14:textId="77777777" w:rsidR="00033F2E" w:rsidRPr="003B6161" w:rsidRDefault="00033F2E" w:rsidP="00033F2E">
      <w:pPr>
        <w:contextualSpacing/>
        <w:rPr>
          <w:rFonts w:asciiTheme="minorBidi" w:hAnsiTheme="minorBidi"/>
        </w:rPr>
      </w:pPr>
      <w:r w:rsidRPr="003B6161">
        <w:rPr>
          <w:rFonts w:asciiTheme="minorBidi" w:hAnsiTheme="minorBidi"/>
        </w:rPr>
        <w:t>Model 2: Adjusted for age, sex, and baseline waist circumference</w:t>
      </w:r>
    </w:p>
    <w:p w14:paraId="627590C8" w14:textId="77777777" w:rsidR="00033F2E" w:rsidRPr="003B6161" w:rsidRDefault="00033F2E" w:rsidP="00033F2E">
      <w:pPr>
        <w:contextualSpacing/>
        <w:rPr>
          <w:rFonts w:asciiTheme="minorBidi" w:hAnsiTheme="minorBidi"/>
        </w:rPr>
      </w:pPr>
      <w:r w:rsidRPr="003B6161">
        <w:rPr>
          <w:rFonts w:asciiTheme="minorBidi" w:hAnsiTheme="minorBidi"/>
        </w:rPr>
        <w:t>Model 3: Adjusted for age, sex, and baseline visceral adipose tissue</w:t>
      </w:r>
    </w:p>
    <w:p w14:paraId="5340439D" w14:textId="77777777" w:rsidR="00033F2E" w:rsidRPr="003B6161" w:rsidRDefault="00033F2E" w:rsidP="00033F2E">
      <w:pPr>
        <w:contextualSpacing/>
        <w:rPr>
          <w:rFonts w:asciiTheme="minorBidi" w:hAnsiTheme="minorBidi"/>
        </w:rPr>
      </w:pPr>
      <w:r w:rsidRPr="003B6161">
        <w:rPr>
          <w:rFonts w:asciiTheme="minorBidi" w:hAnsiTheme="minorBidi"/>
          <w:i/>
          <w:iCs/>
        </w:rPr>
        <w:t>A2MP1</w:t>
      </w:r>
      <w:r w:rsidRPr="003B6161">
        <w:rPr>
          <w:rFonts w:asciiTheme="minorBidi" w:hAnsiTheme="minorBidi"/>
        </w:rPr>
        <w:t xml:space="preserve">, Alpha-2-Macroglobulin Pseudogene 1; </w:t>
      </w:r>
      <w:r w:rsidRPr="003B6161">
        <w:rPr>
          <w:rFonts w:asciiTheme="minorBidi" w:hAnsiTheme="minorBidi"/>
          <w:i/>
          <w:iCs/>
        </w:rPr>
        <w:t>CRACR2A</w:t>
      </w:r>
      <w:r w:rsidRPr="003B6161">
        <w:rPr>
          <w:rFonts w:asciiTheme="minorBidi" w:hAnsiTheme="minorBidi"/>
        </w:rPr>
        <w:t xml:space="preserve">, Calcium Release Activated Channel Regulator 2A; </w:t>
      </w:r>
      <w:r w:rsidRPr="003B6161">
        <w:rPr>
          <w:rFonts w:asciiTheme="minorBidi" w:hAnsiTheme="minorBidi"/>
          <w:i/>
          <w:iCs/>
        </w:rPr>
        <w:t>FARP1</w:t>
      </w:r>
      <w:r w:rsidRPr="003B6161">
        <w:rPr>
          <w:rFonts w:asciiTheme="minorBidi" w:hAnsiTheme="minorBidi"/>
        </w:rPr>
        <w:t>, FERM, ARH/RhoGEF And Pleckstrin Domain Protein 1.</w:t>
      </w:r>
    </w:p>
    <w:p w14:paraId="2EA5CD9F" w14:textId="306BE756" w:rsidR="00033F2E" w:rsidRDefault="00033F2E" w:rsidP="007D2E98">
      <w:pPr>
        <w:spacing w:line="480" w:lineRule="auto"/>
        <w:contextualSpacing/>
        <w:rPr>
          <w:rFonts w:asciiTheme="minorBidi" w:hAnsiTheme="minorBidi"/>
          <w:u w:val="single"/>
        </w:rPr>
      </w:pPr>
    </w:p>
    <w:p w14:paraId="3696A1A3" w14:textId="4BC3CA6C" w:rsidR="00033F2E" w:rsidRDefault="00033F2E" w:rsidP="007D2E98">
      <w:pPr>
        <w:spacing w:line="480" w:lineRule="auto"/>
        <w:contextualSpacing/>
        <w:rPr>
          <w:rFonts w:asciiTheme="minorBidi" w:hAnsiTheme="minorBidi"/>
          <w:u w:val="single"/>
        </w:rPr>
      </w:pPr>
    </w:p>
    <w:p w14:paraId="313973C4" w14:textId="041AFA94" w:rsidR="00033F2E" w:rsidRDefault="00033F2E" w:rsidP="007D2E98">
      <w:pPr>
        <w:spacing w:line="480" w:lineRule="auto"/>
        <w:contextualSpacing/>
        <w:rPr>
          <w:rFonts w:asciiTheme="minorBidi" w:hAnsiTheme="minorBidi"/>
          <w:u w:val="single"/>
        </w:rPr>
      </w:pPr>
    </w:p>
    <w:p w14:paraId="1A0BA11D" w14:textId="4B30827E" w:rsidR="00033F2E" w:rsidRDefault="00033F2E" w:rsidP="007D2E98">
      <w:pPr>
        <w:spacing w:line="480" w:lineRule="auto"/>
        <w:contextualSpacing/>
        <w:rPr>
          <w:rFonts w:asciiTheme="minorBidi" w:hAnsiTheme="minorBidi"/>
          <w:u w:val="single"/>
        </w:rPr>
      </w:pPr>
    </w:p>
    <w:p w14:paraId="1F0AF504" w14:textId="02665ABF" w:rsidR="00033F2E" w:rsidRDefault="00033F2E" w:rsidP="007D2E98">
      <w:pPr>
        <w:spacing w:line="480" w:lineRule="auto"/>
        <w:contextualSpacing/>
        <w:rPr>
          <w:rFonts w:asciiTheme="minorBidi" w:hAnsiTheme="minorBidi"/>
          <w:u w:val="single"/>
        </w:rPr>
      </w:pPr>
    </w:p>
    <w:p w14:paraId="2BB3FF05" w14:textId="334B2E0C" w:rsidR="00033F2E" w:rsidRDefault="00033F2E" w:rsidP="007D2E98">
      <w:pPr>
        <w:spacing w:line="480" w:lineRule="auto"/>
        <w:contextualSpacing/>
        <w:rPr>
          <w:rFonts w:asciiTheme="minorBidi" w:hAnsiTheme="minorBidi"/>
          <w:u w:val="single"/>
        </w:rPr>
      </w:pPr>
    </w:p>
    <w:p w14:paraId="66325AEC" w14:textId="34D70466" w:rsidR="00033F2E" w:rsidRDefault="00033F2E" w:rsidP="007D2E98">
      <w:pPr>
        <w:spacing w:line="480" w:lineRule="auto"/>
        <w:contextualSpacing/>
        <w:rPr>
          <w:rFonts w:asciiTheme="minorBidi" w:hAnsiTheme="minorBidi"/>
          <w:u w:val="single"/>
        </w:rPr>
      </w:pPr>
    </w:p>
    <w:p w14:paraId="37D08FC7" w14:textId="57288D26" w:rsidR="00033F2E" w:rsidRDefault="00033F2E" w:rsidP="007D2E98">
      <w:pPr>
        <w:spacing w:line="480" w:lineRule="auto"/>
        <w:contextualSpacing/>
        <w:rPr>
          <w:rFonts w:asciiTheme="minorBidi" w:hAnsiTheme="minorBidi"/>
          <w:u w:val="single"/>
        </w:rPr>
      </w:pPr>
    </w:p>
    <w:p w14:paraId="49BBCC10" w14:textId="449052CF" w:rsidR="00033F2E" w:rsidRDefault="00033F2E" w:rsidP="007D2E98">
      <w:pPr>
        <w:spacing w:line="480" w:lineRule="auto"/>
        <w:contextualSpacing/>
        <w:rPr>
          <w:rFonts w:asciiTheme="minorBidi" w:hAnsiTheme="minorBidi"/>
          <w:u w:val="single"/>
        </w:rPr>
      </w:pPr>
    </w:p>
    <w:p w14:paraId="6FC5B699" w14:textId="0EFAFEE6" w:rsidR="00033F2E" w:rsidRDefault="00033F2E" w:rsidP="007D2E98">
      <w:pPr>
        <w:spacing w:line="480" w:lineRule="auto"/>
        <w:contextualSpacing/>
        <w:rPr>
          <w:rFonts w:asciiTheme="minorBidi" w:hAnsiTheme="minorBidi"/>
          <w:u w:val="single"/>
        </w:rPr>
      </w:pPr>
    </w:p>
    <w:p w14:paraId="4E118603" w14:textId="114EED5F" w:rsidR="00033F2E" w:rsidRDefault="00033F2E" w:rsidP="007D2E98">
      <w:pPr>
        <w:spacing w:line="480" w:lineRule="auto"/>
        <w:contextualSpacing/>
        <w:rPr>
          <w:rFonts w:asciiTheme="minorBidi" w:hAnsiTheme="minorBidi"/>
          <w:u w:val="single"/>
        </w:rPr>
      </w:pPr>
    </w:p>
    <w:p w14:paraId="1BF5058B" w14:textId="21E26988" w:rsidR="00033F2E" w:rsidRDefault="00033F2E" w:rsidP="007D2E98">
      <w:pPr>
        <w:spacing w:line="480" w:lineRule="auto"/>
        <w:contextualSpacing/>
        <w:rPr>
          <w:rFonts w:asciiTheme="minorBidi" w:hAnsiTheme="minorBidi"/>
          <w:u w:val="single"/>
        </w:rPr>
      </w:pPr>
    </w:p>
    <w:p w14:paraId="05F75D8D" w14:textId="77777777" w:rsidR="00033F2E" w:rsidRPr="00B81F2B" w:rsidRDefault="00033F2E" w:rsidP="007D2E98">
      <w:pPr>
        <w:spacing w:line="480" w:lineRule="auto"/>
        <w:contextualSpacing/>
        <w:rPr>
          <w:rFonts w:asciiTheme="minorBidi" w:hAnsiTheme="minorBidi"/>
          <w:u w:val="single"/>
        </w:rPr>
      </w:pPr>
    </w:p>
    <w:p w14:paraId="0537EDA9" w14:textId="35023304" w:rsidR="007D2E98" w:rsidRDefault="007D2E98" w:rsidP="007D2E98">
      <w:pPr>
        <w:spacing w:line="480" w:lineRule="auto"/>
        <w:rPr>
          <w:rFonts w:asciiTheme="minorBidi" w:hAnsiTheme="minorBidi"/>
        </w:rPr>
      </w:pPr>
      <w:r>
        <w:rPr>
          <w:rFonts w:asciiTheme="minorBidi" w:hAnsiTheme="minorBidi"/>
          <w:b/>
          <w:bCs/>
        </w:rPr>
        <w:lastRenderedPageBreak/>
        <w:t>Table</w:t>
      </w:r>
      <w:r w:rsidR="00033F2E">
        <w:rPr>
          <w:rFonts w:asciiTheme="minorBidi" w:hAnsiTheme="minorBidi"/>
          <w:b/>
          <w:bCs/>
          <w:lang w:val="en-US"/>
        </w:rPr>
        <w:t xml:space="preserve"> 3</w:t>
      </w:r>
      <w:r>
        <w:rPr>
          <w:rFonts w:asciiTheme="minorBidi" w:hAnsiTheme="minorBidi"/>
          <w:b/>
          <w:bCs/>
        </w:rPr>
        <w:t xml:space="preserve">: </w:t>
      </w:r>
      <w:r>
        <w:rPr>
          <w:rFonts w:asciiTheme="minorBidi" w:hAnsiTheme="minorBidi"/>
        </w:rPr>
        <w:t>Between lifestyle group differences, the 18-month change in specific CpGs</w:t>
      </w:r>
    </w:p>
    <w:tbl>
      <w:tblPr>
        <w:tblStyle w:val="TableGrid"/>
        <w:tblW w:w="10963" w:type="dxa"/>
        <w:tblInd w:w="-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717"/>
        <w:gridCol w:w="1185"/>
        <w:gridCol w:w="1346"/>
        <w:gridCol w:w="1270"/>
        <w:gridCol w:w="1214"/>
        <w:gridCol w:w="1230"/>
        <w:gridCol w:w="1270"/>
      </w:tblGrid>
      <w:tr w:rsidR="00033F2E" w14:paraId="6506977D" w14:textId="77777777" w:rsidTr="00ED64BB">
        <w:trPr>
          <w:trHeight w:val="282"/>
        </w:trPr>
        <w:tc>
          <w:tcPr>
            <w:tcW w:w="1731" w:type="dxa"/>
            <w:vMerge w:val="restart"/>
            <w:tcBorders>
              <w:top w:val="single" w:sz="4" w:space="0" w:color="auto"/>
              <w:bottom w:val="nil"/>
            </w:tcBorders>
            <w:vAlign w:val="bottom"/>
          </w:tcPr>
          <w:p w14:paraId="281BC39B" w14:textId="77777777" w:rsidR="00033F2E" w:rsidRDefault="00033F2E" w:rsidP="00ED64BB">
            <w:pPr>
              <w:spacing w:line="480" w:lineRule="auto"/>
              <w:rPr>
                <w:rFonts w:asciiTheme="minorBidi" w:hAnsiTheme="minorBidi"/>
              </w:rPr>
            </w:pPr>
            <w:r w:rsidRPr="00B81F2B">
              <w:rPr>
                <w:rFonts w:asciiTheme="minorBidi" w:hAnsiTheme="minorBidi"/>
                <w:b/>
                <w:bCs/>
              </w:rPr>
              <w:t>Gene name</w:t>
            </w:r>
          </w:p>
        </w:tc>
        <w:tc>
          <w:tcPr>
            <w:tcW w:w="1717" w:type="dxa"/>
            <w:vMerge w:val="restart"/>
            <w:tcBorders>
              <w:top w:val="single" w:sz="4" w:space="0" w:color="auto"/>
              <w:bottom w:val="nil"/>
            </w:tcBorders>
            <w:vAlign w:val="bottom"/>
          </w:tcPr>
          <w:p w14:paraId="4C2BC934" w14:textId="77777777" w:rsidR="00033F2E" w:rsidRDefault="00033F2E" w:rsidP="00ED64BB">
            <w:pPr>
              <w:spacing w:line="480" w:lineRule="auto"/>
              <w:rPr>
                <w:rFonts w:asciiTheme="minorBidi" w:hAnsiTheme="minorBidi"/>
              </w:rPr>
            </w:pPr>
            <w:r w:rsidRPr="00B81F2B">
              <w:rPr>
                <w:rFonts w:asciiTheme="minorBidi" w:hAnsiTheme="minorBidi"/>
                <w:b/>
                <w:bCs/>
              </w:rPr>
              <w:t>CpG</w:t>
            </w:r>
          </w:p>
        </w:tc>
        <w:tc>
          <w:tcPr>
            <w:tcW w:w="3801" w:type="dxa"/>
            <w:gridSpan w:val="3"/>
            <w:tcBorders>
              <w:top w:val="single" w:sz="4" w:space="0" w:color="auto"/>
              <w:bottom w:val="single" w:sz="4" w:space="0" w:color="auto"/>
            </w:tcBorders>
            <w:vAlign w:val="bottom"/>
          </w:tcPr>
          <w:p w14:paraId="46D2BD10" w14:textId="77777777" w:rsidR="00033F2E" w:rsidRPr="00B43707" w:rsidRDefault="00033F2E" w:rsidP="00ED64BB">
            <w:pPr>
              <w:spacing w:line="480" w:lineRule="auto"/>
              <w:jc w:val="center"/>
              <w:rPr>
                <w:rFonts w:asciiTheme="minorBidi" w:hAnsiTheme="minorBidi"/>
                <w:b/>
                <w:bCs/>
              </w:rPr>
            </w:pPr>
            <w:r w:rsidRPr="00B43707">
              <w:rPr>
                <w:rFonts w:asciiTheme="minorBidi" w:hAnsiTheme="minorBidi"/>
                <w:b/>
                <w:bCs/>
              </w:rPr>
              <w:t>Diet intervention</w:t>
            </w:r>
          </w:p>
        </w:tc>
        <w:tc>
          <w:tcPr>
            <w:tcW w:w="3714" w:type="dxa"/>
            <w:gridSpan w:val="3"/>
            <w:tcBorders>
              <w:top w:val="single" w:sz="4" w:space="0" w:color="auto"/>
              <w:bottom w:val="single" w:sz="4" w:space="0" w:color="auto"/>
            </w:tcBorders>
            <w:vAlign w:val="bottom"/>
          </w:tcPr>
          <w:p w14:paraId="1DABDB3E" w14:textId="77777777" w:rsidR="00033F2E" w:rsidRPr="00B43707" w:rsidRDefault="00033F2E" w:rsidP="00ED64BB">
            <w:pPr>
              <w:spacing w:line="480" w:lineRule="auto"/>
              <w:jc w:val="center"/>
              <w:rPr>
                <w:rFonts w:asciiTheme="minorBidi" w:hAnsiTheme="minorBidi"/>
                <w:b/>
                <w:bCs/>
              </w:rPr>
            </w:pPr>
            <w:r w:rsidRPr="00B43707">
              <w:rPr>
                <w:rFonts w:asciiTheme="minorBidi" w:hAnsiTheme="minorBidi"/>
                <w:b/>
                <w:bCs/>
              </w:rPr>
              <w:t>PA intervention</w:t>
            </w:r>
          </w:p>
        </w:tc>
      </w:tr>
      <w:tr w:rsidR="00033F2E" w14:paraId="5B2FE78C" w14:textId="77777777" w:rsidTr="00ED64BB">
        <w:trPr>
          <w:trHeight w:val="568"/>
        </w:trPr>
        <w:tc>
          <w:tcPr>
            <w:tcW w:w="1731" w:type="dxa"/>
            <w:vMerge/>
            <w:tcBorders>
              <w:top w:val="nil"/>
              <w:bottom w:val="single" w:sz="4" w:space="0" w:color="auto"/>
            </w:tcBorders>
            <w:vAlign w:val="bottom"/>
          </w:tcPr>
          <w:p w14:paraId="48EE7891" w14:textId="77777777" w:rsidR="00033F2E" w:rsidRDefault="00033F2E" w:rsidP="00ED64BB">
            <w:pPr>
              <w:spacing w:line="480" w:lineRule="auto"/>
              <w:jc w:val="center"/>
              <w:rPr>
                <w:rFonts w:asciiTheme="minorBidi" w:hAnsiTheme="minorBidi"/>
              </w:rPr>
            </w:pPr>
          </w:p>
        </w:tc>
        <w:tc>
          <w:tcPr>
            <w:tcW w:w="1717" w:type="dxa"/>
            <w:vMerge/>
            <w:tcBorders>
              <w:top w:val="nil"/>
              <w:bottom w:val="single" w:sz="4" w:space="0" w:color="auto"/>
            </w:tcBorders>
            <w:vAlign w:val="bottom"/>
          </w:tcPr>
          <w:p w14:paraId="7F942A90" w14:textId="77777777" w:rsidR="00033F2E" w:rsidRDefault="00033F2E" w:rsidP="00ED64BB">
            <w:pPr>
              <w:spacing w:line="480" w:lineRule="auto"/>
              <w:jc w:val="center"/>
              <w:rPr>
                <w:rFonts w:asciiTheme="minorBidi" w:hAnsiTheme="minorBidi"/>
              </w:rPr>
            </w:pPr>
          </w:p>
        </w:tc>
        <w:tc>
          <w:tcPr>
            <w:tcW w:w="1185" w:type="dxa"/>
            <w:tcBorders>
              <w:top w:val="single" w:sz="4" w:space="0" w:color="auto"/>
              <w:bottom w:val="single" w:sz="4" w:space="0" w:color="auto"/>
            </w:tcBorders>
            <w:vAlign w:val="center"/>
          </w:tcPr>
          <w:p w14:paraId="7231D8FC" w14:textId="77777777" w:rsidR="00033F2E" w:rsidRPr="00B43707" w:rsidRDefault="00033F2E" w:rsidP="00ED64BB">
            <w:pPr>
              <w:spacing w:line="480" w:lineRule="auto"/>
              <w:jc w:val="center"/>
              <w:rPr>
                <w:rFonts w:asciiTheme="minorBidi" w:hAnsiTheme="minorBidi"/>
                <w:b/>
                <w:bCs/>
              </w:rPr>
            </w:pPr>
            <w:r w:rsidRPr="00B43707">
              <w:rPr>
                <w:rFonts w:asciiTheme="minorBidi" w:hAnsiTheme="minorBidi"/>
                <w:b/>
                <w:bCs/>
              </w:rPr>
              <w:t>LF</w:t>
            </w:r>
          </w:p>
        </w:tc>
        <w:tc>
          <w:tcPr>
            <w:tcW w:w="1346" w:type="dxa"/>
            <w:tcBorders>
              <w:top w:val="single" w:sz="4" w:space="0" w:color="auto"/>
              <w:bottom w:val="single" w:sz="4" w:space="0" w:color="auto"/>
            </w:tcBorders>
            <w:vAlign w:val="center"/>
          </w:tcPr>
          <w:p w14:paraId="7D5E335B" w14:textId="77777777" w:rsidR="00033F2E" w:rsidRPr="00B43707" w:rsidRDefault="00033F2E" w:rsidP="00ED64BB">
            <w:pPr>
              <w:spacing w:line="480" w:lineRule="auto"/>
              <w:jc w:val="center"/>
              <w:rPr>
                <w:rFonts w:asciiTheme="minorBidi" w:hAnsiTheme="minorBidi"/>
                <w:b/>
                <w:bCs/>
              </w:rPr>
            </w:pPr>
            <w:r w:rsidRPr="00B43707">
              <w:rPr>
                <w:rFonts w:asciiTheme="minorBidi" w:hAnsiTheme="minorBidi"/>
                <w:b/>
                <w:bCs/>
              </w:rPr>
              <w:t>MED/LC</w:t>
            </w:r>
          </w:p>
        </w:tc>
        <w:tc>
          <w:tcPr>
            <w:tcW w:w="1269" w:type="dxa"/>
            <w:tcBorders>
              <w:top w:val="single" w:sz="4" w:space="0" w:color="auto"/>
              <w:bottom w:val="single" w:sz="4" w:space="0" w:color="auto"/>
            </w:tcBorders>
            <w:vAlign w:val="center"/>
          </w:tcPr>
          <w:p w14:paraId="21E514FC" w14:textId="77777777" w:rsidR="00033F2E" w:rsidRPr="000F44D6" w:rsidRDefault="00033F2E" w:rsidP="00ED64BB">
            <w:pPr>
              <w:spacing w:line="480" w:lineRule="auto"/>
              <w:jc w:val="center"/>
              <w:rPr>
                <w:rFonts w:asciiTheme="minorBidi" w:hAnsiTheme="minorBidi"/>
                <w:b/>
                <w:bCs/>
                <w:vertAlign w:val="superscript"/>
              </w:rPr>
            </w:pPr>
            <w:r w:rsidRPr="00B43707">
              <w:rPr>
                <w:rFonts w:asciiTheme="minorBidi" w:hAnsiTheme="minorBidi"/>
                <w:b/>
                <w:bCs/>
              </w:rPr>
              <w:t>p-value</w:t>
            </w:r>
            <w:r w:rsidRPr="00904497">
              <w:rPr>
                <w:rFonts w:ascii="Arial" w:hAnsi="Arial" w:cs="Arial"/>
                <w:b/>
                <w:bCs/>
                <w:color w:val="1C1D1E"/>
                <w:sz w:val="21"/>
                <w:szCs w:val="21"/>
                <w:shd w:val="clear" w:color="auto" w:fill="FFFFFF"/>
                <w:vertAlign w:val="superscript"/>
              </w:rPr>
              <w:t>†</w:t>
            </w:r>
          </w:p>
        </w:tc>
        <w:tc>
          <w:tcPr>
            <w:tcW w:w="1214" w:type="dxa"/>
            <w:tcBorders>
              <w:top w:val="single" w:sz="4" w:space="0" w:color="auto"/>
              <w:bottom w:val="single" w:sz="4" w:space="0" w:color="auto"/>
            </w:tcBorders>
            <w:vAlign w:val="center"/>
          </w:tcPr>
          <w:p w14:paraId="6C62C2D0" w14:textId="77777777" w:rsidR="00033F2E" w:rsidRPr="00B43707" w:rsidRDefault="00033F2E" w:rsidP="00ED64BB">
            <w:pPr>
              <w:spacing w:line="480" w:lineRule="auto"/>
              <w:jc w:val="center"/>
              <w:rPr>
                <w:rFonts w:asciiTheme="minorBidi" w:hAnsiTheme="minorBidi"/>
                <w:b/>
                <w:bCs/>
              </w:rPr>
            </w:pPr>
            <w:r w:rsidRPr="00B43707">
              <w:rPr>
                <w:rFonts w:asciiTheme="minorBidi" w:hAnsiTheme="minorBidi"/>
                <w:b/>
                <w:bCs/>
              </w:rPr>
              <w:t>PA-</w:t>
            </w:r>
          </w:p>
        </w:tc>
        <w:tc>
          <w:tcPr>
            <w:tcW w:w="1230" w:type="dxa"/>
            <w:tcBorders>
              <w:top w:val="single" w:sz="4" w:space="0" w:color="auto"/>
              <w:bottom w:val="single" w:sz="4" w:space="0" w:color="auto"/>
            </w:tcBorders>
            <w:vAlign w:val="center"/>
          </w:tcPr>
          <w:p w14:paraId="23D89967" w14:textId="77777777" w:rsidR="00033F2E" w:rsidRPr="00B43707" w:rsidRDefault="00033F2E" w:rsidP="00ED64BB">
            <w:pPr>
              <w:spacing w:line="480" w:lineRule="auto"/>
              <w:jc w:val="center"/>
              <w:rPr>
                <w:rFonts w:asciiTheme="minorBidi" w:hAnsiTheme="minorBidi"/>
                <w:b/>
                <w:bCs/>
              </w:rPr>
            </w:pPr>
            <w:r w:rsidRPr="00B43707">
              <w:rPr>
                <w:rFonts w:asciiTheme="minorBidi" w:hAnsiTheme="minorBidi"/>
                <w:b/>
                <w:bCs/>
              </w:rPr>
              <w:t>PA+</w:t>
            </w:r>
          </w:p>
        </w:tc>
        <w:tc>
          <w:tcPr>
            <w:tcW w:w="1270" w:type="dxa"/>
            <w:tcBorders>
              <w:top w:val="single" w:sz="4" w:space="0" w:color="auto"/>
              <w:bottom w:val="single" w:sz="4" w:space="0" w:color="auto"/>
            </w:tcBorders>
            <w:vAlign w:val="center"/>
          </w:tcPr>
          <w:p w14:paraId="4781D75D" w14:textId="77777777" w:rsidR="00033F2E" w:rsidRPr="000F44D6" w:rsidRDefault="00033F2E" w:rsidP="00ED64BB">
            <w:pPr>
              <w:spacing w:line="480" w:lineRule="auto"/>
              <w:jc w:val="center"/>
              <w:rPr>
                <w:rFonts w:asciiTheme="minorBidi" w:hAnsiTheme="minorBidi"/>
                <w:b/>
                <w:bCs/>
                <w:vertAlign w:val="superscript"/>
              </w:rPr>
            </w:pPr>
            <w:r w:rsidRPr="00B43707">
              <w:rPr>
                <w:rFonts w:asciiTheme="minorBidi" w:hAnsiTheme="minorBidi"/>
                <w:b/>
                <w:bCs/>
              </w:rPr>
              <w:t>p-value</w:t>
            </w:r>
            <w:r w:rsidRPr="00904497">
              <w:rPr>
                <w:rFonts w:ascii="Arial" w:hAnsi="Arial" w:cs="Arial"/>
                <w:b/>
                <w:bCs/>
                <w:color w:val="1C1D1E"/>
                <w:sz w:val="21"/>
                <w:szCs w:val="21"/>
                <w:shd w:val="clear" w:color="auto" w:fill="FFFFFF"/>
                <w:vertAlign w:val="superscript"/>
              </w:rPr>
              <w:t>†</w:t>
            </w:r>
          </w:p>
        </w:tc>
      </w:tr>
      <w:tr w:rsidR="00033F2E" w14:paraId="1496DA43" w14:textId="77777777" w:rsidTr="00ED64BB">
        <w:trPr>
          <w:trHeight w:val="282"/>
        </w:trPr>
        <w:tc>
          <w:tcPr>
            <w:tcW w:w="1731" w:type="dxa"/>
            <w:tcBorders>
              <w:top w:val="single" w:sz="4" w:space="0" w:color="auto"/>
            </w:tcBorders>
          </w:tcPr>
          <w:p w14:paraId="57D2BAC1" w14:textId="77777777" w:rsidR="00033F2E" w:rsidRDefault="00033F2E" w:rsidP="00ED64BB">
            <w:pPr>
              <w:spacing w:line="480" w:lineRule="auto"/>
              <w:rPr>
                <w:rFonts w:asciiTheme="minorBidi" w:hAnsiTheme="minorBidi"/>
              </w:rPr>
            </w:pPr>
            <w:r w:rsidRPr="00B81F2B">
              <w:rPr>
                <w:rFonts w:asciiTheme="minorBidi" w:hAnsiTheme="minorBidi"/>
                <w:i/>
                <w:iCs/>
              </w:rPr>
              <w:t>AC074286.1</w:t>
            </w:r>
          </w:p>
        </w:tc>
        <w:tc>
          <w:tcPr>
            <w:tcW w:w="1717" w:type="dxa"/>
            <w:tcBorders>
              <w:top w:val="single" w:sz="4" w:space="0" w:color="auto"/>
            </w:tcBorders>
            <w:vAlign w:val="center"/>
          </w:tcPr>
          <w:p w14:paraId="4A53503C" w14:textId="77777777" w:rsidR="00033F2E" w:rsidRDefault="00033F2E" w:rsidP="00ED64BB">
            <w:pPr>
              <w:spacing w:line="480" w:lineRule="auto"/>
              <w:rPr>
                <w:rFonts w:asciiTheme="minorBidi" w:hAnsiTheme="minorBidi"/>
              </w:rPr>
            </w:pPr>
            <w:r w:rsidRPr="00B81F2B">
              <w:rPr>
                <w:rFonts w:asciiTheme="minorBidi" w:hAnsiTheme="minorBidi"/>
                <w:lang w:val="en-US"/>
              </w:rPr>
              <w:t>cg15996499</w:t>
            </w:r>
          </w:p>
        </w:tc>
        <w:tc>
          <w:tcPr>
            <w:tcW w:w="1185" w:type="dxa"/>
            <w:tcBorders>
              <w:top w:val="single" w:sz="4" w:space="0" w:color="auto"/>
            </w:tcBorders>
            <w:vAlign w:val="center"/>
          </w:tcPr>
          <w:p w14:paraId="7939EAA1" w14:textId="77777777" w:rsidR="00033F2E" w:rsidRDefault="00033F2E" w:rsidP="00ED64BB">
            <w:pPr>
              <w:spacing w:line="480" w:lineRule="auto"/>
              <w:jc w:val="center"/>
              <w:rPr>
                <w:rFonts w:asciiTheme="minorBidi" w:hAnsiTheme="minorBidi"/>
              </w:rPr>
            </w:pPr>
            <w:r>
              <w:rPr>
                <w:rFonts w:ascii="Arial" w:hAnsi="Arial" w:cs="Arial"/>
              </w:rPr>
              <w:t>4.0±24.9</w:t>
            </w:r>
          </w:p>
        </w:tc>
        <w:tc>
          <w:tcPr>
            <w:tcW w:w="1346" w:type="dxa"/>
            <w:tcBorders>
              <w:top w:val="single" w:sz="4" w:space="0" w:color="auto"/>
            </w:tcBorders>
            <w:vAlign w:val="center"/>
          </w:tcPr>
          <w:p w14:paraId="3DEB24B7" w14:textId="77777777" w:rsidR="00033F2E" w:rsidRDefault="00033F2E" w:rsidP="00ED64BB">
            <w:pPr>
              <w:spacing w:line="480" w:lineRule="auto"/>
              <w:jc w:val="center"/>
              <w:rPr>
                <w:rFonts w:asciiTheme="minorBidi" w:hAnsiTheme="minorBidi"/>
              </w:rPr>
            </w:pPr>
            <w:r>
              <w:rPr>
                <w:rFonts w:asciiTheme="minorBidi" w:hAnsiTheme="minorBidi"/>
              </w:rPr>
              <w:t>1.0</w:t>
            </w:r>
            <w:r>
              <w:rPr>
                <w:rFonts w:ascii="Arial" w:hAnsi="Arial" w:cs="Arial"/>
              </w:rPr>
              <w:t>±24.4</w:t>
            </w:r>
          </w:p>
        </w:tc>
        <w:tc>
          <w:tcPr>
            <w:tcW w:w="1269" w:type="dxa"/>
            <w:tcBorders>
              <w:top w:val="single" w:sz="4" w:space="0" w:color="auto"/>
            </w:tcBorders>
            <w:vAlign w:val="center"/>
          </w:tcPr>
          <w:p w14:paraId="00EC4EA3" w14:textId="77777777" w:rsidR="00033F2E" w:rsidRDefault="00033F2E" w:rsidP="00ED64BB">
            <w:pPr>
              <w:spacing w:line="480" w:lineRule="auto"/>
              <w:jc w:val="center"/>
              <w:rPr>
                <w:rFonts w:asciiTheme="minorBidi" w:hAnsiTheme="minorBidi"/>
              </w:rPr>
            </w:pPr>
            <w:r>
              <w:rPr>
                <w:rFonts w:asciiTheme="minorBidi" w:hAnsiTheme="minorBidi"/>
              </w:rPr>
              <w:t>0.36</w:t>
            </w:r>
          </w:p>
        </w:tc>
        <w:tc>
          <w:tcPr>
            <w:tcW w:w="1214" w:type="dxa"/>
            <w:tcBorders>
              <w:top w:val="single" w:sz="4" w:space="0" w:color="auto"/>
            </w:tcBorders>
            <w:vAlign w:val="center"/>
          </w:tcPr>
          <w:p w14:paraId="049161A4" w14:textId="77777777" w:rsidR="00033F2E" w:rsidRDefault="00033F2E" w:rsidP="00ED64BB">
            <w:pPr>
              <w:spacing w:line="480" w:lineRule="auto"/>
              <w:jc w:val="center"/>
              <w:rPr>
                <w:rFonts w:asciiTheme="minorBidi" w:hAnsiTheme="minorBidi"/>
              </w:rPr>
            </w:pPr>
            <w:r>
              <w:rPr>
                <w:rFonts w:asciiTheme="minorBidi" w:hAnsiTheme="minorBidi"/>
              </w:rPr>
              <w:t>6.3</w:t>
            </w:r>
            <w:r>
              <w:rPr>
                <w:rFonts w:ascii="Arial" w:hAnsi="Arial" w:cs="Arial"/>
              </w:rPr>
              <w:t>±24.4</w:t>
            </w:r>
          </w:p>
        </w:tc>
        <w:tc>
          <w:tcPr>
            <w:tcW w:w="1230" w:type="dxa"/>
            <w:tcBorders>
              <w:top w:val="single" w:sz="4" w:space="0" w:color="auto"/>
            </w:tcBorders>
            <w:vAlign w:val="center"/>
          </w:tcPr>
          <w:p w14:paraId="585B7A50" w14:textId="77777777" w:rsidR="00033F2E" w:rsidRDefault="00033F2E" w:rsidP="00ED64BB">
            <w:pPr>
              <w:spacing w:line="480" w:lineRule="auto"/>
              <w:jc w:val="center"/>
              <w:rPr>
                <w:rFonts w:asciiTheme="minorBidi" w:hAnsiTheme="minorBidi"/>
              </w:rPr>
            </w:pPr>
            <w:r>
              <w:rPr>
                <w:rFonts w:asciiTheme="minorBidi" w:hAnsiTheme="minorBidi"/>
              </w:rPr>
              <w:t>-1.1</w:t>
            </w:r>
            <w:r>
              <w:rPr>
                <w:rFonts w:ascii="Arial" w:hAnsi="Arial" w:cs="Arial"/>
              </w:rPr>
              <w:t>±24.5</w:t>
            </w:r>
          </w:p>
        </w:tc>
        <w:tc>
          <w:tcPr>
            <w:tcW w:w="1270" w:type="dxa"/>
            <w:tcBorders>
              <w:top w:val="single" w:sz="4" w:space="0" w:color="auto"/>
            </w:tcBorders>
            <w:vAlign w:val="center"/>
          </w:tcPr>
          <w:p w14:paraId="48703B11" w14:textId="77777777" w:rsidR="00033F2E" w:rsidRPr="00B46945" w:rsidRDefault="00033F2E" w:rsidP="00ED64BB">
            <w:pPr>
              <w:spacing w:line="480" w:lineRule="auto"/>
              <w:jc w:val="center"/>
              <w:rPr>
                <w:rFonts w:asciiTheme="minorBidi" w:hAnsiTheme="minorBidi"/>
                <w:b/>
                <w:bCs/>
              </w:rPr>
            </w:pPr>
            <w:r>
              <w:rPr>
                <w:rFonts w:asciiTheme="minorBidi" w:hAnsiTheme="minorBidi"/>
                <w:b/>
                <w:bCs/>
              </w:rPr>
              <w:t>0.01</w:t>
            </w:r>
          </w:p>
        </w:tc>
      </w:tr>
      <w:tr w:rsidR="00033F2E" w14:paraId="64E5B143" w14:textId="77777777" w:rsidTr="00ED64BB">
        <w:trPr>
          <w:trHeight w:val="282"/>
        </w:trPr>
        <w:tc>
          <w:tcPr>
            <w:tcW w:w="1731" w:type="dxa"/>
          </w:tcPr>
          <w:p w14:paraId="7A400312" w14:textId="77777777" w:rsidR="00033F2E" w:rsidRPr="00B81F2B" w:rsidRDefault="00033F2E" w:rsidP="00ED64BB">
            <w:pPr>
              <w:spacing w:line="480" w:lineRule="auto"/>
              <w:rPr>
                <w:rFonts w:asciiTheme="minorBidi" w:hAnsiTheme="minorBidi"/>
                <w:i/>
                <w:iCs/>
              </w:rPr>
            </w:pPr>
            <w:r w:rsidRPr="00B81F2B">
              <w:rPr>
                <w:rFonts w:asciiTheme="minorBidi" w:hAnsiTheme="minorBidi"/>
                <w:i/>
                <w:iCs/>
              </w:rPr>
              <w:t>CRACR2A</w:t>
            </w:r>
          </w:p>
        </w:tc>
        <w:tc>
          <w:tcPr>
            <w:tcW w:w="1717" w:type="dxa"/>
            <w:vAlign w:val="center"/>
          </w:tcPr>
          <w:p w14:paraId="04C2B55D" w14:textId="77777777" w:rsidR="00033F2E" w:rsidRDefault="00033F2E" w:rsidP="00ED64BB">
            <w:pPr>
              <w:spacing w:line="480" w:lineRule="auto"/>
              <w:rPr>
                <w:rFonts w:asciiTheme="minorBidi" w:hAnsiTheme="minorBidi"/>
              </w:rPr>
            </w:pPr>
            <w:r w:rsidRPr="00B81F2B">
              <w:rPr>
                <w:rFonts w:asciiTheme="minorBidi" w:hAnsiTheme="minorBidi"/>
              </w:rPr>
              <w:t>cg04614981</w:t>
            </w:r>
          </w:p>
        </w:tc>
        <w:tc>
          <w:tcPr>
            <w:tcW w:w="1185" w:type="dxa"/>
            <w:vAlign w:val="center"/>
          </w:tcPr>
          <w:p w14:paraId="3CB472F3" w14:textId="77777777" w:rsidR="00033F2E" w:rsidRDefault="00033F2E" w:rsidP="00ED64BB">
            <w:pPr>
              <w:spacing w:line="480" w:lineRule="auto"/>
              <w:jc w:val="center"/>
              <w:rPr>
                <w:rFonts w:asciiTheme="minorBidi" w:hAnsiTheme="minorBidi"/>
              </w:rPr>
            </w:pPr>
            <w:r>
              <w:rPr>
                <w:rFonts w:asciiTheme="minorBidi" w:hAnsiTheme="minorBidi"/>
              </w:rPr>
              <w:t>-0.5</w:t>
            </w:r>
            <w:r>
              <w:rPr>
                <w:rFonts w:ascii="Arial" w:hAnsi="Arial" w:cs="Arial"/>
              </w:rPr>
              <w:t>±3.1</w:t>
            </w:r>
          </w:p>
        </w:tc>
        <w:tc>
          <w:tcPr>
            <w:tcW w:w="1346" w:type="dxa"/>
            <w:vAlign w:val="center"/>
          </w:tcPr>
          <w:p w14:paraId="71AA96A9" w14:textId="77777777" w:rsidR="00033F2E" w:rsidRDefault="00033F2E" w:rsidP="00ED64BB">
            <w:pPr>
              <w:spacing w:line="480" w:lineRule="auto"/>
              <w:jc w:val="center"/>
              <w:rPr>
                <w:rFonts w:asciiTheme="minorBidi" w:hAnsiTheme="minorBidi"/>
              </w:rPr>
            </w:pPr>
            <w:r>
              <w:rPr>
                <w:rFonts w:asciiTheme="minorBidi" w:hAnsiTheme="minorBidi"/>
              </w:rPr>
              <w:t>-0.4</w:t>
            </w:r>
            <w:r>
              <w:rPr>
                <w:rFonts w:ascii="Arial" w:hAnsi="Arial" w:cs="Arial"/>
              </w:rPr>
              <w:t>±2.8</w:t>
            </w:r>
          </w:p>
        </w:tc>
        <w:tc>
          <w:tcPr>
            <w:tcW w:w="1269" w:type="dxa"/>
            <w:vAlign w:val="center"/>
          </w:tcPr>
          <w:p w14:paraId="3862CF0D" w14:textId="77777777" w:rsidR="00033F2E" w:rsidRDefault="00033F2E" w:rsidP="00ED64BB">
            <w:pPr>
              <w:spacing w:line="480" w:lineRule="auto"/>
              <w:jc w:val="center"/>
              <w:rPr>
                <w:rFonts w:asciiTheme="minorBidi" w:hAnsiTheme="minorBidi"/>
              </w:rPr>
            </w:pPr>
            <w:r>
              <w:rPr>
                <w:rFonts w:asciiTheme="minorBidi" w:hAnsiTheme="minorBidi"/>
              </w:rPr>
              <w:t>0.78</w:t>
            </w:r>
          </w:p>
        </w:tc>
        <w:tc>
          <w:tcPr>
            <w:tcW w:w="1214" w:type="dxa"/>
            <w:vAlign w:val="center"/>
          </w:tcPr>
          <w:p w14:paraId="41ADF0BA" w14:textId="77777777" w:rsidR="00033F2E" w:rsidRDefault="00033F2E" w:rsidP="00ED64BB">
            <w:pPr>
              <w:spacing w:line="480" w:lineRule="auto"/>
              <w:jc w:val="center"/>
              <w:rPr>
                <w:rFonts w:asciiTheme="minorBidi" w:hAnsiTheme="minorBidi"/>
              </w:rPr>
            </w:pPr>
            <w:r>
              <w:rPr>
                <w:rFonts w:asciiTheme="minorBidi" w:hAnsiTheme="minorBidi"/>
              </w:rPr>
              <w:t>-1.3</w:t>
            </w:r>
            <w:r>
              <w:rPr>
                <w:rFonts w:ascii="Arial" w:hAnsi="Arial" w:cs="Arial"/>
              </w:rPr>
              <w:t>±3.0</w:t>
            </w:r>
          </w:p>
        </w:tc>
        <w:tc>
          <w:tcPr>
            <w:tcW w:w="1230" w:type="dxa"/>
            <w:vAlign w:val="center"/>
          </w:tcPr>
          <w:p w14:paraId="48F8E297" w14:textId="77777777" w:rsidR="00033F2E" w:rsidRDefault="00033F2E" w:rsidP="00ED64BB">
            <w:pPr>
              <w:spacing w:line="480" w:lineRule="auto"/>
              <w:jc w:val="center"/>
              <w:rPr>
                <w:rFonts w:asciiTheme="minorBidi" w:hAnsiTheme="minorBidi"/>
              </w:rPr>
            </w:pPr>
            <w:r>
              <w:rPr>
                <w:rFonts w:asciiTheme="minorBidi" w:hAnsiTheme="minorBidi"/>
              </w:rPr>
              <w:t>0.3</w:t>
            </w:r>
            <w:r>
              <w:rPr>
                <w:rFonts w:ascii="Arial" w:hAnsi="Arial" w:cs="Arial"/>
              </w:rPr>
              <w:t>±2.6</w:t>
            </w:r>
          </w:p>
        </w:tc>
        <w:tc>
          <w:tcPr>
            <w:tcW w:w="1270" w:type="dxa"/>
            <w:vAlign w:val="center"/>
          </w:tcPr>
          <w:p w14:paraId="0F199E97" w14:textId="77777777" w:rsidR="00033F2E" w:rsidRPr="00206B30" w:rsidRDefault="00033F2E" w:rsidP="00ED64BB">
            <w:pPr>
              <w:spacing w:line="480" w:lineRule="auto"/>
              <w:jc w:val="center"/>
              <w:rPr>
                <w:rFonts w:asciiTheme="minorBidi" w:hAnsiTheme="minorBidi"/>
                <w:b/>
                <w:bCs/>
              </w:rPr>
            </w:pPr>
            <w:r w:rsidRPr="00206B30">
              <w:rPr>
                <w:rFonts w:asciiTheme="minorBidi" w:hAnsiTheme="minorBidi"/>
                <w:b/>
                <w:bCs/>
              </w:rPr>
              <w:t>0.03</w:t>
            </w:r>
          </w:p>
        </w:tc>
      </w:tr>
      <w:tr w:rsidR="00033F2E" w14:paraId="147022A8" w14:textId="77777777" w:rsidTr="00ED64BB">
        <w:trPr>
          <w:trHeight w:val="282"/>
        </w:trPr>
        <w:tc>
          <w:tcPr>
            <w:tcW w:w="1731" w:type="dxa"/>
          </w:tcPr>
          <w:p w14:paraId="5ACE5033" w14:textId="77777777" w:rsidR="00033F2E" w:rsidRPr="00B81F2B" w:rsidRDefault="00033F2E" w:rsidP="00ED64BB">
            <w:pPr>
              <w:spacing w:line="480" w:lineRule="auto"/>
              <w:rPr>
                <w:rFonts w:asciiTheme="minorBidi" w:hAnsiTheme="minorBidi"/>
                <w:i/>
                <w:iCs/>
              </w:rPr>
            </w:pPr>
            <w:r w:rsidRPr="00B81F2B">
              <w:rPr>
                <w:rFonts w:asciiTheme="minorBidi" w:hAnsiTheme="minorBidi"/>
                <w:i/>
                <w:iCs/>
                <w:lang w:val="en-US"/>
              </w:rPr>
              <w:t>A2MP1</w:t>
            </w:r>
          </w:p>
        </w:tc>
        <w:tc>
          <w:tcPr>
            <w:tcW w:w="1717" w:type="dxa"/>
            <w:vAlign w:val="center"/>
          </w:tcPr>
          <w:p w14:paraId="37E78DD8" w14:textId="77777777" w:rsidR="00033F2E" w:rsidRDefault="00033F2E" w:rsidP="00ED64BB">
            <w:pPr>
              <w:spacing w:line="480" w:lineRule="auto"/>
              <w:rPr>
                <w:rFonts w:asciiTheme="minorBidi" w:hAnsiTheme="minorBidi"/>
              </w:rPr>
            </w:pPr>
            <w:r w:rsidRPr="00B81F2B">
              <w:rPr>
                <w:rFonts w:asciiTheme="minorBidi" w:hAnsiTheme="minorBidi"/>
                <w:lang w:val="en-US"/>
              </w:rPr>
              <w:t>cg14335324</w:t>
            </w:r>
          </w:p>
        </w:tc>
        <w:tc>
          <w:tcPr>
            <w:tcW w:w="1185" w:type="dxa"/>
            <w:vAlign w:val="center"/>
          </w:tcPr>
          <w:p w14:paraId="49395EBA" w14:textId="77777777" w:rsidR="00033F2E" w:rsidRDefault="00033F2E" w:rsidP="00ED64BB">
            <w:pPr>
              <w:spacing w:line="480" w:lineRule="auto"/>
              <w:jc w:val="center"/>
              <w:rPr>
                <w:rFonts w:asciiTheme="minorBidi" w:hAnsiTheme="minorBidi"/>
              </w:rPr>
            </w:pPr>
            <w:r>
              <w:rPr>
                <w:rFonts w:asciiTheme="minorBidi" w:hAnsiTheme="minorBidi"/>
              </w:rPr>
              <w:t>0.3</w:t>
            </w:r>
            <w:r>
              <w:rPr>
                <w:rFonts w:ascii="Arial" w:hAnsi="Arial" w:cs="Arial"/>
              </w:rPr>
              <w:t>±1.9</w:t>
            </w:r>
          </w:p>
        </w:tc>
        <w:tc>
          <w:tcPr>
            <w:tcW w:w="1346" w:type="dxa"/>
            <w:vAlign w:val="center"/>
          </w:tcPr>
          <w:p w14:paraId="38F3D572" w14:textId="77777777" w:rsidR="00033F2E" w:rsidRDefault="00033F2E" w:rsidP="00ED64BB">
            <w:pPr>
              <w:spacing w:line="480" w:lineRule="auto"/>
              <w:jc w:val="center"/>
              <w:rPr>
                <w:rFonts w:asciiTheme="minorBidi" w:hAnsiTheme="minorBidi"/>
              </w:rPr>
            </w:pPr>
            <w:r>
              <w:rPr>
                <w:rFonts w:asciiTheme="minorBidi" w:hAnsiTheme="minorBidi"/>
              </w:rPr>
              <w:t>-0.3</w:t>
            </w:r>
            <w:r>
              <w:rPr>
                <w:rFonts w:ascii="Arial" w:hAnsi="Arial" w:cs="Arial"/>
              </w:rPr>
              <w:t>±1.7</w:t>
            </w:r>
          </w:p>
        </w:tc>
        <w:tc>
          <w:tcPr>
            <w:tcW w:w="1269" w:type="dxa"/>
            <w:vAlign w:val="center"/>
          </w:tcPr>
          <w:p w14:paraId="7D504203" w14:textId="77777777" w:rsidR="00033F2E" w:rsidRPr="00B46945" w:rsidRDefault="00033F2E" w:rsidP="00ED64BB">
            <w:pPr>
              <w:spacing w:line="480" w:lineRule="auto"/>
              <w:jc w:val="center"/>
              <w:rPr>
                <w:rFonts w:asciiTheme="minorBidi" w:hAnsiTheme="minorBidi"/>
                <w:b/>
                <w:bCs/>
              </w:rPr>
            </w:pPr>
            <w:r w:rsidRPr="00B46945">
              <w:rPr>
                <w:rFonts w:asciiTheme="minorBidi" w:hAnsiTheme="minorBidi"/>
                <w:b/>
                <w:bCs/>
              </w:rPr>
              <w:t>0.04</w:t>
            </w:r>
          </w:p>
        </w:tc>
        <w:tc>
          <w:tcPr>
            <w:tcW w:w="1214" w:type="dxa"/>
            <w:vAlign w:val="center"/>
          </w:tcPr>
          <w:p w14:paraId="0B0177DC" w14:textId="77777777" w:rsidR="00033F2E" w:rsidRDefault="00033F2E" w:rsidP="00ED64BB">
            <w:pPr>
              <w:spacing w:line="480" w:lineRule="auto"/>
              <w:jc w:val="center"/>
              <w:rPr>
                <w:rFonts w:asciiTheme="minorBidi" w:hAnsiTheme="minorBidi"/>
              </w:rPr>
            </w:pPr>
            <w:r>
              <w:rPr>
                <w:rFonts w:asciiTheme="minorBidi" w:hAnsiTheme="minorBidi"/>
              </w:rPr>
              <w:t>-0.2</w:t>
            </w:r>
            <w:r>
              <w:rPr>
                <w:rFonts w:ascii="Arial" w:hAnsi="Arial" w:cs="Arial"/>
              </w:rPr>
              <w:t>±1.7</w:t>
            </w:r>
          </w:p>
        </w:tc>
        <w:tc>
          <w:tcPr>
            <w:tcW w:w="1230" w:type="dxa"/>
            <w:vAlign w:val="center"/>
          </w:tcPr>
          <w:p w14:paraId="525FF5AF" w14:textId="77777777" w:rsidR="00033F2E" w:rsidRDefault="00033F2E" w:rsidP="00ED64BB">
            <w:pPr>
              <w:spacing w:line="480" w:lineRule="auto"/>
              <w:jc w:val="center"/>
              <w:rPr>
                <w:rFonts w:asciiTheme="minorBidi" w:hAnsiTheme="minorBidi"/>
              </w:rPr>
            </w:pPr>
            <w:r>
              <w:rPr>
                <w:rFonts w:asciiTheme="minorBidi" w:hAnsiTheme="minorBidi"/>
              </w:rPr>
              <w:t>0.2</w:t>
            </w:r>
            <w:r>
              <w:rPr>
                <w:rFonts w:ascii="Arial" w:hAnsi="Arial" w:cs="Arial"/>
              </w:rPr>
              <w:t>±2.0</w:t>
            </w:r>
          </w:p>
        </w:tc>
        <w:tc>
          <w:tcPr>
            <w:tcW w:w="1270" w:type="dxa"/>
            <w:vAlign w:val="center"/>
          </w:tcPr>
          <w:p w14:paraId="46610E58" w14:textId="77777777" w:rsidR="00033F2E" w:rsidRPr="00B46945" w:rsidRDefault="00033F2E" w:rsidP="00ED64BB">
            <w:pPr>
              <w:spacing w:line="480" w:lineRule="auto"/>
              <w:jc w:val="center"/>
              <w:rPr>
                <w:rFonts w:asciiTheme="minorBidi" w:hAnsiTheme="minorBidi"/>
                <w:i/>
                <w:iCs/>
              </w:rPr>
            </w:pPr>
            <w:r w:rsidRPr="00B46945">
              <w:rPr>
                <w:rFonts w:asciiTheme="minorBidi" w:hAnsiTheme="minorBidi"/>
                <w:i/>
                <w:iCs/>
              </w:rPr>
              <w:t>0.096</w:t>
            </w:r>
          </w:p>
        </w:tc>
      </w:tr>
      <w:tr w:rsidR="00033F2E" w14:paraId="5E861ED0" w14:textId="77777777" w:rsidTr="00ED64BB">
        <w:trPr>
          <w:trHeight w:val="282"/>
        </w:trPr>
        <w:tc>
          <w:tcPr>
            <w:tcW w:w="1731" w:type="dxa"/>
          </w:tcPr>
          <w:p w14:paraId="2CEE54F5" w14:textId="77777777" w:rsidR="00033F2E" w:rsidRPr="00B81F2B" w:rsidRDefault="00033F2E" w:rsidP="00ED64BB">
            <w:pPr>
              <w:spacing w:line="480" w:lineRule="auto"/>
              <w:rPr>
                <w:rFonts w:asciiTheme="minorBidi" w:hAnsiTheme="minorBidi"/>
                <w:i/>
                <w:iCs/>
                <w:lang w:val="en-US"/>
              </w:rPr>
            </w:pPr>
            <w:r w:rsidRPr="00B81F2B">
              <w:rPr>
                <w:rFonts w:asciiTheme="minorBidi" w:hAnsiTheme="minorBidi"/>
                <w:i/>
                <w:iCs/>
              </w:rPr>
              <w:t>FARP1</w:t>
            </w:r>
          </w:p>
        </w:tc>
        <w:tc>
          <w:tcPr>
            <w:tcW w:w="1717" w:type="dxa"/>
            <w:vAlign w:val="center"/>
          </w:tcPr>
          <w:p w14:paraId="4E3E113F" w14:textId="77777777" w:rsidR="00033F2E" w:rsidRDefault="00033F2E" w:rsidP="00ED64BB">
            <w:pPr>
              <w:spacing w:line="480" w:lineRule="auto"/>
              <w:rPr>
                <w:rFonts w:asciiTheme="minorBidi" w:hAnsiTheme="minorBidi"/>
              </w:rPr>
            </w:pPr>
            <w:r w:rsidRPr="00B81F2B">
              <w:rPr>
                <w:rFonts w:asciiTheme="minorBidi" w:hAnsiTheme="minorBidi"/>
              </w:rPr>
              <w:t>cg21126338</w:t>
            </w:r>
          </w:p>
        </w:tc>
        <w:tc>
          <w:tcPr>
            <w:tcW w:w="1185" w:type="dxa"/>
            <w:vAlign w:val="center"/>
          </w:tcPr>
          <w:p w14:paraId="3E287A59" w14:textId="77777777" w:rsidR="00033F2E" w:rsidRDefault="00033F2E" w:rsidP="00ED64BB">
            <w:pPr>
              <w:spacing w:line="480" w:lineRule="auto"/>
              <w:jc w:val="center"/>
              <w:rPr>
                <w:rFonts w:asciiTheme="minorBidi" w:hAnsiTheme="minorBidi"/>
              </w:rPr>
            </w:pPr>
            <w:r>
              <w:rPr>
                <w:rFonts w:asciiTheme="minorBidi" w:hAnsiTheme="minorBidi"/>
              </w:rPr>
              <w:t>0.2</w:t>
            </w:r>
            <w:r>
              <w:rPr>
                <w:rFonts w:ascii="Arial" w:hAnsi="Arial" w:cs="Arial"/>
              </w:rPr>
              <w:t>±2.3</w:t>
            </w:r>
          </w:p>
        </w:tc>
        <w:tc>
          <w:tcPr>
            <w:tcW w:w="1346" w:type="dxa"/>
            <w:vAlign w:val="center"/>
          </w:tcPr>
          <w:p w14:paraId="31EA87B8" w14:textId="77777777" w:rsidR="00033F2E" w:rsidRDefault="00033F2E" w:rsidP="00ED64BB">
            <w:pPr>
              <w:spacing w:line="480" w:lineRule="auto"/>
              <w:jc w:val="center"/>
              <w:rPr>
                <w:rFonts w:asciiTheme="minorBidi" w:hAnsiTheme="minorBidi"/>
              </w:rPr>
            </w:pPr>
            <w:r>
              <w:rPr>
                <w:rFonts w:asciiTheme="minorBidi" w:hAnsiTheme="minorBidi"/>
              </w:rPr>
              <w:t>0.3</w:t>
            </w:r>
            <w:r>
              <w:rPr>
                <w:rFonts w:ascii="Arial" w:hAnsi="Arial" w:cs="Arial"/>
              </w:rPr>
              <w:t>±1.9</w:t>
            </w:r>
          </w:p>
        </w:tc>
        <w:tc>
          <w:tcPr>
            <w:tcW w:w="1269" w:type="dxa"/>
            <w:vAlign w:val="center"/>
          </w:tcPr>
          <w:p w14:paraId="0D655A17" w14:textId="77777777" w:rsidR="00033F2E" w:rsidRDefault="00033F2E" w:rsidP="00ED64BB">
            <w:pPr>
              <w:spacing w:line="480" w:lineRule="auto"/>
              <w:jc w:val="center"/>
              <w:rPr>
                <w:rFonts w:asciiTheme="minorBidi" w:hAnsiTheme="minorBidi"/>
              </w:rPr>
            </w:pPr>
            <w:r>
              <w:rPr>
                <w:rFonts w:asciiTheme="minorBidi" w:hAnsiTheme="minorBidi"/>
              </w:rPr>
              <w:t>0.22</w:t>
            </w:r>
          </w:p>
        </w:tc>
        <w:tc>
          <w:tcPr>
            <w:tcW w:w="1214" w:type="dxa"/>
            <w:vAlign w:val="center"/>
          </w:tcPr>
          <w:p w14:paraId="043DD955" w14:textId="77777777" w:rsidR="00033F2E" w:rsidRDefault="00033F2E" w:rsidP="00ED64BB">
            <w:pPr>
              <w:spacing w:line="480" w:lineRule="auto"/>
              <w:jc w:val="center"/>
              <w:rPr>
                <w:rFonts w:asciiTheme="minorBidi" w:hAnsiTheme="minorBidi"/>
              </w:rPr>
            </w:pPr>
            <w:r>
              <w:rPr>
                <w:rFonts w:asciiTheme="minorBidi" w:hAnsiTheme="minorBidi"/>
              </w:rPr>
              <w:t>-0.3</w:t>
            </w:r>
            <w:r>
              <w:rPr>
                <w:rFonts w:ascii="Arial" w:hAnsi="Arial" w:cs="Arial"/>
              </w:rPr>
              <w:t>±2.1</w:t>
            </w:r>
          </w:p>
        </w:tc>
        <w:tc>
          <w:tcPr>
            <w:tcW w:w="1230" w:type="dxa"/>
            <w:vAlign w:val="center"/>
          </w:tcPr>
          <w:p w14:paraId="53C75577" w14:textId="77777777" w:rsidR="00033F2E" w:rsidRDefault="00033F2E" w:rsidP="00ED64BB">
            <w:pPr>
              <w:spacing w:line="480" w:lineRule="auto"/>
              <w:jc w:val="center"/>
              <w:rPr>
                <w:rFonts w:asciiTheme="minorBidi" w:hAnsiTheme="minorBidi"/>
              </w:rPr>
            </w:pPr>
            <w:r>
              <w:rPr>
                <w:rFonts w:asciiTheme="minorBidi" w:hAnsiTheme="minorBidi"/>
              </w:rPr>
              <w:t>0.7</w:t>
            </w:r>
            <w:r>
              <w:rPr>
                <w:rFonts w:ascii="Arial" w:hAnsi="Arial" w:cs="Arial"/>
              </w:rPr>
              <w:t>±2.0</w:t>
            </w:r>
          </w:p>
        </w:tc>
        <w:tc>
          <w:tcPr>
            <w:tcW w:w="1270" w:type="dxa"/>
            <w:vAlign w:val="center"/>
          </w:tcPr>
          <w:p w14:paraId="212689ED" w14:textId="77777777" w:rsidR="00033F2E" w:rsidRPr="00206B30" w:rsidRDefault="00033F2E" w:rsidP="00ED64BB">
            <w:pPr>
              <w:spacing w:line="480" w:lineRule="auto"/>
              <w:jc w:val="center"/>
              <w:rPr>
                <w:rFonts w:asciiTheme="minorBidi" w:hAnsiTheme="minorBidi"/>
                <w:b/>
                <w:bCs/>
              </w:rPr>
            </w:pPr>
            <w:r w:rsidRPr="00206B30">
              <w:rPr>
                <w:rFonts w:asciiTheme="minorBidi" w:hAnsiTheme="minorBidi"/>
                <w:b/>
                <w:bCs/>
              </w:rPr>
              <w:t>0.02</w:t>
            </w:r>
          </w:p>
        </w:tc>
      </w:tr>
      <w:tr w:rsidR="00033F2E" w14:paraId="6DE56E03" w14:textId="77777777" w:rsidTr="00ED64BB">
        <w:trPr>
          <w:trHeight w:val="282"/>
        </w:trPr>
        <w:tc>
          <w:tcPr>
            <w:tcW w:w="1731" w:type="dxa"/>
          </w:tcPr>
          <w:p w14:paraId="5A5909F9" w14:textId="77777777" w:rsidR="00033F2E" w:rsidRPr="00B81F2B" w:rsidRDefault="00033F2E" w:rsidP="00ED64BB">
            <w:pPr>
              <w:spacing w:line="480" w:lineRule="auto"/>
              <w:rPr>
                <w:rFonts w:asciiTheme="minorBidi" w:hAnsiTheme="minorBidi"/>
                <w:i/>
                <w:iCs/>
              </w:rPr>
            </w:pPr>
            <w:r w:rsidRPr="00B81F2B">
              <w:rPr>
                <w:rFonts w:asciiTheme="minorBidi" w:hAnsiTheme="minorBidi"/>
                <w:i/>
                <w:iCs/>
              </w:rPr>
              <w:t>FARP1</w:t>
            </w:r>
          </w:p>
        </w:tc>
        <w:tc>
          <w:tcPr>
            <w:tcW w:w="1717" w:type="dxa"/>
            <w:vAlign w:val="center"/>
          </w:tcPr>
          <w:p w14:paraId="24E06B54" w14:textId="77777777" w:rsidR="00033F2E" w:rsidRDefault="00033F2E" w:rsidP="00ED64BB">
            <w:pPr>
              <w:spacing w:line="480" w:lineRule="auto"/>
              <w:rPr>
                <w:rFonts w:asciiTheme="minorBidi" w:hAnsiTheme="minorBidi"/>
              </w:rPr>
            </w:pPr>
            <w:r w:rsidRPr="00B81F2B">
              <w:rPr>
                <w:rFonts w:asciiTheme="minorBidi" w:hAnsiTheme="minorBidi"/>
                <w:lang w:val="en-US"/>
              </w:rPr>
              <w:t>cg00071727</w:t>
            </w:r>
          </w:p>
        </w:tc>
        <w:tc>
          <w:tcPr>
            <w:tcW w:w="1185" w:type="dxa"/>
            <w:vAlign w:val="center"/>
          </w:tcPr>
          <w:p w14:paraId="50822F23" w14:textId="77777777" w:rsidR="00033F2E" w:rsidRDefault="00033F2E" w:rsidP="00ED64BB">
            <w:pPr>
              <w:spacing w:line="480" w:lineRule="auto"/>
              <w:jc w:val="center"/>
              <w:rPr>
                <w:rFonts w:asciiTheme="minorBidi" w:hAnsiTheme="minorBidi"/>
              </w:rPr>
            </w:pPr>
            <w:r>
              <w:rPr>
                <w:rFonts w:asciiTheme="minorBidi" w:hAnsiTheme="minorBidi"/>
              </w:rPr>
              <w:t>-0.2</w:t>
            </w:r>
            <w:r>
              <w:rPr>
                <w:rFonts w:ascii="Arial" w:hAnsi="Arial" w:cs="Arial"/>
              </w:rPr>
              <w:t>±2.1</w:t>
            </w:r>
          </w:p>
        </w:tc>
        <w:tc>
          <w:tcPr>
            <w:tcW w:w="1346" w:type="dxa"/>
            <w:vAlign w:val="center"/>
          </w:tcPr>
          <w:p w14:paraId="2D571F58" w14:textId="77777777" w:rsidR="00033F2E" w:rsidRDefault="00033F2E" w:rsidP="00ED64BB">
            <w:pPr>
              <w:spacing w:line="480" w:lineRule="auto"/>
              <w:jc w:val="center"/>
              <w:rPr>
                <w:rFonts w:asciiTheme="minorBidi" w:hAnsiTheme="minorBidi"/>
              </w:rPr>
            </w:pPr>
            <w:r>
              <w:rPr>
                <w:rFonts w:asciiTheme="minorBidi" w:hAnsiTheme="minorBidi"/>
              </w:rPr>
              <w:t>-0.5</w:t>
            </w:r>
            <w:r>
              <w:rPr>
                <w:rFonts w:ascii="Arial" w:hAnsi="Arial" w:cs="Arial"/>
              </w:rPr>
              <w:t>±2.2</w:t>
            </w:r>
          </w:p>
        </w:tc>
        <w:tc>
          <w:tcPr>
            <w:tcW w:w="1269" w:type="dxa"/>
            <w:vAlign w:val="center"/>
          </w:tcPr>
          <w:p w14:paraId="025A2D58" w14:textId="77777777" w:rsidR="00033F2E" w:rsidRDefault="00033F2E" w:rsidP="00ED64BB">
            <w:pPr>
              <w:spacing w:line="480" w:lineRule="auto"/>
              <w:jc w:val="center"/>
              <w:rPr>
                <w:rFonts w:asciiTheme="minorBidi" w:hAnsiTheme="minorBidi"/>
              </w:rPr>
            </w:pPr>
            <w:r>
              <w:rPr>
                <w:rFonts w:asciiTheme="minorBidi" w:hAnsiTheme="minorBidi"/>
              </w:rPr>
              <w:t>0.45</w:t>
            </w:r>
          </w:p>
        </w:tc>
        <w:tc>
          <w:tcPr>
            <w:tcW w:w="1214" w:type="dxa"/>
            <w:vAlign w:val="center"/>
          </w:tcPr>
          <w:p w14:paraId="588A2930" w14:textId="77777777" w:rsidR="00033F2E" w:rsidRDefault="00033F2E" w:rsidP="00ED64BB">
            <w:pPr>
              <w:spacing w:line="480" w:lineRule="auto"/>
              <w:jc w:val="center"/>
              <w:rPr>
                <w:rFonts w:asciiTheme="minorBidi" w:hAnsiTheme="minorBidi"/>
              </w:rPr>
            </w:pPr>
            <w:r>
              <w:rPr>
                <w:rFonts w:asciiTheme="minorBidi" w:hAnsiTheme="minorBidi"/>
              </w:rPr>
              <w:t>-0.1</w:t>
            </w:r>
            <w:r>
              <w:rPr>
                <w:rFonts w:ascii="Arial" w:hAnsi="Arial" w:cs="Arial"/>
              </w:rPr>
              <w:t>±2.1</w:t>
            </w:r>
          </w:p>
        </w:tc>
        <w:tc>
          <w:tcPr>
            <w:tcW w:w="1230" w:type="dxa"/>
            <w:vAlign w:val="center"/>
          </w:tcPr>
          <w:p w14:paraId="475AF453" w14:textId="77777777" w:rsidR="00033F2E" w:rsidRDefault="00033F2E" w:rsidP="00ED64BB">
            <w:pPr>
              <w:spacing w:line="480" w:lineRule="auto"/>
              <w:jc w:val="center"/>
              <w:rPr>
                <w:rFonts w:asciiTheme="minorBidi" w:hAnsiTheme="minorBidi"/>
              </w:rPr>
            </w:pPr>
            <w:r>
              <w:rPr>
                <w:rFonts w:asciiTheme="minorBidi" w:hAnsiTheme="minorBidi"/>
              </w:rPr>
              <w:t>-0.5</w:t>
            </w:r>
            <w:r>
              <w:rPr>
                <w:rFonts w:ascii="Arial" w:hAnsi="Arial" w:cs="Arial"/>
              </w:rPr>
              <w:t>±2.1</w:t>
            </w:r>
          </w:p>
        </w:tc>
        <w:tc>
          <w:tcPr>
            <w:tcW w:w="1270" w:type="dxa"/>
            <w:vAlign w:val="center"/>
          </w:tcPr>
          <w:p w14:paraId="075BF57D" w14:textId="77777777" w:rsidR="00033F2E" w:rsidRDefault="00033F2E" w:rsidP="00ED64BB">
            <w:pPr>
              <w:spacing w:line="480" w:lineRule="auto"/>
              <w:jc w:val="center"/>
              <w:rPr>
                <w:rFonts w:asciiTheme="minorBidi" w:hAnsiTheme="minorBidi"/>
              </w:rPr>
            </w:pPr>
            <w:r>
              <w:rPr>
                <w:rFonts w:asciiTheme="minorBidi" w:hAnsiTheme="minorBidi"/>
              </w:rPr>
              <w:t>0.23</w:t>
            </w:r>
          </w:p>
        </w:tc>
      </w:tr>
    </w:tbl>
    <w:p w14:paraId="7E344315" w14:textId="6F0EA5D1" w:rsidR="007D2E98" w:rsidRDefault="007D2E98" w:rsidP="007D2E98">
      <w:pPr>
        <w:contextualSpacing/>
        <w:rPr>
          <w:rFonts w:asciiTheme="minorBidi" w:hAnsiTheme="minorBidi"/>
        </w:rPr>
      </w:pPr>
      <w:r w:rsidRPr="00870443">
        <w:rPr>
          <w:rFonts w:asciiTheme="minorBidi" w:hAnsiTheme="minorBidi"/>
        </w:rPr>
        <w:t xml:space="preserve">Methylation data presented as the relative 18-month difference (T18-T0/T0*100). </w:t>
      </w:r>
    </w:p>
    <w:p w14:paraId="35FE85F9" w14:textId="7F74DE18" w:rsidR="007D2E98" w:rsidRPr="00904497" w:rsidRDefault="00904497" w:rsidP="007D2E98">
      <w:pPr>
        <w:contextualSpacing/>
        <w:rPr>
          <w:rFonts w:asciiTheme="minorBidi" w:hAnsiTheme="minorBidi"/>
          <w:lang w:val="en-US"/>
        </w:rPr>
        <w:sectPr w:rsidR="007D2E98" w:rsidRPr="00904497" w:rsidSect="00C34B2F">
          <w:footerReference w:type="even" r:id="rId10"/>
          <w:footerReference w:type="default" r:id="rId11"/>
          <w:pgSz w:w="11906" w:h="16838"/>
          <w:pgMar w:top="1440" w:right="1440" w:bottom="1440" w:left="1440" w:header="720" w:footer="720" w:gutter="0"/>
          <w:cols w:space="720"/>
          <w:docGrid w:linePitch="360"/>
        </w:sectPr>
      </w:pPr>
      <w:r w:rsidRPr="00F47C01">
        <w:rPr>
          <w:rFonts w:ascii="Arial" w:hAnsi="Arial" w:cs="Arial"/>
          <w:color w:val="1C1D1E"/>
          <w:sz w:val="21"/>
          <w:szCs w:val="21"/>
          <w:shd w:val="clear" w:color="auto" w:fill="FFFFFF"/>
          <w:vertAlign w:val="superscript"/>
        </w:rPr>
        <w:t>†</w:t>
      </w:r>
      <w:r w:rsidR="007D2E98">
        <w:rPr>
          <w:rFonts w:asciiTheme="minorBidi" w:hAnsiTheme="minorBidi"/>
          <w:vertAlign w:val="superscript"/>
        </w:rPr>
        <w:t xml:space="preserve"> </w:t>
      </w:r>
      <w:r w:rsidR="007D2E98">
        <w:rPr>
          <w:rFonts w:asciiTheme="minorBidi" w:hAnsiTheme="minorBidi"/>
        </w:rPr>
        <w:t>p-value</w:t>
      </w:r>
      <w:r w:rsidR="007D2E98" w:rsidRPr="00870443">
        <w:rPr>
          <w:rFonts w:asciiTheme="minorBidi" w:hAnsiTheme="minorBidi"/>
        </w:rPr>
        <w:t xml:space="preserve"> according to</w:t>
      </w:r>
      <w:r w:rsidR="007D2E98">
        <w:rPr>
          <w:rFonts w:asciiTheme="minorBidi" w:hAnsiTheme="minorBidi"/>
          <w:vertAlign w:val="superscript"/>
        </w:rPr>
        <w:t xml:space="preserve"> </w:t>
      </w:r>
      <w:r w:rsidR="007D2E98" w:rsidRPr="00B81F2B">
        <w:rPr>
          <w:rFonts w:asciiTheme="minorBidi" w:hAnsiTheme="minorBidi"/>
        </w:rPr>
        <w:t xml:space="preserve">Generalized </w:t>
      </w:r>
      <w:r w:rsidR="0039634D">
        <w:rPr>
          <w:rFonts w:asciiTheme="minorBidi" w:hAnsiTheme="minorBidi"/>
          <w:lang w:val="en-US"/>
        </w:rPr>
        <w:t>l</w:t>
      </w:r>
      <w:r w:rsidR="007D2E98" w:rsidRPr="00B81F2B">
        <w:rPr>
          <w:rFonts w:asciiTheme="minorBidi" w:hAnsiTheme="minorBidi"/>
        </w:rPr>
        <w:t xml:space="preserve">inear </w:t>
      </w:r>
      <w:r w:rsidR="0039634D">
        <w:rPr>
          <w:rFonts w:asciiTheme="minorBidi" w:hAnsiTheme="minorBidi"/>
          <w:lang w:val="en-US"/>
        </w:rPr>
        <w:t>m</w:t>
      </w:r>
      <w:r w:rsidR="007D2E98" w:rsidRPr="00B81F2B">
        <w:rPr>
          <w:rFonts w:asciiTheme="minorBidi" w:hAnsiTheme="minorBidi"/>
        </w:rPr>
        <w:t>odels</w:t>
      </w:r>
      <w:r w:rsidR="007D2E98">
        <w:rPr>
          <w:rFonts w:asciiTheme="minorBidi" w:hAnsiTheme="minorBidi"/>
        </w:rPr>
        <w:t>,</w:t>
      </w:r>
      <w:r w:rsidR="007D2E98" w:rsidRPr="00870443">
        <w:rPr>
          <w:rFonts w:asciiTheme="minorBidi" w:hAnsiTheme="minorBidi"/>
        </w:rPr>
        <w:t xml:space="preserve"> calculated for the absolute difference in methylation change, adjusted for baseline intrahepatic fat, PA</w:t>
      </w:r>
      <w:r w:rsidR="007D2E98">
        <w:rPr>
          <w:rFonts w:asciiTheme="minorBidi" w:hAnsiTheme="minorBidi"/>
        </w:rPr>
        <w:t xml:space="preserve"> or </w:t>
      </w:r>
      <w:r w:rsidR="007D2E98" w:rsidRPr="00870443">
        <w:rPr>
          <w:rFonts w:asciiTheme="minorBidi" w:hAnsiTheme="minorBidi"/>
        </w:rPr>
        <w:t xml:space="preserve">diet group (as appropriate), and baseline CpG in-interest. </w:t>
      </w:r>
      <w:r w:rsidR="007D2E98">
        <w:rPr>
          <w:rFonts w:asciiTheme="minorBidi" w:hAnsiTheme="minorBidi"/>
        </w:rPr>
        <w:t xml:space="preserve">A sensitivity analysis using relative change instead of absolute change in CpGs yielded similar results. </w:t>
      </w:r>
      <w:r w:rsidR="007D2E98" w:rsidRPr="00870443">
        <w:rPr>
          <w:rFonts w:asciiTheme="minorBidi" w:hAnsiTheme="minorBidi"/>
          <w:i/>
          <w:iCs/>
        </w:rPr>
        <w:t>A2MP1</w:t>
      </w:r>
      <w:r w:rsidR="007D2E98" w:rsidRPr="00F22C5E">
        <w:rPr>
          <w:rFonts w:asciiTheme="minorBidi" w:hAnsiTheme="minorBidi"/>
        </w:rPr>
        <w:t xml:space="preserve">, Alpha-2-Macroglobulin Pseudogene 1; </w:t>
      </w:r>
      <w:r w:rsidR="007D2E98" w:rsidRPr="008B7E83">
        <w:rPr>
          <w:rFonts w:asciiTheme="minorBidi" w:hAnsiTheme="minorBidi"/>
          <w:i/>
          <w:iCs/>
        </w:rPr>
        <w:t>CRACR2A</w:t>
      </w:r>
      <w:r w:rsidR="007D2E98" w:rsidRPr="00F22C5E">
        <w:rPr>
          <w:rFonts w:asciiTheme="minorBidi" w:hAnsiTheme="minorBidi"/>
        </w:rPr>
        <w:t xml:space="preserve">, Calcium Release Activated Channel Regulator 2A; </w:t>
      </w:r>
      <w:r w:rsidR="007D2E98" w:rsidRPr="008B7E83">
        <w:rPr>
          <w:rFonts w:asciiTheme="minorBidi" w:hAnsiTheme="minorBidi"/>
          <w:i/>
          <w:iCs/>
        </w:rPr>
        <w:t>FARP1</w:t>
      </w:r>
      <w:r w:rsidR="007D2E98" w:rsidRPr="00F22C5E">
        <w:rPr>
          <w:rFonts w:asciiTheme="minorBidi" w:hAnsiTheme="minorBidi"/>
        </w:rPr>
        <w:t>, FERM, ARH/RhoGEF And Pleckstrin Domain Protein 1</w:t>
      </w:r>
      <w:r w:rsidR="007D2E98">
        <w:rPr>
          <w:rFonts w:asciiTheme="minorBidi" w:hAnsiTheme="minorBidi"/>
        </w:rPr>
        <w:t>; LF, low fat; MED/LC, Mediterranean/low carbohydrates; PA, physical activity</w:t>
      </w:r>
      <w:r>
        <w:rPr>
          <w:rFonts w:asciiTheme="minorBidi" w:hAnsiTheme="minorBidi"/>
          <w:lang w:val="en-US"/>
        </w:rPr>
        <w:t>.</w:t>
      </w:r>
    </w:p>
    <w:p w14:paraId="56780EDF" w14:textId="77777777" w:rsidR="00C31617" w:rsidRDefault="00C31617" w:rsidP="00406DDC">
      <w:pPr>
        <w:pStyle w:val="Heading1"/>
        <w:spacing w:line="480" w:lineRule="auto"/>
        <w:rPr>
          <w:rFonts w:asciiTheme="minorBidi" w:eastAsiaTheme="minorHAnsi" w:hAnsiTheme="minorBidi" w:cstheme="minorBidi"/>
          <w:bCs/>
          <w:sz w:val="24"/>
          <w:szCs w:val="24"/>
          <w:lang w:val="en-US"/>
        </w:rPr>
      </w:pPr>
      <w:bookmarkStart w:id="17" w:name="_Toc46470153"/>
      <w:r w:rsidRPr="00C31617">
        <w:rPr>
          <w:rFonts w:asciiTheme="minorBidi" w:eastAsiaTheme="minorHAnsi" w:hAnsiTheme="minorBidi" w:cstheme="minorBidi"/>
          <w:bCs/>
          <w:sz w:val="24"/>
          <w:szCs w:val="24"/>
          <w:lang w:val="en-US"/>
        </w:rPr>
        <w:lastRenderedPageBreak/>
        <w:t>Figure legends</w:t>
      </w:r>
    </w:p>
    <w:p w14:paraId="05400249" w14:textId="64E9D73D" w:rsidR="00406DDC" w:rsidRDefault="00AC1CD8" w:rsidP="00406DDC">
      <w:pPr>
        <w:pStyle w:val="Heading1"/>
        <w:spacing w:line="480" w:lineRule="auto"/>
        <w:rPr>
          <w:rFonts w:asciiTheme="minorBidi" w:hAnsiTheme="minorBidi" w:cstheme="minorBidi"/>
          <w:sz w:val="24"/>
          <w:szCs w:val="24"/>
          <w:lang w:val="en-US"/>
        </w:rPr>
      </w:pPr>
      <w:r w:rsidRPr="00AC1CD8">
        <w:rPr>
          <w:rStyle w:val="Heading1Char"/>
          <w:rFonts w:asciiTheme="minorBidi" w:hAnsiTheme="minorBidi" w:cstheme="minorBidi"/>
          <w:b/>
          <w:sz w:val="24"/>
          <w:szCs w:val="24"/>
        </w:rPr>
        <w:t>Fig</w:t>
      </w:r>
      <w:r w:rsidR="00F76A90">
        <w:rPr>
          <w:rStyle w:val="Heading1Char"/>
          <w:rFonts w:asciiTheme="minorBidi" w:hAnsiTheme="minorBidi" w:cstheme="minorBidi"/>
          <w:b/>
          <w:sz w:val="24"/>
          <w:szCs w:val="24"/>
        </w:rPr>
        <w:t>ure</w:t>
      </w:r>
      <w:r w:rsidRPr="00AC1CD8">
        <w:rPr>
          <w:rStyle w:val="Heading1Char"/>
          <w:rFonts w:asciiTheme="minorBidi" w:hAnsiTheme="minorBidi" w:cstheme="minorBidi"/>
          <w:b/>
          <w:sz w:val="24"/>
          <w:szCs w:val="24"/>
        </w:rPr>
        <w:t xml:space="preserve"> 1</w:t>
      </w:r>
      <w:r w:rsidRPr="00AC1CD8">
        <w:rPr>
          <w:rFonts w:asciiTheme="minorBidi" w:hAnsiTheme="minorBidi" w:cstheme="minorBidi"/>
          <w:b w:val="0"/>
          <w:sz w:val="24"/>
          <w:szCs w:val="24"/>
          <w:lang w:val="en-US"/>
        </w:rPr>
        <w:t>:</w:t>
      </w:r>
      <w:r w:rsidRPr="00D72D02">
        <w:rPr>
          <w:rFonts w:asciiTheme="minorBidi" w:hAnsiTheme="minorBidi" w:cstheme="minorBidi"/>
          <w:sz w:val="24"/>
          <w:szCs w:val="24"/>
          <w:lang w:val="en-US"/>
        </w:rPr>
        <w:t xml:space="preserve"> A flow diagram of the CENTRAL epigenetic </w:t>
      </w:r>
      <w:bookmarkEnd w:id="17"/>
      <w:r w:rsidR="00526E3D">
        <w:rPr>
          <w:rFonts w:asciiTheme="minorBidi" w:hAnsiTheme="minorBidi" w:cstheme="minorBidi"/>
          <w:sz w:val="24"/>
          <w:szCs w:val="24"/>
          <w:lang w:val="en-US"/>
        </w:rPr>
        <w:t>sub-study</w:t>
      </w:r>
    </w:p>
    <w:p w14:paraId="18EC95B0" w14:textId="3D80EF3D" w:rsidR="00AB436A" w:rsidRPr="00AB436A" w:rsidRDefault="00AB436A" w:rsidP="00AB436A">
      <w:pPr>
        <w:pStyle w:val="Heading1"/>
        <w:spacing w:line="480" w:lineRule="auto"/>
        <w:rPr>
          <w:rFonts w:asciiTheme="minorBidi" w:hAnsiTheme="minorBidi" w:cstheme="minorBidi"/>
          <w:sz w:val="24"/>
          <w:szCs w:val="24"/>
          <w:lang w:val="en-US"/>
        </w:rPr>
      </w:pPr>
      <w:r w:rsidRPr="00AB436A">
        <w:rPr>
          <w:rFonts w:asciiTheme="minorBidi" w:hAnsiTheme="minorBidi" w:cstheme="minorBidi"/>
          <w:sz w:val="24"/>
          <w:szCs w:val="24"/>
          <w:lang w:val="en-US"/>
        </w:rPr>
        <w:t>Fig</w:t>
      </w:r>
      <w:r w:rsidR="00F76A90">
        <w:rPr>
          <w:rFonts w:asciiTheme="minorBidi" w:hAnsiTheme="minorBidi" w:cstheme="minorBidi"/>
          <w:sz w:val="24"/>
          <w:szCs w:val="24"/>
          <w:lang w:val="en-US"/>
        </w:rPr>
        <w:t>ure</w:t>
      </w:r>
      <w:r w:rsidRPr="00AB436A">
        <w:rPr>
          <w:rFonts w:asciiTheme="minorBidi" w:hAnsiTheme="minorBidi" w:cstheme="minorBidi"/>
          <w:sz w:val="24"/>
          <w:szCs w:val="24"/>
          <w:lang w:val="en-US"/>
        </w:rPr>
        <w:t xml:space="preserve"> </w:t>
      </w:r>
      <w:r w:rsidR="004C5546">
        <w:rPr>
          <w:rFonts w:asciiTheme="minorBidi" w:hAnsiTheme="minorBidi" w:cstheme="minorBidi"/>
          <w:sz w:val="24"/>
          <w:szCs w:val="24"/>
          <w:lang w:val="en-US"/>
        </w:rPr>
        <w:t>2</w:t>
      </w:r>
      <w:r w:rsidRPr="00AB436A">
        <w:rPr>
          <w:rFonts w:asciiTheme="minorBidi" w:hAnsiTheme="minorBidi" w:cstheme="minorBidi"/>
          <w:sz w:val="24"/>
          <w:szCs w:val="24"/>
          <w:lang w:val="en-US"/>
        </w:rPr>
        <w:t xml:space="preserve">: </w:t>
      </w:r>
      <w:r w:rsidRPr="00AB436A">
        <w:rPr>
          <w:rFonts w:asciiTheme="minorBidi" w:hAnsiTheme="minorBidi"/>
          <w:sz w:val="24"/>
          <w:szCs w:val="24"/>
          <w:lang w:val="en-US"/>
        </w:rPr>
        <w:t>Receiver operating characteristic (ROC) curve for the magnetic resonance imaging diagnosis of fatty liver (IHF ≥ 5%)</w:t>
      </w:r>
    </w:p>
    <w:p w14:paraId="5CE20315" w14:textId="0DC845DA" w:rsidR="00AB436A" w:rsidRPr="00AB436A" w:rsidRDefault="00AB436A" w:rsidP="00AB436A">
      <w:pPr>
        <w:spacing w:line="480" w:lineRule="auto"/>
        <w:rPr>
          <w:rFonts w:asciiTheme="minorBidi" w:hAnsiTheme="minorBidi"/>
          <w:lang w:val="en-US"/>
        </w:rPr>
      </w:pPr>
      <w:r>
        <w:rPr>
          <w:rFonts w:asciiTheme="minorBidi" w:hAnsiTheme="minorBidi"/>
          <w:lang w:val="en-US"/>
        </w:rPr>
        <w:t xml:space="preserve">Prediction by either waist circumference and blood biomarkers (Triglycerides to HDL ratio, HOMA IR, and Alanine Aminotransferase, or by either 5 </w:t>
      </w:r>
      <w:proofErr w:type="spellStart"/>
      <w:r>
        <w:rPr>
          <w:rFonts w:asciiTheme="minorBidi" w:hAnsiTheme="minorBidi"/>
          <w:lang w:val="en-US"/>
        </w:rPr>
        <w:t>CpGs</w:t>
      </w:r>
      <w:proofErr w:type="spellEnd"/>
      <w:r>
        <w:rPr>
          <w:rFonts w:asciiTheme="minorBidi" w:hAnsiTheme="minorBidi"/>
          <w:lang w:val="en-US"/>
        </w:rPr>
        <w:t xml:space="preserve"> within the following genes: </w:t>
      </w:r>
      <w:r w:rsidRPr="000C2AE3">
        <w:rPr>
          <w:rFonts w:asciiTheme="minorBidi" w:hAnsiTheme="minorBidi"/>
          <w:i/>
          <w:iCs/>
          <w:lang w:val="en-US"/>
        </w:rPr>
        <w:t>AC074286.1</w:t>
      </w:r>
      <w:r>
        <w:rPr>
          <w:rFonts w:asciiTheme="minorBidi" w:hAnsiTheme="minorBidi"/>
          <w:lang w:val="en-US"/>
        </w:rPr>
        <w:t xml:space="preserve">, </w:t>
      </w:r>
      <w:r w:rsidRPr="000C2AE3">
        <w:rPr>
          <w:rFonts w:asciiTheme="minorBidi" w:hAnsiTheme="minorBidi"/>
          <w:i/>
          <w:iCs/>
          <w:lang w:val="en-US"/>
        </w:rPr>
        <w:t>CRACR2A</w:t>
      </w:r>
      <w:r>
        <w:rPr>
          <w:rFonts w:asciiTheme="minorBidi" w:hAnsiTheme="minorBidi"/>
          <w:lang w:val="en-US"/>
        </w:rPr>
        <w:t xml:space="preserve">, </w:t>
      </w:r>
      <w:r w:rsidRPr="000C2AE3">
        <w:rPr>
          <w:rFonts w:asciiTheme="minorBidi" w:hAnsiTheme="minorBidi"/>
          <w:i/>
          <w:iCs/>
          <w:lang w:val="en-US"/>
        </w:rPr>
        <w:t>A2MP1</w:t>
      </w:r>
      <w:r>
        <w:rPr>
          <w:rFonts w:asciiTheme="minorBidi" w:hAnsiTheme="minorBidi"/>
          <w:lang w:val="en-US"/>
        </w:rPr>
        <w:t xml:space="preserve">, and </w:t>
      </w:r>
      <w:r w:rsidRPr="000C2AE3">
        <w:rPr>
          <w:rFonts w:asciiTheme="minorBidi" w:hAnsiTheme="minorBidi"/>
          <w:i/>
          <w:iCs/>
          <w:lang w:val="en-US"/>
        </w:rPr>
        <w:t>FARP1</w:t>
      </w:r>
      <w:r>
        <w:rPr>
          <w:rFonts w:asciiTheme="minorBidi" w:hAnsiTheme="minorBidi"/>
          <w:lang w:val="en-US"/>
        </w:rPr>
        <w:t xml:space="preserve">. </w:t>
      </w:r>
    </w:p>
    <w:p w14:paraId="6279AB61" w14:textId="1BEA940B" w:rsidR="0060018C" w:rsidRPr="00406DDC" w:rsidRDefault="0060018C" w:rsidP="00406DDC">
      <w:pPr>
        <w:pStyle w:val="Heading1"/>
        <w:spacing w:line="480" w:lineRule="auto"/>
        <w:rPr>
          <w:rFonts w:asciiTheme="minorBidi" w:hAnsiTheme="minorBidi" w:cstheme="minorBidi"/>
          <w:sz w:val="24"/>
          <w:szCs w:val="24"/>
          <w:lang w:val="en-US"/>
        </w:rPr>
      </w:pPr>
      <w:r w:rsidRPr="00B81F2B">
        <w:rPr>
          <w:rFonts w:asciiTheme="minorBidi" w:hAnsiTheme="minorBidi"/>
          <w:bCs/>
          <w:sz w:val="24"/>
          <w:szCs w:val="24"/>
          <w:lang w:val="en-US"/>
        </w:rPr>
        <w:t>Fig</w:t>
      </w:r>
      <w:r w:rsidR="00F76A90">
        <w:rPr>
          <w:rFonts w:asciiTheme="minorBidi" w:hAnsiTheme="minorBidi"/>
          <w:bCs/>
          <w:sz w:val="24"/>
          <w:szCs w:val="24"/>
          <w:lang w:val="en-US"/>
        </w:rPr>
        <w:t xml:space="preserve">ure </w:t>
      </w:r>
      <w:r w:rsidR="004C5546">
        <w:rPr>
          <w:rFonts w:asciiTheme="minorBidi" w:hAnsiTheme="minorBidi"/>
          <w:bCs/>
          <w:sz w:val="24"/>
          <w:szCs w:val="24"/>
          <w:lang w:val="en-US"/>
        </w:rPr>
        <w:t>3</w:t>
      </w:r>
      <w:r w:rsidRPr="00B81F2B">
        <w:rPr>
          <w:rFonts w:asciiTheme="minorBidi" w:hAnsiTheme="minorBidi"/>
          <w:bCs/>
          <w:sz w:val="24"/>
          <w:szCs w:val="24"/>
          <w:lang w:val="en-US"/>
        </w:rPr>
        <w:t xml:space="preserve"> (a-c): Differences in </w:t>
      </w:r>
      <w:r w:rsidRPr="00B81F2B">
        <w:rPr>
          <w:rFonts w:asciiTheme="minorBidi" w:hAnsiTheme="minorBidi"/>
          <w:bCs/>
          <w:i/>
          <w:iCs/>
          <w:sz w:val="24"/>
          <w:szCs w:val="24"/>
          <w:lang w:val="en-US"/>
        </w:rPr>
        <w:t>FARP1</w:t>
      </w:r>
      <w:r w:rsidRPr="00B81F2B">
        <w:rPr>
          <w:rFonts w:asciiTheme="minorBidi" w:hAnsiTheme="minorBidi"/>
          <w:bCs/>
          <w:sz w:val="24"/>
          <w:szCs w:val="24"/>
          <w:lang w:val="en-US"/>
        </w:rPr>
        <w:t xml:space="preserve"> SNP for (a) intrahepatic fat (b) NAFLD and (c) methylation of cg000712727</w:t>
      </w:r>
    </w:p>
    <w:p w14:paraId="3897C25B" w14:textId="41793721" w:rsidR="00962F69" w:rsidRPr="0034220A" w:rsidRDefault="0060018C" w:rsidP="0034220A">
      <w:pPr>
        <w:spacing w:line="480" w:lineRule="auto"/>
        <w:rPr>
          <w:rFonts w:asciiTheme="minorBidi" w:hAnsiTheme="minorBidi"/>
          <w:rtl/>
          <w:lang w:val="en-US"/>
        </w:rPr>
      </w:pPr>
      <w:r w:rsidRPr="00B81F2B">
        <w:rPr>
          <w:rFonts w:asciiTheme="minorBidi" w:hAnsiTheme="minorBidi"/>
          <w:lang w:val="en-US"/>
        </w:rPr>
        <w:t xml:space="preserve">(a) The box plot shows intrahepatic fat [%] before (T0) and after the intervention (T18) for the genotypes of the SNP rs9584805 located in intron 2 of </w:t>
      </w:r>
      <w:r w:rsidRPr="003E411D">
        <w:rPr>
          <w:rFonts w:asciiTheme="minorBidi" w:hAnsiTheme="minorBidi"/>
          <w:i/>
          <w:iCs/>
          <w:lang w:val="en-US"/>
        </w:rPr>
        <w:t>FARP1</w:t>
      </w:r>
      <w:r w:rsidRPr="00B81F2B">
        <w:rPr>
          <w:rFonts w:asciiTheme="minorBidi" w:hAnsiTheme="minorBidi"/>
          <w:lang w:val="en-US"/>
        </w:rPr>
        <w:t xml:space="preserve"> assuming the dominant mode of inheritance; The number of individuals: AA/AG(N=108), GG(N=11</w:t>
      </w:r>
      <w:r>
        <w:rPr>
          <w:rFonts w:asciiTheme="minorBidi" w:hAnsiTheme="minorBidi"/>
          <w:lang w:val="en-US"/>
        </w:rPr>
        <w:t>);</w:t>
      </w:r>
      <w:r w:rsidRPr="00B81F2B">
        <w:rPr>
          <w:rFonts w:asciiTheme="minorBidi" w:hAnsiTheme="minorBidi"/>
          <w:lang w:val="en-US"/>
        </w:rPr>
        <w:t xml:space="preserve"> dashed line marks 5% of intrahepatic fat; p-values were calculated by Mann Whitney test</w:t>
      </w:r>
      <w:r w:rsidR="00492FD8">
        <w:rPr>
          <w:rFonts w:asciiTheme="minorBidi" w:hAnsiTheme="minorBidi"/>
          <w:lang w:val="en-US"/>
        </w:rPr>
        <w:t>.</w:t>
      </w:r>
      <w:r w:rsidR="0034220A">
        <w:rPr>
          <w:rFonts w:asciiTheme="minorBidi" w:hAnsiTheme="minorBidi"/>
          <w:lang w:val="en-US"/>
        </w:rPr>
        <w:t xml:space="preserve"> </w:t>
      </w:r>
      <w:r w:rsidRPr="00B81F2B">
        <w:rPr>
          <w:rFonts w:asciiTheme="minorBidi" w:hAnsiTheme="minorBidi"/>
          <w:lang w:val="en-US"/>
        </w:rPr>
        <w:t xml:space="preserve">(b) </w:t>
      </w:r>
      <w:r w:rsidR="00526E3D">
        <w:rPr>
          <w:rFonts w:asciiTheme="minorBidi" w:hAnsiTheme="minorBidi"/>
        </w:rPr>
        <w:t>The bar</w:t>
      </w:r>
      <w:r w:rsidRPr="00B81F2B">
        <w:rPr>
          <w:rFonts w:asciiTheme="minorBidi" w:hAnsiTheme="minorBidi"/>
        </w:rPr>
        <w:t xml:space="preserve"> chart shows the percentage of NAFLD before (T0) and after the intervention (T18) for each genotype of SNP rs9584805 in the dominant mode of inheritance; The number of individuals: AA/AG (</w:t>
      </w:r>
      <w:r w:rsidRPr="00B81F2B">
        <w:rPr>
          <w:rFonts w:asciiTheme="minorBidi" w:hAnsiTheme="minorBidi"/>
          <w:i/>
        </w:rPr>
        <w:t>N</w:t>
      </w:r>
      <w:r w:rsidRPr="00B81F2B">
        <w:rPr>
          <w:rFonts w:asciiTheme="minorBidi" w:hAnsiTheme="minorBidi"/>
        </w:rPr>
        <w:t>=108), GG (</w:t>
      </w:r>
      <w:r w:rsidRPr="00B81F2B">
        <w:rPr>
          <w:rFonts w:asciiTheme="minorBidi" w:hAnsiTheme="minorBidi"/>
          <w:i/>
        </w:rPr>
        <w:t>N</w:t>
      </w:r>
      <w:r w:rsidRPr="00B81F2B">
        <w:rPr>
          <w:rFonts w:asciiTheme="minorBidi" w:hAnsiTheme="minorBidi"/>
        </w:rPr>
        <w:t>=11). P-values were calculated using the Chi-Square test.</w:t>
      </w:r>
      <w:r w:rsidRPr="00B81F2B">
        <w:rPr>
          <w:rFonts w:asciiTheme="minorBidi" w:hAnsiTheme="minorBidi"/>
          <w:lang w:val="en-US"/>
        </w:rPr>
        <w:t xml:space="preserve"> (c) The box plot shows baseline methylation levels (normalized β-values) in the CpG site cg000712727 for the recessive mode of inheritance of SNP rs9584805 located in intron 2 of </w:t>
      </w:r>
      <w:r w:rsidRPr="00B81F2B">
        <w:rPr>
          <w:rFonts w:asciiTheme="minorBidi" w:hAnsiTheme="minorBidi"/>
          <w:i/>
          <w:iCs/>
          <w:lang w:val="en-US"/>
        </w:rPr>
        <w:t>FARP1</w:t>
      </w:r>
      <w:r w:rsidRPr="00B81F2B">
        <w:rPr>
          <w:rFonts w:asciiTheme="minorBidi" w:hAnsiTheme="minorBidi"/>
          <w:lang w:val="en-US"/>
        </w:rPr>
        <w:t>, the number of individuals: AA(N=59), AG/GG(N=60)</w:t>
      </w:r>
      <w:r>
        <w:rPr>
          <w:rFonts w:asciiTheme="minorBidi" w:hAnsiTheme="minorBidi"/>
          <w:lang w:val="en-US"/>
        </w:rPr>
        <w:t xml:space="preserve">. </w:t>
      </w:r>
      <w:r w:rsidR="0085279F">
        <w:rPr>
          <w:rFonts w:asciiTheme="minorBidi" w:hAnsiTheme="minorBidi"/>
          <w:lang w:val="en-US"/>
        </w:rPr>
        <w:t>W</w:t>
      </w:r>
      <w:r w:rsidRPr="00B81F2B">
        <w:rPr>
          <w:rFonts w:asciiTheme="minorBidi" w:hAnsiTheme="minorBidi"/>
          <w:lang w:val="en-US"/>
        </w:rPr>
        <w:t>hiskers show min and max</w:t>
      </w:r>
      <w:r w:rsidR="00EC356A">
        <w:rPr>
          <w:rFonts w:asciiTheme="minorBidi" w:hAnsiTheme="minorBidi"/>
          <w:lang w:val="en-US"/>
        </w:rPr>
        <w:t>; the</w:t>
      </w:r>
      <w:r w:rsidRPr="00B81F2B">
        <w:rPr>
          <w:rFonts w:asciiTheme="minorBidi" w:hAnsiTheme="minorBidi"/>
          <w:lang w:val="en-US"/>
        </w:rPr>
        <w:t xml:space="preserve"> line shows the median, points present individual values. </w:t>
      </w:r>
      <w:r w:rsidRPr="00B81F2B">
        <w:rPr>
          <w:rFonts w:asciiTheme="minorBidi" w:hAnsiTheme="minorBidi"/>
        </w:rPr>
        <w:t>*</w:t>
      </w:r>
      <w:r w:rsidRPr="00B81F2B">
        <w:rPr>
          <w:rFonts w:asciiTheme="minorBidi" w:hAnsiTheme="minorBidi"/>
          <w:iCs/>
        </w:rPr>
        <w:t>p</w:t>
      </w:r>
      <w:r w:rsidRPr="00B81F2B">
        <w:rPr>
          <w:rFonts w:asciiTheme="minorBidi" w:hAnsiTheme="minorBidi"/>
        </w:rPr>
        <w:t xml:space="preserve"> &lt;0.05</w:t>
      </w:r>
      <w:r>
        <w:rPr>
          <w:rFonts w:asciiTheme="minorBidi" w:hAnsiTheme="minorBidi"/>
        </w:rPr>
        <w:t xml:space="preserve">. </w:t>
      </w:r>
    </w:p>
    <w:p w14:paraId="2C7971E9" w14:textId="0A4EBFA3" w:rsidR="00004268" w:rsidRDefault="0060018C" w:rsidP="0034220A">
      <w:pPr>
        <w:spacing w:line="480" w:lineRule="auto"/>
        <w:rPr>
          <w:rFonts w:asciiTheme="minorBidi" w:hAnsiTheme="minorBidi"/>
          <w:b/>
          <w:bCs/>
        </w:rPr>
      </w:pPr>
      <w:r w:rsidRPr="00B81F2B">
        <w:rPr>
          <w:rFonts w:asciiTheme="minorBidi" w:hAnsiTheme="minorBidi"/>
          <w:b/>
          <w:bCs/>
        </w:rPr>
        <w:t>Fig</w:t>
      </w:r>
      <w:proofErr w:type="spellStart"/>
      <w:r w:rsidR="00F76A90">
        <w:rPr>
          <w:rFonts w:asciiTheme="minorBidi" w:hAnsiTheme="minorBidi"/>
          <w:b/>
          <w:bCs/>
          <w:lang w:val="en-US"/>
        </w:rPr>
        <w:t>ure</w:t>
      </w:r>
      <w:proofErr w:type="spellEnd"/>
      <w:r w:rsidR="00F76A90">
        <w:rPr>
          <w:rFonts w:asciiTheme="minorBidi" w:hAnsiTheme="minorBidi"/>
          <w:b/>
          <w:bCs/>
          <w:lang w:val="en-US"/>
        </w:rPr>
        <w:t xml:space="preserve"> </w:t>
      </w:r>
      <w:r w:rsidR="004C5546">
        <w:rPr>
          <w:rFonts w:asciiTheme="minorBidi" w:hAnsiTheme="minorBidi"/>
          <w:b/>
          <w:bCs/>
        </w:rPr>
        <w:t>4</w:t>
      </w:r>
      <w:r w:rsidRPr="00B81F2B">
        <w:rPr>
          <w:rFonts w:asciiTheme="minorBidi" w:hAnsiTheme="minorBidi"/>
          <w:b/>
          <w:bCs/>
        </w:rPr>
        <w:t xml:space="preserve">: </w:t>
      </w:r>
      <w:r w:rsidR="00004268">
        <w:rPr>
          <w:rFonts w:asciiTheme="minorBidi" w:hAnsiTheme="minorBidi"/>
          <w:b/>
          <w:bCs/>
        </w:rPr>
        <w:t>18-month difference in IHF reduction between groups of physical activity</w:t>
      </w:r>
      <w:r w:rsidR="000827EE">
        <w:rPr>
          <w:rFonts w:asciiTheme="minorBidi" w:hAnsiTheme="minorBidi"/>
          <w:b/>
          <w:bCs/>
        </w:rPr>
        <w:t xml:space="preserve"> (no/yes)</w:t>
      </w:r>
    </w:p>
    <w:p w14:paraId="25FBCACB" w14:textId="177BE216" w:rsidR="002C4961" w:rsidRPr="0034220A" w:rsidRDefault="000827EE" w:rsidP="002C4961">
      <w:pPr>
        <w:spacing w:line="480" w:lineRule="auto"/>
        <w:rPr>
          <w:rFonts w:asciiTheme="minorBidi" w:hAnsiTheme="minorBidi"/>
          <w:rtl/>
          <w:lang w:val="en-US"/>
        </w:rPr>
      </w:pPr>
      <w:r>
        <w:rPr>
          <w:rFonts w:asciiTheme="minorBidi" w:hAnsiTheme="minorBidi"/>
        </w:rPr>
        <w:lastRenderedPageBreak/>
        <w:t xml:space="preserve">Differences are calculated for the absolute difference in IHF (T18-T0), adjusted for baseline levels of IHF. </w:t>
      </w:r>
      <w:r w:rsidR="0085279F">
        <w:rPr>
          <w:rFonts w:asciiTheme="minorBidi" w:hAnsiTheme="minorBidi"/>
          <w:lang w:val="en-US"/>
        </w:rPr>
        <w:t xml:space="preserve">Data presented as </w:t>
      </w:r>
      <w:proofErr w:type="spellStart"/>
      <w:r w:rsidR="0085279F">
        <w:rPr>
          <w:rFonts w:asciiTheme="minorBidi" w:hAnsiTheme="minorBidi"/>
          <w:lang w:val="en-US"/>
        </w:rPr>
        <w:t>means</w:t>
      </w:r>
      <w:r w:rsidR="0085279F">
        <w:rPr>
          <w:rFonts w:ascii="Arial" w:hAnsi="Arial" w:cs="Arial"/>
          <w:lang w:val="en-US"/>
        </w:rPr>
        <w:t>±</w:t>
      </w:r>
      <w:r w:rsidR="0085279F">
        <w:rPr>
          <w:rFonts w:asciiTheme="minorBidi" w:hAnsiTheme="minorBidi"/>
          <w:lang w:val="en-US"/>
        </w:rPr>
        <w:t>SD</w:t>
      </w:r>
      <w:proofErr w:type="spellEnd"/>
      <w:r w:rsidR="0085279F">
        <w:rPr>
          <w:rFonts w:asciiTheme="minorBidi" w:hAnsiTheme="minorBidi"/>
          <w:lang w:val="en-US"/>
        </w:rPr>
        <w:t xml:space="preserve">, </w:t>
      </w:r>
      <w:r w:rsidR="0085279F" w:rsidRPr="00B81F2B">
        <w:rPr>
          <w:rFonts w:asciiTheme="minorBidi" w:hAnsiTheme="minorBidi"/>
          <w:lang w:val="en-US"/>
        </w:rPr>
        <w:t>points present individual values</w:t>
      </w:r>
      <w:r w:rsidR="0085279F">
        <w:rPr>
          <w:rFonts w:asciiTheme="minorBidi" w:hAnsiTheme="minorBidi"/>
          <w:lang w:val="en-US"/>
        </w:rPr>
        <w:t xml:space="preserve">. </w:t>
      </w:r>
      <w:r>
        <w:rPr>
          <w:rFonts w:asciiTheme="minorBidi" w:hAnsiTheme="minorBidi"/>
        </w:rPr>
        <w:t>IHF, intrahepatic fat; PA, Physical activity</w:t>
      </w:r>
      <w:r w:rsidR="002C4961">
        <w:rPr>
          <w:rFonts w:asciiTheme="minorBidi" w:hAnsiTheme="minorBidi"/>
        </w:rPr>
        <w:t xml:space="preserve">. </w:t>
      </w:r>
      <w:r w:rsidR="002C4961" w:rsidRPr="00B81F2B">
        <w:rPr>
          <w:rFonts w:asciiTheme="minorBidi" w:hAnsiTheme="minorBidi"/>
        </w:rPr>
        <w:t>*</w:t>
      </w:r>
      <w:r w:rsidR="002C4961" w:rsidRPr="00B81F2B">
        <w:rPr>
          <w:rFonts w:asciiTheme="minorBidi" w:hAnsiTheme="minorBidi"/>
          <w:iCs/>
        </w:rPr>
        <w:t>p</w:t>
      </w:r>
      <w:r w:rsidR="002C4961" w:rsidRPr="00B81F2B">
        <w:rPr>
          <w:rFonts w:asciiTheme="minorBidi" w:hAnsiTheme="minorBidi"/>
        </w:rPr>
        <w:t xml:space="preserve"> &lt;0.05</w:t>
      </w:r>
      <w:r w:rsidR="002C4961">
        <w:rPr>
          <w:rFonts w:asciiTheme="minorBidi" w:hAnsiTheme="minorBidi"/>
        </w:rPr>
        <w:t xml:space="preserve">. </w:t>
      </w:r>
    </w:p>
    <w:p w14:paraId="4A5FB531" w14:textId="479F9753" w:rsidR="000827EE" w:rsidRPr="000827EE" w:rsidRDefault="002C4961" w:rsidP="0034220A">
      <w:pPr>
        <w:spacing w:line="480" w:lineRule="auto"/>
        <w:rPr>
          <w:rFonts w:asciiTheme="minorBidi" w:hAnsiTheme="minorBidi"/>
        </w:rPr>
      </w:pPr>
      <w:r>
        <w:rPr>
          <w:rFonts w:asciiTheme="minorBidi" w:hAnsiTheme="minorBidi"/>
        </w:rPr>
        <w:t xml:space="preserve"> </w:t>
      </w:r>
    </w:p>
    <w:p w14:paraId="1255EE91" w14:textId="0B5ACE6E" w:rsidR="00004268" w:rsidRPr="00004268" w:rsidRDefault="00004268" w:rsidP="0034220A">
      <w:pPr>
        <w:spacing w:line="480" w:lineRule="auto"/>
        <w:rPr>
          <w:rFonts w:asciiTheme="minorBidi" w:hAnsiTheme="minorBidi"/>
        </w:rPr>
      </w:pPr>
    </w:p>
    <w:p w14:paraId="52A3407D" w14:textId="5A283A5A" w:rsidR="007A2842" w:rsidRDefault="007A2842" w:rsidP="00E12FED">
      <w:pPr>
        <w:spacing w:line="480" w:lineRule="auto"/>
        <w:contextualSpacing/>
        <w:rPr>
          <w:rFonts w:asciiTheme="minorBidi" w:hAnsiTheme="minorBidi"/>
        </w:rPr>
      </w:pPr>
    </w:p>
    <w:p w14:paraId="54538169" w14:textId="22987682" w:rsidR="00AB436A" w:rsidRDefault="00AB436A" w:rsidP="00E12FED">
      <w:pPr>
        <w:spacing w:line="480" w:lineRule="auto"/>
        <w:contextualSpacing/>
        <w:rPr>
          <w:rFonts w:asciiTheme="minorBidi" w:hAnsiTheme="minorBidi"/>
        </w:rPr>
      </w:pPr>
    </w:p>
    <w:p w14:paraId="4E071924" w14:textId="015C5199" w:rsidR="00AB436A" w:rsidRDefault="00AB436A" w:rsidP="00E12FED">
      <w:pPr>
        <w:spacing w:line="480" w:lineRule="auto"/>
        <w:contextualSpacing/>
        <w:rPr>
          <w:rFonts w:asciiTheme="minorBidi" w:hAnsiTheme="minorBidi"/>
        </w:rPr>
      </w:pPr>
    </w:p>
    <w:p w14:paraId="4DB3140D" w14:textId="6A151CC6" w:rsidR="00AB436A" w:rsidRDefault="00AB436A" w:rsidP="00E12FED">
      <w:pPr>
        <w:spacing w:line="480" w:lineRule="auto"/>
        <w:contextualSpacing/>
        <w:rPr>
          <w:rFonts w:asciiTheme="minorBidi" w:hAnsiTheme="minorBidi"/>
        </w:rPr>
      </w:pPr>
    </w:p>
    <w:p w14:paraId="46FDCC5E" w14:textId="11961655" w:rsidR="00AB436A" w:rsidRDefault="00AB436A" w:rsidP="00E12FED">
      <w:pPr>
        <w:spacing w:line="480" w:lineRule="auto"/>
        <w:contextualSpacing/>
        <w:rPr>
          <w:rFonts w:asciiTheme="minorBidi" w:hAnsiTheme="minorBidi"/>
        </w:rPr>
      </w:pPr>
    </w:p>
    <w:p w14:paraId="45E368BC" w14:textId="4035D46E" w:rsidR="00AB436A" w:rsidRDefault="00AB436A" w:rsidP="00E12FED">
      <w:pPr>
        <w:spacing w:line="480" w:lineRule="auto"/>
        <w:contextualSpacing/>
        <w:rPr>
          <w:rFonts w:asciiTheme="minorBidi" w:hAnsiTheme="minorBidi"/>
        </w:rPr>
      </w:pPr>
    </w:p>
    <w:p w14:paraId="6C235B85" w14:textId="237AFC2C" w:rsidR="00AB436A" w:rsidRDefault="00AB436A" w:rsidP="00E12FED">
      <w:pPr>
        <w:spacing w:line="480" w:lineRule="auto"/>
        <w:contextualSpacing/>
        <w:rPr>
          <w:rFonts w:asciiTheme="minorBidi" w:hAnsiTheme="minorBidi"/>
        </w:rPr>
      </w:pPr>
    </w:p>
    <w:p w14:paraId="4028EB64" w14:textId="7CDB3923" w:rsidR="00AB436A" w:rsidRDefault="00AB436A" w:rsidP="00E12FED">
      <w:pPr>
        <w:spacing w:line="480" w:lineRule="auto"/>
        <w:contextualSpacing/>
        <w:rPr>
          <w:rFonts w:asciiTheme="minorBidi" w:hAnsiTheme="minorBidi"/>
        </w:rPr>
      </w:pPr>
    </w:p>
    <w:p w14:paraId="012BDD71" w14:textId="0ADAF6EB" w:rsidR="00AB436A" w:rsidRDefault="00AB436A" w:rsidP="00E12FED">
      <w:pPr>
        <w:spacing w:line="480" w:lineRule="auto"/>
        <w:contextualSpacing/>
        <w:rPr>
          <w:rFonts w:asciiTheme="minorBidi" w:hAnsiTheme="minorBidi"/>
        </w:rPr>
      </w:pPr>
    </w:p>
    <w:p w14:paraId="273BA3EC" w14:textId="360C4F2E" w:rsidR="00AB436A" w:rsidRDefault="00AB436A" w:rsidP="00E12FED">
      <w:pPr>
        <w:spacing w:line="480" w:lineRule="auto"/>
        <w:contextualSpacing/>
        <w:rPr>
          <w:rFonts w:asciiTheme="minorBidi" w:hAnsiTheme="minorBidi"/>
        </w:rPr>
      </w:pPr>
    </w:p>
    <w:p w14:paraId="11466544" w14:textId="62E7865A" w:rsidR="00AB436A" w:rsidRDefault="00AB436A" w:rsidP="00E12FED">
      <w:pPr>
        <w:spacing w:line="480" w:lineRule="auto"/>
        <w:contextualSpacing/>
        <w:rPr>
          <w:rFonts w:asciiTheme="minorBidi" w:hAnsiTheme="minorBidi"/>
        </w:rPr>
      </w:pPr>
    </w:p>
    <w:p w14:paraId="671A1C0F" w14:textId="6FB364D5" w:rsidR="00BA3DA3" w:rsidRDefault="00BA3DA3" w:rsidP="00E12FED">
      <w:pPr>
        <w:spacing w:line="480" w:lineRule="auto"/>
        <w:contextualSpacing/>
        <w:rPr>
          <w:rFonts w:asciiTheme="minorBidi" w:hAnsiTheme="minorBidi"/>
        </w:rPr>
      </w:pPr>
    </w:p>
    <w:p w14:paraId="5030231C" w14:textId="61BFBA05" w:rsidR="00BA3DA3" w:rsidRDefault="00BA3DA3" w:rsidP="00E12FED">
      <w:pPr>
        <w:spacing w:line="480" w:lineRule="auto"/>
        <w:contextualSpacing/>
        <w:rPr>
          <w:rFonts w:asciiTheme="minorBidi" w:hAnsiTheme="minorBidi"/>
        </w:rPr>
      </w:pPr>
    </w:p>
    <w:p w14:paraId="13502B49" w14:textId="05993E5B" w:rsidR="00BA3DA3" w:rsidRDefault="00BA3DA3" w:rsidP="00E12FED">
      <w:pPr>
        <w:spacing w:line="480" w:lineRule="auto"/>
        <w:contextualSpacing/>
        <w:rPr>
          <w:rFonts w:asciiTheme="minorBidi" w:hAnsiTheme="minorBidi"/>
        </w:rPr>
      </w:pPr>
    </w:p>
    <w:p w14:paraId="62F9CA53" w14:textId="23D3C4DF" w:rsidR="00BA3DA3" w:rsidRDefault="00BA3DA3" w:rsidP="00E12FED">
      <w:pPr>
        <w:spacing w:line="480" w:lineRule="auto"/>
        <w:contextualSpacing/>
        <w:rPr>
          <w:rFonts w:asciiTheme="minorBidi" w:hAnsiTheme="minorBidi"/>
        </w:rPr>
      </w:pPr>
    </w:p>
    <w:p w14:paraId="0E345603" w14:textId="08D47102" w:rsidR="00BA3DA3" w:rsidRDefault="00BA3DA3" w:rsidP="00E12FED">
      <w:pPr>
        <w:spacing w:line="480" w:lineRule="auto"/>
        <w:contextualSpacing/>
        <w:rPr>
          <w:rFonts w:asciiTheme="minorBidi" w:hAnsiTheme="minorBidi"/>
        </w:rPr>
      </w:pPr>
    </w:p>
    <w:p w14:paraId="59000AE1" w14:textId="71AE3992" w:rsidR="00BA3DA3" w:rsidRDefault="00BA3DA3" w:rsidP="00E12FED">
      <w:pPr>
        <w:spacing w:line="480" w:lineRule="auto"/>
        <w:contextualSpacing/>
        <w:rPr>
          <w:rFonts w:asciiTheme="minorBidi" w:hAnsiTheme="minorBidi"/>
        </w:rPr>
      </w:pPr>
    </w:p>
    <w:p w14:paraId="43E37C17" w14:textId="091C677C" w:rsidR="00BA3DA3" w:rsidRDefault="00BA3DA3" w:rsidP="00E12FED">
      <w:pPr>
        <w:spacing w:line="480" w:lineRule="auto"/>
        <w:contextualSpacing/>
        <w:rPr>
          <w:rFonts w:asciiTheme="minorBidi" w:hAnsiTheme="minorBidi"/>
        </w:rPr>
      </w:pPr>
    </w:p>
    <w:p w14:paraId="6F1BD45F" w14:textId="454B114B" w:rsidR="00004268" w:rsidRPr="00B81F2B" w:rsidRDefault="00004268" w:rsidP="00E12FED">
      <w:pPr>
        <w:spacing w:line="480" w:lineRule="auto"/>
        <w:contextualSpacing/>
        <w:rPr>
          <w:rFonts w:asciiTheme="minorBidi" w:hAnsiTheme="minorBidi"/>
          <w:rtl/>
        </w:rPr>
      </w:pPr>
    </w:p>
    <w:sectPr w:rsidR="00004268" w:rsidRPr="00B81F2B" w:rsidSect="00FC5572">
      <w:footerReference w:type="even"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FCEF9" w14:textId="77777777" w:rsidR="00F106E1" w:rsidRDefault="00F106E1" w:rsidP="00790618">
      <w:r>
        <w:separator/>
      </w:r>
    </w:p>
  </w:endnote>
  <w:endnote w:type="continuationSeparator" w:id="0">
    <w:p w14:paraId="39FA8A3C" w14:textId="77777777" w:rsidR="00F106E1" w:rsidRDefault="00F106E1" w:rsidP="007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29907"/>
      <w:docPartObj>
        <w:docPartGallery w:val="Page Numbers (Bottom of Page)"/>
        <w:docPartUnique/>
      </w:docPartObj>
    </w:sdtPr>
    <w:sdtEndPr>
      <w:rPr>
        <w:rStyle w:val="PageNumber"/>
      </w:rPr>
    </w:sdtEndPr>
    <w:sdtContent>
      <w:p w14:paraId="34EF7331" w14:textId="77777777" w:rsidR="00123EDD" w:rsidRDefault="00123EDD" w:rsidP="00CC63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22F3B1" w14:textId="77777777" w:rsidR="00123EDD" w:rsidRDefault="00123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3971657"/>
      <w:docPartObj>
        <w:docPartGallery w:val="Page Numbers (Bottom of Page)"/>
        <w:docPartUnique/>
      </w:docPartObj>
    </w:sdtPr>
    <w:sdtEndPr>
      <w:rPr>
        <w:rStyle w:val="PageNumber"/>
      </w:rPr>
    </w:sdtEndPr>
    <w:sdtContent>
      <w:p w14:paraId="340F8CDB" w14:textId="77777777" w:rsidR="00123EDD" w:rsidRDefault="00123EDD" w:rsidP="00CC63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9B896B" w14:textId="77777777" w:rsidR="00123EDD" w:rsidRDefault="00123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8293968"/>
      <w:docPartObj>
        <w:docPartGallery w:val="Page Numbers (Bottom of Page)"/>
        <w:docPartUnique/>
      </w:docPartObj>
    </w:sdtPr>
    <w:sdtEndPr>
      <w:rPr>
        <w:rStyle w:val="PageNumber"/>
      </w:rPr>
    </w:sdtEndPr>
    <w:sdtContent>
      <w:p w14:paraId="057813E0" w14:textId="77C6B756" w:rsidR="00123EDD" w:rsidRDefault="00123EDD" w:rsidP="00CC63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6F815" w14:textId="77777777" w:rsidR="00123EDD" w:rsidRDefault="00123E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319805"/>
      <w:docPartObj>
        <w:docPartGallery w:val="Page Numbers (Bottom of Page)"/>
        <w:docPartUnique/>
      </w:docPartObj>
    </w:sdtPr>
    <w:sdtEndPr>
      <w:rPr>
        <w:rStyle w:val="PageNumber"/>
      </w:rPr>
    </w:sdtEndPr>
    <w:sdtContent>
      <w:p w14:paraId="3D17B604" w14:textId="5E438B69" w:rsidR="00123EDD" w:rsidRDefault="00123EDD" w:rsidP="00CC63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12CB8E" w14:textId="77777777" w:rsidR="00123EDD" w:rsidRDefault="00123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3CC16" w14:textId="77777777" w:rsidR="00F106E1" w:rsidRDefault="00F106E1" w:rsidP="00790618">
      <w:r>
        <w:separator/>
      </w:r>
    </w:p>
  </w:footnote>
  <w:footnote w:type="continuationSeparator" w:id="0">
    <w:p w14:paraId="69826B95" w14:textId="77777777" w:rsidR="00F106E1" w:rsidRDefault="00F106E1" w:rsidP="00790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8561F"/>
    <w:multiLevelType w:val="hybridMultilevel"/>
    <w:tmpl w:val="7C72BA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6D1900"/>
    <w:multiLevelType w:val="hybridMultilevel"/>
    <w:tmpl w:val="8A764D28"/>
    <w:lvl w:ilvl="0" w:tplc="4F2E1230">
      <w:start w:val="1"/>
      <w:numFmt w:val="decimal"/>
      <w:lvlText w:val="%1."/>
      <w:lvlJc w:val="left"/>
      <w:pPr>
        <w:tabs>
          <w:tab w:val="num" w:pos="720"/>
        </w:tabs>
        <w:ind w:left="720" w:hanging="360"/>
      </w:pPr>
    </w:lvl>
    <w:lvl w:ilvl="1" w:tplc="FD1A7CBC" w:tentative="1">
      <w:start w:val="1"/>
      <w:numFmt w:val="decimal"/>
      <w:lvlText w:val="%2."/>
      <w:lvlJc w:val="left"/>
      <w:pPr>
        <w:tabs>
          <w:tab w:val="num" w:pos="1440"/>
        </w:tabs>
        <w:ind w:left="1440" w:hanging="360"/>
      </w:pPr>
    </w:lvl>
    <w:lvl w:ilvl="2" w:tplc="A306CD68" w:tentative="1">
      <w:start w:val="1"/>
      <w:numFmt w:val="decimal"/>
      <w:lvlText w:val="%3."/>
      <w:lvlJc w:val="left"/>
      <w:pPr>
        <w:tabs>
          <w:tab w:val="num" w:pos="2160"/>
        </w:tabs>
        <w:ind w:left="2160" w:hanging="360"/>
      </w:pPr>
    </w:lvl>
    <w:lvl w:ilvl="3" w:tplc="BCA451E6" w:tentative="1">
      <w:start w:val="1"/>
      <w:numFmt w:val="decimal"/>
      <w:lvlText w:val="%4."/>
      <w:lvlJc w:val="left"/>
      <w:pPr>
        <w:tabs>
          <w:tab w:val="num" w:pos="2880"/>
        </w:tabs>
        <w:ind w:left="2880" w:hanging="360"/>
      </w:pPr>
    </w:lvl>
    <w:lvl w:ilvl="4" w:tplc="78B40C8E" w:tentative="1">
      <w:start w:val="1"/>
      <w:numFmt w:val="decimal"/>
      <w:lvlText w:val="%5."/>
      <w:lvlJc w:val="left"/>
      <w:pPr>
        <w:tabs>
          <w:tab w:val="num" w:pos="3600"/>
        </w:tabs>
        <w:ind w:left="3600" w:hanging="360"/>
      </w:pPr>
    </w:lvl>
    <w:lvl w:ilvl="5" w:tplc="2886DF7E" w:tentative="1">
      <w:start w:val="1"/>
      <w:numFmt w:val="decimal"/>
      <w:lvlText w:val="%6."/>
      <w:lvlJc w:val="left"/>
      <w:pPr>
        <w:tabs>
          <w:tab w:val="num" w:pos="4320"/>
        </w:tabs>
        <w:ind w:left="4320" w:hanging="360"/>
      </w:pPr>
    </w:lvl>
    <w:lvl w:ilvl="6" w:tplc="92680442" w:tentative="1">
      <w:start w:val="1"/>
      <w:numFmt w:val="decimal"/>
      <w:lvlText w:val="%7."/>
      <w:lvlJc w:val="left"/>
      <w:pPr>
        <w:tabs>
          <w:tab w:val="num" w:pos="5040"/>
        </w:tabs>
        <w:ind w:left="5040" w:hanging="360"/>
      </w:pPr>
    </w:lvl>
    <w:lvl w:ilvl="7" w:tplc="CEA2AB5C" w:tentative="1">
      <w:start w:val="1"/>
      <w:numFmt w:val="decimal"/>
      <w:lvlText w:val="%8."/>
      <w:lvlJc w:val="left"/>
      <w:pPr>
        <w:tabs>
          <w:tab w:val="num" w:pos="5760"/>
        </w:tabs>
        <w:ind w:left="5760" w:hanging="360"/>
      </w:pPr>
    </w:lvl>
    <w:lvl w:ilvl="8" w:tplc="5FB65564" w:tentative="1">
      <w:start w:val="1"/>
      <w:numFmt w:val="decimal"/>
      <w:lvlText w:val="%9."/>
      <w:lvlJc w:val="left"/>
      <w:pPr>
        <w:tabs>
          <w:tab w:val="num" w:pos="6480"/>
        </w:tabs>
        <w:ind w:left="6480" w:hanging="360"/>
      </w:pPr>
    </w:lvl>
  </w:abstractNum>
  <w:abstractNum w:abstractNumId="2" w15:restartNumberingAfterBreak="0">
    <w:nsid w:val="58C37347"/>
    <w:multiLevelType w:val="hybridMultilevel"/>
    <w:tmpl w:val="39A2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E08F9"/>
    <w:multiLevelType w:val="multilevel"/>
    <w:tmpl w:val="E57A121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D8A0C07"/>
    <w:multiLevelType w:val="hybridMultilevel"/>
    <w:tmpl w:val="46CC6B88"/>
    <w:lvl w:ilvl="0" w:tplc="B8703D54">
      <w:start w:val="1"/>
      <w:numFmt w:val="decimal"/>
      <w:lvlText w:val="%1."/>
      <w:lvlJc w:val="left"/>
      <w:pPr>
        <w:tabs>
          <w:tab w:val="num" w:pos="720"/>
        </w:tabs>
        <w:ind w:left="720" w:hanging="360"/>
      </w:pPr>
    </w:lvl>
    <w:lvl w:ilvl="1" w:tplc="3942E460" w:tentative="1">
      <w:start w:val="1"/>
      <w:numFmt w:val="decimal"/>
      <w:lvlText w:val="%2."/>
      <w:lvlJc w:val="left"/>
      <w:pPr>
        <w:tabs>
          <w:tab w:val="num" w:pos="1440"/>
        </w:tabs>
        <w:ind w:left="1440" w:hanging="360"/>
      </w:pPr>
    </w:lvl>
    <w:lvl w:ilvl="2" w:tplc="DD745F62" w:tentative="1">
      <w:start w:val="1"/>
      <w:numFmt w:val="decimal"/>
      <w:lvlText w:val="%3."/>
      <w:lvlJc w:val="left"/>
      <w:pPr>
        <w:tabs>
          <w:tab w:val="num" w:pos="2160"/>
        </w:tabs>
        <w:ind w:left="2160" w:hanging="360"/>
      </w:pPr>
    </w:lvl>
    <w:lvl w:ilvl="3" w:tplc="D1DEE0BA" w:tentative="1">
      <w:start w:val="1"/>
      <w:numFmt w:val="decimal"/>
      <w:lvlText w:val="%4."/>
      <w:lvlJc w:val="left"/>
      <w:pPr>
        <w:tabs>
          <w:tab w:val="num" w:pos="2880"/>
        </w:tabs>
        <w:ind w:left="2880" w:hanging="360"/>
      </w:pPr>
    </w:lvl>
    <w:lvl w:ilvl="4" w:tplc="C3CCFAB8" w:tentative="1">
      <w:start w:val="1"/>
      <w:numFmt w:val="decimal"/>
      <w:lvlText w:val="%5."/>
      <w:lvlJc w:val="left"/>
      <w:pPr>
        <w:tabs>
          <w:tab w:val="num" w:pos="3600"/>
        </w:tabs>
        <w:ind w:left="3600" w:hanging="360"/>
      </w:pPr>
    </w:lvl>
    <w:lvl w:ilvl="5" w:tplc="EF702866" w:tentative="1">
      <w:start w:val="1"/>
      <w:numFmt w:val="decimal"/>
      <w:lvlText w:val="%6."/>
      <w:lvlJc w:val="left"/>
      <w:pPr>
        <w:tabs>
          <w:tab w:val="num" w:pos="4320"/>
        </w:tabs>
        <w:ind w:left="4320" w:hanging="360"/>
      </w:pPr>
    </w:lvl>
    <w:lvl w:ilvl="6" w:tplc="391418DC" w:tentative="1">
      <w:start w:val="1"/>
      <w:numFmt w:val="decimal"/>
      <w:lvlText w:val="%7."/>
      <w:lvlJc w:val="left"/>
      <w:pPr>
        <w:tabs>
          <w:tab w:val="num" w:pos="5040"/>
        </w:tabs>
        <w:ind w:left="5040" w:hanging="360"/>
      </w:pPr>
    </w:lvl>
    <w:lvl w:ilvl="7" w:tplc="09147E4A" w:tentative="1">
      <w:start w:val="1"/>
      <w:numFmt w:val="decimal"/>
      <w:lvlText w:val="%8."/>
      <w:lvlJc w:val="left"/>
      <w:pPr>
        <w:tabs>
          <w:tab w:val="num" w:pos="5760"/>
        </w:tabs>
        <w:ind w:left="5760" w:hanging="360"/>
      </w:pPr>
    </w:lvl>
    <w:lvl w:ilvl="8" w:tplc="4B42BAAC" w:tentative="1">
      <w:start w:val="1"/>
      <w:numFmt w:val="decimal"/>
      <w:lvlText w:val="%9."/>
      <w:lvlJc w:val="left"/>
      <w:pPr>
        <w:tabs>
          <w:tab w:val="num" w:pos="6480"/>
        </w:tabs>
        <w:ind w:left="6480" w:hanging="360"/>
      </w:pPr>
    </w:lvl>
  </w:abstractNum>
  <w:abstractNum w:abstractNumId="5" w15:restartNumberingAfterBreak="0">
    <w:nsid w:val="762374A2"/>
    <w:multiLevelType w:val="hybridMultilevel"/>
    <w:tmpl w:val="F38C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90270"/>
    <w:multiLevelType w:val="hybridMultilevel"/>
    <w:tmpl w:val="3DD4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sv-SE" w:vendorID="64" w:dllVersion="4096" w:nlCheck="1" w:checkStyle="0"/>
  <w:activeWritingStyle w:appName="MSWord" w:lang="de-DE"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DA3NrAwsrQ0tDRW0lEKTi0uzszPAykwrAUAMpUikywAAAA="/>
  </w:docVars>
  <w:rsids>
    <w:rsidRoot w:val="00C95847"/>
    <w:rsid w:val="00000C55"/>
    <w:rsid w:val="0000106F"/>
    <w:rsid w:val="00001767"/>
    <w:rsid w:val="0000213E"/>
    <w:rsid w:val="0000246A"/>
    <w:rsid w:val="000025E6"/>
    <w:rsid w:val="000033DD"/>
    <w:rsid w:val="00003BD6"/>
    <w:rsid w:val="00004268"/>
    <w:rsid w:val="00006A4B"/>
    <w:rsid w:val="00010734"/>
    <w:rsid w:val="000109A9"/>
    <w:rsid w:val="00011522"/>
    <w:rsid w:val="00011E31"/>
    <w:rsid w:val="000156E7"/>
    <w:rsid w:val="000160BE"/>
    <w:rsid w:val="00017487"/>
    <w:rsid w:val="0002019B"/>
    <w:rsid w:val="00021273"/>
    <w:rsid w:val="000215FF"/>
    <w:rsid w:val="00022353"/>
    <w:rsid w:val="000240CD"/>
    <w:rsid w:val="00026062"/>
    <w:rsid w:val="00026919"/>
    <w:rsid w:val="000309E0"/>
    <w:rsid w:val="000314BB"/>
    <w:rsid w:val="00033E73"/>
    <w:rsid w:val="00033F2E"/>
    <w:rsid w:val="00035C80"/>
    <w:rsid w:val="00036000"/>
    <w:rsid w:val="00036252"/>
    <w:rsid w:val="000364F3"/>
    <w:rsid w:val="00036746"/>
    <w:rsid w:val="00036D84"/>
    <w:rsid w:val="0004039E"/>
    <w:rsid w:val="00040616"/>
    <w:rsid w:val="00042D18"/>
    <w:rsid w:val="00044F95"/>
    <w:rsid w:val="00045A9F"/>
    <w:rsid w:val="000478F4"/>
    <w:rsid w:val="00050254"/>
    <w:rsid w:val="000507E4"/>
    <w:rsid w:val="000530C7"/>
    <w:rsid w:val="00053E6A"/>
    <w:rsid w:val="00053FB7"/>
    <w:rsid w:val="00054367"/>
    <w:rsid w:val="000555CD"/>
    <w:rsid w:val="00055B75"/>
    <w:rsid w:val="000566C1"/>
    <w:rsid w:val="0005698E"/>
    <w:rsid w:val="00057BAB"/>
    <w:rsid w:val="000601D0"/>
    <w:rsid w:val="000606D1"/>
    <w:rsid w:val="000607BC"/>
    <w:rsid w:val="00061C6B"/>
    <w:rsid w:val="0006281E"/>
    <w:rsid w:val="0006315D"/>
    <w:rsid w:val="00066835"/>
    <w:rsid w:val="0007001A"/>
    <w:rsid w:val="00070939"/>
    <w:rsid w:val="000709C2"/>
    <w:rsid w:val="00071054"/>
    <w:rsid w:val="0007111E"/>
    <w:rsid w:val="00073753"/>
    <w:rsid w:val="000742B5"/>
    <w:rsid w:val="00074C76"/>
    <w:rsid w:val="000764AC"/>
    <w:rsid w:val="0007677F"/>
    <w:rsid w:val="00076B2C"/>
    <w:rsid w:val="000772DB"/>
    <w:rsid w:val="00077A4B"/>
    <w:rsid w:val="00077D16"/>
    <w:rsid w:val="00077DCE"/>
    <w:rsid w:val="0008023E"/>
    <w:rsid w:val="00081479"/>
    <w:rsid w:val="000827EE"/>
    <w:rsid w:val="00084E99"/>
    <w:rsid w:val="000863CF"/>
    <w:rsid w:val="00086F8F"/>
    <w:rsid w:val="00087A45"/>
    <w:rsid w:val="00087C45"/>
    <w:rsid w:val="000901DD"/>
    <w:rsid w:val="000906B0"/>
    <w:rsid w:val="000912FC"/>
    <w:rsid w:val="00091EB8"/>
    <w:rsid w:val="0009217E"/>
    <w:rsid w:val="00094852"/>
    <w:rsid w:val="00096474"/>
    <w:rsid w:val="000968AC"/>
    <w:rsid w:val="00097023"/>
    <w:rsid w:val="00097993"/>
    <w:rsid w:val="000A2567"/>
    <w:rsid w:val="000A284C"/>
    <w:rsid w:val="000A3182"/>
    <w:rsid w:val="000A3ECA"/>
    <w:rsid w:val="000A4861"/>
    <w:rsid w:val="000A5D04"/>
    <w:rsid w:val="000A6560"/>
    <w:rsid w:val="000A74DD"/>
    <w:rsid w:val="000A74E9"/>
    <w:rsid w:val="000A7BF8"/>
    <w:rsid w:val="000B19F9"/>
    <w:rsid w:val="000B2763"/>
    <w:rsid w:val="000B2FD9"/>
    <w:rsid w:val="000B3E33"/>
    <w:rsid w:val="000B4451"/>
    <w:rsid w:val="000B74B6"/>
    <w:rsid w:val="000B7646"/>
    <w:rsid w:val="000C02D9"/>
    <w:rsid w:val="000C0D1F"/>
    <w:rsid w:val="000C0F49"/>
    <w:rsid w:val="000C1230"/>
    <w:rsid w:val="000C1628"/>
    <w:rsid w:val="000C2AE3"/>
    <w:rsid w:val="000C2C14"/>
    <w:rsid w:val="000C67AF"/>
    <w:rsid w:val="000C6D17"/>
    <w:rsid w:val="000C6D5F"/>
    <w:rsid w:val="000D0A83"/>
    <w:rsid w:val="000D191D"/>
    <w:rsid w:val="000D1DFC"/>
    <w:rsid w:val="000D2ED8"/>
    <w:rsid w:val="000D40E3"/>
    <w:rsid w:val="000D4672"/>
    <w:rsid w:val="000D6085"/>
    <w:rsid w:val="000D6642"/>
    <w:rsid w:val="000D7F3E"/>
    <w:rsid w:val="000E1674"/>
    <w:rsid w:val="000E1B92"/>
    <w:rsid w:val="000E2A74"/>
    <w:rsid w:val="000E32F6"/>
    <w:rsid w:val="000E44DB"/>
    <w:rsid w:val="000E4765"/>
    <w:rsid w:val="000E4933"/>
    <w:rsid w:val="000E5063"/>
    <w:rsid w:val="000E52DB"/>
    <w:rsid w:val="000E5380"/>
    <w:rsid w:val="000E5D37"/>
    <w:rsid w:val="000E6A44"/>
    <w:rsid w:val="000E6BBD"/>
    <w:rsid w:val="000E728B"/>
    <w:rsid w:val="000E7930"/>
    <w:rsid w:val="000F0769"/>
    <w:rsid w:val="000F0FD3"/>
    <w:rsid w:val="000F3104"/>
    <w:rsid w:val="000F3F1C"/>
    <w:rsid w:val="000F4116"/>
    <w:rsid w:val="000F44D6"/>
    <w:rsid w:val="000F47C9"/>
    <w:rsid w:val="000F49B9"/>
    <w:rsid w:val="000F551B"/>
    <w:rsid w:val="000F57B1"/>
    <w:rsid w:val="000F5F11"/>
    <w:rsid w:val="000F72C1"/>
    <w:rsid w:val="00100B46"/>
    <w:rsid w:val="00101D92"/>
    <w:rsid w:val="00101DEC"/>
    <w:rsid w:val="001025D3"/>
    <w:rsid w:val="00102E08"/>
    <w:rsid w:val="0010388A"/>
    <w:rsid w:val="00104DF6"/>
    <w:rsid w:val="00105688"/>
    <w:rsid w:val="00107177"/>
    <w:rsid w:val="001102A6"/>
    <w:rsid w:val="001103C2"/>
    <w:rsid w:val="00110F0D"/>
    <w:rsid w:val="00110F8C"/>
    <w:rsid w:val="00111AF9"/>
    <w:rsid w:val="00111CF7"/>
    <w:rsid w:val="0011203C"/>
    <w:rsid w:val="00112064"/>
    <w:rsid w:val="00112CD5"/>
    <w:rsid w:val="00114CF1"/>
    <w:rsid w:val="00115215"/>
    <w:rsid w:val="001152ED"/>
    <w:rsid w:val="00115845"/>
    <w:rsid w:val="00120ED9"/>
    <w:rsid w:val="001229DE"/>
    <w:rsid w:val="00122B92"/>
    <w:rsid w:val="00123032"/>
    <w:rsid w:val="0012338F"/>
    <w:rsid w:val="00123EDD"/>
    <w:rsid w:val="00123FB9"/>
    <w:rsid w:val="0012577E"/>
    <w:rsid w:val="0012729A"/>
    <w:rsid w:val="00127EFB"/>
    <w:rsid w:val="0013085E"/>
    <w:rsid w:val="00130A63"/>
    <w:rsid w:val="0013272A"/>
    <w:rsid w:val="00132DB3"/>
    <w:rsid w:val="00132DFE"/>
    <w:rsid w:val="001331C1"/>
    <w:rsid w:val="001343D1"/>
    <w:rsid w:val="00134E27"/>
    <w:rsid w:val="001366E8"/>
    <w:rsid w:val="00136AEB"/>
    <w:rsid w:val="00141AAF"/>
    <w:rsid w:val="00141E5B"/>
    <w:rsid w:val="001429D3"/>
    <w:rsid w:val="001464B1"/>
    <w:rsid w:val="00146C2A"/>
    <w:rsid w:val="00147EB1"/>
    <w:rsid w:val="00150455"/>
    <w:rsid w:val="00151434"/>
    <w:rsid w:val="00151639"/>
    <w:rsid w:val="00151647"/>
    <w:rsid w:val="00151CA5"/>
    <w:rsid w:val="001530A0"/>
    <w:rsid w:val="00153EBC"/>
    <w:rsid w:val="00155995"/>
    <w:rsid w:val="00155C14"/>
    <w:rsid w:val="001574F2"/>
    <w:rsid w:val="00157E50"/>
    <w:rsid w:val="00160D61"/>
    <w:rsid w:val="00160FD1"/>
    <w:rsid w:val="001613D0"/>
    <w:rsid w:val="00164CE3"/>
    <w:rsid w:val="00165BDE"/>
    <w:rsid w:val="00167BB2"/>
    <w:rsid w:val="00170291"/>
    <w:rsid w:val="00170714"/>
    <w:rsid w:val="00171118"/>
    <w:rsid w:val="0017177D"/>
    <w:rsid w:val="00171813"/>
    <w:rsid w:val="00172B15"/>
    <w:rsid w:val="00173A85"/>
    <w:rsid w:val="0017462B"/>
    <w:rsid w:val="00174B1B"/>
    <w:rsid w:val="00174BE0"/>
    <w:rsid w:val="001760F6"/>
    <w:rsid w:val="00177AA8"/>
    <w:rsid w:val="00177D82"/>
    <w:rsid w:val="00177E9A"/>
    <w:rsid w:val="00180210"/>
    <w:rsid w:val="00180AAC"/>
    <w:rsid w:val="00180F87"/>
    <w:rsid w:val="001835AC"/>
    <w:rsid w:val="001836C8"/>
    <w:rsid w:val="0018461A"/>
    <w:rsid w:val="00184F4A"/>
    <w:rsid w:val="0018620A"/>
    <w:rsid w:val="00186ED5"/>
    <w:rsid w:val="00186FB0"/>
    <w:rsid w:val="001876B8"/>
    <w:rsid w:val="0018777B"/>
    <w:rsid w:val="00187B76"/>
    <w:rsid w:val="00190419"/>
    <w:rsid w:val="001905BA"/>
    <w:rsid w:val="00190C49"/>
    <w:rsid w:val="001914F1"/>
    <w:rsid w:val="00191A7A"/>
    <w:rsid w:val="001926C2"/>
    <w:rsid w:val="0019356B"/>
    <w:rsid w:val="00193C13"/>
    <w:rsid w:val="00193EFF"/>
    <w:rsid w:val="00193FCC"/>
    <w:rsid w:val="0019410E"/>
    <w:rsid w:val="00194E31"/>
    <w:rsid w:val="00194EF4"/>
    <w:rsid w:val="00195FA9"/>
    <w:rsid w:val="001A13D2"/>
    <w:rsid w:val="001A1ABD"/>
    <w:rsid w:val="001A27FB"/>
    <w:rsid w:val="001A2967"/>
    <w:rsid w:val="001A2D45"/>
    <w:rsid w:val="001A2F08"/>
    <w:rsid w:val="001A3081"/>
    <w:rsid w:val="001A3C29"/>
    <w:rsid w:val="001A4F0A"/>
    <w:rsid w:val="001A4F55"/>
    <w:rsid w:val="001A6009"/>
    <w:rsid w:val="001A622B"/>
    <w:rsid w:val="001A6425"/>
    <w:rsid w:val="001A6BB0"/>
    <w:rsid w:val="001A712C"/>
    <w:rsid w:val="001A7702"/>
    <w:rsid w:val="001B029C"/>
    <w:rsid w:val="001B06A4"/>
    <w:rsid w:val="001B29B7"/>
    <w:rsid w:val="001B2C34"/>
    <w:rsid w:val="001B384C"/>
    <w:rsid w:val="001B52FA"/>
    <w:rsid w:val="001B531E"/>
    <w:rsid w:val="001B72A2"/>
    <w:rsid w:val="001C16D0"/>
    <w:rsid w:val="001C244D"/>
    <w:rsid w:val="001C2DE6"/>
    <w:rsid w:val="001C2DFF"/>
    <w:rsid w:val="001D0097"/>
    <w:rsid w:val="001D0C1F"/>
    <w:rsid w:val="001D0D54"/>
    <w:rsid w:val="001D0D7C"/>
    <w:rsid w:val="001D1701"/>
    <w:rsid w:val="001D24D7"/>
    <w:rsid w:val="001D2C4E"/>
    <w:rsid w:val="001D2D9C"/>
    <w:rsid w:val="001D2FD7"/>
    <w:rsid w:val="001D2FDC"/>
    <w:rsid w:val="001D3020"/>
    <w:rsid w:val="001D40F0"/>
    <w:rsid w:val="001D524C"/>
    <w:rsid w:val="001D7185"/>
    <w:rsid w:val="001D75E2"/>
    <w:rsid w:val="001D7EBF"/>
    <w:rsid w:val="001E154C"/>
    <w:rsid w:val="001E325E"/>
    <w:rsid w:val="001E3AAC"/>
    <w:rsid w:val="001E699B"/>
    <w:rsid w:val="001E7A59"/>
    <w:rsid w:val="001E7BA0"/>
    <w:rsid w:val="001F18B4"/>
    <w:rsid w:val="001F198E"/>
    <w:rsid w:val="001F1DED"/>
    <w:rsid w:val="001F267E"/>
    <w:rsid w:val="001F32D8"/>
    <w:rsid w:val="001F733F"/>
    <w:rsid w:val="001F777E"/>
    <w:rsid w:val="001F7BA2"/>
    <w:rsid w:val="00201CD6"/>
    <w:rsid w:val="00203B80"/>
    <w:rsid w:val="00204171"/>
    <w:rsid w:val="002044A7"/>
    <w:rsid w:val="002048CD"/>
    <w:rsid w:val="00205DE1"/>
    <w:rsid w:val="0020663C"/>
    <w:rsid w:val="002067E6"/>
    <w:rsid w:val="00206B30"/>
    <w:rsid w:val="00207497"/>
    <w:rsid w:val="00207EB5"/>
    <w:rsid w:val="00211034"/>
    <w:rsid w:val="0021152E"/>
    <w:rsid w:val="0021176B"/>
    <w:rsid w:val="00211C69"/>
    <w:rsid w:val="00213003"/>
    <w:rsid w:val="00214455"/>
    <w:rsid w:val="0021449B"/>
    <w:rsid w:val="002148B7"/>
    <w:rsid w:val="00215FCE"/>
    <w:rsid w:val="00216058"/>
    <w:rsid w:val="0021610E"/>
    <w:rsid w:val="002162C6"/>
    <w:rsid w:val="00216D4F"/>
    <w:rsid w:val="00220E50"/>
    <w:rsid w:val="00222085"/>
    <w:rsid w:val="00223EA5"/>
    <w:rsid w:val="00224774"/>
    <w:rsid w:val="002250D9"/>
    <w:rsid w:val="00226373"/>
    <w:rsid w:val="0022660E"/>
    <w:rsid w:val="00226F5B"/>
    <w:rsid w:val="00227C68"/>
    <w:rsid w:val="00231166"/>
    <w:rsid w:val="00231F14"/>
    <w:rsid w:val="00232188"/>
    <w:rsid w:val="0023229F"/>
    <w:rsid w:val="002324F6"/>
    <w:rsid w:val="00232CF1"/>
    <w:rsid w:val="0023430F"/>
    <w:rsid w:val="0023457B"/>
    <w:rsid w:val="00234A5F"/>
    <w:rsid w:val="0023565B"/>
    <w:rsid w:val="00235D07"/>
    <w:rsid w:val="002367FB"/>
    <w:rsid w:val="00236E1B"/>
    <w:rsid w:val="00237353"/>
    <w:rsid w:val="00240601"/>
    <w:rsid w:val="0024166F"/>
    <w:rsid w:val="002422E3"/>
    <w:rsid w:val="0024273A"/>
    <w:rsid w:val="00243CEB"/>
    <w:rsid w:val="0024434F"/>
    <w:rsid w:val="002447E5"/>
    <w:rsid w:val="00244DC2"/>
    <w:rsid w:val="00247808"/>
    <w:rsid w:val="00250EC1"/>
    <w:rsid w:val="002514A2"/>
    <w:rsid w:val="00252AD7"/>
    <w:rsid w:val="00253C58"/>
    <w:rsid w:val="00253F9A"/>
    <w:rsid w:val="002551C5"/>
    <w:rsid w:val="00255C41"/>
    <w:rsid w:val="0025678B"/>
    <w:rsid w:val="00256920"/>
    <w:rsid w:val="0025765F"/>
    <w:rsid w:val="002600EE"/>
    <w:rsid w:val="002601F9"/>
    <w:rsid w:val="0026031E"/>
    <w:rsid w:val="00261726"/>
    <w:rsid w:val="002626AD"/>
    <w:rsid w:val="00262B77"/>
    <w:rsid w:val="00263196"/>
    <w:rsid w:val="00264AFA"/>
    <w:rsid w:val="002671F0"/>
    <w:rsid w:val="002676D9"/>
    <w:rsid w:val="00267878"/>
    <w:rsid w:val="00270949"/>
    <w:rsid w:val="0027128F"/>
    <w:rsid w:val="002718BE"/>
    <w:rsid w:val="002733B9"/>
    <w:rsid w:val="002746C7"/>
    <w:rsid w:val="00275BEE"/>
    <w:rsid w:val="00275E88"/>
    <w:rsid w:val="002774D2"/>
    <w:rsid w:val="00280A6C"/>
    <w:rsid w:val="002812FE"/>
    <w:rsid w:val="002823F8"/>
    <w:rsid w:val="00282648"/>
    <w:rsid w:val="0028490B"/>
    <w:rsid w:val="0028593D"/>
    <w:rsid w:val="00286590"/>
    <w:rsid w:val="002873CF"/>
    <w:rsid w:val="00287DA6"/>
    <w:rsid w:val="002923A4"/>
    <w:rsid w:val="002927F3"/>
    <w:rsid w:val="0029359E"/>
    <w:rsid w:val="00294D4F"/>
    <w:rsid w:val="0029736C"/>
    <w:rsid w:val="00297798"/>
    <w:rsid w:val="002979F0"/>
    <w:rsid w:val="002A1BC1"/>
    <w:rsid w:val="002A1CA8"/>
    <w:rsid w:val="002A2ACE"/>
    <w:rsid w:val="002A3730"/>
    <w:rsid w:val="002A464C"/>
    <w:rsid w:val="002A47D7"/>
    <w:rsid w:val="002A529A"/>
    <w:rsid w:val="002A5493"/>
    <w:rsid w:val="002A5ACA"/>
    <w:rsid w:val="002A5DD7"/>
    <w:rsid w:val="002A668E"/>
    <w:rsid w:val="002A67C2"/>
    <w:rsid w:val="002A7C26"/>
    <w:rsid w:val="002B06F2"/>
    <w:rsid w:val="002B194F"/>
    <w:rsid w:val="002B2B7E"/>
    <w:rsid w:val="002B2E1A"/>
    <w:rsid w:val="002B3A73"/>
    <w:rsid w:val="002B504C"/>
    <w:rsid w:val="002B66CD"/>
    <w:rsid w:val="002B67AE"/>
    <w:rsid w:val="002B6977"/>
    <w:rsid w:val="002B7EC6"/>
    <w:rsid w:val="002B7EFE"/>
    <w:rsid w:val="002C0DFD"/>
    <w:rsid w:val="002C141F"/>
    <w:rsid w:val="002C2B03"/>
    <w:rsid w:val="002C335B"/>
    <w:rsid w:val="002C48FB"/>
    <w:rsid w:val="002C4961"/>
    <w:rsid w:val="002C4ADD"/>
    <w:rsid w:val="002C4ECA"/>
    <w:rsid w:val="002C5EFA"/>
    <w:rsid w:val="002C5F93"/>
    <w:rsid w:val="002C6C95"/>
    <w:rsid w:val="002D0CC9"/>
    <w:rsid w:val="002D0EB7"/>
    <w:rsid w:val="002D1E69"/>
    <w:rsid w:val="002D336C"/>
    <w:rsid w:val="002D3880"/>
    <w:rsid w:val="002D476C"/>
    <w:rsid w:val="002D4DF1"/>
    <w:rsid w:val="002D51BD"/>
    <w:rsid w:val="002D53DE"/>
    <w:rsid w:val="002D5AA4"/>
    <w:rsid w:val="002D6D37"/>
    <w:rsid w:val="002E003F"/>
    <w:rsid w:val="002E0DDE"/>
    <w:rsid w:val="002E1232"/>
    <w:rsid w:val="002E13D5"/>
    <w:rsid w:val="002E1D7D"/>
    <w:rsid w:val="002E2A3D"/>
    <w:rsid w:val="002E3EAB"/>
    <w:rsid w:val="002E4C09"/>
    <w:rsid w:val="002E50C4"/>
    <w:rsid w:val="002E5A70"/>
    <w:rsid w:val="002F0812"/>
    <w:rsid w:val="002F0C27"/>
    <w:rsid w:val="002F0F24"/>
    <w:rsid w:val="002F1FAA"/>
    <w:rsid w:val="002F24B0"/>
    <w:rsid w:val="002F2C5C"/>
    <w:rsid w:val="002F6156"/>
    <w:rsid w:val="002F6194"/>
    <w:rsid w:val="002F620A"/>
    <w:rsid w:val="002F7B16"/>
    <w:rsid w:val="002F7FB6"/>
    <w:rsid w:val="00300B4D"/>
    <w:rsid w:val="00300F69"/>
    <w:rsid w:val="00301E12"/>
    <w:rsid w:val="00301E3B"/>
    <w:rsid w:val="0030445F"/>
    <w:rsid w:val="00304C81"/>
    <w:rsid w:val="00306DB1"/>
    <w:rsid w:val="00307556"/>
    <w:rsid w:val="00307AC2"/>
    <w:rsid w:val="00307CB7"/>
    <w:rsid w:val="003110EF"/>
    <w:rsid w:val="003112ED"/>
    <w:rsid w:val="00314471"/>
    <w:rsid w:val="003151EF"/>
    <w:rsid w:val="00316977"/>
    <w:rsid w:val="00317EFA"/>
    <w:rsid w:val="00320594"/>
    <w:rsid w:val="0032059B"/>
    <w:rsid w:val="00320B3C"/>
    <w:rsid w:val="003213CD"/>
    <w:rsid w:val="00321638"/>
    <w:rsid w:val="0032262B"/>
    <w:rsid w:val="003233AD"/>
    <w:rsid w:val="00323470"/>
    <w:rsid w:val="00323792"/>
    <w:rsid w:val="00324558"/>
    <w:rsid w:val="003266A6"/>
    <w:rsid w:val="00332454"/>
    <w:rsid w:val="003331A1"/>
    <w:rsid w:val="003340CD"/>
    <w:rsid w:val="00337881"/>
    <w:rsid w:val="00341A68"/>
    <w:rsid w:val="0034220A"/>
    <w:rsid w:val="00342A22"/>
    <w:rsid w:val="00342B2A"/>
    <w:rsid w:val="00343B10"/>
    <w:rsid w:val="00346419"/>
    <w:rsid w:val="00346D4F"/>
    <w:rsid w:val="00347B3A"/>
    <w:rsid w:val="0035125F"/>
    <w:rsid w:val="0035183A"/>
    <w:rsid w:val="00352315"/>
    <w:rsid w:val="00353B82"/>
    <w:rsid w:val="003552F0"/>
    <w:rsid w:val="00357376"/>
    <w:rsid w:val="003578AC"/>
    <w:rsid w:val="00360D22"/>
    <w:rsid w:val="003615A6"/>
    <w:rsid w:val="00363A0A"/>
    <w:rsid w:val="00364E73"/>
    <w:rsid w:val="003663CE"/>
    <w:rsid w:val="003724B6"/>
    <w:rsid w:val="003733CB"/>
    <w:rsid w:val="00373846"/>
    <w:rsid w:val="00373E40"/>
    <w:rsid w:val="003752FA"/>
    <w:rsid w:val="00376005"/>
    <w:rsid w:val="00376B0A"/>
    <w:rsid w:val="00376DC4"/>
    <w:rsid w:val="0037759A"/>
    <w:rsid w:val="00377676"/>
    <w:rsid w:val="00380166"/>
    <w:rsid w:val="003802A7"/>
    <w:rsid w:val="003810A9"/>
    <w:rsid w:val="003840C7"/>
    <w:rsid w:val="003841AC"/>
    <w:rsid w:val="00384407"/>
    <w:rsid w:val="00386A64"/>
    <w:rsid w:val="003878D9"/>
    <w:rsid w:val="00387CAC"/>
    <w:rsid w:val="003905D3"/>
    <w:rsid w:val="003908BF"/>
    <w:rsid w:val="00390DC7"/>
    <w:rsid w:val="00390DE3"/>
    <w:rsid w:val="00393DB9"/>
    <w:rsid w:val="0039482B"/>
    <w:rsid w:val="003956B6"/>
    <w:rsid w:val="0039634D"/>
    <w:rsid w:val="003965F5"/>
    <w:rsid w:val="00397D8B"/>
    <w:rsid w:val="003A2011"/>
    <w:rsid w:val="003A227F"/>
    <w:rsid w:val="003A2E31"/>
    <w:rsid w:val="003A35BD"/>
    <w:rsid w:val="003A50EB"/>
    <w:rsid w:val="003A63AF"/>
    <w:rsid w:val="003A6B2C"/>
    <w:rsid w:val="003A79D3"/>
    <w:rsid w:val="003A7B3F"/>
    <w:rsid w:val="003B0B80"/>
    <w:rsid w:val="003B11E6"/>
    <w:rsid w:val="003B19D9"/>
    <w:rsid w:val="003B1B5B"/>
    <w:rsid w:val="003B1CE5"/>
    <w:rsid w:val="003B2730"/>
    <w:rsid w:val="003B42C5"/>
    <w:rsid w:val="003B572D"/>
    <w:rsid w:val="003B5A84"/>
    <w:rsid w:val="003B5D01"/>
    <w:rsid w:val="003B6EF6"/>
    <w:rsid w:val="003B7128"/>
    <w:rsid w:val="003B72D9"/>
    <w:rsid w:val="003B7371"/>
    <w:rsid w:val="003C0521"/>
    <w:rsid w:val="003C19CC"/>
    <w:rsid w:val="003C2DDD"/>
    <w:rsid w:val="003C32BD"/>
    <w:rsid w:val="003C4AC5"/>
    <w:rsid w:val="003C4CC6"/>
    <w:rsid w:val="003C72D1"/>
    <w:rsid w:val="003D0793"/>
    <w:rsid w:val="003D2AF7"/>
    <w:rsid w:val="003D2D64"/>
    <w:rsid w:val="003D2E4C"/>
    <w:rsid w:val="003D4014"/>
    <w:rsid w:val="003D7375"/>
    <w:rsid w:val="003E0285"/>
    <w:rsid w:val="003E0E4D"/>
    <w:rsid w:val="003E15CB"/>
    <w:rsid w:val="003E3E12"/>
    <w:rsid w:val="003E411D"/>
    <w:rsid w:val="003E4B94"/>
    <w:rsid w:val="003E706B"/>
    <w:rsid w:val="003F0449"/>
    <w:rsid w:val="003F2ADD"/>
    <w:rsid w:val="003F3A05"/>
    <w:rsid w:val="003F4436"/>
    <w:rsid w:val="003F46B4"/>
    <w:rsid w:val="003F6409"/>
    <w:rsid w:val="00404DD6"/>
    <w:rsid w:val="00405C0E"/>
    <w:rsid w:val="0040652F"/>
    <w:rsid w:val="00406C3F"/>
    <w:rsid w:val="00406DDC"/>
    <w:rsid w:val="004074C7"/>
    <w:rsid w:val="00407BE5"/>
    <w:rsid w:val="00410804"/>
    <w:rsid w:val="004117FF"/>
    <w:rsid w:val="00412146"/>
    <w:rsid w:val="00412872"/>
    <w:rsid w:val="00412D14"/>
    <w:rsid w:val="00416171"/>
    <w:rsid w:val="00416450"/>
    <w:rsid w:val="004179EC"/>
    <w:rsid w:val="00417F40"/>
    <w:rsid w:val="00417FCD"/>
    <w:rsid w:val="004204A9"/>
    <w:rsid w:val="004214EB"/>
    <w:rsid w:val="00421892"/>
    <w:rsid w:val="004227F6"/>
    <w:rsid w:val="00423E1B"/>
    <w:rsid w:val="00424A07"/>
    <w:rsid w:val="00424DAC"/>
    <w:rsid w:val="00425C58"/>
    <w:rsid w:val="0042654A"/>
    <w:rsid w:val="00426CFC"/>
    <w:rsid w:val="00426EFC"/>
    <w:rsid w:val="004278CA"/>
    <w:rsid w:val="00427D7B"/>
    <w:rsid w:val="004315B4"/>
    <w:rsid w:val="004330DC"/>
    <w:rsid w:val="004333DA"/>
    <w:rsid w:val="004337E9"/>
    <w:rsid w:val="00433F97"/>
    <w:rsid w:val="0043440F"/>
    <w:rsid w:val="004346CA"/>
    <w:rsid w:val="004354B1"/>
    <w:rsid w:val="004402E5"/>
    <w:rsid w:val="0044228F"/>
    <w:rsid w:val="0044275C"/>
    <w:rsid w:val="00442C5B"/>
    <w:rsid w:val="00445A35"/>
    <w:rsid w:val="00445C5F"/>
    <w:rsid w:val="00446170"/>
    <w:rsid w:val="00446821"/>
    <w:rsid w:val="00451252"/>
    <w:rsid w:val="0045184E"/>
    <w:rsid w:val="00451C83"/>
    <w:rsid w:val="00451F71"/>
    <w:rsid w:val="004541C0"/>
    <w:rsid w:val="004550C4"/>
    <w:rsid w:val="0045643C"/>
    <w:rsid w:val="00456D6B"/>
    <w:rsid w:val="004579A5"/>
    <w:rsid w:val="004601FB"/>
    <w:rsid w:val="00461177"/>
    <w:rsid w:val="00463E0A"/>
    <w:rsid w:val="00464164"/>
    <w:rsid w:val="004653D0"/>
    <w:rsid w:val="00466D49"/>
    <w:rsid w:val="00467098"/>
    <w:rsid w:val="004676CE"/>
    <w:rsid w:val="0047067B"/>
    <w:rsid w:val="00472BBD"/>
    <w:rsid w:val="0047416E"/>
    <w:rsid w:val="0047417A"/>
    <w:rsid w:val="00475663"/>
    <w:rsid w:val="004777EE"/>
    <w:rsid w:val="00477C82"/>
    <w:rsid w:val="00480ABE"/>
    <w:rsid w:val="00481146"/>
    <w:rsid w:val="0048118B"/>
    <w:rsid w:val="00481A2A"/>
    <w:rsid w:val="00484850"/>
    <w:rsid w:val="004861DE"/>
    <w:rsid w:val="0048784A"/>
    <w:rsid w:val="00490AB4"/>
    <w:rsid w:val="00490BDE"/>
    <w:rsid w:val="00490BE8"/>
    <w:rsid w:val="00491254"/>
    <w:rsid w:val="004916B6"/>
    <w:rsid w:val="00491D8E"/>
    <w:rsid w:val="00492A2E"/>
    <w:rsid w:val="00492FD8"/>
    <w:rsid w:val="0049304F"/>
    <w:rsid w:val="0049367E"/>
    <w:rsid w:val="004938BA"/>
    <w:rsid w:val="00494201"/>
    <w:rsid w:val="00496F58"/>
    <w:rsid w:val="004977E0"/>
    <w:rsid w:val="00497D39"/>
    <w:rsid w:val="00497F5E"/>
    <w:rsid w:val="004A1363"/>
    <w:rsid w:val="004A2310"/>
    <w:rsid w:val="004A2758"/>
    <w:rsid w:val="004A4665"/>
    <w:rsid w:val="004A4EB7"/>
    <w:rsid w:val="004A608B"/>
    <w:rsid w:val="004A6371"/>
    <w:rsid w:val="004A6588"/>
    <w:rsid w:val="004A6851"/>
    <w:rsid w:val="004A75FF"/>
    <w:rsid w:val="004B28A7"/>
    <w:rsid w:val="004B44E0"/>
    <w:rsid w:val="004B5D7F"/>
    <w:rsid w:val="004B63ED"/>
    <w:rsid w:val="004B6E8F"/>
    <w:rsid w:val="004B7DA1"/>
    <w:rsid w:val="004B7EE7"/>
    <w:rsid w:val="004C096A"/>
    <w:rsid w:val="004C1281"/>
    <w:rsid w:val="004C253A"/>
    <w:rsid w:val="004C325C"/>
    <w:rsid w:val="004C37EE"/>
    <w:rsid w:val="004C427B"/>
    <w:rsid w:val="004C5546"/>
    <w:rsid w:val="004C588F"/>
    <w:rsid w:val="004C5EE3"/>
    <w:rsid w:val="004C6E11"/>
    <w:rsid w:val="004C7668"/>
    <w:rsid w:val="004C7A1D"/>
    <w:rsid w:val="004C7AF8"/>
    <w:rsid w:val="004C7F2A"/>
    <w:rsid w:val="004D06CB"/>
    <w:rsid w:val="004D0A84"/>
    <w:rsid w:val="004D1FD0"/>
    <w:rsid w:val="004D258D"/>
    <w:rsid w:val="004D3E47"/>
    <w:rsid w:val="004D4355"/>
    <w:rsid w:val="004D4A15"/>
    <w:rsid w:val="004D51B9"/>
    <w:rsid w:val="004D563B"/>
    <w:rsid w:val="004D626F"/>
    <w:rsid w:val="004D6A8E"/>
    <w:rsid w:val="004D6CF4"/>
    <w:rsid w:val="004D6EBD"/>
    <w:rsid w:val="004D79BB"/>
    <w:rsid w:val="004D7EBA"/>
    <w:rsid w:val="004E023B"/>
    <w:rsid w:val="004E02AA"/>
    <w:rsid w:val="004E6F5D"/>
    <w:rsid w:val="004F30E4"/>
    <w:rsid w:val="004F5374"/>
    <w:rsid w:val="004F5587"/>
    <w:rsid w:val="004F56C9"/>
    <w:rsid w:val="004F63DC"/>
    <w:rsid w:val="0050037B"/>
    <w:rsid w:val="00502163"/>
    <w:rsid w:val="005046FC"/>
    <w:rsid w:val="00506581"/>
    <w:rsid w:val="0051035F"/>
    <w:rsid w:val="00510464"/>
    <w:rsid w:val="005112B7"/>
    <w:rsid w:val="005119CB"/>
    <w:rsid w:val="00512188"/>
    <w:rsid w:val="005127ED"/>
    <w:rsid w:val="005142EA"/>
    <w:rsid w:val="00514BB6"/>
    <w:rsid w:val="00515915"/>
    <w:rsid w:val="00517096"/>
    <w:rsid w:val="005179C6"/>
    <w:rsid w:val="00520315"/>
    <w:rsid w:val="00522794"/>
    <w:rsid w:val="0052460C"/>
    <w:rsid w:val="00524AD7"/>
    <w:rsid w:val="00526729"/>
    <w:rsid w:val="00526E3D"/>
    <w:rsid w:val="0052749D"/>
    <w:rsid w:val="005309BE"/>
    <w:rsid w:val="00531903"/>
    <w:rsid w:val="00531AD0"/>
    <w:rsid w:val="00531E7A"/>
    <w:rsid w:val="0053449A"/>
    <w:rsid w:val="005404C1"/>
    <w:rsid w:val="0054078A"/>
    <w:rsid w:val="0054194D"/>
    <w:rsid w:val="00542D64"/>
    <w:rsid w:val="005446E3"/>
    <w:rsid w:val="00547EE8"/>
    <w:rsid w:val="0055148E"/>
    <w:rsid w:val="005521DB"/>
    <w:rsid w:val="005529E6"/>
    <w:rsid w:val="0055345E"/>
    <w:rsid w:val="00555090"/>
    <w:rsid w:val="00556484"/>
    <w:rsid w:val="0055707C"/>
    <w:rsid w:val="005579C0"/>
    <w:rsid w:val="00560829"/>
    <w:rsid w:val="00562A65"/>
    <w:rsid w:val="00562CBC"/>
    <w:rsid w:val="00562DDC"/>
    <w:rsid w:val="005643E2"/>
    <w:rsid w:val="00565BA5"/>
    <w:rsid w:val="00566E06"/>
    <w:rsid w:val="005705EE"/>
    <w:rsid w:val="00572354"/>
    <w:rsid w:val="0057255E"/>
    <w:rsid w:val="005725DE"/>
    <w:rsid w:val="00572DC0"/>
    <w:rsid w:val="0057350F"/>
    <w:rsid w:val="00574837"/>
    <w:rsid w:val="0057581F"/>
    <w:rsid w:val="00575E9C"/>
    <w:rsid w:val="00575FAA"/>
    <w:rsid w:val="0057697D"/>
    <w:rsid w:val="005773A7"/>
    <w:rsid w:val="00580359"/>
    <w:rsid w:val="00581475"/>
    <w:rsid w:val="00583047"/>
    <w:rsid w:val="00583864"/>
    <w:rsid w:val="005846E9"/>
    <w:rsid w:val="00587249"/>
    <w:rsid w:val="00587F1A"/>
    <w:rsid w:val="00591385"/>
    <w:rsid w:val="0059271E"/>
    <w:rsid w:val="00594A67"/>
    <w:rsid w:val="00594B34"/>
    <w:rsid w:val="00594BA2"/>
    <w:rsid w:val="00596A79"/>
    <w:rsid w:val="005972CE"/>
    <w:rsid w:val="00597AA7"/>
    <w:rsid w:val="005A2B4D"/>
    <w:rsid w:val="005A2D9F"/>
    <w:rsid w:val="005A2EF9"/>
    <w:rsid w:val="005A3DE0"/>
    <w:rsid w:val="005A5EBB"/>
    <w:rsid w:val="005A668F"/>
    <w:rsid w:val="005B0428"/>
    <w:rsid w:val="005B158B"/>
    <w:rsid w:val="005B1A9C"/>
    <w:rsid w:val="005B1BE3"/>
    <w:rsid w:val="005B2E4E"/>
    <w:rsid w:val="005B4AAD"/>
    <w:rsid w:val="005B4C44"/>
    <w:rsid w:val="005B57DD"/>
    <w:rsid w:val="005B74B9"/>
    <w:rsid w:val="005B76B1"/>
    <w:rsid w:val="005B7B8B"/>
    <w:rsid w:val="005C33B9"/>
    <w:rsid w:val="005C3963"/>
    <w:rsid w:val="005C4191"/>
    <w:rsid w:val="005C4708"/>
    <w:rsid w:val="005C5B3E"/>
    <w:rsid w:val="005C60C0"/>
    <w:rsid w:val="005C66C2"/>
    <w:rsid w:val="005C6A17"/>
    <w:rsid w:val="005C70DA"/>
    <w:rsid w:val="005C7AA3"/>
    <w:rsid w:val="005C7B2B"/>
    <w:rsid w:val="005D0AB4"/>
    <w:rsid w:val="005D0CF0"/>
    <w:rsid w:val="005D0EAF"/>
    <w:rsid w:val="005D0EB0"/>
    <w:rsid w:val="005D3BB1"/>
    <w:rsid w:val="005D3F73"/>
    <w:rsid w:val="005D428F"/>
    <w:rsid w:val="005D4866"/>
    <w:rsid w:val="005D5DC2"/>
    <w:rsid w:val="005D619B"/>
    <w:rsid w:val="005D6C5F"/>
    <w:rsid w:val="005D6E0D"/>
    <w:rsid w:val="005E1023"/>
    <w:rsid w:val="005E1086"/>
    <w:rsid w:val="005E137A"/>
    <w:rsid w:val="005E19F1"/>
    <w:rsid w:val="005E1E0C"/>
    <w:rsid w:val="005E29C4"/>
    <w:rsid w:val="005E2A00"/>
    <w:rsid w:val="005E3819"/>
    <w:rsid w:val="005E5D23"/>
    <w:rsid w:val="005F0213"/>
    <w:rsid w:val="005F055F"/>
    <w:rsid w:val="005F1CCC"/>
    <w:rsid w:val="005F27BC"/>
    <w:rsid w:val="005F2949"/>
    <w:rsid w:val="005F2AAB"/>
    <w:rsid w:val="005F37CC"/>
    <w:rsid w:val="005F4377"/>
    <w:rsid w:val="005F6EF5"/>
    <w:rsid w:val="005F7A80"/>
    <w:rsid w:val="005F7AC1"/>
    <w:rsid w:val="0060018C"/>
    <w:rsid w:val="006010F9"/>
    <w:rsid w:val="00602237"/>
    <w:rsid w:val="00603470"/>
    <w:rsid w:val="00604A18"/>
    <w:rsid w:val="00604EA4"/>
    <w:rsid w:val="00604EA7"/>
    <w:rsid w:val="00605078"/>
    <w:rsid w:val="00605F9C"/>
    <w:rsid w:val="00606002"/>
    <w:rsid w:val="00607473"/>
    <w:rsid w:val="00610C18"/>
    <w:rsid w:val="0061191B"/>
    <w:rsid w:val="00611BFB"/>
    <w:rsid w:val="00613311"/>
    <w:rsid w:val="00614A67"/>
    <w:rsid w:val="0061521E"/>
    <w:rsid w:val="00615B20"/>
    <w:rsid w:val="006174A3"/>
    <w:rsid w:val="0062096C"/>
    <w:rsid w:val="00620C5E"/>
    <w:rsid w:val="00620D59"/>
    <w:rsid w:val="00621CB8"/>
    <w:rsid w:val="006225B6"/>
    <w:rsid w:val="0062295B"/>
    <w:rsid w:val="00623025"/>
    <w:rsid w:val="00623265"/>
    <w:rsid w:val="0062391F"/>
    <w:rsid w:val="00623CF0"/>
    <w:rsid w:val="00625CCB"/>
    <w:rsid w:val="00627931"/>
    <w:rsid w:val="00631598"/>
    <w:rsid w:val="00633DD1"/>
    <w:rsid w:val="006341A7"/>
    <w:rsid w:val="0063526B"/>
    <w:rsid w:val="006356C2"/>
    <w:rsid w:val="00636EA0"/>
    <w:rsid w:val="00640485"/>
    <w:rsid w:val="00640DE5"/>
    <w:rsid w:val="00643043"/>
    <w:rsid w:val="006437B3"/>
    <w:rsid w:val="00643B33"/>
    <w:rsid w:val="00644157"/>
    <w:rsid w:val="006443BB"/>
    <w:rsid w:val="00645D36"/>
    <w:rsid w:val="00646B93"/>
    <w:rsid w:val="00646BF6"/>
    <w:rsid w:val="00650296"/>
    <w:rsid w:val="00650D10"/>
    <w:rsid w:val="00650ED3"/>
    <w:rsid w:val="006523CB"/>
    <w:rsid w:val="0065324D"/>
    <w:rsid w:val="0065522C"/>
    <w:rsid w:val="00656087"/>
    <w:rsid w:val="00656173"/>
    <w:rsid w:val="00656AE0"/>
    <w:rsid w:val="00656CBB"/>
    <w:rsid w:val="00657C68"/>
    <w:rsid w:val="00657F47"/>
    <w:rsid w:val="00660C1C"/>
    <w:rsid w:val="00660F97"/>
    <w:rsid w:val="00662FBF"/>
    <w:rsid w:val="00663028"/>
    <w:rsid w:val="00664280"/>
    <w:rsid w:val="00664A9B"/>
    <w:rsid w:val="00665581"/>
    <w:rsid w:val="0066744D"/>
    <w:rsid w:val="0067088B"/>
    <w:rsid w:val="006708CF"/>
    <w:rsid w:val="0067109C"/>
    <w:rsid w:val="0067118B"/>
    <w:rsid w:val="0067156B"/>
    <w:rsid w:val="00672617"/>
    <w:rsid w:val="00672A0C"/>
    <w:rsid w:val="00672A84"/>
    <w:rsid w:val="00672E71"/>
    <w:rsid w:val="006739BB"/>
    <w:rsid w:val="00674375"/>
    <w:rsid w:val="00675C0B"/>
    <w:rsid w:val="0067653B"/>
    <w:rsid w:val="0067698D"/>
    <w:rsid w:val="00676D93"/>
    <w:rsid w:val="00676F83"/>
    <w:rsid w:val="00680CC1"/>
    <w:rsid w:val="00681C4B"/>
    <w:rsid w:val="006827E7"/>
    <w:rsid w:val="00683B55"/>
    <w:rsid w:val="00685EA1"/>
    <w:rsid w:val="00687B2C"/>
    <w:rsid w:val="006906AE"/>
    <w:rsid w:val="006912BB"/>
    <w:rsid w:val="006916FA"/>
    <w:rsid w:val="006918D9"/>
    <w:rsid w:val="00692874"/>
    <w:rsid w:val="00692992"/>
    <w:rsid w:val="00692EBA"/>
    <w:rsid w:val="0069337F"/>
    <w:rsid w:val="00693EAA"/>
    <w:rsid w:val="00694419"/>
    <w:rsid w:val="00694FE1"/>
    <w:rsid w:val="006A02FF"/>
    <w:rsid w:val="006A073C"/>
    <w:rsid w:val="006A074C"/>
    <w:rsid w:val="006A0F79"/>
    <w:rsid w:val="006A1008"/>
    <w:rsid w:val="006A1160"/>
    <w:rsid w:val="006A17C8"/>
    <w:rsid w:val="006A1CB8"/>
    <w:rsid w:val="006A28EF"/>
    <w:rsid w:val="006A3156"/>
    <w:rsid w:val="006A34F8"/>
    <w:rsid w:val="006A3ECF"/>
    <w:rsid w:val="006A4619"/>
    <w:rsid w:val="006A534D"/>
    <w:rsid w:val="006A5573"/>
    <w:rsid w:val="006A76C3"/>
    <w:rsid w:val="006B06DF"/>
    <w:rsid w:val="006B1BB5"/>
    <w:rsid w:val="006B2A64"/>
    <w:rsid w:val="006B2F5F"/>
    <w:rsid w:val="006B38EE"/>
    <w:rsid w:val="006B481C"/>
    <w:rsid w:val="006C0948"/>
    <w:rsid w:val="006C0C9B"/>
    <w:rsid w:val="006C17C3"/>
    <w:rsid w:val="006C2538"/>
    <w:rsid w:val="006C3738"/>
    <w:rsid w:val="006C3902"/>
    <w:rsid w:val="006C50E4"/>
    <w:rsid w:val="006C5D27"/>
    <w:rsid w:val="006C686A"/>
    <w:rsid w:val="006C794B"/>
    <w:rsid w:val="006D00B7"/>
    <w:rsid w:val="006D2573"/>
    <w:rsid w:val="006D2F3F"/>
    <w:rsid w:val="006D30BC"/>
    <w:rsid w:val="006D3615"/>
    <w:rsid w:val="006D3A1D"/>
    <w:rsid w:val="006D3ED8"/>
    <w:rsid w:val="006D4F80"/>
    <w:rsid w:val="006D5182"/>
    <w:rsid w:val="006D77B7"/>
    <w:rsid w:val="006E0562"/>
    <w:rsid w:val="006E0C5D"/>
    <w:rsid w:val="006E1BE6"/>
    <w:rsid w:val="006E25F6"/>
    <w:rsid w:val="006E345C"/>
    <w:rsid w:val="006E4483"/>
    <w:rsid w:val="006E5A93"/>
    <w:rsid w:val="006E6AC5"/>
    <w:rsid w:val="006E7EE5"/>
    <w:rsid w:val="006F1F77"/>
    <w:rsid w:val="006F2746"/>
    <w:rsid w:val="006F2B21"/>
    <w:rsid w:val="006F317A"/>
    <w:rsid w:val="006F36CC"/>
    <w:rsid w:val="006F5591"/>
    <w:rsid w:val="006F6E05"/>
    <w:rsid w:val="006F6EDE"/>
    <w:rsid w:val="0070105E"/>
    <w:rsid w:val="00704CC4"/>
    <w:rsid w:val="00705413"/>
    <w:rsid w:val="00706607"/>
    <w:rsid w:val="00707E28"/>
    <w:rsid w:val="0071027E"/>
    <w:rsid w:val="00711112"/>
    <w:rsid w:val="00711859"/>
    <w:rsid w:val="00713045"/>
    <w:rsid w:val="0071362A"/>
    <w:rsid w:val="00716931"/>
    <w:rsid w:val="007174E6"/>
    <w:rsid w:val="007209EA"/>
    <w:rsid w:val="00721CA5"/>
    <w:rsid w:val="0072317F"/>
    <w:rsid w:val="0072517A"/>
    <w:rsid w:val="00726CDF"/>
    <w:rsid w:val="007302DE"/>
    <w:rsid w:val="00732B44"/>
    <w:rsid w:val="00734800"/>
    <w:rsid w:val="00735E1A"/>
    <w:rsid w:val="00735F60"/>
    <w:rsid w:val="00736ED3"/>
    <w:rsid w:val="0073780D"/>
    <w:rsid w:val="00737D5F"/>
    <w:rsid w:val="0074018C"/>
    <w:rsid w:val="00740B31"/>
    <w:rsid w:val="00741043"/>
    <w:rsid w:val="00741581"/>
    <w:rsid w:val="00742282"/>
    <w:rsid w:val="00742CE2"/>
    <w:rsid w:val="0074358B"/>
    <w:rsid w:val="0074671B"/>
    <w:rsid w:val="007468E2"/>
    <w:rsid w:val="00746AC6"/>
    <w:rsid w:val="0075047D"/>
    <w:rsid w:val="00750568"/>
    <w:rsid w:val="0075110F"/>
    <w:rsid w:val="007517E2"/>
    <w:rsid w:val="00752399"/>
    <w:rsid w:val="0075240E"/>
    <w:rsid w:val="0075247F"/>
    <w:rsid w:val="00753D9B"/>
    <w:rsid w:val="00754D0C"/>
    <w:rsid w:val="00754EB1"/>
    <w:rsid w:val="00755570"/>
    <w:rsid w:val="00755813"/>
    <w:rsid w:val="007573AE"/>
    <w:rsid w:val="00757D8D"/>
    <w:rsid w:val="00757E4A"/>
    <w:rsid w:val="0076063D"/>
    <w:rsid w:val="00760D9B"/>
    <w:rsid w:val="00762771"/>
    <w:rsid w:val="00766078"/>
    <w:rsid w:val="00767022"/>
    <w:rsid w:val="00767D6B"/>
    <w:rsid w:val="007726C3"/>
    <w:rsid w:val="00772B2D"/>
    <w:rsid w:val="00772C8A"/>
    <w:rsid w:val="007734B7"/>
    <w:rsid w:val="00773734"/>
    <w:rsid w:val="0077406A"/>
    <w:rsid w:val="00775526"/>
    <w:rsid w:val="00775C6A"/>
    <w:rsid w:val="00775F7F"/>
    <w:rsid w:val="007762F8"/>
    <w:rsid w:val="00777F8A"/>
    <w:rsid w:val="007806E8"/>
    <w:rsid w:val="00780BD3"/>
    <w:rsid w:val="00780D87"/>
    <w:rsid w:val="007812BD"/>
    <w:rsid w:val="00781E4E"/>
    <w:rsid w:val="007820B1"/>
    <w:rsid w:val="00782778"/>
    <w:rsid w:val="00782AD7"/>
    <w:rsid w:val="00782E35"/>
    <w:rsid w:val="00783225"/>
    <w:rsid w:val="0078376B"/>
    <w:rsid w:val="007838DB"/>
    <w:rsid w:val="00783B0A"/>
    <w:rsid w:val="007859BB"/>
    <w:rsid w:val="007867B2"/>
    <w:rsid w:val="00786ABE"/>
    <w:rsid w:val="00790618"/>
    <w:rsid w:val="007911BF"/>
    <w:rsid w:val="0079135F"/>
    <w:rsid w:val="00791D64"/>
    <w:rsid w:val="0079250E"/>
    <w:rsid w:val="00792567"/>
    <w:rsid w:val="00792E58"/>
    <w:rsid w:val="00793CF9"/>
    <w:rsid w:val="00794337"/>
    <w:rsid w:val="0079535C"/>
    <w:rsid w:val="00797437"/>
    <w:rsid w:val="00797950"/>
    <w:rsid w:val="00797B92"/>
    <w:rsid w:val="007A11B8"/>
    <w:rsid w:val="007A1F8E"/>
    <w:rsid w:val="007A2842"/>
    <w:rsid w:val="007A33E3"/>
    <w:rsid w:val="007A34E9"/>
    <w:rsid w:val="007A362A"/>
    <w:rsid w:val="007A38D4"/>
    <w:rsid w:val="007A5A29"/>
    <w:rsid w:val="007A5D48"/>
    <w:rsid w:val="007A5DCD"/>
    <w:rsid w:val="007A6395"/>
    <w:rsid w:val="007A7028"/>
    <w:rsid w:val="007A72E1"/>
    <w:rsid w:val="007B09B2"/>
    <w:rsid w:val="007B10A2"/>
    <w:rsid w:val="007B10D4"/>
    <w:rsid w:val="007B2944"/>
    <w:rsid w:val="007B349C"/>
    <w:rsid w:val="007B4193"/>
    <w:rsid w:val="007B4D5B"/>
    <w:rsid w:val="007B4E5A"/>
    <w:rsid w:val="007B5327"/>
    <w:rsid w:val="007B6292"/>
    <w:rsid w:val="007B7334"/>
    <w:rsid w:val="007B7D5A"/>
    <w:rsid w:val="007B7DF7"/>
    <w:rsid w:val="007C0740"/>
    <w:rsid w:val="007C17C4"/>
    <w:rsid w:val="007C2DAF"/>
    <w:rsid w:val="007C40B7"/>
    <w:rsid w:val="007C463C"/>
    <w:rsid w:val="007C4DB8"/>
    <w:rsid w:val="007C6151"/>
    <w:rsid w:val="007C6D4F"/>
    <w:rsid w:val="007C70C3"/>
    <w:rsid w:val="007C7260"/>
    <w:rsid w:val="007C7C0A"/>
    <w:rsid w:val="007D073B"/>
    <w:rsid w:val="007D0A93"/>
    <w:rsid w:val="007D2E98"/>
    <w:rsid w:val="007D45FB"/>
    <w:rsid w:val="007D5379"/>
    <w:rsid w:val="007D63A5"/>
    <w:rsid w:val="007E19CA"/>
    <w:rsid w:val="007E1CFB"/>
    <w:rsid w:val="007E2CD6"/>
    <w:rsid w:val="007E2E81"/>
    <w:rsid w:val="007E49FF"/>
    <w:rsid w:val="007E4B02"/>
    <w:rsid w:val="007E4E7A"/>
    <w:rsid w:val="007E6643"/>
    <w:rsid w:val="007E7C6A"/>
    <w:rsid w:val="007F0FCC"/>
    <w:rsid w:val="007F2151"/>
    <w:rsid w:val="007F2AA6"/>
    <w:rsid w:val="007F34C2"/>
    <w:rsid w:val="007F3C56"/>
    <w:rsid w:val="007F4078"/>
    <w:rsid w:val="007F448D"/>
    <w:rsid w:val="007F48D2"/>
    <w:rsid w:val="007F4FC5"/>
    <w:rsid w:val="007F5489"/>
    <w:rsid w:val="007F567C"/>
    <w:rsid w:val="007F68A9"/>
    <w:rsid w:val="007F6CBD"/>
    <w:rsid w:val="007F757B"/>
    <w:rsid w:val="007F78F2"/>
    <w:rsid w:val="007F7EFC"/>
    <w:rsid w:val="0080037B"/>
    <w:rsid w:val="00801660"/>
    <w:rsid w:val="00801B9A"/>
    <w:rsid w:val="00802939"/>
    <w:rsid w:val="00803712"/>
    <w:rsid w:val="008043F4"/>
    <w:rsid w:val="00805726"/>
    <w:rsid w:val="00806AF1"/>
    <w:rsid w:val="00806B05"/>
    <w:rsid w:val="00807345"/>
    <w:rsid w:val="00807D11"/>
    <w:rsid w:val="0081092F"/>
    <w:rsid w:val="00810B6E"/>
    <w:rsid w:val="00811133"/>
    <w:rsid w:val="008116C1"/>
    <w:rsid w:val="008120AE"/>
    <w:rsid w:val="0081331D"/>
    <w:rsid w:val="00813594"/>
    <w:rsid w:val="00813A2B"/>
    <w:rsid w:val="0081492A"/>
    <w:rsid w:val="008158FC"/>
    <w:rsid w:val="0081613E"/>
    <w:rsid w:val="0081686B"/>
    <w:rsid w:val="0082067E"/>
    <w:rsid w:val="00821471"/>
    <w:rsid w:val="00823819"/>
    <w:rsid w:val="00825A46"/>
    <w:rsid w:val="0082621A"/>
    <w:rsid w:val="00826537"/>
    <w:rsid w:val="0082787F"/>
    <w:rsid w:val="00827AD2"/>
    <w:rsid w:val="008302C6"/>
    <w:rsid w:val="008305E8"/>
    <w:rsid w:val="00830CE6"/>
    <w:rsid w:val="00830EF7"/>
    <w:rsid w:val="00831507"/>
    <w:rsid w:val="008320C4"/>
    <w:rsid w:val="008320FC"/>
    <w:rsid w:val="00833293"/>
    <w:rsid w:val="0083347A"/>
    <w:rsid w:val="008355AF"/>
    <w:rsid w:val="00836025"/>
    <w:rsid w:val="00836DC5"/>
    <w:rsid w:val="00840625"/>
    <w:rsid w:val="008411E1"/>
    <w:rsid w:val="00842510"/>
    <w:rsid w:val="00842980"/>
    <w:rsid w:val="00844151"/>
    <w:rsid w:val="008448DA"/>
    <w:rsid w:val="00846395"/>
    <w:rsid w:val="00847DF0"/>
    <w:rsid w:val="008506DF"/>
    <w:rsid w:val="00850D03"/>
    <w:rsid w:val="00850E5C"/>
    <w:rsid w:val="00850FA9"/>
    <w:rsid w:val="008515B8"/>
    <w:rsid w:val="00852285"/>
    <w:rsid w:val="0085279F"/>
    <w:rsid w:val="0085300E"/>
    <w:rsid w:val="00854382"/>
    <w:rsid w:val="00854A2C"/>
    <w:rsid w:val="00854C24"/>
    <w:rsid w:val="00855801"/>
    <w:rsid w:val="0085691C"/>
    <w:rsid w:val="00856C00"/>
    <w:rsid w:val="00860C12"/>
    <w:rsid w:val="00862B7C"/>
    <w:rsid w:val="00863D53"/>
    <w:rsid w:val="00864016"/>
    <w:rsid w:val="008672F1"/>
    <w:rsid w:val="00870443"/>
    <w:rsid w:val="0087105F"/>
    <w:rsid w:val="008711C7"/>
    <w:rsid w:val="008713C7"/>
    <w:rsid w:val="00872591"/>
    <w:rsid w:val="00872BAD"/>
    <w:rsid w:val="00874FA0"/>
    <w:rsid w:val="00875E17"/>
    <w:rsid w:val="00875F32"/>
    <w:rsid w:val="00876A9D"/>
    <w:rsid w:val="00877187"/>
    <w:rsid w:val="008773FB"/>
    <w:rsid w:val="0088001B"/>
    <w:rsid w:val="00880320"/>
    <w:rsid w:val="00882780"/>
    <w:rsid w:val="00882995"/>
    <w:rsid w:val="00882B10"/>
    <w:rsid w:val="00883001"/>
    <w:rsid w:val="00884D9C"/>
    <w:rsid w:val="00885A38"/>
    <w:rsid w:val="00885D15"/>
    <w:rsid w:val="00886385"/>
    <w:rsid w:val="00886518"/>
    <w:rsid w:val="00886BD4"/>
    <w:rsid w:val="00890919"/>
    <w:rsid w:val="00891796"/>
    <w:rsid w:val="00891D6C"/>
    <w:rsid w:val="008922D8"/>
    <w:rsid w:val="00893CF4"/>
    <w:rsid w:val="0089438E"/>
    <w:rsid w:val="00896EFE"/>
    <w:rsid w:val="0089762A"/>
    <w:rsid w:val="00897A63"/>
    <w:rsid w:val="008A02F0"/>
    <w:rsid w:val="008A06EA"/>
    <w:rsid w:val="008A0B5D"/>
    <w:rsid w:val="008A1732"/>
    <w:rsid w:val="008A184B"/>
    <w:rsid w:val="008A2243"/>
    <w:rsid w:val="008A3452"/>
    <w:rsid w:val="008A39BC"/>
    <w:rsid w:val="008A4094"/>
    <w:rsid w:val="008A5EFB"/>
    <w:rsid w:val="008A699F"/>
    <w:rsid w:val="008A6CAE"/>
    <w:rsid w:val="008B0A6D"/>
    <w:rsid w:val="008B1212"/>
    <w:rsid w:val="008B1FEE"/>
    <w:rsid w:val="008B2158"/>
    <w:rsid w:val="008B232F"/>
    <w:rsid w:val="008B2728"/>
    <w:rsid w:val="008B36C9"/>
    <w:rsid w:val="008B6222"/>
    <w:rsid w:val="008B7584"/>
    <w:rsid w:val="008B7E83"/>
    <w:rsid w:val="008C071D"/>
    <w:rsid w:val="008C0CA0"/>
    <w:rsid w:val="008C13D8"/>
    <w:rsid w:val="008C21AF"/>
    <w:rsid w:val="008C2299"/>
    <w:rsid w:val="008C3826"/>
    <w:rsid w:val="008C3C86"/>
    <w:rsid w:val="008C41AD"/>
    <w:rsid w:val="008C4409"/>
    <w:rsid w:val="008C57A9"/>
    <w:rsid w:val="008C626E"/>
    <w:rsid w:val="008C69FE"/>
    <w:rsid w:val="008D0BD0"/>
    <w:rsid w:val="008D0FD9"/>
    <w:rsid w:val="008D235D"/>
    <w:rsid w:val="008D2A6F"/>
    <w:rsid w:val="008D30AA"/>
    <w:rsid w:val="008D34DD"/>
    <w:rsid w:val="008D3B69"/>
    <w:rsid w:val="008D4189"/>
    <w:rsid w:val="008D47C3"/>
    <w:rsid w:val="008D539C"/>
    <w:rsid w:val="008D56DE"/>
    <w:rsid w:val="008D5ACA"/>
    <w:rsid w:val="008D6A27"/>
    <w:rsid w:val="008D6C32"/>
    <w:rsid w:val="008E0215"/>
    <w:rsid w:val="008E11E7"/>
    <w:rsid w:val="008E2191"/>
    <w:rsid w:val="008E2A35"/>
    <w:rsid w:val="008E3B07"/>
    <w:rsid w:val="008E623B"/>
    <w:rsid w:val="008E6467"/>
    <w:rsid w:val="008F181E"/>
    <w:rsid w:val="008F1E39"/>
    <w:rsid w:val="008F3917"/>
    <w:rsid w:val="008F44F2"/>
    <w:rsid w:val="008F4650"/>
    <w:rsid w:val="008F4F25"/>
    <w:rsid w:val="008F7B53"/>
    <w:rsid w:val="008F7E05"/>
    <w:rsid w:val="00901E3F"/>
    <w:rsid w:val="00902A0D"/>
    <w:rsid w:val="00902AAA"/>
    <w:rsid w:val="00903177"/>
    <w:rsid w:val="00904497"/>
    <w:rsid w:val="00906F8B"/>
    <w:rsid w:val="009103FD"/>
    <w:rsid w:val="00912795"/>
    <w:rsid w:val="009136BB"/>
    <w:rsid w:val="0091374E"/>
    <w:rsid w:val="00913848"/>
    <w:rsid w:val="00915BEA"/>
    <w:rsid w:val="009164DD"/>
    <w:rsid w:val="009176D4"/>
    <w:rsid w:val="00917EFE"/>
    <w:rsid w:val="00920922"/>
    <w:rsid w:val="0092134F"/>
    <w:rsid w:val="00921BDB"/>
    <w:rsid w:val="00921F9B"/>
    <w:rsid w:val="00922174"/>
    <w:rsid w:val="00922477"/>
    <w:rsid w:val="00922AD5"/>
    <w:rsid w:val="0092342B"/>
    <w:rsid w:val="009238F5"/>
    <w:rsid w:val="009258BA"/>
    <w:rsid w:val="00926211"/>
    <w:rsid w:val="0092649A"/>
    <w:rsid w:val="00926F43"/>
    <w:rsid w:val="0092728B"/>
    <w:rsid w:val="00927D31"/>
    <w:rsid w:val="009305BC"/>
    <w:rsid w:val="009309A7"/>
    <w:rsid w:val="009314AF"/>
    <w:rsid w:val="00931A3E"/>
    <w:rsid w:val="00932460"/>
    <w:rsid w:val="00932714"/>
    <w:rsid w:val="0093310C"/>
    <w:rsid w:val="009334BC"/>
    <w:rsid w:val="0093428A"/>
    <w:rsid w:val="00934C56"/>
    <w:rsid w:val="00937C1E"/>
    <w:rsid w:val="0094050A"/>
    <w:rsid w:val="00940E34"/>
    <w:rsid w:val="00941EF3"/>
    <w:rsid w:val="0094207E"/>
    <w:rsid w:val="009426CF"/>
    <w:rsid w:val="009438A0"/>
    <w:rsid w:val="00943C08"/>
    <w:rsid w:val="00944093"/>
    <w:rsid w:val="00944A77"/>
    <w:rsid w:val="00945943"/>
    <w:rsid w:val="00945EEC"/>
    <w:rsid w:val="00946A21"/>
    <w:rsid w:val="0094703D"/>
    <w:rsid w:val="00951C14"/>
    <w:rsid w:val="009533F1"/>
    <w:rsid w:val="00954037"/>
    <w:rsid w:val="00957EC9"/>
    <w:rsid w:val="00960BAD"/>
    <w:rsid w:val="00961185"/>
    <w:rsid w:val="009612A2"/>
    <w:rsid w:val="00962F69"/>
    <w:rsid w:val="00963116"/>
    <w:rsid w:val="00964F53"/>
    <w:rsid w:val="00966058"/>
    <w:rsid w:val="0096773A"/>
    <w:rsid w:val="009718F3"/>
    <w:rsid w:val="009722E2"/>
    <w:rsid w:val="0097286E"/>
    <w:rsid w:val="0097290B"/>
    <w:rsid w:val="00972FF1"/>
    <w:rsid w:val="009748B5"/>
    <w:rsid w:val="00974D06"/>
    <w:rsid w:val="009771AC"/>
    <w:rsid w:val="00980D43"/>
    <w:rsid w:val="00981AA8"/>
    <w:rsid w:val="009838CA"/>
    <w:rsid w:val="009846D3"/>
    <w:rsid w:val="00984FDB"/>
    <w:rsid w:val="00985EB3"/>
    <w:rsid w:val="0098653A"/>
    <w:rsid w:val="009875BF"/>
    <w:rsid w:val="0099047F"/>
    <w:rsid w:val="0099260F"/>
    <w:rsid w:val="00992D21"/>
    <w:rsid w:val="009930E6"/>
    <w:rsid w:val="00993597"/>
    <w:rsid w:val="0099441B"/>
    <w:rsid w:val="009963BB"/>
    <w:rsid w:val="00996888"/>
    <w:rsid w:val="00997C19"/>
    <w:rsid w:val="009A08B1"/>
    <w:rsid w:val="009A4A2B"/>
    <w:rsid w:val="009A4A39"/>
    <w:rsid w:val="009A5011"/>
    <w:rsid w:val="009A5608"/>
    <w:rsid w:val="009A59DC"/>
    <w:rsid w:val="009A5A42"/>
    <w:rsid w:val="009A6255"/>
    <w:rsid w:val="009A62C1"/>
    <w:rsid w:val="009A7C1B"/>
    <w:rsid w:val="009B142D"/>
    <w:rsid w:val="009B1957"/>
    <w:rsid w:val="009B2263"/>
    <w:rsid w:val="009B2E75"/>
    <w:rsid w:val="009B3BA6"/>
    <w:rsid w:val="009B4704"/>
    <w:rsid w:val="009B4BB8"/>
    <w:rsid w:val="009B5919"/>
    <w:rsid w:val="009B5B4E"/>
    <w:rsid w:val="009B5E62"/>
    <w:rsid w:val="009B68F7"/>
    <w:rsid w:val="009C1A1C"/>
    <w:rsid w:val="009C381D"/>
    <w:rsid w:val="009C3ADC"/>
    <w:rsid w:val="009C6244"/>
    <w:rsid w:val="009C6312"/>
    <w:rsid w:val="009C65B0"/>
    <w:rsid w:val="009C6D37"/>
    <w:rsid w:val="009C7DE0"/>
    <w:rsid w:val="009D0581"/>
    <w:rsid w:val="009D146E"/>
    <w:rsid w:val="009D1B3B"/>
    <w:rsid w:val="009D2027"/>
    <w:rsid w:val="009D355D"/>
    <w:rsid w:val="009D36E5"/>
    <w:rsid w:val="009D4790"/>
    <w:rsid w:val="009D4935"/>
    <w:rsid w:val="009D51E3"/>
    <w:rsid w:val="009D5558"/>
    <w:rsid w:val="009D5647"/>
    <w:rsid w:val="009D5F80"/>
    <w:rsid w:val="009D6793"/>
    <w:rsid w:val="009D7347"/>
    <w:rsid w:val="009D7B78"/>
    <w:rsid w:val="009E129D"/>
    <w:rsid w:val="009E1D97"/>
    <w:rsid w:val="009E3D23"/>
    <w:rsid w:val="009E3F3C"/>
    <w:rsid w:val="009E698D"/>
    <w:rsid w:val="009F0FD5"/>
    <w:rsid w:val="009F1FD7"/>
    <w:rsid w:val="009F2A80"/>
    <w:rsid w:val="009F3816"/>
    <w:rsid w:val="009F46E3"/>
    <w:rsid w:val="009F56BD"/>
    <w:rsid w:val="009F5766"/>
    <w:rsid w:val="009F5B01"/>
    <w:rsid w:val="009F617A"/>
    <w:rsid w:val="009F6503"/>
    <w:rsid w:val="009F655D"/>
    <w:rsid w:val="009F6E51"/>
    <w:rsid w:val="00A00500"/>
    <w:rsid w:val="00A00B3F"/>
    <w:rsid w:val="00A0173D"/>
    <w:rsid w:val="00A0251C"/>
    <w:rsid w:val="00A02A94"/>
    <w:rsid w:val="00A035D5"/>
    <w:rsid w:val="00A04EF3"/>
    <w:rsid w:val="00A050C0"/>
    <w:rsid w:val="00A052FD"/>
    <w:rsid w:val="00A05985"/>
    <w:rsid w:val="00A062BC"/>
    <w:rsid w:val="00A06C33"/>
    <w:rsid w:val="00A07839"/>
    <w:rsid w:val="00A12600"/>
    <w:rsid w:val="00A12B95"/>
    <w:rsid w:val="00A159B7"/>
    <w:rsid w:val="00A15C27"/>
    <w:rsid w:val="00A17DAD"/>
    <w:rsid w:val="00A2031C"/>
    <w:rsid w:val="00A20481"/>
    <w:rsid w:val="00A20AF2"/>
    <w:rsid w:val="00A23056"/>
    <w:rsid w:val="00A23B83"/>
    <w:rsid w:val="00A2419D"/>
    <w:rsid w:val="00A24290"/>
    <w:rsid w:val="00A26692"/>
    <w:rsid w:val="00A3207F"/>
    <w:rsid w:val="00A320B3"/>
    <w:rsid w:val="00A32DAF"/>
    <w:rsid w:val="00A32F91"/>
    <w:rsid w:val="00A337C1"/>
    <w:rsid w:val="00A33F5D"/>
    <w:rsid w:val="00A360CC"/>
    <w:rsid w:val="00A361FB"/>
    <w:rsid w:val="00A36D75"/>
    <w:rsid w:val="00A40117"/>
    <w:rsid w:val="00A42DA6"/>
    <w:rsid w:val="00A43B7C"/>
    <w:rsid w:val="00A44A8B"/>
    <w:rsid w:val="00A44AE4"/>
    <w:rsid w:val="00A4565E"/>
    <w:rsid w:val="00A463FA"/>
    <w:rsid w:val="00A46487"/>
    <w:rsid w:val="00A47DDF"/>
    <w:rsid w:val="00A50EED"/>
    <w:rsid w:val="00A511A9"/>
    <w:rsid w:val="00A5172D"/>
    <w:rsid w:val="00A54BE6"/>
    <w:rsid w:val="00A55355"/>
    <w:rsid w:val="00A55BBC"/>
    <w:rsid w:val="00A566E6"/>
    <w:rsid w:val="00A5680E"/>
    <w:rsid w:val="00A56D2B"/>
    <w:rsid w:val="00A57378"/>
    <w:rsid w:val="00A62C1B"/>
    <w:rsid w:val="00A64776"/>
    <w:rsid w:val="00A64C10"/>
    <w:rsid w:val="00A65882"/>
    <w:rsid w:val="00A65CFA"/>
    <w:rsid w:val="00A675BD"/>
    <w:rsid w:val="00A67F8E"/>
    <w:rsid w:val="00A713DF"/>
    <w:rsid w:val="00A7175A"/>
    <w:rsid w:val="00A72006"/>
    <w:rsid w:val="00A7523A"/>
    <w:rsid w:val="00A752AA"/>
    <w:rsid w:val="00A75330"/>
    <w:rsid w:val="00A75EBA"/>
    <w:rsid w:val="00A76AA0"/>
    <w:rsid w:val="00A77C86"/>
    <w:rsid w:val="00A8025F"/>
    <w:rsid w:val="00A80A15"/>
    <w:rsid w:val="00A816B5"/>
    <w:rsid w:val="00A81911"/>
    <w:rsid w:val="00A81BF7"/>
    <w:rsid w:val="00A81C6B"/>
    <w:rsid w:val="00A81C85"/>
    <w:rsid w:val="00A81CA9"/>
    <w:rsid w:val="00A83274"/>
    <w:rsid w:val="00A862BD"/>
    <w:rsid w:val="00A90D27"/>
    <w:rsid w:val="00A916AB"/>
    <w:rsid w:val="00A917A8"/>
    <w:rsid w:val="00A91F88"/>
    <w:rsid w:val="00A92416"/>
    <w:rsid w:val="00A93940"/>
    <w:rsid w:val="00A93DFC"/>
    <w:rsid w:val="00A94282"/>
    <w:rsid w:val="00A9432B"/>
    <w:rsid w:val="00A95815"/>
    <w:rsid w:val="00A9711F"/>
    <w:rsid w:val="00A977B4"/>
    <w:rsid w:val="00AA30C4"/>
    <w:rsid w:val="00AA36B0"/>
    <w:rsid w:val="00AA3A15"/>
    <w:rsid w:val="00AA4F86"/>
    <w:rsid w:val="00AA566F"/>
    <w:rsid w:val="00AA6AA1"/>
    <w:rsid w:val="00AA701D"/>
    <w:rsid w:val="00AA766E"/>
    <w:rsid w:val="00AA79A9"/>
    <w:rsid w:val="00AB2CD2"/>
    <w:rsid w:val="00AB3240"/>
    <w:rsid w:val="00AB36FD"/>
    <w:rsid w:val="00AB436A"/>
    <w:rsid w:val="00AC1CD8"/>
    <w:rsid w:val="00AC1D87"/>
    <w:rsid w:val="00AC1FAA"/>
    <w:rsid w:val="00AC306F"/>
    <w:rsid w:val="00AC41D5"/>
    <w:rsid w:val="00AC449E"/>
    <w:rsid w:val="00AC556F"/>
    <w:rsid w:val="00AC5E21"/>
    <w:rsid w:val="00AC6613"/>
    <w:rsid w:val="00AC6B09"/>
    <w:rsid w:val="00AD0037"/>
    <w:rsid w:val="00AD04C2"/>
    <w:rsid w:val="00AD0E22"/>
    <w:rsid w:val="00AD1812"/>
    <w:rsid w:val="00AD2290"/>
    <w:rsid w:val="00AD2750"/>
    <w:rsid w:val="00AD3171"/>
    <w:rsid w:val="00AD3F8B"/>
    <w:rsid w:val="00AE14E4"/>
    <w:rsid w:val="00AE5579"/>
    <w:rsid w:val="00AE7B99"/>
    <w:rsid w:val="00AF0167"/>
    <w:rsid w:val="00AF0D89"/>
    <w:rsid w:val="00AF3369"/>
    <w:rsid w:val="00AF3DEB"/>
    <w:rsid w:val="00AF52F3"/>
    <w:rsid w:val="00AF5E50"/>
    <w:rsid w:val="00AF6586"/>
    <w:rsid w:val="00AF6A90"/>
    <w:rsid w:val="00B005A5"/>
    <w:rsid w:val="00B015CD"/>
    <w:rsid w:val="00B01628"/>
    <w:rsid w:val="00B016B4"/>
    <w:rsid w:val="00B0217E"/>
    <w:rsid w:val="00B03921"/>
    <w:rsid w:val="00B04A4E"/>
    <w:rsid w:val="00B04EF0"/>
    <w:rsid w:val="00B05B65"/>
    <w:rsid w:val="00B06342"/>
    <w:rsid w:val="00B07B3D"/>
    <w:rsid w:val="00B11496"/>
    <w:rsid w:val="00B114F4"/>
    <w:rsid w:val="00B12FAD"/>
    <w:rsid w:val="00B13610"/>
    <w:rsid w:val="00B14A42"/>
    <w:rsid w:val="00B15E25"/>
    <w:rsid w:val="00B16825"/>
    <w:rsid w:val="00B17EC1"/>
    <w:rsid w:val="00B203D7"/>
    <w:rsid w:val="00B20926"/>
    <w:rsid w:val="00B21258"/>
    <w:rsid w:val="00B21A6A"/>
    <w:rsid w:val="00B25225"/>
    <w:rsid w:val="00B255C0"/>
    <w:rsid w:val="00B3052A"/>
    <w:rsid w:val="00B3072D"/>
    <w:rsid w:val="00B32FEC"/>
    <w:rsid w:val="00B3476D"/>
    <w:rsid w:val="00B34770"/>
    <w:rsid w:val="00B36884"/>
    <w:rsid w:val="00B36A9E"/>
    <w:rsid w:val="00B37103"/>
    <w:rsid w:val="00B400B1"/>
    <w:rsid w:val="00B40EDD"/>
    <w:rsid w:val="00B41490"/>
    <w:rsid w:val="00B41A66"/>
    <w:rsid w:val="00B43219"/>
    <w:rsid w:val="00B43707"/>
    <w:rsid w:val="00B448BC"/>
    <w:rsid w:val="00B44B37"/>
    <w:rsid w:val="00B46945"/>
    <w:rsid w:val="00B46E2E"/>
    <w:rsid w:val="00B46E70"/>
    <w:rsid w:val="00B47151"/>
    <w:rsid w:val="00B47A8C"/>
    <w:rsid w:val="00B50A18"/>
    <w:rsid w:val="00B50FC7"/>
    <w:rsid w:val="00B52658"/>
    <w:rsid w:val="00B53288"/>
    <w:rsid w:val="00B544A7"/>
    <w:rsid w:val="00B5539F"/>
    <w:rsid w:val="00B55858"/>
    <w:rsid w:val="00B57451"/>
    <w:rsid w:val="00B576E2"/>
    <w:rsid w:val="00B605F6"/>
    <w:rsid w:val="00B611BD"/>
    <w:rsid w:val="00B6129B"/>
    <w:rsid w:val="00B61610"/>
    <w:rsid w:val="00B61D49"/>
    <w:rsid w:val="00B63111"/>
    <w:rsid w:val="00B64509"/>
    <w:rsid w:val="00B64682"/>
    <w:rsid w:val="00B65D39"/>
    <w:rsid w:val="00B65EBD"/>
    <w:rsid w:val="00B65F70"/>
    <w:rsid w:val="00B702CE"/>
    <w:rsid w:val="00B703AB"/>
    <w:rsid w:val="00B707E1"/>
    <w:rsid w:val="00B70CF2"/>
    <w:rsid w:val="00B76B0A"/>
    <w:rsid w:val="00B77724"/>
    <w:rsid w:val="00B80771"/>
    <w:rsid w:val="00B81D09"/>
    <w:rsid w:val="00B81F2B"/>
    <w:rsid w:val="00B82066"/>
    <w:rsid w:val="00B82238"/>
    <w:rsid w:val="00B8247C"/>
    <w:rsid w:val="00B83FEA"/>
    <w:rsid w:val="00B84A66"/>
    <w:rsid w:val="00B86A68"/>
    <w:rsid w:val="00B86AF0"/>
    <w:rsid w:val="00B87A44"/>
    <w:rsid w:val="00B91FF2"/>
    <w:rsid w:val="00B93E79"/>
    <w:rsid w:val="00B9402A"/>
    <w:rsid w:val="00B940BA"/>
    <w:rsid w:val="00B94164"/>
    <w:rsid w:val="00B9467B"/>
    <w:rsid w:val="00B95452"/>
    <w:rsid w:val="00B95D40"/>
    <w:rsid w:val="00B96B61"/>
    <w:rsid w:val="00B96F8F"/>
    <w:rsid w:val="00B97263"/>
    <w:rsid w:val="00BA16D5"/>
    <w:rsid w:val="00BA26EF"/>
    <w:rsid w:val="00BA2CDD"/>
    <w:rsid w:val="00BA2DA2"/>
    <w:rsid w:val="00BA3756"/>
    <w:rsid w:val="00BA3C4B"/>
    <w:rsid w:val="00BA3D34"/>
    <w:rsid w:val="00BA3DA3"/>
    <w:rsid w:val="00BA4258"/>
    <w:rsid w:val="00BA58B6"/>
    <w:rsid w:val="00BA63B6"/>
    <w:rsid w:val="00BA6862"/>
    <w:rsid w:val="00BB064C"/>
    <w:rsid w:val="00BB2B34"/>
    <w:rsid w:val="00BB3439"/>
    <w:rsid w:val="00BB386F"/>
    <w:rsid w:val="00BB4CF8"/>
    <w:rsid w:val="00BB7EBC"/>
    <w:rsid w:val="00BC06C9"/>
    <w:rsid w:val="00BC1B59"/>
    <w:rsid w:val="00BC22A6"/>
    <w:rsid w:val="00BC2A76"/>
    <w:rsid w:val="00BC311B"/>
    <w:rsid w:val="00BC3659"/>
    <w:rsid w:val="00BC3820"/>
    <w:rsid w:val="00BC3B7F"/>
    <w:rsid w:val="00BC58B0"/>
    <w:rsid w:val="00BC671F"/>
    <w:rsid w:val="00BC6C00"/>
    <w:rsid w:val="00BD0376"/>
    <w:rsid w:val="00BD09FF"/>
    <w:rsid w:val="00BD20D3"/>
    <w:rsid w:val="00BD25E2"/>
    <w:rsid w:val="00BD28B1"/>
    <w:rsid w:val="00BD311A"/>
    <w:rsid w:val="00BD4485"/>
    <w:rsid w:val="00BD5199"/>
    <w:rsid w:val="00BD5527"/>
    <w:rsid w:val="00BD6697"/>
    <w:rsid w:val="00BD7883"/>
    <w:rsid w:val="00BE2068"/>
    <w:rsid w:val="00BE2B94"/>
    <w:rsid w:val="00BE2E6A"/>
    <w:rsid w:val="00BE33A6"/>
    <w:rsid w:val="00BE5F96"/>
    <w:rsid w:val="00BE735D"/>
    <w:rsid w:val="00BE78FE"/>
    <w:rsid w:val="00BF15F0"/>
    <w:rsid w:val="00BF183B"/>
    <w:rsid w:val="00BF1D66"/>
    <w:rsid w:val="00BF20F0"/>
    <w:rsid w:val="00BF227F"/>
    <w:rsid w:val="00BF2998"/>
    <w:rsid w:val="00BF2E8D"/>
    <w:rsid w:val="00BF4600"/>
    <w:rsid w:val="00BF4651"/>
    <w:rsid w:val="00BF7593"/>
    <w:rsid w:val="00BF76F2"/>
    <w:rsid w:val="00BF7EA1"/>
    <w:rsid w:val="00C016B5"/>
    <w:rsid w:val="00C01CC9"/>
    <w:rsid w:val="00C05B11"/>
    <w:rsid w:val="00C05EEC"/>
    <w:rsid w:val="00C06187"/>
    <w:rsid w:val="00C0691D"/>
    <w:rsid w:val="00C07806"/>
    <w:rsid w:val="00C07A79"/>
    <w:rsid w:val="00C07AA6"/>
    <w:rsid w:val="00C1034E"/>
    <w:rsid w:val="00C10708"/>
    <w:rsid w:val="00C10CB9"/>
    <w:rsid w:val="00C11485"/>
    <w:rsid w:val="00C136C8"/>
    <w:rsid w:val="00C13CF0"/>
    <w:rsid w:val="00C13D07"/>
    <w:rsid w:val="00C16D42"/>
    <w:rsid w:val="00C20D48"/>
    <w:rsid w:val="00C216AC"/>
    <w:rsid w:val="00C22B9A"/>
    <w:rsid w:val="00C23360"/>
    <w:rsid w:val="00C245E9"/>
    <w:rsid w:val="00C24DFB"/>
    <w:rsid w:val="00C25DD1"/>
    <w:rsid w:val="00C26218"/>
    <w:rsid w:val="00C264DE"/>
    <w:rsid w:val="00C27736"/>
    <w:rsid w:val="00C31617"/>
    <w:rsid w:val="00C32932"/>
    <w:rsid w:val="00C33157"/>
    <w:rsid w:val="00C332AC"/>
    <w:rsid w:val="00C33CF1"/>
    <w:rsid w:val="00C33ED4"/>
    <w:rsid w:val="00C34535"/>
    <w:rsid w:val="00C34536"/>
    <w:rsid w:val="00C34568"/>
    <w:rsid w:val="00C34B27"/>
    <w:rsid w:val="00C34B2F"/>
    <w:rsid w:val="00C35DED"/>
    <w:rsid w:val="00C35DF6"/>
    <w:rsid w:val="00C40944"/>
    <w:rsid w:val="00C42BB2"/>
    <w:rsid w:val="00C435E8"/>
    <w:rsid w:val="00C44726"/>
    <w:rsid w:val="00C44B4A"/>
    <w:rsid w:val="00C44C52"/>
    <w:rsid w:val="00C453A1"/>
    <w:rsid w:val="00C474A8"/>
    <w:rsid w:val="00C474AE"/>
    <w:rsid w:val="00C50026"/>
    <w:rsid w:val="00C50CF0"/>
    <w:rsid w:val="00C51051"/>
    <w:rsid w:val="00C51A22"/>
    <w:rsid w:val="00C525B8"/>
    <w:rsid w:val="00C52C58"/>
    <w:rsid w:val="00C53A0D"/>
    <w:rsid w:val="00C552C3"/>
    <w:rsid w:val="00C55E85"/>
    <w:rsid w:val="00C55F7F"/>
    <w:rsid w:val="00C566D1"/>
    <w:rsid w:val="00C5751C"/>
    <w:rsid w:val="00C57F57"/>
    <w:rsid w:val="00C60F76"/>
    <w:rsid w:val="00C616A4"/>
    <w:rsid w:val="00C62940"/>
    <w:rsid w:val="00C62D94"/>
    <w:rsid w:val="00C63600"/>
    <w:rsid w:val="00C63901"/>
    <w:rsid w:val="00C63B60"/>
    <w:rsid w:val="00C63FB5"/>
    <w:rsid w:val="00C6586B"/>
    <w:rsid w:val="00C666C4"/>
    <w:rsid w:val="00C66A36"/>
    <w:rsid w:val="00C67A7B"/>
    <w:rsid w:val="00C67D4D"/>
    <w:rsid w:val="00C7045A"/>
    <w:rsid w:val="00C75028"/>
    <w:rsid w:val="00C76557"/>
    <w:rsid w:val="00C821B8"/>
    <w:rsid w:val="00C8358E"/>
    <w:rsid w:val="00C8563E"/>
    <w:rsid w:val="00C85C7E"/>
    <w:rsid w:val="00C86681"/>
    <w:rsid w:val="00C86E32"/>
    <w:rsid w:val="00C9020F"/>
    <w:rsid w:val="00C947A8"/>
    <w:rsid w:val="00C95847"/>
    <w:rsid w:val="00C95C2C"/>
    <w:rsid w:val="00C978F2"/>
    <w:rsid w:val="00CA01DB"/>
    <w:rsid w:val="00CA0D84"/>
    <w:rsid w:val="00CA1775"/>
    <w:rsid w:val="00CA17AD"/>
    <w:rsid w:val="00CA184B"/>
    <w:rsid w:val="00CA2435"/>
    <w:rsid w:val="00CA2B38"/>
    <w:rsid w:val="00CA3467"/>
    <w:rsid w:val="00CA373F"/>
    <w:rsid w:val="00CA37C7"/>
    <w:rsid w:val="00CA3CF5"/>
    <w:rsid w:val="00CA3D94"/>
    <w:rsid w:val="00CA61EE"/>
    <w:rsid w:val="00CA6894"/>
    <w:rsid w:val="00CA6C7D"/>
    <w:rsid w:val="00CA73AF"/>
    <w:rsid w:val="00CA7751"/>
    <w:rsid w:val="00CB1B8B"/>
    <w:rsid w:val="00CB1BD8"/>
    <w:rsid w:val="00CB2692"/>
    <w:rsid w:val="00CB2739"/>
    <w:rsid w:val="00CB2742"/>
    <w:rsid w:val="00CB3A43"/>
    <w:rsid w:val="00CB5191"/>
    <w:rsid w:val="00CB6282"/>
    <w:rsid w:val="00CB691D"/>
    <w:rsid w:val="00CB6F56"/>
    <w:rsid w:val="00CB72B2"/>
    <w:rsid w:val="00CC2969"/>
    <w:rsid w:val="00CC3827"/>
    <w:rsid w:val="00CC4A7E"/>
    <w:rsid w:val="00CC4D87"/>
    <w:rsid w:val="00CC4E1A"/>
    <w:rsid w:val="00CC5175"/>
    <w:rsid w:val="00CC5799"/>
    <w:rsid w:val="00CC6357"/>
    <w:rsid w:val="00CC663A"/>
    <w:rsid w:val="00CC6975"/>
    <w:rsid w:val="00CD002C"/>
    <w:rsid w:val="00CD0BC3"/>
    <w:rsid w:val="00CD1272"/>
    <w:rsid w:val="00CD1E51"/>
    <w:rsid w:val="00CD3459"/>
    <w:rsid w:val="00CD39ED"/>
    <w:rsid w:val="00CD49E4"/>
    <w:rsid w:val="00CD72D7"/>
    <w:rsid w:val="00CE2352"/>
    <w:rsid w:val="00CE2A01"/>
    <w:rsid w:val="00CE3284"/>
    <w:rsid w:val="00CE5442"/>
    <w:rsid w:val="00CE70AF"/>
    <w:rsid w:val="00CF0D1F"/>
    <w:rsid w:val="00CF0F35"/>
    <w:rsid w:val="00CF2F6B"/>
    <w:rsid w:val="00CF4F26"/>
    <w:rsid w:val="00CF7227"/>
    <w:rsid w:val="00CF72B4"/>
    <w:rsid w:val="00D00F5B"/>
    <w:rsid w:val="00D02806"/>
    <w:rsid w:val="00D04826"/>
    <w:rsid w:val="00D04835"/>
    <w:rsid w:val="00D04A7D"/>
    <w:rsid w:val="00D0522A"/>
    <w:rsid w:val="00D05A57"/>
    <w:rsid w:val="00D07685"/>
    <w:rsid w:val="00D11084"/>
    <w:rsid w:val="00D112F9"/>
    <w:rsid w:val="00D11BE3"/>
    <w:rsid w:val="00D13635"/>
    <w:rsid w:val="00D13F0D"/>
    <w:rsid w:val="00D1529B"/>
    <w:rsid w:val="00D15464"/>
    <w:rsid w:val="00D158D2"/>
    <w:rsid w:val="00D17E8E"/>
    <w:rsid w:val="00D25FBF"/>
    <w:rsid w:val="00D25FE5"/>
    <w:rsid w:val="00D26D97"/>
    <w:rsid w:val="00D27F99"/>
    <w:rsid w:val="00D27FF0"/>
    <w:rsid w:val="00D33105"/>
    <w:rsid w:val="00D4084C"/>
    <w:rsid w:val="00D415C2"/>
    <w:rsid w:val="00D431BC"/>
    <w:rsid w:val="00D43C96"/>
    <w:rsid w:val="00D46BD4"/>
    <w:rsid w:val="00D46E70"/>
    <w:rsid w:val="00D479BC"/>
    <w:rsid w:val="00D47FEC"/>
    <w:rsid w:val="00D511CE"/>
    <w:rsid w:val="00D51A8B"/>
    <w:rsid w:val="00D5233B"/>
    <w:rsid w:val="00D53C93"/>
    <w:rsid w:val="00D53D09"/>
    <w:rsid w:val="00D53F9E"/>
    <w:rsid w:val="00D57548"/>
    <w:rsid w:val="00D6189A"/>
    <w:rsid w:val="00D61955"/>
    <w:rsid w:val="00D62D26"/>
    <w:rsid w:val="00D64E72"/>
    <w:rsid w:val="00D65A67"/>
    <w:rsid w:val="00D66877"/>
    <w:rsid w:val="00D71317"/>
    <w:rsid w:val="00D721E3"/>
    <w:rsid w:val="00D7313C"/>
    <w:rsid w:val="00D7366E"/>
    <w:rsid w:val="00D74887"/>
    <w:rsid w:val="00D768EB"/>
    <w:rsid w:val="00D76B41"/>
    <w:rsid w:val="00D76CDD"/>
    <w:rsid w:val="00D83658"/>
    <w:rsid w:val="00D83A82"/>
    <w:rsid w:val="00D85BA5"/>
    <w:rsid w:val="00D86378"/>
    <w:rsid w:val="00D875E5"/>
    <w:rsid w:val="00D87E29"/>
    <w:rsid w:val="00D90219"/>
    <w:rsid w:val="00D909D0"/>
    <w:rsid w:val="00D912F9"/>
    <w:rsid w:val="00D923AF"/>
    <w:rsid w:val="00D975F0"/>
    <w:rsid w:val="00D97FB9"/>
    <w:rsid w:val="00DA516E"/>
    <w:rsid w:val="00DA59E4"/>
    <w:rsid w:val="00DA5EBF"/>
    <w:rsid w:val="00DA65D3"/>
    <w:rsid w:val="00DA7C37"/>
    <w:rsid w:val="00DA7D6E"/>
    <w:rsid w:val="00DB0ABA"/>
    <w:rsid w:val="00DB2791"/>
    <w:rsid w:val="00DB334E"/>
    <w:rsid w:val="00DB3966"/>
    <w:rsid w:val="00DB3CE9"/>
    <w:rsid w:val="00DB437A"/>
    <w:rsid w:val="00DB49FB"/>
    <w:rsid w:val="00DB650F"/>
    <w:rsid w:val="00DB7186"/>
    <w:rsid w:val="00DB797E"/>
    <w:rsid w:val="00DC030B"/>
    <w:rsid w:val="00DC099B"/>
    <w:rsid w:val="00DC1A6B"/>
    <w:rsid w:val="00DC21D7"/>
    <w:rsid w:val="00DC51DB"/>
    <w:rsid w:val="00DC5FC4"/>
    <w:rsid w:val="00DC637F"/>
    <w:rsid w:val="00DC63B2"/>
    <w:rsid w:val="00DC65FE"/>
    <w:rsid w:val="00DC6ABB"/>
    <w:rsid w:val="00DD2BE4"/>
    <w:rsid w:val="00DD40E5"/>
    <w:rsid w:val="00DD709D"/>
    <w:rsid w:val="00DD7CAF"/>
    <w:rsid w:val="00DD7EDF"/>
    <w:rsid w:val="00DE1491"/>
    <w:rsid w:val="00DE1DB9"/>
    <w:rsid w:val="00DE2593"/>
    <w:rsid w:val="00DE26A9"/>
    <w:rsid w:val="00DE3485"/>
    <w:rsid w:val="00DE3DB7"/>
    <w:rsid w:val="00DE684D"/>
    <w:rsid w:val="00DE689F"/>
    <w:rsid w:val="00DE6B63"/>
    <w:rsid w:val="00DF0120"/>
    <w:rsid w:val="00DF0F37"/>
    <w:rsid w:val="00DF1AE8"/>
    <w:rsid w:val="00DF1D5C"/>
    <w:rsid w:val="00DF3C6E"/>
    <w:rsid w:val="00DF4B41"/>
    <w:rsid w:val="00DF7267"/>
    <w:rsid w:val="00DF7B87"/>
    <w:rsid w:val="00DF7E6B"/>
    <w:rsid w:val="00E00DCF"/>
    <w:rsid w:val="00E023DE"/>
    <w:rsid w:val="00E02AF4"/>
    <w:rsid w:val="00E039B9"/>
    <w:rsid w:val="00E03BDA"/>
    <w:rsid w:val="00E0787D"/>
    <w:rsid w:val="00E07ABD"/>
    <w:rsid w:val="00E1229B"/>
    <w:rsid w:val="00E12968"/>
    <w:rsid w:val="00E12E30"/>
    <w:rsid w:val="00E12FED"/>
    <w:rsid w:val="00E1331E"/>
    <w:rsid w:val="00E14C2F"/>
    <w:rsid w:val="00E16EB3"/>
    <w:rsid w:val="00E17D07"/>
    <w:rsid w:val="00E2109E"/>
    <w:rsid w:val="00E2227D"/>
    <w:rsid w:val="00E2249C"/>
    <w:rsid w:val="00E23CB1"/>
    <w:rsid w:val="00E254DF"/>
    <w:rsid w:val="00E25811"/>
    <w:rsid w:val="00E25B53"/>
    <w:rsid w:val="00E25E88"/>
    <w:rsid w:val="00E26445"/>
    <w:rsid w:val="00E26452"/>
    <w:rsid w:val="00E268E7"/>
    <w:rsid w:val="00E26FA9"/>
    <w:rsid w:val="00E27883"/>
    <w:rsid w:val="00E27B8B"/>
    <w:rsid w:val="00E30233"/>
    <w:rsid w:val="00E32F08"/>
    <w:rsid w:val="00E330DD"/>
    <w:rsid w:val="00E33229"/>
    <w:rsid w:val="00E35585"/>
    <w:rsid w:val="00E35700"/>
    <w:rsid w:val="00E35B66"/>
    <w:rsid w:val="00E365C9"/>
    <w:rsid w:val="00E37322"/>
    <w:rsid w:val="00E425FC"/>
    <w:rsid w:val="00E42F3A"/>
    <w:rsid w:val="00E44912"/>
    <w:rsid w:val="00E50AF8"/>
    <w:rsid w:val="00E52D53"/>
    <w:rsid w:val="00E53801"/>
    <w:rsid w:val="00E53D3A"/>
    <w:rsid w:val="00E53EBA"/>
    <w:rsid w:val="00E55935"/>
    <w:rsid w:val="00E559C1"/>
    <w:rsid w:val="00E55ABE"/>
    <w:rsid w:val="00E55B46"/>
    <w:rsid w:val="00E56F63"/>
    <w:rsid w:val="00E5794F"/>
    <w:rsid w:val="00E579CC"/>
    <w:rsid w:val="00E57B9C"/>
    <w:rsid w:val="00E61D79"/>
    <w:rsid w:val="00E63CA8"/>
    <w:rsid w:val="00E64EBE"/>
    <w:rsid w:val="00E66941"/>
    <w:rsid w:val="00E66ACA"/>
    <w:rsid w:val="00E75574"/>
    <w:rsid w:val="00E77788"/>
    <w:rsid w:val="00E8055A"/>
    <w:rsid w:val="00E80FDA"/>
    <w:rsid w:val="00E82EB2"/>
    <w:rsid w:val="00E83B43"/>
    <w:rsid w:val="00E848FD"/>
    <w:rsid w:val="00E858C5"/>
    <w:rsid w:val="00E85EDF"/>
    <w:rsid w:val="00E86D11"/>
    <w:rsid w:val="00E86F05"/>
    <w:rsid w:val="00E872FC"/>
    <w:rsid w:val="00E87D14"/>
    <w:rsid w:val="00E92A98"/>
    <w:rsid w:val="00E942EB"/>
    <w:rsid w:val="00E948FE"/>
    <w:rsid w:val="00E94A02"/>
    <w:rsid w:val="00E95B85"/>
    <w:rsid w:val="00E95C61"/>
    <w:rsid w:val="00E96835"/>
    <w:rsid w:val="00E97192"/>
    <w:rsid w:val="00EA08B6"/>
    <w:rsid w:val="00EA1016"/>
    <w:rsid w:val="00EA17E5"/>
    <w:rsid w:val="00EA21C4"/>
    <w:rsid w:val="00EA243A"/>
    <w:rsid w:val="00EA2C6F"/>
    <w:rsid w:val="00EA2EF1"/>
    <w:rsid w:val="00EA3E02"/>
    <w:rsid w:val="00EA5356"/>
    <w:rsid w:val="00EA6766"/>
    <w:rsid w:val="00EA6FD4"/>
    <w:rsid w:val="00EA74A9"/>
    <w:rsid w:val="00EA7B07"/>
    <w:rsid w:val="00EB0065"/>
    <w:rsid w:val="00EB0FB1"/>
    <w:rsid w:val="00EB327E"/>
    <w:rsid w:val="00EB396F"/>
    <w:rsid w:val="00EB443F"/>
    <w:rsid w:val="00EB5A6C"/>
    <w:rsid w:val="00EB61C3"/>
    <w:rsid w:val="00EB62C4"/>
    <w:rsid w:val="00EB681C"/>
    <w:rsid w:val="00EB6C38"/>
    <w:rsid w:val="00EB6D26"/>
    <w:rsid w:val="00EB6E99"/>
    <w:rsid w:val="00EB6F99"/>
    <w:rsid w:val="00EB732B"/>
    <w:rsid w:val="00EC2476"/>
    <w:rsid w:val="00EC356A"/>
    <w:rsid w:val="00EC466C"/>
    <w:rsid w:val="00EC4AD7"/>
    <w:rsid w:val="00EC53A6"/>
    <w:rsid w:val="00EC7345"/>
    <w:rsid w:val="00EC7C49"/>
    <w:rsid w:val="00ED00BC"/>
    <w:rsid w:val="00ED0EAE"/>
    <w:rsid w:val="00ED1418"/>
    <w:rsid w:val="00ED1CB4"/>
    <w:rsid w:val="00ED1DBF"/>
    <w:rsid w:val="00ED20A1"/>
    <w:rsid w:val="00ED283F"/>
    <w:rsid w:val="00ED2FDA"/>
    <w:rsid w:val="00ED350C"/>
    <w:rsid w:val="00ED35F3"/>
    <w:rsid w:val="00ED4576"/>
    <w:rsid w:val="00ED4D26"/>
    <w:rsid w:val="00ED4F2B"/>
    <w:rsid w:val="00ED54BC"/>
    <w:rsid w:val="00ED675F"/>
    <w:rsid w:val="00EE0492"/>
    <w:rsid w:val="00EE051F"/>
    <w:rsid w:val="00EE0FD5"/>
    <w:rsid w:val="00EE1117"/>
    <w:rsid w:val="00EE2D87"/>
    <w:rsid w:val="00EE357F"/>
    <w:rsid w:val="00EE3A45"/>
    <w:rsid w:val="00EE3E78"/>
    <w:rsid w:val="00EE4B39"/>
    <w:rsid w:val="00EE5163"/>
    <w:rsid w:val="00EE58F9"/>
    <w:rsid w:val="00EE5AC0"/>
    <w:rsid w:val="00EE5D7B"/>
    <w:rsid w:val="00EE5DE3"/>
    <w:rsid w:val="00EE664C"/>
    <w:rsid w:val="00EE6966"/>
    <w:rsid w:val="00EE7048"/>
    <w:rsid w:val="00EF02DE"/>
    <w:rsid w:val="00EF0546"/>
    <w:rsid w:val="00EF0561"/>
    <w:rsid w:val="00EF06A4"/>
    <w:rsid w:val="00EF176A"/>
    <w:rsid w:val="00EF214B"/>
    <w:rsid w:val="00EF370B"/>
    <w:rsid w:val="00EF40B2"/>
    <w:rsid w:val="00EF4F43"/>
    <w:rsid w:val="00F00567"/>
    <w:rsid w:val="00F01535"/>
    <w:rsid w:val="00F01756"/>
    <w:rsid w:val="00F0200D"/>
    <w:rsid w:val="00F02582"/>
    <w:rsid w:val="00F0272B"/>
    <w:rsid w:val="00F03005"/>
    <w:rsid w:val="00F037C4"/>
    <w:rsid w:val="00F05C08"/>
    <w:rsid w:val="00F10217"/>
    <w:rsid w:val="00F106E1"/>
    <w:rsid w:val="00F116EC"/>
    <w:rsid w:val="00F1471C"/>
    <w:rsid w:val="00F15C8B"/>
    <w:rsid w:val="00F16716"/>
    <w:rsid w:val="00F1731B"/>
    <w:rsid w:val="00F173AB"/>
    <w:rsid w:val="00F2046A"/>
    <w:rsid w:val="00F22C5E"/>
    <w:rsid w:val="00F25FA3"/>
    <w:rsid w:val="00F269F1"/>
    <w:rsid w:val="00F26B91"/>
    <w:rsid w:val="00F26C79"/>
    <w:rsid w:val="00F274F7"/>
    <w:rsid w:val="00F27989"/>
    <w:rsid w:val="00F27CAC"/>
    <w:rsid w:val="00F32BC3"/>
    <w:rsid w:val="00F34644"/>
    <w:rsid w:val="00F34B87"/>
    <w:rsid w:val="00F3682D"/>
    <w:rsid w:val="00F36E74"/>
    <w:rsid w:val="00F4046B"/>
    <w:rsid w:val="00F406A3"/>
    <w:rsid w:val="00F40989"/>
    <w:rsid w:val="00F42452"/>
    <w:rsid w:val="00F4269B"/>
    <w:rsid w:val="00F43E7B"/>
    <w:rsid w:val="00F44002"/>
    <w:rsid w:val="00F44E6A"/>
    <w:rsid w:val="00F452A0"/>
    <w:rsid w:val="00F4547E"/>
    <w:rsid w:val="00F46108"/>
    <w:rsid w:val="00F46534"/>
    <w:rsid w:val="00F471EA"/>
    <w:rsid w:val="00F47C01"/>
    <w:rsid w:val="00F50220"/>
    <w:rsid w:val="00F50463"/>
    <w:rsid w:val="00F515BE"/>
    <w:rsid w:val="00F525FB"/>
    <w:rsid w:val="00F54644"/>
    <w:rsid w:val="00F54CF9"/>
    <w:rsid w:val="00F55EDE"/>
    <w:rsid w:val="00F604B2"/>
    <w:rsid w:val="00F62B55"/>
    <w:rsid w:val="00F63A52"/>
    <w:rsid w:val="00F645F2"/>
    <w:rsid w:val="00F64790"/>
    <w:rsid w:val="00F65DBD"/>
    <w:rsid w:val="00F7168A"/>
    <w:rsid w:val="00F716D0"/>
    <w:rsid w:val="00F71F61"/>
    <w:rsid w:val="00F72671"/>
    <w:rsid w:val="00F72C85"/>
    <w:rsid w:val="00F750A7"/>
    <w:rsid w:val="00F752BF"/>
    <w:rsid w:val="00F76A90"/>
    <w:rsid w:val="00F7725F"/>
    <w:rsid w:val="00F772B6"/>
    <w:rsid w:val="00F77CC4"/>
    <w:rsid w:val="00F813F4"/>
    <w:rsid w:val="00F81C2E"/>
    <w:rsid w:val="00F82446"/>
    <w:rsid w:val="00F82515"/>
    <w:rsid w:val="00F82765"/>
    <w:rsid w:val="00F8525A"/>
    <w:rsid w:val="00F87E02"/>
    <w:rsid w:val="00F91798"/>
    <w:rsid w:val="00F92DEC"/>
    <w:rsid w:val="00F935A6"/>
    <w:rsid w:val="00F94088"/>
    <w:rsid w:val="00F947C2"/>
    <w:rsid w:val="00F96199"/>
    <w:rsid w:val="00F969DC"/>
    <w:rsid w:val="00F96EF2"/>
    <w:rsid w:val="00FA03C1"/>
    <w:rsid w:val="00FA071B"/>
    <w:rsid w:val="00FA1AC4"/>
    <w:rsid w:val="00FA1DC9"/>
    <w:rsid w:val="00FA24E3"/>
    <w:rsid w:val="00FA2BB1"/>
    <w:rsid w:val="00FA4EF2"/>
    <w:rsid w:val="00FA576D"/>
    <w:rsid w:val="00FA5D10"/>
    <w:rsid w:val="00FA728C"/>
    <w:rsid w:val="00FA792A"/>
    <w:rsid w:val="00FB022B"/>
    <w:rsid w:val="00FB0578"/>
    <w:rsid w:val="00FB1EC1"/>
    <w:rsid w:val="00FB2439"/>
    <w:rsid w:val="00FB2659"/>
    <w:rsid w:val="00FB3213"/>
    <w:rsid w:val="00FB3AFE"/>
    <w:rsid w:val="00FB74FC"/>
    <w:rsid w:val="00FB777B"/>
    <w:rsid w:val="00FC268E"/>
    <w:rsid w:val="00FC28B2"/>
    <w:rsid w:val="00FC2DA0"/>
    <w:rsid w:val="00FC4BE7"/>
    <w:rsid w:val="00FC527D"/>
    <w:rsid w:val="00FC5572"/>
    <w:rsid w:val="00FC59DA"/>
    <w:rsid w:val="00FC5BC8"/>
    <w:rsid w:val="00FC62C5"/>
    <w:rsid w:val="00FC68E3"/>
    <w:rsid w:val="00FC6BE7"/>
    <w:rsid w:val="00FC6EE6"/>
    <w:rsid w:val="00FC7524"/>
    <w:rsid w:val="00FC7B49"/>
    <w:rsid w:val="00FD071D"/>
    <w:rsid w:val="00FD0A37"/>
    <w:rsid w:val="00FD0BC8"/>
    <w:rsid w:val="00FD0D64"/>
    <w:rsid w:val="00FD167B"/>
    <w:rsid w:val="00FD2C21"/>
    <w:rsid w:val="00FD43B3"/>
    <w:rsid w:val="00FD455F"/>
    <w:rsid w:val="00FD50B6"/>
    <w:rsid w:val="00FD5769"/>
    <w:rsid w:val="00FD7FE8"/>
    <w:rsid w:val="00FE11C8"/>
    <w:rsid w:val="00FE1269"/>
    <w:rsid w:val="00FE3B77"/>
    <w:rsid w:val="00FE6166"/>
    <w:rsid w:val="00FE6C50"/>
    <w:rsid w:val="00FE7396"/>
    <w:rsid w:val="00FF0127"/>
    <w:rsid w:val="00FF0261"/>
    <w:rsid w:val="00FF1B72"/>
    <w:rsid w:val="00FF1B90"/>
    <w:rsid w:val="00FF3045"/>
    <w:rsid w:val="00FF3636"/>
    <w:rsid w:val="00FF3D0C"/>
    <w:rsid w:val="00FF40B3"/>
    <w:rsid w:val="00FF6510"/>
    <w:rsid w:val="00FF659F"/>
    <w:rsid w:val="00FF72A9"/>
    <w:rsid w:val="00FF77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9B33"/>
  <w15:docId w15:val="{93E04560-236D-4FBC-B360-C47B164F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01"/>
    <w:pPr>
      <w:spacing w:after="0" w:line="240" w:lineRule="auto"/>
    </w:pPr>
    <w:rPr>
      <w:rFonts w:ascii="Times New Roman" w:eastAsia="Times New Roman" w:hAnsi="Times New Roman" w:cs="Times New Roman"/>
      <w:sz w:val="24"/>
      <w:szCs w:val="24"/>
      <w:lang w:val="en-IL"/>
    </w:rPr>
  </w:style>
  <w:style w:type="paragraph" w:styleId="Heading1">
    <w:name w:val="heading 1"/>
    <w:basedOn w:val="Normal"/>
    <w:next w:val="Normal"/>
    <w:link w:val="Heading1Char"/>
    <w:uiPriority w:val="9"/>
    <w:qFormat/>
    <w:rsid w:val="00AC1CD8"/>
    <w:pPr>
      <w:keepNext/>
      <w:keepLines/>
      <w:spacing w:before="240" w:line="259" w:lineRule="auto"/>
      <w:outlineLvl w:val="0"/>
    </w:pPr>
    <w:rPr>
      <w:rFonts w:asciiTheme="minorHAnsi" w:eastAsiaTheme="majorEastAsia" w:hAnsiTheme="minorHAnsi" w:cstheme="majorBidi"/>
      <w:b/>
      <w:sz w:val="2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5847"/>
    <w:pPr>
      <w:bidi/>
      <w:spacing w:after="160" w:line="259" w:lineRule="auto"/>
      <w:ind w:left="720"/>
      <w:contextualSpacing/>
    </w:pPr>
    <w:rPr>
      <w:rFonts w:ascii="David" w:eastAsiaTheme="minorHAnsi" w:hAnsi="David" w:cs="David"/>
      <w:lang w:val="en-US"/>
    </w:rPr>
  </w:style>
  <w:style w:type="table" w:styleId="TableGrid">
    <w:name w:val="Table Grid"/>
    <w:basedOn w:val="TableNormal"/>
    <w:uiPriority w:val="39"/>
    <w:rsid w:val="00C95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22A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213003"/>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213003"/>
    <w:rPr>
      <w:rFonts w:ascii="Segoe UI" w:hAnsi="Segoe UI" w:cs="Segoe UI"/>
      <w:sz w:val="18"/>
      <w:szCs w:val="18"/>
    </w:rPr>
  </w:style>
  <w:style w:type="character" w:styleId="CommentReference">
    <w:name w:val="annotation reference"/>
    <w:basedOn w:val="DefaultParagraphFont"/>
    <w:uiPriority w:val="99"/>
    <w:semiHidden/>
    <w:unhideWhenUsed/>
    <w:rsid w:val="00FF6510"/>
    <w:rPr>
      <w:sz w:val="16"/>
      <w:szCs w:val="16"/>
    </w:rPr>
  </w:style>
  <w:style w:type="paragraph" w:styleId="CommentText">
    <w:name w:val="annotation text"/>
    <w:basedOn w:val="Normal"/>
    <w:link w:val="CommentTextChar"/>
    <w:uiPriority w:val="99"/>
    <w:unhideWhenUsed/>
    <w:rsid w:val="00FF6510"/>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FF6510"/>
    <w:rPr>
      <w:sz w:val="20"/>
      <w:szCs w:val="20"/>
    </w:rPr>
  </w:style>
  <w:style w:type="paragraph" w:styleId="CommentSubject">
    <w:name w:val="annotation subject"/>
    <w:basedOn w:val="CommentText"/>
    <w:next w:val="CommentText"/>
    <w:link w:val="CommentSubjectChar"/>
    <w:uiPriority w:val="99"/>
    <w:semiHidden/>
    <w:unhideWhenUsed/>
    <w:rsid w:val="00FF6510"/>
    <w:rPr>
      <w:b/>
      <w:bCs/>
    </w:rPr>
  </w:style>
  <w:style w:type="character" w:customStyle="1" w:styleId="CommentSubjectChar">
    <w:name w:val="Comment Subject Char"/>
    <w:basedOn w:val="CommentTextChar"/>
    <w:link w:val="CommentSubject"/>
    <w:uiPriority w:val="99"/>
    <w:semiHidden/>
    <w:rsid w:val="00FF6510"/>
    <w:rPr>
      <w:b/>
      <w:bCs/>
      <w:sz w:val="20"/>
      <w:szCs w:val="20"/>
    </w:rPr>
  </w:style>
  <w:style w:type="character" w:customStyle="1" w:styleId="DissnormTextZchn">
    <w:name w:val="Diss normText Zchn"/>
    <w:link w:val="DissnormText"/>
    <w:uiPriority w:val="99"/>
    <w:qFormat/>
    <w:locked/>
    <w:rsid w:val="002F6194"/>
    <w:rPr>
      <w:rFonts w:ascii="Arial" w:eastAsia="Times New Roman" w:hAnsi="Arial" w:cs="Arial"/>
      <w:szCs w:val="24"/>
      <w:lang w:eastAsia="en-GB"/>
    </w:rPr>
  </w:style>
  <w:style w:type="paragraph" w:customStyle="1" w:styleId="DissnormText">
    <w:name w:val="Diss normText"/>
    <w:basedOn w:val="Normal"/>
    <w:link w:val="DissnormTextZchn"/>
    <w:uiPriority w:val="99"/>
    <w:qFormat/>
    <w:rsid w:val="002F6194"/>
    <w:pPr>
      <w:spacing w:after="200" w:line="360" w:lineRule="auto"/>
      <w:jc w:val="both"/>
    </w:pPr>
    <w:rPr>
      <w:rFonts w:ascii="Arial" w:hAnsi="Arial" w:cs="Arial"/>
      <w:sz w:val="22"/>
      <w:lang w:val="en-GB" w:eastAsia="en-GB"/>
    </w:rPr>
  </w:style>
  <w:style w:type="table" w:customStyle="1" w:styleId="TableGridLight1">
    <w:name w:val="Table Grid Light1"/>
    <w:basedOn w:val="TableNormal"/>
    <w:uiPriority w:val="40"/>
    <w:rsid w:val="000C16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C13D8"/>
    <w:rPr>
      <w:color w:val="0000FF"/>
      <w:u w:val="single"/>
    </w:rPr>
  </w:style>
  <w:style w:type="character" w:styleId="FollowedHyperlink">
    <w:name w:val="FollowedHyperlink"/>
    <w:basedOn w:val="DefaultParagraphFont"/>
    <w:uiPriority w:val="99"/>
    <w:semiHidden/>
    <w:unhideWhenUsed/>
    <w:rsid w:val="0025765F"/>
    <w:rPr>
      <w:color w:val="954F72" w:themeColor="followedHyperlink"/>
      <w:u w:val="single"/>
    </w:rPr>
  </w:style>
  <w:style w:type="character" w:customStyle="1" w:styleId="UnresolvedMention1">
    <w:name w:val="Unresolved Mention1"/>
    <w:basedOn w:val="DefaultParagraphFont"/>
    <w:uiPriority w:val="99"/>
    <w:semiHidden/>
    <w:unhideWhenUsed/>
    <w:rsid w:val="001D3020"/>
    <w:rPr>
      <w:color w:val="605E5C"/>
      <w:shd w:val="clear" w:color="auto" w:fill="E1DFDD"/>
    </w:rPr>
  </w:style>
  <w:style w:type="character" w:customStyle="1" w:styleId="apple-converted-space">
    <w:name w:val="apple-converted-space"/>
    <w:basedOn w:val="DefaultParagraphFont"/>
    <w:rsid w:val="001366E8"/>
  </w:style>
  <w:style w:type="paragraph" w:styleId="Revision">
    <w:name w:val="Revision"/>
    <w:hidden/>
    <w:uiPriority w:val="99"/>
    <w:semiHidden/>
    <w:rsid w:val="008A0B5D"/>
    <w:pPr>
      <w:spacing w:after="0" w:line="240" w:lineRule="auto"/>
    </w:pPr>
  </w:style>
  <w:style w:type="character" w:customStyle="1" w:styleId="ListParagraphChar">
    <w:name w:val="List Paragraph Char"/>
    <w:basedOn w:val="DefaultParagraphFont"/>
    <w:link w:val="ListParagraph"/>
    <w:uiPriority w:val="34"/>
    <w:qFormat/>
    <w:rsid w:val="007820B1"/>
    <w:rPr>
      <w:rFonts w:ascii="David" w:hAnsi="David" w:cs="David"/>
      <w:sz w:val="24"/>
      <w:szCs w:val="24"/>
      <w:lang w:val="en-US"/>
    </w:rPr>
  </w:style>
  <w:style w:type="character" w:customStyle="1" w:styleId="institution">
    <w:name w:val="institution"/>
    <w:basedOn w:val="DefaultParagraphFont"/>
    <w:rsid w:val="001530A0"/>
  </w:style>
  <w:style w:type="paragraph" w:styleId="Header">
    <w:name w:val="header"/>
    <w:basedOn w:val="Normal"/>
    <w:link w:val="HeaderChar"/>
    <w:uiPriority w:val="99"/>
    <w:unhideWhenUsed/>
    <w:rsid w:val="00790618"/>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90618"/>
  </w:style>
  <w:style w:type="paragraph" w:styleId="Footer">
    <w:name w:val="footer"/>
    <w:basedOn w:val="Normal"/>
    <w:link w:val="FooterChar"/>
    <w:uiPriority w:val="99"/>
    <w:unhideWhenUsed/>
    <w:rsid w:val="00790618"/>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90618"/>
  </w:style>
  <w:style w:type="character" w:customStyle="1" w:styleId="UnresolvedMention2">
    <w:name w:val="Unresolved Mention2"/>
    <w:basedOn w:val="DefaultParagraphFont"/>
    <w:uiPriority w:val="99"/>
    <w:semiHidden/>
    <w:unhideWhenUsed/>
    <w:rsid w:val="00301E12"/>
    <w:rPr>
      <w:color w:val="605E5C"/>
      <w:shd w:val="clear" w:color="auto" w:fill="E1DFDD"/>
    </w:rPr>
  </w:style>
  <w:style w:type="character" w:styleId="LineNumber">
    <w:name w:val="line number"/>
    <w:basedOn w:val="DefaultParagraphFont"/>
    <w:uiPriority w:val="99"/>
    <w:semiHidden/>
    <w:unhideWhenUsed/>
    <w:rsid w:val="00FC5572"/>
  </w:style>
  <w:style w:type="character" w:styleId="Emphasis">
    <w:name w:val="Emphasis"/>
    <w:basedOn w:val="DefaultParagraphFont"/>
    <w:uiPriority w:val="20"/>
    <w:qFormat/>
    <w:rsid w:val="00081479"/>
    <w:rPr>
      <w:i/>
      <w:iCs/>
    </w:rPr>
  </w:style>
  <w:style w:type="character" w:styleId="PageNumber">
    <w:name w:val="page number"/>
    <w:basedOn w:val="DefaultParagraphFont"/>
    <w:uiPriority w:val="99"/>
    <w:semiHidden/>
    <w:unhideWhenUsed/>
    <w:rsid w:val="00C34B2F"/>
  </w:style>
  <w:style w:type="character" w:customStyle="1" w:styleId="Heading1Char">
    <w:name w:val="Heading 1 Char"/>
    <w:basedOn w:val="DefaultParagraphFont"/>
    <w:link w:val="Heading1"/>
    <w:uiPriority w:val="9"/>
    <w:rsid w:val="00AC1CD8"/>
    <w:rPr>
      <w:rFonts w:eastAsiaTheme="majorEastAsia" w:cstheme="majorBidi"/>
      <w:b/>
      <w:szCs w:val="32"/>
    </w:rPr>
  </w:style>
  <w:style w:type="character" w:styleId="UnresolvedMention">
    <w:name w:val="Unresolved Mention"/>
    <w:basedOn w:val="DefaultParagraphFont"/>
    <w:uiPriority w:val="99"/>
    <w:semiHidden/>
    <w:unhideWhenUsed/>
    <w:rsid w:val="00562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63446">
      <w:bodyDiv w:val="1"/>
      <w:marLeft w:val="0"/>
      <w:marRight w:val="0"/>
      <w:marTop w:val="0"/>
      <w:marBottom w:val="0"/>
      <w:divBdr>
        <w:top w:val="none" w:sz="0" w:space="0" w:color="auto"/>
        <w:left w:val="none" w:sz="0" w:space="0" w:color="auto"/>
        <w:bottom w:val="none" w:sz="0" w:space="0" w:color="auto"/>
        <w:right w:val="none" w:sz="0" w:space="0" w:color="auto"/>
      </w:divBdr>
    </w:div>
    <w:div w:id="96681004">
      <w:bodyDiv w:val="1"/>
      <w:marLeft w:val="0"/>
      <w:marRight w:val="0"/>
      <w:marTop w:val="0"/>
      <w:marBottom w:val="0"/>
      <w:divBdr>
        <w:top w:val="none" w:sz="0" w:space="0" w:color="auto"/>
        <w:left w:val="none" w:sz="0" w:space="0" w:color="auto"/>
        <w:bottom w:val="none" w:sz="0" w:space="0" w:color="auto"/>
        <w:right w:val="none" w:sz="0" w:space="0" w:color="auto"/>
      </w:divBdr>
    </w:div>
    <w:div w:id="101339684">
      <w:bodyDiv w:val="1"/>
      <w:marLeft w:val="0"/>
      <w:marRight w:val="0"/>
      <w:marTop w:val="0"/>
      <w:marBottom w:val="0"/>
      <w:divBdr>
        <w:top w:val="none" w:sz="0" w:space="0" w:color="auto"/>
        <w:left w:val="none" w:sz="0" w:space="0" w:color="auto"/>
        <w:bottom w:val="none" w:sz="0" w:space="0" w:color="auto"/>
        <w:right w:val="none" w:sz="0" w:space="0" w:color="auto"/>
      </w:divBdr>
    </w:div>
    <w:div w:id="144130606">
      <w:bodyDiv w:val="1"/>
      <w:marLeft w:val="0"/>
      <w:marRight w:val="0"/>
      <w:marTop w:val="0"/>
      <w:marBottom w:val="0"/>
      <w:divBdr>
        <w:top w:val="none" w:sz="0" w:space="0" w:color="auto"/>
        <w:left w:val="none" w:sz="0" w:space="0" w:color="auto"/>
        <w:bottom w:val="none" w:sz="0" w:space="0" w:color="auto"/>
        <w:right w:val="none" w:sz="0" w:space="0" w:color="auto"/>
      </w:divBdr>
    </w:div>
    <w:div w:id="192697183">
      <w:bodyDiv w:val="1"/>
      <w:marLeft w:val="0"/>
      <w:marRight w:val="0"/>
      <w:marTop w:val="0"/>
      <w:marBottom w:val="0"/>
      <w:divBdr>
        <w:top w:val="none" w:sz="0" w:space="0" w:color="auto"/>
        <w:left w:val="none" w:sz="0" w:space="0" w:color="auto"/>
        <w:bottom w:val="none" w:sz="0" w:space="0" w:color="auto"/>
        <w:right w:val="none" w:sz="0" w:space="0" w:color="auto"/>
      </w:divBdr>
    </w:div>
    <w:div w:id="231504302">
      <w:bodyDiv w:val="1"/>
      <w:marLeft w:val="0"/>
      <w:marRight w:val="0"/>
      <w:marTop w:val="0"/>
      <w:marBottom w:val="0"/>
      <w:divBdr>
        <w:top w:val="none" w:sz="0" w:space="0" w:color="auto"/>
        <w:left w:val="none" w:sz="0" w:space="0" w:color="auto"/>
        <w:bottom w:val="none" w:sz="0" w:space="0" w:color="auto"/>
        <w:right w:val="none" w:sz="0" w:space="0" w:color="auto"/>
      </w:divBdr>
    </w:div>
    <w:div w:id="334384863">
      <w:bodyDiv w:val="1"/>
      <w:marLeft w:val="0"/>
      <w:marRight w:val="0"/>
      <w:marTop w:val="0"/>
      <w:marBottom w:val="0"/>
      <w:divBdr>
        <w:top w:val="none" w:sz="0" w:space="0" w:color="auto"/>
        <w:left w:val="none" w:sz="0" w:space="0" w:color="auto"/>
        <w:bottom w:val="none" w:sz="0" w:space="0" w:color="auto"/>
        <w:right w:val="none" w:sz="0" w:space="0" w:color="auto"/>
      </w:divBdr>
    </w:div>
    <w:div w:id="354549839">
      <w:bodyDiv w:val="1"/>
      <w:marLeft w:val="0"/>
      <w:marRight w:val="0"/>
      <w:marTop w:val="0"/>
      <w:marBottom w:val="0"/>
      <w:divBdr>
        <w:top w:val="none" w:sz="0" w:space="0" w:color="auto"/>
        <w:left w:val="none" w:sz="0" w:space="0" w:color="auto"/>
        <w:bottom w:val="none" w:sz="0" w:space="0" w:color="auto"/>
        <w:right w:val="none" w:sz="0" w:space="0" w:color="auto"/>
      </w:divBdr>
    </w:div>
    <w:div w:id="392509389">
      <w:bodyDiv w:val="1"/>
      <w:marLeft w:val="0"/>
      <w:marRight w:val="0"/>
      <w:marTop w:val="0"/>
      <w:marBottom w:val="0"/>
      <w:divBdr>
        <w:top w:val="none" w:sz="0" w:space="0" w:color="auto"/>
        <w:left w:val="none" w:sz="0" w:space="0" w:color="auto"/>
        <w:bottom w:val="none" w:sz="0" w:space="0" w:color="auto"/>
        <w:right w:val="none" w:sz="0" w:space="0" w:color="auto"/>
      </w:divBdr>
    </w:div>
    <w:div w:id="421606365">
      <w:bodyDiv w:val="1"/>
      <w:marLeft w:val="0"/>
      <w:marRight w:val="0"/>
      <w:marTop w:val="0"/>
      <w:marBottom w:val="0"/>
      <w:divBdr>
        <w:top w:val="none" w:sz="0" w:space="0" w:color="auto"/>
        <w:left w:val="none" w:sz="0" w:space="0" w:color="auto"/>
        <w:bottom w:val="none" w:sz="0" w:space="0" w:color="auto"/>
        <w:right w:val="none" w:sz="0" w:space="0" w:color="auto"/>
      </w:divBdr>
    </w:div>
    <w:div w:id="548109301">
      <w:bodyDiv w:val="1"/>
      <w:marLeft w:val="0"/>
      <w:marRight w:val="0"/>
      <w:marTop w:val="0"/>
      <w:marBottom w:val="0"/>
      <w:divBdr>
        <w:top w:val="none" w:sz="0" w:space="0" w:color="auto"/>
        <w:left w:val="none" w:sz="0" w:space="0" w:color="auto"/>
        <w:bottom w:val="none" w:sz="0" w:space="0" w:color="auto"/>
        <w:right w:val="none" w:sz="0" w:space="0" w:color="auto"/>
      </w:divBdr>
    </w:div>
    <w:div w:id="564225045">
      <w:bodyDiv w:val="1"/>
      <w:marLeft w:val="0"/>
      <w:marRight w:val="0"/>
      <w:marTop w:val="0"/>
      <w:marBottom w:val="0"/>
      <w:divBdr>
        <w:top w:val="none" w:sz="0" w:space="0" w:color="auto"/>
        <w:left w:val="none" w:sz="0" w:space="0" w:color="auto"/>
        <w:bottom w:val="none" w:sz="0" w:space="0" w:color="auto"/>
        <w:right w:val="none" w:sz="0" w:space="0" w:color="auto"/>
      </w:divBdr>
    </w:div>
    <w:div w:id="648284507">
      <w:bodyDiv w:val="1"/>
      <w:marLeft w:val="0"/>
      <w:marRight w:val="0"/>
      <w:marTop w:val="0"/>
      <w:marBottom w:val="0"/>
      <w:divBdr>
        <w:top w:val="none" w:sz="0" w:space="0" w:color="auto"/>
        <w:left w:val="none" w:sz="0" w:space="0" w:color="auto"/>
        <w:bottom w:val="none" w:sz="0" w:space="0" w:color="auto"/>
        <w:right w:val="none" w:sz="0" w:space="0" w:color="auto"/>
      </w:divBdr>
    </w:div>
    <w:div w:id="695498459">
      <w:bodyDiv w:val="1"/>
      <w:marLeft w:val="0"/>
      <w:marRight w:val="0"/>
      <w:marTop w:val="0"/>
      <w:marBottom w:val="0"/>
      <w:divBdr>
        <w:top w:val="none" w:sz="0" w:space="0" w:color="auto"/>
        <w:left w:val="none" w:sz="0" w:space="0" w:color="auto"/>
        <w:bottom w:val="none" w:sz="0" w:space="0" w:color="auto"/>
        <w:right w:val="none" w:sz="0" w:space="0" w:color="auto"/>
      </w:divBdr>
      <w:divsChild>
        <w:div w:id="573316045">
          <w:marLeft w:val="547"/>
          <w:marRight w:val="0"/>
          <w:marTop w:val="0"/>
          <w:marBottom w:val="0"/>
          <w:divBdr>
            <w:top w:val="none" w:sz="0" w:space="0" w:color="auto"/>
            <w:left w:val="none" w:sz="0" w:space="0" w:color="auto"/>
            <w:bottom w:val="none" w:sz="0" w:space="0" w:color="auto"/>
            <w:right w:val="none" w:sz="0" w:space="0" w:color="auto"/>
          </w:divBdr>
        </w:div>
      </w:divsChild>
    </w:div>
    <w:div w:id="696270954">
      <w:bodyDiv w:val="1"/>
      <w:marLeft w:val="0"/>
      <w:marRight w:val="0"/>
      <w:marTop w:val="0"/>
      <w:marBottom w:val="0"/>
      <w:divBdr>
        <w:top w:val="none" w:sz="0" w:space="0" w:color="auto"/>
        <w:left w:val="none" w:sz="0" w:space="0" w:color="auto"/>
        <w:bottom w:val="none" w:sz="0" w:space="0" w:color="auto"/>
        <w:right w:val="none" w:sz="0" w:space="0" w:color="auto"/>
      </w:divBdr>
    </w:div>
    <w:div w:id="716861196">
      <w:bodyDiv w:val="1"/>
      <w:marLeft w:val="0"/>
      <w:marRight w:val="0"/>
      <w:marTop w:val="0"/>
      <w:marBottom w:val="0"/>
      <w:divBdr>
        <w:top w:val="none" w:sz="0" w:space="0" w:color="auto"/>
        <w:left w:val="none" w:sz="0" w:space="0" w:color="auto"/>
        <w:bottom w:val="none" w:sz="0" w:space="0" w:color="auto"/>
        <w:right w:val="none" w:sz="0" w:space="0" w:color="auto"/>
      </w:divBdr>
    </w:div>
    <w:div w:id="720521084">
      <w:bodyDiv w:val="1"/>
      <w:marLeft w:val="0"/>
      <w:marRight w:val="0"/>
      <w:marTop w:val="0"/>
      <w:marBottom w:val="0"/>
      <w:divBdr>
        <w:top w:val="none" w:sz="0" w:space="0" w:color="auto"/>
        <w:left w:val="none" w:sz="0" w:space="0" w:color="auto"/>
        <w:bottom w:val="none" w:sz="0" w:space="0" w:color="auto"/>
        <w:right w:val="none" w:sz="0" w:space="0" w:color="auto"/>
      </w:divBdr>
    </w:div>
    <w:div w:id="743263079">
      <w:bodyDiv w:val="1"/>
      <w:marLeft w:val="0"/>
      <w:marRight w:val="0"/>
      <w:marTop w:val="0"/>
      <w:marBottom w:val="0"/>
      <w:divBdr>
        <w:top w:val="none" w:sz="0" w:space="0" w:color="auto"/>
        <w:left w:val="none" w:sz="0" w:space="0" w:color="auto"/>
        <w:bottom w:val="none" w:sz="0" w:space="0" w:color="auto"/>
        <w:right w:val="none" w:sz="0" w:space="0" w:color="auto"/>
      </w:divBdr>
    </w:div>
    <w:div w:id="752749764">
      <w:bodyDiv w:val="1"/>
      <w:marLeft w:val="0"/>
      <w:marRight w:val="0"/>
      <w:marTop w:val="0"/>
      <w:marBottom w:val="0"/>
      <w:divBdr>
        <w:top w:val="none" w:sz="0" w:space="0" w:color="auto"/>
        <w:left w:val="none" w:sz="0" w:space="0" w:color="auto"/>
        <w:bottom w:val="none" w:sz="0" w:space="0" w:color="auto"/>
        <w:right w:val="none" w:sz="0" w:space="0" w:color="auto"/>
      </w:divBdr>
    </w:div>
    <w:div w:id="814184909">
      <w:bodyDiv w:val="1"/>
      <w:marLeft w:val="0"/>
      <w:marRight w:val="0"/>
      <w:marTop w:val="0"/>
      <w:marBottom w:val="0"/>
      <w:divBdr>
        <w:top w:val="none" w:sz="0" w:space="0" w:color="auto"/>
        <w:left w:val="none" w:sz="0" w:space="0" w:color="auto"/>
        <w:bottom w:val="none" w:sz="0" w:space="0" w:color="auto"/>
        <w:right w:val="none" w:sz="0" w:space="0" w:color="auto"/>
      </w:divBdr>
    </w:div>
    <w:div w:id="818692504">
      <w:bodyDiv w:val="1"/>
      <w:marLeft w:val="0"/>
      <w:marRight w:val="0"/>
      <w:marTop w:val="0"/>
      <w:marBottom w:val="0"/>
      <w:divBdr>
        <w:top w:val="none" w:sz="0" w:space="0" w:color="auto"/>
        <w:left w:val="none" w:sz="0" w:space="0" w:color="auto"/>
        <w:bottom w:val="none" w:sz="0" w:space="0" w:color="auto"/>
        <w:right w:val="none" w:sz="0" w:space="0" w:color="auto"/>
      </w:divBdr>
    </w:div>
    <w:div w:id="822352697">
      <w:bodyDiv w:val="1"/>
      <w:marLeft w:val="0"/>
      <w:marRight w:val="0"/>
      <w:marTop w:val="0"/>
      <w:marBottom w:val="0"/>
      <w:divBdr>
        <w:top w:val="none" w:sz="0" w:space="0" w:color="auto"/>
        <w:left w:val="none" w:sz="0" w:space="0" w:color="auto"/>
        <w:bottom w:val="none" w:sz="0" w:space="0" w:color="auto"/>
        <w:right w:val="none" w:sz="0" w:space="0" w:color="auto"/>
      </w:divBdr>
    </w:div>
    <w:div w:id="894855605">
      <w:bodyDiv w:val="1"/>
      <w:marLeft w:val="0"/>
      <w:marRight w:val="0"/>
      <w:marTop w:val="0"/>
      <w:marBottom w:val="0"/>
      <w:divBdr>
        <w:top w:val="none" w:sz="0" w:space="0" w:color="auto"/>
        <w:left w:val="none" w:sz="0" w:space="0" w:color="auto"/>
        <w:bottom w:val="none" w:sz="0" w:space="0" w:color="auto"/>
        <w:right w:val="none" w:sz="0" w:space="0" w:color="auto"/>
      </w:divBdr>
      <w:divsChild>
        <w:div w:id="55860936">
          <w:marLeft w:val="547"/>
          <w:marRight w:val="0"/>
          <w:marTop w:val="0"/>
          <w:marBottom w:val="0"/>
          <w:divBdr>
            <w:top w:val="none" w:sz="0" w:space="0" w:color="auto"/>
            <w:left w:val="none" w:sz="0" w:space="0" w:color="auto"/>
            <w:bottom w:val="none" w:sz="0" w:space="0" w:color="auto"/>
            <w:right w:val="none" w:sz="0" w:space="0" w:color="auto"/>
          </w:divBdr>
        </w:div>
        <w:div w:id="185948508">
          <w:marLeft w:val="547"/>
          <w:marRight w:val="0"/>
          <w:marTop w:val="0"/>
          <w:marBottom w:val="0"/>
          <w:divBdr>
            <w:top w:val="none" w:sz="0" w:space="0" w:color="auto"/>
            <w:left w:val="none" w:sz="0" w:space="0" w:color="auto"/>
            <w:bottom w:val="none" w:sz="0" w:space="0" w:color="auto"/>
            <w:right w:val="none" w:sz="0" w:space="0" w:color="auto"/>
          </w:divBdr>
        </w:div>
      </w:divsChild>
    </w:div>
    <w:div w:id="915938341">
      <w:bodyDiv w:val="1"/>
      <w:marLeft w:val="0"/>
      <w:marRight w:val="0"/>
      <w:marTop w:val="0"/>
      <w:marBottom w:val="0"/>
      <w:divBdr>
        <w:top w:val="none" w:sz="0" w:space="0" w:color="auto"/>
        <w:left w:val="none" w:sz="0" w:space="0" w:color="auto"/>
        <w:bottom w:val="none" w:sz="0" w:space="0" w:color="auto"/>
        <w:right w:val="none" w:sz="0" w:space="0" w:color="auto"/>
      </w:divBdr>
    </w:div>
    <w:div w:id="1040130464">
      <w:bodyDiv w:val="1"/>
      <w:marLeft w:val="0"/>
      <w:marRight w:val="0"/>
      <w:marTop w:val="0"/>
      <w:marBottom w:val="0"/>
      <w:divBdr>
        <w:top w:val="none" w:sz="0" w:space="0" w:color="auto"/>
        <w:left w:val="none" w:sz="0" w:space="0" w:color="auto"/>
        <w:bottom w:val="none" w:sz="0" w:space="0" w:color="auto"/>
        <w:right w:val="none" w:sz="0" w:space="0" w:color="auto"/>
      </w:divBdr>
    </w:div>
    <w:div w:id="1062748932">
      <w:bodyDiv w:val="1"/>
      <w:marLeft w:val="0"/>
      <w:marRight w:val="0"/>
      <w:marTop w:val="0"/>
      <w:marBottom w:val="0"/>
      <w:divBdr>
        <w:top w:val="none" w:sz="0" w:space="0" w:color="auto"/>
        <w:left w:val="none" w:sz="0" w:space="0" w:color="auto"/>
        <w:bottom w:val="none" w:sz="0" w:space="0" w:color="auto"/>
        <w:right w:val="none" w:sz="0" w:space="0" w:color="auto"/>
      </w:divBdr>
    </w:div>
    <w:div w:id="1076822817">
      <w:bodyDiv w:val="1"/>
      <w:marLeft w:val="0"/>
      <w:marRight w:val="0"/>
      <w:marTop w:val="0"/>
      <w:marBottom w:val="0"/>
      <w:divBdr>
        <w:top w:val="none" w:sz="0" w:space="0" w:color="auto"/>
        <w:left w:val="none" w:sz="0" w:space="0" w:color="auto"/>
        <w:bottom w:val="none" w:sz="0" w:space="0" w:color="auto"/>
        <w:right w:val="none" w:sz="0" w:space="0" w:color="auto"/>
      </w:divBdr>
    </w:div>
    <w:div w:id="1135567208">
      <w:bodyDiv w:val="1"/>
      <w:marLeft w:val="0"/>
      <w:marRight w:val="0"/>
      <w:marTop w:val="0"/>
      <w:marBottom w:val="0"/>
      <w:divBdr>
        <w:top w:val="none" w:sz="0" w:space="0" w:color="auto"/>
        <w:left w:val="none" w:sz="0" w:space="0" w:color="auto"/>
        <w:bottom w:val="none" w:sz="0" w:space="0" w:color="auto"/>
        <w:right w:val="none" w:sz="0" w:space="0" w:color="auto"/>
      </w:divBdr>
    </w:div>
    <w:div w:id="1173185022">
      <w:bodyDiv w:val="1"/>
      <w:marLeft w:val="0"/>
      <w:marRight w:val="0"/>
      <w:marTop w:val="0"/>
      <w:marBottom w:val="0"/>
      <w:divBdr>
        <w:top w:val="none" w:sz="0" w:space="0" w:color="auto"/>
        <w:left w:val="none" w:sz="0" w:space="0" w:color="auto"/>
        <w:bottom w:val="none" w:sz="0" w:space="0" w:color="auto"/>
        <w:right w:val="none" w:sz="0" w:space="0" w:color="auto"/>
      </w:divBdr>
    </w:div>
    <w:div w:id="1202547829">
      <w:bodyDiv w:val="1"/>
      <w:marLeft w:val="0"/>
      <w:marRight w:val="0"/>
      <w:marTop w:val="0"/>
      <w:marBottom w:val="0"/>
      <w:divBdr>
        <w:top w:val="none" w:sz="0" w:space="0" w:color="auto"/>
        <w:left w:val="none" w:sz="0" w:space="0" w:color="auto"/>
        <w:bottom w:val="none" w:sz="0" w:space="0" w:color="auto"/>
        <w:right w:val="none" w:sz="0" w:space="0" w:color="auto"/>
      </w:divBdr>
    </w:div>
    <w:div w:id="1229413113">
      <w:bodyDiv w:val="1"/>
      <w:marLeft w:val="0"/>
      <w:marRight w:val="0"/>
      <w:marTop w:val="0"/>
      <w:marBottom w:val="0"/>
      <w:divBdr>
        <w:top w:val="none" w:sz="0" w:space="0" w:color="auto"/>
        <w:left w:val="none" w:sz="0" w:space="0" w:color="auto"/>
        <w:bottom w:val="none" w:sz="0" w:space="0" w:color="auto"/>
        <w:right w:val="none" w:sz="0" w:space="0" w:color="auto"/>
      </w:divBdr>
    </w:div>
    <w:div w:id="1248420729">
      <w:bodyDiv w:val="1"/>
      <w:marLeft w:val="0"/>
      <w:marRight w:val="0"/>
      <w:marTop w:val="0"/>
      <w:marBottom w:val="0"/>
      <w:divBdr>
        <w:top w:val="none" w:sz="0" w:space="0" w:color="auto"/>
        <w:left w:val="none" w:sz="0" w:space="0" w:color="auto"/>
        <w:bottom w:val="none" w:sz="0" w:space="0" w:color="auto"/>
        <w:right w:val="none" w:sz="0" w:space="0" w:color="auto"/>
      </w:divBdr>
    </w:div>
    <w:div w:id="1260987949">
      <w:bodyDiv w:val="1"/>
      <w:marLeft w:val="0"/>
      <w:marRight w:val="0"/>
      <w:marTop w:val="0"/>
      <w:marBottom w:val="0"/>
      <w:divBdr>
        <w:top w:val="none" w:sz="0" w:space="0" w:color="auto"/>
        <w:left w:val="none" w:sz="0" w:space="0" w:color="auto"/>
        <w:bottom w:val="none" w:sz="0" w:space="0" w:color="auto"/>
        <w:right w:val="none" w:sz="0" w:space="0" w:color="auto"/>
      </w:divBdr>
    </w:div>
    <w:div w:id="1276405362">
      <w:bodyDiv w:val="1"/>
      <w:marLeft w:val="0"/>
      <w:marRight w:val="0"/>
      <w:marTop w:val="0"/>
      <w:marBottom w:val="0"/>
      <w:divBdr>
        <w:top w:val="none" w:sz="0" w:space="0" w:color="auto"/>
        <w:left w:val="none" w:sz="0" w:space="0" w:color="auto"/>
        <w:bottom w:val="none" w:sz="0" w:space="0" w:color="auto"/>
        <w:right w:val="none" w:sz="0" w:space="0" w:color="auto"/>
      </w:divBdr>
    </w:div>
    <w:div w:id="1290893106">
      <w:bodyDiv w:val="1"/>
      <w:marLeft w:val="0"/>
      <w:marRight w:val="0"/>
      <w:marTop w:val="0"/>
      <w:marBottom w:val="0"/>
      <w:divBdr>
        <w:top w:val="none" w:sz="0" w:space="0" w:color="auto"/>
        <w:left w:val="none" w:sz="0" w:space="0" w:color="auto"/>
        <w:bottom w:val="none" w:sz="0" w:space="0" w:color="auto"/>
        <w:right w:val="none" w:sz="0" w:space="0" w:color="auto"/>
      </w:divBdr>
    </w:div>
    <w:div w:id="1576814927">
      <w:bodyDiv w:val="1"/>
      <w:marLeft w:val="0"/>
      <w:marRight w:val="0"/>
      <w:marTop w:val="0"/>
      <w:marBottom w:val="0"/>
      <w:divBdr>
        <w:top w:val="none" w:sz="0" w:space="0" w:color="auto"/>
        <w:left w:val="none" w:sz="0" w:space="0" w:color="auto"/>
        <w:bottom w:val="none" w:sz="0" w:space="0" w:color="auto"/>
        <w:right w:val="none" w:sz="0" w:space="0" w:color="auto"/>
      </w:divBdr>
    </w:div>
    <w:div w:id="1624337897">
      <w:bodyDiv w:val="1"/>
      <w:marLeft w:val="0"/>
      <w:marRight w:val="0"/>
      <w:marTop w:val="0"/>
      <w:marBottom w:val="0"/>
      <w:divBdr>
        <w:top w:val="none" w:sz="0" w:space="0" w:color="auto"/>
        <w:left w:val="none" w:sz="0" w:space="0" w:color="auto"/>
        <w:bottom w:val="none" w:sz="0" w:space="0" w:color="auto"/>
        <w:right w:val="none" w:sz="0" w:space="0" w:color="auto"/>
      </w:divBdr>
    </w:div>
    <w:div w:id="1692099721">
      <w:bodyDiv w:val="1"/>
      <w:marLeft w:val="0"/>
      <w:marRight w:val="0"/>
      <w:marTop w:val="0"/>
      <w:marBottom w:val="0"/>
      <w:divBdr>
        <w:top w:val="none" w:sz="0" w:space="0" w:color="auto"/>
        <w:left w:val="none" w:sz="0" w:space="0" w:color="auto"/>
        <w:bottom w:val="none" w:sz="0" w:space="0" w:color="auto"/>
        <w:right w:val="none" w:sz="0" w:space="0" w:color="auto"/>
      </w:divBdr>
    </w:div>
    <w:div w:id="1698042791">
      <w:bodyDiv w:val="1"/>
      <w:marLeft w:val="0"/>
      <w:marRight w:val="0"/>
      <w:marTop w:val="0"/>
      <w:marBottom w:val="0"/>
      <w:divBdr>
        <w:top w:val="none" w:sz="0" w:space="0" w:color="auto"/>
        <w:left w:val="none" w:sz="0" w:space="0" w:color="auto"/>
        <w:bottom w:val="none" w:sz="0" w:space="0" w:color="auto"/>
        <w:right w:val="none" w:sz="0" w:space="0" w:color="auto"/>
      </w:divBdr>
    </w:div>
    <w:div w:id="1701929950">
      <w:bodyDiv w:val="1"/>
      <w:marLeft w:val="0"/>
      <w:marRight w:val="0"/>
      <w:marTop w:val="0"/>
      <w:marBottom w:val="0"/>
      <w:divBdr>
        <w:top w:val="none" w:sz="0" w:space="0" w:color="auto"/>
        <w:left w:val="none" w:sz="0" w:space="0" w:color="auto"/>
        <w:bottom w:val="none" w:sz="0" w:space="0" w:color="auto"/>
        <w:right w:val="none" w:sz="0" w:space="0" w:color="auto"/>
      </w:divBdr>
    </w:div>
    <w:div w:id="1753620735">
      <w:bodyDiv w:val="1"/>
      <w:marLeft w:val="0"/>
      <w:marRight w:val="0"/>
      <w:marTop w:val="0"/>
      <w:marBottom w:val="0"/>
      <w:divBdr>
        <w:top w:val="none" w:sz="0" w:space="0" w:color="auto"/>
        <w:left w:val="none" w:sz="0" w:space="0" w:color="auto"/>
        <w:bottom w:val="none" w:sz="0" w:space="0" w:color="auto"/>
        <w:right w:val="none" w:sz="0" w:space="0" w:color="auto"/>
      </w:divBdr>
    </w:div>
    <w:div w:id="1754887984">
      <w:bodyDiv w:val="1"/>
      <w:marLeft w:val="0"/>
      <w:marRight w:val="0"/>
      <w:marTop w:val="0"/>
      <w:marBottom w:val="0"/>
      <w:divBdr>
        <w:top w:val="none" w:sz="0" w:space="0" w:color="auto"/>
        <w:left w:val="none" w:sz="0" w:space="0" w:color="auto"/>
        <w:bottom w:val="none" w:sz="0" w:space="0" w:color="auto"/>
        <w:right w:val="none" w:sz="0" w:space="0" w:color="auto"/>
      </w:divBdr>
    </w:div>
    <w:div w:id="1776752992">
      <w:bodyDiv w:val="1"/>
      <w:marLeft w:val="0"/>
      <w:marRight w:val="0"/>
      <w:marTop w:val="0"/>
      <w:marBottom w:val="0"/>
      <w:divBdr>
        <w:top w:val="none" w:sz="0" w:space="0" w:color="auto"/>
        <w:left w:val="none" w:sz="0" w:space="0" w:color="auto"/>
        <w:bottom w:val="none" w:sz="0" w:space="0" w:color="auto"/>
        <w:right w:val="none" w:sz="0" w:space="0" w:color="auto"/>
      </w:divBdr>
    </w:div>
    <w:div w:id="1806852105">
      <w:bodyDiv w:val="1"/>
      <w:marLeft w:val="0"/>
      <w:marRight w:val="0"/>
      <w:marTop w:val="0"/>
      <w:marBottom w:val="0"/>
      <w:divBdr>
        <w:top w:val="none" w:sz="0" w:space="0" w:color="auto"/>
        <w:left w:val="none" w:sz="0" w:space="0" w:color="auto"/>
        <w:bottom w:val="none" w:sz="0" w:space="0" w:color="auto"/>
        <w:right w:val="none" w:sz="0" w:space="0" w:color="auto"/>
      </w:divBdr>
    </w:div>
    <w:div w:id="1944340423">
      <w:bodyDiv w:val="1"/>
      <w:marLeft w:val="0"/>
      <w:marRight w:val="0"/>
      <w:marTop w:val="0"/>
      <w:marBottom w:val="0"/>
      <w:divBdr>
        <w:top w:val="none" w:sz="0" w:space="0" w:color="auto"/>
        <w:left w:val="none" w:sz="0" w:space="0" w:color="auto"/>
        <w:bottom w:val="none" w:sz="0" w:space="0" w:color="auto"/>
        <w:right w:val="none" w:sz="0" w:space="0" w:color="auto"/>
      </w:divBdr>
    </w:div>
    <w:div w:id="1945649421">
      <w:bodyDiv w:val="1"/>
      <w:marLeft w:val="0"/>
      <w:marRight w:val="0"/>
      <w:marTop w:val="0"/>
      <w:marBottom w:val="0"/>
      <w:divBdr>
        <w:top w:val="none" w:sz="0" w:space="0" w:color="auto"/>
        <w:left w:val="none" w:sz="0" w:space="0" w:color="auto"/>
        <w:bottom w:val="none" w:sz="0" w:space="0" w:color="auto"/>
        <w:right w:val="none" w:sz="0" w:space="0" w:color="auto"/>
      </w:divBdr>
    </w:div>
    <w:div w:id="1961836058">
      <w:bodyDiv w:val="1"/>
      <w:marLeft w:val="0"/>
      <w:marRight w:val="0"/>
      <w:marTop w:val="0"/>
      <w:marBottom w:val="0"/>
      <w:divBdr>
        <w:top w:val="none" w:sz="0" w:space="0" w:color="auto"/>
        <w:left w:val="none" w:sz="0" w:space="0" w:color="auto"/>
        <w:bottom w:val="none" w:sz="0" w:space="0" w:color="auto"/>
        <w:right w:val="none" w:sz="0" w:space="0" w:color="auto"/>
      </w:divBdr>
    </w:div>
    <w:div w:id="1982924281">
      <w:bodyDiv w:val="1"/>
      <w:marLeft w:val="0"/>
      <w:marRight w:val="0"/>
      <w:marTop w:val="0"/>
      <w:marBottom w:val="0"/>
      <w:divBdr>
        <w:top w:val="none" w:sz="0" w:space="0" w:color="auto"/>
        <w:left w:val="none" w:sz="0" w:space="0" w:color="auto"/>
        <w:bottom w:val="none" w:sz="0" w:space="0" w:color="auto"/>
        <w:right w:val="none" w:sz="0" w:space="0" w:color="auto"/>
      </w:divBdr>
    </w:div>
    <w:div w:id="2003926005">
      <w:bodyDiv w:val="1"/>
      <w:marLeft w:val="0"/>
      <w:marRight w:val="0"/>
      <w:marTop w:val="0"/>
      <w:marBottom w:val="0"/>
      <w:divBdr>
        <w:top w:val="none" w:sz="0" w:space="0" w:color="auto"/>
        <w:left w:val="none" w:sz="0" w:space="0" w:color="auto"/>
        <w:bottom w:val="none" w:sz="0" w:space="0" w:color="auto"/>
        <w:right w:val="none" w:sz="0" w:space="0" w:color="auto"/>
      </w:divBdr>
    </w:div>
    <w:div w:id="2013147131">
      <w:bodyDiv w:val="1"/>
      <w:marLeft w:val="0"/>
      <w:marRight w:val="0"/>
      <w:marTop w:val="0"/>
      <w:marBottom w:val="0"/>
      <w:divBdr>
        <w:top w:val="none" w:sz="0" w:space="0" w:color="auto"/>
        <w:left w:val="none" w:sz="0" w:space="0" w:color="auto"/>
        <w:bottom w:val="none" w:sz="0" w:space="0" w:color="auto"/>
        <w:right w:val="none" w:sz="0" w:space="0" w:color="auto"/>
      </w:divBdr>
    </w:div>
    <w:div w:id="20556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sh@bgu.ac.i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inicaltrials.gov/ct2/show/NCT015307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0ED02-F70E-214E-9E74-E2F6C83D3E65}">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D893-19DD-4A2C-89F3-F4E4FEB3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24468</Words>
  <Characters>139472</Characters>
  <Application>Microsoft Office Word</Application>
  <DocSecurity>0</DocSecurity>
  <Lines>1162</Lines>
  <Paragraphs>327</Paragraphs>
  <ScaleCrop>false</ScaleCrop>
  <HeadingPairs>
    <vt:vector size="6" baseType="variant">
      <vt:variant>
        <vt:lpstr>Title</vt:lpstr>
      </vt:variant>
      <vt:variant>
        <vt:i4>1</vt:i4>
      </vt:variant>
      <vt:variant>
        <vt:lpstr>Titel</vt:lpstr>
      </vt:variant>
      <vt:variant>
        <vt:i4>1</vt:i4>
      </vt:variant>
      <vt:variant>
        <vt:lpstr>שם</vt:lpstr>
      </vt:variant>
      <vt:variant>
        <vt:i4>1</vt:i4>
      </vt:variant>
    </vt:vector>
  </HeadingPairs>
  <TitlesOfParts>
    <vt:vector size="3" baseType="lpstr">
      <vt:lpstr/>
      <vt:lpstr/>
      <vt:lpstr/>
    </vt:vector>
  </TitlesOfParts>
  <Company>Universitätsklinikum Leipzig AöR</Company>
  <LinksUpToDate>false</LinksUpToDate>
  <CharactersWithSpaces>163613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 yaskolka meir</dc:creator>
  <cp:lastModifiedBy>anat yaskolka meir</cp:lastModifiedBy>
  <cp:revision>5</cp:revision>
  <dcterms:created xsi:type="dcterms:W3CDTF">2021-04-13T12:54:00Z</dcterms:created>
  <dcterms:modified xsi:type="dcterms:W3CDTF">2021-04-13T16:00:00Z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user:5a783164e4b0c9ec442d0281</vt:lpwstr>
  </property>
  <property fmtid="{D5CDD505-2E9C-101B-9397-08002B2CF9AE}" pid="3" name="WnCSubscriberId">
    <vt:lpwstr>0</vt:lpwstr>
  </property>
  <property fmtid="{D5CDD505-2E9C-101B-9397-08002B2CF9AE}" pid="4" name="WnCOutputStyleId">
    <vt:lpwstr>rwuserstyle:5edceec705d72707a95a6011</vt:lpwstr>
  </property>
  <property fmtid="{D5CDD505-2E9C-101B-9397-08002B2CF9AE}" pid="5" name="RWProductId">
    <vt:lpwstr>Flow</vt:lpwstr>
  </property>
  <property fmtid="{D5CDD505-2E9C-101B-9397-08002B2CF9AE}" pid="6" name="WnC4Folder">
    <vt:lpwstr/>
  </property>
  <property fmtid="{D5CDD505-2E9C-101B-9397-08002B2CF9AE}" pid="7" name="RWProjectId">
    <vt:lpwstr>ap:5c092d86e4b0435efe4c41b6</vt:lpwstr>
  </property>
  <property fmtid="{D5CDD505-2E9C-101B-9397-08002B2CF9AE}" pid="8" name="Mendeley Document_1">
    <vt:lpwstr>True</vt:lpwstr>
  </property>
  <property fmtid="{D5CDD505-2E9C-101B-9397-08002B2CF9AE}" pid="9" name="Mendeley Unique User Id_1">
    <vt:lpwstr>58f91e3f-9883-39ff-bd12-cc79c7d7b1a3</vt:lpwstr>
  </property>
  <property fmtid="{D5CDD505-2E9C-101B-9397-08002B2CF9AE}" pid="10" name="Mendeley Citation Style_1">
    <vt:lpwstr>http://www.zotero.org/styles/liver-international</vt:lpwstr>
  </property>
  <property fmtid="{D5CDD505-2E9C-101B-9397-08002B2CF9AE}" pid="11" name="Mendeley Recent Style Id 0_1">
    <vt:lpwstr>http://www.zotero.org/styles/american-sociological-association</vt:lpwstr>
  </property>
  <property fmtid="{D5CDD505-2E9C-101B-9397-08002B2CF9AE}" pid="12" name="Mendeley Recent Style Name 0_1">
    <vt:lpwstr>American Sociological Association 6th edition</vt:lpwstr>
  </property>
  <property fmtid="{D5CDD505-2E9C-101B-9397-08002B2CF9AE}" pid="13" name="Mendeley Recent Style Id 1_1">
    <vt:lpwstr>http://www.zotero.org/styles/chicago-author-date</vt:lpwstr>
  </property>
  <property fmtid="{D5CDD505-2E9C-101B-9397-08002B2CF9AE}" pid="14" name="Mendeley Recent Style Name 1_1">
    <vt:lpwstr>Chicago Manual of Style 17th edition (author-date)</vt:lpwstr>
  </property>
  <property fmtid="{D5CDD505-2E9C-101B-9397-08002B2CF9AE}" pid="15" name="Mendeley Recent Style Id 2_1">
    <vt:lpwstr>http://www.zotero.org/styles/harvard-cite-them-right</vt:lpwstr>
  </property>
  <property fmtid="{D5CDD505-2E9C-101B-9397-08002B2CF9AE}" pid="16" name="Mendeley Recent Style Name 2_1">
    <vt:lpwstr>Cite Them Right 10th edition - Harvard</vt:lpwstr>
  </property>
  <property fmtid="{D5CDD505-2E9C-101B-9397-08002B2CF9AE}" pid="17" name="Mendeley Recent Style Id 3_1">
    <vt:lpwstr>http://www.zotero.org/styles/ieee</vt:lpwstr>
  </property>
  <property fmtid="{D5CDD505-2E9C-101B-9397-08002B2CF9AE}" pid="18" name="Mendeley Recent Style Name 3_1">
    <vt:lpwstr>IEEE</vt:lpwstr>
  </property>
  <property fmtid="{D5CDD505-2E9C-101B-9397-08002B2CF9AE}" pid="19" name="Mendeley Recent Style Id 4_1">
    <vt:lpwstr>http://www.zotero.org/styles/liver-international</vt:lpwstr>
  </property>
  <property fmtid="{D5CDD505-2E9C-101B-9397-08002B2CF9AE}" pid="20" name="Mendeley Recent Style Name 4_1">
    <vt:lpwstr>Liver International</vt:lpwstr>
  </property>
  <property fmtid="{D5CDD505-2E9C-101B-9397-08002B2CF9AE}" pid="21" name="Mendeley Recent Style Id 5_1">
    <vt:lpwstr>http://www.zotero.org/styles/modern-humanities-research-association</vt:lpwstr>
  </property>
  <property fmtid="{D5CDD505-2E9C-101B-9397-08002B2CF9AE}" pid="22" name="Mendeley Recent Style Name 5_1">
    <vt:lpwstr>Modern Humanities Research Association 3rd edition (note with bibliography)</vt:lpwstr>
  </property>
  <property fmtid="{D5CDD505-2E9C-101B-9397-08002B2CF9AE}" pid="23" name="Mendeley Recent Style Id 6_1">
    <vt:lpwstr>http://www.zotero.org/styles/modern-language-association</vt:lpwstr>
  </property>
  <property fmtid="{D5CDD505-2E9C-101B-9397-08002B2CF9AE}" pid="24" name="Mendeley Recent Style Name 6_1">
    <vt:lpwstr>Modern Language Association 8th edition</vt:lpwstr>
  </property>
  <property fmtid="{D5CDD505-2E9C-101B-9397-08002B2CF9AE}" pid="25" name="Mendeley Recent Style Id 7_1">
    <vt:lpwstr>http://www.zotero.org/styles/nutrients</vt:lpwstr>
  </property>
  <property fmtid="{D5CDD505-2E9C-101B-9397-08002B2CF9AE}" pid="26" name="Mendeley Recent Style Name 7_1">
    <vt:lpwstr>Nutrients</vt:lpwstr>
  </property>
  <property fmtid="{D5CDD505-2E9C-101B-9397-08002B2CF9AE}" pid="27" name="Mendeley Recent Style Id 8_1">
    <vt:lpwstr>http://csl.mendeley.com/styles/481340401/NEJM-EHUD</vt:lpwstr>
  </property>
  <property fmtid="{D5CDD505-2E9C-101B-9397-08002B2CF9AE}" pid="28" name="Mendeley Recent Style Name 8_1">
    <vt:lpwstr>The New England Journal of Medicine - Ehud Rinott</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y fmtid="{D5CDD505-2E9C-101B-9397-08002B2CF9AE}" pid="31" name="grammarly_documentId">
    <vt:lpwstr>documentId_7287</vt:lpwstr>
  </property>
  <property fmtid="{D5CDD505-2E9C-101B-9397-08002B2CF9AE}" pid="32" name="grammarly_documentContext">
    <vt:lpwstr>{"goals":[],"domain":"general","emotions":[],"dialect":"american"}</vt:lpwstr>
  </property>
</Properties>
</file>