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cstheme="minorHAnsi"/>
          <w:color w:val="000000" w:themeColor="text1"/>
          <w:shd w:val="clear" w:color="auto" w:fill="FFFFFF"/>
          <w:lang w:val="de-DE"/>
        </w:rPr>
      </w:pPr>
    </w:p>
    <w:p>
      <w:pPr>
        <w:pStyle w:val="berschrift2"/>
        <w:spacing w:before="150" w:beforeAutospacing="0" w:after="225" w:afterAutospacing="0"/>
        <w:rPr>
          <w:rFonts w:asciiTheme="minorHAnsi" w:hAnsiTheme="minorHAnsi" w:cstheme="minorHAnsi"/>
          <w:b w:val="0"/>
          <w:bCs w:val="0"/>
          <w:caps/>
          <w:color w:val="000000" w:themeColor="text1"/>
          <w:sz w:val="22"/>
          <w:szCs w:val="22"/>
          <w:lang w:val="de-DE"/>
        </w:rPr>
      </w:pPr>
      <w:r>
        <w:rPr>
          <w:rFonts w:asciiTheme="minorHAnsi" w:hAnsiTheme="minorHAnsi" w:cstheme="minorHAnsi"/>
          <w:b w:val="0"/>
          <w:bCs w:val="0"/>
          <w:caps/>
          <w:color w:val="000000" w:themeColor="text1"/>
          <w:sz w:val="22"/>
          <w:szCs w:val="22"/>
          <w:lang w:val="de-DE"/>
        </w:rPr>
        <w:t>Schutz und Regeneration der Betazellen</w:t>
      </w:r>
    </w:p>
    <w:p>
      <w:pPr>
        <w:pStyle w:val="StandardWeb"/>
        <w:spacing w:before="0" w:beforeAutospacing="0" w:after="150" w:afterAutospacing="0"/>
        <w:rPr>
          <w:rFonts w:asciiTheme="minorHAnsi" w:hAnsiTheme="minorHAnsi" w:cstheme="minorHAnsi"/>
          <w:color w:val="000000" w:themeColor="text1"/>
          <w:sz w:val="22"/>
          <w:szCs w:val="22"/>
          <w:lang w:val="de-DE"/>
        </w:rPr>
      </w:pPr>
      <w:r>
        <w:rPr>
          <w:rFonts w:asciiTheme="minorHAnsi" w:hAnsiTheme="minorHAnsi" w:cstheme="minorHAnsi"/>
          <w:color w:val="000000" w:themeColor="text1"/>
          <w:sz w:val="22"/>
          <w:szCs w:val="22"/>
          <w:lang w:val="de-DE"/>
        </w:rPr>
        <w:t xml:space="preserve">Michele Solimena </w:t>
      </w:r>
      <w:r>
        <w:rPr>
          <w:rFonts w:asciiTheme="minorHAnsi" w:hAnsiTheme="minorHAnsi" w:cstheme="minorHAnsi"/>
          <w:color w:val="000000" w:themeColor="text1"/>
          <w:sz w:val="22"/>
          <w:szCs w:val="22"/>
          <w:vertAlign w:val="superscript"/>
          <w:lang w:val="de-DE"/>
        </w:rPr>
        <w:t>1,2</w:t>
      </w:r>
      <w:r>
        <w:rPr>
          <w:rFonts w:asciiTheme="minorHAnsi" w:hAnsiTheme="minorHAnsi" w:cstheme="minorHAnsi"/>
          <w:color w:val="000000" w:themeColor="text1"/>
          <w:sz w:val="22"/>
          <w:szCs w:val="22"/>
          <w:lang w:val="de-DE"/>
        </w:rPr>
        <w:t xml:space="preserve">, Heiko Lickert </w:t>
      </w:r>
      <w:r>
        <w:rPr>
          <w:rFonts w:asciiTheme="minorHAnsi" w:hAnsiTheme="minorHAnsi" w:cstheme="minorHAnsi"/>
          <w:color w:val="000000" w:themeColor="text1"/>
          <w:sz w:val="22"/>
          <w:szCs w:val="22"/>
          <w:vertAlign w:val="superscript"/>
          <w:lang w:val="de-DE"/>
        </w:rPr>
        <w:t>1,3</w:t>
      </w:r>
      <w:r>
        <w:rPr>
          <w:rFonts w:asciiTheme="minorHAnsi" w:hAnsiTheme="minorHAnsi" w:cstheme="minorHAnsi"/>
          <w:color w:val="000000" w:themeColor="text1"/>
          <w:sz w:val="22"/>
          <w:szCs w:val="22"/>
          <w:lang w:val="de-DE"/>
        </w:rPr>
        <w:t xml:space="preserve">, Annette Schürmann </w:t>
      </w:r>
      <w:r>
        <w:rPr>
          <w:rFonts w:asciiTheme="minorHAnsi" w:hAnsiTheme="minorHAnsi" w:cstheme="minorHAnsi"/>
          <w:color w:val="000000" w:themeColor="text1"/>
          <w:sz w:val="22"/>
          <w:szCs w:val="22"/>
          <w:vertAlign w:val="superscript"/>
          <w:lang w:val="de-DE"/>
        </w:rPr>
        <w:t>1,4</w:t>
      </w:r>
    </w:p>
    <w:p>
      <w:pPr>
        <w:rPr>
          <w:rFonts w:cstheme="minorHAnsi"/>
          <w:color w:val="000000" w:themeColor="text1"/>
        </w:rPr>
      </w:pPr>
      <w:r>
        <w:rPr>
          <w:rFonts w:cstheme="minorHAnsi"/>
          <w:noProof/>
          <w:color w:val="000000" w:themeColor="text1"/>
        </w:rPr>
        <w:drawing>
          <wp:inline distT="0" distB="0" distL="0" distR="0">
            <wp:extent cx="647323" cy="647323"/>
            <wp:effectExtent l="0" t="0" r="635" b="635"/>
            <wp:docPr id="1" name="Grafik 1" descr="https://www.dzd-ev.de/fileadmin/_processed_/6/f/csm_Icons_Academies_betacell_65ac54e0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zd-ev.de/fileadmin/_processed_/6/f/csm_Icons_Academies_betacell_65ac54e0d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943" cy="655943"/>
                    </a:xfrm>
                    <a:prstGeom prst="rect">
                      <a:avLst/>
                    </a:prstGeom>
                    <a:noFill/>
                    <a:ln>
                      <a:noFill/>
                    </a:ln>
                  </pic:spPr>
                </pic:pic>
              </a:graphicData>
            </a:graphic>
          </wp:inline>
        </w:drawing>
      </w:r>
    </w:p>
    <w:p>
      <w:pPr>
        <w:rPr>
          <w:rFonts w:cstheme="minorHAnsi"/>
          <w:color w:val="000000" w:themeColor="text1"/>
        </w:rPr>
      </w:pPr>
    </w:p>
    <w:p>
      <w:pPr>
        <w:rPr>
          <w:rFonts w:cstheme="minorHAnsi"/>
          <w:lang w:val="de-DE"/>
        </w:rPr>
      </w:pPr>
      <w:r>
        <w:rPr>
          <w:rFonts w:cstheme="minorHAnsi"/>
          <w:lang w:val="de-DE"/>
        </w:rPr>
        <w:t>1 DZD- Deutsches Zentrum für Diabetesforschung</w:t>
      </w:r>
    </w:p>
    <w:p>
      <w:pPr>
        <w:rPr>
          <w:rFonts w:cstheme="minorHAnsi"/>
          <w:lang w:val="de-DE"/>
        </w:rPr>
      </w:pPr>
      <w:r>
        <w:rPr>
          <w:rFonts w:cstheme="minorHAnsi"/>
          <w:lang w:val="de-DE"/>
        </w:rPr>
        <w:t xml:space="preserve">2 </w:t>
      </w:r>
      <w:proofErr w:type="gramStart"/>
      <w:r>
        <w:rPr>
          <w:rFonts w:cstheme="minorHAnsi"/>
          <w:lang w:val="de-DE"/>
        </w:rPr>
        <w:t>Paul Langerhans Institut</w:t>
      </w:r>
      <w:proofErr w:type="gramEnd"/>
      <w:r>
        <w:rPr>
          <w:rFonts w:cstheme="minorHAnsi"/>
          <w:lang w:val="de-DE"/>
        </w:rPr>
        <w:t xml:space="preserve"> Dresden des Helmholtz Zentrum München am Universitätsklinikum Carl Gustav Carus der Technischen Universität Dresden, Medizinische Fakultät</w:t>
      </w:r>
    </w:p>
    <w:p>
      <w:pPr>
        <w:rPr>
          <w:rFonts w:cstheme="minorHAnsi"/>
          <w:lang w:val="de-DE"/>
        </w:rPr>
      </w:pPr>
      <w:r>
        <w:rPr>
          <w:rFonts w:cstheme="minorHAnsi"/>
          <w:lang w:val="de-DE"/>
        </w:rPr>
        <w:t>3 Helmholtz Zentrum München, Deutsches Forschungszentrum für Gesundheit und Umwelt (GmbH)</w:t>
      </w:r>
    </w:p>
    <w:p>
      <w:pPr>
        <w:rPr>
          <w:rFonts w:cstheme="minorHAnsi"/>
          <w:lang w:val="de-DE"/>
        </w:rPr>
      </w:pPr>
      <w:r>
        <w:rPr>
          <w:rFonts w:cstheme="minorHAnsi"/>
          <w:lang w:val="de-DE"/>
        </w:rPr>
        <w:t>4 Deutsches Institut für Ernährungsforschung Potsdam-Rehbrücke</w:t>
      </w:r>
    </w:p>
    <w:p>
      <w:pPr>
        <w:spacing w:after="0" w:line="240" w:lineRule="auto"/>
        <w:outlineLvl w:val="0"/>
        <w:rPr>
          <w:rFonts w:cstheme="minorHAnsi"/>
          <w:color w:val="000000" w:themeColor="text1"/>
          <w:shd w:val="clear" w:color="auto" w:fill="FFFFFF"/>
          <w:lang w:val="de-DE"/>
        </w:rPr>
      </w:pPr>
    </w:p>
    <w:p>
      <w:pPr>
        <w:spacing w:after="0" w:line="240" w:lineRule="auto"/>
        <w:outlineLvl w:val="0"/>
        <w:rPr>
          <w:rFonts w:eastAsia="Times New Roman" w:cstheme="minorHAnsi"/>
          <w:b/>
          <w:bCs/>
          <w:color w:val="000000" w:themeColor="text1"/>
          <w:kern w:val="36"/>
          <w:lang w:val="de-DE"/>
        </w:rPr>
      </w:pPr>
      <w:r>
        <w:rPr>
          <w:rFonts w:cstheme="minorHAnsi"/>
          <w:b/>
          <w:color w:val="000000" w:themeColor="text1"/>
          <w:shd w:val="clear" w:color="auto" w:fill="FFFFFF"/>
          <w:lang w:val="de-DE"/>
        </w:rPr>
        <w:t>Der Typ-1-Diabetes sowie das fortgeschrittene Stadium des Typ-2-Diabetes sind</w:t>
      </w:r>
      <w:r>
        <w:rPr>
          <w:rFonts w:eastAsia="Times New Roman" w:cstheme="minorHAnsi"/>
          <w:b/>
          <w:color w:val="000000" w:themeColor="text1"/>
          <w:lang w:val="de-DE"/>
        </w:rPr>
        <w:t xml:space="preserve"> durch den Verlust oder die Fehlfunktion der Insulin-produzierenden Betazellen in der Bauchspeicheldrüse gekennzeichnet. Bislang gibt es keine Möglichkeit, das Fortschreiten des Betazellverlusts durch eine medikamentöse Behandlung aufzuhalten oder umzukehren</w:t>
      </w:r>
      <w:r>
        <w:rPr>
          <w:rFonts w:eastAsia="Times New Roman" w:cstheme="minorHAnsi"/>
          <w:color w:val="000000" w:themeColor="text1"/>
          <w:lang w:val="de-DE"/>
        </w:rPr>
        <w:t xml:space="preserve">. </w:t>
      </w:r>
      <w:r>
        <w:rPr>
          <w:rFonts w:cstheme="minorHAnsi"/>
          <w:b/>
          <w:color w:val="000000" w:themeColor="text1"/>
          <w:shd w:val="clear" w:color="auto" w:fill="FFFFFF"/>
          <w:lang w:val="de-DE"/>
        </w:rPr>
        <w:t>In dem Forschungsschwerpunkt Schutz und Regeneration der Betazellen arbeitet das DZD u.a. an Verfahren, um die Insulin-produzierenden Betazellen besser zu schützen bzw. sie wiederherzustellen oder zu ersetzen.</w:t>
      </w:r>
    </w:p>
    <w:p>
      <w:pPr>
        <w:spacing w:after="150" w:line="240" w:lineRule="auto"/>
        <w:rPr>
          <w:rFonts w:eastAsia="Times New Roman" w:cstheme="minorHAnsi"/>
          <w:color w:val="000000" w:themeColor="text1"/>
          <w:lang w:val="de-DE"/>
        </w:rPr>
      </w:pPr>
    </w:p>
    <w:p>
      <w:pPr>
        <w:spacing w:after="150" w:line="240" w:lineRule="auto"/>
        <w:rPr>
          <w:rFonts w:eastAsia="Times New Roman" w:cstheme="minorHAnsi"/>
          <w:color w:val="000000" w:themeColor="text1"/>
          <w:lang w:val="de-DE"/>
        </w:rPr>
      </w:pPr>
      <w:r>
        <w:rPr>
          <w:rFonts w:eastAsia="Times New Roman" w:cstheme="minorHAnsi"/>
          <w:color w:val="000000" w:themeColor="text1"/>
          <w:lang w:val="de-DE"/>
        </w:rPr>
        <w:t xml:space="preserve">Die DZD-Forschenden konzentrieren sich auf translationale und multizentrische Studien, die die Stärken der DZD-Partner in der Inselzellbiologie kombinieren. Sie untersuchen molekulare Mediatoren, die zum Versagen der Betazellen führen, arbeiten an Wegen und molekularen Ansatzpunkten für neue Diabetestherapien, der Umsetzung der Zellersatztherapie bei Typ-1-Diabetes-Patienten sowie an der Regeneration der funktionellen Betazellmasse. (Abbildung 1) </w:t>
      </w:r>
    </w:p>
    <w:p>
      <w:pPr>
        <w:spacing w:after="150" w:line="240" w:lineRule="auto"/>
        <w:rPr>
          <w:rFonts w:eastAsia="Times New Roman" w:cstheme="minorHAnsi"/>
          <w:color w:val="000000" w:themeColor="text1"/>
          <w:lang w:val="de-DE"/>
        </w:rPr>
      </w:pPr>
      <w:r>
        <w:rPr>
          <w:rFonts w:eastAsia="Times New Roman" w:cstheme="minorHAnsi"/>
          <w:color w:val="000000" w:themeColor="text1"/>
          <w:lang w:val="de-DE"/>
        </w:rPr>
        <w:t xml:space="preserve">Abbildung 1 </w:t>
      </w:r>
    </w:p>
    <w:p>
      <w:pPr>
        <w:spacing w:before="120" w:line="240" w:lineRule="auto"/>
        <w:rPr>
          <w:rFonts w:eastAsia="Times New Roman" w:cstheme="minorHAnsi"/>
          <w:color w:val="000000" w:themeColor="text1"/>
          <w:lang w:val="de-DE"/>
        </w:rPr>
      </w:pPr>
      <w:r>
        <w:rPr>
          <w:rFonts w:eastAsia="Times New Roman" w:cstheme="minorHAnsi"/>
          <w:noProof/>
          <w:color w:val="000000" w:themeColor="text1"/>
        </w:rPr>
        <w:drawing>
          <wp:inline distT="0" distB="0" distL="0" distR="0">
            <wp:extent cx="3867150" cy="1858810"/>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demie_Betazelle.jpg"/>
                    <pic:cNvPicPr/>
                  </pic:nvPicPr>
                  <pic:blipFill>
                    <a:blip r:embed="rId6">
                      <a:extLst>
                        <a:ext uri="{28A0092B-C50C-407E-A947-70E740481C1C}">
                          <a14:useLocalDpi xmlns:a14="http://schemas.microsoft.com/office/drawing/2010/main" val="0"/>
                        </a:ext>
                      </a:extLst>
                    </a:blip>
                    <a:stretch>
                      <a:fillRect/>
                    </a:stretch>
                  </pic:blipFill>
                  <pic:spPr>
                    <a:xfrm>
                      <a:off x="0" y="0"/>
                      <a:ext cx="3870903" cy="1860614"/>
                    </a:xfrm>
                    <a:prstGeom prst="rect">
                      <a:avLst/>
                    </a:prstGeom>
                  </pic:spPr>
                </pic:pic>
              </a:graphicData>
            </a:graphic>
          </wp:inline>
        </w:drawing>
      </w:r>
      <w:r>
        <w:rPr>
          <w:rFonts w:eastAsia="Times New Roman" w:cstheme="minorHAnsi"/>
          <w:color w:val="000000" w:themeColor="text1"/>
          <w:lang w:val="de-DE"/>
        </w:rPr>
        <w:t xml:space="preserve"> </w:t>
      </w:r>
    </w:p>
    <w:p>
      <w:pPr>
        <w:spacing w:before="120" w:line="240" w:lineRule="auto"/>
        <w:rPr>
          <w:rFonts w:eastAsia="Times New Roman" w:cstheme="minorHAnsi"/>
          <w:color w:val="000000" w:themeColor="text1"/>
          <w:lang w:val="de-DE"/>
        </w:rPr>
      </w:pPr>
      <w:r>
        <w:rPr>
          <w:rFonts w:eastAsia="Times New Roman" w:cstheme="minorHAnsi"/>
          <w:color w:val="000000" w:themeColor="text1"/>
          <w:lang w:val="de-DE"/>
        </w:rPr>
        <w:t xml:space="preserve">Forschungsschwerpunkte des DZD in der Academy Schutz und Regeneration der Betazellen. </w:t>
      </w:r>
    </w:p>
    <w:p>
      <w:pPr>
        <w:spacing w:before="120" w:line="240" w:lineRule="auto"/>
        <w:rPr>
          <w:rFonts w:eastAsia="Times New Roman" w:cstheme="minorHAnsi"/>
          <w:color w:val="000000" w:themeColor="text1"/>
          <w:lang w:val="de-DE"/>
        </w:rPr>
      </w:pPr>
    </w:p>
    <w:tbl>
      <w:tblPr>
        <w:tblW w:w="0" w:type="auto"/>
        <w:tblCellMar>
          <w:top w:w="15" w:type="dxa"/>
          <w:left w:w="15" w:type="dxa"/>
          <w:bottom w:w="15" w:type="dxa"/>
          <w:right w:w="15" w:type="dxa"/>
        </w:tblCellMar>
        <w:tblLook w:val="04A0" w:firstRow="1" w:lastRow="0" w:firstColumn="1" w:lastColumn="0" w:noHBand="0" w:noVBand="1"/>
      </w:tblPr>
      <w:tblGrid>
        <w:gridCol w:w="6"/>
      </w:tblGrid>
      <w:tr>
        <w:tc>
          <w:tcPr>
            <w:tcW w:w="0" w:type="auto"/>
            <w:tcBorders>
              <w:top w:val="nil"/>
              <w:left w:val="nil"/>
              <w:bottom w:val="nil"/>
              <w:right w:val="nil"/>
            </w:tcBorders>
            <w:shd w:val="clear" w:color="auto" w:fill="auto"/>
            <w:tcMar>
              <w:top w:w="0" w:type="dxa"/>
              <w:left w:w="0" w:type="dxa"/>
              <w:bottom w:w="0" w:type="dxa"/>
              <w:right w:w="0" w:type="dxa"/>
            </w:tcMar>
            <w:vAlign w:val="center"/>
            <w:hideMark/>
          </w:tcPr>
          <w:p>
            <w:pPr>
              <w:spacing w:after="0" w:line="240" w:lineRule="auto"/>
              <w:rPr>
                <w:rFonts w:eastAsia="Times New Roman" w:cstheme="minorHAnsi"/>
                <w:color w:val="000000" w:themeColor="text1"/>
                <w:lang w:val="de-DE"/>
              </w:rPr>
            </w:pPr>
          </w:p>
        </w:tc>
      </w:tr>
      <w:tr>
        <w:tc>
          <w:tcPr>
            <w:tcW w:w="0" w:type="auto"/>
            <w:shd w:val="clear" w:color="auto" w:fill="auto"/>
            <w:tcMar>
              <w:top w:w="0" w:type="dxa"/>
              <w:left w:w="0" w:type="dxa"/>
              <w:bottom w:w="0" w:type="dxa"/>
              <w:right w:w="0" w:type="dxa"/>
            </w:tcMar>
            <w:hideMark/>
          </w:tcPr>
          <w:p>
            <w:pPr>
              <w:spacing w:after="0" w:line="240" w:lineRule="auto"/>
              <w:rPr>
                <w:rFonts w:eastAsia="Times New Roman" w:cstheme="minorHAnsi"/>
                <w:color w:val="000000" w:themeColor="text1"/>
                <w:lang w:val="de-DE"/>
              </w:rPr>
            </w:pPr>
          </w:p>
        </w:tc>
      </w:tr>
    </w:tbl>
    <w:p>
      <w:pPr>
        <w:spacing w:line="240" w:lineRule="auto"/>
        <w:rPr>
          <w:rFonts w:eastAsia="Times New Roman" w:cstheme="minorHAnsi"/>
          <w:color w:val="000000" w:themeColor="text1"/>
          <w:lang w:val="de-DE"/>
        </w:rPr>
      </w:pPr>
      <w:proofErr w:type="spellStart"/>
      <w:r>
        <w:rPr>
          <w:rFonts w:eastAsia="Times New Roman" w:cstheme="minorHAnsi"/>
          <w:b/>
          <w:bCs/>
          <w:color w:val="000000" w:themeColor="text1"/>
          <w:lang w:val="de-DE"/>
        </w:rPr>
        <w:t>Biobank</w:t>
      </w:r>
      <w:proofErr w:type="spellEnd"/>
      <w:r>
        <w:rPr>
          <w:rFonts w:eastAsia="Times New Roman" w:cstheme="minorHAnsi"/>
          <w:b/>
          <w:bCs/>
          <w:color w:val="000000" w:themeColor="text1"/>
          <w:lang w:val="de-DE"/>
        </w:rPr>
        <w:t xml:space="preserve"> für </w:t>
      </w:r>
      <w:proofErr w:type="spellStart"/>
      <w:r>
        <w:rPr>
          <w:rFonts w:eastAsia="Times New Roman" w:cstheme="minorHAnsi"/>
          <w:b/>
          <w:bCs/>
          <w:color w:val="000000" w:themeColor="text1"/>
          <w:lang w:val="de-DE"/>
        </w:rPr>
        <w:t>pankreatisches</w:t>
      </w:r>
      <w:proofErr w:type="spellEnd"/>
      <w:r>
        <w:rPr>
          <w:rFonts w:eastAsia="Times New Roman" w:cstheme="minorHAnsi"/>
          <w:b/>
          <w:bCs/>
          <w:color w:val="000000" w:themeColor="text1"/>
          <w:lang w:val="de-DE"/>
        </w:rPr>
        <w:t xml:space="preserve"> Gewebe</w:t>
      </w:r>
      <w:r>
        <w:rPr>
          <w:rFonts w:eastAsia="Times New Roman" w:cstheme="minorHAnsi"/>
          <w:color w:val="000000" w:themeColor="text1"/>
          <w:lang w:val="de-DE"/>
        </w:rPr>
        <w:br/>
      </w:r>
    </w:p>
    <w:p>
      <w:pPr>
        <w:spacing w:line="240" w:lineRule="auto"/>
        <w:rPr>
          <w:rFonts w:eastAsia="Times New Roman" w:cstheme="minorHAnsi"/>
          <w:color w:val="000000" w:themeColor="text1"/>
          <w:lang w:val="de-DE"/>
        </w:rPr>
      </w:pPr>
      <w:r>
        <w:rPr>
          <w:rFonts w:eastAsia="Times New Roman" w:cstheme="minorHAnsi"/>
          <w:color w:val="000000" w:themeColor="text1"/>
          <w:lang w:val="de-DE"/>
        </w:rPr>
        <w:t xml:space="preserve">Um Einblicke in die Mechanismen zu gewinnen, die für das Fortschreiten der Betazelldysfunktion bei Typ-2-Diabetes (T2D) verantwortlich sind, baut das DZD die „Human </w:t>
      </w:r>
      <w:proofErr w:type="spellStart"/>
      <w:r>
        <w:rPr>
          <w:rFonts w:eastAsia="Times New Roman" w:cstheme="minorHAnsi"/>
          <w:color w:val="000000" w:themeColor="text1"/>
          <w:lang w:val="de-DE"/>
        </w:rPr>
        <w:t>Islet</w:t>
      </w:r>
      <w:proofErr w:type="spellEnd"/>
      <w:r>
        <w:rPr>
          <w:rFonts w:eastAsia="Times New Roman" w:cstheme="minorHAnsi"/>
          <w:color w:val="000000" w:themeColor="text1"/>
          <w:lang w:val="de-DE"/>
        </w:rPr>
        <w:t xml:space="preserve"> </w:t>
      </w:r>
      <w:proofErr w:type="spellStart"/>
      <w:r>
        <w:rPr>
          <w:rFonts w:eastAsia="Times New Roman" w:cstheme="minorHAnsi"/>
          <w:color w:val="000000" w:themeColor="text1"/>
          <w:lang w:val="de-DE"/>
        </w:rPr>
        <w:t>Biobank</w:t>
      </w:r>
      <w:proofErr w:type="spellEnd"/>
      <w:r>
        <w:rPr>
          <w:rFonts w:eastAsia="Times New Roman" w:cstheme="minorHAnsi"/>
          <w:color w:val="000000" w:themeColor="text1"/>
          <w:lang w:val="de-DE"/>
        </w:rPr>
        <w:t xml:space="preserve">“ auf. Darin werden </w:t>
      </w:r>
      <w:proofErr w:type="spellStart"/>
      <w:r>
        <w:rPr>
          <w:rFonts w:eastAsia="Times New Roman" w:cstheme="minorHAnsi"/>
          <w:color w:val="000000" w:themeColor="text1"/>
          <w:lang w:val="de-DE"/>
        </w:rPr>
        <w:t>pankreatisches</w:t>
      </w:r>
      <w:proofErr w:type="spellEnd"/>
      <w:r>
        <w:rPr>
          <w:rFonts w:eastAsia="Times New Roman" w:cstheme="minorHAnsi"/>
          <w:color w:val="000000" w:themeColor="text1"/>
          <w:lang w:val="de-DE"/>
        </w:rPr>
        <w:t xml:space="preserve"> Gewebe und Blutproben von metabolisch charakterisierten Patienten gesammelt, die einer kompletten oder teilweisen </w:t>
      </w:r>
      <w:proofErr w:type="spellStart"/>
      <w:r>
        <w:rPr>
          <w:rFonts w:eastAsia="Times New Roman" w:cstheme="minorHAnsi"/>
          <w:color w:val="000000" w:themeColor="text1"/>
          <w:lang w:val="de-DE"/>
        </w:rPr>
        <w:t>Pankreatektomie</w:t>
      </w:r>
      <w:proofErr w:type="spellEnd"/>
      <w:r>
        <w:rPr>
          <w:rFonts w:eastAsia="Times New Roman" w:cstheme="minorHAnsi"/>
          <w:color w:val="000000" w:themeColor="text1"/>
          <w:lang w:val="de-DE"/>
        </w:rPr>
        <w:t xml:space="preserve"> unterzogen wurden [1]. Die in der </w:t>
      </w:r>
      <w:proofErr w:type="spellStart"/>
      <w:r>
        <w:rPr>
          <w:rFonts w:eastAsia="Times New Roman" w:cstheme="minorHAnsi"/>
          <w:color w:val="000000" w:themeColor="text1"/>
          <w:lang w:val="de-DE"/>
        </w:rPr>
        <w:t>Biobank</w:t>
      </w:r>
      <w:proofErr w:type="spellEnd"/>
      <w:r>
        <w:rPr>
          <w:rFonts w:eastAsia="Times New Roman" w:cstheme="minorHAnsi"/>
          <w:color w:val="000000" w:themeColor="text1"/>
          <w:lang w:val="de-DE"/>
        </w:rPr>
        <w:t xml:space="preserve"> gesammelten Proben werden in verschiedenen Forschungsprojekten verwendet um neue Erkenntnisse insbesondere der </w:t>
      </w:r>
      <w:r>
        <w:rPr>
          <w:rFonts w:eastAsia="Times New Roman" w:cstheme="minorHAnsi"/>
          <w:color w:val="000000" w:themeColor="text1"/>
          <w:lang w:val="de-DE"/>
        </w:rPr>
        <w:t>Pathogenese</w:t>
      </w:r>
      <w:r>
        <w:rPr>
          <w:rFonts w:eastAsia="Times New Roman" w:cstheme="minorHAnsi"/>
          <w:color w:val="000000" w:themeColor="text1"/>
          <w:lang w:val="de-DE"/>
        </w:rPr>
        <w:t xml:space="preserve"> von Typ-2-Diabetes (T2D) zu gewinnen. Beispielsweise konnten initiale Untersuchungen zeigen, dass sich die </w:t>
      </w:r>
      <w:proofErr w:type="spellStart"/>
      <w:r>
        <w:rPr>
          <w:rFonts w:eastAsia="Times New Roman" w:cstheme="minorHAnsi"/>
          <w:color w:val="000000" w:themeColor="text1"/>
          <w:lang w:val="de-DE"/>
        </w:rPr>
        <w:t>transkriptomischen</w:t>
      </w:r>
      <w:proofErr w:type="spellEnd"/>
      <w:r>
        <w:rPr>
          <w:rFonts w:eastAsia="Times New Roman" w:cstheme="minorHAnsi"/>
          <w:color w:val="000000" w:themeColor="text1"/>
          <w:lang w:val="de-DE"/>
        </w:rPr>
        <w:t xml:space="preserve"> und </w:t>
      </w:r>
      <w:proofErr w:type="spellStart"/>
      <w:r>
        <w:rPr>
          <w:rFonts w:eastAsia="Times New Roman" w:cstheme="minorHAnsi"/>
          <w:color w:val="000000" w:themeColor="text1"/>
          <w:lang w:val="de-DE"/>
        </w:rPr>
        <w:t>proteomischen</w:t>
      </w:r>
      <w:proofErr w:type="spellEnd"/>
      <w:r>
        <w:rPr>
          <w:rFonts w:eastAsia="Times New Roman" w:cstheme="minorHAnsi"/>
          <w:color w:val="000000" w:themeColor="text1"/>
          <w:lang w:val="de-DE"/>
        </w:rPr>
        <w:t xml:space="preserve"> Daten von Inseln lebender Spender grundlegend von denen unterscheiden, die zuvor von enzymatisch isolierten Inseln von hirntoten Organspendern generiert wurden. So konnten auf diesem Weg neuartige Veränderungen im </w:t>
      </w:r>
      <w:proofErr w:type="spellStart"/>
      <w:r>
        <w:rPr>
          <w:rFonts w:eastAsia="Times New Roman" w:cstheme="minorHAnsi"/>
          <w:color w:val="000000" w:themeColor="text1"/>
          <w:lang w:val="de-DE"/>
        </w:rPr>
        <w:t>Transkriptom</w:t>
      </w:r>
      <w:proofErr w:type="spellEnd"/>
      <w:r>
        <w:rPr>
          <w:rFonts w:eastAsia="Times New Roman" w:cstheme="minorHAnsi"/>
          <w:color w:val="000000" w:themeColor="text1"/>
          <w:lang w:val="de-DE"/>
        </w:rPr>
        <w:t xml:space="preserve"> und </w:t>
      </w:r>
      <w:proofErr w:type="spellStart"/>
      <w:r>
        <w:rPr>
          <w:rFonts w:eastAsia="Times New Roman" w:cstheme="minorHAnsi"/>
          <w:color w:val="000000" w:themeColor="text1"/>
          <w:lang w:val="de-DE"/>
        </w:rPr>
        <w:t>Proteom</w:t>
      </w:r>
      <w:proofErr w:type="spellEnd"/>
      <w:r>
        <w:rPr>
          <w:rFonts w:eastAsia="Times New Roman" w:cstheme="minorHAnsi"/>
          <w:color w:val="000000" w:themeColor="text1"/>
          <w:lang w:val="de-DE"/>
        </w:rPr>
        <w:t xml:space="preserve"> der Betazellen enthüllt werden, die mit T2D in Verbindung stehen.</w:t>
      </w:r>
    </w:p>
    <w:p>
      <w:pPr>
        <w:spacing w:after="0" w:line="240" w:lineRule="auto"/>
        <w:outlineLvl w:val="0"/>
        <w:rPr>
          <w:rFonts w:eastAsia="Times New Roman" w:cstheme="minorHAnsi"/>
          <w:bCs/>
          <w:color w:val="000000" w:themeColor="text1"/>
          <w:kern w:val="36"/>
          <w:lang w:val="de-DE"/>
        </w:rPr>
      </w:pPr>
    </w:p>
    <w:p>
      <w:pPr>
        <w:rPr>
          <w:rFonts w:cstheme="minorHAnsi"/>
          <w:b/>
          <w:color w:val="000000" w:themeColor="text1"/>
          <w:lang w:val="de-DE"/>
        </w:rPr>
      </w:pPr>
      <w:r>
        <w:rPr>
          <w:rFonts w:cstheme="minorHAnsi"/>
          <w:b/>
          <w:color w:val="000000" w:themeColor="text1"/>
          <w:lang w:val="de-DE"/>
        </w:rPr>
        <w:t>Betazell-Dysfunktion ist ein frühes Kennzeichen der Pathogenese von Typ-2-Diabetes</w:t>
      </w:r>
    </w:p>
    <w:p>
      <w:pPr>
        <w:pStyle w:val="StandardWeb"/>
        <w:spacing w:before="0" w:beforeAutospacing="0" w:after="150" w:afterAutospacing="0"/>
        <w:rPr>
          <w:rFonts w:asciiTheme="minorHAnsi" w:hAnsiTheme="minorHAnsi" w:cstheme="minorHAnsi"/>
          <w:color w:val="000000" w:themeColor="text1"/>
          <w:sz w:val="22"/>
          <w:szCs w:val="22"/>
          <w:lang w:val="de-DE"/>
        </w:rPr>
      </w:pPr>
      <w:r>
        <w:rPr>
          <w:rFonts w:asciiTheme="minorHAnsi" w:hAnsiTheme="minorHAnsi" w:cstheme="minorHAnsi"/>
          <w:color w:val="000000" w:themeColor="text1"/>
          <w:sz w:val="22"/>
          <w:szCs w:val="22"/>
          <w:lang w:val="de-DE"/>
        </w:rPr>
        <w:t xml:space="preserve">DZD-Forschende nutzten Proben aus der </w:t>
      </w:r>
      <w:proofErr w:type="spellStart"/>
      <w:r>
        <w:rPr>
          <w:rFonts w:asciiTheme="minorHAnsi" w:hAnsiTheme="minorHAnsi" w:cstheme="minorHAnsi"/>
          <w:color w:val="000000" w:themeColor="text1"/>
          <w:sz w:val="22"/>
          <w:szCs w:val="22"/>
          <w:lang w:val="de-DE"/>
        </w:rPr>
        <w:t>Biobank</w:t>
      </w:r>
      <w:proofErr w:type="spellEnd"/>
      <w:r>
        <w:rPr>
          <w:rFonts w:asciiTheme="minorHAnsi" w:hAnsiTheme="minorHAnsi" w:cstheme="minorHAnsi"/>
          <w:color w:val="000000" w:themeColor="text1"/>
          <w:sz w:val="22"/>
          <w:szCs w:val="22"/>
          <w:lang w:val="de-DE"/>
        </w:rPr>
        <w:t xml:space="preserve"> beispielweise auch, um die Beziehung zwischen Dysfunktion und Masse der Betazellen </w:t>
      </w:r>
      <w:r>
        <w:rPr>
          <w:rFonts w:asciiTheme="minorHAnsi" w:hAnsiTheme="minorHAnsi" w:cstheme="minorHAnsi"/>
          <w:i/>
          <w:color w:val="000000" w:themeColor="text1"/>
          <w:sz w:val="22"/>
          <w:szCs w:val="22"/>
          <w:lang w:val="de-DE"/>
        </w:rPr>
        <w:t>in situ</w:t>
      </w:r>
      <w:r>
        <w:rPr>
          <w:rFonts w:asciiTheme="minorHAnsi" w:hAnsiTheme="minorHAnsi" w:cstheme="minorHAnsi"/>
          <w:color w:val="000000" w:themeColor="text1"/>
          <w:sz w:val="22"/>
          <w:szCs w:val="22"/>
          <w:lang w:val="de-DE"/>
        </w:rPr>
        <w:t xml:space="preserve"> zu untersuchen. Typ-2-Diabetes ist nicht nur durch Insulinresistenz gekennzeichnet, sondern auch dadurch, dass die Bauchspeicheldrüse weniger Insulin bildet. Bislang war jedoch unklar, ob der unzureichende Insulinspiegel während der Entwicklung der Erkrankung auf eine Fehlfunktion der Betazellen oder auf den Verlust der Betazellmasse zurückzuführen ist. Die Untersuchungen zeigten nun erstmalig, dass sich bereits in einer frühen Phase der Typ-2-Diabetes-Pathogenese die Funktion der Insulin-produzierenden Betazellen verschlechtert wohingegen die Anzahl der Betazellen in diesem Stadium unverändert ist [2]. </w:t>
      </w:r>
    </w:p>
    <w:p>
      <w:pPr>
        <w:spacing w:after="0" w:line="240" w:lineRule="auto"/>
        <w:outlineLvl w:val="0"/>
        <w:rPr>
          <w:rFonts w:eastAsia="Times New Roman" w:cstheme="minorHAnsi"/>
          <w:b/>
          <w:bCs/>
          <w:color w:val="000000" w:themeColor="text1"/>
          <w:kern w:val="36"/>
          <w:lang w:val="de-DE"/>
        </w:rPr>
      </w:pPr>
      <w:r>
        <w:rPr>
          <w:rFonts w:eastAsia="Times New Roman" w:cstheme="minorHAnsi"/>
          <w:b/>
          <w:bCs/>
          <w:color w:val="000000" w:themeColor="text1"/>
          <w:kern w:val="36"/>
          <w:lang w:val="de-DE"/>
        </w:rPr>
        <w:t>Welchen Einfluss hat der Organ-Cross-Talk auf die Betazellfunktion?</w:t>
      </w:r>
    </w:p>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eastAsia="Times New Roman" w:cstheme="minorHAnsi"/>
          <w:bCs/>
          <w:color w:val="000000" w:themeColor="text1"/>
          <w:kern w:val="36"/>
          <w:lang w:val="de-DE"/>
        </w:rPr>
      </w:pPr>
      <w:r>
        <w:rPr>
          <w:rFonts w:eastAsia="Times New Roman" w:cstheme="minorHAnsi"/>
          <w:bCs/>
          <w:color w:val="000000" w:themeColor="text1"/>
          <w:kern w:val="36"/>
          <w:lang w:val="de-DE"/>
        </w:rPr>
        <w:t xml:space="preserve">An der Entstehung von Typ-2-Diabetes sind auch ektopische Fettansammlungen in Leber, Muskel und Pankreas beteiligt. Ein Ziel des DZD ist es, die molekularen Mechanismen hierfür zu identifizieren. In einer Studie am Tiermodell wiesen DZD-Froschende deutliche Unterschiede in der Menge der Fettzellen innerhalb der Bauchspeicheldrüse zwischen adipösen Diabetes-anfälligen NZO- und Diabetes-resistenten B6-ob/ob-Mäusen nach. NZO-Mäuse hatten deutlich mehr Fettzellen und höhere </w:t>
      </w:r>
      <w:proofErr w:type="spellStart"/>
      <w:r>
        <w:rPr>
          <w:rFonts w:eastAsia="Times New Roman" w:cstheme="minorHAnsi"/>
          <w:bCs/>
          <w:color w:val="000000" w:themeColor="text1"/>
          <w:kern w:val="36"/>
          <w:lang w:val="de-DE"/>
        </w:rPr>
        <w:t>Triglyceridwerte</w:t>
      </w:r>
      <w:proofErr w:type="spellEnd"/>
      <w:r>
        <w:rPr>
          <w:rFonts w:eastAsia="Times New Roman" w:cstheme="minorHAnsi"/>
          <w:bCs/>
          <w:color w:val="000000" w:themeColor="text1"/>
          <w:kern w:val="36"/>
          <w:lang w:val="de-DE"/>
        </w:rPr>
        <w:t xml:space="preserve"> in der Bauchspeicheldrüse als Diabetes-resistente Mäuse, die keine verfettete Bauchspeicheldrüse entwickelten und das ektopische Fett überwiegend in der Leber speicherten. Die Untersuchungen zeigten auch, dass durch intermittierendes Fasten der </w:t>
      </w:r>
      <w:proofErr w:type="spellStart"/>
      <w:r>
        <w:rPr>
          <w:rFonts w:eastAsia="Times New Roman" w:cstheme="minorHAnsi"/>
          <w:bCs/>
          <w:color w:val="000000" w:themeColor="text1"/>
          <w:kern w:val="36"/>
          <w:lang w:val="de-DE"/>
        </w:rPr>
        <w:t>Triglyzeridgehalt</w:t>
      </w:r>
      <w:proofErr w:type="spellEnd"/>
      <w:r>
        <w:rPr>
          <w:rFonts w:eastAsia="Times New Roman" w:cstheme="minorHAnsi"/>
          <w:bCs/>
          <w:color w:val="000000" w:themeColor="text1"/>
          <w:kern w:val="36"/>
          <w:lang w:val="de-DE"/>
        </w:rPr>
        <w:t xml:space="preserve"> in Leber und Pankreas der NZO-Mäusen gesenkt und die Glukosetoleranz verbessert werden kann.</w:t>
      </w:r>
    </w:p>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eastAsia="Times New Roman" w:cstheme="minorHAnsi"/>
          <w:b/>
          <w:bCs/>
          <w:color w:val="000000" w:themeColor="text1"/>
          <w:kern w:val="36"/>
          <w:lang w:val="de-DE"/>
        </w:rPr>
      </w:pPr>
      <w:r>
        <w:rPr>
          <w:rFonts w:eastAsia="Times New Roman" w:cstheme="minorHAnsi"/>
          <w:b/>
          <w:bCs/>
          <w:color w:val="000000" w:themeColor="text1"/>
          <w:kern w:val="36"/>
          <w:lang w:val="de-DE"/>
        </w:rPr>
        <w:t>Adipozyten der Bauchspeicheldrüse vermitteln die Hypersekretion von Insulin in diabetesanfälligen Mäusen</w:t>
      </w:r>
    </w:p>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eastAsia="Times New Roman" w:cstheme="minorHAnsi"/>
          <w:bCs/>
          <w:color w:val="000000" w:themeColor="text1"/>
          <w:kern w:val="36"/>
          <w:lang w:val="de-DE"/>
        </w:rPr>
      </w:pPr>
      <w:r>
        <w:rPr>
          <w:rFonts w:eastAsia="Times New Roman" w:cstheme="minorHAnsi"/>
          <w:bCs/>
          <w:color w:val="000000" w:themeColor="text1"/>
          <w:kern w:val="36"/>
          <w:lang w:val="de-DE"/>
        </w:rPr>
        <w:t xml:space="preserve">Um den </w:t>
      </w:r>
      <w:proofErr w:type="spellStart"/>
      <w:r>
        <w:rPr>
          <w:rFonts w:eastAsia="Times New Roman" w:cstheme="minorHAnsi"/>
          <w:bCs/>
          <w:color w:val="000000" w:themeColor="text1"/>
          <w:kern w:val="36"/>
          <w:lang w:val="de-DE"/>
        </w:rPr>
        <w:t>Crosstalk</w:t>
      </w:r>
      <w:proofErr w:type="spellEnd"/>
      <w:r>
        <w:rPr>
          <w:rFonts w:eastAsia="Times New Roman" w:cstheme="minorHAnsi"/>
          <w:bCs/>
          <w:color w:val="000000" w:themeColor="text1"/>
          <w:kern w:val="36"/>
          <w:lang w:val="de-DE"/>
        </w:rPr>
        <w:t xml:space="preserve"> von </w:t>
      </w:r>
      <w:proofErr w:type="spellStart"/>
      <w:r>
        <w:rPr>
          <w:rFonts w:eastAsia="Times New Roman" w:cstheme="minorHAnsi"/>
          <w:bCs/>
          <w:color w:val="000000" w:themeColor="text1"/>
          <w:kern w:val="36"/>
          <w:lang w:val="de-DE"/>
        </w:rPr>
        <w:t>pankreatischen</w:t>
      </w:r>
      <w:proofErr w:type="spellEnd"/>
      <w:r>
        <w:rPr>
          <w:rFonts w:eastAsia="Times New Roman" w:cstheme="minorHAnsi"/>
          <w:bCs/>
          <w:color w:val="000000" w:themeColor="text1"/>
          <w:kern w:val="36"/>
          <w:lang w:val="de-DE"/>
        </w:rPr>
        <w:t xml:space="preserve"> Adipozyten und Langerhans-Inseln zu untersuchen, führten die Forschenden zudem Co-Kultur-Experimente durch. Dafür wurden </w:t>
      </w:r>
      <w:proofErr w:type="spellStart"/>
      <w:r>
        <w:rPr>
          <w:rFonts w:eastAsia="Times New Roman" w:cstheme="minorHAnsi"/>
          <w:bCs/>
          <w:color w:val="000000" w:themeColor="text1"/>
          <w:kern w:val="36"/>
          <w:lang w:val="de-DE"/>
        </w:rPr>
        <w:t>adipogene</w:t>
      </w:r>
      <w:proofErr w:type="spellEnd"/>
      <w:r>
        <w:rPr>
          <w:rFonts w:eastAsia="Times New Roman" w:cstheme="minorHAnsi"/>
          <w:bCs/>
          <w:color w:val="000000" w:themeColor="text1"/>
          <w:kern w:val="36"/>
          <w:lang w:val="de-DE"/>
        </w:rPr>
        <w:t xml:space="preserve"> Vorläuferzellen (APCs) aus dem Pankreas oder dem subkutanen Fett zu reifen Adipozyten differenziert und mit isolierten Pankreasinseln kultiviert. Es zeigte sich, dass Adipozyten der Bauchspeicheldrüse eine Hypersekretion von Insulin induzierten und höhere Mengen an freien Fettsäuren freisetzten als Adipozyten des weißen Fettgewebes. Diese Ergebnisse legen nahe, dass Pankreasfett an der Diabetesentwicklung beteiligt zu sein scheint [3].</w:t>
      </w:r>
    </w:p>
    <w:p>
      <w:pPr>
        <w:spacing w:after="0" w:line="240" w:lineRule="auto"/>
        <w:outlineLvl w:val="0"/>
        <w:rPr>
          <w:rFonts w:eastAsia="Times New Roman" w:cstheme="minorHAnsi"/>
          <w:b/>
          <w:bCs/>
          <w:color w:val="000000" w:themeColor="text1"/>
          <w:kern w:val="36"/>
          <w:lang w:val="de-DE"/>
        </w:rPr>
      </w:pPr>
      <w:r>
        <w:rPr>
          <w:rFonts w:eastAsia="Times New Roman" w:cstheme="minorHAnsi"/>
          <w:b/>
          <w:bCs/>
          <w:color w:val="000000" w:themeColor="text1"/>
          <w:kern w:val="36"/>
          <w:lang w:val="de-DE"/>
        </w:rPr>
        <w:lastRenderedPageBreak/>
        <w:t>Regeneration von Betazellen</w:t>
      </w:r>
    </w:p>
    <w:p>
      <w:pPr>
        <w:spacing w:after="0" w:line="240" w:lineRule="auto"/>
        <w:outlineLvl w:val="0"/>
        <w:rPr>
          <w:rFonts w:eastAsia="Times New Roman" w:cstheme="minorHAnsi"/>
          <w:b/>
          <w:bCs/>
          <w:color w:val="000000" w:themeColor="text1"/>
          <w:kern w:val="36"/>
          <w:lang w:val="de-DE"/>
        </w:rPr>
      </w:pPr>
    </w:p>
    <w:p>
      <w:pPr>
        <w:spacing w:after="0" w:line="240" w:lineRule="auto"/>
        <w:outlineLvl w:val="0"/>
        <w:rPr>
          <w:rFonts w:eastAsia="Times New Roman" w:cstheme="minorHAnsi"/>
          <w:bCs/>
          <w:color w:val="000000" w:themeColor="text1"/>
          <w:kern w:val="36"/>
          <w:lang w:val="de-DE"/>
        </w:rPr>
      </w:pPr>
      <w:r>
        <w:rPr>
          <w:rFonts w:eastAsia="Times New Roman" w:cstheme="minorHAnsi"/>
          <w:bCs/>
          <w:color w:val="000000" w:themeColor="text1"/>
          <w:kern w:val="36"/>
          <w:lang w:val="de-DE"/>
        </w:rPr>
        <w:t xml:space="preserve">Das DZD hat verschiedene Marker, Signalwege und niedermolekulare Inhibitoren identifiziert, die die Expansion, Reifung und Regeneration von Betazellen im Zebrafisch und in Mausmodellen fördern. Studien zeigen, dass das Enzym </w:t>
      </w:r>
      <w:r>
        <w:rPr>
          <w:rFonts w:eastAsia="Times New Roman" w:cstheme="minorHAnsi"/>
          <w:bCs/>
          <w:i/>
          <w:color w:val="000000" w:themeColor="text1"/>
          <w:kern w:val="36"/>
          <w:lang w:val="de-DE"/>
        </w:rPr>
        <w:t>Aldh1b1</w:t>
      </w:r>
      <w:r>
        <w:rPr>
          <w:rFonts w:eastAsia="Times New Roman" w:cstheme="minorHAnsi"/>
          <w:bCs/>
          <w:color w:val="000000" w:themeColor="text1"/>
          <w:kern w:val="36"/>
          <w:lang w:val="de-DE"/>
        </w:rPr>
        <w:t xml:space="preserve"> das Timing der Differenzierung von Pankreasvorläufern reguliert und für die Bildung voll funktionsfähiger Betazellen notwendig ist [4]. Es wird durch Proteinmethyltransferasen negativ reguliert [5]. Untersuchungen des DZD weisen zudem daraufhin, dass eine kritische Subpopulation von Leader-Betazellen, die Inselantwort auf Glukose speziesübergreifend initiieren [6]. Diese Entdeckung stellt eine wesentliche Erkenntnis für das Verständnis des Verlaufs von Diabetes dar, da sie nahelegt, dass der Verlust von Leader-Zellen zu einer Inseldysfunktion führen kann, selbst wenn der Rest der Zellen intakt ist.</w:t>
      </w:r>
    </w:p>
    <w:p>
      <w:pPr>
        <w:spacing w:after="0" w:line="240" w:lineRule="auto"/>
        <w:outlineLvl w:val="0"/>
        <w:rPr>
          <w:rFonts w:eastAsia="Times New Roman" w:cstheme="minorHAnsi"/>
          <w:b/>
          <w:bCs/>
          <w:color w:val="000000" w:themeColor="text1"/>
          <w:kern w:val="36"/>
          <w:lang w:val="de-DE"/>
        </w:rPr>
      </w:pPr>
    </w:p>
    <w:p>
      <w:pPr>
        <w:spacing w:after="0" w:line="240" w:lineRule="auto"/>
        <w:outlineLvl w:val="0"/>
        <w:rPr>
          <w:rFonts w:eastAsia="Times New Roman" w:cstheme="minorHAnsi"/>
          <w:bCs/>
          <w:color w:val="000000" w:themeColor="text1"/>
          <w:kern w:val="36"/>
          <w:lang w:val="de-DE"/>
        </w:rPr>
      </w:pPr>
      <w:r>
        <w:rPr>
          <w:rFonts w:eastAsia="Times New Roman" w:cstheme="minorHAnsi"/>
          <w:bCs/>
          <w:color w:val="000000" w:themeColor="text1"/>
          <w:kern w:val="36"/>
          <w:lang w:val="de-DE"/>
        </w:rPr>
        <w:t xml:space="preserve">Das DZD arbeitet an verschiedenen Ansätzen, Betazellen besser zu schützen bzw. sie wiederherzustellen oder zu ersetzen. Ein Ansatz sind regenerative Verfahren, bei denen aus Stammzellen Insulin-produzierende Betazellen generiert werden.  So entwickelten DZD-Wissenschaftlerinnen und -Wissenschaftler u.a. ein verbessertes </w:t>
      </w:r>
      <w:r>
        <w:rPr>
          <w:rFonts w:eastAsia="Times New Roman" w:cstheme="minorHAnsi"/>
          <w:bCs/>
          <w:i/>
          <w:color w:val="000000" w:themeColor="text1"/>
          <w:kern w:val="36"/>
          <w:lang w:val="de-DE"/>
        </w:rPr>
        <w:t>in-vitro</w:t>
      </w:r>
      <w:r>
        <w:rPr>
          <w:rFonts w:eastAsia="Times New Roman" w:cstheme="minorHAnsi"/>
          <w:bCs/>
          <w:color w:val="000000" w:themeColor="text1"/>
          <w:kern w:val="36"/>
          <w:lang w:val="de-DE"/>
        </w:rPr>
        <w:t xml:space="preserve">-Protokoll zur Differenzierung pluripotenter Stammzellen in Betazellen mit besserer Glukoseregulation und Insulinproduktion. Dies ist ein wichtiger Schritt in Richtung Betazellersatztherapie [7]. </w:t>
      </w:r>
    </w:p>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eastAsia="Times New Roman" w:cstheme="minorHAnsi"/>
          <w:b/>
          <w:bCs/>
          <w:color w:val="000000" w:themeColor="text1"/>
          <w:kern w:val="36"/>
          <w:lang w:val="de-DE"/>
        </w:rPr>
      </w:pPr>
      <w:r>
        <w:rPr>
          <w:rFonts w:eastAsia="Times New Roman" w:cstheme="minorHAnsi"/>
          <w:b/>
          <w:bCs/>
          <w:color w:val="000000" w:themeColor="text1"/>
          <w:kern w:val="36"/>
          <w:lang w:val="de-DE"/>
        </w:rPr>
        <w:t xml:space="preserve">Kombinierte Wirkstoffe </w:t>
      </w:r>
    </w:p>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eastAsia="Times New Roman" w:cstheme="minorHAnsi"/>
          <w:bCs/>
          <w:color w:val="000000" w:themeColor="text1"/>
          <w:kern w:val="36"/>
          <w:lang w:val="de-DE"/>
        </w:rPr>
      </w:pPr>
      <w:r>
        <w:rPr>
          <w:rFonts w:eastAsia="Times New Roman" w:cstheme="minorHAnsi"/>
          <w:bCs/>
          <w:color w:val="000000" w:themeColor="text1"/>
          <w:kern w:val="36"/>
          <w:lang w:val="de-DE"/>
        </w:rPr>
        <w:t xml:space="preserve">Parallel zur Forschung an Stammzellen arbeiten Forschenden des DZD auch daran, die Regenerationsfähigkeit der Bauchspeicheldrüse von Menschen mit Diabetes zu mobilisieren und sie zur Neubildung leistungsfähiger Betazellen anzuregen. Bei vielen Diabetes-Patienten sind noch nicht sämtliche Zellen zugrunde gegangen, sie haben jedoch ihre Fähigkeit zur Insulinproduktion eingebüßt. Mit einer neuen Wirkstoffkombination ist es nun im Tiermodell gelungen, dass ein Teil der geschädigten Betazellen ihre Insulinproduktion wiederaufnahm und sich der gestörte Glukosestoffwechsel der behandelten Tiere wieder normalisierte. Ähnliche Wirkungen zeigten sich auch in kultivierten menschlichen Inselzellen. Die Wirkstoffkombination bestand aus dem Hormon Östrogen, das einen stressmindernden Einfluss auf die Betazellen ausübt. Damit das Östrogen ausschließlich in </w:t>
      </w:r>
      <w:proofErr w:type="gramStart"/>
      <w:r>
        <w:rPr>
          <w:rFonts w:eastAsia="Times New Roman" w:cstheme="minorHAnsi"/>
          <w:bCs/>
          <w:color w:val="000000" w:themeColor="text1"/>
          <w:kern w:val="36"/>
          <w:lang w:val="de-DE"/>
        </w:rPr>
        <w:t>den Pankreas</w:t>
      </w:r>
      <w:proofErr w:type="gramEnd"/>
      <w:r>
        <w:rPr>
          <w:rFonts w:eastAsia="Times New Roman" w:cstheme="minorHAnsi"/>
          <w:bCs/>
          <w:color w:val="000000" w:themeColor="text1"/>
          <w:kern w:val="36"/>
          <w:lang w:val="de-DE"/>
        </w:rPr>
        <w:t xml:space="preserve"> gelangt, wird es an das </w:t>
      </w:r>
      <w:proofErr w:type="spellStart"/>
      <w:r>
        <w:rPr>
          <w:rFonts w:eastAsia="Times New Roman" w:cstheme="minorHAnsi"/>
          <w:bCs/>
          <w:color w:val="000000" w:themeColor="text1"/>
          <w:kern w:val="36"/>
          <w:lang w:val="de-DE"/>
        </w:rPr>
        <w:t>Glucagon</w:t>
      </w:r>
      <w:proofErr w:type="spellEnd"/>
      <w:r>
        <w:rPr>
          <w:rFonts w:eastAsia="Times New Roman" w:cstheme="minorHAnsi"/>
          <w:bCs/>
          <w:color w:val="000000" w:themeColor="text1"/>
          <w:kern w:val="36"/>
          <w:lang w:val="de-DE"/>
        </w:rPr>
        <w:t>-ähnliche Peptid-1 (GLP-1) gekoppelt, welches gezielt von Betazellen erkannt und gebunden wird. In der Studie konnte erstmals eine Regeneration von Betazellen durch Pharmazeutika gezeigt werden. Dies eröffnet neue Wege für eine mögliche Diabetes-Remission [8].</w:t>
      </w:r>
    </w:p>
    <w:p>
      <w:pPr>
        <w:spacing w:after="0" w:line="240" w:lineRule="auto"/>
        <w:outlineLvl w:val="0"/>
        <w:rPr>
          <w:rFonts w:eastAsia="Times New Roman" w:cstheme="minorHAnsi"/>
          <w:bCs/>
          <w:color w:val="000000" w:themeColor="text1"/>
          <w:kern w:val="36"/>
          <w:lang w:val="de-DE"/>
        </w:rPr>
      </w:pPr>
    </w:p>
    <w:p>
      <w:pPr>
        <w:spacing w:after="0" w:line="240" w:lineRule="auto"/>
        <w:outlineLvl w:val="0"/>
        <w:rPr>
          <w:rFonts w:cstheme="minorHAnsi"/>
          <w:b/>
          <w:bCs/>
          <w:color w:val="000000" w:themeColor="text1"/>
          <w:shd w:val="clear" w:color="auto" w:fill="FFFFFF"/>
          <w:lang w:val="de-DE"/>
        </w:rPr>
      </w:pPr>
      <w:r>
        <w:rPr>
          <w:rFonts w:cstheme="minorHAnsi"/>
          <w:b/>
          <w:bCs/>
          <w:color w:val="000000" w:themeColor="text1"/>
          <w:shd w:val="clear" w:color="auto" w:fill="FFFFFF"/>
          <w:lang w:val="de-DE"/>
        </w:rPr>
        <w:t>Neu entdeckter Rezeptor hemmt Signalübertragung von Insulin</w:t>
      </w:r>
    </w:p>
    <w:p>
      <w:pPr>
        <w:spacing w:after="0" w:line="240" w:lineRule="auto"/>
        <w:outlineLvl w:val="0"/>
        <w:rPr>
          <w:rFonts w:cstheme="minorHAnsi"/>
          <w:b/>
          <w:bCs/>
          <w:color w:val="000000" w:themeColor="text1"/>
          <w:shd w:val="clear" w:color="auto" w:fill="FFFFFF"/>
          <w:lang w:val="de-DE"/>
        </w:rPr>
      </w:pPr>
    </w:p>
    <w:p>
      <w:pPr>
        <w:spacing w:after="0" w:line="240" w:lineRule="auto"/>
        <w:outlineLvl w:val="0"/>
        <w:rPr>
          <w:rFonts w:eastAsia="Times New Roman" w:cstheme="minorHAnsi"/>
          <w:color w:val="000000" w:themeColor="text1"/>
          <w:lang w:val="de-DE"/>
        </w:rPr>
      </w:pPr>
      <w:r>
        <w:rPr>
          <w:rFonts w:eastAsia="Times New Roman" w:cstheme="minorHAnsi"/>
          <w:color w:val="000000" w:themeColor="text1"/>
          <w:lang w:val="de-DE"/>
        </w:rPr>
        <w:t>Neue Möglichkeiten für die Diabetes-Behandlung könnte auch der von DZD-Forschenden entdeckte Insulin-</w:t>
      </w:r>
      <w:proofErr w:type="spellStart"/>
      <w:r>
        <w:rPr>
          <w:rFonts w:eastAsia="Times New Roman" w:cstheme="minorHAnsi"/>
          <w:color w:val="000000" w:themeColor="text1"/>
          <w:lang w:val="de-DE"/>
        </w:rPr>
        <w:t>inhibitorische</w:t>
      </w:r>
      <w:proofErr w:type="spellEnd"/>
      <w:r>
        <w:rPr>
          <w:rFonts w:eastAsia="Times New Roman" w:cstheme="minorHAnsi"/>
          <w:color w:val="000000" w:themeColor="text1"/>
          <w:lang w:val="de-DE"/>
        </w:rPr>
        <w:t xml:space="preserve"> Rezeptor ‚</w:t>
      </w:r>
      <w:proofErr w:type="spellStart"/>
      <w:r>
        <w:rPr>
          <w:rFonts w:eastAsia="Times New Roman" w:cstheme="minorHAnsi"/>
          <w:color w:val="000000" w:themeColor="text1"/>
          <w:lang w:val="de-DE"/>
        </w:rPr>
        <w:t>Inceptor</w:t>
      </w:r>
      <w:proofErr w:type="spellEnd"/>
      <w:r>
        <w:rPr>
          <w:rFonts w:eastAsia="Times New Roman" w:cstheme="minorHAnsi"/>
          <w:color w:val="000000" w:themeColor="text1"/>
          <w:lang w:val="de-DE"/>
        </w:rPr>
        <w:t>‘ eröffnen (Abbildung 2). Experimente im Tiermodell zeigten, dass der Rezeptor die Insulin-produzierenden Betazellen vor der Aktivierung des Insulinsignalweges abschirmt. Eine Blockade von ‚</w:t>
      </w:r>
      <w:proofErr w:type="spellStart"/>
      <w:r>
        <w:rPr>
          <w:rFonts w:eastAsia="Times New Roman" w:cstheme="minorHAnsi"/>
          <w:color w:val="000000" w:themeColor="text1"/>
          <w:lang w:val="de-DE"/>
        </w:rPr>
        <w:t>Inceptor</w:t>
      </w:r>
      <w:proofErr w:type="spellEnd"/>
      <w:r>
        <w:rPr>
          <w:rFonts w:eastAsia="Times New Roman" w:cstheme="minorHAnsi"/>
          <w:color w:val="000000" w:themeColor="text1"/>
          <w:lang w:val="de-DE"/>
        </w:rPr>
        <w:t>‘ verringert die Insulinresistenz und lässt die Menge an funktionalen Insulin-produzierenden Betazellen ansteigen [9]. Die Entdeckung des ‚</w:t>
      </w:r>
      <w:proofErr w:type="spellStart"/>
      <w:r>
        <w:rPr>
          <w:rFonts w:eastAsia="Times New Roman" w:cstheme="minorHAnsi"/>
          <w:color w:val="000000" w:themeColor="text1"/>
          <w:lang w:val="de-DE"/>
        </w:rPr>
        <w:t>Inceptor</w:t>
      </w:r>
      <w:proofErr w:type="spellEnd"/>
      <w:r>
        <w:rPr>
          <w:rFonts w:eastAsia="Times New Roman" w:cstheme="minorHAnsi"/>
          <w:color w:val="000000" w:themeColor="text1"/>
          <w:lang w:val="de-DE"/>
        </w:rPr>
        <w:t xml:space="preserve">‘ bietet einen vielversprechenden Ansatz für die ursächliche Behandlung von Typ-1- und Typ-2-Diabetes. Die Hemmung des Rezeptors auf molekularer Ebene könnte neue Möglichkeiten zur Entwicklung von Therapien eröffnen, die Betazellen schützen und gegebenenfalls regenerieren lassen. </w:t>
      </w:r>
    </w:p>
    <w:p>
      <w:pPr>
        <w:spacing w:after="0" w:line="240" w:lineRule="auto"/>
        <w:outlineLvl w:val="0"/>
        <w:rPr>
          <w:rFonts w:eastAsia="Times New Roman" w:cstheme="minorHAnsi"/>
          <w:color w:val="000000" w:themeColor="text1"/>
          <w:lang w:val="de-DE"/>
        </w:rPr>
      </w:pPr>
    </w:p>
    <w:p>
      <w:pPr>
        <w:spacing w:after="0" w:line="240" w:lineRule="auto"/>
        <w:outlineLvl w:val="0"/>
        <w:rPr>
          <w:rFonts w:eastAsia="Times New Roman" w:cstheme="minorHAnsi"/>
          <w:color w:val="000000" w:themeColor="text1"/>
          <w:lang w:val="de-DE"/>
        </w:rPr>
      </w:pPr>
      <w:r>
        <w:rPr>
          <w:rFonts w:eastAsia="Times New Roman" w:cstheme="minorHAnsi"/>
          <w:color w:val="000000" w:themeColor="text1"/>
          <w:lang w:val="de-DE"/>
        </w:rPr>
        <w:t xml:space="preserve">Abbildung 2 </w:t>
      </w:r>
    </w:p>
    <w:p>
      <w:pPr>
        <w:spacing w:after="0" w:line="240" w:lineRule="auto"/>
        <w:outlineLvl w:val="0"/>
        <w:rPr>
          <w:rFonts w:eastAsia="Times New Roman" w:cstheme="minorHAnsi"/>
          <w:color w:val="000000" w:themeColor="text1"/>
          <w:lang w:val="de-DE"/>
        </w:rPr>
      </w:pPr>
      <w:r>
        <w:rPr>
          <w:rFonts w:cstheme="minorHAnsi"/>
          <w:noProof/>
        </w:rPr>
        <w:lastRenderedPageBreak/>
        <w:drawing>
          <wp:inline distT="0" distB="0" distL="0" distR="0">
            <wp:extent cx="1282700" cy="1335413"/>
            <wp:effectExtent l="0" t="0" r="0" b="0"/>
            <wp:docPr id="2" name="Grafik 2" descr="https://www.dzd-ev.de/fileadmin/DZD/IMG/Veranstaltungen/News/News2021/210127_PM_Lickert_Inceptor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zd-ev.de/fileadmin/DZD/IMG/Veranstaltungen/News/News2021/210127_PM_Lickert_Inceptor_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0342" cy="1374602"/>
                    </a:xfrm>
                    <a:prstGeom prst="rect">
                      <a:avLst/>
                    </a:prstGeom>
                    <a:noFill/>
                    <a:ln>
                      <a:noFill/>
                    </a:ln>
                  </pic:spPr>
                </pic:pic>
              </a:graphicData>
            </a:graphic>
          </wp:inline>
        </w:drawing>
      </w:r>
    </w:p>
    <w:p>
      <w:pPr>
        <w:spacing w:after="0" w:line="240" w:lineRule="auto"/>
        <w:outlineLvl w:val="0"/>
        <w:rPr>
          <w:rFonts w:eastAsia="Times New Roman" w:cstheme="minorHAnsi"/>
          <w:color w:val="000000" w:themeColor="text1"/>
          <w:lang w:val="de-DE"/>
        </w:rPr>
      </w:pPr>
    </w:p>
    <w:p>
      <w:pPr>
        <w:spacing w:after="0" w:line="240" w:lineRule="auto"/>
        <w:outlineLvl w:val="0"/>
        <w:rPr>
          <w:rFonts w:eastAsia="Times New Roman" w:cstheme="minorHAnsi"/>
          <w:color w:val="000000" w:themeColor="text1"/>
          <w:sz w:val="16"/>
          <w:szCs w:val="16"/>
          <w:lang w:val="de-DE"/>
        </w:rPr>
      </w:pPr>
      <w:r>
        <w:rPr>
          <w:rFonts w:eastAsia="Times New Roman" w:cstheme="minorHAnsi"/>
          <w:color w:val="000000" w:themeColor="text1"/>
          <w:sz w:val="16"/>
          <w:szCs w:val="16"/>
          <w:lang w:val="de-DE"/>
        </w:rPr>
        <w:t>Modell des Insulin-</w:t>
      </w:r>
      <w:proofErr w:type="spellStart"/>
      <w:r>
        <w:rPr>
          <w:rFonts w:eastAsia="Times New Roman" w:cstheme="minorHAnsi"/>
          <w:color w:val="000000" w:themeColor="text1"/>
          <w:sz w:val="16"/>
          <w:szCs w:val="16"/>
          <w:lang w:val="de-DE"/>
        </w:rPr>
        <w:t>inhibitorischen</w:t>
      </w:r>
      <w:proofErr w:type="spellEnd"/>
      <w:r>
        <w:rPr>
          <w:rFonts w:eastAsia="Times New Roman" w:cstheme="minorHAnsi"/>
          <w:color w:val="000000" w:themeColor="text1"/>
          <w:sz w:val="16"/>
          <w:szCs w:val="16"/>
          <w:lang w:val="de-DE"/>
        </w:rPr>
        <w:t xml:space="preserve"> Rezeptors „</w:t>
      </w:r>
      <w:proofErr w:type="spellStart"/>
      <w:r>
        <w:rPr>
          <w:rFonts w:eastAsia="Times New Roman" w:cstheme="minorHAnsi"/>
          <w:color w:val="000000" w:themeColor="text1"/>
          <w:sz w:val="16"/>
          <w:szCs w:val="16"/>
          <w:lang w:val="de-DE"/>
        </w:rPr>
        <w:t>Inceptor</w:t>
      </w:r>
      <w:proofErr w:type="spellEnd"/>
      <w:r>
        <w:rPr>
          <w:rFonts w:eastAsia="Times New Roman" w:cstheme="minorHAnsi"/>
          <w:color w:val="000000" w:themeColor="text1"/>
          <w:sz w:val="16"/>
          <w:szCs w:val="16"/>
          <w:lang w:val="de-DE"/>
        </w:rPr>
        <w:t xml:space="preserve">“ (schwarz). </w:t>
      </w:r>
      <w:proofErr w:type="spellStart"/>
      <w:r>
        <w:rPr>
          <w:rFonts w:eastAsia="Times New Roman" w:cstheme="minorHAnsi"/>
          <w:color w:val="000000" w:themeColor="text1"/>
          <w:sz w:val="16"/>
          <w:szCs w:val="16"/>
          <w:lang w:val="de-DE"/>
        </w:rPr>
        <w:t>Inceptor</w:t>
      </w:r>
      <w:proofErr w:type="spellEnd"/>
      <w:r>
        <w:rPr>
          <w:rFonts w:eastAsia="Times New Roman" w:cstheme="minorHAnsi"/>
          <w:color w:val="000000" w:themeColor="text1"/>
          <w:sz w:val="16"/>
          <w:szCs w:val="16"/>
          <w:lang w:val="de-DE"/>
        </w:rPr>
        <w:t xml:space="preserve"> desensibilisiert den Insulinrezeptor (farbig) auf der Oberfläche einer Betazelle in der Bauchspeicheldrüse. Insulin ist blau dargestellt. © Helmholtz Zentrum München</w:t>
      </w:r>
    </w:p>
    <w:p>
      <w:pPr>
        <w:spacing w:after="0" w:line="240" w:lineRule="auto"/>
        <w:outlineLvl w:val="0"/>
        <w:rPr>
          <w:rFonts w:eastAsia="Times New Roman" w:cstheme="minorHAnsi"/>
          <w:color w:val="000000" w:themeColor="text1"/>
          <w:lang w:val="de-DE"/>
        </w:rPr>
      </w:pPr>
    </w:p>
    <w:p>
      <w:pPr>
        <w:spacing w:after="0" w:line="240" w:lineRule="auto"/>
        <w:outlineLvl w:val="0"/>
        <w:rPr>
          <w:rFonts w:eastAsia="Times New Roman" w:cstheme="minorHAnsi"/>
          <w:bCs/>
          <w:color w:val="000000" w:themeColor="text1"/>
          <w:kern w:val="36"/>
          <w:lang w:val="de-DE"/>
        </w:rPr>
      </w:pPr>
    </w:p>
    <w:p>
      <w:pPr>
        <w:spacing w:after="100" w:afterAutospacing="1" w:line="240" w:lineRule="auto"/>
        <w:rPr>
          <w:rFonts w:cstheme="minorHAnsi"/>
          <w:color w:val="000000" w:themeColor="text1"/>
          <w:spacing w:val="8"/>
          <w:lang w:val="de-DE"/>
        </w:rPr>
      </w:pPr>
      <w:r>
        <w:rPr>
          <w:rFonts w:eastAsia="Times New Roman" w:cstheme="minorHAnsi"/>
          <w:b/>
          <w:color w:val="000000" w:themeColor="text1"/>
          <w:lang w:val="de-DE"/>
        </w:rPr>
        <w:t>Künstliche Bauchspeicheldrüse</w:t>
      </w:r>
      <w:r>
        <w:rPr>
          <w:rFonts w:eastAsia="Times New Roman" w:cstheme="minorHAnsi"/>
          <w:color w:val="000000" w:themeColor="text1"/>
          <w:lang w:val="de-DE"/>
        </w:rPr>
        <w:t xml:space="preserve"> </w:t>
      </w:r>
      <w:r>
        <w:rPr>
          <w:rFonts w:eastAsia="Times New Roman" w:cstheme="minorHAnsi"/>
          <w:color w:val="000000" w:themeColor="text1"/>
          <w:lang w:val="de-DE"/>
        </w:rPr>
        <w:br/>
      </w:r>
      <w:r>
        <w:rPr>
          <w:rFonts w:eastAsia="Times New Roman" w:cstheme="minorHAnsi"/>
          <w:bCs/>
          <w:color w:val="000000" w:themeColor="text1"/>
          <w:kern w:val="36"/>
          <w:lang w:val="de-DE"/>
        </w:rPr>
        <w:br/>
        <w:t xml:space="preserve">Eine andere Möglichkeit, </w:t>
      </w:r>
      <w:r>
        <w:rPr>
          <w:rFonts w:cstheme="minorHAnsi"/>
          <w:color w:val="191919"/>
          <w:spacing w:val="8"/>
          <w:lang w:val="de-DE"/>
        </w:rPr>
        <w:t>die körpereigene Insulinproduktion wiederherzustellen, sind</w:t>
      </w:r>
      <w:r>
        <w:rPr>
          <w:rFonts w:eastAsia="Times New Roman" w:cstheme="minorHAnsi"/>
          <w:bCs/>
          <w:color w:val="000000" w:themeColor="text1"/>
          <w:kern w:val="36"/>
          <w:lang w:val="de-DE"/>
        </w:rPr>
        <w:t xml:space="preserve"> Transplantationen </w:t>
      </w:r>
      <w:r>
        <w:rPr>
          <w:rFonts w:cstheme="minorHAnsi"/>
          <w:color w:val="191919"/>
          <w:spacing w:val="8"/>
          <w:lang w:val="de-DE"/>
        </w:rPr>
        <w:t xml:space="preserve">einer funktionsfähigen Bauchspeicheldrüse. </w:t>
      </w:r>
      <w:r>
        <w:rPr>
          <w:rFonts w:cstheme="minorHAnsi"/>
          <w:color w:val="222222"/>
          <w:lang w:val="de-DE"/>
        </w:rPr>
        <w:t xml:space="preserve">Trotz erheblicher Fortschritte begrenzen jedoch der </w:t>
      </w:r>
      <w:r>
        <w:rPr>
          <w:rFonts w:cstheme="minorHAnsi"/>
          <w:color w:val="222222"/>
          <w:lang w:val="de-DE"/>
        </w:rPr>
        <w:t xml:space="preserve">Mangel an Spenderorganen und </w:t>
      </w:r>
      <w:r>
        <w:rPr>
          <w:rFonts w:cstheme="minorHAnsi"/>
          <w:color w:val="222222"/>
          <w:lang w:val="de-DE"/>
        </w:rPr>
        <w:t>die</w:t>
      </w:r>
      <w:r>
        <w:rPr>
          <w:rFonts w:cstheme="minorHAnsi"/>
          <w:color w:val="222222"/>
          <w:lang w:val="de-DE"/>
        </w:rPr>
        <w:t xml:space="preserve"> Notwendigkeit einer dauerhaften Immunsuppression</w:t>
      </w:r>
      <w:r>
        <w:rPr>
          <w:rFonts w:cstheme="minorHAnsi"/>
          <w:color w:val="222222"/>
          <w:lang w:val="de-DE"/>
        </w:rPr>
        <w:t xml:space="preserve"> </w:t>
      </w:r>
      <w:r>
        <w:rPr>
          <w:rFonts w:cstheme="minorHAnsi"/>
          <w:color w:val="222222"/>
          <w:lang w:val="de-DE"/>
        </w:rPr>
        <w:t>die Mögl</w:t>
      </w:r>
      <w:r>
        <w:rPr>
          <w:rFonts w:cstheme="minorHAnsi"/>
          <w:color w:val="222222"/>
          <w:lang w:val="de-DE"/>
        </w:rPr>
        <w:t xml:space="preserve">ichkeiten einer Transplantation. Forschende des DZD arbeiten deswegen an der Entwicklung einer künstlichen Bauchspeicheldrüse.  Gemeinsam mit Biotech-Unternehmen haben sie einen Bioreaktor </w:t>
      </w:r>
      <w:r>
        <w:rPr>
          <w:rFonts w:cstheme="minorHAnsi"/>
          <w:color w:val="000000" w:themeColor="text1"/>
          <w:spacing w:val="8"/>
          <w:lang w:val="de-DE"/>
        </w:rPr>
        <w:t>entwickelt. Der Bioreaktor enthält gesunde Inselzellen, die selbstständig den Blutzuckerspiegel messen und passgenau Insulin produzieren. Die Zellen sind von einer speziellen Teflon-Membran umgeben, die zwar Hormone, Nährstoffe und Sauerstoff ungehindert passieren lässt, nicht aber die körpereigenen Immunzellen.</w:t>
      </w:r>
    </w:p>
    <w:p>
      <w:pPr>
        <w:pStyle w:val="StandardWeb"/>
        <w:shd w:val="clear" w:color="auto" w:fill="FFFFFF"/>
        <w:spacing w:before="0" w:beforeAutospacing="0"/>
        <w:rPr>
          <w:rFonts w:asciiTheme="minorHAnsi" w:hAnsiTheme="minorHAnsi" w:cstheme="minorHAnsi"/>
          <w:color w:val="000000" w:themeColor="text1"/>
          <w:spacing w:val="8"/>
          <w:sz w:val="22"/>
          <w:szCs w:val="22"/>
          <w:lang w:val="de-DE"/>
        </w:rPr>
      </w:pPr>
      <w:r>
        <w:rPr>
          <w:rFonts w:asciiTheme="minorHAnsi" w:hAnsiTheme="minorHAnsi" w:cstheme="minorHAnsi"/>
          <w:color w:val="000000" w:themeColor="text1"/>
          <w:spacing w:val="8"/>
          <w:sz w:val="22"/>
          <w:szCs w:val="22"/>
          <w:lang w:val="de-DE"/>
        </w:rPr>
        <w:t>Das künstliche Mini-Organ hat sich bereits bewährt: Nach jahrelangen Vorversuchen an Mäusen, Ratten und Schweinen wurde es einem 63-jährigen Mann transplantiert, der seit seinem neunten Lebensjahr unter Typ-1-Diabetes leidet. Zehn Monate lang arbeiteten die Spenderzellen wie gewünscht: Der Mann musste weniger Insulin spritzen, sein Blutzuckerspiegel war stabil und sein Immunsystem rebellierte nicht [10]. Derzeit wird der Bioreaktor im Rahmen einer klinischen Studie an weiteren Patientinnen und Patienten getestet.</w:t>
      </w:r>
    </w:p>
    <w:p>
      <w:pPr>
        <w:pStyle w:val="StandardWeb"/>
        <w:shd w:val="clear" w:color="auto" w:fill="FFFFFF"/>
        <w:rPr>
          <w:rFonts w:asciiTheme="minorHAnsi" w:hAnsiTheme="minorHAnsi" w:cstheme="minorHAnsi"/>
          <w:color w:val="000000" w:themeColor="text1"/>
          <w:spacing w:val="8"/>
          <w:sz w:val="22"/>
          <w:szCs w:val="22"/>
          <w:lang w:val="de-DE"/>
        </w:rPr>
      </w:pPr>
      <w:r>
        <w:rPr>
          <w:rFonts w:asciiTheme="minorHAnsi" w:hAnsiTheme="minorHAnsi" w:cstheme="minorHAnsi"/>
          <w:color w:val="000000" w:themeColor="text1"/>
          <w:spacing w:val="8"/>
          <w:sz w:val="22"/>
          <w:szCs w:val="22"/>
          <w:lang w:val="de-DE"/>
        </w:rPr>
        <w:t>Die neue Technologie ermöglicht sogar Transplantation von Inselzellen einer anderen Spezies (</w:t>
      </w:r>
      <w:proofErr w:type="spellStart"/>
      <w:r>
        <w:rPr>
          <w:rFonts w:asciiTheme="minorHAnsi" w:hAnsiTheme="minorHAnsi" w:cstheme="minorHAnsi"/>
          <w:color w:val="000000" w:themeColor="text1"/>
          <w:spacing w:val="8"/>
          <w:sz w:val="22"/>
          <w:szCs w:val="22"/>
          <w:lang w:val="de-DE"/>
        </w:rPr>
        <w:t>Xenotransplantationen</w:t>
      </w:r>
      <w:proofErr w:type="spellEnd"/>
      <w:r>
        <w:rPr>
          <w:rFonts w:asciiTheme="minorHAnsi" w:hAnsiTheme="minorHAnsi" w:cstheme="minorHAnsi"/>
          <w:color w:val="000000" w:themeColor="text1"/>
          <w:spacing w:val="8"/>
          <w:sz w:val="22"/>
          <w:szCs w:val="22"/>
          <w:lang w:val="de-DE"/>
        </w:rPr>
        <w:t>). Im Tiermodell konnten so bereits Inselzellen von Schweinen in den Körper diabetischer Rhesus-Makaken transplantiert werden, ohne dass es zu einer Abstoßungsreaktion kam [11]. Das DZD arbeitet noch an einem weiteren Ansatz für Xenotransplantationen. Dafür werden Schweine genetisch so verändert, dass die Inselzellen das Immunsystem lokal hemmen [12</w:t>
      </w:r>
      <w:bookmarkStart w:id="0" w:name="_GoBack"/>
      <w:bookmarkEnd w:id="0"/>
      <w:r>
        <w:rPr>
          <w:rFonts w:asciiTheme="minorHAnsi" w:hAnsiTheme="minorHAnsi" w:cstheme="minorHAnsi"/>
          <w:color w:val="000000" w:themeColor="text1"/>
          <w:spacing w:val="8"/>
          <w:sz w:val="22"/>
          <w:szCs w:val="22"/>
          <w:lang w:val="de-DE"/>
        </w:rPr>
        <w:t>].</w:t>
      </w:r>
    </w:p>
    <w:p>
      <w:pPr>
        <w:pStyle w:val="StandardWeb"/>
        <w:shd w:val="clear" w:color="auto" w:fill="FFFFFF"/>
        <w:rPr>
          <w:rFonts w:asciiTheme="minorHAnsi" w:hAnsiTheme="minorHAnsi" w:cstheme="minorHAnsi"/>
          <w:color w:val="000000" w:themeColor="text1"/>
          <w:spacing w:val="8"/>
          <w:sz w:val="22"/>
          <w:szCs w:val="22"/>
          <w:lang w:val="de-DE"/>
        </w:rPr>
      </w:pPr>
    </w:p>
    <w:p>
      <w:pPr>
        <w:pStyle w:val="StandardWeb"/>
        <w:shd w:val="clear" w:color="auto" w:fill="FFFFFF"/>
        <w:rPr>
          <w:rFonts w:asciiTheme="minorHAnsi" w:hAnsiTheme="minorHAnsi" w:cstheme="minorHAnsi"/>
          <w:color w:val="000000" w:themeColor="text1"/>
          <w:spacing w:val="8"/>
          <w:sz w:val="22"/>
          <w:szCs w:val="22"/>
          <w:lang w:val="de-DE"/>
        </w:rPr>
      </w:pPr>
    </w:p>
    <w:p>
      <w:pPr>
        <w:pStyle w:val="StandardWeb"/>
        <w:shd w:val="clear" w:color="auto" w:fill="FFFFFF"/>
        <w:rPr>
          <w:rFonts w:asciiTheme="minorHAnsi" w:hAnsiTheme="minorHAnsi" w:cstheme="minorHAnsi"/>
          <w:color w:val="000000" w:themeColor="text1"/>
          <w:spacing w:val="8"/>
          <w:sz w:val="22"/>
          <w:szCs w:val="22"/>
          <w:lang w:val="de-DE"/>
        </w:rPr>
      </w:pPr>
    </w:p>
    <w:p>
      <w:pPr>
        <w:pStyle w:val="StandardWeb"/>
        <w:shd w:val="clear" w:color="auto" w:fill="FFFFFF"/>
        <w:rPr>
          <w:rFonts w:asciiTheme="minorHAnsi" w:hAnsiTheme="minorHAnsi" w:cstheme="minorHAnsi"/>
          <w:color w:val="000000" w:themeColor="text1"/>
          <w:spacing w:val="8"/>
          <w:sz w:val="22"/>
          <w:szCs w:val="22"/>
          <w:lang w:val="de-DE"/>
        </w:rPr>
      </w:pPr>
      <w:r>
        <w:rPr>
          <w:rFonts w:asciiTheme="minorHAnsi" w:hAnsiTheme="minorHAnsi" w:cstheme="minorHAnsi"/>
          <w:color w:val="000000" w:themeColor="text1"/>
          <w:spacing w:val="8"/>
          <w:sz w:val="22"/>
          <w:szCs w:val="22"/>
          <w:lang w:val="de-DE"/>
        </w:rPr>
        <w:t>Professor Dr. Michele Solimena</w:t>
      </w:r>
      <w:r>
        <w:rPr>
          <w:rFonts w:asciiTheme="minorHAnsi" w:hAnsiTheme="minorHAnsi" w:cstheme="minorHAnsi"/>
          <w:color w:val="000000" w:themeColor="text1"/>
          <w:spacing w:val="8"/>
          <w:sz w:val="22"/>
          <w:szCs w:val="22"/>
          <w:lang w:val="de-DE"/>
        </w:rPr>
        <w:br/>
        <w:t xml:space="preserve">Paul Langerhans Institut Dresden des Helmholtz Zentrum München am Universitätsklinikum und </w:t>
      </w:r>
      <w:r>
        <w:rPr>
          <w:rFonts w:asciiTheme="minorHAnsi" w:hAnsiTheme="minorHAnsi" w:cstheme="minorHAnsi"/>
          <w:color w:val="000000" w:themeColor="text1"/>
          <w:spacing w:val="8"/>
          <w:sz w:val="22"/>
          <w:szCs w:val="22"/>
          <w:lang w:val="de-DE"/>
        </w:rPr>
        <w:lastRenderedPageBreak/>
        <w:t>der Medizinischen Fakultät Carl Gustav Carus der TU Dresden</w:t>
      </w:r>
      <w:r>
        <w:rPr>
          <w:rFonts w:asciiTheme="minorHAnsi" w:hAnsiTheme="minorHAnsi" w:cstheme="minorHAnsi"/>
          <w:color w:val="000000" w:themeColor="text1"/>
          <w:spacing w:val="8"/>
          <w:sz w:val="22"/>
          <w:szCs w:val="22"/>
          <w:lang w:val="de-DE"/>
        </w:rPr>
        <w:br/>
      </w:r>
      <w:proofErr w:type="spellStart"/>
      <w:r>
        <w:rPr>
          <w:rFonts w:asciiTheme="minorHAnsi" w:hAnsiTheme="minorHAnsi" w:cstheme="minorHAnsi"/>
          <w:color w:val="000000" w:themeColor="text1"/>
          <w:spacing w:val="8"/>
          <w:sz w:val="22"/>
          <w:szCs w:val="22"/>
          <w:lang w:val="de-DE"/>
        </w:rPr>
        <w:t>Fetscherstrasse</w:t>
      </w:r>
      <w:proofErr w:type="spellEnd"/>
      <w:r>
        <w:rPr>
          <w:rFonts w:asciiTheme="minorHAnsi" w:hAnsiTheme="minorHAnsi" w:cstheme="minorHAnsi"/>
          <w:color w:val="000000" w:themeColor="text1"/>
          <w:spacing w:val="8"/>
          <w:sz w:val="22"/>
          <w:szCs w:val="22"/>
          <w:lang w:val="de-DE"/>
        </w:rPr>
        <w:t xml:space="preserve"> 74</w:t>
      </w:r>
    </w:p>
    <w:p>
      <w:pPr>
        <w:pStyle w:val="StandardWeb"/>
        <w:shd w:val="clear" w:color="auto" w:fill="FFFFFF"/>
        <w:rPr>
          <w:rFonts w:asciiTheme="minorHAnsi" w:hAnsiTheme="minorHAnsi" w:cstheme="minorHAnsi"/>
          <w:color w:val="000000" w:themeColor="text1"/>
          <w:spacing w:val="8"/>
          <w:sz w:val="22"/>
          <w:szCs w:val="22"/>
          <w:lang w:val="de-DE"/>
        </w:rPr>
      </w:pPr>
      <w:r>
        <w:rPr>
          <w:rFonts w:asciiTheme="minorHAnsi" w:hAnsiTheme="minorHAnsi" w:cstheme="minorHAnsi"/>
          <w:color w:val="000000" w:themeColor="text1"/>
          <w:spacing w:val="8"/>
          <w:sz w:val="22"/>
          <w:szCs w:val="22"/>
          <w:lang w:val="de-DE"/>
        </w:rPr>
        <w:t xml:space="preserve">01307 Dresden </w:t>
      </w:r>
    </w:p>
    <w:p>
      <w:pPr>
        <w:pStyle w:val="StandardWeb"/>
        <w:shd w:val="clear" w:color="auto" w:fill="FFFFFF"/>
        <w:rPr>
          <w:rFonts w:asciiTheme="minorHAnsi" w:hAnsiTheme="minorHAnsi" w:cstheme="minorHAnsi"/>
          <w:color w:val="000000" w:themeColor="text1"/>
          <w:spacing w:val="8"/>
          <w:sz w:val="22"/>
          <w:szCs w:val="22"/>
          <w:lang w:val="de-DE"/>
        </w:rPr>
      </w:pPr>
      <w:r>
        <w:rPr>
          <w:rFonts w:asciiTheme="minorHAnsi" w:hAnsiTheme="minorHAnsi" w:cstheme="minorHAnsi"/>
          <w:color w:val="000000" w:themeColor="text1"/>
          <w:spacing w:val="8"/>
          <w:sz w:val="22"/>
          <w:szCs w:val="22"/>
          <w:lang w:val="de-DE"/>
        </w:rPr>
        <w:t xml:space="preserve">Telefon: +49 (0)351 7963 6611 </w:t>
      </w:r>
    </w:p>
    <w:p>
      <w:pPr>
        <w:pStyle w:val="StandardWeb"/>
        <w:shd w:val="clear" w:color="auto" w:fill="FFFFFF"/>
        <w:rPr>
          <w:rFonts w:asciiTheme="minorHAnsi" w:hAnsiTheme="minorHAnsi" w:cstheme="minorHAnsi"/>
          <w:color w:val="000000" w:themeColor="text1"/>
          <w:spacing w:val="8"/>
          <w:sz w:val="22"/>
          <w:szCs w:val="22"/>
          <w:lang w:val="de-DE"/>
        </w:rPr>
      </w:pPr>
      <w:r>
        <w:rPr>
          <w:rFonts w:asciiTheme="minorHAnsi" w:hAnsiTheme="minorHAnsi" w:cstheme="minorHAnsi"/>
          <w:color w:val="000000" w:themeColor="text1"/>
          <w:spacing w:val="8"/>
          <w:sz w:val="22"/>
          <w:szCs w:val="22"/>
          <w:lang w:val="de-DE"/>
        </w:rPr>
        <w:t>michele.solimena@tu-dresden.de</w:t>
      </w:r>
    </w:p>
    <w:p>
      <w:pPr>
        <w:rPr>
          <w:rFonts w:cstheme="minorHAnsi"/>
          <w:color w:val="000000" w:themeColor="text1"/>
          <w:shd w:val="clear" w:color="auto" w:fill="FFFFFF"/>
          <w:lang w:val="de-DE"/>
        </w:rPr>
      </w:pPr>
    </w:p>
    <w:p>
      <w:pPr>
        <w:rPr>
          <w:rFonts w:cstheme="minorHAnsi"/>
          <w:color w:val="000000" w:themeColor="text1"/>
          <w:shd w:val="clear" w:color="auto" w:fill="FFFFFF"/>
          <w:lang w:val="de-DE"/>
        </w:rPr>
      </w:pPr>
    </w:p>
    <w:p>
      <w:pPr>
        <w:rPr>
          <w:rFonts w:cstheme="minorHAnsi"/>
          <w:color w:val="000000" w:themeColor="text1"/>
          <w:shd w:val="clear" w:color="auto" w:fill="FFFFFF"/>
          <w:lang w:val="de-DE"/>
        </w:rPr>
      </w:pPr>
      <w:r>
        <w:rPr>
          <w:rFonts w:cstheme="minorHAnsi"/>
          <w:color w:val="000000" w:themeColor="text1"/>
          <w:shd w:val="clear" w:color="auto" w:fill="FFFFFF"/>
          <w:lang w:val="de-DE"/>
        </w:rPr>
        <w:t>Literatur</w:t>
      </w:r>
    </w:p>
    <w:p>
      <w:pPr>
        <w:pStyle w:val="LiteraturTop"/>
        <w:numPr>
          <w:ilvl w:val="0"/>
          <w:numId w:val="2"/>
        </w:numPr>
        <w:ind w:left="284" w:hanging="284"/>
        <w:rPr>
          <w:rFonts w:cstheme="minorHAnsi"/>
          <w:lang w:val="en-US"/>
        </w:rPr>
      </w:pPr>
      <w:proofErr w:type="spellStart"/>
      <w:r>
        <w:rPr>
          <w:rFonts w:cstheme="minorHAnsi"/>
          <w:lang w:val="en-US"/>
        </w:rPr>
        <w:t>Barovic</w:t>
      </w:r>
      <w:proofErr w:type="spellEnd"/>
      <w:r>
        <w:rPr>
          <w:rFonts w:cstheme="minorHAnsi"/>
          <w:lang w:val="en-US"/>
        </w:rPr>
        <w:t xml:space="preserve"> M, </w:t>
      </w:r>
      <w:proofErr w:type="spellStart"/>
      <w:r>
        <w:rPr>
          <w:rFonts w:cstheme="minorHAnsi"/>
          <w:lang w:val="en-US"/>
        </w:rPr>
        <w:t>Distler</w:t>
      </w:r>
      <w:proofErr w:type="spellEnd"/>
      <w:r>
        <w:rPr>
          <w:rFonts w:cstheme="minorHAnsi"/>
          <w:lang w:val="en-US"/>
        </w:rPr>
        <w:t xml:space="preserve"> M, </w:t>
      </w:r>
      <w:proofErr w:type="spellStart"/>
      <w:r>
        <w:rPr>
          <w:rFonts w:cstheme="minorHAnsi"/>
          <w:lang w:val="en-US"/>
        </w:rPr>
        <w:t>Schöniger</w:t>
      </w:r>
      <w:proofErr w:type="spellEnd"/>
      <w:r>
        <w:rPr>
          <w:rFonts w:cstheme="minorHAnsi"/>
          <w:lang w:val="en-US"/>
        </w:rPr>
        <w:t xml:space="preserve"> E, …, Schulte AM, Solimena M. </w:t>
      </w:r>
      <w:r>
        <w:rPr>
          <w:rFonts w:cstheme="minorHAnsi"/>
          <w:b/>
          <w:lang w:val="en-US"/>
        </w:rPr>
        <w:t xml:space="preserve">Metabolically </w:t>
      </w:r>
      <w:proofErr w:type="spellStart"/>
      <w:r>
        <w:rPr>
          <w:rFonts w:cstheme="minorHAnsi"/>
          <w:b/>
          <w:lang w:val="en-US"/>
        </w:rPr>
        <w:t>phenotyped</w:t>
      </w:r>
      <w:proofErr w:type="spellEnd"/>
      <w:r>
        <w:rPr>
          <w:rFonts w:cstheme="minorHAnsi"/>
          <w:b/>
          <w:lang w:val="en-US"/>
        </w:rPr>
        <w:t xml:space="preserve"> </w:t>
      </w:r>
      <w:proofErr w:type="spellStart"/>
      <w:r>
        <w:rPr>
          <w:rFonts w:cstheme="minorHAnsi"/>
          <w:b/>
          <w:lang w:val="en-US"/>
        </w:rPr>
        <w:t>pancreatectomized</w:t>
      </w:r>
      <w:proofErr w:type="spellEnd"/>
      <w:r>
        <w:rPr>
          <w:rFonts w:cstheme="minorHAnsi"/>
          <w:b/>
          <w:lang w:val="en-US"/>
        </w:rPr>
        <w:t xml:space="preserve"> patients as living donors for the study of islets in health and diabetes.</w:t>
      </w:r>
      <w:r>
        <w:rPr>
          <w:rFonts w:cstheme="minorHAnsi"/>
          <w:lang w:val="en-US"/>
        </w:rPr>
        <w:t xml:space="preserve"> </w:t>
      </w:r>
      <w:r>
        <w:rPr>
          <w:rFonts w:cstheme="minorHAnsi"/>
          <w:lang w:val="en-US"/>
        </w:rPr>
        <w:br/>
      </w:r>
      <w:proofErr w:type="spellStart"/>
      <w:r>
        <w:rPr>
          <w:rFonts w:cstheme="minorHAnsi"/>
          <w:lang w:val="en-US"/>
        </w:rPr>
        <w:t>Mol</w:t>
      </w:r>
      <w:proofErr w:type="spellEnd"/>
      <w:r>
        <w:rPr>
          <w:rFonts w:cstheme="minorHAnsi"/>
          <w:lang w:val="en-US"/>
        </w:rPr>
        <w:t xml:space="preserve"> </w:t>
      </w:r>
      <w:proofErr w:type="spellStart"/>
      <w:r>
        <w:rPr>
          <w:rFonts w:cstheme="minorHAnsi"/>
          <w:lang w:val="en-US"/>
        </w:rPr>
        <w:t>Metab</w:t>
      </w:r>
      <w:proofErr w:type="spellEnd"/>
      <w:r>
        <w:rPr>
          <w:rFonts w:cstheme="minorHAnsi"/>
          <w:lang w:val="en-US"/>
        </w:rPr>
        <w:t xml:space="preserve"> 2019; 27S (</w:t>
      </w:r>
      <w:proofErr w:type="spellStart"/>
      <w:r>
        <w:rPr>
          <w:rFonts w:cstheme="minorHAnsi"/>
          <w:lang w:val="en-US"/>
        </w:rPr>
        <w:t>Suppl</w:t>
      </w:r>
      <w:proofErr w:type="spellEnd"/>
      <w:r>
        <w:rPr>
          <w:rFonts w:cstheme="minorHAnsi"/>
          <w:lang w:val="en-US"/>
        </w:rPr>
        <w:t xml:space="preserve">):S1-S6. </w:t>
      </w:r>
    </w:p>
    <w:p>
      <w:pPr>
        <w:pStyle w:val="LiteraturTop"/>
        <w:numPr>
          <w:ilvl w:val="0"/>
          <w:numId w:val="0"/>
        </w:numPr>
        <w:ind w:left="340" w:hanging="340"/>
        <w:rPr>
          <w:rFonts w:cstheme="minorHAnsi"/>
          <w:lang w:val="en-US"/>
        </w:rPr>
      </w:pPr>
      <w:r>
        <w:rPr>
          <w:rFonts w:cstheme="minorHAnsi"/>
          <w:lang w:val="en-US"/>
        </w:rPr>
        <w:t xml:space="preserve">2.  Cohrs CM et al.:  </w:t>
      </w:r>
      <w:r>
        <w:rPr>
          <w:rFonts w:cstheme="minorHAnsi"/>
          <w:b/>
          <w:lang w:val="en-US"/>
        </w:rPr>
        <w:t>Dysfunction of Persisting β-Cells is a Key Feature of Early Type 2 Diabetes Pathogenesis</w:t>
      </w:r>
      <w:r>
        <w:rPr>
          <w:rFonts w:cstheme="minorHAnsi"/>
          <w:lang w:val="en-US"/>
        </w:rPr>
        <w:t>. Cell Reports; Volume 31, Issue 1, 7 April 2020, 107469</w:t>
      </w:r>
    </w:p>
    <w:p>
      <w:pPr>
        <w:pStyle w:val="LiteraturTop"/>
        <w:numPr>
          <w:ilvl w:val="0"/>
          <w:numId w:val="0"/>
        </w:numPr>
        <w:ind w:left="340" w:hanging="340"/>
        <w:rPr>
          <w:rFonts w:cstheme="minorHAnsi"/>
          <w:lang w:val="en-US"/>
        </w:rPr>
      </w:pPr>
      <w:r>
        <w:rPr>
          <w:rFonts w:cstheme="minorHAnsi"/>
          <w:lang w:val="en-US"/>
        </w:rPr>
        <w:t xml:space="preserve">3.  </w:t>
      </w:r>
      <w:proofErr w:type="spellStart"/>
      <w:r>
        <w:rPr>
          <w:rFonts w:cstheme="minorHAnsi"/>
          <w:lang w:val="en-US"/>
        </w:rPr>
        <w:t>Quiclet</w:t>
      </w:r>
      <w:proofErr w:type="spellEnd"/>
      <w:r>
        <w:rPr>
          <w:rFonts w:cstheme="minorHAnsi"/>
          <w:lang w:val="en-US"/>
        </w:rPr>
        <w:t xml:space="preserve"> C. et al.: </w:t>
      </w:r>
      <w:r>
        <w:rPr>
          <w:rFonts w:cstheme="minorHAnsi"/>
          <w:b/>
          <w:lang w:val="en-US"/>
        </w:rPr>
        <w:t>Pancreatic adipocytes mediate hypersecretion of insulin in diabetes-susceptible mice.</w:t>
      </w:r>
      <w:r>
        <w:rPr>
          <w:rFonts w:cstheme="minorHAnsi"/>
          <w:lang w:val="en-US"/>
        </w:rPr>
        <w:t xml:space="preserve"> Metabolism 2019, Aug;97:9-17.</w:t>
      </w:r>
    </w:p>
    <w:p>
      <w:pPr>
        <w:pStyle w:val="LiteraturTop"/>
        <w:numPr>
          <w:ilvl w:val="0"/>
          <w:numId w:val="0"/>
        </w:numPr>
        <w:ind w:left="340" w:hanging="340"/>
        <w:rPr>
          <w:rFonts w:cstheme="minorHAnsi"/>
          <w:lang w:val="en-US"/>
        </w:rPr>
      </w:pPr>
      <w:r>
        <w:rPr>
          <w:rFonts w:cstheme="minorHAnsi"/>
          <w:lang w:val="en-US"/>
        </w:rPr>
        <w:t xml:space="preserve">4. </w:t>
      </w:r>
      <w:proofErr w:type="spellStart"/>
      <w:r>
        <w:rPr>
          <w:rFonts w:cstheme="minorHAnsi"/>
          <w:lang w:val="en-US"/>
        </w:rPr>
        <w:t>Mameishvili</w:t>
      </w:r>
      <w:proofErr w:type="spellEnd"/>
      <w:r>
        <w:rPr>
          <w:rFonts w:cstheme="minorHAnsi"/>
          <w:lang w:val="en-US"/>
        </w:rPr>
        <w:t xml:space="preserve"> E et al:  </w:t>
      </w:r>
      <w:r>
        <w:rPr>
          <w:rFonts w:cstheme="minorHAnsi"/>
          <w:b/>
          <w:lang w:val="en-US"/>
        </w:rPr>
        <w:t xml:space="preserve">Aldh1b1 expression defines progenitor cells in the adult pancreas and is required for </w:t>
      </w:r>
      <w:proofErr w:type="spellStart"/>
      <w:r>
        <w:rPr>
          <w:rFonts w:cstheme="minorHAnsi"/>
          <w:b/>
          <w:lang w:val="en-US"/>
        </w:rPr>
        <w:t>Kras</w:t>
      </w:r>
      <w:proofErr w:type="spellEnd"/>
      <w:r>
        <w:rPr>
          <w:rFonts w:cstheme="minorHAnsi"/>
          <w:b/>
          <w:lang w:val="en-US"/>
        </w:rPr>
        <w:t>-induced pancreatic cancer.</w:t>
      </w:r>
      <w:r>
        <w:rPr>
          <w:rFonts w:cstheme="minorHAnsi"/>
          <w:lang w:val="en-US"/>
        </w:rPr>
        <w:t xml:space="preserve"> </w:t>
      </w:r>
      <w:proofErr w:type="spellStart"/>
      <w:r>
        <w:rPr>
          <w:rFonts w:cstheme="minorHAnsi"/>
          <w:color w:val="4D8055"/>
          <w:lang w:val="en-US"/>
        </w:rPr>
        <w:t>Proc</w:t>
      </w:r>
      <w:proofErr w:type="spellEnd"/>
      <w:r>
        <w:rPr>
          <w:rFonts w:cstheme="minorHAnsi"/>
          <w:color w:val="4D8055"/>
          <w:lang w:val="en-US"/>
        </w:rPr>
        <w:t xml:space="preserve"> Natl </w:t>
      </w:r>
      <w:proofErr w:type="spellStart"/>
      <w:r>
        <w:rPr>
          <w:rFonts w:cstheme="minorHAnsi"/>
          <w:color w:val="4D8055"/>
          <w:lang w:val="en-US"/>
        </w:rPr>
        <w:t>Acad</w:t>
      </w:r>
      <w:proofErr w:type="spellEnd"/>
      <w:r>
        <w:rPr>
          <w:rFonts w:cstheme="minorHAnsi"/>
          <w:color w:val="4D8055"/>
          <w:lang w:val="en-US"/>
        </w:rPr>
        <w:t xml:space="preserve"> </w:t>
      </w:r>
      <w:proofErr w:type="spellStart"/>
      <w:r>
        <w:rPr>
          <w:rFonts w:cstheme="minorHAnsi"/>
          <w:color w:val="4D8055"/>
          <w:lang w:val="en-US"/>
        </w:rPr>
        <w:t>Sci</w:t>
      </w:r>
      <w:proofErr w:type="spellEnd"/>
      <w:r>
        <w:rPr>
          <w:rFonts w:cstheme="minorHAnsi"/>
          <w:color w:val="4D8055"/>
          <w:lang w:val="en-US"/>
        </w:rPr>
        <w:t xml:space="preserve"> U S A. 2019 Oct 8</w:t>
      </w:r>
      <w:proofErr w:type="gramStart"/>
      <w:r>
        <w:rPr>
          <w:rFonts w:cstheme="minorHAnsi"/>
          <w:color w:val="4D8055"/>
          <w:lang w:val="en-US"/>
        </w:rPr>
        <w:t>;116</w:t>
      </w:r>
      <w:proofErr w:type="gramEnd"/>
      <w:r>
        <w:rPr>
          <w:rFonts w:cstheme="minorHAnsi"/>
          <w:color w:val="4D8055"/>
          <w:lang w:val="en-US"/>
        </w:rPr>
        <w:t>(41):20679-20688.</w:t>
      </w:r>
    </w:p>
    <w:p>
      <w:pPr>
        <w:tabs>
          <w:tab w:val="left" w:pos="745"/>
        </w:tabs>
        <w:suppressAutoHyphens/>
        <w:spacing w:after="60" w:line="240" w:lineRule="auto"/>
        <w:rPr>
          <w:rFonts w:cstheme="minorHAnsi"/>
        </w:rPr>
      </w:pPr>
      <w:r>
        <w:rPr>
          <w:rFonts w:cstheme="minorHAnsi"/>
        </w:rPr>
        <w:t xml:space="preserve">5.  </w:t>
      </w:r>
      <w:proofErr w:type="spellStart"/>
      <w:r>
        <w:rPr>
          <w:rFonts w:cstheme="minorHAnsi"/>
          <w:color w:val="212121"/>
        </w:rPr>
        <w:t>Giannios</w:t>
      </w:r>
      <w:proofErr w:type="spellEnd"/>
      <w:r>
        <w:rPr>
          <w:rFonts w:cstheme="minorHAnsi"/>
          <w:color w:val="212121"/>
        </w:rPr>
        <w:t xml:space="preserve"> I et al.: </w:t>
      </w:r>
      <w:hyperlink r:id="rId8" w:history="1">
        <w:r>
          <w:rPr>
            <w:rStyle w:val="Hyperlink"/>
            <w:rFonts w:cstheme="minorHAnsi"/>
            <w:b/>
            <w:color w:val="auto"/>
            <w:u w:val="none"/>
          </w:rPr>
          <w:t xml:space="preserve">Protein </w:t>
        </w:r>
        <w:proofErr w:type="spellStart"/>
        <w:r>
          <w:rPr>
            <w:rStyle w:val="Hyperlink"/>
            <w:rFonts w:cstheme="minorHAnsi"/>
            <w:b/>
            <w:color w:val="auto"/>
            <w:u w:val="none"/>
          </w:rPr>
          <w:t>Methyltransferase</w:t>
        </w:r>
        <w:proofErr w:type="spellEnd"/>
        <w:r>
          <w:rPr>
            <w:rStyle w:val="Hyperlink"/>
            <w:rFonts w:cstheme="minorHAnsi"/>
            <w:b/>
            <w:color w:val="auto"/>
            <w:u w:val="none"/>
          </w:rPr>
          <w:t xml:space="preserve"> Inhibition Decreases Endocrine Specification </w:t>
        </w:r>
        <w:proofErr w:type="gramStart"/>
        <w:r>
          <w:rPr>
            <w:rStyle w:val="Hyperlink"/>
            <w:rFonts w:cstheme="minorHAnsi"/>
            <w:b/>
            <w:color w:val="auto"/>
            <w:u w:val="none"/>
          </w:rPr>
          <w:t>Through</w:t>
        </w:r>
        <w:proofErr w:type="gramEnd"/>
        <w:r>
          <w:rPr>
            <w:rStyle w:val="Hyperlink"/>
            <w:rFonts w:cstheme="minorHAnsi"/>
            <w:b/>
            <w:color w:val="auto"/>
            <w:u w:val="none"/>
          </w:rPr>
          <w:t xml:space="preserve"> the Upregulation of Aldh1b1 Expression.</w:t>
        </w:r>
      </w:hyperlink>
    </w:p>
    <w:p>
      <w:pPr>
        <w:rPr>
          <w:rFonts w:cstheme="minorHAnsi"/>
        </w:rPr>
      </w:pPr>
      <w:r>
        <w:rPr>
          <w:rFonts w:cstheme="minorHAnsi"/>
        </w:rPr>
        <w:t>Stem Cells. 2019 May</w:t>
      </w:r>
      <w:proofErr w:type="gramStart"/>
      <w:r>
        <w:rPr>
          <w:rFonts w:cstheme="minorHAnsi"/>
        </w:rPr>
        <w:t>;37</w:t>
      </w:r>
      <w:proofErr w:type="gramEnd"/>
      <w:r>
        <w:rPr>
          <w:rFonts w:cstheme="minorHAnsi"/>
        </w:rPr>
        <w:t xml:space="preserve">(5):640-651. </w:t>
      </w:r>
    </w:p>
    <w:p>
      <w:pPr>
        <w:tabs>
          <w:tab w:val="left" w:pos="745"/>
        </w:tabs>
        <w:suppressAutoHyphens/>
        <w:spacing w:after="60" w:line="240" w:lineRule="auto"/>
        <w:rPr>
          <w:rFonts w:cstheme="minorHAnsi"/>
          <w:bCs/>
        </w:rPr>
      </w:pPr>
      <w:r>
        <w:rPr>
          <w:rFonts w:cstheme="minorHAnsi"/>
        </w:rPr>
        <w:t xml:space="preserve">6. </w:t>
      </w:r>
      <w:r>
        <w:rPr>
          <w:rFonts w:cstheme="minorHAnsi"/>
          <w:bCs/>
          <w:lang w:val="sv-SE"/>
        </w:rPr>
        <w:t xml:space="preserve">Salem V et al.: </w:t>
      </w:r>
      <w:r>
        <w:rPr>
          <w:rFonts w:cstheme="minorHAnsi"/>
          <w:b/>
          <w:iCs/>
        </w:rPr>
        <w:t>Leader β-cells coordinate Ca2+ dynamics across pancreatic islets in vivo.</w:t>
      </w:r>
      <w:r>
        <w:rPr>
          <w:rFonts w:cstheme="minorHAnsi"/>
          <w:b/>
          <w:bCs/>
          <w:lang w:val="sv-SE"/>
        </w:rPr>
        <w:t xml:space="preserve"> </w:t>
      </w:r>
      <w:r>
        <w:rPr>
          <w:rFonts w:cstheme="minorHAnsi"/>
        </w:rPr>
        <w:t xml:space="preserve">Nat </w:t>
      </w:r>
      <w:proofErr w:type="spellStart"/>
      <w:r>
        <w:rPr>
          <w:rFonts w:cstheme="minorHAnsi"/>
        </w:rPr>
        <w:t>Metab</w:t>
      </w:r>
      <w:proofErr w:type="spellEnd"/>
      <w:r>
        <w:rPr>
          <w:rFonts w:cstheme="minorHAnsi"/>
        </w:rPr>
        <w:t xml:space="preserve"> 2019; </w:t>
      </w:r>
      <w:r>
        <w:rPr>
          <w:rFonts w:cstheme="minorHAnsi"/>
          <w:bCs/>
        </w:rPr>
        <w:t>1:615-629.</w:t>
      </w:r>
    </w:p>
    <w:p>
      <w:pPr>
        <w:tabs>
          <w:tab w:val="left" w:pos="745"/>
        </w:tabs>
        <w:suppressAutoHyphens/>
        <w:spacing w:after="60" w:line="240" w:lineRule="auto"/>
        <w:rPr>
          <w:rFonts w:cstheme="minorHAnsi"/>
        </w:rPr>
      </w:pPr>
      <w:r>
        <w:rPr>
          <w:rFonts w:cstheme="minorHAnsi"/>
          <w:bCs/>
        </w:rPr>
        <w:t xml:space="preserve">7. </w:t>
      </w:r>
      <w:proofErr w:type="spellStart"/>
      <w:r>
        <w:rPr>
          <w:rFonts w:cstheme="minorHAnsi"/>
        </w:rPr>
        <w:t>Mahaddalkar</w:t>
      </w:r>
      <w:proofErr w:type="spellEnd"/>
      <w:r>
        <w:rPr>
          <w:rFonts w:cstheme="minorHAnsi"/>
        </w:rPr>
        <w:t xml:space="preserve">, </w:t>
      </w:r>
      <w:proofErr w:type="spellStart"/>
      <w:r>
        <w:rPr>
          <w:rFonts w:cstheme="minorHAnsi"/>
        </w:rPr>
        <w:t>Scheibner</w:t>
      </w:r>
      <w:proofErr w:type="spellEnd"/>
      <w:r>
        <w:rPr>
          <w:rFonts w:cstheme="minorHAnsi"/>
        </w:rPr>
        <w:t xml:space="preserve"> et al.: </w:t>
      </w:r>
      <w:r>
        <w:rPr>
          <w:rFonts w:cstheme="minorHAnsi"/>
          <w:b/>
        </w:rPr>
        <w:t>Generation of pancreatic β cells from CD177+ anterior definitive endoderm</w:t>
      </w:r>
      <w:r>
        <w:rPr>
          <w:rFonts w:cstheme="minorHAnsi"/>
        </w:rPr>
        <w:t>.  Nature Biotechnology volume 38, pages 1061–1072(2020)</w:t>
      </w:r>
    </w:p>
    <w:p>
      <w:pPr>
        <w:spacing w:after="0" w:line="240" w:lineRule="auto"/>
        <w:outlineLvl w:val="0"/>
        <w:rPr>
          <w:rFonts w:cstheme="minorHAnsi"/>
          <w:color w:val="000000" w:themeColor="text1"/>
          <w:shd w:val="clear" w:color="auto" w:fill="FFFFFF"/>
        </w:rPr>
      </w:pPr>
      <w:r>
        <w:rPr>
          <w:rFonts w:cstheme="minorHAnsi"/>
          <w:color w:val="000000" w:themeColor="text1"/>
        </w:rPr>
        <w:t xml:space="preserve">8.  </w:t>
      </w:r>
      <w:r>
        <w:rPr>
          <w:rFonts w:eastAsia="Times New Roman" w:cstheme="minorHAnsi"/>
          <w:bCs/>
          <w:color w:val="000000" w:themeColor="text1"/>
          <w:kern w:val="36"/>
        </w:rPr>
        <w:t xml:space="preserve">Sachs, S. et al.: </w:t>
      </w:r>
      <w:r>
        <w:rPr>
          <w:rFonts w:eastAsia="Times New Roman" w:cstheme="minorHAnsi"/>
          <w:b/>
          <w:bCs/>
          <w:color w:val="000000" w:themeColor="text1"/>
          <w:kern w:val="36"/>
        </w:rPr>
        <w:t xml:space="preserve">Targeted pharmacological therapy restores </w:t>
      </w:r>
      <w:r>
        <w:rPr>
          <w:rFonts w:eastAsia="Times New Roman" w:cstheme="minorHAnsi"/>
          <w:b/>
          <w:bCs/>
          <w:color w:val="000000" w:themeColor="text1"/>
          <w:kern w:val="36"/>
          <w:lang w:val="de-DE"/>
        </w:rPr>
        <w:t>β</w:t>
      </w:r>
      <w:r>
        <w:rPr>
          <w:rFonts w:eastAsia="Times New Roman" w:cstheme="minorHAnsi"/>
          <w:b/>
          <w:bCs/>
          <w:color w:val="000000" w:themeColor="text1"/>
          <w:kern w:val="36"/>
        </w:rPr>
        <w:t xml:space="preserve">-cell function for diabetes remission. </w:t>
      </w:r>
      <w:r>
        <w:rPr>
          <w:rFonts w:eastAsia="Times New Roman" w:cstheme="minorHAnsi"/>
          <w:bCs/>
          <w:color w:val="000000" w:themeColor="text1"/>
          <w:kern w:val="36"/>
        </w:rPr>
        <w:t xml:space="preserve">Nature Metabolism </w:t>
      </w:r>
      <w:r>
        <w:rPr>
          <w:rStyle w:val="u-visually-hidden"/>
          <w:rFonts w:cstheme="minorHAnsi"/>
          <w:b/>
          <w:bCs/>
          <w:color w:val="000000" w:themeColor="text1"/>
          <w:bdr w:val="none" w:sz="0" w:space="0" w:color="auto" w:frame="1"/>
        </w:rPr>
        <w:t>volume</w:t>
      </w:r>
      <w:r>
        <w:rPr>
          <w:rFonts w:cstheme="minorHAnsi"/>
          <w:b/>
          <w:bCs/>
          <w:color w:val="000000" w:themeColor="text1"/>
        </w:rPr>
        <w:t> 2</w:t>
      </w:r>
      <w:r>
        <w:rPr>
          <w:rFonts w:cstheme="minorHAnsi"/>
          <w:color w:val="000000" w:themeColor="text1"/>
          <w:shd w:val="clear" w:color="auto" w:fill="FFFFFF"/>
        </w:rPr>
        <w:t>, </w:t>
      </w:r>
      <w:r>
        <w:rPr>
          <w:rStyle w:val="u-visually-hidden"/>
          <w:rFonts w:cstheme="minorHAnsi"/>
          <w:color w:val="000000" w:themeColor="text1"/>
          <w:bdr w:val="none" w:sz="0" w:space="0" w:color="auto" w:frame="1"/>
        </w:rPr>
        <w:t>pages</w:t>
      </w:r>
      <w:r>
        <w:rPr>
          <w:rFonts w:cstheme="minorHAnsi"/>
          <w:color w:val="000000" w:themeColor="text1"/>
        </w:rPr>
        <w:t>192</w:t>
      </w:r>
      <w:r>
        <w:rPr>
          <w:rFonts w:cstheme="minorHAnsi"/>
          <w:color w:val="000000" w:themeColor="text1"/>
          <w:shd w:val="clear" w:color="auto" w:fill="FFFFFF"/>
        </w:rPr>
        <w:t>–</w:t>
      </w:r>
      <w:r>
        <w:rPr>
          <w:rFonts w:cstheme="minorHAnsi"/>
          <w:color w:val="000000" w:themeColor="text1"/>
        </w:rPr>
        <w:t>209</w:t>
      </w:r>
      <w:r>
        <w:rPr>
          <w:rFonts w:cstheme="minorHAnsi"/>
          <w:color w:val="000000" w:themeColor="text1"/>
          <w:shd w:val="clear" w:color="auto" w:fill="FFFFFF"/>
        </w:rPr>
        <w:t>(</w:t>
      </w:r>
      <w:r>
        <w:rPr>
          <w:rFonts w:cstheme="minorHAnsi"/>
          <w:color w:val="000000" w:themeColor="text1"/>
        </w:rPr>
        <w:t>2020</w:t>
      </w:r>
      <w:r>
        <w:rPr>
          <w:rFonts w:cstheme="minorHAnsi"/>
          <w:color w:val="000000" w:themeColor="text1"/>
          <w:shd w:val="clear" w:color="auto" w:fill="FFFFFF"/>
        </w:rPr>
        <w:t>)</w:t>
      </w:r>
    </w:p>
    <w:p>
      <w:pPr>
        <w:spacing w:after="0" w:line="240" w:lineRule="auto"/>
        <w:outlineLvl w:val="0"/>
        <w:rPr>
          <w:rFonts w:cstheme="minorHAnsi"/>
          <w:color w:val="000000" w:themeColor="text1"/>
          <w:shd w:val="clear" w:color="auto" w:fill="FFFFFF"/>
        </w:rPr>
      </w:pPr>
    </w:p>
    <w:p>
      <w:pPr>
        <w:spacing w:after="100" w:afterAutospacing="1" w:line="240" w:lineRule="auto"/>
        <w:rPr>
          <w:rFonts w:eastAsia="Times New Roman" w:cstheme="minorHAnsi"/>
          <w:bCs/>
          <w:color w:val="000000" w:themeColor="text1"/>
          <w:kern w:val="36"/>
        </w:rPr>
      </w:pPr>
      <w:r>
        <w:rPr>
          <w:rFonts w:cstheme="minorHAnsi"/>
          <w:color w:val="000000" w:themeColor="text1"/>
        </w:rPr>
        <w:t xml:space="preserve">9. </w:t>
      </w:r>
      <w:proofErr w:type="spellStart"/>
      <w:r>
        <w:rPr>
          <w:rFonts w:eastAsia="Times New Roman" w:cstheme="minorHAnsi"/>
          <w:color w:val="000000" w:themeColor="text1"/>
        </w:rPr>
        <w:t>Ansarullah</w:t>
      </w:r>
      <w:proofErr w:type="spellEnd"/>
      <w:r>
        <w:rPr>
          <w:rFonts w:eastAsia="Times New Roman" w:cstheme="minorHAnsi"/>
          <w:color w:val="000000" w:themeColor="text1"/>
        </w:rPr>
        <w:t xml:space="preserve"> et al.:</w:t>
      </w:r>
      <w:r>
        <w:rPr>
          <w:rFonts w:eastAsia="Times New Roman" w:cstheme="minorHAnsi"/>
          <w:b/>
          <w:color w:val="000000" w:themeColor="text1"/>
        </w:rPr>
        <w:t xml:space="preserve"> </w:t>
      </w:r>
      <w:hyperlink r:id="rId9" w:tgtFrame="_blank" w:history="1">
        <w:r>
          <w:rPr>
            <w:rFonts w:eastAsia="Times New Roman" w:cstheme="minorHAnsi"/>
            <w:b/>
            <w:bCs/>
            <w:color w:val="000000" w:themeColor="text1"/>
          </w:rPr>
          <w:t xml:space="preserve">Inceptor counteracts insulin </w:t>
        </w:r>
        <w:proofErr w:type="spellStart"/>
        <w:r>
          <w:rPr>
            <w:rFonts w:eastAsia="Times New Roman" w:cstheme="minorHAnsi"/>
            <w:b/>
            <w:bCs/>
            <w:color w:val="000000" w:themeColor="text1"/>
          </w:rPr>
          <w:t>signalling</w:t>
        </w:r>
        <w:proofErr w:type="spellEnd"/>
        <w:r>
          <w:rPr>
            <w:rFonts w:eastAsia="Times New Roman" w:cstheme="minorHAnsi"/>
            <w:b/>
            <w:bCs/>
            <w:color w:val="000000" w:themeColor="text1"/>
          </w:rPr>
          <w:t xml:space="preserve"> in β-cells to control glycaemia</w:t>
        </w:r>
      </w:hyperlink>
      <w:r>
        <w:rPr>
          <w:rFonts w:eastAsia="Times New Roman" w:cstheme="minorHAnsi"/>
          <w:color w:val="000000" w:themeColor="text1"/>
        </w:rPr>
        <w:t>. Nature 2021 Feb</w:t>
      </w:r>
      <w:proofErr w:type="gramStart"/>
      <w:r>
        <w:rPr>
          <w:rFonts w:eastAsia="Times New Roman" w:cstheme="minorHAnsi"/>
          <w:color w:val="000000" w:themeColor="text1"/>
        </w:rPr>
        <w:t>;590</w:t>
      </w:r>
      <w:proofErr w:type="gramEnd"/>
      <w:r>
        <w:rPr>
          <w:rFonts w:eastAsia="Times New Roman" w:cstheme="minorHAnsi"/>
          <w:color w:val="000000" w:themeColor="text1"/>
        </w:rPr>
        <w:t>(7845):326-331.</w:t>
      </w:r>
    </w:p>
    <w:p>
      <w:pPr>
        <w:rPr>
          <w:rFonts w:eastAsia="Times New Roman" w:cstheme="minorHAnsi"/>
          <w:bCs/>
          <w:color w:val="000000" w:themeColor="text1"/>
          <w:kern w:val="36"/>
        </w:rPr>
      </w:pPr>
      <w:r>
        <w:rPr>
          <w:rFonts w:eastAsia="Times New Roman" w:cstheme="minorHAnsi"/>
          <w:bCs/>
          <w:color w:val="000000" w:themeColor="text1"/>
          <w:kern w:val="36"/>
        </w:rPr>
        <w:t xml:space="preserve">10. Ludwig B, Reichel A, Steffen A, et al. </w:t>
      </w:r>
      <w:r>
        <w:rPr>
          <w:rFonts w:eastAsia="Times New Roman" w:cstheme="minorHAnsi"/>
          <w:b/>
          <w:bCs/>
          <w:color w:val="000000" w:themeColor="text1"/>
          <w:kern w:val="36"/>
        </w:rPr>
        <w:t>Transplantation of human islets without immunosuppression.</w:t>
      </w:r>
      <w:r>
        <w:rPr>
          <w:rFonts w:eastAsia="Times New Roman" w:cstheme="minorHAnsi"/>
          <w:bCs/>
          <w:color w:val="000000" w:themeColor="text1"/>
          <w:kern w:val="36"/>
        </w:rPr>
        <w:t xml:space="preserve"> </w:t>
      </w:r>
      <w:proofErr w:type="spellStart"/>
      <w:r>
        <w:rPr>
          <w:rFonts w:eastAsia="Times New Roman" w:cstheme="minorHAnsi"/>
          <w:bCs/>
          <w:color w:val="000000" w:themeColor="text1"/>
          <w:kern w:val="36"/>
        </w:rPr>
        <w:t>Proc</w:t>
      </w:r>
      <w:proofErr w:type="spellEnd"/>
      <w:r>
        <w:rPr>
          <w:rFonts w:eastAsia="Times New Roman" w:cstheme="minorHAnsi"/>
          <w:bCs/>
          <w:color w:val="000000" w:themeColor="text1"/>
          <w:kern w:val="36"/>
        </w:rPr>
        <w:t xml:space="preserve"> Natl </w:t>
      </w:r>
      <w:proofErr w:type="spellStart"/>
      <w:r>
        <w:rPr>
          <w:rFonts w:eastAsia="Times New Roman" w:cstheme="minorHAnsi"/>
          <w:bCs/>
          <w:color w:val="000000" w:themeColor="text1"/>
          <w:kern w:val="36"/>
        </w:rPr>
        <w:t>Acad</w:t>
      </w:r>
      <w:proofErr w:type="spellEnd"/>
      <w:r>
        <w:rPr>
          <w:rFonts w:eastAsia="Times New Roman" w:cstheme="minorHAnsi"/>
          <w:bCs/>
          <w:color w:val="000000" w:themeColor="text1"/>
          <w:kern w:val="36"/>
        </w:rPr>
        <w:t xml:space="preserve"> </w:t>
      </w:r>
      <w:proofErr w:type="spellStart"/>
      <w:r>
        <w:rPr>
          <w:rFonts w:eastAsia="Times New Roman" w:cstheme="minorHAnsi"/>
          <w:bCs/>
          <w:color w:val="000000" w:themeColor="text1"/>
          <w:kern w:val="36"/>
        </w:rPr>
        <w:t>Sci</w:t>
      </w:r>
      <w:proofErr w:type="spellEnd"/>
      <w:r>
        <w:rPr>
          <w:rFonts w:eastAsia="Times New Roman" w:cstheme="minorHAnsi"/>
          <w:bCs/>
          <w:color w:val="000000" w:themeColor="text1"/>
          <w:kern w:val="36"/>
        </w:rPr>
        <w:t xml:space="preserve"> U S A. 2013</w:t>
      </w:r>
      <w:proofErr w:type="gramStart"/>
      <w:r>
        <w:rPr>
          <w:rFonts w:eastAsia="Times New Roman" w:cstheme="minorHAnsi"/>
          <w:bCs/>
          <w:color w:val="000000" w:themeColor="text1"/>
          <w:kern w:val="36"/>
        </w:rPr>
        <w:t>;110</w:t>
      </w:r>
      <w:proofErr w:type="gramEnd"/>
      <w:r>
        <w:rPr>
          <w:rFonts w:eastAsia="Times New Roman" w:cstheme="minorHAnsi"/>
          <w:bCs/>
          <w:color w:val="000000" w:themeColor="text1"/>
          <w:kern w:val="36"/>
        </w:rPr>
        <w:t>(47):19054-19058.</w:t>
      </w:r>
    </w:p>
    <w:p>
      <w:pPr>
        <w:rPr>
          <w:rFonts w:eastAsia="Times New Roman" w:cstheme="minorHAnsi"/>
          <w:bCs/>
          <w:color w:val="000000" w:themeColor="text1"/>
          <w:kern w:val="36"/>
        </w:rPr>
      </w:pPr>
      <w:r>
        <w:rPr>
          <w:rFonts w:eastAsia="Times New Roman" w:cstheme="minorHAnsi"/>
          <w:bCs/>
          <w:color w:val="000000" w:themeColor="text1"/>
          <w:kern w:val="36"/>
        </w:rPr>
        <w:t xml:space="preserve">11. Ludwig, B. et al.: </w:t>
      </w:r>
      <w:r>
        <w:rPr>
          <w:rFonts w:eastAsia="Times New Roman" w:cstheme="minorHAnsi"/>
          <w:b/>
          <w:bCs/>
          <w:color w:val="000000" w:themeColor="text1"/>
          <w:kern w:val="36"/>
        </w:rPr>
        <w:t>Favorable outcome of experimental islet xenotransplantation without immunosuppression in a nonhuman primate model of diabetes</w:t>
      </w:r>
      <w:r>
        <w:rPr>
          <w:rFonts w:eastAsia="Times New Roman" w:cstheme="minorHAnsi"/>
          <w:bCs/>
          <w:color w:val="000000" w:themeColor="text1"/>
          <w:kern w:val="36"/>
        </w:rPr>
        <w:t xml:space="preserve"> PNAS October 31, 2017 114 (44) 11745-11750</w:t>
      </w:r>
    </w:p>
    <w:p>
      <w:pPr>
        <w:pStyle w:val="Default"/>
        <w:rPr>
          <w:rFonts w:asciiTheme="minorHAnsi" w:eastAsia="Times New Roman" w:hAnsiTheme="minorHAnsi" w:cstheme="minorHAnsi"/>
          <w:b/>
          <w:bCs/>
          <w:color w:val="000000" w:themeColor="text1"/>
          <w:kern w:val="36"/>
        </w:rPr>
      </w:pPr>
      <w:r>
        <w:rPr>
          <w:rFonts w:asciiTheme="minorHAnsi" w:eastAsia="Times New Roman" w:hAnsiTheme="minorHAnsi" w:cstheme="minorHAnsi"/>
          <w:bCs/>
          <w:color w:val="000000" w:themeColor="text1"/>
          <w:kern w:val="36"/>
          <w:lang w:val="de-DE"/>
        </w:rPr>
        <w:t xml:space="preserve">12. Wolf, E. et al.: </w:t>
      </w:r>
      <w:r>
        <w:rPr>
          <w:rFonts w:asciiTheme="minorHAnsi" w:eastAsia="Times New Roman" w:hAnsiTheme="minorHAnsi" w:cstheme="minorHAnsi"/>
          <w:b/>
          <w:bCs/>
          <w:color w:val="000000" w:themeColor="text1"/>
          <w:kern w:val="36"/>
          <w:lang w:val="de-DE"/>
        </w:rPr>
        <w:t xml:space="preserve">Genetisch modifizierte Schweine als Organspender für die Xenotransplantation. </w:t>
      </w:r>
      <w:proofErr w:type="spellStart"/>
      <w:r>
        <w:rPr>
          <w:rFonts w:asciiTheme="minorHAnsi" w:hAnsiTheme="minorHAnsi" w:cstheme="minorHAnsi"/>
          <w:color w:val="221E1F"/>
          <w:sz w:val="22"/>
          <w:szCs w:val="22"/>
        </w:rPr>
        <w:t>BioFokus</w:t>
      </w:r>
      <w:proofErr w:type="spellEnd"/>
      <w:r>
        <w:rPr>
          <w:rFonts w:asciiTheme="minorHAnsi" w:hAnsiTheme="minorHAnsi" w:cstheme="minorHAnsi"/>
          <w:color w:val="221E1F"/>
          <w:sz w:val="22"/>
          <w:szCs w:val="22"/>
        </w:rPr>
        <w:t xml:space="preserve"> </w:t>
      </w:r>
      <w:proofErr w:type="spellStart"/>
      <w:r>
        <w:rPr>
          <w:rFonts w:asciiTheme="minorHAnsi" w:hAnsiTheme="minorHAnsi" w:cstheme="minorHAnsi"/>
          <w:color w:val="221E1F"/>
          <w:sz w:val="22"/>
          <w:szCs w:val="22"/>
        </w:rPr>
        <w:t>Nr</w:t>
      </w:r>
      <w:proofErr w:type="spellEnd"/>
      <w:r>
        <w:rPr>
          <w:rFonts w:asciiTheme="minorHAnsi" w:hAnsiTheme="minorHAnsi" w:cstheme="minorHAnsi"/>
          <w:color w:val="221E1F"/>
          <w:sz w:val="22"/>
          <w:szCs w:val="22"/>
        </w:rPr>
        <w:t>. 97</w:t>
      </w:r>
      <w:proofErr w:type="gramStart"/>
      <w:r>
        <w:rPr>
          <w:rFonts w:asciiTheme="minorHAnsi" w:hAnsiTheme="minorHAnsi" w:cstheme="minorHAnsi"/>
          <w:color w:val="221E1F"/>
        </w:rPr>
        <w:t xml:space="preserve">, </w:t>
      </w:r>
      <w:r>
        <w:rPr>
          <w:rFonts w:asciiTheme="minorHAnsi" w:hAnsiTheme="minorHAnsi" w:cstheme="minorHAnsi"/>
        </w:rPr>
        <w:t xml:space="preserve"> </w:t>
      </w:r>
      <w:r>
        <w:rPr>
          <w:rFonts w:asciiTheme="minorHAnsi" w:hAnsiTheme="minorHAnsi" w:cstheme="minorHAnsi"/>
          <w:color w:val="221E1F"/>
          <w:sz w:val="22"/>
          <w:szCs w:val="22"/>
        </w:rPr>
        <w:t>April</w:t>
      </w:r>
      <w:proofErr w:type="gramEnd"/>
      <w:r>
        <w:rPr>
          <w:rFonts w:asciiTheme="minorHAnsi" w:hAnsiTheme="minorHAnsi" w:cstheme="minorHAnsi"/>
          <w:color w:val="221E1F"/>
          <w:sz w:val="22"/>
          <w:szCs w:val="22"/>
        </w:rPr>
        <w:t xml:space="preserve"> 2020</w:t>
      </w:r>
    </w:p>
    <w:p>
      <w:pPr>
        <w:rPr>
          <w:rFonts w:cstheme="minorHAnsi"/>
        </w:rPr>
      </w:pP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s Gothic">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F1287"/>
    <w:multiLevelType w:val="hybridMultilevel"/>
    <w:tmpl w:val="F80A3078"/>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 w15:restartNumberingAfterBreak="0">
    <w:nsid w:val="314C6EFF"/>
    <w:multiLevelType w:val="multilevel"/>
    <w:tmpl w:val="F3B0551A"/>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A0B5B17"/>
    <w:multiLevelType w:val="multilevel"/>
    <w:tmpl w:val="B626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E2FE4"/>
    <w:multiLevelType w:val="hybridMultilevel"/>
    <w:tmpl w:val="EFDC8DEC"/>
    <w:lvl w:ilvl="0" w:tplc="3CE0A954">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4A7E1B"/>
    <w:multiLevelType w:val="hybridMultilevel"/>
    <w:tmpl w:val="53122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D271A783-6225-401D-BDDD-9FCFDD3D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rPr>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list-date">
    <w:name w:val="news-list-date"/>
    <w:basedOn w:val="Absatz-Standardschriftart"/>
  </w:style>
  <w:style w:type="character" w:styleId="Fett">
    <w:name w:val="Strong"/>
    <w:basedOn w:val="Absatz-Standardschriftart"/>
    <w:uiPriority w:val="22"/>
    <w:qFormat/>
    <w:rPr>
      <w:b/>
      <w:bCs/>
    </w:rPr>
  </w:style>
  <w:style w:type="character" w:styleId="Hyperlink">
    <w:name w:val="Hyperlink"/>
    <w:basedOn w:val="Absatz-Standardschriftart"/>
    <w:uiPriority w:val="99"/>
    <w:semiHidden/>
    <w:unhideWhenUsed/>
    <w:rPr>
      <w:color w:val="0000FF"/>
      <w:u w:val="singl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4D78" w:themeColor="accent1" w:themeShade="7F"/>
      <w:sz w:val="24"/>
      <w:szCs w:val="24"/>
    </w:rPr>
  </w:style>
  <w:style w:type="character" w:styleId="Hervorhebung">
    <w:name w:val="Emphasis"/>
    <w:basedOn w:val="Absatz-Standardschriftart"/>
    <w:uiPriority w:val="20"/>
    <w:qFormat/>
    <w:rPr>
      <w:i/>
      <w:iCs/>
    </w:rPr>
  </w:style>
  <w:style w:type="paragraph" w:styleId="Listenabsatz">
    <w:name w:val="List Paragraph"/>
    <w:basedOn w:val="Standard"/>
    <w:uiPriority w:val="34"/>
    <w:qFormat/>
    <w:pPr>
      <w:numPr>
        <w:numId w:val="3"/>
      </w:numPr>
      <w:suppressAutoHyphens/>
      <w:spacing w:after="60" w:line="240" w:lineRule="auto"/>
      <w:ind w:left="357" w:hanging="357"/>
      <w:jc w:val="both"/>
    </w:pPr>
    <w:rPr>
      <w:rFonts w:eastAsia="Calibri" w:cs="Times New Roman"/>
      <w:color w:val="000000" w:themeColor="text1"/>
      <w:sz w:val="24"/>
      <w:lang w:val="de-DE"/>
    </w:rPr>
  </w:style>
  <w:style w:type="paragraph" w:customStyle="1" w:styleId="LiteraturTop">
    <w:name w:val="Literatur_Top"/>
    <w:basedOn w:val="Listenabsatz"/>
    <w:qFormat/>
    <w:pPr>
      <w:ind w:left="340" w:hanging="340"/>
      <w:jc w:val="left"/>
    </w:pPr>
    <w:rPr>
      <w:sz w:val="22"/>
    </w:rPr>
  </w:style>
  <w:style w:type="character" w:customStyle="1" w:styleId="u-visually-hidden">
    <w:name w:val="u-visually-hidden"/>
    <w:basedOn w:val="Absatz-Standardschriftart"/>
  </w:style>
  <w:style w:type="paragraph" w:customStyle="1" w:styleId="Default">
    <w:name w:val="Default"/>
    <w:pPr>
      <w:autoSpaceDE w:val="0"/>
      <w:autoSpaceDN w:val="0"/>
      <w:adjustRightInd w:val="0"/>
      <w:spacing w:after="0" w:line="240" w:lineRule="auto"/>
    </w:pPr>
    <w:rPr>
      <w:rFonts w:ascii="News Gothic" w:hAnsi="News Gothic" w:cs="News Gothic"/>
      <w:color w:val="000000"/>
      <w:sz w:val="24"/>
      <w:szCs w:val="24"/>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83604">
      <w:bodyDiv w:val="1"/>
      <w:marLeft w:val="0"/>
      <w:marRight w:val="0"/>
      <w:marTop w:val="0"/>
      <w:marBottom w:val="0"/>
      <w:divBdr>
        <w:top w:val="none" w:sz="0" w:space="0" w:color="auto"/>
        <w:left w:val="none" w:sz="0" w:space="0" w:color="auto"/>
        <w:bottom w:val="none" w:sz="0" w:space="0" w:color="auto"/>
        <w:right w:val="none" w:sz="0" w:space="0" w:color="auto"/>
      </w:divBdr>
      <w:divsChild>
        <w:div w:id="2143033449">
          <w:marLeft w:val="0"/>
          <w:marRight w:val="0"/>
          <w:marTop w:val="0"/>
          <w:marBottom w:val="0"/>
          <w:divBdr>
            <w:top w:val="none" w:sz="0" w:space="0" w:color="auto"/>
            <w:left w:val="none" w:sz="0" w:space="0" w:color="auto"/>
            <w:bottom w:val="none" w:sz="0" w:space="0" w:color="auto"/>
            <w:right w:val="none" w:sz="0" w:space="0" w:color="auto"/>
          </w:divBdr>
          <w:divsChild>
            <w:div w:id="1427458680">
              <w:marLeft w:val="-225"/>
              <w:marRight w:val="-225"/>
              <w:marTop w:val="0"/>
              <w:marBottom w:val="0"/>
              <w:divBdr>
                <w:top w:val="none" w:sz="0" w:space="0" w:color="auto"/>
                <w:left w:val="none" w:sz="0" w:space="0" w:color="auto"/>
                <w:bottom w:val="none" w:sz="0" w:space="0" w:color="auto"/>
                <w:right w:val="none" w:sz="0" w:space="0" w:color="auto"/>
              </w:divBdr>
              <w:divsChild>
                <w:div w:id="968701090">
                  <w:marLeft w:val="16"/>
                  <w:marRight w:val="0"/>
                  <w:marTop w:val="0"/>
                  <w:marBottom w:val="0"/>
                  <w:divBdr>
                    <w:top w:val="none" w:sz="0" w:space="0" w:color="auto"/>
                    <w:left w:val="none" w:sz="0" w:space="0" w:color="auto"/>
                    <w:bottom w:val="none" w:sz="0" w:space="0" w:color="auto"/>
                    <w:right w:val="none" w:sz="0" w:space="0" w:color="auto"/>
                  </w:divBdr>
                </w:div>
              </w:divsChild>
            </w:div>
          </w:divsChild>
        </w:div>
        <w:div w:id="382683905">
          <w:marLeft w:val="0"/>
          <w:marRight w:val="0"/>
          <w:marTop w:val="0"/>
          <w:marBottom w:val="0"/>
          <w:divBdr>
            <w:top w:val="none" w:sz="0" w:space="0" w:color="auto"/>
            <w:left w:val="none" w:sz="0" w:space="0" w:color="auto"/>
            <w:bottom w:val="none" w:sz="0" w:space="0" w:color="auto"/>
            <w:right w:val="none" w:sz="0" w:space="0" w:color="auto"/>
          </w:divBdr>
          <w:divsChild>
            <w:div w:id="1389383493">
              <w:marLeft w:val="-225"/>
              <w:marRight w:val="-225"/>
              <w:marTop w:val="0"/>
              <w:marBottom w:val="0"/>
              <w:divBdr>
                <w:top w:val="none" w:sz="0" w:space="0" w:color="auto"/>
                <w:left w:val="none" w:sz="0" w:space="0" w:color="auto"/>
                <w:bottom w:val="none" w:sz="0" w:space="0" w:color="auto"/>
                <w:right w:val="none" w:sz="0" w:space="0" w:color="auto"/>
              </w:divBdr>
              <w:divsChild>
                <w:div w:id="588466136">
                  <w:marLeft w:val="25"/>
                  <w:marRight w:val="0"/>
                  <w:marTop w:val="0"/>
                  <w:marBottom w:val="0"/>
                  <w:divBdr>
                    <w:top w:val="none" w:sz="0" w:space="0" w:color="auto"/>
                    <w:left w:val="none" w:sz="0" w:space="0" w:color="auto"/>
                    <w:bottom w:val="none" w:sz="0" w:space="0" w:color="auto"/>
                    <w:right w:val="none" w:sz="0" w:space="0" w:color="auto"/>
                  </w:divBdr>
                  <w:divsChild>
                    <w:div w:id="1909417658">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280181785">
          <w:marLeft w:val="0"/>
          <w:marRight w:val="0"/>
          <w:marTop w:val="0"/>
          <w:marBottom w:val="0"/>
          <w:divBdr>
            <w:top w:val="none" w:sz="0" w:space="0" w:color="auto"/>
            <w:left w:val="none" w:sz="0" w:space="0" w:color="auto"/>
            <w:bottom w:val="none" w:sz="0" w:space="0" w:color="auto"/>
            <w:right w:val="none" w:sz="0" w:space="0" w:color="auto"/>
          </w:divBdr>
          <w:divsChild>
            <w:div w:id="1204557787">
              <w:marLeft w:val="-225"/>
              <w:marRight w:val="-225"/>
              <w:marTop w:val="0"/>
              <w:marBottom w:val="0"/>
              <w:divBdr>
                <w:top w:val="none" w:sz="0" w:space="0" w:color="auto"/>
                <w:left w:val="none" w:sz="0" w:space="0" w:color="auto"/>
                <w:bottom w:val="none" w:sz="0" w:space="0" w:color="auto"/>
                <w:right w:val="none" w:sz="0" w:space="0" w:color="auto"/>
              </w:divBdr>
              <w:divsChild>
                <w:div w:id="2102991252">
                  <w:marLeft w:val="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636">
      <w:bodyDiv w:val="1"/>
      <w:marLeft w:val="0"/>
      <w:marRight w:val="0"/>
      <w:marTop w:val="0"/>
      <w:marBottom w:val="0"/>
      <w:divBdr>
        <w:top w:val="none" w:sz="0" w:space="0" w:color="auto"/>
        <w:left w:val="none" w:sz="0" w:space="0" w:color="auto"/>
        <w:bottom w:val="none" w:sz="0" w:space="0" w:color="auto"/>
        <w:right w:val="none" w:sz="0" w:space="0" w:color="auto"/>
      </w:divBdr>
      <w:divsChild>
        <w:div w:id="882711166">
          <w:marLeft w:val="0"/>
          <w:marRight w:val="0"/>
          <w:marTop w:val="0"/>
          <w:marBottom w:val="0"/>
          <w:divBdr>
            <w:top w:val="none" w:sz="0" w:space="0" w:color="auto"/>
            <w:left w:val="none" w:sz="0" w:space="0" w:color="auto"/>
            <w:bottom w:val="none" w:sz="0" w:space="0" w:color="auto"/>
            <w:right w:val="none" w:sz="0" w:space="0" w:color="auto"/>
          </w:divBdr>
          <w:divsChild>
            <w:div w:id="796527845">
              <w:marLeft w:val="-225"/>
              <w:marRight w:val="-225"/>
              <w:marTop w:val="0"/>
              <w:marBottom w:val="0"/>
              <w:divBdr>
                <w:top w:val="none" w:sz="0" w:space="0" w:color="auto"/>
                <w:left w:val="none" w:sz="0" w:space="0" w:color="auto"/>
                <w:bottom w:val="none" w:sz="0" w:space="0" w:color="auto"/>
                <w:right w:val="none" w:sz="0" w:space="0" w:color="auto"/>
              </w:divBdr>
              <w:divsChild>
                <w:div w:id="1098409966">
                  <w:marLeft w:val="25"/>
                  <w:marRight w:val="0"/>
                  <w:marTop w:val="0"/>
                  <w:marBottom w:val="0"/>
                  <w:divBdr>
                    <w:top w:val="none" w:sz="0" w:space="0" w:color="auto"/>
                    <w:left w:val="none" w:sz="0" w:space="0" w:color="auto"/>
                    <w:bottom w:val="none" w:sz="0" w:space="0" w:color="auto"/>
                    <w:right w:val="none" w:sz="0" w:space="0" w:color="auto"/>
                  </w:divBdr>
                </w:div>
              </w:divsChild>
            </w:div>
          </w:divsChild>
        </w:div>
        <w:div w:id="1100374105">
          <w:marLeft w:val="0"/>
          <w:marRight w:val="0"/>
          <w:marTop w:val="0"/>
          <w:marBottom w:val="0"/>
          <w:divBdr>
            <w:top w:val="none" w:sz="0" w:space="0" w:color="auto"/>
            <w:left w:val="none" w:sz="0" w:space="0" w:color="auto"/>
            <w:bottom w:val="none" w:sz="0" w:space="0" w:color="auto"/>
            <w:right w:val="none" w:sz="0" w:space="0" w:color="auto"/>
          </w:divBdr>
          <w:divsChild>
            <w:div w:id="1294945974">
              <w:marLeft w:val="-225"/>
              <w:marRight w:val="-225"/>
              <w:marTop w:val="0"/>
              <w:marBottom w:val="0"/>
              <w:divBdr>
                <w:top w:val="none" w:sz="0" w:space="0" w:color="auto"/>
                <w:left w:val="none" w:sz="0" w:space="0" w:color="auto"/>
                <w:bottom w:val="none" w:sz="0" w:space="0" w:color="auto"/>
                <w:right w:val="none" w:sz="0" w:space="0" w:color="auto"/>
              </w:divBdr>
              <w:divsChild>
                <w:div w:id="1905069312">
                  <w:marLeft w:val="25"/>
                  <w:marRight w:val="0"/>
                  <w:marTop w:val="0"/>
                  <w:marBottom w:val="0"/>
                  <w:divBdr>
                    <w:top w:val="none" w:sz="0" w:space="0" w:color="auto"/>
                    <w:left w:val="none" w:sz="0" w:space="0" w:color="auto"/>
                    <w:bottom w:val="none" w:sz="0" w:space="0" w:color="auto"/>
                    <w:right w:val="none" w:sz="0" w:space="0" w:color="auto"/>
                  </w:divBdr>
                </w:div>
              </w:divsChild>
            </w:div>
          </w:divsChild>
        </w:div>
        <w:div w:id="744497354">
          <w:marLeft w:val="0"/>
          <w:marRight w:val="0"/>
          <w:marTop w:val="0"/>
          <w:marBottom w:val="0"/>
          <w:divBdr>
            <w:top w:val="none" w:sz="0" w:space="0" w:color="auto"/>
            <w:left w:val="none" w:sz="0" w:space="0" w:color="auto"/>
            <w:bottom w:val="none" w:sz="0" w:space="0" w:color="auto"/>
            <w:right w:val="none" w:sz="0" w:space="0" w:color="auto"/>
          </w:divBdr>
          <w:divsChild>
            <w:div w:id="2078555765">
              <w:marLeft w:val="-225"/>
              <w:marRight w:val="-225"/>
              <w:marTop w:val="0"/>
              <w:marBottom w:val="0"/>
              <w:divBdr>
                <w:top w:val="none" w:sz="0" w:space="0" w:color="auto"/>
                <w:left w:val="none" w:sz="0" w:space="0" w:color="auto"/>
                <w:bottom w:val="none" w:sz="0" w:space="0" w:color="auto"/>
                <w:right w:val="none" w:sz="0" w:space="0" w:color="auto"/>
              </w:divBdr>
              <w:divsChild>
                <w:div w:id="1733773410">
                  <w:marLeft w:val="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17073">
      <w:bodyDiv w:val="1"/>
      <w:marLeft w:val="0"/>
      <w:marRight w:val="0"/>
      <w:marTop w:val="0"/>
      <w:marBottom w:val="0"/>
      <w:divBdr>
        <w:top w:val="none" w:sz="0" w:space="0" w:color="auto"/>
        <w:left w:val="none" w:sz="0" w:space="0" w:color="auto"/>
        <w:bottom w:val="none" w:sz="0" w:space="0" w:color="auto"/>
        <w:right w:val="none" w:sz="0" w:space="0" w:color="auto"/>
      </w:divBdr>
      <w:divsChild>
        <w:div w:id="1225601634">
          <w:marLeft w:val="0"/>
          <w:marRight w:val="0"/>
          <w:marTop w:val="0"/>
          <w:marBottom w:val="0"/>
          <w:divBdr>
            <w:top w:val="none" w:sz="0" w:space="0" w:color="auto"/>
            <w:left w:val="none" w:sz="0" w:space="0" w:color="auto"/>
            <w:bottom w:val="none" w:sz="0" w:space="0" w:color="auto"/>
            <w:right w:val="none" w:sz="0" w:space="0" w:color="auto"/>
          </w:divBdr>
          <w:divsChild>
            <w:div w:id="1287590238">
              <w:marLeft w:val="-225"/>
              <w:marRight w:val="-225"/>
              <w:marTop w:val="0"/>
              <w:marBottom w:val="0"/>
              <w:divBdr>
                <w:top w:val="none" w:sz="0" w:space="0" w:color="auto"/>
                <w:left w:val="none" w:sz="0" w:space="0" w:color="auto"/>
                <w:bottom w:val="none" w:sz="0" w:space="0" w:color="auto"/>
                <w:right w:val="none" w:sz="0" w:space="0" w:color="auto"/>
              </w:divBdr>
              <w:divsChild>
                <w:div w:id="2013793473">
                  <w:marLeft w:val="25"/>
                  <w:marRight w:val="0"/>
                  <w:marTop w:val="0"/>
                  <w:marBottom w:val="0"/>
                  <w:divBdr>
                    <w:top w:val="none" w:sz="0" w:space="0" w:color="auto"/>
                    <w:left w:val="none" w:sz="0" w:space="0" w:color="auto"/>
                    <w:bottom w:val="none" w:sz="0" w:space="0" w:color="auto"/>
                    <w:right w:val="none" w:sz="0" w:space="0" w:color="auto"/>
                  </w:divBdr>
                </w:div>
              </w:divsChild>
            </w:div>
          </w:divsChild>
        </w:div>
        <w:div w:id="1163396511">
          <w:marLeft w:val="0"/>
          <w:marRight w:val="0"/>
          <w:marTop w:val="0"/>
          <w:marBottom w:val="0"/>
          <w:divBdr>
            <w:top w:val="none" w:sz="0" w:space="0" w:color="auto"/>
            <w:left w:val="none" w:sz="0" w:space="0" w:color="auto"/>
            <w:bottom w:val="none" w:sz="0" w:space="0" w:color="auto"/>
            <w:right w:val="none" w:sz="0" w:space="0" w:color="auto"/>
          </w:divBdr>
          <w:divsChild>
            <w:div w:id="56124868">
              <w:marLeft w:val="-225"/>
              <w:marRight w:val="-225"/>
              <w:marTop w:val="0"/>
              <w:marBottom w:val="0"/>
              <w:divBdr>
                <w:top w:val="none" w:sz="0" w:space="0" w:color="auto"/>
                <w:left w:val="none" w:sz="0" w:space="0" w:color="auto"/>
                <w:bottom w:val="none" w:sz="0" w:space="0" w:color="auto"/>
                <w:right w:val="none" w:sz="0" w:space="0" w:color="auto"/>
              </w:divBdr>
              <w:divsChild>
                <w:div w:id="1622030770">
                  <w:marLeft w:val="25"/>
                  <w:marRight w:val="0"/>
                  <w:marTop w:val="0"/>
                  <w:marBottom w:val="0"/>
                  <w:divBdr>
                    <w:top w:val="none" w:sz="0" w:space="0" w:color="auto"/>
                    <w:left w:val="none" w:sz="0" w:space="0" w:color="auto"/>
                    <w:bottom w:val="none" w:sz="0" w:space="0" w:color="auto"/>
                    <w:right w:val="none" w:sz="0" w:space="0" w:color="auto"/>
                  </w:divBdr>
                </w:div>
              </w:divsChild>
            </w:div>
          </w:divsChild>
        </w:div>
        <w:div w:id="327829496">
          <w:marLeft w:val="0"/>
          <w:marRight w:val="0"/>
          <w:marTop w:val="0"/>
          <w:marBottom w:val="0"/>
          <w:divBdr>
            <w:top w:val="none" w:sz="0" w:space="0" w:color="auto"/>
            <w:left w:val="none" w:sz="0" w:space="0" w:color="auto"/>
            <w:bottom w:val="none" w:sz="0" w:space="0" w:color="auto"/>
            <w:right w:val="none" w:sz="0" w:space="0" w:color="auto"/>
          </w:divBdr>
          <w:divsChild>
            <w:div w:id="1746413992">
              <w:marLeft w:val="-225"/>
              <w:marRight w:val="-225"/>
              <w:marTop w:val="0"/>
              <w:marBottom w:val="0"/>
              <w:divBdr>
                <w:top w:val="none" w:sz="0" w:space="0" w:color="auto"/>
                <w:left w:val="none" w:sz="0" w:space="0" w:color="auto"/>
                <w:bottom w:val="none" w:sz="0" w:space="0" w:color="auto"/>
                <w:right w:val="none" w:sz="0" w:space="0" w:color="auto"/>
              </w:divBdr>
              <w:divsChild>
                <w:div w:id="953750215">
                  <w:marLeft w:val="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9006">
      <w:bodyDiv w:val="1"/>
      <w:marLeft w:val="0"/>
      <w:marRight w:val="0"/>
      <w:marTop w:val="0"/>
      <w:marBottom w:val="0"/>
      <w:divBdr>
        <w:top w:val="none" w:sz="0" w:space="0" w:color="auto"/>
        <w:left w:val="none" w:sz="0" w:space="0" w:color="auto"/>
        <w:bottom w:val="none" w:sz="0" w:space="0" w:color="auto"/>
        <w:right w:val="none" w:sz="0" w:space="0" w:color="auto"/>
      </w:divBdr>
    </w:div>
    <w:div w:id="499781098">
      <w:bodyDiv w:val="1"/>
      <w:marLeft w:val="0"/>
      <w:marRight w:val="0"/>
      <w:marTop w:val="0"/>
      <w:marBottom w:val="0"/>
      <w:divBdr>
        <w:top w:val="none" w:sz="0" w:space="0" w:color="auto"/>
        <w:left w:val="none" w:sz="0" w:space="0" w:color="auto"/>
        <w:bottom w:val="none" w:sz="0" w:space="0" w:color="auto"/>
        <w:right w:val="none" w:sz="0" w:space="0" w:color="auto"/>
      </w:divBdr>
    </w:div>
    <w:div w:id="577204057">
      <w:bodyDiv w:val="1"/>
      <w:marLeft w:val="0"/>
      <w:marRight w:val="0"/>
      <w:marTop w:val="0"/>
      <w:marBottom w:val="0"/>
      <w:divBdr>
        <w:top w:val="none" w:sz="0" w:space="0" w:color="auto"/>
        <w:left w:val="none" w:sz="0" w:space="0" w:color="auto"/>
        <w:bottom w:val="none" w:sz="0" w:space="0" w:color="auto"/>
        <w:right w:val="none" w:sz="0" w:space="0" w:color="auto"/>
      </w:divBdr>
    </w:div>
    <w:div w:id="765156230">
      <w:bodyDiv w:val="1"/>
      <w:marLeft w:val="0"/>
      <w:marRight w:val="0"/>
      <w:marTop w:val="0"/>
      <w:marBottom w:val="0"/>
      <w:divBdr>
        <w:top w:val="none" w:sz="0" w:space="0" w:color="auto"/>
        <w:left w:val="none" w:sz="0" w:space="0" w:color="auto"/>
        <w:bottom w:val="none" w:sz="0" w:space="0" w:color="auto"/>
        <w:right w:val="none" w:sz="0" w:space="0" w:color="auto"/>
      </w:divBdr>
    </w:div>
    <w:div w:id="1165901903">
      <w:bodyDiv w:val="1"/>
      <w:marLeft w:val="0"/>
      <w:marRight w:val="0"/>
      <w:marTop w:val="0"/>
      <w:marBottom w:val="0"/>
      <w:divBdr>
        <w:top w:val="none" w:sz="0" w:space="0" w:color="auto"/>
        <w:left w:val="none" w:sz="0" w:space="0" w:color="auto"/>
        <w:bottom w:val="none" w:sz="0" w:space="0" w:color="auto"/>
        <w:right w:val="none" w:sz="0" w:space="0" w:color="auto"/>
      </w:divBdr>
    </w:div>
    <w:div w:id="1262833868">
      <w:bodyDiv w:val="1"/>
      <w:marLeft w:val="0"/>
      <w:marRight w:val="0"/>
      <w:marTop w:val="0"/>
      <w:marBottom w:val="0"/>
      <w:divBdr>
        <w:top w:val="none" w:sz="0" w:space="0" w:color="auto"/>
        <w:left w:val="none" w:sz="0" w:space="0" w:color="auto"/>
        <w:bottom w:val="none" w:sz="0" w:space="0" w:color="auto"/>
        <w:right w:val="none" w:sz="0" w:space="0" w:color="auto"/>
      </w:divBdr>
      <w:divsChild>
        <w:div w:id="915944463">
          <w:marLeft w:val="0"/>
          <w:marRight w:val="0"/>
          <w:marTop w:val="0"/>
          <w:marBottom w:val="420"/>
          <w:divBdr>
            <w:top w:val="none" w:sz="0" w:space="0" w:color="auto"/>
            <w:left w:val="none" w:sz="0" w:space="0" w:color="auto"/>
            <w:bottom w:val="none" w:sz="0" w:space="0" w:color="auto"/>
            <w:right w:val="none" w:sz="0" w:space="0" w:color="auto"/>
          </w:divBdr>
          <w:divsChild>
            <w:div w:id="532420734">
              <w:marLeft w:val="0"/>
              <w:marRight w:val="0"/>
              <w:marTop w:val="0"/>
              <w:marBottom w:val="0"/>
              <w:divBdr>
                <w:top w:val="none" w:sz="0" w:space="0" w:color="auto"/>
                <w:left w:val="none" w:sz="0" w:space="0" w:color="auto"/>
                <w:bottom w:val="none" w:sz="0" w:space="0" w:color="auto"/>
                <w:right w:val="none" w:sz="0" w:space="0" w:color="auto"/>
              </w:divBdr>
            </w:div>
            <w:div w:id="914751703">
              <w:marLeft w:val="0"/>
              <w:marRight w:val="0"/>
              <w:marTop w:val="0"/>
              <w:marBottom w:val="0"/>
              <w:divBdr>
                <w:top w:val="none" w:sz="0" w:space="0" w:color="auto"/>
                <w:left w:val="none" w:sz="0" w:space="0" w:color="auto"/>
                <w:bottom w:val="none" w:sz="0" w:space="0" w:color="auto"/>
                <w:right w:val="none" w:sz="0" w:space="0" w:color="auto"/>
              </w:divBdr>
            </w:div>
          </w:divsChild>
        </w:div>
        <w:div w:id="782458592">
          <w:marLeft w:val="0"/>
          <w:marRight w:val="0"/>
          <w:marTop w:val="0"/>
          <w:marBottom w:val="420"/>
          <w:divBdr>
            <w:top w:val="none" w:sz="0" w:space="0" w:color="auto"/>
            <w:left w:val="none" w:sz="0" w:space="0" w:color="auto"/>
            <w:bottom w:val="none" w:sz="0" w:space="0" w:color="auto"/>
            <w:right w:val="none" w:sz="0" w:space="0" w:color="auto"/>
          </w:divBdr>
          <w:divsChild>
            <w:div w:id="1608536074">
              <w:marLeft w:val="0"/>
              <w:marRight w:val="0"/>
              <w:marTop w:val="0"/>
              <w:marBottom w:val="0"/>
              <w:divBdr>
                <w:top w:val="none" w:sz="0" w:space="0" w:color="auto"/>
                <w:left w:val="none" w:sz="0" w:space="0" w:color="auto"/>
                <w:bottom w:val="none" w:sz="0" w:space="0" w:color="auto"/>
                <w:right w:val="none" w:sz="0" w:space="0" w:color="auto"/>
              </w:divBdr>
              <w:divsChild>
                <w:div w:id="588926020">
                  <w:marLeft w:val="0"/>
                  <w:marRight w:val="150"/>
                  <w:marTop w:val="0"/>
                  <w:marBottom w:val="0"/>
                  <w:divBdr>
                    <w:top w:val="none" w:sz="0" w:space="0" w:color="auto"/>
                    <w:left w:val="none" w:sz="0" w:space="0" w:color="auto"/>
                    <w:bottom w:val="none" w:sz="0" w:space="0" w:color="auto"/>
                    <w:right w:val="none" w:sz="0" w:space="0" w:color="auto"/>
                  </w:divBdr>
                  <w:divsChild>
                    <w:div w:id="121623719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423180621">
      <w:bodyDiv w:val="1"/>
      <w:marLeft w:val="0"/>
      <w:marRight w:val="0"/>
      <w:marTop w:val="0"/>
      <w:marBottom w:val="0"/>
      <w:divBdr>
        <w:top w:val="none" w:sz="0" w:space="0" w:color="auto"/>
        <w:left w:val="none" w:sz="0" w:space="0" w:color="auto"/>
        <w:bottom w:val="none" w:sz="0" w:space="0" w:color="auto"/>
        <w:right w:val="none" w:sz="0" w:space="0" w:color="auto"/>
      </w:divBdr>
      <w:divsChild>
        <w:div w:id="311955926">
          <w:marLeft w:val="0"/>
          <w:marRight w:val="0"/>
          <w:marTop w:val="0"/>
          <w:marBottom w:val="0"/>
          <w:divBdr>
            <w:top w:val="none" w:sz="0" w:space="0" w:color="auto"/>
            <w:left w:val="none" w:sz="0" w:space="0" w:color="auto"/>
            <w:bottom w:val="none" w:sz="0" w:space="0" w:color="auto"/>
            <w:right w:val="none" w:sz="0" w:space="0" w:color="auto"/>
          </w:divBdr>
          <w:divsChild>
            <w:div w:id="1485393129">
              <w:marLeft w:val="0"/>
              <w:marRight w:val="0"/>
              <w:marTop w:val="0"/>
              <w:marBottom w:val="0"/>
              <w:divBdr>
                <w:top w:val="single" w:sz="6" w:space="0" w:color="auto"/>
                <w:left w:val="single" w:sz="6" w:space="0" w:color="auto"/>
                <w:bottom w:val="single" w:sz="6" w:space="0" w:color="auto"/>
                <w:right w:val="single" w:sz="6" w:space="0" w:color="auto"/>
              </w:divBdr>
              <w:divsChild>
                <w:div w:id="69816496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61151958">
      <w:bodyDiv w:val="1"/>
      <w:marLeft w:val="0"/>
      <w:marRight w:val="0"/>
      <w:marTop w:val="0"/>
      <w:marBottom w:val="0"/>
      <w:divBdr>
        <w:top w:val="none" w:sz="0" w:space="0" w:color="auto"/>
        <w:left w:val="none" w:sz="0" w:space="0" w:color="auto"/>
        <w:bottom w:val="none" w:sz="0" w:space="0" w:color="auto"/>
        <w:right w:val="none" w:sz="0" w:space="0" w:color="auto"/>
      </w:divBdr>
    </w:div>
    <w:div w:id="1567299187">
      <w:bodyDiv w:val="1"/>
      <w:marLeft w:val="0"/>
      <w:marRight w:val="0"/>
      <w:marTop w:val="0"/>
      <w:marBottom w:val="0"/>
      <w:divBdr>
        <w:top w:val="none" w:sz="0" w:space="0" w:color="auto"/>
        <w:left w:val="none" w:sz="0" w:space="0" w:color="auto"/>
        <w:bottom w:val="none" w:sz="0" w:space="0" w:color="auto"/>
        <w:right w:val="none" w:sz="0" w:space="0" w:color="auto"/>
      </w:divBdr>
      <w:divsChild>
        <w:div w:id="567613194">
          <w:marLeft w:val="0"/>
          <w:marRight w:val="0"/>
          <w:marTop w:val="0"/>
          <w:marBottom w:val="420"/>
          <w:divBdr>
            <w:top w:val="none" w:sz="0" w:space="0" w:color="auto"/>
            <w:left w:val="none" w:sz="0" w:space="0" w:color="auto"/>
            <w:bottom w:val="none" w:sz="0" w:space="0" w:color="auto"/>
            <w:right w:val="none" w:sz="0" w:space="0" w:color="auto"/>
          </w:divBdr>
          <w:divsChild>
            <w:div w:id="167907567">
              <w:marLeft w:val="0"/>
              <w:marRight w:val="0"/>
              <w:marTop w:val="0"/>
              <w:marBottom w:val="0"/>
              <w:divBdr>
                <w:top w:val="none" w:sz="0" w:space="0" w:color="auto"/>
                <w:left w:val="none" w:sz="0" w:space="0" w:color="auto"/>
                <w:bottom w:val="none" w:sz="0" w:space="0" w:color="auto"/>
                <w:right w:val="none" w:sz="0" w:space="0" w:color="auto"/>
              </w:divBdr>
              <w:divsChild>
                <w:div w:id="200021329">
                  <w:marLeft w:val="0"/>
                  <w:marRight w:val="0"/>
                  <w:marTop w:val="0"/>
                  <w:marBottom w:val="0"/>
                  <w:divBdr>
                    <w:top w:val="none" w:sz="0" w:space="0" w:color="auto"/>
                    <w:left w:val="none" w:sz="0" w:space="0" w:color="auto"/>
                    <w:bottom w:val="none" w:sz="0" w:space="0" w:color="auto"/>
                    <w:right w:val="none" w:sz="0" w:space="0" w:color="auto"/>
                  </w:divBdr>
                </w:div>
                <w:div w:id="648436969">
                  <w:marLeft w:val="0"/>
                  <w:marRight w:val="0"/>
                  <w:marTop w:val="0"/>
                  <w:marBottom w:val="0"/>
                  <w:divBdr>
                    <w:top w:val="none" w:sz="0" w:space="0" w:color="auto"/>
                    <w:left w:val="none" w:sz="0" w:space="0" w:color="auto"/>
                    <w:bottom w:val="none" w:sz="0" w:space="0" w:color="auto"/>
                    <w:right w:val="none" w:sz="0" w:space="0" w:color="auto"/>
                  </w:divBdr>
                  <w:divsChild>
                    <w:div w:id="1240797890">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 w:id="1534490485">
          <w:marLeft w:val="0"/>
          <w:marRight w:val="0"/>
          <w:marTop w:val="0"/>
          <w:marBottom w:val="420"/>
          <w:divBdr>
            <w:top w:val="none" w:sz="0" w:space="0" w:color="auto"/>
            <w:left w:val="none" w:sz="0" w:space="0" w:color="auto"/>
            <w:bottom w:val="none" w:sz="0" w:space="0" w:color="auto"/>
            <w:right w:val="none" w:sz="0" w:space="0" w:color="auto"/>
          </w:divBdr>
        </w:div>
      </w:divsChild>
    </w:div>
    <w:div w:id="1600021792">
      <w:bodyDiv w:val="1"/>
      <w:marLeft w:val="0"/>
      <w:marRight w:val="0"/>
      <w:marTop w:val="0"/>
      <w:marBottom w:val="0"/>
      <w:divBdr>
        <w:top w:val="none" w:sz="0" w:space="0" w:color="auto"/>
        <w:left w:val="none" w:sz="0" w:space="0" w:color="auto"/>
        <w:bottom w:val="none" w:sz="0" w:space="0" w:color="auto"/>
        <w:right w:val="none" w:sz="0" w:space="0" w:color="auto"/>
      </w:divBdr>
    </w:div>
    <w:div w:id="1813016230">
      <w:bodyDiv w:val="1"/>
      <w:marLeft w:val="0"/>
      <w:marRight w:val="0"/>
      <w:marTop w:val="0"/>
      <w:marBottom w:val="0"/>
      <w:divBdr>
        <w:top w:val="none" w:sz="0" w:space="0" w:color="auto"/>
        <w:left w:val="none" w:sz="0" w:space="0" w:color="auto"/>
        <w:bottom w:val="none" w:sz="0" w:space="0" w:color="auto"/>
        <w:right w:val="none" w:sz="0" w:space="0" w:color="auto"/>
      </w:divBdr>
      <w:divsChild>
        <w:div w:id="989135077">
          <w:marLeft w:val="0"/>
          <w:marRight w:val="0"/>
          <w:marTop w:val="0"/>
          <w:marBottom w:val="0"/>
          <w:divBdr>
            <w:top w:val="none" w:sz="0" w:space="0" w:color="auto"/>
            <w:left w:val="none" w:sz="0" w:space="0" w:color="auto"/>
            <w:bottom w:val="none" w:sz="0" w:space="0" w:color="auto"/>
            <w:right w:val="none" w:sz="0" w:space="0" w:color="auto"/>
          </w:divBdr>
          <w:divsChild>
            <w:div w:id="2142962746">
              <w:marLeft w:val="-225"/>
              <w:marRight w:val="-225"/>
              <w:marTop w:val="0"/>
              <w:marBottom w:val="0"/>
              <w:divBdr>
                <w:top w:val="none" w:sz="0" w:space="0" w:color="auto"/>
                <w:left w:val="none" w:sz="0" w:space="0" w:color="auto"/>
                <w:bottom w:val="none" w:sz="0" w:space="0" w:color="auto"/>
                <w:right w:val="none" w:sz="0" w:space="0" w:color="auto"/>
              </w:divBdr>
              <w:divsChild>
                <w:div w:id="300890590">
                  <w:marLeft w:val="25"/>
                  <w:marRight w:val="0"/>
                  <w:marTop w:val="0"/>
                  <w:marBottom w:val="0"/>
                  <w:divBdr>
                    <w:top w:val="none" w:sz="0" w:space="0" w:color="auto"/>
                    <w:left w:val="none" w:sz="0" w:space="0" w:color="auto"/>
                    <w:bottom w:val="none" w:sz="0" w:space="0" w:color="auto"/>
                    <w:right w:val="none" w:sz="0" w:space="0" w:color="auto"/>
                  </w:divBdr>
                </w:div>
              </w:divsChild>
            </w:div>
          </w:divsChild>
        </w:div>
        <w:div w:id="1409690196">
          <w:marLeft w:val="0"/>
          <w:marRight w:val="0"/>
          <w:marTop w:val="0"/>
          <w:marBottom w:val="0"/>
          <w:divBdr>
            <w:top w:val="none" w:sz="0" w:space="0" w:color="auto"/>
            <w:left w:val="none" w:sz="0" w:space="0" w:color="auto"/>
            <w:bottom w:val="none" w:sz="0" w:space="0" w:color="auto"/>
            <w:right w:val="none" w:sz="0" w:space="0" w:color="auto"/>
          </w:divBdr>
          <w:divsChild>
            <w:div w:id="1978031129">
              <w:marLeft w:val="-225"/>
              <w:marRight w:val="-225"/>
              <w:marTop w:val="0"/>
              <w:marBottom w:val="0"/>
              <w:divBdr>
                <w:top w:val="none" w:sz="0" w:space="0" w:color="auto"/>
                <w:left w:val="none" w:sz="0" w:space="0" w:color="auto"/>
                <w:bottom w:val="none" w:sz="0" w:space="0" w:color="auto"/>
                <w:right w:val="none" w:sz="0" w:space="0" w:color="auto"/>
              </w:divBdr>
              <w:divsChild>
                <w:div w:id="1546409516">
                  <w:marLeft w:val="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37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0681750/"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ture.com/articles/s41586-021-032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1606</Words>
  <Characters>11281</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Niesing, Birgit</dc:creator>
  <cp:keywords/>
  <dc:description/>
  <cp:lastModifiedBy>Niesing, Birgit</cp:lastModifiedBy>
  <cp:revision>2</cp:revision>
  <cp:lastPrinted>2021-02-16T12:57:00Z</cp:lastPrinted>
  <dcterms:created xsi:type="dcterms:W3CDTF">2021-02-17T17:36:00Z</dcterms:created>
  <dcterms:modified xsi:type="dcterms:W3CDTF">2021-02-17T17:36:00Z</dcterms:modified>
</cp:coreProperties>
</file>