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19FCF0" w14:textId="77777777" w:rsidR="00C436B4" w:rsidRDefault="00D63B95">
      <w:pPr>
        <w:spacing w:line="480" w:lineRule="auto"/>
        <w:jc w:val="both"/>
        <w:rPr>
          <w:rFonts w:asciiTheme="minorBidi" w:hAnsiTheme="minorBidi"/>
          <w:b/>
          <w:bCs/>
          <w:sz w:val="24"/>
        </w:rPr>
      </w:pPr>
      <w:r>
        <w:rPr>
          <w:rFonts w:asciiTheme="minorBidi" w:hAnsiTheme="minorBidi"/>
          <w:b/>
          <w:bCs/>
          <w:sz w:val="24"/>
        </w:rPr>
        <w:t>Proteins as biomarkers of prevalent MetS</w:t>
      </w:r>
    </w:p>
    <w:p w14:paraId="34095157" w14:textId="77777777" w:rsidR="00C436B4" w:rsidRDefault="00D63B95">
      <w:pPr>
        <w:spacing w:line="480" w:lineRule="auto"/>
        <w:jc w:val="both"/>
        <w:rPr>
          <w:rFonts w:asciiTheme="minorBidi" w:hAnsiTheme="minorBidi"/>
          <w:sz w:val="24"/>
        </w:rPr>
      </w:pPr>
      <w:r>
        <w:rPr>
          <w:rFonts w:asciiTheme="minorBidi" w:hAnsiTheme="minorBidi"/>
          <w:sz w:val="24"/>
        </w:rPr>
        <w:t>We applied the same model selection strategy described in the methods section to build a protein risk score of prevalent MetS. We used KORA as a training dataset and HUNT as a test dataset to identify the subset of proteins with the highest predictive abilities.</w:t>
      </w:r>
    </w:p>
    <w:p w14:paraId="64823B63" w14:textId="340B0A08" w:rsidR="00C436B4" w:rsidRDefault="00D63B95">
      <w:pPr>
        <w:spacing w:line="480" w:lineRule="auto"/>
        <w:jc w:val="both"/>
        <w:rPr>
          <w:rFonts w:ascii="Arial" w:hAnsi="Arial"/>
          <w:sz w:val="24"/>
          <w:szCs w:val="24"/>
        </w:rPr>
      </w:pPr>
      <w:r>
        <w:rPr>
          <w:rFonts w:ascii="Arial" w:hAnsi="Arial"/>
          <w:sz w:val="24"/>
          <w:szCs w:val="24"/>
        </w:rPr>
        <w:t xml:space="preserve">We investigated the utility of the proteins significantly associated with prevalent MetS in KORA and available in HUNT (109 proteins) as biomarkers. We applied bootstrap ranking of LASSO to select the proteins with the best performance, resulting in a 15-protein diagnostic model </w:t>
      </w:r>
      <w:r>
        <w:rPr>
          <w:rFonts w:asciiTheme="minorBidi" w:hAnsiTheme="minorBidi"/>
          <w:sz w:val="24"/>
        </w:rPr>
        <w:t xml:space="preserve">(Supplementary Table </w:t>
      </w:r>
      <w:r w:rsidR="00EC7B2B">
        <w:rPr>
          <w:rFonts w:asciiTheme="minorBidi" w:hAnsiTheme="minorBidi"/>
          <w:sz w:val="24"/>
        </w:rPr>
        <w:t>S7</w:t>
      </w:r>
      <w:r>
        <w:rPr>
          <w:rFonts w:asciiTheme="minorBidi" w:hAnsiTheme="minorBidi"/>
          <w:sz w:val="24"/>
        </w:rPr>
        <w:t>)</w:t>
      </w:r>
      <w:r>
        <w:rPr>
          <w:rFonts w:ascii="Arial" w:hAnsi="Arial"/>
          <w:sz w:val="24"/>
          <w:szCs w:val="24"/>
        </w:rPr>
        <w:t xml:space="preserve">. The LASSO selected model performed well in both KORA and HUNT, with an AUC-KORA of 0.87 (95% CI = 0.85 - 0.89) and AUC-HUNT of 0.74 (95% CI = 0.71 - 0.77) (Supplementary Figure S3). </w:t>
      </w:r>
    </w:p>
    <w:p w14:paraId="732D3B6C" w14:textId="77777777" w:rsidR="00C436B4" w:rsidRDefault="00D63B95">
      <w:pPr>
        <w:spacing w:line="480" w:lineRule="auto"/>
        <w:jc w:val="both"/>
        <w:rPr>
          <w:rFonts w:ascii="Arial" w:hAnsi="Arial"/>
          <w:sz w:val="24"/>
          <w:szCs w:val="24"/>
        </w:rPr>
      </w:pPr>
      <w:r>
        <w:rPr>
          <w:rFonts w:ascii="Arial" w:hAnsi="Arial"/>
          <w:sz w:val="24"/>
          <w:szCs w:val="24"/>
        </w:rPr>
        <w:t>Comparing the LASSO selected diagnostic model to the age and sex model yielded an increase in AUC of 0.19 in KORA and 0.24 in HUNT, both of which were significant based on the DeLong test (Supplementary Figure S3).</w:t>
      </w:r>
    </w:p>
    <w:p w14:paraId="294DA51B" w14:textId="77777777" w:rsidR="00C436B4" w:rsidRDefault="00D63B95">
      <w:pPr>
        <w:spacing w:line="480" w:lineRule="auto"/>
        <w:jc w:val="both"/>
        <w:rPr>
          <w:rFonts w:ascii="Arial" w:hAnsi="Arial"/>
          <w:sz w:val="24"/>
          <w:szCs w:val="24"/>
        </w:rPr>
      </w:pPr>
      <w:r>
        <w:rPr>
          <w:rFonts w:ascii="Arial" w:hAnsi="Arial"/>
          <w:sz w:val="24"/>
          <w:szCs w:val="24"/>
        </w:rPr>
        <w:t>Investigation of the LASSO-selected model using calibration plots, examining fitted vs observed values of the outcome, yielded a calibration-in-the-large (intercept) of 0.56 and a calibration slope of 0.55 in HUNT (Supplementary Figure S4). Calibration-in-the-large is optimally zero, which would indicate no difference between observed and model-predicted risks. In HUNT, we obtained values higher than zero, indicating higher observed cases than predicted. The calibration slope in HUNT was 0.53, which indicates possible overfitting of the model and the need for coefficient shrinkage.</w:t>
      </w:r>
    </w:p>
    <w:p w14:paraId="22C3D4DA" w14:textId="572FECBF" w:rsidR="00C436B4" w:rsidRDefault="00D63B95">
      <w:pPr>
        <w:spacing w:line="480" w:lineRule="auto"/>
        <w:jc w:val="both"/>
        <w:rPr>
          <w:rFonts w:ascii="Arial" w:hAnsi="Arial"/>
          <w:sz w:val="24"/>
          <w:szCs w:val="24"/>
        </w:rPr>
      </w:pPr>
      <w:r>
        <w:rPr>
          <w:rFonts w:ascii="Arial" w:hAnsi="Arial"/>
          <w:sz w:val="24"/>
          <w:szCs w:val="24"/>
        </w:rPr>
        <w:t xml:space="preserve">As single biomarkers, the top performing protein was adiponectin with an AUC = 0.75 (95% CI = 0.72–0.78) (Supplementary table </w:t>
      </w:r>
      <w:r w:rsidR="00EC7B2B">
        <w:rPr>
          <w:rFonts w:ascii="Arial" w:hAnsi="Arial"/>
          <w:sz w:val="24"/>
          <w:szCs w:val="24"/>
        </w:rPr>
        <w:t>S8</w:t>
      </w:r>
      <w:r>
        <w:rPr>
          <w:rFonts w:ascii="Arial" w:hAnsi="Arial"/>
          <w:sz w:val="24"/>
          <w:szCs w:val="24"/>
        </w:rPr>
        <w:t xml:space="preserve">). The highest performing proteins </w:t>
      </w:r>
      <w:r>
        <w:rPr>
          <w:rFonts w:ascii="Arial" w:hAnsi="Arial"/>
          <w:sz w:val="24"/>
          <w:szCs w:val="24"/>
        </w:rPr>
        <w:lastRenderedPageBreak/>
        <w:t xml:space="preserve">overlapping both cohorts, based on their average AUC, were SHBG with KORA-AUC = 0.72 (95% CI = 0.69–0.75) and HUNT-AUC = 0.66 (95% CI = 0.63–0.70) and </w:t>
      </w:r>
      <w:r>
        <w:rPr>
          <w:rFonts w:asciiTheme="minorBidi" w:hAnsiTheme="minorBidi"/>
          <w:sz w:val="24"/>
        </w:rPr>
        <w:t xml:space="preserve">insulin-like growth factor-binding protein 1 (IGFBP1) </w:t>
      </w:r>
      <w:r>
        <w:rPr>
          <w:rFonts w:ascii="Arial" w:hAnsi="Arial"/>
          <w:sz w:val="24"/>
          <w:szCs w:val="24"/>
        </w:rPr>
        <w:t>with KORA-AUC = 0.73 (95% CI = 0.69–0.76) and HUNT-AUC = 0.65 (95%CI = 0.62–0.69).</w:t>
      </w:r>
    </w:p>
    <w:p w14:paraId="43B35403" w14:textId="71AF046D" w:rsidR="0046423B" w:rsidRDefault="00D63B95">
      <w:pPr>
        <w:spacing w:line="480" w:lineRule="auto"/>
        <w:jc w:val="both"/>
        <w:rPr>
          <w:rFonts w:asciiTheme="minorBidi" w:hAnsiTheme="minorBidi"/>
          <w:sz w:val="24"/>
          <w:lang w:bidi="ar-EG"/>
        </w:rPr>
      </w:pPr>
      <w:r>
        <w:rPr>
          <w:rFonts w:asciiTheme="minorBidi" w:hAnsiTheme="minorBidi"/>
          <w:sz w:val="24"/>
          <w:lang w:bidi="ar-EG"/>
        </w:rPr>
        <w:t>The diagnostic risk score performed well in KORA; however, the performance was poorer in HUNT. Further investigation using calibration plots revealed that this decrease in performance could be driven by t</w:t>
      </w:r>
      <w:r>
        <w:rPr>
          <w:rFonts w:ascii="Arial" w:hAnsi="Arial"/>
          <w:sz w:val="24"/>
          <w:szCs w:val="24"/>
        </w:rPr>
        <w:t>he differences in MetS definition between the cohorts</w:t>
      </w:r>
      <w:r>
        <w:rPr>
          <w:rFonts w:asciiTheme="minorBidi" w:hAnsiTheme="minorBidi"/>
          <w:sz w:val="24"/>
          <w:lang w:bidi="ar-EG"/>
        </w:rPr>
        <w:t xml:space="preserve">. The </w:t>
      </w:r>
      <w:r>
        <w:rPr>
          <w:rFonts w:ascii="Arial" w:hAnsi="Arial"/>
          <w:sz w:val="24"/>
          <w:szCs w:val="24"/>
        </w:rPr>
        <w:t xml:space="preserve">calibration slope in HUNT indicated the need for coefficient shrinkage attributable to the heterogeneity between the cohorts in terms of patient characteristics and outcome definition. </w:t>
      </w:r>
      <w:r>
        <w:rPr>
          <w:rFonts w:asciiTheme="minorBidi" w:hAnsiTheme="minorBidi"/>
          <w:sz w:val="24"/>
          <w:lang w:bidi="ar-EG"/>
        </w:rPr>
        <w:t>As single diagnostic biomarkers, the top five performers included adiponectin, PLAT, IGFBP1, IGFBP2, and SHBG.</w:t>
      </w:r>
    </w:p>
    <w:p w14:paraId="105AC485" w14:textId="257FA286" w:rsidR="00554202" w:rsidRDefault="00554202" w:rsidP="00F77794">
      <w:pPr>
        <w:spacing w:line="480" w:lineRule="auto"/>
        <w:jc w:val="both"/>
        <w:rPr>
          <w:rFonts w:asciiTheme="minorBidi" w:hAnsiTheme="minorBidi"/>
          <w:b/>
          <w:bCs/>
          <w:sz w:val="24"/>
        </w:rPr>
      </w:pPr>
      <w:r>
        <w:rPr>
          <w:rFonts w:asciiTheme="minorBidi" w:hAnsiTheme="minorBidi"/>
          <w:b/>
          <w:bCs/>
          <w:sz w:val="24"/>
        </w:rPr>
        <w:t xml:space="preserve">Enrichment and </w:t>
      </w:r>
      <w:r w:rsidRPr="00554202">
        <w:rPr>
          <w:rFonts w:asciiTheme="minorBidi" w:hAnsiTheme="minorBidi"/>
          <w:b/>
          <w:bCs/>
          <w:sz w:val="24"/>
        </w:rPr>
        <w:t>protein-protein interaction network analys</w:t>
      </w:r>
      <w:r>
        <w:rPr>
          <w:rFonts w:asciiTheme="minorBidi" w:hAnsiTheme="minorBidi"/>
          <w:b/>
          <w:bCs/>
          <w:sz w:val="24"/>
        </w:rPr>
        <w:t>e</w:t>
      </w:r>
      <w:r w:rsidRPr="00554202">
        <w:rPr>
          <w:rFonts w:asciiTheme="minorBidi" w:hAnsiTheme="minorBidi"/>
          <w:b/>
          <w:bCs/>
          <w:sz w:val="24"/>
        </w:rPr>
        <w:t>s</w:t>
      </w:r>
    </w:p>
    <w:p w14:paraId="0CA8EA8B" w14:textId="2E03ABC1" w:rsidR="009674CD" w:rsidRDefault="00554202" w:rsidP="00852164">
      <w:pPr>
        <w:spacing w:line="480" w:lineRule="auto"/>
        <w:jc w:val="both"/>
        <w:rPr>
          <w:rFonts w:asciiTheme="minorBidi" w:hAnsiTheme="minorBidi"/>
          <w:b/>
          <w:bCs/>
          <w:sz w:val="24"/>
        </w:rPr>
      </w:pPr>
      <w:r>
        <w:rPr>
          <w:rFonts w:asciiTheme="minorBidi" w:hAnsiTheme="minorBidi"/>
          <w:sz w:val="24"/>
          <w:lang w:bidi="ar-EG"/>
        </w:rPr>
        <w:t xml:space="preserve">Using </w:t>
      </w:r>
      <w:r w:rsidRPr="00554202">
        <w:rPr>
          <w:rFonts w:asciiTheme="minorBidi" w:hAnsiTheme="minorBidi"/>
          <w:sz w:val="24"/>
          <w:lang w:bidi="ar-EG"/>
        </w:rPr>
        <w:t>STRING</w:t>
      </w:r>
      <w:r w:rsidR="00CC2166">
        <w:rPr>
          <w:rFonts w:asciiTheme="minorBidi" w:hAnsiTheme="minorBidi"/>
          <w:sz w:val="24"/>
          <w:lang w:bidi="ar-EG"/>
        </w:rPr>
        <w:t xml:space="preserve"> </w:t>
      </w:r>
      <w:r w:rsidR="00CC2166">
        <w:rPr>
          <w:rFonts w:asciiTheme="minorBidi" w:hAnsiTheme="minorBidi"/>
          <w:sz w:val="24"/>
          <w:lang w:bidi="ar-EG"/>
        </w:rPr>
        <w:fldChar w:fldCharType="begin">
          <w:fldData xml:space="preserve">PEVuZE5vdGU+PENpdGU+PEF1dGhvcj5TemtsYXJjenlrPC9BdXRob3I+PFllYXI+MjAxOTwvWWVh
cj48UmVjTnVtPjg2NzwvUmVjTnVtPjxEaXNwbGF5VGV4dD4oMSk8L0Rpc3BsYXlUZXh0PjxyZWNv
cmQ+PHJlYy1udW1iZXI+ODY3PC9yZWMtbnVtYmVyPjxmb3JlaWduLWtleXM+PGtleSBhcHA9IkVO
IiBkYi1pZD0iMmFycDU5ZXZzdnZzZmdlYXAyZjV6MDBhMjl2ZGQ1cnA1dmQ5IiB0aW1lc3RhbXA9
IjE2MTkzNDQ3NzciPjg2Nzwva2V5PjwvZm9yZWlnbi1rZXlzPjxyZWYtdHlwZSBuYW1lPSJKb3Vy
bmFsIEFydGljbGUiPjE3PC9yZWYtdHlwZT48Y29udHJpYnV0b3JzPjxhdXRob3JzPjxhdXRob3I+
U3prbGFyY3p5aywgRC48L2F1dGhvcj48YXV0aG9yPkdhYmxlLCBBLiBMLjwvYXV0aG9yPjxhdXRo
b3I+THlvbiwgRC48L2F1dGhvcj48YXV0aG9yPkp1bmdlLCBBLjwvYXV0aG9yPjxhdXRob3I+V3lk
ZXIsIFMuPC9hdXRob3I+PGF1dGhvcj5IdWVydGEtQ2VwYXMsIEouPC9hdXRob3I+PGF1dGhvcj5T
aW1vbm92aWMsIE0uPC9hdXRob3I+PGF1dGhvcj5Eb25jaGV2YSwgTi4gVC48L2F1dGhvcj48YXV0
aG9yPk1vcnJpcywgSi4gSC48L2F1dGhvcj48YXV0aG9yPkJvcmssIFAuPC9hdXRob3I+PGF1dGhv
cj5KZW5zZW4sIEwuIEouPC9hdXRob3I+PGF1dGhvcj5NZXJpbmcsIEMuIFYuPC9hdXRob3I+PC9h
dXRob3JzPjwvY29udHJpYnV0b3JzPjxhdXRoLWFkZHJlc3M+SW5zdGl0dXRlIG9mIE1vbGVjdWxh
ciBMaWZlIFNjaWVuY2VzIGFuZCBTd2lzcyBJbnN0aXR1dGUgb2YgQmlvaW5mb3JtYXRpY3MsIFVu
aXZlcnNpdHkgb2YgWnVyaWNoLCA4MDU3IFp1cmljaCwgU3dpdHplcmxhbmQuJiN4RDtOb3ZvIE5v
cmRpc2sgRm91bmRhdGlvbiBDZW50ZXIgZm9yIFByb3RlaW4gUmVzZWFyY2gsIFVuaXZlcnNpdHkg
b2YgQ29wZW5oYWdlbiwgMjIwMCBDb3BlbmhhZ2VuIE4sIERlbm1hcmsuJiN4RDtDZW50cm8gZGUg
QmlvdGVjbm9sb2fDrWEgeSBHZW7Ds21pY2EgZGUgUGxhbnRhcywgVW5pdmVyc2lkYWQgUG9saXTD
qWNuaWNhIGRlIE1hZHJpZCAoVVBNKS1JbnN0aXR1dG8gTmFjaW9uYWwgZGUgSW52ZXN0aWdhY2nD
s24geSBUZWNub2xvZ8OtYSBBZ3JhcmlhIHkgQWxpbWVudGFyaWEgKElOSUEpLCAyODIyM8KgTWFk
cmlkLCBTcGFpbi4mI3hEO0NlbnRlciBmb3Igbm9uLWNvZGluZyBSTkEgaW4gVGVjaG5vbG9neSBh
bmQgSGVhbHRoLCBVbml2ZXJzaXR5IG9mIENvcGVuaGFnZW4sIDIyMDAgQ29wZW5oYWdlbiBOLCBE
ZW5tYXJrLiYjeEQ7UmVzb3VyY2Ugb24gQmlvY29tcHV0aW5nLCBWaXN1YWxpemF0aW9uLCBhbmQg
SW5mb3JtYXRpY3MsIFVuaXZlcnNpdHkgb2YgQ2FsaWZvcm5pYSwgU2FuIEZyYW5jaXNjbywgQ0Eg
OTQxNTgtMjUxNywgVVNBLiYjeEQ7U3RydWN0dXJhbCBhbmQgQ29tcHV0YXRpb25hbCBCaW9sb2d5
IFVuaXQsIEV1cm9wZWFuIE1vbGVjdWxhciBCaW9sb2d5IExhYm9yYXRvcnksIDY5MTE3IEhlaWRl
bGJlcmcsIEdlcm1hbnkuJiN4RDtNb2xlY3VsYXIgTWVkaWNpbmUgUGFydG5lcnNoaXAgVW5pdCwg
VW5pdmVyc2l0eSBvZiBIZWlkZWxiZXJnIGFuZCBFdXJvcGVhbiBNb2xlY3VsYXIgQmlvbG9neSBM
YWJvcmF0b3J5LCA2OTExNyBIZWlkZWxiZXJnLCBHZXJtYW55LiYjeEQ7TWF4IERlbGJyw7xjayBD
ZW50cmUgZm9yIE1vbGVjdWxhciBNZWRpY2luZSwgMTMxMjUgQmVybGluLCBHZXJtYW55LiYjeEQ7
RGVwYXJ0bWVudCBvZiBCaW9pbmZvcm1hdGljcywgQmlvY2VudGVyLCBVbml2ZXJzaXR5IG9mIFfD
vHJ6YnVyZywgOTcwNzQgV8O8cnpidXJnLCBHZXJtYW55LjwvYXV0aC1hZGRyZXNzPjx0aXRsZXM+
PHRpdGxlPlNUUklORyB2MTE6IHByb3RlaW4tcHJvdGVpbiBhc3NvY2lhdGlvbiBuZXR3b3JrcyB3
aXRoIGluY3JlYXNlZCBjb3ZlcmFnZSwgc3VwcG9ydGluZyBmdW5jdGlvbmFsIGRpc2NvdmVyeSBp
biBnZW5vbWUtd2lkZSBleHBlcmltZW50YWwgZGF0YXNldHM8L3RpdGxlPjxzZWNvbmRhcnktdGl0
bGU+TnVjbGVpYyBBY2lkcyBSZXM8L3NlY29uZGFyeS10aXRsZT48L3RpdGxlcz48cGVyaW9kaWNh
bD48ZnVsbC10aXRsZT5OdWNsZWljIEFjaWRzIFJlczwvZnVsbC10aXRsZT48L3BlcmlvZGljYWw+
PHBhZ2VzPkQ2MDctZDYxMzwvcGFnZXM+PHZvbHVtZT40Nzwvdm9sdW1lPjxudW1iZXI+RDE8L251
bWJlcj48ZWRpdGlvbj4yMDE4LzExLzI3PC9lZGl0aW9uPjxrZXl3b3Jkcz48a2V5d29yZD5Bbmlt
YWxzPC9rZXl3b3JkPjxrZXl3b3JkPkRhdGFiYXNlcywgR2VuZXRpYzwva2V5d29yZD48a2V5d29y
ZD5HZW5lIE9udG9sb2d5PC9rZXl3b3JkPjxrZXl3b3JkPkdlbm9taWNzLyptZXRob2RzPC9rZXl3
b3JkPjxrZXl3b3JkPkh1bWFuczwva2V5d29yZD48a2V5d29yZD5Qcm90ZWluIEludGVyYWN0aW9u
IE1hcHBpbmcvKm1ldGhvZHM8L2tleXdvcmQ+PGtleXdvcmQ+KlNvZnR3YXJlPC9rZXl3b3JkPjwv
a2V5d29yZHM+PGRhdGVzPjx5ZWFyPjIwMTk8L3llYXI+PHB1Yi1kYXRlcz48ZGF0ZT5KYW4gODwv
ZGF0ZT48L3B1Yi1kYXRlcz48L2RhdGVzPjxpc2JuPjAzMDUtMTA0OCAoUHJpbnQpJiN4RDswMzA1
LTEwNDg8L2lzYm4+PGFjY2Vzc2lvbi1udW0+MzA0NzYyNDM8L2FjY2Vzc2lvbi1udW0+PHVybHM+
PC91cmxzPjxjdXN0b20yPlBNQzYzMjM5ODY8L2N1c3RvbTI+PGVsZWN0cm9uaWMtcmVzb3VyY2Ut
bnVtPjEwLjEwOTMvbmFyL2dreTExMzE8L2VsZWN0cm9uaWMtcmVzb3VyY2UtbnVtPjxyZW1vdGUt
ZGF0YWJhc2UtcHJvdmlkZXI+TkxNPC9yZW1vdGUtZGF0YWJhc2UtcHJvdmlkZXI+PGxhbmd1YWdl
PmVuZzwvbGFuZ3VhZ2U+PC9yZWNvcmQ+PC9DaXRlPjwvRW5kTm90ZT5=
</w:fldData>
        </w:fldChar>
      </w:r>
      <w:r w:rsidR="00CC2166">
        <w:rPr>
          <w:rFonts w:asciiTheme="minorBidi" w:hAnsiTheme="minorBidi"/>
          <w:sz w:val="24"/>
          <w:lang w:bidi="ar-EG"/>
        </w:rPr>
        <w:instrText xml:space="preserve"> ADDIN EN.CITE </w:instrText>
      </w:r>
      <w:r w:rsidR="00CC2166">
        <w:rPr>
          <w:rFonts w:asciiTheme="minorBidi" w:hAnsiTheme="minorBidi"/>
          <w:sz w:val="24"/>
          <w:lang w:bidi="ar-EG"/>
        </w:rPr>
        <w:fldChar w:fldCharType="begin">
          <w:fldData xml:space="preserve">PEVuZE5vdGU+PENpdGU+PEF1dGhvcj5TemtsYXJjenlrPC9BdXRob3I+PFllYXI+MjAxOTwvWWVh
cj48UmVjTnVtPjg2NzwvUmVjTnVtPjxEaXNwbGF5VGV4dD4oMSk8L0Rpc3BsYXlUZXh0PjxyZWNv
cmQ+PHJlYy1udW1iZXI+ODY3PC9yZWMtbnVtYmVyPjxmb3JlaWduLWtleXM+PGtleSBhcHA9IkVO
IiBkYi1pZD0iMmFycDU5ZXZzdnZzZmdlYXAyZjV6MDBhMjl2ZGQ1cnA1dmQ5IiB0aW1lc3RhbXA9
IjE2MTkzNDQ3NzciPjg2Nzwva2V5PjwvZm9yZWlnbi1rZXlzPjxyZWYtdHlwZSBuYW1lPSJKb3Vy
bmFsIEFydGljbGUiPjE3PC9yZWYtdHlwZT48Y29udHJpYnV0b3JzPjxhdXRob3JzPjxhdXRob3I+
U3prbGFyY3p5aywgRC48L2F1dGhvcj48YXV0aG9yPkdhYmxlLCBBLiBMLjwvYXV0aG9yPjxhdXRo
b3I+THlvbiwgRC48L2F1dGhvcj48YXV0aG9yPkp1bmdlLCBBLjwvYXV0aG9yPjxhdXRob3I+V3lk
ZXIsIFMuPC9hdXRob3I+PGF1dGhvcj5IdWVydGEtQ2VwYXMsIEouPC9hdXRob3I+PGF1dGhvcj5T
aW1vbm92aWMsIE0uPC9hdXRob3I+PGF1dGhvcj5Eb25jaGV2YSwgTi4gVC48L2F1dGhvcj48YXV0
aG9yPk1vcnJpcywgSi4gSC48L2F1dGhvcj48YXV0aG9yPkJvcmssIFAuPC9hdXRob3I+PGF1dGhv
cj5KZW5zZW4sIEwuIEouPC9hdXRob3I+PGF1dGhvcj5NZXJpbmcsIEMuIFYuPC9hdXRob3I+PC9h
dXRob3JzPjwvY29udHJpYnV0b3JzPjxhdXRoLWFkZHJlc3M+SW5zdGl0dXRlIG9mIE1vbGVjdWxh
ciBMaWZlIFNjaWVuY2VzIGFuZCBTd2lzcyBJbnN0aXR1dGUgb2YgQmlvaW5mb3JtYXRpY3MsIFVu
aXZlcnNpdHkgb2YgWnVyaWNoLCA4MDU3IFp1cmljaCwgU3dpdHplcmxhbmQuJiN4RDtOb3ZvIE5v
cmRpc2sgRm91bmRhdGlvbiBDZW50ZXIgZm9yIFByb3RlaW4gUmVzZWFyY2gsIFVuaXZlcnNpdHkg
b2YgQ29wZW5oYWdlbiwgMjIwMCBDb3BlbmhhZ2VuIE4sIERlbm1hcmsuJiN4RDtDZW50cm8gZGUg
QmlvdGVjbm9sb2fDrWEgeSBHZW7Ds21pY2EgZGUgUGxhbnRhcywgVW5pdmVyc2lkYWQgUG9saXTD
qWNuaWNhIGRlIE1hZHJpZCAoVVBNKS1JbnN0aXR1dG8gTmFjaW9uYWwgZGUgSW52ZXN0aWdhY2nD
s24geSBUZWNub2xvZ8OtYSBBZ3JhcmlhIHkgQWxpbWVudGFyaWEgKElOSUEpLCAyODIyM8KgTWFk
cmlkLCBTcGFpbi4mI3hEO0NlbnRlciBmb3Igbm9uLWNvZGluZyBSTkEgaW4gVGVjaG5vbG9neSBh
bmQgSGVhbHRoLCBVbml2ZXJzaXR5IG9mIENvcGVuaGFnZW4sIDIyMDAgQ29wZW5oYWdlbiBOLCBE
ZW5tYXJrLiYjeEQ7UmVzb3VyY2Ugb24gQmlvY29tcHV0aW5nLCBWaXN1YWxpemF0aW9uLCBhbmQg
SW5mb3JtYXRpY3MsIFVuaXZlcnNpdHkgb2YgQ2FsaWZvcm5pYSwgU2FuIEZyYW5jaXNjbywgQ0Eg
OTQxNTgtMjUxNywgVVNBLiYjeEQ7U3RydWN0dXJhbCBhbmQgQ29tcHV0YXRpb25hbCBCaW9sb2d5
IFVuaXQsIEV1cm9wZWFuIE1vbGVjdWxhciBCaW9sb2d5IExhYm9yYXRvcnksIDY5MTE3IEhlaWRl
bGJlcmcsIEdlcm1hbnkuJiN4RDtNb2xlY3VsYXIgTWVkaWNpbmUgUGFydG5lcnNoaXAgVW5pdCwg
VW5pdmVyc2l0eSBvZiBIZWlkZWxiZXJnIGFuZCBFdXJvcGVhbiBNb2xlY3VsYXIgQmlvbG9neSBM
YWJvcmF0b3J5LCA2OTExNyBIZWlkZWxiZXJnLCBHZXJtYW55LiYjeEQ7TWF4IERlbGJyw7xjayBD
ZW50cmUgZm9yIE1vbGVjdWxhciBNZWRpY2luZSwgMTMxMjUgQmVybGluLCBHZXJtYW55LiYjeEQ7
RGVwYXJ0bWVudCBvZiBCaW9pbmZvcm1hdGljcywgQmlvY2VudGVyLCBVbml2ZXJzaXR5IG9mIFfD
vHJ6YnVyZywgOTcwNzQgV8O8cnpidXJnLCBHZXJtYW55LjwvYXV0aC1hZGRyZXNzPjx0aXRsZXM+
PHRpdGxlPlNUUklORyB2MTE6IHByb3RlaW4tcHJvdGVpbiBhc3NvY2lhdGlvbiBuZXR3b3JrcyB3
aXRoIGluY3JlYXNlZCBjb3ZlcmFnZSwgc3VwcG9ydGluZyBmdW5jdGlvbmFsIGRpc2NvdmVyeSBp
biBnZW5vbWUtd2lkZSBleHBlcmltZW50YWwgZGF0YXNldHM8L3RpdGxlPjxzZWNvbmRhcnktdGl0
bGU+TnVjbGVpYyBBY2lkcyBSZXM8L3NlY29uZGFyeS10aXRsZT48L3RpdGxlcz48cGVyaW9kaWNh
bD48ZnVsbC10aXRsZT5OdWNsZWljIEFjaWRzIFJlczwvZnVsbC10aXRsZT48L3BlcmlvZGljYWw+
PHBhZ2VzPkQ2MDctZDYxMzwvcGFnZXM+PHZvbHVtZT40Nzwvdm9sdW1lPjxudW1iZXI+RDE8L251
bWJlcj48ZWRpdGlvbj4yMDE4LzExLzI3PC9lZGl0aW9uPjxrZXl3b3Jkcz48a2V5d29yZD5Bbmlt
YWxzPC9rZXl3b3JkPjxrZXl3b3JkPkRhdGFiYXNlcywgR2VuZXRpYzwva2V5d29yZD48a2V5d29y
ZD5HZW5lIE9udG9sb2d5PC9rZXl3b3JkPjxrZXl3b3JkPkdlbm9taWNzLyptZXRob2RzPC9rZXl3
b3JkPjxrZXl3b3JkPkh1bWFuczwva2V5d29yZD48a2V5d29yZD5Qcm90ZWluIEludGVyYWN0aW9u
IE1hcHBpbmcvKm1ldGhvZHM8L2tleXdvcmQ+PGtleXdvcmQ+KlNvZnR3YXJlPC9rZXl3b3JkPjwv
a2V5d29yZHM+PGRhdGVzPjx5ZWFyPjIwMTk8L3llYXI+PHB1Yi1kYXRlcz48ZGF0ZT5KYW4gODwv
ZGF0ZT48L3B1Yi1kYXRlcz48L2RhdGVzPjxpc2JuPjAzMDUtMTA0OCAoUHJpbnQpJiN4RDswMzA1
LTEwNDg8L2lzYm4+PGFjY2Vzc2lvbi1udW0+MzA0NzYyNDM8L2FjY2Vzc2lvbi1udW0+PHVybHM+
PC91cmxzPjxjdXN0b20yPlBNQzYzMjM5ODY8L2N1c3RvbTI+PGVsZWN0cm9uaWMtcmVzb3VyY2Ut
bnVtPjEwLjEwOTMvbmFyL2dreTExMzE8L2VsZWN0cm9uaWMtcmVzb3VyY2UtbnVtPjxyZW1vdGUt
ZGF0YWJhc2UtcHJvdmlkZXI+TkxNPC9yZW1vdGUtZGF0YWJhc2UtcHJvdmlkZXI+PGxhbmd1YWdl
PmVuZzwvbGFuZ3VhZ2U+PC9yZWNvcmQ+PC9DaXRlPjwvRW5kTm90ZT5=
</w:fldData>
        </w:fldChar>
      </w:r>
      <w:r w:rsidR="00CC2166">
        <w:rPr>
          <w:rFonts w:asciiTheme="minorBidi" w:hAnsiTheme="minorBidi"/>
          <w:sz w:val="24"/>
          <w:lang w:bidi="ar-EG"/>
        </w:rPr>
        <w:instrText xml:space="preserve"> ADDIN EN.CITE.DATA </w:instrText>
      </w:r>
      <w:r w:rsidR="00CC2166">
        <w:rPr>
          <w:rFonts w:asciiTheme="minorBidi" w:hAnsiTheme="minorBidi"/>
          <w:sz w:val="24"/>
          <w:lang w:bidi="ar-EG"/>
        </w:rPr>
      </w:r>
      <w:r w:rsidR="00CC2166">
        <w:rPr>
          <w:rFonts w:asciiTheme="minorBidi" w:hAnsiTheme="minorBidi"/>
          <w:sz w:val="24"/>
          <w:lang w:bidi="ar-EG"/>
        </w:rPr>
        <w:fldChar w:fldCharType="end"/>
      </w:r>
      <w:r w:rsidR="00CC2166">
        <w:rPr>
          <w:rFonts w:asciiTheme="minorBidi" w:hAnsiTheme="minorBidi"/>
          <w:sz w:val="24"/>
          <w:lang w:bidi="ar-EG"/>
        </w:rPr>
      </w:r>
      <w:r w:rsidR="00CC2166">
        <w:rPr>
          <w:rFonts w:asciiTheme="minorBidi" w:hAnsiTheme="minorBidi"/>
          <w:sz w:val="24"/>
          <w:lang w:bidi="ar-EG"/>
        </w:rPr>
        <w:fldChar w:fldCharType="separate"/>
      </w:r>
      <w:r w:rsidR="00CC2166">
        <w:rPr>
          <w:rFonts w:asciiTheme="minorBidi" w:hAnsiTheme="minorBidi"/>
          <w:noProof/>
          <w:sz w:val="24"/>
          <w:lang w:bidi="ar-EG"/>
        </w:rPr>
        <w:t>(1)</w:t>
      </w:r>
      <w:r w:rsidR="00CC2166">
        <w:rPr>
          <w:rFonts w:asciiTheme="minorBidi" w:hAnsiTheme="minorBidi"/>
          <w:sz w:val="24"/>
          <w:lang w:bidi="ar-EG"/>
        </w:rPr>
        <w:fldChar w:fldCharType="end"/>
      </w:r>
      <w:r w:rsidRPr="00554202">
        <w:rPr>
          <w:rFonts w:asciiTheme="minorBidi" w:hAnsiTheme="minorBidi"/>
          <w:sz w:val="24"/>
          <w:lang w:bidi="ar-EG"/>
        </w:rPr>
        <w:t xml:space="preserve">, </w:t>
      </w:r>
      <w:r>
        <w:rPr>
          <w:rFonts w:asciiTheme="minorBidi" w:hAnsiTheme="minorBidi"/>
          <w:sz w:val="24"/>
          <w:lang w:bidi="ar-EG"/>
        </w:rPr>
        <w:t xml:space="preserve">we investigated </w:t>
      </w:r>
      <w:r w:rsidR="00A23F12">
        <w:rPr>
          <w:rFonts w:asciiTheme="minorBidi" w:hAnsiTheme="minorBidi"/>
          <w:sz w:val="24"/>
          <w:lang w:bidi="ar-EG"/>
        </w:rPr>
        <w:t xml:space="preserve">a </w:t>
      </w:r>
      <w:r>
        <w:rPr>
          <w:rFonts w:asciiTheme="minorBidi" w:hAnsiTheme="minorBidi"/>
          <w:sz w:val="24"/>
          <w:lang w:bidi="ar-EG"/>
        </w:rPr>
        <w:t xml:space="preserve">protein-protein interaction network and ran enrichment analysis. </w:t>
      </w:r>
      <w:r w:rsidR="00A23F12">
        <w:rPr>
          <w:rFonts w:asciiTheme="minorBidi" w:hAnsiTheme="minorBidi"/>
          <w:sz w:val="24"/>
          <w:lang w:bidi="ar-EG"/>
        </w:rPr>
        <w:t>To crease the network, w</w:t>
      </w:r>
      <w:r>
        <w:rPr>
          <w:rFonts w:asciiTheme="minorBidi" w:hAnsiTheme="minorBidi"/>
          <w:sz w:val="24"/>
          <w:lang w:bidi="ar-EG"/>
        </w:rPr>
        <w:t>e used the 113 unique gene identifiers of the proteins associated with prevalent</w:t>
      </w:r>
      <w:r w:rsidR="00A23F12">
        <w:rPr>
          <w:rFonts w:asciiTheme="minorBidi" w:hAnsiTheme="minorBidi"/>
          <w:sz w:val="24"/>
          <w:lang w:bidi="ar-EG"/>
        </w:rPr>
        <w:t xml:space="preserve"> or</w:t>
      </w:r>
      <w:r>
        <w:rPr>
          <w:rFonts w:asciiTheme="minorBidi" w:hAnsiTheme="minorBidi"/>
          <w:sz w:val="24"/>
          <w:lang w:bidi="ar-EG"/>
        </w:rPr>
        <w:t xml:space="preserve"> incident MetS in KORA</w:t>
      </w:r>
      <w:r w:rsidR="007265B0">
        <w:rPr>
          <w:rFonts w:asciiTheme="minorBidi" w:hAnsiTheme="minorBidi"/>
          <w:sz w:val="24"/>
          <w:lang w:bidi="ar-EG"/>
        </w:rPr>
        <w:t xml:space="preserve"> while</w:t>
      </w:r>
      <w:r>
        <w:rPr>
          <w:rFonts w:asciiTheme="minorBidi" w:hAnsiTheme="minorBidi"/>
          <w:sz w:val="24"/>
          <w:lang w:bidi="ar-EG"/>
        </w:rPr>
        <w:t xml:space="preserve"> specif</w:t>
      </w:r>
      <w:r w:rsidR="007265B0">
        <w:rPr>
          <w:rFonts w:asciiTheme="minorBidi" w:hAnsiTheme="minorBidi"/>
          <w:sz w:val="24"/>
          <w:lang w:bidi="ar-EG"/>
        </w:rPr>
        <w:t xml:space="preserve">ying </w:t>
      </w:r>
      <w:r>
        <w:rPr>
          <w:rFonts w:asciiTheme="minorBidi" w:hAnsiTheme="minorBidi"/>
          <w:sz w:val="24"/>
          <w:lang w:bidi="ar-EG"/>
        </w:rPr>
        <w:t>that no other protein</w:t>
      </w:r>
      <w:r w:rsidR="004569AD">
        <w:rPr>
          <w:rFonts w:asciiTheme="minorBidi" w:hAnsiTheme="minorBidi"/>
          <w:sz w:val="24"/>
          <w:lang w:bidi="ar-EG"/>
        </w:rPr>
        <w:t xml:space="preserve"> interactors</w:t>
      </w:r>
      <w:r>
        <w:rPr>
          <w:rFonts w:asciiTheme="minorBidi" w:hAnsiTheme="minorBidi"/>
          <w:sz w:val="24"/>
          <w:lang w:bidi="ar-EG"/>
        </w:rPr>
        <w:t xml:space="preserve"> be added to the network by STRING</w:t>
      </w:r>
      <w:r w:rsidR="00A23F12">
        <w:rPr>
          <w:rFonts w:asciiTheme="minorBidi" w:hAnsiTheme="minorBidi"/>
          <w:sz w:val="24"/>
          <w:lang w:bidi="ar-EG"/>
        </w:rPr>
        <w:t>.</w:t>
      </w:r>
      <w:r w:rsidR="007265B0">
        <w:rPr>
          <w:rFonts w:asciiTheme="minorBidi" w:hAnsiTheme="minorBidi"/>
          <w:sz w:val="24"/>
          <w:lang w:bidi="ar-EG"/>
        </w:rPr>
        <w:t xml:space="preserve"> </w:t>
      </w:r>
      <w:r w:rsidR="00A23F12">
        <w:rPr>
          <w:rFonts w:asciiTheme="minorBidi" w:hAnsiTheme="minorBidi"/>
          <w:sz w:val="24"/>
          <w:lang w:bidi="ar-EG"/>
        </w:rPr>
        <w:t xml:space="preserve">We </w:t>
      </w:r>
      <w:r w:rsidR="007265B0">
        <w:rPr>
          <w:rFonts w:asciiTheme="minorBidi" w:hAnsiTheme="minorBidi"/>
          <w:sz w:val="24"/>
          <w:lang w:bidi="ar-EG"/>
        </w:rPr>
        <w:t>us</w:t>
      </w:r>
      <w:r w:rsidR="00A23F12">
        <w:rPr>
          <w:rFonts w:asciiTheme="minorBidi" w:hAnsiTheme="minorBidi"/>
          <w:sz w:val="24"/>
          <w:lang w:bidi="ar-EG"/>
        </w:rPr>
        <w:t xml:space="preserve">ed </w:t>
      </w:r>
      <w:r w:rsidR="007265B0">
        <w:rPr>
          <w:rFonts w:asciiTheme="minorBidi" w:hAnsiTheme="minorBidi"/>
          <w:sz w:val="24"/>
          <w:lang w:bidi="ar-EG"/>
        </w:rPr>
        <w:t xml:space="preserve">the SOMAscan measured protein genes as background. </w:t>
      </w:r>
      <w:r w:rsidRPr="00554202">
        <w:rPr>
          <w:rFonts w:asciiTheme="minorBidi" w:hAnsiTheme="minorBidi"/>
          <w:sz w:val="24"/>
          <w:lang w:bidi="ar-EG"/>
        </w:rPr>
        <w:t>Supplementary Figure S</w:t>
      </w:r>
      <w:r w:rsidR="004569AD">
        <w:rPr>
          <w:rFonts w:asciiTheme="minorBidi" w:hAnsiTheme="minorBidi"/>
          <w:sz w:val="24"/>
          <w:lang w:bidi="ar-EG"/>
        </w:rPr>
        <w:t>5</w:t>
      </w:r>
      <w:r w:rsidR="007265B0">
        <w:rPr>
          <w:rFonts w:asciiTheme="minorBidi" w:hAnsiTheme="minorBidi"/>
          <w:sz w:val="24"/>
          <w:lang w:bidi="ar-EG"/>
        </w:rPr>
        <w:t xml:space="preserve"> shows the protein-protein interaction network</w:t>
      </w:r>
      <w:r w:rsidR="006129F4">
        <w:rPr>
          <w:rFonts w:asciiTheme="minorBidi" w:hAnsiTheme="minorBidi"/>
          <w:sz w:val="24"/>
          <w:lang w:bidi="ar-EG"/>
        </w:rPr>
        <w:t>. The network interaction analysis was significant with 113 nodes</w:t>
      </w:r>
      <w:r w:rsidR="00A23F12">
        <w:rPr>
          <w:rFonts w:asciiTheme="minorBidi" w:hAnsiTheme="minorBidi"/>
          <w:sz w:val="24"/>
          <w:lang w:bidi="ar-EG"/>
        </w:rPr>
        <w:t xml:space="preserve"> and</w:t>
      </w:r>
      <w:r w:rsidR="006129F4">
        <w:rPr>
          <w:rFonts w:asciiTheme="minorBidi" w:hAnsiTheme="minorBidi"/>
          <w:sz w:val="24"/>
          <w:lang w:bidi="ar-EG"/>
        </w:rPr>
        <w:t xml:space="preserve"> 397 edges</w:t>
      </w:r>
      <w:r w:rsidR="00A23F12">
        <w:rPr>
          <w:rFonts w:asciiTheme="minorBidi" w:hAnsiTheme="minorBidi"/>
          <w:sz w:val="24"/>
          <w:lang w:bidi="ar-EG"/>
        </w:rPr>
        <w:t>,</w:t>
      </w:r>
      <w:r w:rsidR="006129F4">
        <w:rPr>
          <w:rFonts w:asciiTheme="minorBidi" w:hAnsiTheme="minorBidi"/>
          <w:sz w:val="24"/>
          <w:lang w:bidi="ar-EG"/>
        </w:rPr>
        <w:t xml:space="preserve"> with an expected number of edges of 320</w:t>
      </w:r>
      <w:r w:rsidR="00A23F12">
        <w:rPr>
          <w:rFonts w:asciiTheme="minorBidi" w:hAnsiTheme="minorBidi"/>
          <w:sz w:val="24"/>
          <w:lang w:bidi="ar-EG"/>
        </w:rPr>
        <w:t>,</w:t>
      </w:r>
      <w:r w:rsidR="006129F4">
        <w:rPr>
          <w:rFonts w:asciiTheme="minorBidi" w:hAnsiTheme="minorBidi"/>
          <w:sz w:val="24"/>
          <w:lang w:bidi="ar-EG"/>
        </w:rPr>
        <w:t xml:space="preserve"> resulting in</w:t>
      </w:r>
      <w:r w:rsidR="00852164">
        <w:rPr>
          <w:rFonts w:asciiTheme="minorBidi" w:hAnsiTheme="minorBidi"/>
          <w:sz w:val="24"/>
          <w:lang w:bidi="ar-EG"/>
        </w:rPr>
        <w:t xml:space="preserve"> </w:t>
      </w:r>
      <w:r w:rsidR="009674CD">
        <w:rPr>
          <w:rFonts w:asciiTheme="minorBidi" w:hAnsiTheme="minorBidi"/>
          <w:sz w:val="24"/>
          <w:lang w:bidi="ar-EG"/>
        </w:rPr>
        <w:t>an</w:t>
      </w:r>
      <w:r w:rsidR="009674CD" w:rsidRPr="006129F4">
        <w:rPr>
          <w:rFonts w:asciiTheme="minorBidi" w:hAnsiTheme="minorBidi"/>
          <w:sz w:val="24"/>
          <w:lang w:bidi="ar-EG"/>
        </w:rPr>
        <w:t xml:space="preserve"> enrichment p-value</w:t>
      </w:r>
      <w:r w:rsidR="009674CD">
        <w:rPr>
          <w:rFonts w:asciiTheme="minorBidi" w:hAnsiTheme="minorBidi"/>
          <w:sz w:val="24"/>
          <w:lang w:bidi="ar-EG"/>
        </w:rPr>
        <w:t xml:space="preserve"> of </w:t>
      </w:r>
      <w:r w:rsidR="009674CD" w:rsidRPr="006129F4">
        <w:rPr>
          <w:rFonts w:asciiTheme="minorBidi" w:hAnsiTheme="minorBidi"/>
          <w:sz w:val="24"/>
          <w:lang w:bidi="ar-EG"/>
        </w:rPr>
        <w:t>1.72e-05</w:t>
      </w:r>
      <w:r w:rsidR="009674CD">
        <w:rPr>
          <w:rFonts w:asciiTheme="minorBidi" w:hAnsiTheme="minorBidi"/>
          <w:sz w:val="24"/>
          <w:lang w:bidi="ar-EG"/>
        </w:rPr>
        <w:t xml:space="preserve">. </w:t>
      </w:r>
      <w:r w:rsidR="009674CD" w:rsidRPr="006129F4">
        <w:rPr>
          <w:rFonts w:asciiTheme="minorBidi" w:hAnsiTheme="minorBidi"/>
          <w:sz w:val="24"/>
          <w:lang w:bidi="ar-EG"/>
        </w:rPr>
        <w:t xml:space="preserve">Functional enrichment </w:t>
      </w:r>
      <w:r w:rsidR="009674CD">
        <w:rPr>
          <w:rFonts w:asciiTheme="minorBidi" w:hAnsiTheme="minorBidi"/>
          <w:sz w:val="24"/>
          <w:lang w:bidi="ar-EG"/>
        </w:rPr>
        <w:t>of the</w:t>
      </w:r>
      <w:r w:rsidR="009674CD" w:rsidRPr="006129F4">
        <w:rPr>
          <w:rFonts w:asciiTheme="minorBidi" w:hAnsiTheme="minorBidi"/>
          <w:sz w:val="24"/>
          <w:lang w:bidi="ar-EG"/>
        </w:rPr>
        <w:t xml:space="preserve"> network</w:t>
      </w:r>
      <w:r w:rsidR="009674CD">
        <w:rPr>
          <w:rFonts w:asciiTheme="minorBidi" w:hAnsiTheme="minorBidi"/>
          <w:sz w:val="24"/>
          <w:lang w:bidi="ar-EG"/>
        </w:rPr>
        <w:t xml:space="preserve"> yielded two significant results: enriched cellular components: </w:t>
      </w:r>
      <w:r w:rsidR="009674CD" w:rsidRPr="006129F4">
        <w:rPr>
          <w:rFonts w:asciiTheme="minorBidi" w:hAnsiTheme="minorBidi"/>
          <w:sz w:val="24"/>
          <w:lang w:bidi="ar-EG"/>
        </w:rPr>
        <w:t>extracellular region</w:t>
      </w:r>
      <w:r w:rsidR="009674CD">
        <w:rPr>
          <w:rFonts w:asciiTheme="minorBidi" w:hAnsiTheme="minorBidi"/>
          <w:sz w:val="24"/>
          <w:lang w:bidi="ar-EG"/>
        </w:rPr>
        <w:t xml:space="preserve"> (p=</w:t>
      </w:r>
      <w:r w:rsidR="009674CD" w:rsidRPr="006129F4">
        <w:rPr>
          <w:rFonts w:asciiTheme="minorBidi" w:hAnsiTheme="minorBidi"/>
          <w:sz w:val="24"/>
          <w:lang w:bidi="ar-EG"/>
        </w:rPr>
        <w:t>1.57e-05</w:t>
      </w:r>
      <w:r w:rsidR="009674CD">
        <w:rPr>
          <w:rFonts w:asciiTheme="minorBidi" w:hAnsiTheme="minorBidi"/>
          <w:sz w:val="24"/>
          <w:lang w:bidi="ar-EG"/>
        </w:rPr>
        <w:t xml:space="preserve">) and </w:t>
      </w:r>
      <w:r w:rsidR="009674CD" w:rsidRPr="006129F4">
        <w:rPr>
          <w:rFonts w:asciiTheme="minorBidi" w:hAnsiTheme="minorBidi"/>
          <w:sz w:val="24"/>
          <w:lang w:bidi="ar-EG"/>
        </w:rPr>
        <w:t>extracellular space</w:t>
      </w:r>
      <w:r w:rsidR="009674CD">
        <w:rPr>
          <w:rFonts w:asciiTheme="minorBidi" w:hAnsiTheme="minorBidi"/>
          <w:sz w:val="24"/>
          <w:lang w:bidi="ar-EG"/>
        </w:rPr>
        <w:t xml:space="preserve"> (p=</w:t>
      </w:r>
      <w:r w:rsidR="009674CD" w:rsidRPr="006129F4">
        <w:rPr>
          <w:rFonts w:asciiTheme="minorBidi" w:hAnsiTheme="minorBidi"/>
          <w:sz w:val="24"/>
          <w:lang w:bidi="ar-EG"/>
        </w:rPr>
        <w:t>0.0029</w:t>
      </w:r>
      <w:r w:rsidR="009674CD">
        <w:rPr>
          <w:rFonts w:asciiTheme="minorBidi" w:hAnsiTheme="minorBidi"/>
          <w:sz w:val="24"/>
          <w:lang w:bidi="ar-EG"/>
        </w:rPr>
        <w:t>).  Five UniProt annotated keywords were also significant, namely S</w:t>
      </w:r>
      <w:r w:rsidR="009674CD" w:rsidRPr="00852594">
        <w:rPr>
          <w:rFonts w:asciiTheme="minorBidi" w:hAnsiTheme="minorBidi"/>
          <w:sz w:val="24"/>
          <w:lang w:bidi="ar-EG"/>
        </w:rPr>
        <w:t>ignal</w:t>
      </w:r>
      <w:r w:rsidR="009674CD">
        <w:rPr>
          <w:rFonts w:asciiTheme="minorBidi" w:hAnsiTheme="minorBidi"/>
          <w:sz w:val="24"/>
          <w:lang w:bidi="ar-EG"/>
        </w:rPr>
        <w:t xml:space="preserve">, </w:t>
      </w:r>
      <w:r w:rsidR="009674CD" w:rsidRPr="00852594">
        <w:rPr>
          <w:rFonts w:asciiTheme="minorBidi" w:hAnsiTheme="minorBidi"/>
          <w:sz w:val="24"/>
          <w:lang w:bidi="ar-EG"/>
        </w:rPr>
        <w:t>Secreted</w:t>
      </w:r>
      <w:r w:rsidR="009674CD">
        <w:rPr>
          <w:rFonts w:asciiTheme="minorBidi" w:hAnsiTheme="minorBidi"/>
          <w:sz w:val="24"/>
          <w:lang w:bidi="ar-EG"/>
        </w:rPr>
        <w:t xml:space="preserve">, </w:t>
      </w:r>
      <w:r w:rsidR="009674CD" w:rsidRPr="00852594">
        <w:rPr>
          <w:rFonts w:asciiTheme="minorBidi" w:hAnsiTheme="minorBidi"/>
          <w:sz w:val="24"/>
          <w:lang w:bidi="ar-EG"/>
        </w:rPr>
        <w:t>Disulfide bond</w:t>
      </w:r>
      <w:r w:rsidR="009674CD">
        <w:rPr>
          <w:rFonts w:asciiTheme="minorBidi" w:hAnsiTheme="minorBidi"/>
          <w:sz w:val="24"/>
          <w:lang w:bidi="ar-EG"/>
        </w:rPr>
        <w:t xml:space="preserve">, </w:t>
      </w:r>
      <w:r w:rsidR="009674CD" w:rsidRPr="00852594">
        <w:rPr>
          <w:rFonts w:asciiTheme="minorBidi" w:hAnsiTheme="minorBidi"/>
          <w:sz w:val="24"/>
          <w:lang w:bidi="ar-EG"/>
        </w:rPr>
        <w:t>Glycoprotein</w:t>
      </w:r>
      <w:r w:rsidR="009674CD">
        <w:rPr>
          <w:rFonts w:asciiTheme="minorBidi" w:hAnsiTheme="minorBidi"/>
          <w:sz w:val="24"/>
          <w:lang w:bidi="ar-EG"/>
        </w:rPr>
        <w:t xml:space="preserve"> and </w:t>
      </w:r>
      <w:r w:rsidR="009674CD" w:rsidRPr="00852594">
        <w:rPr>
          <w:rFonts w:asciiTheme="minorBidi" w:hAnsiTheme="minorBidi"/>
          <w:sz w:val="24"/>
          <w:lang w:bidi="ar-EG"/>
        </w:rPr>
        <w:t>Repeat</w:t>
      </w:r>
      <w:r w:rsidR="009674CD">
        <w:rPr>
          <w:rFonts w:asciiTheme="minorBidi" w:hAnsiTheme="minorBidi"/>
          <w:sz w:val="24"/>
          <w:lang w:bidi="ar-EG"/>
        </w:rPr>
        <w:t>.</w:t>
      </w:r>
    </w:p>
    <w:p w14:paraId="4450B5D5" w14:textId="589B8B8D" w:rsidR="00F77794" w:rsidRDefault="00F77794" w:rsidP="00F77794">
      <w:pPr>
        <w:spacing w:line="480" w:lineRule="auto"/>
        <w:jc w:val="both"/>
        <w:rPr>
          <w:rFonts w:asciiTheme="minorBidi" w:hAnsiTheme="minorBidi"/>
          <w:sz w:val="24"/>
          <w:lang w:bidi="ar-EG"/>
        </w:rPr>
        <w:sectPr w:rsidR="00F77794">
          <w:pgSz w:w="12240" w:h="15840" w:code="1"/>
          <w:pgMar w:top="1440" w:right="1440" w:bottom="1440" w:left="1440" w:header="720" w:footer="720" w:gutter="0"/>
          <w:lnNumType w:countBy="1" w:restart="continuous"/>
          <w:cols w:space="720"/>
          <w:docGrid w:linePitch="360"/>
        </w:sectPr>
      </w:pPr>
    </w:p>
    <w:p w14:paraId="675C97F9" w14:textId="77777777" w:rsidR="00C436B4" w:rsidRDefault="00177E30">
      <w:pPr>
        <w:jc w:val="center"/>
        <w:rPr>
          <w:rFonts w:cstheme="minorHAnsi"/>
          <w:sz w:val="24"/>
          <w:szCs w:val="24"/>
        </w:rPr>
      </w:pPr>
      <w:r>
        <w:rPr>
          <w:rFonts w:cstheme="minorHAnsi"/>
          <w:noProof/>
          <w:sz w:val="24"/>
          <w:szCs w:val="24"/>
        </w:rPr>
        <w:lastRenderedPageBreak/>
        <w:pict w14:anchorId="109764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in;height:324pt">
            <v:imagedata r:id="rId6" o:title="09"/>
          </v:shape>
        </w:pict>
      </w:r>
    </w:p>
    <w:p w14:paraId="663F255D" w14:textId="77777777" w:rsidR="00C436B4" w:rsidRDefault="00D63B95">
      <w:pPr>
        <w:jc w:val="center"/>
        <w:rPr>
          <w:rFonts w:cstheme="minorHAnsi"/>
          <w:sz w:val="24"/>
          <w:szCs w:val="24"/>
        </w:rPr>
      </w:pPr>
      <w:r>
        <w:rPr>
          <w:rFonts w:cstheme="minorHAnsi"/>
          <w:sz w:val="24"/>
          <w:szCs w:val="24"/>
        </w:rPr>
        <w:t>Figure S1: Pearson’s correlation plot of replicated proteins in: A) KORA; B) HUNT.</w:t>
      </w:r>
    </w:p>
    <w:p w14:paraId="1F894EEF" w14:textId="77777777" w:rsidR="00C436B4" w:rsidRDefault="00C436B4">
      <w:pPr>
        <w:rPr>
          <w:rFonts w:cstheme="minorHAnsi"/>
          <w:sz w:val="24"/>
          <w:szCs w:val="24"/>
        </w:rPr>
      </w:pPr>
    </w:p>
    <w:p w14:paraId="71A5DABF" w14:textId="77777777" w:rsidR="00C436B4" w:rsidRDefault="00C436B4">
      <w:pPr>
        <w:jc w:val="center"/>
        <w:rPr>
          <w:rFonts w:cstheme="minorHAnsi"/>
          <w:sz w:val="24"/>
          <w:szCs w:val="24"/>
        </w:rPr>
        <w:sectPr w:rsidR="00C436B4">
          <w:pgSz w:w="15840" w:h="12240" w:orient="landscape" w:code="1"/>
          <w:pgMar w:top="1440" w:right="1440" w:bottom="1440" w:left="1440" w:header="720" w:footer="720" w:gutter="0"/>
          <w:lnNumType w:countBy="1" w:restart="continuous"/>
          <w:cols w:space="720"/>
          <w:docGrid w:linePitch="360"/>
        </w:sectPr>
      </w:pPr>
    </w:p>
    <w:p w14:paraId="02C5CCDF" w14:textId="77777777" w:rsidR="00C436B4" w:rsidRDefault="00177E30">
      <w:pPr>
        <w:jc w:val="center"/>
        <w:rPr>
          <w:rFonts w:cstheme="minorHAnsi"/>
          <w:sz w:val="24"/>
          <w:szCs w:val="24"/>
        </w:rPr>
      </w:pPr>
      <w:r>
        <w:rPr>
          <w:rFonts w:cstheme="minorHAnsi"/>
          <w:sz w:val="24"/>
          <w:szCs w:val="24"/>
        </w:rPr>
        <w:lastRenderedPageBreak/>
        <w:pict w14:anchorId="1AFF874A">
          <v:shape id="_x0000_i1026" type="#_x0000_t75" style="width:514pt;height:5in">
            <v:imagedata r:id="rId7" o:title="Predictive_MetS_Bootstrap-LASSO_Vs_Age-Sex_KORA_HUNT_04"/>
          </v:shape>
        </w:pict>
      </w:r>
    </w:p>
    <w:p w14:paraId="0D4E38A1" w14:textId="491BC2E4" w:rsidR="00C436B4" w:rsidRDefault="00D63B95">
      <w:pPr>
        <w:jc w:val="center"/>
        <w:rPr>
          <w:rFonts w:cstheme="minorHAnsi"/>
          <w:sz w:val="24"/>
          <w:szCs w:val="24"/>
        </w:rPr>
      </w:pPr>
      <w:r>
        <w:rPr>
          <w:rFonts w:cstheme="minorHAnsi"/>
          <w:sz w:val="24"/>
          <w:szCs w:val="24"/>
        </w:rPr>
        <w:t xml:space="preserve">Figure S2: ROC curve comparing the bootstrap ranking LASSO selected protein </w:t>
      </w:r>
      <w:r w:rsidR="00177E30">
        <w:rPr>
          <w:rFonts w:cstheme="minorHAnsi"/>
          <w:sz w:val="24"/>
          <w:szCs w:val="24"/>
        </w:rPr>
        <w:t xml:space="preserve">model </w:t>
      </w:r>
      <w:r>
        <w:rPr>
          <w:rFonts w:cstheme="minorHAnsi"/>
          <w:sz w:val="24"/>
          <w:szCs w:val="24"/>
        </w:rPr>
        <w:t xml:space="preserve">with age and sex </w:t>
      </w:r>
      <w:r w:rsidR="00177E30">
        <w:rPr>
          <w:rFonts w:cstheme="minorHAnsi"/>
          <w:sz w:val="24"/>
          <w:szCs w:val="24"/>
        </w:rPr>
        <w:t xml:space="preserve">model predicting </w:t>
      </w:r>
      <w:r>
        <w:rPr>
          <w:rFonts w:cstheme="minorHAnsi"/>
          <w:sz w:val="24"/>
          <w:szCs w:val="24"/>
        </w:rPr>
        <w:t>incident MetS in KORA, showing the AUCs, their 95% CI and the difference (delta AUC) and p-value of the DeLong test comparing both models.</w:t>
      </w:r>
    </w:p>
    <w:p w14:paraId="3E378853" w14:textId="77777777" w:rsidR="00C436B4" w:rsidRDefault="00D63B95">
      <w:pPr>
        <w:jc w:val="center"/>
        <w:rPr>
          <w:rFonts w:cstheme="minorHAnsi"/>
          <w:sz w:val="24"/>
          <w:szCs w:val="24"/>
        </w:rPr>
      </w:pPr>
      <w:r>
        <w:rPr>
          <w:rFonts w:cstheme="minorHAnsi"/>
          <w:noProof/>
          <w:sz w:val="24"/>
          <w:szCs w:val="24"/>
          <w:lang w:val="en-GB" w:eastAsia="en-GB"/>
        </w:rPr>
        <w:lastRenderedPageBreak/>
        <w:drawing>
          <wp:inline distT="0" distB="0" distL="0" distR="0" wp14:anchorId="57F5EE4F" wp14:editId="10C43108">
            <wp:extent cx="8214360" cy="3832860"/>
            <wp:effectExtent l="0" t="0" r="0" b="0"/>
            <wp:docPr id="3" name="Picture 3" descr="Diagnostic_MetS_Bootstrap-LASSO_Vs_Age-Sex_KORA_HUNT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iagnostic_MetS_Bootstrap-LASSO_Vs_Age-Sex_KORA_HUNT_0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214360" cy="3832860"/>
                    </a:xfrm>
                    <a:prstGeom prst="rect">
                      <a:avLst/>
                    </a:prstGeom>
                    <a:noFill/>
                    <a:ln>
                      <a:noFill/>
                    </a:ln>
                  </pic:spPr>
                </pic:pic>
              </a:graphicData>
            </a:graphic>
          </wp:inline>
        </w:drawing>
      </w:r>
    </w:p>
    <w:p w14:paraId="7375A5DA" w14:textId="6C71D4BA" w:rsidR="00C436B4" w:rsidRDefault="00D63B95">
      <w:pPr>
        <w:jc w:val="center"/>
        <w:rPr>
          <w:rFonts w:cstheme="minorHAnsi"/>
          <w:sz w:val="24"/>
          <w:szCs w:val="24"/>
        </w:rPr>
      </w:pPr>
      <w:r>
        <w:rPr>
          <w:rFonts w:cstheme="minorHAnsi"/>
          <w:sz w:val="24"/>
          <w:szCs w:val="24"/>
        </w:rPr>
        <w:t xml:space="preserve">Figure S3: ROC curve comparing the bootstrap ranking LASSO selected protein </w:t>
      </w:r>
      <w:r w:rsidR="00177E30">
        <w:rPr>
          <w:rFonts w:cstheme="minorHAnsi"/>
          <w:sz w:val="24"/>
          <w:szCs w:val="24"/>
        </w:rPr>
        <w:t xml:space="preserve">model </w:t>
      </w:r>
      <w:r>
        <w:rPr>
          <w:rFonts w:cstheme="minorHAnsi"/>
          <w:sz w:val="24"/>
          <w:szCs w:val="24"/>
        </w:rPr>
        <w:t xml:space="preserve">with age and sex </w:t>
      </w:r>
      <w:r w:rsidR="00177E30">
        <w:rPr>
          <w:rFonts w:cstheme="minorHAnsi"/>
          <w:sz w:val="24"/>
          <w:szCs w:val="24"/>
        </w:rPr>
        <w:t xml:space="preserve">model predicting </w:t>
      </w:r>
      <w:r>
        <w:rPr>
          <w:rFonts w:cstheme="minorHAnsi"/>
          <w:sz w:val="24"/>
          <w:szCs w:val="24"/>
        </w:rPr>
        <w:t>prevalent MetS in KORA (A) and HUNT (B), showing the AUCs, their 95% CI and the difference (delta AUC) and p-value of the DeLong test comparing both models.</w:t>
      </w:r>
    </w:p>
    <w:p w14:paraId="036883E6" w14:textId="77777777" w:rsidR="00C436B4" w:rsidRDefault="00D63B95">
      <w:pPr>
        <w:jc w:val="center"/>
        <w:rPr>
          <w:rFonts w:cstheme="minorHAnsi"/>
          <w:sz w:val="24"/>
          <w:szCs w:val="24"/>
        </w:rPr>
      </w:pPr>
      <w:r>
        <w:rPr>
          <w:rFonts w:cstheme="minorHAnsi"/>
          <w:noProof/>
          <w:sz w:val="24"/>
          <w:szCs w:val="24"/>
          <w:lang w:val="en-GB" w:eastAsia="en-GB"/>
        </w:rPr>
        <w:lastRenderedPageBreak/>
        <w:drawing>
          <wp:inline distT="0" distB="0" distL="0" distR="0" wp14:anchorId="5199BBB3" wp14:editId="11C299EC">
            <wp:extent cx="8214360" cy="3657600"/>
            <wp:effectExtent l="0" t="0" r="0" b="0"/>
            <wp:docPr id="1" name="Picture 1" descr="Figure 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gure S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14360" cy="3657600"/>
                    </a:xfrm>
                    <a:prstGeom prst="rect">
                      <a:avLst/>
                    </a:prstGeom>
                    <a:noFill/>
                    <a:ln>
                      <a:noFill/>
                    </a:ln>
                  </pic:spPr>
                </pic:pic>
              </a:graphicData>
            </a:graphic>
          </wp:inline>
        </w:drawing>
      </w:r>
    </w:p>
    <w:p w14:paraId="5B98D104" w14:textId="2AA65CA9" w:rsidR="004569AD" w:rsidRDefault="00D63B95">
      <w:pPr>
        <w:jc w:val="center"/>
        <w:rPr>
          <w:rFonts w:cstheme="minorHAnsi"/>
          <w:sz w:val="24"/>
          <w:szCs w:val="24"/>
        </w:rPr>
      </w:pPr>
      <w:r>
        <w:rPr>
          <w:rFonts w:cstheme="minorHAnsi"/>
          <w:sz w:val="24"/>
          <w:szCs w:val="24"/>
        </w:rPr>
        <w:t>Figure S4: Calibration plots of the bootstrap ranking LASSO-selected MetS diagnostic model in: A) KORA; B) HUNT.</w:t>
      </w:r>
    </w:p>
    <w:p w14:paraId="7C0F124F" w14:textId="77777777" w:rsidR="004569AD" w:rsidRDefault="004569AD">
      <w:pPr>
        <w:rPr>
          <w:rFonts w:cstheme="minorHAnsi"/>
          <w:sz w:val="24"/>
          <w:szCs w:val="24"/>
        </w:rPr>
      </w:pPr>
      <w:r>
        <w:rPr>
          <w:rFonts w:cstheme="minorHAnsi"/>
          <w:sz w:val="24"/>
          <w:szCs w:val="24"/>
        </w:rPr>
        <w:br w:type="page"/>
      </w:r>
    </w:p>
    <w:p w14:paraId="1E27F056" w14:textId="2AA65CA9" w:rsidR="00C436B4" w:rsidRDefault="004569AD">
      <w:pPr>
        <w:jc w:val="center"/>
        <w:rPr>
          <w:rFonts w:cstheme="minorHAnsi"/>
          <w:sz w:val="24"/>
          <w:szCs w:val="24"/>
        </w:rPr>
      </w:pPr>
      <w:r>
        <w:rPr>
          <w:rFonts w:cstheme="minorHAnsi"/>
          <w:noProof/>
          <w:sz w:val="24"/>
          <w:szCs w:val="24"/>
          <w:lang w:val="en-GB" w:eastAsia="en-GB"/>
        </w:rPr>
        <w:lastRenderedPageBreak/>
        <w:drawing>
          <wp:inline distT="0" distB="0" distL="0" distR="0" wp14:anchorId="22F2031D" wp14:editId="09496837">
            <wp:extent cx="6489700" cy="593725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89700" cy="5937250"/>
                    </a:xfrm>
                    <a:prstGeom prst="rect">
                      <a:avLst/>
                    </a:prstGeom>
                    <a:noFill/>
                    <a:ln>
                      <a:noFill/>
                    </a:ln>
                  </pic:spPr>
                </pic:pic>
              </a:graphicData>
            </a:graphic>
          </wp:inline>
        </w:drawing>
      </w:r>
    </w:p>
    <w:p w14:paraId="70C3061B" w14:textId="6C2CBD4C" w:rsidR="00CC2166" w:rsidRDefault="004569AD">
      <w:pPr>
        <w:jc w:val="center"/>
        <w:rPr>
          <w:rFonts w:asciiTheme="minorBidi" w:hAnsiTheme="minorBidi"/>
          <w:sz w:val="24"/>
          <w:lang w:bidi="ar-EG"/>
        </w:rPr>
      </w:pPr>
      <w:r>
        <w:rPr>
          <w:rFonts w:cstheme="minorHAnsi"/>
          <w:sz w:val="24"/>
          <w:szCs w:val="24"/>
        </w:rPr>
        <w:t>Figure S</w:t>
      </w:r>
      <w:r w:rsidR="007265B0">
        <w:rPr>
          <w:rFonts w:cstheme="minorHAnsi"/>
          <w:sz w:val="24"/>
          <w:szCs w:val="24"/>
        </w:rPr>
        <w:t>5</w:t>
      </w:r>
      <w:r>
        <w:rPr>
          <w:rFonts w:cstheme="minorHAnsi"/>
          <w:sz w:val="24"/>
          <w:szCs w:val="24"/>
        </w:rPr>
        <w:t>:</w:t>
      </w:r>
      <w:r w:rsidR="007920FB">
        <w:rPr>
          <w:rFonts w:cstheme="minorHAnsi"/>
          <w:sz w:val="24"/>
          <w:szCs w:val="24"/>
        </w:rPr>
        <w:t xml:space="preserve"> STRING </w:t>
      </w:r>
      <w:r w:rsidR="007920FB">
        <w:rPr>
          <w:rFonts w:asciiTheme="minorBidi" w:hAnsiTheme="minorBidi"/>
          <w:sz w:val="24"/>
          <w:lang w:bidi="ar-EG"/>
        </w:rPr>
        <w:t xml:space="preserve">protein-protein interaction network </w:t>
      </w:r>
      <w:r w:rsidR="00542EF9">
        <w:rPr>
          <w:rFonts w:asciiTheme="minorBidi" w:hAnsiTheme="minorBidi"/>
          <w:sz w:val="24"/>
          <w:lang w:bidi="ar-EG"/>
        </w:rPr>
        <w:t>constructed using</w:t>
      </w:r>
      <w:r w:rsidR="007920FB">
        <w:rPr>
          <w:rFonts w:asciiTheme="minorBidi" w:hAnsiTheme="minorBidi"/>
          <w:sz w:val="24"/>
          <w:lang w:bidi="ar-EG"/>
        </w:rPr>
        <w:t xml:space="preserve"> the prevalent</w:t>
      </w:r>
      <w:r w:rsidR="00542EF9">
        <w:rPr>
          <w:rFonts w:asciiTheme="minorBidi" w:hAnsiTheme="minorBidi"/>
          <w:sz w:val="24"/>
          <w:lang w:bidi="ar-EG"/>
        </w:rPr>
        <w:t xml:space="preserve"> or</w:t>
      </w:r>
      <w:r w:rsidR="007920FB">
        <w:rPr>
          <w:rFonts w:asciiTheme="minorBidi" w:hAnsiTheme="minorBidi"/>
          <w:sz w:val="24"/>
          <w:lang w:bidi="ar-EG"/>
        </w:rPr>
        <w:t xml:space="preserve"> incident MetS associated proteins in KORA without adding additional interactor proteins.</w:t>
      </w:r>
    </w:p>
    <w:p w14:paraId="73D41698" w14:textId="39ADEF18" w:rsidR="00CC2166" w:rsidRDefault="00CC2166" w:rsidP="00542EF9">
      <w:pPr>
        <w:rPr>
          <w:rFonts w:asciiTheme="minorBidi" w:hAnsiTheme="minorBidi"/>
          <w:sz w:val="24"/>
          <w:lang w:bidi="ar-EG"/>
        </w:rPr>
      </w:pPr>
      <w:r>
        <w:rPr>
          <w:rFonts w:asciiTheme="minorBidi" w:hAnsiTheme="minorBidi"/>
          <w:sz w:val="24"/>
          <w:lang w:bidi="ar-EG"/>
        </w:rPr>
        <w:lastRenderedPageBreak/>
        <w:t>References</w:t>
      </w:r>
    </w:p>
    <w:p w14:paraId="4FEFDEFA" w14:textId="77777777" w:rsidR="00CC2166" w:rsidRPr="00CC2166" w:rsidRDefault="00CC2166" w:rsidP="00CC2166">
      <w:pPr>
        <w:pStyle w:val="EndNoteBibliography"/>
      </w:pPr>
      <w:r>
        <w:rPr>
          <w:rFonts w:cstheme="minorHAnsi"/>
          <w:sz w:val="24"/>
          <w:szCs w:val="24"/>
        </w:rPr>
        <w:fldChar w:fldCharType="begin"/>
      </w:r>
      <w:r>
        <w:rPr>
          <w:rFonts w:cstheme="minorHAnsi"/>
          <w:sz w:val="24"/>
          <w:szCs w:val="24"/>
        </w:rPr>
        <w:instrText xml:space="preserve"> ADDIN EN.REFLIST </w:instrText>
      </w:r>
      <w:r>
        <w:rPr>
          <w:rFonts w:cstheme="minorHAnsi"/>
          <w:sz w:val="24"/>
          <w:szCs w:val="24"/>
        </w:rPr>
        <w:fldChar w:fldCharType="separate"/>
      </w:r>
      <w:r w:rsidRPr="00CC2166">
        <w:t>1.</w:t>
      </w:r>
      <w:r w:rsidRPr="00CC2166">
        <w:tab/>
        <w:t>Szklarczyk D, Gable AL, Lyon D, Junge A, Wyder S, Huerta-Cepas J, et al. STRING v11: protein-protein association networks with increased coverage, supporting functional discovery in genome-wide experimental datasets. Nucleic Acids Res. 2019;47(D1):D607-d13.</w:t>
      </w:r>
    </w:p>
    <w:p w14:paraId="60DCB357" w14:textId="509AEC1E" w:rsidR="004569AD" w:rsidRDefault="00CC2166" w:rsidP="00CC2166">
      <w:pPr>
        <w:jc w:val="center"/>
        <w:rPr>
          <w:rFonts w:cstheme="minorHAnsi"/>
          <w:sz w:val="24"/>
          <w:szCs w:val="24"/>
        </w:rPr>
      </w:pPr>
      <w:r>
        <w:rPr>
          <w:rFonts w:cstheme="minorHAnsi"/>
          <w:sz w:val="24"/>
          <w:szCs w:val="24"/>
        </w:rPr>
        <w:fldChar w:fldCharType="end"/>
      </w:r>
    </w:p>
    <w:sectPr w:rsidR="004569AD" w:rsidSect="006C14CC">
      <w:pgSz w:w="15840" w:h="12240" w:orient="landscape" w:code="1"/>
      <w:pgMar w:top="990" w:right="1440" w:bottom="90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15C628" w14:textId="77777777" w:rsidR="00477830" w:rsidRDefault="00477830">
      <w:pPr>
        <w:spacing w:after="0" w:line="240" w:lineRule="auto"/>
      </w:pPr>
      <w:r>
        <w:separator/>
      </w:r>
    </w:p>
  </w:endnote>
  <w:endnote w:type="continuationSeparator" w:id="0">
    <w:p w14:paraId="3844EA7C" w14:textId="77777777" w:rsidR="00477830" w:rsidRDefault="004778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94288A" w14:textId="77777777" w:rsidR="00477830" w:rsidRDefault="00477830">
      <w:pPr>
        <w:spacing w:after="0" w:line="240" w:lineRule="auto"/>
      </w:pPr>
      <w:r>
        <w:separator/>
      </w:r>
    </w:p>
  </w:footnote>
  <w:footnote w:type="continuationSeparator" w:id="0">
    <w:p w14:paraId="5D014645" w14:textId="77777777" w:rsidR="00477830" w:rsidRDefault="00477830">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Vancouver&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2arp59evsvvsfgeap2f5z00a29vdd5rp5vd9&quot;&gt;mets-Converted&lt;record-ids&gt;&lt;item&gt;867&lt;/item&gt;&lt;/record-ids&gt;&lt;/item&gt;&lt;/Libraries&gt;"/>
  </w:docVars>
  <w:rsids>
    <w:rsidRoot w:val="00C436B4"/>
    <w:rsid w:val="00002B8A"/>
    <w:rsid w:val="00051CEA"/>
    <w:rsid w:val="00063F47"/>
    <w:rsid w:val="00177E30"/>
    <w:rsid w:val="001E3B93"/>
    <w:rsid w:val="002A521C"/>
    <w:rsid w:val="003A2FAF"/>
    <w:rsid w:val="004569AD"/>
    <w:rsid w:val="0046423B"/>
    <w:rsid w:val="00477830"/>
    <w:rsid w:val="004F134A"/>
    <w:rsid w:val="004F7E58"/>
    <w:rsid w:val="00542EF9"/>
    <w:rsid w:val="00554202"/>
    <w:rsid w:val="005E1148"/>
    <w:rsid w:val="006129F4"/>
    <w:rsid w:val="006966EC"/>
    <w:rsid w:val="006C14CC"/>
    <w:rsid w:val="0071477E"/>
    <w:rsid w:val="007265B0"/>
    <w:rsid w:val="007920FB"/>
    <w:rsid w:val="00852164"/>
    <w:rsid w:val="00852594"/>
    <w:rsid w:val="009674CD"/>
    <w:rsid w:val="009C76CC"/>
    <w:rsid w:val="00A01BEE"/>
    <w:rsid w:val="00A23F12"/>
    <w:rsid w:val="00B35D7F"/>
    <w:rsid w:val="00C436B4"/>
    <w:rsid w:val="00CC2166"/>
    <w:rsid w:val="00D63B95"/>
    <w:rsid w:val="00EC7B2B"/>
    <w:rsid w:val="00F122B9"/>
    <w:rsid w:val="00F7779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F0D5AE5"/>
  <w15:docId w15:val="{9198B4BB-3C6B-43A5-9865-B8CF07A234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semiHidden/>
    <w:unhideWhenUsed/>
    <w:pPr>
      <w:spacing w:line="240" w:lineRule="auto"/>
    </w:pPr>
    <w:rPr>
      <w:sz w:val="20"/>
      <w:szCs w:val="20"/>
    </w:rPr>
  </w:style>
  <w:style w:type="character" w:customStyle="1" w:styleId="KommentartextZchn">
    <w:name w:val="Kommentartext Zchn"/>
    <w:basedOn w:val="Absatz-Standardschriftart"/>
    <w:link w:val="Kommentartext"/>
    <w:uiPriority w:val="99"/>
    <w:semiHidden/>
    <w:rPr>
      <w:sz w:val="20"/>
      <w:szCs w:val="20"/>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basedOn w:val="KommentartextZchn"/>
    <w:link w:val="Kommentarthema"/>
    <w:uiPriority w:val="99"/>
    <w:semiHidden/>
    <w:rPr>
      <w:b/>
      <w:bCs/>
      <w:sz w:val="20"/>
      <w:szCs w:val="20"/>
    </w:rPr>
  </w:style>
  <w:style w:type="paragraph" w:styleId="Sprechblasentext">
    <w:name w:val="Balloon Text"/>
    <w:basedOn w:val="Standard"/>
    <w:link w:val="SprechblasentextZchn"/>
    <w:uiPriority w:val="99"/>
    <w:semiHidden/>
    <w:unhideWhenUsed/>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Pr>
      <w:rFonts w:ascii="Tahoma" w:hAnsi="Tahoma" w:cs="Tahoma"/>
      <w:sz w:val="16"/>
      <w:szCs w:val="16"/>
    </w:rPr>
  </w:style>
  <w:style w:type="paragraph" w:styleId="Kopfzeile">
    <w:name w:val="header"/>
    <w:basedOn w:val="Standard"/>
    <w:link w:val="KopfzeileZchn"/>
    <w:uiPriority w:val="99"/>
    <w:unhideWhenUsed/>
    <w:pPr>
      <w:tabs>
        <w:tab w:val="center" w:pos="4680"/>
        <w:tab w:val="right" w:pos="9360"/>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680"/>
        <w:tab w:val="right" w:pos="9360"/>
      </w:tabs>
      <w:spacing w:after="0" w:line="240" w:lineRule="auto"/>
    </w:pPr>
  </w:style>
  <w:style w:type="character" w:customStyle="1" w:styleId="FuzeileZchn">
    <w:name w:val="Fußzeile Zchn"/>
    <w:basedOn w:val="Absatz-Standardschriftart"/>
    <w:link w:val="Fuzeile"/>
    <w:uiPriority w:val="99"/>
  </w:style>
  <w:style w:type="character" w:styleId="Zeilennummer">
    <w:name w:val="line number"/>
    <w:basedOn w:val="Absatz-Standardschriftart"/>
    <w:uiPriority w:val="99"/>
    <w:semiHidden/>
    <w:unhideWhenUsed/>
  </w:style>
  <w:style w:type="paragraph" w:styleId="berarbeitung">
    <w:name w:val="Revision"/>
    <w:hidden/>
    <w:uiPriority w:val="99"/>
    <w:semiHidden/>
    <w:rsid w:val="0046423B"/>
    <w:pPr>
      <w:spacing w:after="0" w:line="240" w:lineRule="auto"/>
    </w:pPr>
  </w:style>
  <w:style w:type="paragraph" w:customStyle="1" w:styleId="EndNoteBibliographyTitle">
    <w:name w:val="EndNote Bibliography Title"/>
    <w:basedOn w:val="Standard"/>
    <w:link w:val="EndNoteBibliographyTitleZchn"/>
    <w:rsid w:val="00CC2166"/>
    <w:pPr>
      <w:spacing w:after="0"/>
      <w:jc w:val="center"/>
    </w:pPr>
    <w:rPr>
      <w:rFonts w:ascii="Calibri" w:hAnsi="Calibri" w:cs="Calibri"/>
      <w:noProof/>
    </w:rPr>
  </w:style>
  <w:style w:type="character" w:customStyle="1" w:styleId="EndNoteBibliographyTitleZchn">
    <w:name w:val="EndNote Bibliography Title Zchn"/>
    <w:basedOn w:val="Absatz-Standardschriftart"/>
    <w:link w:val="EndNoteBibliographyTitle"/>
    <w:rsid w:val="00CC2166"/>
    <w:rPr>
      <w:rFonts w:ascii="Calibri" w:hAnsi="Calibri" w:cs="Calibri"/>
      <w:noProof/>
    </w:rPr>
  </w:style>
  <w:style w:type="paragraph" w:customStyle="1" w:styleId="EndNoteBibliography">
    <w:name w:val="EndNote Bibliography"/>
    <w:basedOn w:val="Standard"/>
    <w:link w:val="EndNoteBibliographyZchn"/>
    <w:rsid w:val="00CC2166"/>
    <w:pPr>
      <w:spacing w:line="240" w:lineRule="auto"/>
      <w:jc w:val="center"/>
    </w:pPr>
    <w:rPr>
      <w:rFonts w:ascii="Calibri" w:hAnsi="Calibri" w:cs="Calibri"/>
      <w:noProof/>
    </w:rPr>
  </w:style>
  <w:style w:type="character" w:customStyle="1" w:styleId="EndNoteBibliographyZchn">
    <w:name w:val="EndNote Bibliography Zchn"/>
    <w:basedOn w:val="Absatz-Standardschriftart"/>
    <w:link w:val="EndNoteBibliography"/>
    <w:rsid w:val="00CC2166"/>
    <w:rPr>
      <w:rFonts w:ascii="Calibri" w:hAnsi="Calibri" w:cs="Calibri"/>
      <w:noProof/>
    </w:rPr>
  </w:style>
  <w:style w:type="character" w:customStyle="1" w:styleId="oxeins1">
    <w:name w:val="oxeins_1"/>
    <w:basedOn w:val="Absatz-Standardschriftart"/>
    <w:rsid w:val="00177E30"/>
  </w:style>
  <w:style w:type="character" w:customStyle="1" w:styleId="oxedel1">
    <w:name w:val="oxedel_1"/>
    <w:basedOn w:val="Absatz-Standardschriftart"/>
    <w:rsid w:val="00177E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0136581">
      <w:bodyDiv w:val="1"/>
      <w:marLeft w:val="0"/>
      <w:marRight w:val="0"/>
      <w:marTop w:val="0"/>
      <w:marBottom w:val="0"/>
      <w:divBdr>
        <w:top w:val="none" w:sz="0" w:space="0" w:color="auto"/>
        <w:left w:val="none" w:sz="0" w:space="0" w:color="auto"/>
        <w:bottom w:val="none" w:sz="0" w:space="0" w:color="auto"/>
        <w:right w:val="none" w:sz="0" w:space="0" w:color="auto"/>
      </w:divBdr>
    </w:div>
    <w:div w:id="1446119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TotalTime>
  <Pages>8</Pages>
  <Words>720</Words>
  <Characters>4107</Characters>
  <Application>Microsoft Office Word</Application>
  <DocSecurity>0</DocSecurity>
  <Lines>34</Lines>
  <Paragraphs>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Helmholtz Zentrum München</Company>
  <LinksUpToDate>false</LinksUpToDate>
  <CharactersWithSpaces>4818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Elhadad, Mohamed Ahmed</dc:creator>
  <cp:lastModifiedBy>Mohamed Elhadad</cp:lastModifiedBy>
  <cp:revision>12</cp:revision>
  <dcterms:created xsi:type="dcterms:W3CDTF">2021-04-19T11:28:00Z</dcterms:created>
  <dcterms:modified xsi:type="dcterms:W3CDTF">2021-05-17T17:21:00Z</dcterms:modified>
</cp:coreProperties>
</file>