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190CE" w14:textId="3B33B49B" w:rsidR="00E52A70" w:rsidRPr="00E0543A" w:rsidRDefault="00E52A70" w:rsidP="00E52A70">
      <w:pPr>
        <w:pStyle w:val="Head"/>
        <w:suppressLineNumbers/>
        <w:spacing w:line="360" w:lineRule="auto"/>
        <w:rPr>
          <w:rFonts w:ascii="Arial" w:hAnsi="Arial" w:cs="Arial"/>
          <w:sz w:val="24"/>
        </w:rPr>
      </w:pPr>
      <w:r w:rsidRPr="00E0543A">
        <w:rPr>
          <w:rFonts w:ascii="Arial" w:hAnsi="Arial" w:cs="Arial"/>
          <w:sz w:val="24"/>
        </w:rPr>
        <w:t>Supplementary</w:t>
      </w:r>
      <w:r w:rsidR="0005127D" w:rsidRPr="00E0543A">
        <w:rPr>
          <w:rFonts w:ascii="Arial" w:hAnsi="Arial" w:cs="Arial"/>
          <w:sz w:val="24"/>
        </w:rPr>
        <w:t xml:space="preserve"> information</w:t>
      </w:r>
    </w:p>
    <w:p w14:paraId="18157676" w14:textId="69571740" w:rsidR="00E52A70" w:rsidRPr="00E0543A" w:rsidRDefault="00E52A70" w:rsidP="00E52A70">
      <w:pPr>
        <w:pStyle w:val="Head"/>
        <w:suppressLineNumbers/>
        <w:spacing w:line="360" w:lineRule="auto"/>
        <w:rPr>
          <w:rFonts w:ascii="Arial" w:hAnsi="Arial" w:cs="Arial"/>
          <w:sz w:val="24"/>
        </w:rPr>
      </w:pPr>
    </w:p>
    <w:p w14:paraId="4D23ED95" w14:textId="77777777" w:rsidR="0005127D" w:rsidRPr="00E0543A" w:rsidRDefault="0005127D" w:rsidP="00E52A70">
      <w:pPr>
        <w:pStyle w:val="Head"/>
        <w:suppressLineNumbers/>
        <w:spacing w:line="360" w:lineRule="auto"/>
        <w:rPr>
          <w:rFonts w:ascii="Arial" w:hAnsi="Arial" w:cs="Arial"/>
          <w:sz w:val="24"/>
        </w:rPr>
      </w:pPr>
    </w:p>
    <w:p w14:paraId="1F63053F" w14:textId="77777777" w:rsidR="00210D6A" w:rsidRPr="00E0543A" w:rsidRDefault="0005127D" w:rsidP="0005127D">
      <w:pPr>
        <w:pStyle w:val="Teaser"/>
        <w:suppressLineNumbers/>
        <w:spacing w:line="276" w:lineRule="auto"/>
        <w:rPr>
          <w:rFonts w:ascii="Arial" w:hAnsi="Arial" w:cs="Arial"/>
          <w:b/>
          <w:sz w:val="22"/>
        </w:rPr>
      </w:pPr>
      <w:r w:rsidRPr="00E0543A">
        <w:rPr>
          <w:rFonts w:ascii="Arial" w:hAnsi="Arial" w:cs="Arial"/>
          <w:b/>
          <w:sz w:val="22"/>
          <w:u w:val="single"/>
        </w:rPr>
        <w:t>Title:</w:t>
      </w:r>
      <w:r w:rsidRPr="00E0543A">
        <w:rPr>
          <w:rFonts w:ascii="Arial" w:hAnsi="Arial" w:cs="Arial"/>
          <w:b/>
          <w:sz w:val="22"/>
        </w:rPr>
        <w:t xml:space="preserve"> </w:t>
      </w:r>
    </w:p>
    <w:p w14:paraId="618D0B39" w14:textId="046E2903" w:rsidR="00E52A70" w:rsidRPr="00E0543A" w:rsidRDefault="0005127D" w:rsidP="0005127D">
      <w:pPr>
        <w:pStyle w:val="Teaser"/>
        <w:suppressLineNumbers/>
        <w:spacing w:line="276" w:lineRule="auto"/>
        <w:rPr>
          <w:rFonts w:ascii="Arial" w:hAnsi="Arial" w:cs="Arial"/>
          <w:sz w:val="22"/>
        </w:rPr>
      </w:pPr>
      <w:r w:rsidRPr="00E0543A">
        <w:rPr>
          <w:rFonts w:ascii="Arial" w:hAnsi="Arial" w:cs="Arial"/>
          <w:b/>
          <w:sz w:val="22"/>
        </w:rPr>
        <w:br/>
      </w:r>
      <w:r w:rsidR="00E52A70" w:rsidRPr="00E0543A">
        <w:rPr>
          <w:rFonts w:ascii="Arial" w:hAnsi="Arial" w:cs="Arial"/>
          <w:sz w:val="22"/>
        </w:rPr>
        <w:t>Small molecule inhibitors of the mitochondrial ClpXP protease possess cytostatic potential a</w:t>
      </w:r>
      <w:r w:rsidRPr="00E0543A">
        <w:rPr>
          <w:rFonts w:ascii="Arial" w:hAnsi="Arial" w:cs="Arial"/>
          <w:sz w:val="22"/>
        </w:rPr>
        <w:t>nd re-sensitize chemo-resistant</w:t>
      </w:r>
    </w:p>
    <w:p w14:paraId="11281682" w14:textId="77777777" w:rsidR="00210D6A" w:rsidRPr="00E0543A" w:rsidRDefault="00210D6A" w:rsidP="0005127D">
      <w:pPr>
        <w:pStyle w:val="Teaser"/>
        <w:suppressLineNumbers/>
        <w:spacing w:line="276" w:lineRule="auto"/>
        <w:rPr>
          <w:rFonts w:ascii="Arial" w:hAnsi="Arial" w:cs="Arial"/>
          <w:b/>
          <w:sz w:val="22"/>
        </w:rPr>
      </w:pPr>
    </w:p>
    <w:p w14:paraId="7AF4621F" w14:textId="77777777" w:rsidR="00E52A70" w:rsidRPr="00E0543A" w:rsidRDefault="00E52A70" w:rsidP="00E52A70">
      <w:pPr>
        <w:pStyle w:val="Paragraph"/>
        <w:suppressLineNumbers/>
        <w:spacing w:line="276" w:lineRule="auto"/>
        <w:ind w:firstLine="0"/>
        <w:jc w:val="both"/>
        <w:rPr>
          <w:rFonts w:ascii="Arial" w:hAnsi="Arial" w:cs="Arial"/>
          <w:sz w:val="18"/>
          <w:szCs w:val="20"/>
        </w:rPr>
      </w:pPr>
    </w:p>
    <w:p w14:paraId="474C699E" w14:textId="757572D2" w:rsidR="0005127D" w:rsidRPr="00E0543A" w:rsidRDefault="0005127D" w:rsidP="0005127D">
      <w:pPr>
        <w:pStyle w:val="Teaser"/>
        <w:suppressLineNumbers/>
        <w:spacing w:line="276" w:lineRule="auto"/>
        <w:rPr>
          <w:rFonts w:ascii="Arial" w:hAnsi="Arial" w:cs="Arial"/>
          <w:b/>
          <w:sz w:val="22"/>
          <w:szCs w:val="22"/>
          <w:u w:val="single"/>
        </w:rPr>
      </w:pPr>
      <w:r w:rsidRPr="00E0543A">
        <w:rPr>
          <w:rFonts w:ascii="Arial" w:hAnsi="Arial" w:cs="Arial"/>
          <w:b/>
          <w:sz w:val="22"/>
          <w:szCs w:val="22"/>
          <w:u w:val="single"/>
        </w:rPr>
        <w:t>Authors:</w:t>
      </w:r>
    </w:p>
    <w:p w14:paraId="35C2DE39" w14:textId="77777777" w:rsidR="00210D6A" w:rsidRPr="00E0543A" w:rsidRDefault="00210D6A" w:rsidP="0005127D">
      <w:pPr>
        <w:pStyle w:val="Teaser"/>
        <w:suppressLineNumbers/>
        <w:spacing w:line="276" w:lineRule="auto"/>
        <w:rPr>
          <w:rFonts w:ascii="Arial" w:hAnsi="Arial" w:cs="Arial"/>
          <w:sz w:val="22"/>
          <w:szCs w:val="22"/>
          <w:u w:val="single"/>
        </w:rPr>
      </w:pPr>
    </w:p>
    <w:p w14:paraId="0E7D06EC" w14:textId="77777777" w:rsidR="00B77913" w:rsidRPr="00E0543A" w:rsidRDefault="00B77913" w:rsidP="00B77913">
      <w:pPr>
        <w:pStyle w:val="Teaser"/>
        <w:suppressLineNumbers/>
        <w:spacing w:before="0" w:line="276" w:lineRule="auto"/>
        <w:rPr>
          <w:rFonts w:ascii="Arial" w:hAnsi="Arial" w:cs="Arial"/>
          <w:sz w:val="22"/>
        </w:rPr>
      </w:pPr>
      <w:r w:rsidRPr="00E0543A">
        <w:rPr>
          <w:rFonts w:ascii="Arial" w:hAnsi="Arial" w:cs="Arial"/>
          <w:sz w:val="22"/>
        </w:rPr>
        <w:t>Martina Meßner</w:t>
      </w:r>
      <w:r w:rsidRPr="00E0543A">
        <w:rPr>
          <w:rFonts w:ascii="Arial" w:hAnsi="Arial" w:cs="Arial"/>
          <w:sz w:val="22"/>
          <w:vertAlign w:val="superscript"/>
        </w:rPr>
        <w:t xml:space="preserve">1,2† </w:t>
      </w:r>
      <w:r w:rsidRPr="00E0543A">
        <w:rPr>
          <w:rFonts w:ascii="Arial" w:hAnsi="Arial" w:cs="Arial"/>
          <w:sz w:val="22"/>
        </w:rPr>
        <w:t>&amp; Melanie M. Mandl</w:t>
      </w:r>
      <w:r w:rsidRPr="00E0543A">
        <w:rPr>
          <w:rFonts w:ascii="Arial" w:hAnsi="Arial" w:cs="Arial"/>
          <w:sz w:val="22"/>
          <w:vertAlign w:val="superscript"/>
        </w:rPr>
        <w:t>1†</w:t>
      </w:r>
      <w:r w:rsidRPr="00E0543A">
        <w:rPr>
          <w:rFonts w:ascii="Arial" w:hAnsi="Arial" w:cs="Arial"/>
          <w:sz w:val="22"/>
        </w:rPr>
        <w:t>; Mathias W. Hackl</w:t>
      </w:r>
      <w:r w:rsidRPr="00E0543A">
        <w:rPr>
          <w:rFonts w:ascii="Arial" w:hAnsi="Arial" w:cs="Arial"/>
          <w:sz w:val="22"/>
          <w:vertAlign w:val="superscript"/>
        </w:rPr>
        <w:t>3</w:t>
      </w:r>
      <w:r w:rsidRPr="00E0543A">
        <w:rPr>
          <w:rFonts w:ascii="Arial" w:hAnsi="Arial" w:cs="Arial"/>
          <w:sz w:val="22"/>
        </w:rPr>
        <w:t>; Till Reinhardt</w:t>
      </w:r>
      <w:r w:rsidRPr="00E0543A">
        <w:rPr>
          <w:rFonts w:ascii="Arial" w:hAnsi="Arial" w:cs="Arial"/>
          <w:sz w:val="22"/>
          <w:vertAlign w:val="superscript"/>
        </w:rPr>
        <w:t>3</w:t>
      </w:r>
      <w:r w:rsidRPr="00E0543A">
        <w:rPr>
          <w:rFonts w:ascii="Arial" w:hAnsi="Arial" w:cs="Arial"/>
          <w:sz w:val="22"/>
        </w:rPr>
        <w:t>, Maximilian A. Ardelt</w:t>
      </w:r>
      <w:r w:rsidRPr="00E0543A">
        <w:rPr>
          <w:rFonts w:ascii="Arial" w:hAnsi="Arial" w:cs="Arial"/>
          <w:sz w:val="22"/>
          <w:vertAlign w:val="superscript"/>
        </w:rPr>
        <w:t>2</w:t>
      </w:r>
      <w:r w:rsidRPr="00E0543A">
        <w:rPr>
          <w:rFonts w:ascii="Arial" w:hAnsi="Arial" w:cs="Arial"/>
          <w:sz w:val="22"/>
        </w:rPr>
        <w:t>; Karolina Szczepanowska</w:t>
      </w:r>
      <w:r w:rsidRPr="00E0543A">
        <w:rPr>
          <w:rFonts w:ascii="Arial" w:hAnsi="Arial" w:cs="Arial"/>
          <w:sz w:val="22"/>
          <w:vertAlign w:val="superscript"/>
        </w:rPr>
        <w:t>4</w:t>
      </w:r>
      <w:r w:rsidRPr="00E0543A">
        <w:rPr>
          <w:rFonts w:ascii="Arial" w:hAnsi="Arial" w:cs="Arial"/>
          <w:sz w:val="22"/>
        </w:rPr>
        <w:t>; Julian E. Frädrich</w:t>
      </w:r>
      <w:r w:rsidRPr="00E0543A">
        <w:rPr>
          <w:rFonts w:ascii="Arial" w:hAnsi="Arial" w:cs="Arial"/>
          <w:sz w:val="22"/>
          <w:vertAlign w:val="superscript"/>
        </w:rPr>
        <w:t>1</w:t>
      </w:r>
      <w:r w:rsidRPr="00E0543A">
        <w:rPr>
          <w:rFonts w:ascii="Arial" w:hAnsi="Arial" w:cs="Arial"/>
          <w:sz w:val="22"/>
        </w:rPr>
        <w:t>; Jens Waschke</w:t>
      </w:r>
      <w:r w:rsidRPr="00E0543A">
        <w:rPr>
          <w:rFonts w:ascii="Arial" w:hAnsi="Arial" w:cs="Arial"/>
          <w:sz w:val="22"/>
          <w:vertAlign w:val="superscript"/>
        </w:rPr>
        <w:t>5</w:t>
      </w:r>
      <w:r w:rsidRPr="00E0543A">
        <w:rPr>
          <w:rFonts w:ascii="Arial" w:hAnsi="Arial" w:cs="Arial"/>
          <w:sz w:val="22"/>
        </w:rPr>
        <w:t>; Irmela Jeremias</w:t>
      </w:r>
      <w:r w:rsidRPr="00E0543A">
        <w:rPr>
          <w:rFonts w:ascii="Arial" w:hAnsi="Arial" w:cs="Arial"/>
          <w:sz w:val="22"/>
          <w:vertAlign w:val="superscript"/>
        </w:rPr>
        <w:t>6,7</w:t>
      </w:r>
      <w:r w:rsidRPr="00E0543A">
        <w:rPr>
          <w:rFonts w:ascii="Arial" w:hAnsi="Arial" w:cs="Arial"/>
          <w:sz w:val="22"/>
        </w:rPr>
        <w:t>; Anja Fux</w:t>
      </w:r>
      <w:r w:rsidRPr="00E0543A">
        <w:rPr>
          <w:rFonts w:ascii="Arial" w:hAnsi="Arial" w:cs="Arial"/>
          <w:sz w:val="22"/>
          <w:vertAlign w:val="superscript"/>
        </w:rPr>
        <w:t>3</w:t>
      </w:r>
      <w:r w:rsidRPr="00E0543A">
        <w:rPr>
          <w:rFonts w:ascii="Arial" w:hAnsi="Arial" w:cs="Arial"/>
          <w:sz w:val="22"/>
        </w:rPr>
        <w:t>; Matthias Stahl</w:t>
      </w:r>
      <w:r w:rsidRPr="00E0543A">
        <w:rPr>
          <w:rFonts w:ascii="Arial" w:hAnsi="Arial" w:cs="Arial"/>
          <w:sz w:val="22"/>
          <w:vertAlign w:val="superscript"/>
        </w:rPr>
        <w:t>3,8</w:t>
      </w:r>
      <w:r w:rsidRPr="00E0543A">
        <w:rPr>
          <w:rFonts w:ascii="Arial" w:hAnsi="Arial" w:cs="Arial"/>
          <w:sz w:val="22"/>
        </w:rPr>
        <w:t>; Angelika M. Vollmar</w:t>
      </w:r>
      <w:r w:rsidRPr="00E0543A">
        <w:rPr>
          <w:rFonts w:ascii="Arial" w:hAnsi="Arial" w:cs="Arial"/>
          <w:sz w:val="22"/>
          <w:vertAlign w:val="superscript"/>
        </w:rPr>
        <w:t>1</w:t>
      </w:r>
      <w:r w:rsidRPr="00E0543A">
        <w:rPr>
          <w:rFonts w:ascii="Arial" w:hAnsi="Arial" w:cs="Arial"/>
          <w:sz w:val="22"/>
        </w:rPr>
        <w:t>; Stephan A. Sieber</w:t>
      </w:r>
      <w:r w:rsidRPr="00E0543A">
        <w:rPr>
          <w:rFonts w:ascii="Arial" w:hAnsi="Arial" w:cs="Arial"/>
          <w:sz w:val="22"/>
          <w:vertAlign w:val="superscript"/>
        </w:rPr>
        <w:t>3</w:t>
      </w:r>
      <w:r w:rsidRPr="00E0543A">
        <w:rPr>
          <w:rFonts w:ascii="Arial" w:hAnsi="Arial" w:cs="Arial"/>
          <w:sz w:val="22"/>
        </w:rPr>
        <w:t>* &amp; Johanna Pachmayr</w:t>
      </w:r>
      <w:r w:rsidRPr="00E0543A">
        <w:rPr>
          <w:rFonts w:ascii="Arial" w:hAnsi="Arial" w:cs="Arial"/>
          <w:sz w:val="22"/>
          <w:vertAlign w:val="superscript"/>
        </w:rPr>
        <w:t>2,9</w:t>
      </w:r>
      <w:r w:rsidRPr="00E0543A">
        <w:rPr>
          <w:rFonts w:ascii="Arial" w:hAnsi="Arial" w:cs="Arial"/>
          <w:sz w:val="22"/>
        </w:rPr>
        <w:t>*</w:t>
      </w:r>
    </w:p>
    <w:p w14:paraId="1E083BEC" w14:textId="77777777" w:rsidR="0005127D" w:rsidRPr="00E0543A" w:rsidRDefault="0005127D" w:rsidP="0005127D">
      <w:pPr>
        <w:pStyle w:val="Teaser"/>
        <w:suppressLineNumbers/>
        <w:spacing w:line="276" w:lineRule="auto"/>
        <w:rPr>
          <w:rFonts w:ascii="Arial" w:hAnsi="Arial" w:cs="Arial"/>
          <w:sz w:val="22"/>
          <w:szCs w:val="22"/>
        </w:rPr>
      </w:pPr>
    </w:p>
    <w:p w14:paraId="55B87C3E" w14:textId="6F9B44A2" w:rsidR="00210D6A" w:rsidRPr="00E0543A" w:rsidRDefault="0005127D" w:rsidP="0005127D">
      <w:pPr>
        <w:pStyle w:val="Paragraph"/>
        <w:suppressLineNumbers/>
        <w:spacing w:before="0" w:line="276" w:lineRule="auto"/>
        <w:ind w:firstLine="0"/>
        <w:rPr>
          <w:rFonts w:ascii="Arial" w:hAnsi="Arial" w:cs="Arial"/>
          <w:b/>
          <w:sz w:val="22"/>
          <w:szCs w:val="22"/>
        </w:rPr>
      </w:pPr>
      <w:r w:rsidRPr="00E0543A">
        <w:rPr>
          <w:rFonts w:ascii="Arial" w:hAnsi="Arial" w:cs="Arial"/>
          <w:b/>
          <w:sz w:val="22"/>
          <w:szCs w:val="22"/>
        </w:rPr>
        <w:t>Affiliations:</w:t>
      </w:r>
    </w:p>
    <w:p w14:paraId="6FBCB8CC"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1</w:t>
      </w:r>
      <w:r w:rsidRPr="00E0543A">
        <w:rPr>
          <w:rFonts w:ascii="Arial" w:hAnsi="Arial" w:cs="Arial"/>
          <w:sz w:val="19"/>
          <w:szCs w:val="19"/>
        </w:rPr>
        <w:t>Department of Pharmacy, Pharmaceutical Biology, Ludwig-Maximilians-University (LMU) Munich, Munich, 81377, Germany</w:t>
      </w:r>
    </w:p>
    <w:p w14:paraId="360A5DBA"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2</w:t>
      </w:r>
      <w:r w:rsidRPr="00E0543A">
        <w:rPr>
          <w:rFonts w:ascii="Arial" w:hAnsi="Arial" w:cs="Arial"/>
          <w:sz w:val="19"/>
          <w:szCs w:val="19"/>
        </w:rPr>
        <w:t>Paracelsus Medical University, Institute of Pharmacy, Salzburg, 5020, Austria</w:t>
      </w:r>
    </w:p>
    <w:p w14:paraId="46BA6689"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3</w:t>
      </w:r>
      <w:r w:rsidRPr="00E0543A">
        <w:rPr>
          <w:rFonts w:ascii="Arial" w:hAnsi="Arial" w:cs="Arial"/>
          <w:sz w:val="19"/>
          <w:szCs w:val="19"/>
        </w:rPr>
        <w:t>Center for Integrated Protein Science Munich, Department of Chemistry, Technical University Munich, 85748 Garching, Germany</w:t>
      </w:r>
    </w:p>
    <w:p w14:paraId="77FC77EC"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4</w:t>
      </w:r>
      <w:r w:rsidRPr="00E0543A">
        <w:rPr>
          <w:rFonts w:ascii="Arial" w:hAnsi="Arial" w:cs="Arial"/>
          <w:sz w:val="19"/>
          <w:szCs w:val="19"/>
        </w:rPr>
        <w:t>Institute for Mitochondrial Diseases and Aging at CECAD Research Centre, and Center for Molecular Medicine Cologne (CMMC), Medical Faculty, University of Cologne, Cologne, Germany</w:t>
      </w:r>
    </w:p>
    <w:p w14:paraId="2B9196FD"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5</w:t>
      </w:r>
      <w:r w:rsidRPr="00E0543A">
        <w:rPr>
          <w:rFonts w:ascii="Arial" w:hAnsi="Arial" w:cs="Arial"/>
          <w:sz w:val="19"/>
          <w:szCs w:val="19"/>
        </w:rPr>
        <w:t>Faculty of Medicine, Institute of Anatomy, Ludwig-Maximilians-University (LMU) Munich, 80336, Munich, Germany</w:t>
      </w:r>
    </w:p>
    <w:p w14:paraId="0B5A444D"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6</w:t>
      </w:r>
      <w:r w:rsidRPr="00E0543A">
        <w:rPr>
          <w:rFonts w:ascii="Arial" w:hAnsi="Arial" w:cs="Arial"/>
          <w:sz w:val="19"/>
          <w:szCs w:val="19"/>
        </w:rPr>
        <w:t>Research Unit Apoptosis in Hematopoietic Stem Cells, Helmholtz Zentrum München, Munich, 81377, Germany</w:t>
      </w:r>
    </w:p>
    <w:p w14:paraId="20FAF007"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7</w:t>
      </w:r>
      <w:r w:rsidRPr="00E0543A">
        <w:rPr>
          <w:rFonts w:ascii="Arial" w:hAnsi="Arial" w:cs="Arial"/>
          <w:sz w:val="19"/>
          <w:szCs w:val="19"/>
        </w:rPr>
        <w:t>Dr. von Hauner Children's Hospital, Ludwig Maximilians University (LMU), Munich, 80337, Germany</w:t>
      </w:r>
    </w:p>
    <w:p w14:paraId="55D6FCE8"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8</w:t>
      </w:r>
      <w:r w:rsidRPr="00E0543A">
        <w:rPr>
          <w:rFonts w:ascii="Arial" w:hAnsi="Arial" w:cs="Arial"/>
          <w:sz w:val="19"/>
          <w:szCs w:val="19"/>
        </w:rPr>
        <w:t>Present address: Science for Life Laboratory, Department of Oncology-Pathology, Karolinska Institutet, Box 1031, 171 21 Solna, Stockholm, Sweden</w:t>
      </w:r>
    </w:p>
    <w:p w14:paraId="33B12B3F" w14:textId="77777777" w:rsidR="00B77913" w:rsidRPr="00E0543A" w:rsidRDefault="00B77913" w:rsidP="00B77913">
      <w:pPr>
        <w:pStyle w:val="Paragraph"/>
        <w:suppressLineNumbers/>
        <w:ind w:firstLine="0"/>
        <w:rPr>
          <w:rFonts w:ascii="Arial" w:hAnsi="Arial" w:cs="Arial"/>
          <w:sz w:val="19"/>
          <w:szCs w:val="19"/>
        </w:rPr>
      </w:pPr>
      <w:r w:rsidRPr="00E0543A">
        <w:rPr>
          <w:rFonts w:ascii="Arial" w:hAnsi="Arial" w:cs="Arial"/>
          <w:sz w:val="19"/>
          <w:szCs w:val="19"/>
          <w:vertAlign w:val="superscript"/>
        </w:rPr>
        <w:t>9</w:t>
      </w:r>
      <w:r w:rsidRPr="00E0543A">
        <w:rPr>
          <w:rFonts w:ascii="Arial" w:hAnsi="Arial" w:cs="Arial"/>
          <w:sz w:val="19"/>
          <w:szCs w:val="19"/>
        </w:rPr>
        <w:t>Paracelsus Medical University, Institute of Pharmacy, Center for Public Health, Salzburg, 5020, Austria</w:t>
      </w:r>
    </w:p>
    <w:p w14:paraId="296C286C" w14:textId="77777777" w:rsidR="0005127D" w:rsidRPr="00E0543A" w:rsidRDefault="0005127D" w:rsidP="0005127D">
      <w:pPr>
        <w:pStyle w:val="Paragraph"/>
        <w:suppressLineNumbers/>
        <w:spacing w:line="276" w:lineRule="auto"/>
        <w:ind w:firstLine="0"/>
        <w:rPr>
          <w:rFonts w:ascii="Arial" w:hAnsi="Arial" w:cs="Arial"/>
          <w:sz w:val="22"/>
          <w:szCs w:val="22"/>
        </w:rPr>
      </w:pPr>
    </w:p>
    <w:p w14:paraId="7FE090A0" w14:textId="4FB09DB3" w:rsidR="0005127D" w:rsidRPr="00E0543A" w:rsidRDefault="0005127D" w:rsidP="0005127D">
      <w:pPr>
        <w:pStyle w:val="Paragraph"/>
        <w:suppressLineNumbers/>
        <w:spacing w:before="0" w:line="276" w:lineRule="auto"/>
        <w:ind w:firstLine="0"/>
        <w:rPr>
          <w:rFonts w:ascii="Arial" w:hAnsi="Arial" w:cs="Arial"/>
          <w:sz w:val="22"/>
          <w:szCs w:val="22"/>
        </w:rPr>
      </w:pPr>
      <w:r w:rsidRPr="00E0543A">
        <w:rPr>
          <w:rFonts w:ascii="Arial" w:hAnsi="Arial" w:cs="Arial"/>
          <w:sz w:val="22"/>
          <w:szCs w:val="22"/>
        </w:rPr>
        <w:t>*Corresponding authors: Prof. Johanna Pachmayr &amp; Prof. Stephan A. Sieber</w:t>
      </w:r>
    </w:p>
    <w:p w14:paraId="7CD615FC" w14:textId="77777777" w:rsidR="0005127D" w:rsidRPr="00E0543A" w:rsidRDefault="0005127D" w:rsidP="0005127D">
      <w:pPr>
        <w:pStyle w:val="Paragraph"/>
        <w:suppressLineNumbers/>
        <w:spacing w:before="0" w:line="276" w:lineRule="auto"/>
        <w:ind w:firstLine="0"/>
        <w:rPr>
          <w:rFonts w:ascii="Arial" w:hAnsi="Arial" w:cs="Arial"/>
          <w:sz w:val="22"/>
          <w:szCs w:val="22"/>
        </w:rPr>
      </w:pPr>
    </w:p>
    <w:p w14:paraId="3C166C9E" w14:textId="77777777" w:rsidR="0005127D" w:rsidRPr="00E0543A" w:rsidRDefault="0005127D" w:rsidP="0005127D">
      <w:pPr>
        <w:pStyle w:val="Paragraph"/>
        <w:suppressLineNumbers/>
        <w:spacing w:before="0" w:line="276" w:lineRule="auto"/>
        <w:ind w:firstLine="0"/>
        <w:rPr>
          <w:rFonts w:ascii="Arial" w:hAnsi="Arial" w:cs="Arial"/>
          <w:sz w:val="22"/>
          <w:szCs w:val="22"/>
        </w:rPr>
      </w:pPr>
      <w:r w:rsidRPr="00E0543A">
        <w:rPr>
          <w:rFonts w:ascii="Arial" w:hAnsi="Arial" w:cs="Arial"/>
          <w:sz w:val="22"/>
          <w:szCs w:val="22"/>
        </w:rPr>
        <w:t>†M.M. and M.M.M. contributed equally</w:t>
      </w:r>
    </w:p>
    <w:p w14:paraId="0C6525FE" w14:textId="1E8E8F60" w:rsidR="0005127D" w:rsidRPr="00E0543A" w:rsidRDefault="0005127D" w:rsidP="0005127D">
      <w:pPr>
        <w:suppressLineNumbers/>
        <w:rPr>
          <w:rFonts w:eastAsia="Times New Roman" w:cs="Arial"/>
          <w:b/>
          <w:szCs w:val="22"/>
        </w:rPr>
      </w:pPr>
      <w:r w:rsidRPr="00E0543A">
        <w:rPr>
          <w:rFonts w:cs="Arial"/>
          <w:b/>
          <w:szCs w:val="22"/>
        </w:rPr>
        <w:br w:type="page"/>
      </w:r>
    </w:p>
    <w:p w14:paraId="64E92395" w14:textId="77777777" w:rsidR="0005127D" w:rsidRPr="00E0543A" w:rsidRDefault="0005127D" w:rsidP="00E52A70">
      <w:pPr>
        <w:pStyle w:val="Acknowledgement"/>
        <w:suppressLineNumbers/>
        <w:spacing w:before="0" w:after="120" w:line="360" w:lineRule="auto"/>
        <w:ind w:left="0" w:firstLine="0"/>
        <w:rPr>
          <w:rFonts w:ascii="Arial" w:hAnsi="Arial" w:cs="Arial"/>
          <w:b/>
          <w:sz w:val="22"/>
          <w:u w:val="single"/>
        </w:rPr>
      </w:pPr>
    </w:p>
    <w:p w14:paraId="5E1F285F" w14:textId="60C8E717" w:rsidR="00E52A70" w:rsidRPr="00E0543A" w:rsidRDefault="0005127D" w:rsidP="00E52A70">
      <w:pPr>
        <w:pStyle w:val="Acknowledgement"/>
        <w:suppressLineNumbers/>
        <w:spacing w:before="0" w:after="120" w:line="360" w:lineRule="auto"/>
        <w:ind w:left="0" w:firstLine="0"/>
        <w:rPr>
          <w:rFonts w:ascii="Arial" w:hAnsi="Arial" w:cs="Arial"/>
          <w:b/>
          <w:sz w:val="22"/>
          <w:u w:val="single"/>
        </w:rPr>
      </w:pPr>
      <w:r w:rsidRPr="00E0543A">
        <w:rPr>
          <w:rFonts w:ascii="Arial" w:hAnsi="Arial" w:cs="Arial"/>
          <w:b/>
          <w:sz w:val="22"/>
          <w:u w:val="single"/>
        </w:rPr>
        <w:t>Overview:</w:t>
      </w:r>
    </w:p>
    <w:p w14:paraId="184F293E" w14:textId="77777777" w:rsidR="0005127D" w:rsidRPr="00E0543A" w:rsidRDefault="0005127D" w:rsidP="00E52A70">
      <w:pPr>
        <w:pStyle w:val="Acknowledgement"/>
        <w:suppressLineNumbers/>
        <w:spacing w:before="0" w:after="120" w:line="360" w:lineRule="auto"/>
        <w:ind w:left="0" w:firstLine="0"/>
        <w:rPr>
          <w:rFonts w:ascii="Arial" w:hAnsi="Arial" w:cs="Arial"/>
          <w:b/>
          <w:sz w:val="22"/>
        </w:rPr>
      </w:pPr>
    </w:p>
    <w:p w14:paraId="1F6F35F3" w14:textId="73D141B5" w:rsidR="00E52A70" w:rsidRPr="00E0543A" w:rsidRDefault="00E52A70" w:rsidP="00E52A70">
      <w:pPr>
        <w:pStyle w:val="Acknowledgement"/>
        <w:suppressLineNumbers/>
        <w:spacing w:before="0" w:after="120" w:line="360" w:lineRule="auto"/>
        <w:ind w:left="0" w:firstLine="0"/>
        <w:rPr>
          <w:rFonts w:ascii="Arial" w:hAnsi="Arial" w:cs="Arial"/>
          <w:b/>
          <w:sz w:val="22"/>
        </w:rPr>
      </w:pPr>
      <w:r w:rsidRPr="00E0543A">
        <w:rPr>
          <w:rFonts w:ascii="Arial" w:hAnsi="Arial" w:cs="Arial"/>
          <w:b/>
          <w:sz w:val="22"/>
        </w:rPr>
        <w:t>Supplementary Figu</w:t>
      </w:r>
      <w:bookmarkStart w:id="0" w:name="_GoBack"/>
      <w:bookmarkEnd w:id="0"/>
      <w:r w:rsidRPr="00E0543A">
        <w:rPr>
          <w:rFonts w:ascii="Arial" w:hAnsi="Arial" w:cs="Arial"/>
          <w:b/>
          <w:sz w:val="22"/>
        </w:rPr>
        <w:t xml:space="preserve">res: </w:t>
      </w:r>
    </w:p>
    <w:p w14:paraId="0875795B" w14:textId="76043023" w:rsidR="00E52A70" w:rsidRPr="00E0543A" w:rsidRDefault="00E52A70" w:rsidP="00E52A70">
      <w:pPr>
        <w:pStyle w:val="Acknowledgement"/>
        <w:suppressLineNumbers/>
        <w:spacing w:before="0" w:line="360" w:lineRule="auto"/>
        <w:ind w:left="2892" w:hanging="2608"/>
        <w:rPr>
          <w:rFonts w:ascii="Arial" w:hAnsi="Arial" w:cs="Arial"/>
          <w:sz w:val="22"/>
        </w:rPr>
      </w:pPr>
      <w:r w:rsidRPr="00E0543A">
        <w:rPr>
          <w:rFonts w:ascii="Arial" w:hAnsi="Arial" w:cs="Arial"/>
          <w:sz w:val="22"/>
        </w:rPr>
        <w:t>Supplementary Figure 1 │</w:t>
      </w:r>
      <w:r w:rsidRPr="00E0543A">
        <w:t xml:space="preserve"> </w:t>
      </w:r>
      <w:r w:rsidRPr="00E0543A">
        <w:rPr>
          <w:rFonts w:ascii="Arial" w:hAnsi="Arial" w:cs="Arial"/>
          <w:sz w:val="22"/>
        </w:rPr>
        <w:t>SaClpXP inhibitors that were tested for activity against the human ClpXP.</w:t>
      </w:r>
    </w:p>
    <w:p w14:paraId="1DBD55E0" w14:textId="739953AE" w:rsidR="00E52A70" w:rsidRPr="00E0543A" w:rsidRDefault="00E52A70" w:rsidP="00E52A70">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Supplementary Figure 2 │</w:t>
      </w:r>
      <w:r w:rsidRPr="00E0543A">
        <w:t xml:space="preserve"> </w:t>
      </w:r>
      <w:r w:rsidRPr="00E0543A">
        <w:rPr>
          <w:rFonts w:ascii="Arial" w:hAnsi="Arial" w:cs="Arial"/>
          <w:sz w:val="22"/>
        </w:rPr>
        <w:t>334 treatment impairs cell proliferation of HCC and breast cancer cells.</w:t>
      </w:r>
    </w:p>
    <w:p w14:paraId="03944699" w14:textId="5123A7FA" w:rsidR="00E52A70" w:rsidRPr="00E0543A" w:rsidRDefault="00E52A70" w:rsidP="00E52A70">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3 </w:t>
      </w:r>
      <w:r w:rsidRPr="00E0543A">
        <w:rPr>
          <w:rFonts w:ascii="Arial" w:hAnsi="Arial" w:cs="Arial"/>
          <w:sz w:val="22"/>
          <w:szCs w:val="22"/>
        </w:rPr>
        <w:t>│ 339 treatment prevents migration of HCC cells at non-lethal concentrations.</w:t>
      </w:r>
    </w:p>
    <w:p w14:paraId="6A651559" w14:textId="394E6852" w:rsidR="00E52A70" w:rsidRPr="00E0543A" w:rsidRDefault="00E52A70" w:rsidP="00E52A70">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4 </w:t>
      </w:r>
      <w:r w:rsidRPr="00E0543A">
        <w:rPr>
          <w:rFonts w:ascii="Arial" w:hAnsi="Arial" w:cs="Arial"/>
          <w:sz w:val="22"/>
          <w:szCs w:val="22"/>
        </w:rPr>
        <w:t xml:space="preserve">│ MS-based proteomics screen of </w:t>
      </w:r>
      <w:r w:rsidR="00AC08A4" w:rsidRPr="00E0543A">
        <w:rPr>
          <w:rFonts w:ascii="Arial" w:hAnsi="Arial" w:cs="Arial"/>
          <w:sz w:val="22"/>
          <w:szCs w:val="22"/>
        </w:rPr>
        <w:t>K562</w:t>
      </w:r>
      <w:r w:rsidRPr="00E0543A">
        <w:rPr>
          <w:rFonts w:ascii="Arial" w:hAnsi="Arial" w:cs="Arial"/>
          <w:sz w:val="22"/>
          <w:szCs w:val="22"/>
        </w:rPr>
        <w:t xml:space="preserve"> cells upon 24 h and 48 h of 334 treatment.</w:t>
      </w:r>
    </w:p>
    <w:p w14:paraId="42F0F942" w14:textId="59559192" w:rsidR="00E52A70" w:rsidRPr="00E0543A" w:rsidRDefault="00E52A70" w:rsidP="00E52A70">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5 </w:t>
      </w:r>
      <w:r w:rsidRPr="00E0543A">
        <w:rPr>
          <w:rFonts w:ascii="Arial" w:hAnsi="Arial" w:cs="Arial"/>
          <w:sz w:val="22"/>
          <w:szCs w:val="22"/>
        </w:rPr>
        <w:t>│ 334 promotes cellular stress response and slightly affects mitochondrial localization.</w:t>
      </w:r>
    </w:p>
    <w:p w14:paraId="42750762" w14:textId="7CEF86FD" w:rsidR="00D06EBB" w:rsidRPr="00E0543A" w:rsidRDefault="00D06EBB" w:rsidP="00D06EBB">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6 </w:t>
      </w:r>
      <w:r w:rsidRPr="00E0543A">
        <w:rPr>
          <w:rFonts w:ascii="Arial" w:hAnsi="Arial" w:cs="Arial"/>
          <w:sz w:val="22"/>
          <w:szCs w:val="22"/>
        </w:rPr>
        <w:t>│ Parameter calculation and FCCP titration for mitochondrial stress test.</w:t>
      </w:r>
    </w:p>
    <w:p w14:paraId="31973178" w14:textId="13E39A0F" w:rsidR="00E52A70" w:rsidRPr="00E0543A" w:rsidRDefault="00E52A70" w:rsidP="00E52A70">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w:t>
      </w:r>
      <w:r w:rsidR="00D06EBB" w:rsidRPr="00E0543A">
        <w:rPr>
          <w:rFonts w:ascii="Arial" w:hAnsi="Arial" w:cs="Arial"/>
          <w:sz w:val="22"/>
        </w:rPr>
        <w:t>7</w:t>
      </w:r>
      <w:r w:rsidRPr="00E0543A">
        <w:rPr>
          <w:rFonts w:ascii="Arial" w:hAnsi="Arial" w:cs="Arial"/>
          <w:sz w:val="22"/>
        </w:rPr>
        <w:t xml:space="preserve"> </w:t>
      </w:r>
      <w:r w:rsidRPr="00E0543A">
        <w:rPr>
          <w:rFonts w:ascii="Arial" w:hAnsi="Arial" w:cs="Arial"/>
          <w:sz w:val="22"/>
          <w:szCs w:val="22"/>
        </w:rPr>
        <w:t>│ Chemo-sensitization by 334 not determined by ClpX protein expression.</w:t>
      </w:r>
    </w:p>
    <w:p w14:paraId="043875F2" w14:textId="6EC27C07" w:rsidR="00703FC4" w:rsidRPr="00E0543A" w:rsidRDefault="00703FC4" w:rsidP="00703FC4">
      <w:pPr>
        <w:pStyle w:val="Acknowledgement"/>
        <w:suppressLineNumbers/>
        <w:spacing w:before="0" w:line="360" w:lineRule="auto"/>
        <w:ind w:left="2892" w:hanging="2608"/>
        <w:rPr>
          <w:rFonts w:ascii="Arial" w:hAnsi="Arial" w:cs="Arial"/>
          <w:sz w:val="22"/>
          <w:szCs w:val="22"/>
        </w:rPr>
      </w:pPr>
      <w:r w:rsidRPr="00E0543A">
        <w:rPr>
          <w:rFonts w:ascii="Arial" w:hAnsi="Arial" w:cs="Arial"/>
          <w:sz w:val="22"/>
        </w:rPr>
        <w:t xml:space="preserve">Supplementary Figure </w:t>
      </w:r>
      <w:r w:rsidR="00D06EBB" w:rsidRPr="00E0543A">
        <w:rPr>
          <w:rFonts w:ascii="Arial" w:hAnsi="Arial" w:cs="Arial"/>
          <w:sz w:val="22"/>
        </w:rPr>
        <w:t>8</w:t>
      </w:r>
      <w:r w:rsidRPr="00E0543A">
        <w:rPr>
          <w:rFonts w:ascii="Arial" w:hAnsi="Arial" w:cs="Arial"/>
          <w:sz w:val="22"/>
        </w:rPr>
        <w:t xml:space="preserve"> </w:t>
      </w:r>
      <w:r w:rsidRPr="00E0543A">
        <w:rPr>
          <w:rFonts w:ascii="Arial" w:hAnsi="Arial" w:cs="Arial"/>
          <w:sz w:val="22"/>
          <w:szCs w:val="22"/>
        </w:rPr>
        <w:t xml:space="preserve">│ Uncropped </w:t>
      </w:r>
      <w:r w:rsidR="0031359D" w:rsidRPr="00E0543A">
        <w:rPr>
          <w:rFonts w:ascii="Arial" w:hAnsi="Arial" w:cs="Arial"/>
          <w:sz w:val="22"/>
          <w:szCs w:val="22"/>
        </w:rPr>
        <w:t>Western</w:t>
      </w:r>
      <w:r w:rsidRPr="00E0543A">
        <w:rPr>
          <w:rFonts w:ascii="Arial" w:hAnsi="Arial" w:cs="Arial"/>
          <w:sz w:val="22"/>
          <w:szCs w:val="22"/>
        </w:rPr>
        <w:t xml:space="preserve"> blots</w:t>
      </w:r>
      <w:r w:rsidR="0031359D" w:rsidRPr="00E0543A">
        <w:rPr>
          <w:rFonts w:ascii="Arial" w:hAnsi="Arial" w:cs="Arial"/>
          <w:sz w:val="22"/>
          <w:szCs w:val="22"/>
        </w:rPr>
        <w:t xml:space="preserve"> of main figures</w:t>
      </w:r>
      <w:r w:rsidRPr="00E0543A">
        <w:rPr>
          <w:rFonts w:ascii="Arial" w:hAnsi="Arial" w:cs="Arial"/>
          <w:sz w:val="22"/>
          <w:szCs w:val="22"/>
        </w:rPr>
        <w:t>.</w:t>
      </w:r>
    </w:p>
    <w:p w14:paraId="71A38E8D" w14:textId="77777777" w:rsidR="00703FC4" w:rsidRPr="00E0543A" w:rsidRDefault="00703FC4" w:rsidP="00E52A70">
      <w:pPr>
        <w:pStyle w:val="Acknowledgement"/>
        <w:suppressLineNumbers/>
        <w:spacing w:before="0" w:line="360" w:lineRule="auto"/>
        <w:ind w:left="2892" w:hanging="2608"/>
        <w:rPr>
          <w:rFonts w:ascii="Arial" w:hAnsi="Arial" w:cs="Arial"/>
          <w:sz w:val="22"/>
          <w:szCs w:val="22"/>
        </w:rPr>
      </w:pPr>
    </w:p>
    <w:p w14:paraId="0D2F206A" w14:textId="77777777" w:rsidR="00E52A70" w:rsidRPr="00E0543A" w:rsidRDefault="00E52A70" w:rsidP="00E52A70">
      <w:pPr>
        <w:pStyle w:val="Acknowledgement"/>
        <w:suppressLineNumbers/>
        <w:spacing w:before="0" w:after="120" w:line="360" w:lineRule="auto"/>
        <w:ind w:left="0" w:firstLine="0"/>
        <w:rPr>
          <w:rFonts w:ascii="Arial" w:hAnsi="Arial" w:cs="Arial"/>
          <w:b/>
          <w:sz w:val="22"/>
        </w:rPr>
      </w:pPr>
    </w:p>
    <w:p w14:paraId="63FB3E13" w14:textId="4C3470B4" w:rsidR="00E52A70" w:rsidRPr="00E0543A" w:rsidRDefault="00E52A70" w:rsidP="00E52A70">
      <w:pPr>
        <w:pStyle w:val="Acknowledgement"/>
        <w:suppressLineNumbers/>
        <w:spacing w:before="0" w:after="120" w:line="360" w:lineRule="auto"/>
        <w:ind w:left="0" w:firstLine="0"/>
        <w:rPr>
          <w:rFonts w:ascii="Arial" w:hAnsi="Arial" w:cs="Arial"/>
          <w:b/>
          <w:sz w:val="22"/>
        </w:rPr>
      </w:pPr>
      <w:r w:rsidRPr="00E0543A">
        <w:rPr>
          <w:rFonts w:ascii="Arial" w:hAnsi="Arial" w:cs="Arial"/>
          <w:b/>
          <w:sz w:val="22"/>
        </w:rPr>
        <w:t xml:space="preserve">Supplementary Tables: </w:t>
      </w:r>
    </w:p>
    <w:p w14:paraId="38894841" w14:textId="6EB57C70" w:rsidR="00E52A70" w:rsidRPr="00E0543A" w:rsidRDefault="00E52A70" w:rsidP="00A40364">
      <w:pPr>
        <w:pStyle w:val="Acknowledgement"/>
        <w:suppressLineNumbers/>
        <w:spacing w:before="0" w:line="360" w:lineRule="auto"/>
        <w:ind w:left="2779" w:hanging="2495"/>
        <w:rPr>
          <w:rFonts w:ascii="Arial" w:hAnsi="Arial" w:cs="Arial"/>
          <w:sz w:val="22"/>
        </w:rPr>
      </w:pPr>
      <w:r w:rsidRPr="00E0543A">
        <w:rPr>
          <w:rFonts w:ascii="Arial" w:hAnsi="Arial" w:cs="Arial"/>
          <w:sz w:val="22"/>
        </w:rPr>
        <w:t>Supplementary Table 1 │</w:t>
      </w:r>
      <w:r w:rsidRPr="00E0543A">
        <w:t xml:space="preserve"> </w:t>
      </w:r>
      <w:r w:rsidRPr="00E0543A">
        <w:rPr>
          <w:rFonts w:ascii="Arial" w:hAnsi="Arial" w:cs="Arial"/>
          <w:sz w:val="22"/>
        </w:rPr>
        <w:t>Clinical data of patients donating diagnostic AML and ALL cells for xenotransplantation.</w:t>
      </w:r>
    </w:p>
    <w:p w14:paraId="05A5A7EE" w14:textId="708BE75D" w:rsidR="00E52A70" w:rsidRPr="00E0543A" w:rsidRDefault="00E52A70" w:rsidP="00A40364">
      <w:pPr>
        <w:pStyle w:val="Acknowledgement"/>
        <w:suppressLineNumbers/>
        <w:spacing w:before="0" w:line="360" w:lineRule="auto"/>
        <w:ind w:left="2779" w:hanging="2495"/>
        <w:rPr>
          <w:rFonts w:ascii="Arial" w:hAnsi="Arial" w:cs="Arial"/>
          <w:sz w:val="22"/>
          <w:szCs w:val="22"/>
        </w:rPr>
      </w:pPr>
      <w:r w:rsidRPr="00E0543A">
        <w:rPr>
          <w:rFonts w:ascii="Arial" w:hAnsi="Arial" w:cs="Arial"/>
          <w:sz w:val="22"/>
        </w:rPr>
        <w:t>Supplementary Table 2 │</w:t>
      </w:r>
      <w:r w:rsidRPr="00E0543A">
        <w:t xml:space="preserve"> </w:t>
      </w:r>
      <w:r w:rsidRPr="00E0543A">
        <w:rPr>
          <w:rFonts w:ascii="Arial" w:hAnsi="Arial" w:cs="Arial"/>
          <w:sz w:val="22"/>
        </w:rPr>
        <w:t>Depleted proteins identified by quantitative MS upon 24 h of 334 treatment (10 µM).</w:t>
      </w:r>
    </w:p>
    <w:p w14:paraId="3F27FF6C" w14:textId="634410DE" w:rsidR="00E52A70" w:rsidRPr="00E0543A" w:rsidRDefault="00E52A70" w:rsidP="00A40364">
      <w:pPr>
        <w:pStyle w:val="Acknowledgement"/>
        <w:suppressLineNumbers/>
        <w:spacing w:before="0" w:line="360" w:lineRule="auto"/>
        <w:ind w:left="2779" w:hanging="2495"/>
        <w:rPr>
          <w:rFonts w:ascii="Arial" w:hAnsi="Arial" w:cs="Arial"/>
          <w:sz w:val="22"/>
          <w:szCs w:val="22"/>
        </w:rPr>
      </w:pPr>
      <w:r w:rsidRPr="00E0543A">
        <w:rPr>
          <w:rFonts w:ascii="Arial" w:hAnsi="Arial" w:cs="Arial"/>
          <w:sz w:val="22"/>
        </w:rPr>
        <w:t xml:space="preserve">Supplementary Table 3 </w:t>
      </w:r>
      <w:r w:rsidRPr="00E0543A">
        <w:rPr>
          <w:rFonts w:ascii="Arial" w:hAnsi="Arial" w:cs="Arial"/>
          <w:sz w:val="22"/>
          <w:szCs w:val="22"/>
        </w:rPr>
        <w:t>│ Enriched proteins identified by quantitative MS upon 24 h of 334 treatment (10 µM).</w:t>
      </w:r>
    </w:p>
    <w:p w14:paraId="7C7EA148" w14:textId="74864BB7" w:rsidR="00E52A70" w:rsidRPr="00E0543A" w:rsidRDefault="00E52A70" w:rsidP="00A40364">
      <w:pPr>
        <w:pStyle w:val="Acknowledgement"/>
        <w:suppressLineNumbers/>
        <w:spacing w:before="0" w:line="360" w:lineRule="auto"/>
        <w:ind w:left="2779" w:hanging="2495"/>
        <w:rPr>
          <w:rFonts w:ascii="Arial" w:hAnsi="Arial" w:cs="Arial"/>
          <w:sz w:val="22"/>
          <w:szCs w:val="22"/>
        </w:rPr>
      </w:pPr>
      <w:r w:rsidRPr="00E0543A">
        <w:rPr>
          <w:rFonts w:ascii="Arial" w:hAnsi="Arial" w:cs="Arial"/>
          <w:sz w:val="22"/>
        </w:rPr>
        <w:t xml:space="preserve">Supplementary Table 4 </w:t>
      </w:r>
      <w:r w:rsidRPr="00E0543A">
        <w:rPr>
          <w:rFonts w:ascii="Arial" w:hAnsi="Arial" w:cs="Arial"/>
          <w:sz w:val="22"/>
          <w:szCs w:val="22"/>
        </w:rPr>
        <w:t>│ Depleted proteins identified by quantitative MS upon 48 h of 334 treatment (10 µM).</w:t>
      </w:r>
    </w:p>
    <w:p w14:paraId="20FE3933" w14:textId="74D63472" w:rsidR="00E52A70" w:rsidRPr="00E0543A" w:rsidRDefault="00E52A70" w:rsidP="00A40364">
      <w:pPr>
        <w:pStyle w:val="Acknowledgement"/>
        <w:suppressLineNumbers/>
        <w:spacing w:before="0" w:line="360" w:lineRule="auto"/>
        <w:ind w:left="2779" w:hanging="2495"/>
        <w:rPr>
          <w:rFonts w:ascii="Arial" w:hAnsi="Arial" w:cs="Arial"/>
          <w:sz w:val="22"/>
          <w:szCs w:val="22"/>
        </w:rPr>
      </w:pPr>
      <w:r w:rsidRPr="00E0543A">
        <w:rPr>
          <w:rFonts w:ascii="Arial" w:hAnsi="Arial" w:cs="Arial"/>
          <w:sz w:val="22"/>
        </w:rPr>
        <w:t xml:space="preserve">Supplementary Table 5 </w:t>
      </w:r>
      <w:r w:rsidRPr="00E0543A">
        <w:rPr>
          <w:rFonts w:ascii="Arial" w:hAnsi="Arial" w:cs="Arial"/>
          <w:sz w:val="22"/>
          <w:szCs w:val="22"/>
        </w:rPr>
        <w:t>│ Enriched proteins identified by quantitative MS upon 48 h of 334 treatment (10 µM).</w:t>
      </w:r>
    </w:p>
    <w:p w14:paraId="4558F70A" w14:textId="77777777" w:rsidR="00E52A70" w:rsidRPr="00E0543A" w:rsidRDefault="00E52A70" w:rsidP="008B1E38">
      <w:pPr>
        <w:suppressLineNumbers/>
        <w:rPr>
          <w:rFonts w:cs="Arial"/>
          <w:b/>
          <w:u w:val="single"/>
        </w:rPr>
      </w:pPr>
      <w:r w:rsidRPr="00E0543A">
        <w:rPr>
          <w:rFonts w:cs="Arial"/>
          <w:b/>
          <w:u w:val="single"/>
        </w:rPr>
        <w:br w:type="page"/>
      </w:r>
    </w:p>
    <w:p w14:paraId="700CDAE1" w14:textId="77777777" w:rsidR="00E52A70" w:rsidRPr="00E0543A" w:rsidRDefault="00E52A70" w:rsidP="00E52A70">
      <w:pPr>
        <w:suppressLineNumbers/>
        <w:spacing w:after="240" w:line="360" w:lineRule="auto"/>
        <w:jc w:val="both"/>
        <w:rPr>
          <w:rFonts w:cs="Arial"/>
          <w:b/>
          <w:u w:val="single"/>
        </w:rPr>
      </w:pPr>
      <w:r w:rsidRPr="00E0543A">
        <w:rPr>
          <w:rFonts w:cs="Arial"/>
          <w:b/>
          <w:u w:val="single"/>
        </w:rPr>
        <w:lastRenderedPageBreak/>
        <w:t>Supplementary Figures</w:t>
      </w:r>
    </w:p>
    <w:p w14:paraId="74FF5B49" w14:textId="77777777" w:rsidR="00DD3A71" w:rsidRPr="00E0543A" w:rsidRDefault="00DD3A71" w:rsidP="00F274F2">
      <w:pPr>
        <w:pStyle w:val="Acknowledgement"/>
        <w:suppressLineNumbers/>
        <w:spacing w:line="276" w:lineRule="auto"/>
        <w:ind w:left="0" w:firstLine="0"/>
        <w:jc w:val="both"/>
        <w:rPr>
          <w:rFonts w:ascii="Arial" w:hAnsi="Arial" w:cs="Arial"/>
          <w:sz w:val="16"/>
          <w:szCs w:val="16"/>
        </w:rPr>
      </w:pPr>
    </w:p>
    <w:p w14:paraId="6FFF13E0" w14:textId="710C7CEF" w:rsidR="00DD3A71" w:rsidRPr="00E0543A" w:rsidRDefault="0092204C" w:rsidP="009E4804">
      <w:pPr>
        <w:pStyle w:val="Acknowledgement"/>
        <w:suppressLineNumbers/>
        <w:spacing w:line="360" w:lineRule="auto"/>
        <w:ind w:left="0" w:firstLine="0"/>
        <w:jc w:val="right"/>
        <w:rPr>
          <w:rFonts w:ascii="Arial" w:hAnsi="Arial" w:cs="Arial"/>
          <w:sz w:val="18"/>
          <w:szCs w:val="18"/>
        </w:rPr>
      </w:pPr>
      <w:r w:rsidRPr="00E0543A">
        <w:rPr>
          <w:rFonts w:ascii="Arial" w:hAnsi="Arial" w:cs="Arial"/>
          <w:noProof/>
          <w:sz w:val="18"/>
          <w:szCs w:val="18"/>
          <w:lang w:val="de-AT" w:eastAsia="de-AT"/>
        </w:rPr>
        <w:drawing>
          <wp:inline distT="0" distB="0" distL="0" distR="0" wp14:anchorId="179C01B0" wp14:editId="0CF7D691">
            <wp:extent cx="5731510" cy="4128280"/>
            <wp:effectExtent l="0" t="0" r="2540" b="5715"/>
            <wp:docPr id="4" name="Grafik 4" descr="E:\Figures 334\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igures 334\Figure 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128280"/>
                    </a:xfrm>
                    <a:prstGeom prst="rect">
                      <a:avLst/>
                    </a:prstGeom>
                    <a:noFill/>
                    <a:ln>
                      <a:noFill/>
                    </a:ln>
                  </pic:spPr>
                </pic:pic>
              </a:graphicData>
            </a:graphic>
          </wp:inline>
        </w:drawing>
      </w:r>
    </w:p>
    <w:p w14:paraId="27AA6BD7" w14:textId="77777777" w:rsidR="00DD3A71" w:rsidRPr="00E0543A" w:rsidRDefault="00DD3A71" w:rsidP="00DD3A71">
      <w:pPr>
        <w:suppressLineNumbers/>
        <w:spacing w:before="360" w:after="120" w:line="360" w:lineRule="auto"/>
        <w:rPr>
          <w:rFonts w:cs="Arial"/>
          <w:sz w:val="20"/>
        </w:rPr>
      </w:pPr>
      <w:r w:rsidRPr="00E0543A">
        <w:rPr>
          <w:rFonts w:cs="Arial"/>
          <w:b/>
          <w:sz w:val="20"/>
        </w:rPr>
        <w:t>Fig. S1: SaClpXP inhibitors that were tested for activity against the human ClpXP</w:t>
      </w:r>
      <w:r w:rsidRPr="00E0543A">
        <w:rPr>
          <w:rFonts w:cs="Arial"/>
          <w:sz w:val="20"/>
        </w:rPr>
        <w:t>.</w:t>
      </w:r>
    </w:p>
    <w:p w14:paraId="4FF7ED7F" w14:textId="2D67C1DD" w:rsidR="00DD3A71" w:rsidRPr="00E0543A" w:rsidRDefault="00DD3A71" w:rsidP="00DD3A71">
      <w:pPr>
        <w:pStyle w:val="Acknowledgement"/>
        <w:suppressLineNumbers/>
        <w:spacing w:line="360" w:lineRule="auto"/>
        <w:ind w:left="0" w:firstLine="0"/>
        <w:jc w:val="both"/>
        <w:rPr>
          <w:rFonts w:ascii="Arial" w:hAnsi="Arial" w:cs="Arial"/>
          <w:sz w:val="18"/>
          <w:szCs w:val="18"/>
        </w:rPr>
      </w:pPr>
      <w:r w:rsidRPr="00E0543A">
        <w:rPr>
          <w:rFonts w:ascii="Arial" w:hAnsi="Arial" w:cs="Arial"/>
          <w:sz w:val="20"/>
          <w:szCs w:val="20"/>
        </w:rPr>
        <w:t xml:space="preserve">The chemical structures of </w:t>
      </w:r>
      <w:r w:rsidR="0092204C" w:rsidRPr="00E0543A">
        <w:rPr>
          <w:rFonts w:ascii="Arial" w:hAnsi="Arial" w:cs="Arial"/>
          <w:sz w:val="20"/>
          <w:szCs w:val="20"/>
        </w:rPr>
        <w:t>the</w:t>
      </w:r>
      <w:r w:rsidRPr="00E0543A">
        <w:rPr>
          <w:rFonts w:ascii="Arial" w:hAnsi="Arial" w:cs="Arial"/>
          <w:sz w:val="20"/>
          <w:szCs w:val="20"/>
        </w:rPr>
        <w:t xml:space="preserve"> SaClpXP small molec</w:t>
      </w:r>
      <w:r w:rsidR="003943A0" w:rsidRPr="00E0543A">
        <w:rPr>
          <w:rFonts w:ascii="Arial" w:hAnsi="Arial" w:cs="Arial"/>
          <w:sz w:val="20"/>
          <w:szCs w:val="20"/>
        </w:rPr>
        <w:t xml:space="preserve">ule inhibitors tested in Figure </w:t>
      </w:r>
      <w:r w:rsidR="003943A0" w:rsidRPr="00E0543A">
        <w:rPr>
          <w:rFonts w:ascii="Arial" w:hAnsi="Arial" w:cs="Arial"/>
          <w:i/>
          <w:sz w:val="20"/>
          <w:szCs w:val="20"/>
        </w:rPr>
        <w:t>Fig. 1</w:t>
      </w:r>
      <w:r w:rsidR="004E3DB5" w:rsidRPr="00E0543A">
        <w:rPr>
          <w:rFonts w:ascii="Arial" w:hAnsi="Arial" w:cs="Arial"/>
          <w:i/>
          <w:sz w:val="20"/>
          <w:szCs w:val="20"/>
        </w:rPr>
        <w:t>b</w:t>
      </w:r>
      <w:r w:rsidRPr="00E0543A">
        <w:rPr>
          <w:rFonts w:ascii="Arial" w:hAnsi="Arial" w:cs="Arial"/>
          <w:sz w:val="20"/>
          <w:szCs w:val="20"/>
        </w:rPr>
        <w:t xml:space="preserve"> are shown.</w:t>
      </w:r>
      <w:r w:rsidR="0092204C" w:rsidRPr="00E0543A">
        <w:rPr>
          <w:rFonts w:ascii="Arial" w:hAnsi="Arial" w:cs="Arial"/>
          <w:sz w:val="20"/>
          <w:szCs w:val="20"/>
        </w:rPr>
        <w:t xml:space="preserve"> The structures of t</w:t>
      </w:r>
      <w:r w:rsidR="004E3DB5" w:rsidRPr="00E0543A">
        <w:rPr>
          <w:rFonts w:ascii="Arial" w:hAnsi="Arial" w:cs="Arial"/>
          <w:sz w:val="20"/>
          <w:szCs w:val="20"/>
        </w:rPr>
        <w:t>he small molecules 319, 334</w:t>
      </w:r>
      <w:r w:rsidR="0092204C" w:rsidRPr="00E0543A">
        <w:rPr>
          <w:rFonts w:ascii="Arial" w:hAnsi="Arial" w:cs="Arial"/>
          <w:sz w:val="20"/>
          <w:szCs w:val="20"/>
        </w:rPr>
        <w:t xml:space="preserve"> and 339 are presented in </w:t>
      </w:r>
      <w:r w:rsidR="0092204C" w:rsidRPr="00E0543A">
        <w:rPr>
          <w:rFonts w:ascii="Arial" w:hAnsi="Arial" w:cs="Arial"/>
          <w:i/>
          <w:sz w:val="20"/>
          <w:szCs w:val="20"/>
        </w:rPr>
        <w:t>Fig.1</w:t>
      </w:r>
      <w:r w:rsidR="004E3DB5" w:rsidRPr="00E0543A">
        <w:rPr>
          <w:rFonts w:ascii="Arial" w:hAnsi="Arial" w:cs="Arial"/>
          <w:i/>
          <w:sz w:val="20"/>
          <w:szCs w:val="20"/>
        </w:rPr>
        <w:t>a</w:t>
      </w:r>
      <w:r w:rsidR="0092204C" w:rsidRPr="00E0543A">
        <w:rPr>
          <w:rFonts w:ascii="Arial" w:hAnsi="Arial" w:cs="Arial"/>
          <w:sz w:val="20"/>
          <w:szCs w:val="20"/>
        </w:rPr>
        <w:t>.</w:t>
      </w:r>
    </w:p>
    <w:p w14:paraId="755F0B88" w14:textId="302339CA" w:rsidR="00C43579" w:rsidRPr="00E0543A" w:rsidRDefault="00F20E53" w:rsidP="001C7AAD">
      <w:pPr>
        <w:suppressLineNumbers/>
        <w:jc w:val="both"/>
        <w:rPr>
          <w:rFonts w:cs="Arial"/>
          <w:sz w:val="18"/>
        </w:rPr>
      </w:pPr>
      <w:r w:rsidRPr="00E0543A">
        <w:rPr>
          <w:rFonts w:cs="Arial"/>
          <w:noProof/>
          <w:sz w:val="18"/>
          <w:lang w:val="de-AT" w:eastAsia="de-AT"/>
        </w:rPr>
        <w:lastRenderedPageBreak/>
        <w:drawing>
          <wp:inline distT="0" distB="0" distL="0" distR="0" wp14:anchorId="1BD7BC15" wp14:editId="12177257">
            <wp:extent cx="5731510" cy="4344847"/>
            <wp:effectExtent l="0" t="0" r="2540" b="0"/>
            <wp:docPr id="3" name="Grafik 3" descr="E:\x_Paper 334_modified draft 20_05\Figures Paper 334 Stand 200507\Figure S2_3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_Paper 334_modified draft 20_05\Figures Paper 334 Stand 200507\Figure S2_335.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344847"/>
                    </a:xfrm>
                    <a:prstGeom prst="rect">
                      <a:avLst/>
                    </a:prstGeom>
                    <a:noFill/>
                    <a:ln>
                      <a:noFill/>
                    </a:ln>
                  </pic:spPr>
                </pic:pic>
              </a:graphicData>
            </a:graphic>
          </wp:inline>
        </w:drawing>
      </w:r>
    </w:p>
    <w:p w14:paraId="5A4A5DE9" w14:textId="77777777" w:rsidR="00C43579" w:rsidRPr="00E0543A" w:rsidRDefault="00C43579" w:rsidP="001C7AAD">
      <w:pPr>
        <w:suppressLineNumbers/>
        <w:spacing w:before="360" w:after="120" w:line="360" w:lineRule="auto"/>
        <w:rPr>
          <w:rFonts w:cs="Arial"/>
          <w:sz w:val="20"/>
        </w:rPr>
      </w:pPr>
      <w:r w:rsidRPr="00E0543A">
        <w:rPr>
          <w:rFonts w:cs="Arial"/>
          <w:b/>
          <w:sz w:val="20"/>
        </w:rPr>
        <w:t>Fig</w:t>
      </w:r>
      <w:r w:rsidR="0075491B" w:rsidRPr="00E0543A">
        <w:rPr>
          <w:rFonts w:cs="Arial"/>
          <w:b/>
          <w:sz w:val="20"/>
        </w:rPr>
        <w:t>. S2:</w:t>
      </w:r>
      <w:r w:rsidRPr="00E0543A">
        <w:rPr>
          <w:rFonts w:cs="Arial"/>
          <w:b/>
          <w:sz w:val="20"/>
        </w:rPr>
        <w:t xml:space="preserve"> 334 treatment impairs cell proliferation of HCC and breast cancer cells</w:t>
      </w:r>
      <w:r w:rsidRPr="00E0543A">
        <w:rPr>
          <w:rFonts w:cs="Arial"/>
          <w:sz w:val="20"/>
        </w:rPr>
        <w:t>.</w:t>
      </w:r>
    </w:p>
    <w:p w14:paraId="72019712" w14:textId="31BBA65C" w:rsidR="00C43579" w:rsidRPr="00E0543A" w:rsidRDefault="00C43579" w:rsidP="001C7AAD">
      <w:pPr>
        <w:pStyle w:val="Listenabsatz"/>
        <w:numPr>
          <w:ilvl w:val="0"/>
          <w:numId w:val="15"/>
        </w:numPr>
        <w:suppressLineNumbers/>
        <w:spacing w:line="360" w:lineRule="auto"/>
        <w:ind w:left="357" w:hanging="357"/>
        <w:jc w:val="both"/>
        <w:rPr>
          <w:rFonts w:ascii="Arial" w:hAnsi="Arial" w:cs="Arial"/>
          <w:sz w:val="20"/>
          <w:szCs w:val="20"/>
        </w:rPr>
      </w:pPr>
      <w:r w:rsidRPr="00E0543A">
        <w:rPr>
          <w:rFonts w:ascii="Arial" w:hAnsi="Arial" w:cs="Arial"/>
          <w:sz w:val="20"/>
          <w:szCs w:val="20"/>
        </w:rPr>
        <w:t>HCC cells show strongest inhibition of proliferation upon 334 treatment. Cell viability of HUH7 and HepG2 HCC cell lines upon 319, 334 or 33</w:t>
      </w:r>
      <w:r w:rsidR="00D109EE" w:rsidRPr="00E0543A">
        <w:rPr>
          <w:rFonts w:ascii="Arial" w:hAnsi="Arial" w:cs="Arial"/>
          <w:sz w:val="20"/>
          <w:szCs w:val="20"/>
        </w:rPr>
        <w:t>5</w:t>
      </w:r>
      <w:r w:rsidRPr="00E0543A">
        <w:rPr>
          <w:rFonts w:ascii="Arial" w:hAnsi="Arial" w:cs="Arial"/>
          <w:sz w:val="20"/>
          <w:szCs w:val="20"/>
        </w:rPr>
        <w:t xml:space="preserve"> treatment for 72 h was normalized to the DMSO treated control. Corresponding IC</w:t>
      </w:r>
      <w:r w:rsidRPr="00E0543A">
        <w:rPr>
          <w:rFonts w:ascii="Arial" w:hAnsi="Arial" w:cs="Arial"/>
          <w:sz w:val="20"/>
          <w:szCs w:val="20"/>
          <w:vertAlign w:val="subscript"/>
        </w:rPr>
        <w:t>50</w:t>
      </w:r>
      <w:r w:rsidRPr="00E0543A">
        <w:rPr>
          <w:rFonts w:ascii="Arial" w:hAnsi="Arial" w:cs="Arial"/>
          <w:sz w:val="20"/>
          <w:szCs w:val="20"/>
        </w:rPr>
        <w:t xml:space="preserve"> values were calculated by nonlinear regression analysis (n=3).</w:t>
      </w:r>
    </w:p>
    <w:p w14:paraId="420D8F2A" w14:textId="7A9EEE74" w:rsidR="00C43579" w:rsidRPr="00E0543A" w:rsidRDefault="00C43579" w:rsidP="001C7AAD">
      <w:pPr>
        <w:pStyle w:val="Listenabsatz"/>
        <w:numPr>
          <w:ilvl w:val="0"/>
          <w:numId w:val="15"/>
        </w:numPr>
        <w:suppressLineNumbers/>
        <w:spacing w:line="360" w:lineRule="auto"/>
        <w:ind w:left="357" w:hanging="357"/>
        <w:jc w:val="both"/>
        <w:rPr>
          <w:rFonts w:ascii="Arial" w:hAnsi="Arial" w:cs="Arial"/>
          <w:sz w:val="20"/>
          <w:szCs w:val="20"/>
        </w:rPr>
      </w:pPr>
      <w:r w:rsidRPr="00E0543A">
        <w:rPr>
          <w:rFonts w:ascii="Arial" w:hAnsi="Arial" w:cs="Arial"/>
          <w:sz w:val="20"/>
          <w:szCs w:val="20"/>
        </w:rPr>
        <w:t>The compounds 334 and 33</w:t>
      </w:r>
      <w:r w:rsidR="00D109EE" w:rsidRPr="00E0543A">
        <w:rPr>
          <w:rFonts w:ascii="Arial" w:hAnsi="Arial" w:cs="Arial"/>
          <w:sz w:val="20"/>
          <w:szCs w:val="20"/>
        </w:rPr>
        <w:t>5</w:t>
      </w:r>
      <w:r w:rsidRPr="00E0543A">
        <w:rPr>
          <w:rFonts w:ascii="Arial" w:hAnsi="Arial" w:cs="Arial"/>
          <w:sz w:val="20"/>
          <w:szCs w:val="20"/>
        </w:rPr>
        <w:t xml:space="preserve"> inhibit proliferation of breast cancer cells. Cell viability of MDA and MCF7 breast cancer cell lines upon 319, 334 or 33</w:t>
      </w:r>
      <w:r w:rsidR="00D109EE" w:rsidRPr="00E0543A">
        <w:rPr>
          <w:rFonts w:ascii="Arial" w:hAnsi="Arial" w:cs="Arial"/>
          <w:sz w:val="20"/>
          <w:szCs w:val="20"/>
        </w:rPr>
        <w:t>5</w:t>
      </w:r>
      <w:r w:rsidR="001157FC" w:rsidRPr="00E0543A">
        <w:rPr>
          <w:rFonts w:ascii="Arial" w:hAnsi="Arial" w:cs="Arial"/>
          <w:sz w:val="20"/>
          <w:szCs w:val="20"/>
        </w:rPr>
        <w:t xml:space="preserve"> </w:t>
      </w:r>
      <w:r w:rsidRPr="00E0543A">
        <w:rPr>
          <w:rFonts w:ascii="Arial" w:hAnsi="Arial" w:cs="Arial"/>
          <w:sz w:val="20"/>
          <w:szCs w:val="20"/>
        </w:rPr>
        <w:t>treatment for 72 h was normalized to the DMSO treated control. Corresponding IC</w:t>
      </w:r>
      <w:r w:rsidRPr="00E0543A">
        <w:rPr>
          <w:rFonts w:ascii="Arial" w:hAnsi="Arial" w:cs="Arial"/>
          <w:sz w:val="20"/>
          <w:szCs w:val="20"/>
          <w:vertAlign w:val="subscript"/>
        </w:rPr>
        <w:t>50</w:t>
      </w:r>
      <w:r w:rsidRPr="00E0543A">
        <w:rPr>
          <w:rFonts w:ascii="Arial" w:hAnsi="Arial" w:cs="Arial"/>
          <w:sz w:val="20"/>
          <w:szCs w:val="20"/>
        </w:rPr>
        <w:t xml:space="preserve"> values were calculated by nonlinear regression analysis (n=3).</w:t>
      </w:r>
    </w:p>
    <w:p w14:paraId="1D3A2164" w14:textId="77777777" w:rsidR="00C43579" w:rsidRPr="00E0543A" w:rsidRDefault="00C43579" w:rsidP="001C7AAD">
      <w:pPr>
        <w:pStyle w:val="Listenabsatz"/>
        <w:numPr>
          <w:ilvl w:val="0"/>
          <w:numId w:val="15"/>
        </w:numPr>
        <w:suppressLineNumbers/>
        <w:spacing w:line="360" w:lineRule="auto"/>
        <w:ind w:left="357" w:hanging="357"/>
        <w:jc w:val="both"/>
        <w:rPr>
          <w:rFonts w:ascii="Arial" w:hAnsi="Arial" w:cs="Arial"/>
          <w:sz w:val="20"/>
          <w:szCs w:val="20"/>
        </w:rPr>
      </w:pPr>
      <w:r w:rsidRPr="00E0543A">
        <w:rPr>
          <w:rFonts w:ascii="Arial" w:hAnsi="Arial" w:cs="Arial"/>
          <w:sz w:val="20"/>
          <w:szCs w:val="20"/>
        </w:rPr>
        <w:t>334 treatment for 16 h impairs HCC cell migration. Migration was assessed by the Boyden chamber assay. Migrated cells were stained with crystal violet, counted and normalized to the untreated control. A chamber without FCS in the outer compartment serves as negative control (- FCS) (**</w:t>
      </w:r>
      <w:r w:rsidRPr="00E0543A">
        <w:rPr>
          <w:rFonts w:ascii="Arial" w:hAnsi="Arial" w:cs="Arial"/>
          <w:i/>
          <w:sz w:val="20"/>
          <w:szCs w:val="20"/>
        </w:rPr>
        <w:t>P</w:t>
      </w:r>
      <w:r w:rsidRPr="00E0543A">
        <w:rPr>
          <w:rFonts w:ascii="Arial" w:hAnsi="Arial" w:cs="Arial"/>
          <w:sz w:val="20"/>
          <w:szCs w:val="20"/>
        </w:rPr>
        <w:t>&lt;0.01, ***</w:t>
      </w:r>
      <w:r w:rsidRPr="00E0543A">
        <w:rPr>
          <w:rFonts w:ascii="Arial" w:hAnsi="Arial" w:cs="Arial"/>
          <w:i/>
          <w:sz w:val="20"/>
          <w:szCs w:val="20"/>
        </w:rPr>
        <w:t>P</w:t>
      </w:r>
      <w:r w:rsidRPr="00E0543A">
        <w:rPr>
          <w:rFonts w:ascii="Arial" w:hAnsi="Arial" w:cs="Arial"/>
          <w:sz w:val="20"/>
          <w:szCs w:val="20"/>
        </w:rPr>
        <w:t>&lt;0.001, One-way ANOVA, Tukey’s Multiple Comparison Test, n=3).</w:t>
      </w:r>
    </w:p>
    <w:p w14:paraId="5A1FB8B7" w14:textId="77777777" w:rsidR="00C43579" w:rsidRPr="00E0543A" w:rsidRDefault="00C43579" w:rsidP="001C7AAD">
      <w:pPr>
        <w:pStyle w:val="Listenabsatz"/>
        <w:numPr>
          <w:ilvl w:val="0"/>
          <w:numId w:val="15"/>
        </w:numPr>
        <w:suppressLineNumbers/>
        <w:spacing w:line="360" w:lineRule="auto"/>
        <w:ind w:left="357" w:hanging="357"/>
        <w:jc w:val="both"/>
        <w:rPr>
          <w:rFonts w:ascii="Arial" w:hAnsi="Arial" w:cs="Arial"/>
          <w:sz w:val="20"/>
          <w:szCs w:val="20"/>
        </w:rPr>
      </w:pPr>
      <w:r w:rsidRPr="00E0543A">
        <w:rPr>
          <w:rFonts w:ascii="Arial" w:hAnsi="Arial" w:cs="Arial"/>
          <w:sz w:val="20"/>
          <w:szCs w:val="20"/>
        </w:rPr>
        <w:t>334 treatment impairs clonogenic growth of HCC cells. Colony count of HUH7 cells normalized to the untreated control is shown (left panels). Representative images of colonies formed by HUH7 cells pretreated with 334 for 24 h and grown in the absence of 334 for further 7 days are shown (right panel) (*</w:t>
      </w:r>
      <w:r w:rsidRPr="00E0543A">
        <w:rPr>
          <w:rFonts w:ascii="Arial" w:hAnsi="Arial" w:cs="Arial"/>
          <w:i/>
          <w:sz w:val="20"/>
          <w:szCs w:val="20"/>
        </w:rPr>
        <w:t>P</w:t>
      </w:r>
      <w:r w:rsidRPr="00E0543A">
        <w:rPr>
          <w:rFonts w:ascii="Arial" w:hAnsi="Arial" w:cs="Arial"/>
          <w:sz w:val="20"/>
          <w:szCs w:val="20"/>
        </w:rPr>
        <w:t>&lt;0.05, **</w:t>
      </w:r>
      <w:r w:rsidRPr="00E0543A">
        <w:rPr>
          <w:rFonts w:ascii="Arial" w:hAnsi="Arial" w:cs="Arial"/>
          <w:i/>
          <w:sz w:val="20"/>
          <w:szCs w:val="20"/>
        </w:rPr>
        <w:t>P</w:t>
      </w:r>
      <w:r w:rsidRPr="00E0543A">
        <w:rPr>
          <w:rFonts w:ascii="Arial" w:hAnsi="Arial" w:cs="Arial"/>
          <w:sz w:val="20"/>
          <w:szCs w:val="20"/>
        </w:rPr>
        <w:t>&lt;0.01, One-way ANOVA, Tukey’s Multiple Comparison Test, n=3).</w:t>
      </w:r>
    </w:p>
    <w:p w14:paraId="0DFE37F3" w14:textId="564F9E42" w:rsidR="00C43579" w:rsidRPr="00E0543A" w:rsidRDefault="009E4804" w:rsidP="001C7AAD">
      <w:pPr>
        <w:suppressLineNumbers/>
        <w:jc w:val="both"/>
        <w:rPr>
          <w:rFonts w:cs="Arial"/>
          <w:sz w:val="20"/>
        </w:rPr>
      </w:pPr>
      <w:r w:rsidRPr="00E0543A">
        <w:rPr>
          <w:rFonts w:cs="Arial"/>
          <w:noProof/>
          <w:sz w:val="20"/>
          <w:lang w:val="de-AT" w:eastAsia="de-AT"/>
        </w:rPr>
        <w:lastRenderedPageBreak/>
        <w:drawing>
          <wp:inline distT="0" distB="0" distL="0" distR="0" wp14:anchorId="31947826" wp14:editId="32F236C2">
            <wp:extent cx="5731510" cy="3466430"/>
            <wp:effectExtent l="0" t="0" r="2540" b="1270"/>
            <wp:docPr id="20" name="Grafik 20" descr="E:\Paper 334\Inkscape Figur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aper 334\Inkscape Figures\Figure S3.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66430"/>
                    </a:xfrm>
                    <a:prstGeom prst="rect">
                      <a:avLst/>
                    </a:prstGeom>
                    <a:noFill/>
                    <a:ln>
                      <a:noFill/>
                    </a:ln>
                  </pic:spPr>
                </pic:pic>
              </a:graphicData>
            </a:graphic>
          </wp:inline>
        </w:drawing>
      </w:r>
    </w:p>
    <w:p w14:paraId="6CB5153B" w14:textId="68779031" w:rsidR="00C43579" w:rsidRPr="00E0543A" w:rsidRDefault="00C43579" w:rsidP="001C7AAD">
      <w:pPr>
        <w:suppressLineNumbers/>
        <w:spacing w:before="360" w:after="120" w:line="360" w:lineRule="auto"/>
        <w:rPr>
          <w:rFonts w:cs="Arial"/>
          <w:sz w:val="20"/>
        </w:rPr>
      </w:pPr>
      <w:r w:rsidRPr="00E0543A">
        <w:rPr>
          <w:rFonts w:cs="Arial"/>
          <w:b/>
          <w:sz w:val="20"/>
        </w:rPr>
        <w:t>Fig</w:t>
      </w:r>
      <w:r w:rsidR="0075491B" w:rsidRPr="00E0543A">
        <w:rPr>
          <w:rFonts w:cs="Arial"/>
          <w:b/>
          <w:sz w:val="20"/>
        </w:rPr>
        <w:t xml:space="preserve">. </w:t>
      </w:r>
      <w:r w:rsidRPr="00E0543A">
        <w:rPr>
          <w:rFonts w:cs="Arial"/>
          <w:b/>
          <w:sz w:val="20"/>
        </w:rPr>
        <w:t>S</w:t>
      </w:r>
      <w:r w:rsidR="0075491B" w:rsidRPr="00E0543A">
        <w:rPr>
          <w:rFonts w:cs="Arial"/>
          <w:b/>
          <w:sz w:val="20"/>
        </w:rPr>
        <w:t>3:</w:t>
      </w:r>
      <w:r w:rsidRPr="00E0543A">
        <w:rPr>
          <w:rFonts w:cs="Arial"/>
          <w:b/>
          <w:sz w:val="20"/>
        </w:rPr>
        <w:t xml:space="preserve"> 339 treatment prev</w:t>
      </w:r>
      <w:r w:rsidR="008C4838" w:rsidRPr="00E0543A">
        <w:rPr>
          <w:rFonts w:cs="Arial"/>
          <w:b/>
          <w:sz w:val="20"/>
        </w:rPr>
        <w:t>ents migration of HCC cells at</w:t>
      </w:r>
      <w:r w:rsidR="00462A88" w:rsidRPr="00E0543A">
        <w:rPr>
          <w:rFonts w:cs="Arial"/>
          <w:b/>
          <w:sz w:val="20"/>
        </w:rPr>
        <w:t xml:space="preserve"> </w:t>
      </w:r>
      <w:r w:rsidRPr="00E0543A">
        <w:rPr>
          <w:rFonts w:cs="Arial"/>
          <w:b/>
          <w:sz w:val="20"/>
        </w:rPr>
        <w:t>non-lethal concentration</w:t>
      </w:r>
      <w:r w:rsidR="00BF62AF" w:rsidRPr="00E0543A">
        <w:rPr>
          <w:rFonts w:cs="Arial"/>
          <w:b/>
          <w:sz w:val="20"/>
        </w:rPr>
        <w:t>s</w:t>
      </w:r>
      <w:r w:rsidRPr="00E0543A">
        <w:rPr>
          <w:rFonts w:cs="Arial"/>
          <w:sz w:val="20"/>
        </w:rPr>
        <w:t>.</w:t>
      </w:r>
    </w:p>
    <w:p w14:paraId="79FC5BDC" w14:textId="77777777" w:rsidR="00C43579" w:rsidRPr="00E0543A" w:rsidRDefault="00C43579" w:rsidP="001C7AAD">
      <w:pPr>
        <w:pStyle w:val="Listenabsatz"/>
        <w:numPr>
          <w:ilvl w:val="0"/>
          <w:numId w:val="19"/>
        </w:numPr>
        <w:suppressLineNumbers/>
        <w:spacing w:line="360" w:lineRule="auto"/>
        <w:ind w:left="357" w:hanging="357"/>
        <w:jc w:val="both"/>
        <w:rPr>
          <w:rFonts w:ascii="Arial" w:hAnsi="Arial" w:cs="Arial"/>
          <w:sz w:val="20"/>
          <w:szCs w:val="20"/>
        </w:rPr>
      </w:pPr>
      <w:r w:rsidRPr="00E0543A">
        <w:rPr>
          <w:rFonts w:ascii="Arial" w:hAnsi="Arial" w:cs="Arial"/>
          <w:sz w:val="20"/>
          <w:szCs w:val="20"/>
        </w:rPr>
        <w:t>HCC cell proliferation is not impaired by 339. HUH7 cells were treated with 339 and cell viability (3 h), apoptosis (24 h) respectively cell number (72 h) were assessed as x-fold change of the untreated control (**</w:t>
      </w:r>
      <w:r w:rsidRPr="00E0543A">
        <w:rPr>
          <w:rFonts w:ascii="Arial" w:hAnsi="Arial" w:cs="Arial"/>
          <w:i/>
          <w:sz w:val="20"/>
          <w:szCs w:val="20"/>
        </w:rPr>
        <w:t>P</w:t>
      </w:r>
      <w:r w:rsidRPr="00E0543A">
        <w:rPr>
          <w:rFonts w:ascii="Arial" w:hAnsi="Arial" w:cs="Arial"/>
          <w:sz w:val="20"/>
          <w:szCs w:val="20"/>
        </w:rPr>
        <w:t>&lt;0.01, One-way ANOVA, Tukey’s Multiple Comparison Test, n=3).</w:t>
      </w:r>
    </w:p>
    <w:p w14:paraId="615D089F" w14:textId="3ACA4D23" w:rsidR="00C43579" w:rsidRPr="00E0543A" w:rsidRDefault="00C43579" w:rsidP="001C7AAD">
      <w:pPr>
        <w:pStyle w:val="Listenabsatz"/>
        <w:numPr>
          <w:ilvl w:val="0"/>
          <w:numId w:val="19"/>
        </w:numPr>
        <w:suppressLineNumbers/>
        <w:spacing w:line="360" w:lineRule="auto"/>
        <w:ind w:left="357" w:hanging="357"/>
        <w:jc w:val="both"/>
        <w:rPr>
          <w:rFonts w:ascii="Arial" w:hAnsi="Arial" w:cs="Arial"/>
          <w:sz w:val="20"/>
          <w:szCs w:val="20"/>
        </w:rPr>
      </w:pPr>
      <w:bookmarkStart w:id="1" w:name="OLE_LINK2"/>
      <w:r w:rsidRPr="00E0543A">
        <w:rPr>
          <w:rFonts w:ascii="Arial" w:hAnsi="Arial" w:cs="Arial"/>
          <w:sz w:val="20"/>
          <w:szCs w:val="20"/>
        </w:rPr>
        <w:t xml:space="preserve">339 treatment for 16 h impairs HCC cell migration. Migration </w:t>
      </w:r>
      <w:r w:rsidR="008D6E28" w:rsidRPr="00E0543A">
        <w:rPr>
          <w:rFonts w:ascii="Arial" w:hAnsi="Arial" w:cs="Arial"/>
          <w:sz w:val="20"/>
          <w:szCs w:val="20"/>
        </w:rPr>
        <w:t xml:space="preserve">of HUH7 cells </w:t>
      </w:r>
      <w:r w:rsidRPr="00E0543A">
        <w:rPr>
          <w:rFonts w:ascii="Arial" w:hAnsi="Arial" w:cs="Arial"/>
          <w:sz w:val="20"/>
          <w:szCs w:val="20"/>
        </w:rPr>
        <w:t>was assessed by the Boyden chamber assay. Migrated cells were stained with crystal violet, counted and normalized to the DMSO treated control (*</w:t>
      </w:r>
      <w:r w:rsidRPr="00E0543A">
        <w:rPr>
          <w:rFonts w:ascii="Arial" w:hAnsi="Arial" w:cs="Arial"/>
          <w:i/>
          <w:sz w:val="20"/>
          <w:szCs w:val="20"/>
        </w:rPr>
        <w:t>P</w:t>
      </w:r>
      <w:r w:rsidRPr="00E0543A">
        <w:rPr>
          <w:rFonts w:ascii="Arial" w:hAnsi="Arial" w:cs="Arial"/>
          <w:sz w:val="20"/>
          <w:szCs w:val="20"/>
        </w:rPr>
        <w:t>&lt;0.05, ***</w:t>
      </w:r>
      <w:r w:rsidRPr="00E0543A">
        <w:rPr>
          <w:rFonts w:ascii="Arial" w:hAnsi="Arial" w:cs="Arial"/>
          <w:i/>
          <w:sz w:val="20"/>
          <w:szCs w:val="20"/>
        </w:rPr>
        <w:t>P</w:t>
      </w:r>
      <w:r w:rsidRPr="00E0543A">
        <w:rPr>
          <w:rFonts w:ascii="Arial" w:hAnsi="Arial" w:cs="Arial"/>
          <w:sz w:val="20"/>
          <w:szCs w:val="20"/>
        </w:rPr>
        <w:t>&lt;0.001, One-way ANOVA, Tukey’s Multiple Comparison Test, n=3).</w:t>
      </w:r>
      <w:bookmarkEnd w:id="1"/>
    </w:p>
    <w:p w14:paraId="4920A5C9" w14:textId="1FCC8E76" w:rsidR="00C43579" w:rsidRPr="00E0543A" w:rsidRDefault="00610787" w:rsidP="001C7AAD">
      <w:pPr>
        <w:suppressLineNumbers/>
        <w:jc w:val="both"/>
        <w:rPr>
          <w:rFonts w:cs="Arial"/>
          <w:sz w:val="18"/>
        </w:rPr>
      </w:pPr>
      <w:r w:rsidRPr="00E0543A">
        <w:rPr>
          <w:rFonts w:cs="Arial"/>
          <w:noProof/>
          <w:sz w:val="18"/>
          <w:lang w:val="de-AT" w:eastAsia="de-AT"/>
        </w:rPr>
        <w:lastRenderedPageBreak/>
        <w:drawing>
          <wp:inline distT="0" distB="0" distL="0" distR="0" wp14:anchorId="7B45E40C" wp14:editId="2278F9D6">
            <wp:extent cx="5731510" cy="5697101"/>
            <wp:effectExtent l="0" t="0" r="2540" b="0"/>
            <wp:docPr id="1" name="Grafik 1" descr="E:\Figures 334\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gures 334\Figure 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697101"/>
                    </a:xfrm>
                    <a:prstGeom prst="rect">
                      <a:avLst/>
                    </a:prstGeom>
                    <a:noFill/>
                    <a:ln>
                      <a:noFill/>
                    </a:ln>
                  </pic:spPr>
                </pic:pic>
              </a:graphicData>
            </a:graphic>
          </wp:inline>
        </w:drawing>
      </w:r>
    </w:p>
    <w:p w14:paraId="0484EAB0" w14:textId="2246991B" w:rsidR="00C43579" w:rsidRPr="00E0543A" w:rsidRDefault="00C43579" w:rsidP="001C7AAD">
      <w:pPr>
        <w:suppressLineNumbers/>
        <w:spacing w:before="360" w:after="120" w:line="360" w:lineRule="auto"/>
        <w:rPr>
          <w:rFonts w:cs="Arial"/>
          <w:sz w:val="20"/>
        </w:rPr>
      </w:pPr>
      <w:r w:rsidRPr="00E0543A">
        <w:rPr>
          <w:rFonts w:cs="Arial"/>
          <w:b/>
          <w:sz w:val="20"/>
        </w:rPr>
        <w:t>Fig</w:t>
      </w:r>
      <w:r w:rsidR="0075491B" w:rsidRPr="00E0543A">
        <w:rPr>
          <w:rFonts w:cs="Arial"/>
          <w:b/>
          <w:sz w:val="20"/>
        </w:rPr>
        <w:t>. S4</w:t>
      </w:r>
      <w:r w:rsidRPr="00E0543A">
        <w:rPr>
          <w:rFonts w:cs="Arial"/>
          <w:b/>
          <w:sz w:val="20"/>
        </w:rPr>
        <w:t xml:space="preserve">: </w:t>
      </w:r>
      <w:r w:rsidR="00BF62AF" w:rsidRPr="00E0543A">
        <w:rPr>
          <w:rFonts w:cs="Arial"/>
          <w:b/>
          <w:sz w:val="20"/>
        </w:rPr>
        <w:t>MS</w:t>
      </w:r>
      <w:r w:rsidRPr="00E0543A">
        <w:rPr>
          <w:rFonts w:cs="Arial"/>
          <w:b/>
          <w:sz w:val="20"/>
        </w:rPr>
        <w:t xml:space="preserve">-based proteomics screen of </w:t>
      </w:r>
      <w:r w:rsidR="0037567C" w:rsidRPr="00E0543A">
        <w:rPr>
          <w:rFonts w:cs="Arial"/>
          <w:b/>
          <w:sz w:val="20"/>
        </w:rPr>
        <w:t>K562</w:t>
      </w:r>
      <w:r w:rsidRPr="00E0543A">
        <w:rPr>
          <w:rFonts w:cs="Arial"/>
          <w:b/>
          <w:sz w:val="20"/>
        </w:rPr>
        <w:t xml:space="preserve"> cells upon 24 h</w:t>
      </w:r>
      <w:r w:rsidR="00DF2E4E" w:rsidRPr="00E0543A">
        <w:rPr>
          <w:rFonts w:cs="Arial"/>
          <w:b/>
          <w:sz w:val="20"/>
        </w:rPr>
        <w:t xml:space="preserve"> and 48 h</w:t>
      </w:r>
      <w:r w:rsidRPr="00E0543A">
        <w:rPr>
          <w:rFonts w:cs="Arial"/>
          <w:b/>
          <w:sz w:val="20"/>
        </w:rPr>
        <w:t xml:space="preserve"> of 334 treatment</w:t>
      </w:r>
      <w:r w:rsidRPr="00E0543A">
        <w:rPr>
          <w:rFonts w:cs="Arial"/>
          <w:sz w:val="20"/>
        </w:rPr>
        <w:t>.</w:t>
      </w:r>
    </w:p>
    <w:p w14:paraId="20E662DD" w14:textId="0296047D" w:rsidR="006D1103" w:rsidRPr="00E0543A" w:rsidRDefault="00C43579" w:rsidP="006D1103">
      <w:pPr>
        <w:suppressLineNumbers/>
        <w:spacing w:before="240" w:line="360" w:lineRule="auto"/>
        <w:jc w:val="both"/>
        <w:rPr>
          <w:rFonts w:cs="Arial"/>
          <w:sz w:val="20"/>
        </w:rPr>
      </w:pPr>
      <w:r w:rsidRPr="00E0543A">
        <w:rPr>
          <w:rFonts w:cs="Arial"/>
          <w:sz w:val="20"/>
        </w:rPr>
        <w:t xml:space="preserve">Significantly </w:t>
      </w:r>
      <w:r w:rsidR="00DF2E4E" w:rsidRPr="00E0543A">
        <w:rPr>
          <w:rFonts w:cs="Arial"/>
          <w:sz w:val="20"/>
        </w:rPr>
        <w:t xml:space="preserve">depleted and </w:t>
      </w:r>
      <w:r w:rsidRPr="00E0543A">
        <w:rPr>
          <w:rFonts w:cs="Arial"/>
          <w:sz w:val="20"/>
        </w:rPr>
        <w:t xml:space="preserve">enriched proteins </w:t>
      </w:r>
      <w:r w:rsidR="006D1103" w:rsidRPr="00E0543A">
        <w:rPr>
          <w:rFonts w:cs="Arial"/>
          <w:sz w:val="20"/>
        </w:rPr>
        <w:t>(</w:t>
      </w:r>
      <w:r w:rsidR="00462A88" w:rsidRPr="00E0543A">
        <w:rPr>
          <w:rFonts w:cs="Arial"/>
          <w:i/>
          <w:sz w:val="20"/>
        </w:rPr>
        <w:t>P </w:t>
      </w:r>
      <w:r w:rsidR="00462A88" w:rsidRPr="00E0543A">
        <w:rPr>
          <w:rFonts w:cs="Arial"/>
          <w:sz w:val="20"/>
        </w:rPr>
        <w:t>&lt; 0.05; |log</w:t>
      </w:r>
      <w:r w:rsidR="00462A88" w:rsidRPr="00E0543A">
        <w:rPr>
          <w:rFonts w:cs="Arial"/>
          <w:sz w:val="20"/>
          <w:vertAlign w:val="subscript"/>
        </w:rPr>
        <w:t>2</w:t>
      </w:r>
      <w:r w:rsidR="00462A88" w:rsidRPr="00E0543A">
        <w:rPr>
          <w:rFonts w:cs="Arial"/>
          <w:sz w:val="20"/>
        </w:rPr>
        <w:t>(334 [10 µM]/DMSO)| &gt; 1</w:t>
      </w:r>
      <w:r w:rsidR="006D1103" w:rsidRPr="00E0543A">
        <w:rPr>
          <w:rFonts w:cs="Arial"/>
          <w:sz w:val="20"/>
        </w:rPr>
        <w:t xml:space="preserve">) </w:t>
      </w:r>
      <w:r w:rsidRPr="00E0543A">
        <w:rPr>
          <w:rFonts w:cs="Arial"/>
          <w:sz w:val="20"/>
        </w:rPr>
        <w:t xml:space="preserve">identified by quantitative mass spectrometry comparing 334-treated (10 µM) to DMSO-treated </w:t>
      </w:r>
      <w:r w:rsidR="001F6EFF" w:rsidRPr="00E0543A">
        <w:rPr>
          <w:rFonts w:cs="Arial"/>
          <w:sz w:val="20"/>
        </w:rPr>
        <w:t xml:space="preserve">K562 </w:t>
      </w:r>
      <w:r w:rsidRPr="00E0543A">
        <w:rPr>
          <w:rFonts w:cs="Arial"/>
          <w:sz w:val="20"/>
        </w:rPr>
        <w:t>cells</w:t>
      </w:r>
      <w:r w:rsidR="00DF2E4E" w:rsidRPr="00E0543A">
        <w:rPr>
          <w:rFonts w:cs="Arial"/>
          <w:sz w:val="20"/>
        </w:rPr>
        <w:t xml:space="preserve"> upon </w:t>
      </w:r>
    </w:p>
    <w:p w14:paraId="7A2C0D2B" w14:textId="4BC7F9F3" w:rsidR="00C43579" w:rsidRPr="00E0543A" w:rsidRDefault="00DF2E4E" w:rsidP="006D1103">
      <w:pPr>
        <w:pStyle w:val="Listenabsatz"/>
        <w:numPr>
          <w:ilvl w:val="0"/>
          <w:numId w:val="21"/>
        </w:numPr>
        <w:suppressLineNumbers/>
        <w:spacing w:after="120" w:line="360" w:lineRule="auto"/>
        <w:ind w:left="357" w:hanging="357"/>
        <w:jc w:val="both"/>
        <w:rPr>
          <w:rFonts w:ascii="Arial" w:hAnsi="Arial" w:cs="Arial"/>
          <w:sz w:val="20"/>
          <w:szCs w:val="20"/>
        </w:rPr>
      </w:pPr>
      <w:r w:rsidRPr="00E0543A">
        <w:rPr>
          <w:rFonts w:ascii="Arial" w:hAnsi="Arial" w:cs="Arial"/>
          <w:sz w:val="20"/>
          <w:szCs w:val="20"/>
        </w:rPr>
        <w:t>24 h of treatment</w:t>
      </w:r>
      <w:r w:rsidR="006D1103" w:rsidRPr="00E0543A">
        <w:rPr>
          <w:rFonts w:ascii="Arial" w:hAnsi="Arial" w:cs="Arial"/>
          <w:sz w:val="20"/>
          <w:szCs w:val="20"/>
        </w:rPr>
        <w:t xml:space="preserve"> (Figure is related to Figure</w:t>
      </w:r>
      <w:r w:rsidR="006D1103" w:rsidRPr="00E0543A">
        <w:rPr>
          <w:rFonts w:ascii="Arial" w:hAnsi="Arial" w:cs="Arial"/>
          <w:i/>
          <w:sz w:val="20"/>
          <w:szCs w:val="20"/>
        </w:rPr>
        <w:t> Fig. 4a</w:t>
      </w:r>
      <w:r w:rsidR="006D1103" w:rsidRPr="00E0543A">
        <w:rPr>
          <w:rFonts w:ascii="Arial" w:hAnsi="Arial" w:cs="Arial"/>
          <w:sz w:val="20"/>
          <w:szCs w:val="20"/>
        </w:rPr>
        <w:t>)</w:t>
      </w:r>
      <w:r w:rsidR="00C43579" w:rsidRPr="00E0543A">
        <w:rPr>
          <w:rFonts w:ascii="Arial" w:hAnsi="Arial" w:cs="Arial"/>
          <w:sz w:val="20"/>
          <w:szCs w:val="20"/>
        </w:rPr>
        <w:tab/>
      </w:r>
    </w:p>
    <w:p w14:paraId="07022369" w14:textId="123B3E97" w:rsidR="00C43579" w:rsidRPr="00E0543A" w:rsidRDefault="006D1103" w:rsidP="00DF2E4E">
      <w:pPr>
        <w:pStyle w:val="Listenabsatz"/>
        <w:numPr>
          <w:ilvl w:val="0"/>
          <w:numId w:val="21"/>
        </w:numPr>
        <w:suppressLineNumbers/>
        <w:spacing w:before="240" w:after="120" w:line="360" w:lineRule="auto"/>
        <w:ind w:left="357" w:hanging="357"/>
        <w:jc w:val="both"/>
        <w:rPr>
          <w:rFonts w:ascii="Arial" w:hAnsi="Arial" w:cs="Arial"/>
          <w:sz w:val="20"/>
          <w:szCs w:val="20"/>
        </w:rPr>
      </w:pPr>
      <w:r w:rsidRPr="00E0543A">
        <w:rPr>
          <w:rFonts w:ascii="Arial" w:hAnsi="Arial" w:cs="Arial"/>
          <w:sz w:val="20"/>
          <w:szCs w:val="20"/>
        </w:rPr>
        <w:t>and</w:t>
      </w:r>
      <w:r w:rsidR="00DF2E4E" w:rsidRPr="00E0543A">
        <w:rPr>
          <w:rFonts w:ascii="Arial" w:hAnsi="Arial" w:cs="Arial"/>
          <w:sz w:val="20"/>
          <w:szCs w:val="20"/>
        </w:rPr>
        <w:t xml:space="preserve"> 48 h of treatment</w:t>
      </w:r>
      <w:r w:rsidRPr="00E0543A">
        <w:rPr>
          <w:rFonts w:ascii="Arial" w:hAnsi="Arial" w:cs="Arial"/>
          <w:sz w:val="20"/>
          <w:szCs w:val="20"/>
        </w:rPr>
        <w:t xml:space="preserve"> (Figure is related to Figure </w:t>
      </w:r>
      <w:r w:rsidRPr="00E0543A">
        <w:rPr>
          <w:rFonts w:ascii="Arial" w:hAnsi="Arial" w:cs="Arial"/>
          <w:i/>
          <w:sz w:val="20"/>
          <w:szCs w:val="20"/>
        </w:rPr>
        <w:t>Fig. 4b</w:t>
      </w:r>
      <w:r w:rsidRPr="00E0543A">
        <w:rPr>
          <w:rFonts w:ascii="Arial" w:hAnsi="Arial" w:cs="Arial"/>
          <w:sz w:val="20"/>
          <w:szCs w:val="20"/>
        </w:rPr>
        <w:t>)</w:t>
      </w:r>
      <w:r w:rsidR="00DF2E4E" w:rsidRPr="00E0543A">
        <w:rPr>
          <w:rFonts w:ascii="Arial" w:hAnsi="Arial" w:cs="Arial"/>
          <w:sz w:val="20"/>
          <w:szCs w:val="20"/>
        </w:rPr>
        <w:t>.</w:t>
      </w:r>
      <w:r w:rsidRPr="00E0543A">
        <w:rPr>
          <w:rFonts w:ascii="Arial" w:hAnsi="Arial" w:cs="Arial"/>
          <w:sz w:val="20"/>
          <w:szCs w:val="20"/>
        </w:rPr>
        <w:t xml:space="preserve"> </w:t>
      </w:r>
    </w:p>
    <w:p w14:paraId="78151F20" w14:textId="09C2E505" w:rsidR="00C43579" w:rsidRPr="00E0543A" w:rsidRDefault="00C43579" w:rsidP="001C7AAD">
      <w:pPr>
        <w:suppressLineNumbers/>
        <w:jc w:val="both"/>
        <w:rPr>
          <w:rFonts w:cs="Arial"/>
          <w:sz w:val="18"/>
        </w:rPr>
      </w:pPr>
      <w:r w:rsidRPr="00E0543A">
        <w:rPr>
          <w:rFonts w:cs="Arial"/>
          <w:sz w:val="18"/>
        </w:rPr>
        <w:br w:type="page"/>
      </w:r>
      <w:r w:rsidR="0029477C" w:rsidRPr="00E0543A">
        <w:rPr>
          <w:rFonts w:cs="Arial"/>
          <w:noProof/>
          <w:sz w:val="18"/>
          <w:lang w:val="de-AT" w:eastAsia="de-AT"/>
        </w:rPr>
        <w:lastRenderedPageBreak/>
        <w:drawing>
          <wp:inline distT="0" distB="0" distL="0" distR="0" wp14:anchorId="3A9167FF" wp14:editId="43949E27">
            <wp:extent cx="5731510" cy="4034740"/>
            <wp:effectExtent l="0" t="0" r="2540" b="4445"/>
            <wp:docPr id="2" name="Grafik 2" descr="E:\new Inkscape Figures Revision\Figure S5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Inkscape Figures Revision\Figure S5_new.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034740"/>
                    </a:xfrm>
                    <a:prstGeom prst="rect">
                      <a:avLst/>
                    </a:prstGeom>
                    <a:noFill/>
                    <a:ln>
                      <a:noFill/>
                    </a:ln>
                  </pic:spPr>
                </pic:pic>
              </a:graphicData>
            </a:graphic>
          </wp:inline>
        </w:drawing>
      </w:r>
    </w:p>
    <w:p w14:paraId="5D58005D" w14:textId="77777777" w:rsidR="00C43579" w:rsidRPr="00E0543A" w:rsidRDefault="00C43579" w:rsidP="001C7AAD">
      <w:pPr>
        <w:suppressLineNumbers/>
        <w:spacing w:before="360" w:after="120" w:line="360" w:lineRule="auto"/>
        <w:ind w:left="357" w:hanging="357"/>
        <w:jc w:val="both"/>
        <w:rPr>
          <w:rFonts w:cs="Arial"/>
          <w:sz w:val="20"/>
        </w:rPr>
      </w:pPr>
      <w:r w:rsidRPr="00E0543A">
        <w:rPr>
          <w:rFonts w:cs="Arial"/>
          <w:b/>
          <w:sz w:val="20"/>
        </w:rPr>
        <w:t>Fig</w:t>
      </w:r>
      <w:r w:rsidR="0075491B" w:rsidRPr="00E0543A">
        <w:rPr>
          <w:rFonts w:cs="Arial"/>
          <w:b/>
          <w:sz w:val="20"/>
        </w:rPr>
        <w:t xml:space="preserve">. </w:t>
      </w:r>
      <w:r w:rsidRPr="00E0543A">
        <w:rPr>
          <w:rFonts w:cs="Arial"/>
          <w:b/>
          <w:sz w:val="20"/>
        </w:rPr>
        <w:t>S</w:t>
      </w:r>
      <w:r w:rsidR="0075491B" w:rsidRPr="00E0543A">
        <w:rPr>
          <w:rFonts w:cs="Arial"/>
          <w:b/>
          <w:sz w:val="20"/>
        </w:rPr>
        <w:t>5</w:t>
      </w:r>
      <w:r w:rsidRPr="00E0543A">
        <w:rPr>
          <w:rFonts w:cs="Arial"/>
          <w:b/>
          <w:sz w:val="20"/>
        </w:rPr>
        <w:t xml:space="preserve">: 334 promotes cellular stress response and </w:t>
      </w:r>
      <w:r w:rsidR="00A62C57" w:rsidRPr="00E0543A">
        <w:rPr>
          <w:rFonts w:cs="Arial"/>
          <w:b/>
          <w:sz w:val="20"/>
        </w:rPr>
        <w:t xml:space="preserve">slightly </w:t>
      </w:r>
      <w:r w:rsidRPr="00E0543A">
        <w:rPr>
          <w:rFonts w:cs="Arial"/>
          <w:b/>
          <w:sz w:val="20"/>
        </w:rPr>
        <w:t xml:space="preserve">affects </w:t>
      </w:r>
      <w:r w:rsidR="00BF62AF" w:rsidRPr="00E0543A">
        <w:rPr>
          <w:rFonts w:cs="Arial"/>
          <w:b/>
          <w:sz w:val="20"/>
        </w:rPr>
        <w:t xml:space="preserve">mitochondrial </w:t>
      </w:r>
      <w:r w:rsidRPr="00E0543A">
        <w:rPr>
          <w:rFonts w:cs="Arial"/>
          <w:b/>
          <w:sz w:val="20"/>
        </w:rPr>
        <w:t xml:space="preserve">localization. </w:t>
      </w:r>
    </w:p>
    <w:p w14:paraId="1412E5CD" w14:textId="77777777" w:rsidR="00C43579" w:rsidRPr="00E0543A" w:rsidRDefault="00C43579" w:rsidP="001C7AAD">
      <w:pPr>
        <w:pStyle w:val="Listenabsatz"/>
        <w:numPr>
          <w:ilvl w:val="0"/>
          <w:numId w:val="18"/>
        </w:numPr>
        <w:suppressLineNumbers/>
        <w:spacing w:before="240" w:after="120" w:line="360" w:lineRule="auto"/>
        <w:ind w:left="357" w:hanging="357"/>
        <w:jc w:val="both"/>
        <w:rPr>
          <w:rFonts w:ascii="Arial" w:hAnsi="Arial" w:cs="Arial"/>
          <w:b/>
          <w:sz w:val="20"/>
          <w:szCs w:val="20"/>
        </w:rPr>
      </w:pPr>
      <w:r w:rsidRPr="00E0543A">
        <w:rPr>
          <w:rFonts w:ascii="Arial" w:hAnsi="Arial" w:cs="Arial"/>
          <w:sz w:val="20"/>
          <w:szCs w:val="20"/>
        </w:rPr>
        <w:t>334 treatment promotes diffuse mitochondrial appearance. Confocal microscopy of living MDA-MB-231 cells stained with the MitoTracker Red CMXRos dye visualizes the mitochondrial network. Cells were either treated with DMSO (control) or 334 for 24 h. Scale bars indicate 25 µm (n=3).</w:t>
      </w:r>
    </w:p>
    <w:p w14:paraId="2430377B" w14:textId="0D805A21" w:rsidR="00332495" w:rsidRPr="00E0543A" w:rsidRDefault="00C43579" w:rsidP="0029477C">
      <w:pPr>
        <w:pStyle w:val="Listenabsatz"/>
        <w:numPr>
          <w:ilvl w:val="0"/>
          <w:numId w:val="18"/>
        </w:numPr>
        <w:suppressLineNumbers/>
        <w:spacing w:before="240" w:after="120" w:line="360" w:lineRule="auto"/>
        <w:ind w:left="357" w:hanging="357"/>
        <w:jc w:val="both"/>
        <w:rPr>
          <w:rFonts w:ascii="Arial" w:hAnsi="Arial" w:cs="Arial"/>
          <w:sz w:val="20"/>
          <w:szCs w:val="20"/>
        </w:rPr>
      </w:pPr>
      <w:r w:rsidRPr="00E0543A">
        <w:rPr>
          <w:rFonts w:ascii="Arial" w:hAnsi="Arial" w:cs="Arial"/>
          <w:sz w:val="20"/>
          <w:szCs w:val="20"/>
        </w:rPr>
        <w:t xml:space="preserve">319 </w:t>
      </w:r>
      <w:r w:rsidR="00321163" w:rsidRPr="00E0543A">
        <w:rPr>
          <w:rFonts w:ascii="Arial" w:hAnsi="Arial" w:cs="Arial"/>
          <w:sz w:val="20"/>
          <w:szCs w:val="20"/>
        </w:rPr>
        <w:t>and</w:t>
      </w:r>
      <w:r w:rsidRPr="00E0543A">
        <w:rPr>
          <w:rFonts w:ascii="Arial" w:hAnsi="Arial" w:cs="Arial"/>
          <w:sz w:val="20"/>
          <w:szCs w:val="20"/>
        </w:rPr>
        <w:t xml:space="preserve"> 334 </w:t>
      </w:r>
      <w:r w:rsidR="00321163" w:rsidRPr="00E0543A">
        <w:rPr>
          <w:rFonts w:ascii="Arial" w:hAnsi="Arial" w:cs="Arial"/>
          <w:sz w:val="20"/>
          <w:szCs w:val="20"/>
        </w:rPr>
        <w:t>slightly affect</w:t>
      </w:r>
      <w:r w:rsidRPr="00E0543A">
        <w:rPr>
          <w:rFonts w:ascii="Arial" w:hAnsi="Arial" w:cs="Arial"/>
          <w:sz w:val="20"/>
          <w:szCs w:val="20"/>
        </w:rPr>
        <w:t xml:space="preserve"> mitochondrial mass and localization. Transmission electron microscopy (TEM) displays Jurkat cells treated with 319 (20 µM), 334 (20 µM) or DMSO for 24 h (n=3).</w:t>
      </w:r>
      <w:r w:rsidR="00332495" w:rsidRPr="00E0543A">
        <w:rPr>
          <w:rFonts w:ascii="Arial" w:hAnsi="Arial" w:cs="Arial"/>
          <w:sz w:val="20"/>
          <w:szCs w:val="20"/>
        </w:rPr>
        <w:br w:type="page"/>
      </w:r>
    </w:p>
    <w:p w14:paraId="793FFCAD" w14:textId="74BA2A3E" w:rsidR="00725065" w:rsidRPr="00E0543A" w:rsidRDefault="00725065" w:rsidP="00332495">
      <w:pPr>
        <w:suppressLineNumbers/>
        <w:spacing w:before="360" w:after="120" w:line="360" w:lineRule="auto"/>
        <w:jc w:val="both"/>
        <w:rPr>
          <w:rFonts w:cs="Arial"/>
          <w:b/>
          <w:sz w:val="20"/>
        </w:rPr>
      </w:pPr>
      <w:r w:rsidRPr="00E0543A">
        <w:rPr>
          <w:rFonts w:cs="Arial"/>
          <w:b/>
          <w:noProof/>
          <w:sz w:val="20"/>
          <w:lang w:val="de-AT" w:eastAsia="de-AT"/>
        </w:rPr>
        <w:lastRenderedPageBreak/>
        <w:drawing>
          <wp:inline distT="0" distB="0" distL="0" distR="0" wp14:anchorId="3BD0D0E9" wp14:editId="3A6AF92E">
            <wp:extent cx="5731510" cy="7141018"/>
            <wp:effectExtent l="0" t="0" r="2540" b="3175"/>
            <wp:docPr id="8" name="Grafik 8" descr="E:\new Inkscape Figures Revision\Figure S6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ew Inkscape Figures Revision\Figure S6_new.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7141018"/>
                    </a:xfrm>
                    <a:prstGeom prst="rect">
                      <a:avLst/>
                    </a:prstGeom>
                    <a:noFill/>
                    <a:ln>
                      <a:noFill/>
                    </a:ln>
                  </pic:spPr>
                </pic:pic>
              </a:graphicData>
            </a:graphic>
          </wp:inline>
        </w:drawing>
      </w:r>
    </w:p>
    <w:p w14:paraId="5CAFE0C8" w14:textId="5E157BEC" w:rsidR="00332495" w:rsidRPr="00E0543A" w:rsidRDefault="00332495" w:rsidP="00332495">
      <w:pPr>
        <w:suppressLineNumbers/>
        <w:spacing w:before="360" w:after="120" w:line="360" w:lineRule="auto"/>
        <w:jc w:val="both"/>
        <w:rPr>
          <w:rFonts w:cs="Arial"/>
          <w:b/>
          <w:sz w:val="20"/>
        </w:rPr>
      </w:pPr>
      <w:r w:rsidRPr="00E0543A">
        <w:rPr>
          <w:rFonts w:cs="Arial"/>
          <w:b/>
          <w:sz w:val="20"/>
        </w:rPr>
        <w:t>Fig. S6: Parameter calculation and FCCP titration for mitochondrial stress test.</w:t>
      </w:r>
    </w:p>
    <w:p w14:paraId="624F4EE4" w14:textId="77777777" w:rsidR="00332495" w:rsidRPr="00E0543A" w:rsidRDefault="00332495" w:rsidP="00F07005">
      <w:pPr>
        <w:pStyle w:val="Listenabsatz"/>
        <w:numPr>
          <w:ilvl w:val="0"/>
          <w:numId w:val="27"/>
        </w:numPr>
        <w:suppressLineNumbers/>
        <w:spacing w:before="240" w:after="120" w:line="360" w:lineRule="auto"/>
        <w:ind w:left="357" w:hanging="357"/>
        <w:jc w:val="both"/>
        <w:rPr>
          <w:rFonts w:ascii="Arial" w:hAnsi="Arial" w:cs="Arial"/>
          <w:sz w:val="20"/>
          <w:szCs w:val="20"/>
        </w:rPr>
      </w:pPr>
      <w:r w:rsidRPr="00E0543A">
        <w:rPr>
          <w:rFonts w:ascii="Arial" w:hAnsi="Arial" w:cs="Arial"/>
          <w:sz w:val="20"/>
          <w:szCs w:val="20"/>
        </w:rPr>
        <w:t>Overview of parameter values, which were assessed by mitochondrial stress test on the Agilent Seahorse XF Analyzer (</w:t>
      </w:r>
      <w:r w:rsidRPr="00E0543A">
        <w:rPr>
          <w:rFonts w:ascii="Arial" w:hAnsi="Arial" w:cs="Arial"/>
          <w:i/>
          <w:sz w:val="20"/>
          <w:szCs w:val="20"/>
        </w:rPr>
        <w:t>Figure 5f</w:t>
      </w:r>
      <w:r w:rsidRPr="00E0543A">
        <w:rPr>
          <w:rFonts w:ascii="Arial" w:hAnsi="Arial" w:cs="Arial"/>
          <w:sz w:val="20"/>
          <w:szCs w:val="20"/>
        </w:rPr>
        <w:t xml:space="preserve">, </w:t>
      </w:r>
      <w:r w:rsidRPr="00E0543A">
        <w:rPr>
          <w:rFonts w:ascii="Arial" w:hAnsi="Arial" w:cs="Arial"/>
          <w:i/>
          <w:sz w:val="20"/>
          <w:szCs w:val="20"/>
        </w:rPr>
        <w:t>Figure 6c</w:t>
      </w:r>
      <w:r w:rsidRPr="00E0543A">
        <w:rPr>
          <w:rFonts w:ascii="Arial" w:hAnsi="Arial" w:cs="Arial"/>
          <w:sz w:val="20"/>
          <w:szCs w:val="20"/>
        </w:rPr>
        <w:t xml:space="preserve">, </w:t>
      </w:r>
      <w:r w:rsidRPr="00E0543A">
        <w:rPr>
          <w:rFonts w:ascii="Arial" w:hAnsi="Arial" w:cs="Arial"/>
          <w:i/>
          <w:sz w:val="20"/>
          <w:szCs w:val="20"/>
        </w:rPr>
        <w:t>Supplementary Figure S6b online</w:t>
      </w:r>
      <w:r w:rsidRPr="00E0543A">
        <w:rPr>
          <w:rFonts w:ascii="Arial" w:hAnsi="Arial" w:cs="Arial"/>
          <w:sz w:val="20"/>
          <w:szCs w:val="20"/>
        </w:rPr>
        <w:t>) and the equations, which were used for calculation of the respective values.</w:t>
      </w:r>
    </w:p>
    <w:p w14:paraId="7D3B8262" w14:textId="6C91B33D" w:rsidR="002C3418" w:rsidRPr="00E0543A" w:rsidRDefault="00332495" w:rsidP="00725065">
      <w:pPr>
        <w:pStyle w:val="Listenabsatz"/>
        <w:numPr>
          <w:ilvl w:val="0"/>
          <w:numId w:val="27"/>
        </w:numPr>
        <w:suppressLineNumbers/>
        <w:spacing w:after="0" w:line="360" w:lineRule="auto"/>
        <w:jc w:val="both"/>
        <w:rPr>
          <w:rFonts w:ascii="Arial" w:hAnsi="Arial" w:cs="Arial"/>
          <w:sz w:val="20"/>
          <w:szCs w:val="20"/>
        </w:rPr>
      </w:pPr>
      <w:r w:rsidRPr="00E0543A">
        <w:rPr>
          <w:rFonts w:ascii="Arial" w:hAnsi="Arial" w:cs="Arial"/>
          <w:sz w:val="20"/>
          <w:szCs w:val="20"/>
        </w:rPr>
        <w:t xml:space="preserve">FCCP Titration of Jurkat, K562, CEM and HEK-WT cells. The optimal final FCCP concentration for achieving maximal OCRs is cell line dependent and is therefore determined by a FCCP titration </w:t>
      </w:r>
      <w:r w:rsidRPr="00E0543A">
        <w:rPr>
          <w:rFonts w:ascii="Arial" w:hAnsi="Arial" w:cs="Arial"/>
          <w:sz w:val="20"/>
          <w:szCs w:val="20"/>
        </w:rPr>
        <w:lastRenderedPageBreak/>
        <w:t>experiment (0.25 µM, 0.5 µM, 1.0 µM, 2.0 µM, 4.0 µM). For FCCP titration, a constant oligomycin (2.5 µM) and Rotenone/ Antimycin A (0.5 µM) concentration is used as recommended by the manufacturer. Arrows (right panels) indicate the maximal spare respiratory capacity of each cell type and, thus, the FCCP concentration, which is used for further experiments (4 wells per condition, n=1).</w:t>
      </w:r>
    </w:p>
    <w:p w14:paraId="2C961350" w14:textId="77777777" w:rsidR="00725065" w:rsidRPr="00E0543A" w:rsidRDefault="00725065" w:rsidP="00725065">
      <w:pPr>
        <w:pStyle w:val="Listenabsatz"/>
        <w:suppressLineNumbers/>
        <w:spacing w:after="0" w:line="360" w:lineRule="auto"/>
        <w:ind w:left="360"/>
        <w:jc w:val="both"/>
        <w:rPr>
          <w:rFonts w:ascii="Arial" w:hAnsi="Arial" w:cs="Arial"/>
          <w:sz w:val="20"/>
          <w:szCs w:val="20"/>
        </w:rPr>
      </w:pPr>
    </w:p>
    <w:p w14:paraId="6F05F7F6" w14:textId="0401A710" w:rsidR="00C43579" w:rsidRPr="00E0543A" w:rsidRDefault="00725065" w:rsidP="001C7AAD">
      <w:pPr>
        <w:suppressLineNumbers/>
        <w:spacing w:before="240" w:after="120" w:line="360" w:lineRule="auto"/>
        <w:jc w:val="both"/>
        <w:rPr>
          <w:rFonts w:cs="Arial"/>
          <w:sz w:val="20"/>
        </w:rPr>
      </w:pPr>
      <w:r w:rsidRPr="00E0543A">
        <w:rPr>
          <w:rFonts w:cs="Arial"/>
          <w:noProof/>
          <w:sz w:val="20"/>
          <w:lang w:val="de-AT" w:eastAsia="de-AT"/>
        </w:rPr>
        <w:drawing>
          <wp:inline distT="0" distB="0" distL="0" distR="0" wp14:anchorId="2ABA1C1E" wp14:editId="5C8CC243">
            <wp:extent cx="5731510" cy="3208743"/>
            <wp:effectExtent l="0" t="0" r="2540" b="0"/>
            <wp:docPr id="9" name="Grafik 9" descr="E:\new Inkscape Figures Revision\Figure S7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ew Inkscape Figures Revision\Figure S7_new.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08743"/>
                    </a:xfrm>
                    <a:prstGeom prst="rect">
                      <a:avLst/>
                    </a:prstGeom>
                    <a:noFill/>
                    <a:ln>
                      <a:noFill/>
                    </a:ln>
                  </pic:spPr>
                </pic:pic>
              </a:graphicData>
            </a:graphic>
          </wp:inline>
        </w:drawing>
      </w:r>
    </w:p>
    <w:p w14:paraId="53069D10" w14:textId="0E461DA9" w:rsidR="002C3418" w:rsidRPr="00E0543A" w:rsidRDefault="002C3418" w:rsidP="001C7AAD">
      <w:pPr>
        <w:suppressLineNumbers/>
        <w:spacing w:before="360" w:after="120" w:line="360" w:lineRule="auto"/>
        <w:ind w:left="357" w:hanging="357"/>
        <w:jc w:val="both"/>
        <w:rPr>
          <w:rFonts w:cs="Arial"/>
          <w:sz w:val="20"/>
        </w:rPr>
      </w:pPr>
      <w:r w:rsidRPr="00E0543A">
        <w:rPr>
          <w:rFonts w:cs="Arial"/>
          <w:b/>
          <w:sz w:val="20"/>
        </w:rPr>
        <w:t>Fig. S</w:t>
      </w:r>
      <w:r w:rsidR="00F07005" w:rsidRPr="00E0543A">
        <w:rPr>
          <w:rFonts w:cs="Arial"/>
          <w:b/>
          <w:sz w:val="20"/>
        </w:rPr>
        <w:t>7</w:t>
      </w:r>
      <w:r w:rsidRPr="00E0543A">
        <w:rPr>
          <w:rFonts w:cs="Arial"/>
          <w:b/>
          <w:sz w:val="20"/>
        </w:rPr>
        <w:t xml:space="preserve">: </w:t>
      </w:r>
      <w:r w:rsidR="003545F5" w:rsidRPr="00E0543A">
        <w:rPr>
          <w:rFonts w:cs="Arial"/>
          <w:b/>
          <w:sz w:val="20"/>
        </w:rPr>
        <w:t xml:space="preserve">Chemo-sensitization </w:t>
      </w:r>
      <w:r w:rsidR="004E1844" w:rsidRPr="00E0543A">
        <w:rPr>
          <w:rFonts w:cs="Arial"/>
          <w:b/>
          <w:sz w:val="20"/>
        </w:rPr>
        <w:t>by</w:t>
      </w:r>
      <w:r w:rsidR="003545F5" w:rsidRPr="00E0543A">
        <w:rPr>
          <w:rFonts w:cs="Arial"/>
          <w:b/>
          <w:sz w:val="20"/>
        </w:rPr>
        <w:t xml:space="preserve"> 334 not </w:t>
      </w:r>
      <w:r w:rsidR="004E1844" w:rsidRPr="00E0543A">
        <w:rPr>
          <w:rFonts w:cs="Arial"/>
          <w:b/>
          <w:sz w:val="20"/>
        </w:rPr>
        <w:t>determined</w:t>
      </w:r>
      <w:r w:rsidR="003545F5" w:rsidRPr="00E0543A">
        <w:rPr>
          <w:rFonts w:cs="Arial"/>
          <w:b/>
          <w:sz w:val="20"/>
        </w:rPr>
        <w:t xml:space="preserve"> by ClpX protein expression</w:t>
      </w:r>
      <w:r w:rsidRPr="00E0543A">
        <w:rPr>
          <w:rFonts w:cs="Arial"/>
          <w:b/>
          <w:sz w:val="20"/>
        </w:rPr>
        <w:t xml:space="preserve">. </w:t>
      </w:r>
    </w:p>
    <w:p w14:paraId="3FC46307" w14:textId="77777777" w:rsidR="002C3418" w:rsidRPr="00E0543A" w:rsidRDefault="004E1844" w:rsidP="001C7AAD">
      <w:pPr>
        <w:pStyle w:val="Acknowledgement"/>
        <w:numPr>
          <w:ilvl w:val="0"/>
          <w:numId w:val="23"/>
        </w:numPr>
        <w:suppressLineNumbers/>
        <w:spacing w:before="0" w:line="360" w:lineRule="auto"/>
        <w:ind w:left="357" w:hanging="357"/>
        <w:jc w:val="both"/>
        <w:rPr>
          <w:rFonts w:ascii="Arial" w:hAnsi="Arial" w:cs="Arial"/>
          <w:sz w:val="22"/>
        </w:rPr>
      </w:pPr>
      <w:r w:rsidRPr="00E0543A">
        <w:rPr>
          <w:rFonts w:ascii="Arial" w:hAnsi="Arial" w:cs="Arial"/>
          <w:sz w:val="20"/>
          <w:szCs w:val="20"/>
        </w:rPr>
        <w:t xml:space="preserve">HL-60 cells were not sensitized to anticancer therapy by low-dose 334 combination treatment. Specific cell death induced in HL-60 </w:t>
      </w:r>
      <w:r w:rsidR="009442C3" w:rsidRPr="00E0543A">
        <w:rPr>
          <w:rFonts w:ascii="Arial" w:hAnsi="Arial" w:cs="Arial"/>
          <w:sz w:val="20"/>
          <w:szCs w:val="20"/>
        </w:rPr>
        <w:t xml:space="preserve">cells </w:t>
      </w:r>
      <w:r w:rsidRPr="00E0543A">
        <w:rPr>
          <w:rFonts w:ascii="Arial" w:hAnsi="Arial" w:cs="Arial"/>
          <w:sz w:val="20"/>
          <w:szCs w:val="20"/>
        </w:rPr>
        <w:t xml:space="preserve">upon 334 (10 µM), etoposide (ETO) and cytarabine (CYT) treatment </w:t>
      </w:r>
      <w:r w:rsidR="009442C3" w:rsidRPr="00E0543A">
        <w:rPr>
          <w:rFonts w:ascii="Arial" w:hAnsi="Arial" w:cs="Arial"/>
          <w:sz w:val="20"/>
          <w:szCs w:val="20"/>
        </w:rPr>
        <w:t>is</w:t>
      </w:r>
      <w:r w:rsidRPr="00E0543A">
        <w:rPr>
          <w:rFonts w:ascii="Arial" w:hAnsi="Arial" w:cs="Arial"/>
          <w:sz w:val="20"/>
          <w:szCs w:val="20"/>
        </w:rPr>
        <w:t xml:space="preserve"> shown. Cells were treated with the indicated agents alone or in combination for 48 h. Cell death was assessed by flow cytometry using Nicoletti assay. Bliss values were calculated for combined chemotherapies and values above 1.05 indicate synergism (n=3).</w:t>
      </w:r>
    </w:p>
    <w:p w14:paraId="1EB62DDC" w14:textId="2B6CAA99" w:rsidR="00F07005" w:rsidRPr="00E0543A" w:rsidRDefault="004E1844" w:rsidP="00F07005">
      <w:pPr>
        <w:pStyle w:val="Listenabsatz"/>
        <w:numPr>
          <w:ilvl w:val="0"/>
          <w:numId w:val="23"/>
        </w:numPr>
        <w:suppressLineNumbers/>
        <w:spacing w:after="0" w:line="360" w:lineRule="auto"/>
        <w:ind w:left="357" w:hanging="357"/>
        <w:jc w:val="both"/>
        <w:rPr>
          <w:rFonts w:ascii="Arial" w:hAnsi="Arial" w:cs="Arial"/>
          <w:sz w:val="20"/>
          <w:szCs w:val="20"/>
        </w:rPr>
      </w:pPr>
      <w:r w:rsidRPr="00E0543A">
        <w:rPr>
          <w:rFonts w:ascii="Arial" w:hAnsi="Arial" w:cs="Arial"/>
          <w:sz w:val="20"/>
          <w:szCs w:val="20"/>
        </w:rPr>
        <w:t xml:space="preserve">HUH7-R are sensitized by 334 towards sorafenib therapy besides low ClpX protein expression. Western blot analysis was performed for ClpX and ClpP in HUH7-WT and HUH7-R cells. ClpX and ClpP protein expression was quantified and normalized to HUH7-WT and the respective protein load </w:t>
      </w:r>
      <w:r w:rsidR="00C34D0B" w:rsidRPr="00E0543A">
        <w:rPr>
          <w:rFonts w:ascii="Arial" w:hAnsi="Arial" w:cs="Arial"/>
          <w:sz w:val="20"/>
          <w:szCs w:val="20"/>
        </w:rPr>
        <w:t>(***</w:t>
      </w:r>
      <w:r w:rsidR="00C34D0B" w:rsidRPr="00E0543A">
        <w:rPr>
          <w:rFonts w:ascii="Arial" w:hAnsi="Arial" w:cs="Arial"/>
          <w:i/>
          <w:sz w:val="20"/>
          <w:szCs w:val="20"/>
        </w:rPr>
        <w:t>P</w:t>
      </w:r>
      <w:r w:rsidR="00C34D0B" w:rsidRPr="00E0543A">
        <w:rPr>
          <w:rFonts w:ascii="Arial" w:hAnsi="Arial" w:cs="Arial"/>
          <w:sz w:val="20"/>
          <w:szCs w:val="20"/>
        </w:rPr>
        <w:t>&lt;0.001, t-test comparing cell types, n=3).</w:t>
      </w:r>
    </w:p>
    <w:p w14:paraId="6A6F7A3D" w14:textId="3127E224" w:rsidR="0031359D" w:rsidRPr="00E0543A" w:rsidRDefault="00173281" w:rsidP="00725065">
      <w:pPr>
        <w:pStyle w:val="Listenabsatz"/>
        <w:numPr>
          <w:ilvl w:val="0"/>
          <w:numId w:val="23"/>
        </w:numPr>
        <w:suppressLineNumbers/>
        <w:spacing w:line="360" w:lineRule="auto"/>
        <w:jc w:val="both"/>
        <w:rPr>
          <w:rFonts w:ascii="Arial" w:hAnsi="Arial" w:cs="Arial"/>
          <w:sz w:val="20"/>
          <w:szCs w:val="20"/>
        </w:rPr>
      </w:pPr>
      <w:r w:rsidRPr="00E0543A">
        <w:rPr>
          <w:rFonts w:ascii="Arial" w:hAnsi="Arial" w:cs="Arial"/>
          <w:sz w:val="20"/>
          <w:szCs w:val="20"/>
        </w:rPr>
        <w:t>CDDO-ME</w:t>
      </w:r>
      <w:r w:rsidR="00F07005" w:rsidRPr="00E0543A">
        <w:rPr>
          <w:rFonts w:ascii="Arial" w:hAnsi="Arial" w:cs="Arial"/>
          <w:sz w:val="20"/>
          <w:szCs w:val="20"/>
        </w:rPr>
        <w:t xml:space="preserve"> re-sensitizes </w:t>
      </w:r>
      <w:r w:rsidRPr="00E0543A">
        <w:rPr>
          <w:rFonts w:ascii="Arial" w:hAnsi="Arial" w:cs="Arial"/>
          <w:sz w:val="20"/>
          <w:szCs w:val="20"/>
        </w:rPr>
        <w:t>HUH7-R</w:t>
      </w:r>
      <w:r w:rsidR="00F07005" w:rsidRPr="00E0543A">
        <w:rPr>
          <w:rFonts w:ascii="Arial" w:hAnsi="Arial" w:cs="Arial"/>
          <w:sz w:val="20"/>
          <w:szCs w:val="20"/>
        </w:rPr>
        <w:t xml:space="preserve"> cells</w:t>
      </w:r>
      <w:r w:rsidRPr="00E0543A">
        <w:rPr>
          <w:rFonts w:ascii="Arial" w:hAnsi="Arial" w:cs="Arial"/>
          <w:sz w:val="20"/>
          <w:szCs w:val="20"/>
        </w:rPr>
        <w:t xml:space="preserve"> towards</w:t>
      </w:r>
      <w:r w:rsidR="00F07005" w:rsidRPr="00E0543A">
        <w:rPr>
          <w:rFonts w:ascii="Arial" w:hAnsi="Arial" w:cs="Arial"/>
          <w:sz w:val="20"/>
          <w:szCs w:val="20"/>
        </w:rPr>
        <w:t xml:space="preserve"> </w:t>
      </w:r>
      <w:r w:rsidRPr="00E0543A">
        <w:rPr>
          <w:rFonts w:ascii="Arial" w:hAnsi="Arial" w:cs="Arial"/>
          <w:sz w:val="20"/>
          <w:szCs w:val="20"/>
        </w:rPr>
        <w:t>sorafenib therapy comparable to 334</w:t>
      </w:r>
      <w:r w:rsidR="00F07005" w:rsidRPr="00E0543A">
        <w:rPr>
          <w:rFonts w:ascii="Arial" w:hAnsi="Arial" w:cs="Arial"/>
          <w:sz w:val="20"/>
          <w:szCs w:val="20"/>
        </w:rPr>
        <w:t xml:space="preserve">. Proliferation rates </w:t>
      </w:r>
      <w:r w:rsidRPr="00E0543A">
        <w:rPr>
          <w:rFonts w:ascii="Arial" w:hAnsi="Arial" w:cs="Arial"/>
          <w:sz w:val="20"/>
          <w:szCs w:val="20"/>
        </w:rPr>
        <w:t xml:space="preserve">of HUH7-WT and HUH7-R cells </w:t>
      </w:r>
      <w:r w:rsidR="00F07005" w:rsidRPr="00E0543A">
        <w:rPr>
          <w:rFonts w:ascii="Arial" w:hAnsi="Arial" w:cs="Arial"/>
          <w:sz w:val="20"/>
          <w:szCs w:val="20"/>
        </w:rPr>
        <w:t>within 72 h of treatment were assessed by crystal violet staining and normalized to the untreated control (</w:t>
      </w:r>
      <w:r w:rsidRPr="00E0543A">
        <w:rPr>
          <w:rFonts w:ascii="Arial" w:hAnsi="Arial" w:cs="Arial"/>
          <w:sz w:val="20"/>
          <w:szCs w:val="20"/>
        </w:rPr>
        <w:t>right</w:t>
      </w:r>
      <w:r w:rsidR="00F07005" w:rsidRPr="00E0543A">
        <w:rPr>
          <w:rFonts w:ascii="Arial" w:hAnsi="Arial" w:cs="Arial"/>
          <w:sz w:val="20"/>
          <w:szCs w:val="20"/>
        </w:rPr>
        <w:t xml:space="preserve"> panel). Proliferation rates of </w:t>
      </w:r>
      <w:r w:rsidRPr="00E0543A">
        <w:rPr>
          <w:rFonts w:ascii="Arial" w:hAnsi="Arial" w:cs="Arial"/>
          <w:sz w:val="20"/>
          <w:szCs w:val="20"/>
        </w:rPr>
        <w:t>vincristine and gefitinib</w:t>
      </w:r>
      <w:r w:rsidR="00F07005" w:rsidRPr="00E0543A">
        <w:rPr>
          <w:rFonts w:ascii="Arial" w:hAnsi="Arial" w:cs="Arial"/>
          <w:sz w:val="20"/>
          <w:szCs w:val="20"/>
        </w:rPr>
        <w:t xml:space="preserve"> treatment were previously shown (Meßner et al</w:t>
      </w:r>
      <w:r w:rsidRPr="00E0543A">
        <w:rPr>
          <w:rFonts w:ascii="Arial" w:hAnsi="Arial" w:cs="Arial"/>
          <w:sz w:val="20"/>
          <w:szCs w:val="20"/>
        </w:rPr>
        <w:t>., 2020</w:t>
      </w:r>
      <w:r w:rsidR="00F07005" w:rsidRPr="00E0543A">
        <w:rPr>
          <w:rFonts w:ascii="Arial" w:hAnsi="Arial" w:cs="Arial"/>
          <w:sz w:val="20"/>
          <w:szCs w:val="20"/>
        </w:rPr>
        <w:t>). The difference in growth rates obtained by HUH-R and HUH-WT cells was calculated and compared among treatments (</w:t>
      </w:r>
      <w:r w:rsidRPr="00E0543A">
        <w:rPr>
          <w:rFonts w:ascii="Arial" w:hAnsi="Arial" w:cs="Arial"/>
          <w:sz w:val="20"/>
          <w:szCs w:val="20"/>
        </w:rPr>
        <w:t>left</w:t>
      </w:r>
      <w:r w:rsidR="00F07005" w:rsidRPr="00E0543A">
        <w:rPr>
          <w:rFonts w:ascii="Arial" w:hAnsi="Arial" w:cs="Arial"/>
          <w:sz w:val="20"/>
          <w:szCs w:val="20"/>
        </w:rPr>
        <w:t xml:space="preserve"> panel</w:t>
      </w:r>
      <w:r w:rsidR="003E3E80" w:rsidRPr="00E0543A">
        <w:rPr>
          <w:rFonts w:ascii="Arial" w:hAnsi="Arial" w:cs="Arial"/>
          <w:sz w:val="20"/>
          <w:szCs w:val="20"/>
        </w:rPr>
        <w:t xml:space="preserve">, see also </w:t>
      </w:r>
      <w:r w:rsidR="003E3E80" w:rsidRPr="00E0543A">
        <w:rPr>
          <w:rFonts w:ascii="Arial" w:hAnsi="Arial" w:cs="Arial"/>
          <w:i/>
          <w:sz w:val="20"/>
          <w:szCs w:val="20"/>
        </w:rPr>
        <w:t>Figure 7b</w:t>
      </w:r>
      <w:r w:rsidR="00F07005" w:rsidRPr="00E0543A">
        <w:rPr>
          <w:rFonts w:ascii="Arial" w:hAnsi="Arial" w:cs="Arial"/>
          <w:sz w:val="20"/>
          <w:szCs w:val="20"/>
        </w:rPr>
        <w:t>) (*P&lt;0.05, **P&lt;0.01, ***P&lt;0.001, One-way ANOVA, Tukey’s Multiple Comparison Test comparing concentrations, t-test comparing cell types, n=3).</w:t>
      </w:r>
      <w:r w:rsidR="0031359D" w:rsidRPr="00E0543A">
        <w:rPr>
          <w:rFonts w:cs="Arial"/>
          <w:sz w:val="20"/>
        </w:rPr>
        <w:br w:type="page"/>
      </w:r>
    </w:p>
    <w:p w14:paraId="2FA7BA5C" w14:textId="77777777" w:rsidR="00E23973" w:rsidRPr="00E0543A" w:rsidRDefault="00E23973" w:rsidP="00725065">
      <w:pPr>
        <w:suppressLineNumbers/>
        <w:spacing w:line="360" w:lineRule="auto"/>
        <w:jc w:val="both"/>
        <w:rPr>
          <w:rFonts w:cs="Arial"/>
          <w:sz w:val="20"/>
        </w:rPr>
        <w:sectPr w:rsidR="00E23973" w:rsidRPr="00E0543A" w:rsidSect="00F31771">
          <w:footerReference w:type="default" r:id="rId15"/>
          <w:headerReference w:type="first" r:id="rId16"/>
          <w:type w:val="continuous"/>
          <w:pgSz w:w="11906" w:h="16838" w:code="9"/>
          <w:pgMar w:top="1440" w:right="1440" w:bottom="1440" w:left="1440" w:header="432" w:footer="720" w:gutter="0"/>
          <w:lnNumType w:countBy="1" w:restart="continuous"/>
          <w:cols w:space="720"/>
          <w:titlePg/>
          <w:docGrid w:linePitch="360"/>
        </w:sectPr>
      </w:pPr>
    </w:p>
    <w:p w14:paraId="121A3912" w14:textId="5CF29A19" w:rsidR="0031359D" w:rsidRPr="00E0543A" w:rsidRDefault="00725065" w:rsidP="00DE492E">
      <w:pPr>
        <w:suppressLineNumbers/>
        <w:spacing w:after="240" w:line="360" w:lineRule="auto"/>
        <w:jc w:val="both"/>
        <w:rPr>
          <w:rFonts w:cs="Arial"/>
          <w:sz w:val="20"/>
        </w:rPr>
      </w:pPr>
      <w:r w:rsidRPr="00E0543A">
        <w:rPr>
          <w:rFonts w:cs="Arial"/>
          <w:noProof/>
          <w:sz w:val="20"/>
          <w:lang w:val="de-AT" w:eastAsia="de-AT"/>
        </w:rPr>
        <w:lastRenderedPageBreak/>
        <w:drawing>
          <wp:inline distT="0" distB="0" distL="0" distR="0" wp14:anchorId="4A3750B4" wp14:editId="1188EF73">
            <wp:extent cx="5731510" cy="6124998"/>
            <wp:effectExtent l="0" t="0" r="2540" b="9525"/>
            <wp:docPr id="10" name="Grafik 10" descr="E:\new Inkscape Figures Revision\Figure S8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ew Inkscape Figures Revision\Figure S8_new.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6124998"/>
                    </a:xfrm>
                    <a:prstGeom prst="rect">
                      <a:avLst/>
                    </a:prstGeom>
                    <a:noFill/>
                    <a:ln>
                      <a:noFill/>
                    </a:ln>
                  </pic:spPr>
                </pic:pic>
              </a:graphicData>
            </a:graphic>
          </wp:inline>
        </w:drawing>
      </w:r>
    </w:p>
    <w:p w14:paraId="12283698" w14:textId="3F8575A0" w:rsidR="0031359D" w:rsidRPr="00E0543A" w:rsidRDefault="0031359D" w:rsidP="00725065">
      <w:pPr>
        <w:suppressLineNumbers/>
        <w:spacing w:before="360" w:after="120" w:line="360" w:lineRule="auto"/>
        <w:jc w:val="both"/>
        <w:rPr>
          <w:rFonts w:cs="Arial"/>
          <w:sz w:val="20"/>
        </w:rPr>
      </w:pPr>
      <w:r w:rsidRPr="00E0543A">
        <w:rPr>
          <w:rFonts w:cs="Arial"/>
          <w:b/>
          <w:sz w:val="20"/>
        </w:rPr>
        <w:t>Fig. S</w:t>
      </w:r>
      <w:r w:rsidR="00BF0BBF" w:rsidRPr="00E0543A">
        <w:rPr>
          <w:rFonts w:cs="Arial"/>
          <w:b/>
          <w:sz w:val="20"/>
        </w:rPr>
        <w:t>8</w:t>
      </w:r>
      <w:r w:rsidRPr="00E0543A">
        <w:rPr>
          <w:rFonts w:cs="Arial"/>
          <w:b/>
          <w:sz w:val="20"/>
        </w:rPr>
        <w:t xml:space="preserve">: Uncropped Western blots of main figures. </w:t>
      </w:r>
    </w:p>
    <w:p w14:paraId="2BC326B5" w14:textId="318997F9" w:rsidR="000F4C8D" w:rsidRPr="00E0543A" w:rsidRDefault="000F4C8D" w:rsidP="000F4C8D">
      <w:pPr>
        <w:pStyle w:val="Acknowledgement"/>
        <w:numPr>
          <w:ilvl w:val="0"/>
          <w:numId w:val="25"/>
        </w:numPr>
        <w:suppressLineNumbers/>
        <w:spacing w:before="0" w:line="360" w:lineRule="auto"/>
        <w:ind w:left="357" w:hanging="357"/>
        <w:jc w:val="both"/>
        <w:rPr>
          <w:rFonts w:ascii="Arial" w:hAnsi="Arial" w:cs="Arial"/>
          <w:sz w:val="20"/>
        </w:rPr>
      </w:pPr>
      <w:r w:rsidRPr="00E0543A">
        <w:rPr>
          <w:rFonts w:ascii="Arial" w:hAnsi="Arial" w:cs="Arial"/>
          <w:i/>
          <w:sz w:val="20"/>
        </w:rPr>
        <w:t>Supplementary Figure S</w:t>
      </w:r>
      <w:r w:rsidR="0052623B" w:rsidRPr="00E0543A">
        <w:rPr>
          <w:rFonts w:ascii="Arial" w:hAnsi="Arial" w:cs="Arial"/>
          <w:i/>
          <w:sz w:val="20"/>
        </w:rPr>
        <w:t>8</w:t>
      </w:r>
      <w:r w:rsidRPr="00E0543A">
        <w:rPr>
          <w:rFonts w:ascii="Arial" w:hAnsi="Arial" w:cs="Arial"/>
          <w:i/>
          <w:sz w:val="20"/>
        </w:rPr>
        <w:t>a</w:t>
      </w:r>
      <w:r w:rsidRPr="00E0543A">
        <w:rPr>
          <w:rFonts w:ascii="Arial" w:hAnsi="Arial" w:cs="Arial"/>
          <w:sz w:val="20"/>
        </w:rPr>
        <w:t xml:space="preserve"> is related to </w:t>
      </w:r>
      <w:r w:rsidRPr="00E0543A">
        <w:rPr>
          <w:rFonts w:ascii="Arial" w:hAnsi="Arial" w:cs="Arial"/>
          <w:i/>
          <w:sz w:val="20"/>
        </w:rPr>
        <w:t xml:space="preserve">Figure 2a </w:t>
      </w:r>
      <w:r w:rsidRPr="00E0543A">
        <w:rPr>
          <w:rFonts w:ascii="Arial" w:hAnsi="Arial" w:cs="Arial"/>
          <w:sz w:val="20"/>
        </w:rPr>
        <w:t>(right panel).</w:t>
      </w:r>
    </w:p>
    <w:p w14:paraId="473A9A08" w14:textId="532A7DCD" w:rsidR="000F4C8D" w:rsidRPr="00E0543A" w:rsidRDefault="000F4C8D" w:rsidP="000F4C8D">
      <w:pPr>
        <w:pStyle w:val="Acknowledgement"/>
        <w:numPr>
          <w:ilvl w:val="0"/>
          <w:numId w:val="25"/>
        </w:numPr>
        <w:suppressLineNumbers/>
        <w:spacing w:before="0" w:line="360" w:lineRule="auto"/>
        <w:ind w:left="357" w:hanging="357"/>
        <w:jc w:val="both"/>
        <w:rPr>
          <w:rFonts w:ascii="Arial" w:hAnsi="Arial" w:cs="Arial"/>
          <w:sz w:val="20"/>
        </w:rPr>
      </w:pPr>
      <w:r w:rsidRPr="00E0543A">
        <w:rPr>
          <w:rFonts w:ascii="Arial" w:hAnsi="Arial" w:cs="Arial"/>
          <w:i/>
          <w:sz w:val="20"/>
        </w:rPr>
        <w:t>Supplementary Figure S</w:t>
      </w:r>
      <w:r w:rsidR="0052623B" w:rsidRPr="00E0543A">
        <w:rPr>
          <w:rFonts w:ascii="Arial" w:hAnsi="Arial" w:cs="Arial"/>
          <w:i/>
          <w:sz w:val="20"/>
        </w:rPr>
        <w:t>8</w:t>
      </w:r>
      <w:r w:rsidRPr="00E0543A">
        <w:rPr>
          <w:rFonts w:ascii="Arial" w:hAnsi="Arial" w:cs="Arial"/>
          <w:i/>
          <w:sz w:val="20"/>
        </w:rPr>
        <w:t>b</w:t>
      </w:r>
      <w:r w:rsidRPr="00E0543A">
        <w:rPr>
          <w:rFonts w:ascii="Arial" w:hAnsi="Arial" w:cs="Arial"/>
          <w:sz w:val="20"/>
        </w:rPr>
        <w:t xml:space="preserve"> is related to </w:t>
      </w:r>
      <w:r w:rsidRPr="00E0543A">
        <w:rPr>
          <w:rFonts w:ascii="Arial" w:hAnsi="Arial" w:cs="Arial"/>
          <w:i/>
          <w:sz w:val="20"/>
        </w:rPr>
        <w:t xml:space="preserve">Figure 2f </w:t>
      </w:r>
      <w:r w:rsidRPr="00E0543A">
        <w:rPr>
          <w:rFonts w:ascii="Arial" w:hAnsi="Arial" w:cs="Arial"/>
          <w:sz w:val="20"/>
        </w:rPr>
        <w:t>(upper right panel).</w:t>
      </w:r>
    </w:p>
    <w:p w14:paraId="19196DB2" w14:textId="20AEB5C7" w:rsidR="000F4C8D" w:rsidRPr="00E0543A" w:rsidRDefault="000F4C8D" w:rsidP="000F4C8D">
      <w:pPr>
        <w:pStyle w:val="Acknowledgement"/>
        <w:numPr>
          <w:ilvl w:val="0"/>
          <w:numId w:val="25"/>
        </w:numPr>
        <w:suppressLineNumbers/>
        <w:spacing w:before="0" w:line="360" w:lineRule="auto"/>
        <w:ind w:left="357" w:hanging="357"/>
        <w:jc w:val="both"/>
        <w:rPr>
          <w:rFonts w:ascii="Arial" w:hAnsi="Arial" w:cs="Arial"/>
          <w:sz w:val="20"/>
        </w:rPr>
      </w:pPr>
      <w:r w:rsidRPr="00E0543A">
        <w:rPr>
          <w:rFonts w:ascii="Arial" w:hAnsi="Arial" w:cs="Arial"/>
          <w:i/>
          <w:sz w:val="20"/>
        </w:rPr>
        <w:t>Supplementary Figure S</w:t>
      </w:r>
      <w:r w:rsidR="0052623B" w:rsidRPr="00E0543A">
        <w:rPr>
          <w:rFonts w:ascii="Arial" w:hAnsi="Arial" w:cs="Arial"/>
          <w:i/>
          <w:sz w:val="20"/>
        </w:rPr>
        <w:t>8</w:t>
      </w:r>
      <w:r w:rsidRPr="00E0543A">
        <w:rPr>
          <w:rFonts w:ascii="Arial" w:hAnsi="Arial" w:cs="Arial"/>
          <w:i/>
          <w:sz w:val="20"/>
        </w:rPr>
        <w:t>c</w:t>
      </w:r>
      <w:r w:rsidRPr="00E0543A">
        <w:rPr>
          <w:rFonts w:ascii="Arial" w:hAnsi="Arial" w:cs="Arial"/>
          <w:sz w:val="20"/>
        </w:rPr>
        <w:t xml:space="preserve"> is related to </w:t>
      </w:r>
      <w:r w:rsidRPr="00E0543A">
        <w:rPr>
          <w:rFonts w:ascii="Arial" w:hAnsi="Arial" w:cs="Arial"/>
          <w:i/>
          <w:sz w:val="20"/>
        </w:rPr>
        <w:t>Figure 3c</w:t>
      </w:r>
      <w:r w:rsidRPr="00E0543A">
        <w:rPr>
          <w:rFonts w:ascii="Arial" w:hAnsi="Arial" w:cs="Arial"/>
          <w:sz w:val="20"/>
        </w:rPr>
        <w:t>.</w:t>
      </w:r>
    </w:p>
    <w:p w14:paraId="0E91A851" w14:textId="10F39EFB" w:rsidR="000F4C8D" w:rsidRPr="00E0543A" w:rsidRDefault="000F4C8D" w:rsidP="000F4C8D">
      <w:pPr>
        <w:pStyle w:val="Acknowledgement"/>
        <w:numPr>
          <w:ilvl w:val="0"/>
          <w:numId w:val="25"/>
        </w:numPr>
        <w:suppressLineNumbers/>
        <w:spacing w:before="0" w:line="360" w:lineRule="auto"/>
        <w:ind w:left="357" w:hanging="357"/>
        <w:jc w:val="both"/>
        <w:rPr>
          <w:rFonts w:ascii="Arial" w:hAnsi="Arial" w:cs="Arial"/>
          <w:sz w:val="20"/>
        </w:rPr>
      </w:pPr>
      <w:r w:rsidRPr="00E0543A">
        <w:rPr>
          <w:rFonts w:ascii="Arial" w:hAnsi="Arial" w:cs="Arial"/>
          <w:i/>
          <w:sz w:val="20"/>
        </w:rPr>
        <w:t>Supplementary Figure S</w:t>
      </w:r>
      <w:r w:rsidR="0052623B" w:rsidRPr="00E0543A">
        <w:rPr>
          <w:rFonts w:ascii="Arial" w:hAnsi="Arial" w:cs="Arial"/>
          <w:i/>
          <w:sz w:val="20"/>
        </w:rPr>
        <w:t>8</w:t>
      </w:r>
      <w:r w:rsidRPr="00E0543A">
        <w:rPr>
          <w:rFonts w:ascii="Arial" w:hAnsi="Arial" w:cs="Arial"/>
          <w:i/>
          <w:sz w:val="20"/>
        </w:rPr>
        <w:t>d</w:t>
      </w:r>
      <w:r w:rsidRPr="00E0543A">
        <w:rPr>
          <w:rFonts w:ascii="Arial" w:hAnsi="Arial" w:cs="Arial"/>
          <w:sz w:val="20"/>
        </w:rPr>
        <w:t xml:space="preserve"> is related to </w:t>
      </w:r>
      <w:r w:rsidRPr="00E0543A">
        <w:rPr>
          <w:rFonts w:ascii="Arial" w:hAnsi="Arial" w:cs="Arial"/>
          <w:i/>
          <w:sz w:val="20"/>
        </w:rPr>
        <w:t>Figure 4d</w:t>
      </w:r>
      <w:r w:rsidRPr="00E0543A">
        <w:rPr>
          <w:rFonts w:ascii="Arial" w:hAnsi="Arial" w:cs="Arial"/>
          <w:sz w:val="20"/>
        </w:rPr>
        <w:t>.</w:t>
      </w:r>
    </w:p>
    <w:p w14:paraId="6D26C2F2" w14:textId="4BAD05B3" w:rsidR="0047386F" w:rsidRPr="00E0543A" w:rsidRDefault="0047386F" w:rsidP="0047386F">
      <w:pPr>
        <w:pStyle w:val="Acknowledgement"/>
        <w:numPr>
          <w:ilvl w:val="0"/>
          <w:numId w:val="25"/>
        </w:numPr>
        <w:suppressLineNumbers/>
        <w:spacing w:before="0" w:line="360" w:lineRule="auto"/>
        <w:ind w:left="357" w:hanging="357"/>
        <w:jc w:val="both"/>
        <w:rPr>
          <w:rFonts w:ascii="Arial" w:hAnsi="Arial" w:cs="Arial"/>
          <w:sz w:val="20"/>
        </w:rPr>
      </w:pPr>
      <w:r w:rsidRPr="00E0543A">
        <w:rPr>
          <w:rFonts w:ascii="Arial" w:hAnsi="Arial" w:cs="Arial"/>
          <w:i/>
          <w:sz w:val="20"/>
        </w:rPr>
        <w:t>Supplementary Figure S8e</w:t>
      </w:r>
      <w:r w:rsidRPr="00E0543A">
        <w:rPr>
          <w:rFonts w:ascii="Arial" w:hAnsi="Arial" w:cs="Arial"/>
          <w:sz w:val="20"/>
        </w:rPr>
        <w:t xml:space="preserve"> is related to </w:t>
      </w:r>
      <w:r w:rsidRPr="00E0543A">
        <w:rPr>
          <w:rFonts w:ascii="Arial" w:hAnsi="Arial" w:cs="Arial"/>
          <w:i/>
          <w:sz w:val="20"/>
        </w:rPr>
        <w:t>Supplementary Figure S</w:t>
      </w:r>
      <w:r w:rsidR="001176E2" w:rsidRPr="00E0543A">
        <w:rPr>
          <w:rFonts w:ascii="Arial" w:hAnsi="Arial" w:cs="Arial"/>
          <w:i/>
          <w:sz w:val="20"/>
        </w:rPr>
        <w:t>7</w:t>
      </w:r>
      <w:r w:rsidRPr="00E0543A">
        <w:rPr>
          <w:rFonts w:ascii="Arial" w:hAnsi="Arial" w:cs="Arial"/>
          <w:i/>
          <w:sz w:val="20"/>
        </w:rPr>
        <w:t>b</w:t>
      </w:r>
      <w:r w:rsidRPr="00E0543A">
        <w:rPr>
          <w:rFonts w:ascii="Arial" w:hAnsi="Arial" w:cs="Arial"/>
          <w:sz w:val="20"/>
        </w:rPr>
        <w:t>.</w:t>
      </w:r>
    </w:p>
    <w:p w14:paraId="5C43264E" w14:textId="2E421896" w:rsidR="00E52A70" w:rsidRPr="00E0543A" w:rsidRDefault="00E23973" w:rsidP="0031359D">
      <w:pPr>
        <w:suppressLineNumbers/>
        <w:spacing w:after="240" w:line="360" w:lineRule="auto"/>
        <w:jc w:val="both"/>
        <w:rPr>
          <w:rFonts w:cs="Arial"/>
          <w:sz w:val="20"/>
        </w:rPr>
      </w:pPr>
      <w:r w:rsidRPr="00E0543A">
        <w:rPr>
          <w:rFonts w:cs="Arial"/>
          <w:sz w:val="20"/>
        </w:rPr>
        <w:br w:type="page"/>
      </w:r>
    </w:p>
    <w:p w14:paraId="6BDD0E83" w14:textId="79854E91" w:rsidR="00E52A70" w:rsidRPr="00E0543A" w:rsidRDefault="00E52A70" w:rsidP="00DE492E">
      <w:pPr>
        <w:suppressLineNumbers/>
        <w:spacing w:after="240" w:line="360" w:lineRule="auto"/>
        <w:jc w:val="both"/>
        <w:rPr>
          <w:rFonts w:cs="Arial"/>
          <w:b/>
          <w:u w:val="single"/>
        </w:rPr>
      </w:pPr>
      <w:r w:rsidRPr="00E0543A">
        <w:rPr>
          <w:rFonts w:cs="Arial"/>
          <w:b/>
          <w:u w:val="single"/>
        </w:rPr>
        <w:lastRenderedPageBreak/>
        <w:t>Supplementary Tables</w:t>
      </w:r>
    </w:p>
    <w:p w14:paraId="0A241CDF" w14:textId="77777777" w:rsidR="00E52A70" w:rsidRPr="00E0543A" w:rsidRDefault="00E52A70" w:rsidP="00DE492E">
      <w:pPr>
        <w:suppressLineNumbers/>
        <w:spacing w:after="240" w:line="360" w:lineRule="auto"/>
        <w:jc w:val="both"/>
        <w:rPr>
          <w:rFonts w:cs="Arial"/>
          <w:b/>
          <w:u w:val="single"/>
        </w:rPr>
      </w:pPr>
    </w:p>
    <w:p w14:paraId="2F5ACA48" w14:textId="3002860B" w:rsidR="006D022C" w:rsidRPr="00E0543A" w:rsidRDefault="00DE492E" w:rsidP="00DE492E">
      <w:pPr>
        <w:suppressLineNumbers/>
        <w:spacing w:after="240" w:line="360" w:lineRule="auto"/>
        <w:jc w:val="both"/>
        <w:rPr>
          <w:rFonts w:cs="Arial"/>
          <w:i/>
          <w:sz w:val="20"/>
        </w:rPr>
      </w:pPr>
      <w:r w:rsidRPr="00E0543A">
        <w:rPr>
          <w:rFonts w:cs="Arial"/>
          <w:b/>
          <w:sz w:val="20"/>
        </w:rPr>
        <w:t xml:space="preserve">Table. S1: </w:t>
      </w:r>
      <w:r w:rsidR="005C3D91" w:rsidRPr="00E0543A">
        <w:rPr>
          <w:rFonts w:cs="Arial"/>
          <w:sz w:val="20"/>
        </w:rPr>
        <w:t xml:space="preserve">Clinical data of patients donating diagnostic AML and ALL cells for xenotransplantation. </w:t>
      </w:r>
      <w:r w:rsidR="005C3D91" w:rsidRPr="00E0543A">
        <w:rPr>
          <w:rFonts w:cs="Arial"/>
          <w:i/>
          <w:sz w:val="20"/>
        </w:rPr>
        <w:t>Table is</w:t>
      </w:r>
      <w:r w:rsidR="005C3D91" w:rsidRPr="00E0543A">
        <w:rPr>
          <w:rFonts w:cs="Arial"/>
          <w:sz w:val="20"/>
        </w:rPr>
        <w:t xml:space="preserve"> related to Figure</w:t>
      </w:r>
      <w:r w:rsidR="005C3D91" w:rsidRPr="00E0543A">
        <w:rPr>
          <w:rFonts w:cs="Arial"/>
          <w:i/>
          <w:sz w:val="20"/>
        </w:rPr>
        <w:t> Fig. 3.</w:t>
      </w:r>
    </w:p>
    <w:p w14:paraId="2025D5EC" w14:textId="5D75EF6C" w:rsidR="006D022C" w:rsidRPr="00E0543A" w:rsidRDefault="00612C13" w:rsidP="00DE492E">
      <w:pPr>
        <w:suppressLineNumbers/>
        <w:spacing w:after="240" w:line="360" w:lineRule="auto"/>
        <w:jc w:val="both"/>
        <w:rPr>
          <w:rFonts w:cs="Arial"/>
          <w:sz w:val="20"/>
        </w:rPr>
      </w:pPr>
      <w:r w:rsidRPr="00E0543A">
        <w:rPr>
          <w:rFonts w:cs="Arial"/>
          <w:noProof/>
          <w:sz w:val="20"/>
          <w:lang w:val="de-AT" w:eastAsia="de-AT"/>
        </w:rPr>
        <w:drawing>
          <wp:inline distT="0" distB="0" distL="0" distR="0" wp14:anchorId="05059858" wp14:editId="6276AA48">
            <wp:extent cx="5731423" cy="4519749"/>
            <wp:effectExtent l="0" t="0" r="3175" b="0"/>
            <wp:docPr id="5" name="Grafik 5" descr="E:\new Inkscape Figures Revision\Tabl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Inkscape Figures Revision\Table S1.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44249"/>
                    <a:stretch/>
                  </pic:blipFill>
                  <pic:spPr bwMode="auto">
                    <a:xfrm>
                      <a:off x="0" y="0"/>
                      <a:ext cx="5731510" cy="4519818"/>
                    </a:xfrm>
                    <a:prstGeom prst="rect">
                      <a:avLst/>
                    </a:prstGeom>
                    <a:noFill/>
                    <a:ln>
                      <a:noFill/>
                    </a:ln>
                    <a:extLst>
                      <a:ext uri="{53640926-AAD7-44D8-BBD7-CCE9431645EC}">
                        <a14:shadowObscured xmlns:a14="http://schemas.microsoft.com/office/drawing/2010/main"/>
                      </a:ext>
                    </a:extLst>
                  </pic:spPr>
                </pic:pic>
              </a:graphicData>
            </a:graphic>
          </wp:inline>
        </w:drawing>
      </w:r>
      <w:r w:rsidR="006D022C" w:rsidRPr="00E0543A">
        <w:rPr>
          <w:rFonts w:cs="Arial"/>
          <w:sz w:val="20"/>
        </w:rPr>
        <w:t xml:space="preserve"> </w:t>
      </w:r>
    </w:p>
    <w:p w14:paraId="2B464231" w14:textId="72227066" w:rsidR="006D022C" w:rsidRPr="00E0543A" w:rsidRDefault="006D022C" w:rsidP="0083172D">
      <w:pPr>
        <w:suppressLineNumbers/>
        <w:spacing w:before="120" w:after="120" w:line="360" w:lineRule="auto"/>
        <w:jc w:val="both"/>
        <w:rPr>
          <w:rFonts w:cs="Arial"/>
          <w:sz w:val="20"/>
        </w:rPr>
      </w:pPr>
      <w:r w:rsidRPr="00E0543A">
        <w:rPr>
          <w:rFonts w:cs="Arial"/>
          <w:sz w:val="20"/>
          <w:vertAlign w:val="superscript"/>
        </w:rPr>
        <w:t>1</w:t>
      </w:r>
      <w:r w:rsidRPr="00E0543A">
        <w:rPr>
          <w:rFonts w:cs="Arial"/>
          <w:sz w:val="20"/>
        </w:rPr>
        <w:t>when the primary AML or ALL sample was obtained</w:t>
      </w:r>
      <w:r w:rsidR="0083172D" w:rsidRPr="00E0543A">
        <w:rPr>
          <w:rFonts w:cs="Arial"/>
          <w:sz w:val="20"/>
        </w:rPr>
        <w:t>;</w:t>
      </w:r>
      <w:r w:rsidRPr="00E0543A">
        <w:rPr>
          <w:rFonts w:cs="Arial"/>
          <w:sz w:val="20"/>
        </w:rPr>
        <w:t xml:space="preserve"> </w:t>
      </w:r>
      <w:r w:rsidRPr="00E0543A">
        <w:rPr>
          <w:rFonts w:cs="Arial"/>
          <w:sz w:val="20"/>
          <w:vertAlign w:val="superscript"/>
        </w:rPr>
        <w:t>2</w:t>
      </w:r>
      <w:r w:rsidRPr="00E0543A">
        <w:rPr>
          <w:rFonts w:cs="Arial"/>
          <w:sz w:val="20"/>
        </w:rPr>
        <w:t>mutations detected by targeted re-sequencing in PDX cells; BCP, B</w:t>
      </w:r>
      <w:r w:rsidR="0083172D" w:rsidRPr="00E0543A">
        <w:rPr>
          <w:rFonts w:cs="Arial"/>
          <w:sz w:val="20"/>
        </w:rPr>
        <w:t xml:space="preserve"> cell precursor;</w:t>
      </w:r>
      <w:r w:rsidRPr="00E0543A">
        <w:rPr>
          <w:rFonts w:cs="Arial"/>
          <w:sz w:val="20"/>
        </w:rPr>
        <w:t xml:space="preserve"> </w:t>
      </w:r>
      <w:r w:rsidRPr="00E0543A">
        <w:rPr>
          <w:rFonts w:cs="Arial"/>
          <w:sz w:val="20"/>
          <w:vertAlign w:val="superscript"/>
        </w:rPr>
        <w:t>3</w:t>
      </w:r>
      <w:r w:rsidRPr="00E0543A">
        <w:rPr>
          <w:rFonts w:cs="Arial"/>
          <w:sz w:val="20"/>
        </w:rPr>
        <w:t>time of passaging through mice refers to the time of</w:t>
      </w:r>
      <w:r w:rsidR="0083172D" w:rsidRPr="00E0543A">
        <w:rPr>
          <w:rFonts w:cs="Arial"/>
          <w:sz w:val="20"/>
        </w:rPr>
        <w:t xml:space="preserve"> sample injection </w:t>
      </w:r>
      <w:r w:rsidRPr="00E0543A">
        <w:rPr>
          <w:rFonts w:cs="Arial"/>
          <w:sz w:val="20"/>
        </w:rPr>
        <w:t xml:space="preserve">until mice had to </w:t>
      </w:r>
      <w:r w:rsidR="0083172D" w:rsidRPr="00E0543A">
        <w:rPr>
          <w:rFonts w:cs="Arial"/>
          <w:sz w:val="20"/>
        </w:rPr>
        <w:t>b</w:t>
      </w:r>
      <w:r w:rsidRPr="00E0543A">
        <w:rPr>
          <w:rFonts w:cs="Arial"/>
          <w:sz w:val="20"/>
        </w:rPr>
        <w:t>e sacrificed due to end stage leukemia</w:t>
      </w:r>
      <w:r w:rsidR="0083172D" w:rsidRPr="00E0543A">
        <w:rPr>
          <w:rFonts w:cs="Arial"/>
          <w:sz w:val="20"/>
        </w:rPr>
        <w:t>;</w:t>
      </w:r>
      <w:r w:rsidRPr="00E0543A">
        <w:rPr>
          <w:rFonts w:cs="Arial"/>
          <w:sz w:val="20"/>
        </w:rPr>
        <w:t xml:space="preserve"> del, deletion; F, female; </w:t>
      </w:r>
      <w:r w:rsidR="0083172D" w:rsidRPr="00E0543A">
        <w:rPr>
          <w:rFonts w:cs="Arial"/>
          <w:sz w:val="20"/>
        </w:rPr>
        <w:t xml:space="preserve">int., interstitial; </w:t>
      </w:r>
      <w:r w:rsidRPr="00E0543A">
        <w:rPr>
          <w:rFonts w:cs="Arial"/>
          <w:sz w:val="20"/>
        </w:rPr>
        <w:t>M, male; NA, not available.</w:t>
      </w:r>
    </w:p>
    <w:p w14:paraId="3BE4ADA8" w14:textId="623ED95E" w:rsidR="00DE492E" w:rsidRPr="00E0543A" w:rsidRDefault="00DE492E" w:rsidP="00DE492E">
      <w:pPr>
        <w:suppressLineNumbers/>
        <w:spacing w:after="240" w:line="360" w:lineRule="auto"/>
        <w:jc w:val="both"/>
        <w:rPr>
          <w:rFonts w:cs="Arial"/>
          <w:sz w:val="20"/>
        </w:rPr>
      </w:pPr>
      <w:r w:rsidRPr="00E0543A">
        <w:rPr>
          <w:rFonts w:cs="Arial"/>
          <w:sz w:val="20"/>
        </w:rPr>
        <w:br w:type="page"/>
      </w:r>
    </w:p>
    <w:p w14:paraId="4127311D" w14:textId="4DB0AD1A" w:rsidR="00E23973" w:rsidRPr="00E0543A" w:rsidRDefault="00E23973" w:rsidP="003B400B">
      <w:pPr>
        <w:suppressLineNumbers/>
        <w:spacing w:after="240" w:line="360" w:lineRule="auto"/>
        <w:jc w:val="both"/>
        <w:rPr>
          <w:rFonts w:cs="Arial"/>
          <w:sz w:val="20"/>
        </w:rPr>
      </w:pPr>
      <w:r w:rsidRPr="00E0543A">
        <w:rPr>
          <w:rFonts w:cs="Arial"/>
          <w:b/>
          <w:sz w:val="20"/>
        </w:rPr>
        <w:lastRenderedPageBreak/>
        <w:t>Table. S</w:t>
      </w:r>
      <w:r w:rsidR="00DE492E" w:rsidRPr="00E0543A">
        <w:rPr>
          <w:rFonts w:cs="Arial"/>
          <w:b/>
          <w:sz w:val="20"/>
        </w:rPr>
        <w:t>2</w:t>
      </w:r>
      <w:r w:rsidRPr="00E0543A">
        <w:rPr>
          <w:rFonts w:cs="Arial"/>
          <w:b/>
          <w:sz w:val="20"/>
        </w:rPr>
        <w:t xml:space="preserve">: </w:t>
      </w:r>
      <w:r w:rsidR="001B65BC" w:rsidRPr="00E0543A">
        <w:rPr>
          <w:rFonts w:cs="Arial"/>
          <w:b/>
          <w:sz w:val="20"/>
        </w:rPr>
        <w:t xml:space="preserve">Depleted </w:t>
      </w:r>
      <w:r w:rsidRPr="00E0543A">
        <w:rPr>
          <w:rFonts w:cs="Arial"/>
          <w:b/>
          <w:sz w:val="20"/>
        </w:rPr>
        <w:t>proteins identified by quantitative MS</w:t>
      </w:r>
      <w:r w:rsidRPr="00E0543A">
        <w:rPr>
          <w:rFonts w:cs="Arial"/>
          <w:sz w:val="20"/>
        </w:rPr>
        <w:t xml:space="preserve"> </w:t>
      </w:r>
      <w:r w:rsidRPr="00E0543A">
        <w:rPr>
          <w:rFonts w:cs="Arial"/>
          <w:b/>
          <w:sz w:val="20"/>
        </w:rPr>
        <w:t xml:space="preserve">upon 24 h of </w:t>
      </w:r>
      <w:r w:rsidR="00E97D9B" w:rsidRPr="00E0543A">
        <w:rPr>
          <w:rFonts w:cs="Arial"/>
          <w:b/>
          <w:sz w:val="20"/>
        </w:rPr>
        <w:t xml:space="preserve">334 </w:t>
      </w:r>
      <w:r w:rsidRPr="00E0543A">
        <w:rPr>
          <w:rFonts w:cs="Arial"/>
          <w:b/>
          <w:sz w:val="20"/>
        </w:rPr>
        <w:t>treatment</w:t>
      </w:r>
      <w:r w:rsidR="00E97D9B" w:rsidRPr="00E0543A">
        <w:rPr>
          <w:rFonts w:cs="Arial"/>
          <w:b/>
          <w:sz w:val="20"/>
        </w:rPr>
        <w:t xml:space="preserve"> (10 µM)</w:t>
      </w:r>
      <w:r w:rsidRPr="00E0543A">
        <w:rPr>
          <w:rFonts w:cs="Arial"/>
          <w:b/>
          <w:sz w:val="20"/>
        </w:rPr>
        <w:t>.</w:t>
      </w:r>
      <w:r w:rsidRPr="00E0543A">
        <w:rPr>
          <w:rFonts w:cs="Arial"/>
          <w:sz w:val="20"/>
        </w:rPr>
        <w:t xml:space="preserve"> The MS-proteomics screen compares 334-treated to DMSO-treated K562</w:t>
      </w:r>
      <w:r w:rsidR="00AE5CC9" w:rsidRPr="00E0543A">
        <w:rPr>
          <w:rFonts w:cs="Arial"/>
          <w:sz w:val="20"/>
        </w:rPr>
        <w:t xml:space="preserve"> cells.</w:t>
      </w:r>
      <w:r w:rsidR="003B400B" w:rsidRPr="00E0543A">
        <w:rPr>
          <w:rFonts w:cs="Arial"/>
          <w:sz w:val="20"/>
        </w:rPr>
        <w:t xml:space="preserve"> Proteins are ranked according to their x-fold change</w:t>
      </w:r>
      <w:r w:rsidR="00B644F2" w:rsidRPr="00E0543A">
        <w:rPr>
          <w:rFonts w:cs="Arial"/>
          <w:sz w:val="20"/>
        </w:rPr>
        <w:t xml:space="preserve"> and proteins</w:t>
      </w:r>
      <w:r w:rsidR="00E97D9B" w:rsidRPr="00E0543A">
        <w:rPr>
          <w:rFonts w:cs="Arial"/>
          <w:sz w:val="20"/>
        </w:rPr>
        <w:t xml:space="preserve"> with a</w:t>
      </w:r>
      <w:r w:rsidR="00B644F2" w:rsidRPr="00E0543A">
        <w:rPr>
          <w:rFonts w:cs="Arial"/>
          <w:sz w:val="20"/>
        </w:rPr>
        <w:t xml:space="preserve"> x-fold change ≤ -2 are shown. </w:t>
      </w:r>
      <w:r w:rsidR="000430EA" w:rsidRPr="00E0543A">
        <w:rPr>
          <w:rFonts w:cs="Arial"/>
          <w:sz w:val="20"/>
        </w:rPr>
        <w:t xml:space="preserve">Supplementary </w:t>
      </w:r>
      <w:r w:rsidR="000430EA" w:rsidRPr="00E0543A">
        <w:rPr>
          <w:rFonts w:cs="Arial"/>
          <w:i/>
          <w:sz w:val="20"/>
        </w:rPr>
        <w:t>Table </w:t>
      </w:r>
      <w:r w:rsidRPr="00E0543A">
        <w:rPr>
          <w:rFonts w:cs="Arial"/>
          <w:i/>
          <w:sz w:val="20"/>
        </w:rPr>
        <w:t>S</w:t>
      </w:r>
      <w:r w:rsidR="00DE492E" w:rsidRPr="00E0543A">
        <w:rPr>
          <w:rFonts w:cs="Arial"/>
          <w:i/>
          <w:sz w:val="20"/>
        </w:rPr>
        <w:t>2</w:t>
      </w:r>
      <w:r w:rsidRPr="00E0543A">
        <w:rPr>
          <w:rFonts w:cs="Arial"/>
          <w:sz w:val="20"/>
        </w:rPr>
        <w:t xml:space="preserve"> and </w:t>
      </w:r>
      <w:r w:rsidR="000430EA" w:rsidRPr="00E0543A">
        <w:rPr>
          <w:rFonts w:cs="Arial"/>
          <w:sz w:val="20"/>
        </w:rPr>
        <w:t xml:space="preserve">Supplementary </w:t>
      </w:r>
      <w:r w:rsidR="00E97D9B" w:rsidRPr="00E0543A">
        <w:rPr>
          <w:rFonts w:cs="Arial"/>
          <w:i/>
          <w:sz w:val="20"/>
        </w:rPr>
        <w:t>Table </w:t>
      </w:r>
      <w:r w:rsidRPr="00E0543A">
        <w:rPr>
          <w:rFonts w:cs="Arial"/>
          <w:i/>
          <w:sz w:val="20"/>
        </w:rPr>
        <w:t>S</w:t>
      </w:r>
      <w:r w:rsidR="00DE492E" w:rsidRPr="00E0543A">
        <w:rPr>
          <w:rFonts w:cs="Arial"/>
          <w:i/>
          <w:sz w:val="20"/>
        </w:rPr>
        <w:t xml:space="preserve">3 </w:t>
      </w:r>
      <w:r w:rsidRPr="00E0543A">
        <w:rPr>
          <w:rFonts w:cs="Arial"/>
          <w:sz w:val="20"/>
        </w:rPr>
        <w:t>are related to Figure</w:t>
      </w:r>
      <w:r w:rsidRPr="00E0543A">
        <w:rPr>
          <w:rFonts w:cs="Arial"/>
          <w:i/>
          <w:sz w:val="20"/>
        </w:rPr>
        <w:t xml:space="preserve"> Fig. 4a </w:t>
      </w:r>
      <w:r w:rsidRPr="00E0543A">
        <w:rPr>
          <w:rFonts w:cs="Arial"/>
          <w:sz w:val="20"/>
        </w:rPr>
        <w:t>and</w:t>
      </w:r>
      <w:r w:rsidRPr="00E0543A">
        <w:rPr>
          <w:rFonts w:cs="Arial"/>
          <w:i/>
          <w:sz w:val="20"/>
        </w:rPr>
        <w:t xml:space="preserve"> </w:t>
      </w:r>
      <w:r w:rsidR="00C76211" w:rsidRPr="00E0543A">
        <w:rPr>
          <w:rFonts w:cs="Arial"/>
          <w:i/>
          <w:sz w:val="20"/>
        </w:rPr>
        <w:t xml:space="preserve">Supplementary </w:t>
      </w:r>
      <w:r w:rsidRPr="00E0543A">
        <w:rPr>
          <w:rFonts w:cs="Arial"/>
          <w:i/>
          <w:sz w:val="20"/>
        </w:rPr>
        <w:t>Fig. S4a</w:t>
      </w:r>
      <w:r w:rsidR="00C76211" w:rsidRPr="00E0543A">
        <w:rPr>
          <w:rFonts w:cs="Arial"/>
          <w:i/>
          <w:sz w:val="20"/>
        </w:rPr>
        <w:t xml:space="preserve"> online</w:t>
      </w:r>
      <w:r w:rsidRPr="00E0543A">
        <w:rPr>
          <w:rFonts w:cs="Arial"/>
          <w:sz w:val="20"/>
        </w:rPr>
        <w:t>.</w:t>
      </w:r>
    </w:p>
    <w:p w14:paraId="4D071720" w14:textId="20626361" w:rsidR="006D01D9" w:rsidRPr="00E0543A" w:rsidRDefault="006D022C" w:rsidP="00E23973">
      <w:pPr>
        <w:suppressLineNumbers/>
        <w:spacing w:line="360" w:lineRule="auto"/>
        <w:jc w:val="both"/>
        <w:rPr>
          <w:rFonts w:cs="Arial"/>
          <w:sz w:val="20"/>
        </w:rPr>
      </w:pPr>
      <w:r w:rsidRPr="00E0543A">
        <w:rPr>
          <w:rFonts w:cs="Arial"/>
          <w:noProof/>
          <w:sz w:val="20"/>
          <w:lang w:val="de-AT" w:eastAsia="de-AT"/>
        </w:rPr>
        <w:drawing>
          <wp:inline distT="0" distB="0" distL="0" distR="0" wp14:anchorId="798B41DF" wp14:editId="2B6AA929">
            <wp:extent cx="5731510" cy="6170295"/>
            <wp:effectExtent l="0" t="0" r="254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S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6170295"/>
                    </a:xfrm>
                    <a:prstGeom prst="rect">
                      <a:avLst/>
                    </a:prstGeom>
                  </pic:spPr>
                </pic:pic>
              </a:graphicData>
            </a:graphic>
          </wp:inline>
        </w:drawing>
      </w:r>
    </w:p>
    <w:p w14:paraId="3F23A4AB" w14:textId="2FD449D6" w:rsidR="0002406F" w:rsidRPr="00E0543A" w:rsidRDefault="00E23973" w:rsidP="0002406F">
      <w:pPr>
        <w:suppressLineNumbers/>
        <w:spacing w:after="240" w:line="360" w:lineRule="auto"/>
        <w:jc w:val="both"/>
        <w:rPr>
          <w:rFonts w:cs="Arial"/>
          <w:sz w:val="20"/>
        </w:rPr>
      </w:pPr>
      <w:r w:rsidRPr="00E0543A">
        <w:rPr>
          <w:rFonts w:cs="Arial"/>
          <w:sz w:val="20"/>
        </w:rPr>
        <w:br w:type="page"/>
      </w:r>
      <w:r w:rsidR="0002406F" w:rsidRPr="00E0543A">
        <w:rPr>
          <w:rFonts w:cs="Arial"/>
          <w:b/>
          <w:sz w:val="20"/>
        </w:rPr>
        <w:lastRenderedPageBreak/>
        <w:t>Table. S</w:t>
      </w:r>
      <w:r w:rsidR="00DE492E" w:rsidRPr="00E0543A">
        <w:rPr>
          <w:rFonts w:cs="Arial"/>
          <w:b/>
          <w:sz w:val="20"/>
        </w:rPr>
        <w:t>3</w:t>
      </w:r>
      <w:r w:rsidR="0002406F" w:rsidRPr="00E0543A">
        <w:rPr>
          <w:rFonts w:cs="Arial"/>
          <w:b/>
          <w:sz w:val="20"/>
        </w:rPr>
        <w:t>: Enriched proteins identified by quantitative MS</w:t>
      </w:r>
      <w:r w:rsidR="0002406F" w:rsidRPr="00E0543A">
        <w:rPr>
          <w:rFonts w:cs="Arial"/>
          <w:sz w:val="20"/>
        </w:rPr>
        <w:t xml:space="preserve"> </w:t>
      </w:r>
      <w:r w:rsidR="0002406F" w:rsidRPr="00E0543A">
        <w:rPr>
          <w:rFonts w:cs="Arial"/>
          <w:b/>
          <w:sz w:val="20"/>
        </w:rPr>
        <w:t xml:space="preserve">upon 24 h </w:t>
      </w:r>
      <w:r w:rsidR="00E97D9B" w:rsidRPr="00E0543A">
        <w:rPr>
          <w:rFonts w:cs="Arial"/>
          <w:b/>
          <w:sz w:val="20"/>
        </w:rPr>
        <w:t>of 334 treatment (10 µM)</w:t>
      </w:r>
      <w:r w:rsidR="0002406F" w:rsidRPr="00E0543A">
        <w:rPr>
          <w:rFonts w:cs="Arial"/>
          <w:b/>
          <w:sz w:val="20"/>
        </w:rPr>
        <w:t>.</w:t>
      </w:r>
      <w:r w:rsidR="0002406F" w:rsidRPr="00E0543A">
        <w:rPr>
          <w:rFonts w:cs="Arial"/>
          <w:sz w:val="20"/>
        </w:rPr>
        <w:t xml:space="preserve"> </w:t>
      </w:r>
      <w:r w:rsidR="00B644F2" w:rsidRPr="00E0543A">
        <w:rPr>
          <w:rFonts w:cs="Arial"/>
          <w:sz w:val="20"/>
        </w:rPr>
        <w:t xml:space="preserve">Proteins are ranked according to their x-fold change and proteins </w:t>
      </w:r>
      <w:r w:rsidR="00E97D9B" w:rsidRPr="00E0543A">
        <w:rPr>
          <w:rFonts w:cs="Arial"/>
          <w:sz w:val="20"/>
        </w:rPr>
        <w:t>with a</w:t>
      </w:r>
      <w:r w:rsidR="00B644F2" w:rsidRPr="00E0543A">
        <w:rPr>
          <w:rFonts w:cs="Arial"/>
          <w:sz w:val="20"/>
        </w:rPr>
        <w:t xml:space="preserve"> x-fold change ≥ 2 are shown.</w:t>
      </w:r>
    </w:p>
    <w:p w14:paraId="6786F030" w14:textId="0AD7675C" w:rsidR="00E23973" w:rsidRPr="00E0543A" w:rsidRDefault="006D022C" w:rsidP="00E23973">
      <w:pPr>
        <w:suppressLineNumbers/>
        <w:spacing w:line="360" w:lineRule="auto"/>
        <w:jc w:val="both"/>
        <w:rPr>
          <w:rFonts w:cs="Arial"/>
          <w:sz w:val="20"/>
        </w:rPr>
      </w:pPr>
      <w:r w:rsidRPr="00E0543A">
        <w:rPr>
          <w:rFonts w:cs="Arial"/>
          <w:noProof/>
          <w:sz w:val="20"/>
          <w:lang w:val="de-AT" w:eastAsia="de-AT"/>
        </w:rPr>
        <w:drawing>
          <wp:inline distT="0" distB="0" distL="0" distR="0" wp14:anchorId="04A4E667" wp14:editId="0D2BC83F">
            <wp:extent cx="5731510" cy="7908925"/>
            <wp:effectExtent l="0" t="0" r="254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 S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7908925"/>
                    </a:xfrm>
                    <a:prstGeom prst="rect">
                      <a:avLst/>
                    </a:prstGeom>
                  </pic:spPr>
                </pic:pic>
              </a:graphicData>
            </a:graphic>
          </wp:inline>
        </w:drawing>
      </w:r>
    </w:p>
    <w:p w14:paraId="1C55B876" w14:textId="4F60E029" w:rsidR="00E23973" w:rsidRPr="00E0543A" w:rsidRDefault="00E23973" w:rsidP="003B400B">
      <w:pPr>
        <w:suppressLineNumbers/>
        <w:spacing w:after="240" w:line="360" w:lineRule="auto"/>
        <w:jc w:val="both"/>
        <w:rPr>
          <w:rFonts w:cs="Arial"/>
          <w:sz w:val="20"/>
        </w:rPr>
      </w:pPr>
      <w:r w:rsidRPr="00E0543A">
        <w:rPr>
          <w:rFonts w:cs="Arial"/>
          <w:sz w:val="20"/>
        </w:rPr>
        <w:br w:type="page"/>
      </w:r>
      <w:r w:rsidR="003B400B" w:rsidRPr="00E0543A">
        <w:rPr>
          <w:rFonts w:cs="Arial"/>
          <w:b/>
          <w:sz w:val="20"/>
        </w:rPr>
        <w:lastRenderedPageBreak/>
        <w:t>Table. S</w:t>
      </w:r>
      <w:r w:rsidR="00DE492E" w:rsidRPr="00E0543A">
        <w:rPr>
          <w:rFonts w:cs="Arial"/>
          <w:b/>
          <w:sz w:val="20"/>
        </w:rPr>
        <w:t>4</w:t>
      </w:r>
      <w:r w:rsidR="003B400B" w:rsidRPr="00E0543A">
        <w:rPr>
          <w:rFonts w:cs="Arial"/>
          <w:b/>
          <w:sz w:val="20"/>
        </w:rPr>
        <w:t xml:space="preserve">: Depleted proteins identified by quantitative MS upon 48 h of </w:t>
      </w:r>
      <w:r w:rsidR="00E97D9B" w:rsidRPr="00E0543A">
        <w:rPr>
          <w:rFonts w:cs="Arial"/>
          <w:b/>
          <w:sz w:val="20"/>
        </w:rPr>
        <w:t>334 treatment (10 µM)</w:t>
      </w:r>
      <w:r w:rsidR="003B400B" w:rsidRPr="00E0543A">
        <w:rPr>
          <w:rFonts w:cs="Arial"/>
          <w:b/>
          <w:sz w:val="20"/>
        </w:rPr>
        <w:t xml:space="preserve">. </w:t>
      </w:r>
      <w:r w:rsidR="003B400B" w:rsidRPr="00E0543A">
        <w:rPr>
          <w:rFonts w:cs="Arial"/>
          <w:sz w:val="20"/>
        </w:rPr>
        <w:t>The MS-proteomi</w:t>
      </w:r>
      <w:r w:rsidR="00E97D9B" w:rsidRPr="00E0543A">
        <w:rPr>
          <w:rFonts w:cs="Arial"/>
          <w:sz w:val="20"/>
        </w:rPr>
        <w:t xml:space="preserve">cs screen compares 334-treated </w:t>
      </w:r>
      <w:r w:rsidR="003B400B" w:rsidRPr="00E0543A">
        <w:rPr>
          <w:rFonts w:cs="Arial"/>
          <w:sz w:val="20"/>
        </w:rPr>
        <w:t>to DMSO-treated K562 cells.</w:t>
      </w:r>
      <w:r w:rsidR="00261957" w:rsidRPr="00E0543A">
        <w:rPr>
          <w:rFonts w:cs="Arial"/>
          <w:sz w:val="20"/>
        </w:rPr>
        <w:t xml:space="preserve"> </w:t>
      </w:r>
      <w:r w:rsidR="00B644F2" w:rsidRPr="00E0543A">
        <w:rPr>
          <w:rFonts w:cs="Arial"/>
          <w:sz w:val="20"/>
        </w:rPr>
        <w:t>Proteins are ranked according to their x-fold change and proteins</w:t>
      </w:r>
      <w:r w:rsidR="00E97D9B" w:rsidRPr="00E0543A">
        <w:rPr>
          <w:rFonts w:cs="Arial"/>
          <w:sz w:val="20"/>
        </w:rPr>
        <w:t xml:space="preserve"> with a</w:t>
      </w:r>
      <w:r w:rsidR="00B644F2" w:rsidRPr="00E0543A">
        <w:rPr>
          <w:rFonts w:cs="Arial"/>
          <w:sz w:val="20"/>
        </w:rPr>
        <w:t xml:space="preserve"> x-fold change ≤ -2 are shown</w:t>
      </w:r>
      <w:r w:rsidR="00261957" w:rsidRPr="00E0543A">
        <w:rPr>
          <w:rFonts w:cs="Arial"/>
          <w:sz w:val="20"/>
        </w:rPr>
        <w:t>.</w:t>
      </w:r>
      <w:r w:rsidR="003B400B" w:rsidRPr="00E0543A">
        <w:rPr>
          <w:rFonts w:cs="Arial"/>
          <w:sz w:val="20"/>
        </w:rPr>
        <w:t xml:space="preserve"> </w:t>
      </w:r>
      <w:r w:rsidR="000430EA" w:rsidRPr="00E0543A">
        <w:rPr>
          <w:rFonts w:cs="Arial"/>
          <w:i/>
          <w:sz w:val="20"/>
        </w:rPr>
        <w:t xml:space="preserve">Supplementary </w:t>
      </w:r>
      <w:r w:rsidR="003B400B" w:rsidRPr="00E0543A">
        <w:rPr>
          <w:rFonts w:cs="Arial"/>
          <w:i/>
          <w:sz w:val="20"/>
        </w:rPr>
        <w:t>Table S</w:t>
      </w:r>
      <w:r w:rsidR="00DE492E" w:rsidRPr="00E0543A">
        <w:rPr>
          <w:rFonts w:cs="Arial"/>
          <w:i/>
          <w:sz w:val="20"/>
        </w:rPr>
        <w:t>4</w:t>
      </w:r>
      <w:r w:rsidR="003B400B" w:rsidRPr="00E0543A">
        <w:rPr>
          <w:rFonts w:cs="Arial"/>
          <w:sz w:val="20"/>
        </w:rPr>
        <w:t xml:space="preserve"> and </w:t>
      </w:r>
      <w:r w:rsidR="000430EA" w:rsidRPr="00E0543A">
        <w:rPr>
          <w:rFonts w:cs="Arial"/>
          <w:i/>
          <w:sz w:val="20"/>
        </w:rPr>
        <w:t xml:space="preserve">Supplementary </w:t>
      </w:r>
      <w:r w:rsidR="00E97D9B" w:rsidRPr="00E0543A">
        <w:rPr>
          <w:rFonts w:cs="Arial"/>
          <w:i/>
          <w:sz w:val="20"/>
        </w:rPr>
        <w:t>Table </w:t>
      </w:r>
      <w:r w:rsidR="003B400B" w:rsidRPr="00E0543A">
        <w:rPr>
          <w:rFonts w:cs="Arial"/>
          <w:i/>
          <w:sz w:val="20"/>
        </w:rPr>
        <w:t>S</w:t>
      </w:r>
      <w:r w:rsidR="00DE492E" w:rsidRPr="00E0543A">
        <w:rPr>
          <w:rFonts w:cs="Arial"/>
          <w:i/>
          <w:sz w:val="20"/>
        </w:rPr>
        <w:t xml:space="preserve">5 </w:t>
      </w:r>
      <w:r w:rsidR="003B400B" w:rsidRPr="00E0543A">
        <w:rPr>
          <w:rFonts w:cs="Arial"/>
          <w:sz w:val="20"/>
        </w:rPr>
        <w:t>are related to Figure </w:t>
      </w:r>
      <w:r w:rsidR="003B400B" w:rsidRPr="00E0543A">
        <w:rPr>
          <w:rFonts w:cs="Arial"/>
          <w:i/>
          <w:sz w:val="20"/>
        </w:rPr>
        <w:t>Fig. 4b</w:t>
      </w:r>
      <w:r w:rsidR="003B400B" w:rsidRPr="00E0543A">
        <w:rPr>
          <w:rFonts w:cs="Arial"/>
          <w:sz w:val="20"/>
        </w:rPr>
        <w:t xml:space="preserve"> and </w:t>
      </w:r>
      <w:r w:rsidR="00C76211" w:rsidRPr="00E0543A">
        <w:rPr>
          <w:rFonts w:cs="Arial"/>
          <w:sz w:val="20"/>
        </w:rPr>
        <w:t xml:space="preserve">Supplementary </w:t>
      </w:r>
      <w:r w:rsidR="003B400B" w:rsidRPr="00E0543A">
        <w:rPr>
          <w:rFonts w:cs="Arial"/>
          <w:i/>
          <w:sz w:val="20"/>
        </w:rPr>
        <w:t>Fig. S4b</w:t>
      </w:r>
      <w:r w:rsidR="00C76211" w:rsidRPr="00E0543A">
        <w:rPr>
          <w:rFonts w:cs="Arial"/>
          <w:i/>
          <w:sz w:val="20"/>
        </w:rPr>
        <w:t xml:space="preserve"> online</w:t>
      </w:r>
      <w:r w:rsidR="003B400B" w:rsidRPr="00E0543A">
        <w:rPr>
          <w:rFonts w:cs="Arial"/>
          <w:sz w:val="20"/>
        </w:rPr>
        <w:t>.</w:t>
      </w:r>
    </w:p>
    <w:p w14:paraId="18C272E2" w14:textId="65093CAA" w:rsidR="00E23973" w:rsidRPr="00E0543A" w:rsidRDefault="006D022C" w:rsidP="00E23973">
      <w:pPr>
        <w:suppressLineNumbers/>
        <w:spacing w:line="360" w:lineRule="auto"/>
        <w:jc w:val="both"/>
        <w:rPr>
          <w:rFonts w:cs="Arial"/>
          <w:sz w:val="20"/>
        </w:rPr>
      </w:pPr>
      <w:r w:rsidRPr="00E0543A">
        <w:rPr>
          <w:rFonts w:cs="Arial"/>
          <w:noProof/>
          <w:sz w:val="20"/>
          <w:lang w:val="de-AT" w:eastAsia="de-AT"/>
        </w:rPr>
        <w:drawing>
          <wp:inline distT="0" distB="0" distL="0" distR="0" wp14:anchorId="2E693660" wp14:editId="0B2520CC">
            <wp:extent cx="5731510" cy="5314950"/>
            <wp:effectExtent l="0" t="0" r="254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le S4.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314950"/>
                    </a:xfrm>
                    <a:prstGeom prst="rect">
                      <a:avLst/>
                    </a:prstGeom>
                  </pic:spPr>
                </pic:pic>
              </a:graphicData>
            </a:graphic>
          </wp:inline>
        </w:drawing>
      </w:r>
    </w:p>
    <w:p w14:paraId="6518557E" w14:textId="4ED403BC" w:rsidR="00E23973" w:rsidRPr="00E0543A" w:rsidRDefault="00E23973" w:rsidP="0002406F">
      <w:pPr>
        <w:suppressLineNumbers/>
        <w:spacing w:after="240" w:line="360" w:lineRule="auto"/>
        <w:rPr>
          <w:rFonts w:cs="Arial"/>
          <w:sz w:val="20"/>
        </w:rPr>
      </w:pPr>
      <w:r w:rsidRPr="00E0543A">
        <w:rPr>
          <w:rFonts w:cs="Arial"/>
          <w:sz w:val="20"/>
        </w:rPr>
        <w:br w:type="page"/>
      </w:r>
      <w:r w:rsidR="0002406F" w:rsidRPr="00E0543A">
        <w:rPr>
          <w:rFonts w:cs="Arial"/>
          <w:b/>
          <w:sz w:val="20"/>
        </w:rPr>
        <w:lastRenderedPageBreak/>
        <w:t>Table. S</w:t>
      </w:r>
      <w:r w:rsidR="00DE492E" w:rsidRPr="00E0543A">
        <w:rPr>
          <w:rFonts w:cs="Arial"/>
          <w:b/>
          <w:sz w:val="20"/>
        </w:rPr>
        <w:t>5</w:t>
      </w:r>
      <w:r w:rsidR="0002406F" w:rsidRPr="00E0543A">
        <w:rPr>
          <w:rFonts w:cs="Arial"/>
          <w:b/>
          <w:sz w:val="20"/>
        </w:rPr>
        <w:t>: Enriched proteins identified by quantitative MS</w:t>
      </w:r>
      <w:r w:rsidR="0002406F" w:rsidRPr="00E0543A">
        <w:rPr>
          <w:rFonts w:cs="Arial"/>
          <w:sz w:val="20"/>
        </w:rPr>
        <w:t xml:space="preserve"> </w:t>
      </w:r>
      <w:r w:rsidR="0002406F" w:rsidRPr="00E0543A">
        <w:rPr>
          <w:rFonts w:cs="Arial"/>
          <w:b/>
          <w:sz w:val="20"/>
        </w:rPr>
        <w:t xml:space="preserve">upon 48 h </w:t>
      </w:r>
      <w:r w:rsidR="00E97D9B" w:rsidRPr="00E0543A">
        <w:rPr>
          <w:rFonts w:cs="Arial"/>
          <w:b/>
          <w:sz w:val="20"/>
        </w:rPr>
        <w:t>of 334 treatment (10 µM)</w:t>
      </w:r>
      <w:r w:rsidR="0002406F" w:rsidRPr="00E0543A">
        <w:rPr>
          <w:rFonts w:cs="Arial"/>
          <w:b/>
          <w:sz w:val="20"/>
        </w:rPr>
        <w:t>.</w:t>
      </w:r>
      <w:r w:rsidR="00B644F2" w:rsidRPr="00E0543A">
        <w:rPr>
          <w:rFonts w:cs="Arial"/>
          <w:b/>
          <w:sz w:val="20"/>
        </w:rPr>
        <w:t xml:space="preserve"> </w:t>
      </w:r>
      <w:r w:rsidR="00B644F2" w:rsidRPr="00E0543A">
        <w:rPr>
          <w:rFonts w:cs="Arial"/>
          <w:sz w:val="20"/>
        </w:rPr>
        <w:t xml:space="preserve">Proteins are ranked according to their x-fold change and proteins </w:t>
      </w:r>
      <w:r w:rsidR="00E97D9B" w:rsidRPr="00E0543A">
        <w:rPr>
          <w:rFonts w:cs="Arial"/>
          <w:sz w:val="20"/>
        </w:rPr>
        <w:t>with a</w:t>
      </w:r>
      <w:r w:rsidR="00B644F2" w:rsidRPr="00E0543A">
        <w:rPr>
          <w:rFonts w:cs="Arial"/>
          <w:sz w:val="20"/>
        </w:rPr>
        <w:t xml:space="preserve"> x-fold change ≥ 2 are shown.</w:t>
      </w:r>
    </w:p>
    <w:p w14:paraId="64F75EF5" w14:textId="02BCCA38" w:rsidR="00E23973" w:rsidRPr="00E0543A" w:rsidRDefault="006D022C" w:rsidP="00E23973">
      <w:pPr>
        <w:suppressLineNumbers/>
        <w:spacing w:line="360" w:lineRule="auto"/>
        <w:jc w:val="both"/>
        <w:rPr>
          <w:rFonts w:cs="Arial"/>
          <w:sz w:val="20"/>
        </w:rPr>
      </w:pPr>
      <w:r w:rsidRPr="00E0543A">
        <w:rPr>
          <w:rFonts w:cs="Arial"/>
          <w:noProof/>
          <w:sz w:val="20"/>
          <w:lang w:val="de-AT" w:eastAsia="de-AT"/>
        </w:rPr>
        <w:drawing>
          <wp:inline distT="0" distB="0" distL="0" distR="0" wp14:anchorId="16756734" wp14:editId="3C7B5D00">
            <wp:extent cx="5731510" cy="7735570"/>
            <wp:effectExtent l="0" t="0" r="254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le S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7735570"/>
                    </a:xfrm>
                    <a:prstGeom prst="rect">
                      <a:avLst/>
                    </a:prstGeom>
                  </pic:spPr>
                </pic:pic>
              </a:graphicData>
            </a:graphic>
          </wp:inline>
        </w:drawing>
      </w:r>
    </w:p>
    <w:sectPr w:rsidR="00E23973" w:rsidRPr="00E0543A" w:rsidSect="00E23973">
      <w:type w:val="continuous"/>
      <w:pgSz w:w="11906" w:h="16838" w:code="9"/>
      <w:pgMar w:top="1440" w:right="1440" w:bottom="1440" w:left="1440" w:header="432"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D29AC" w14:textId="77777777" w:rsidR="00FA733C" w:rsidRDefault="00FA733C" w:rsidP="004A10BE">
      <w:r>
        <w:separator/>
      </w:r>
    </w:p>
  </w:endnote>
  <w:endnote w:type="continuationSeparator" w:id="0">
    <w:p w14:paraId="3D2FB3D2" w14:textId="77777777" w:rsidR="00FA733C" w:rsidRDefault="00FA733C"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3AFC4" w14:textId="69B498B6" w:rsidR="00BF0BBF" w:rsidRPr="009E5044" w:rsidRDefault="00BF0BBF">
    <w:pPr>
      <w:pStyle w:val="Fuzeile"/>
      <w:jc w:val="center"/>
      <w:rPr>
        <w:rFonts w:cs="Arial"/>
      </w:rPr>
    </w:pPr>
    <w:r w:rsidRPr="009E5044">
      <w:rPr>
        <w:rFonts w:cs="Arial"/>
      </w:rPr>
      <w:fldChar w:fldCharType="begin"/>
    </w:r>
    <w:r w:rsidRPr="009E5044">
      <w:rPr>
        <w:rFonts w:cs="Arial"/>
      </w:rPr>
      <w:instrText>PAGE   \* MERGEFORMAT</w:instrText>
    </w:r>
    <w:r w:rsidRPr="009E5044">
      <w:rPr>
        <w:rFonts w:cs="Arial"/>
      </w:rPr>
      <w:fldChar w:fldCharType="separate"/>
    </w:r>
    <w:r w:rsidR="00E0543A" w:rsidRPr="00E0543A">
      <w:rPr>
        <w:rFonts w:cs="Arial"/>
        <w:noProof/>
        <w:lang w:val="de-DE"/>
      </w:rPr>
      <w:t>15</w:t>
    </w:r>
    <w:r w:rsidRPr="009E5044">
      <w:rPr>
        <w:rFonts w:cs="Arial"/>
      </w:rPr>
      <w:fldChar w:fldCharType="end"/>
    </w:r>
  </w:p>
  <w:p w14:paraId="5CAAE90A" w14:textId="77777777" w:rsidR="00BF0BBF" w:rsidRDefault="00BF0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78991" w14:textId="77777777" w:rsidR="00FA733C" w:rsidRDefault="00FA733C" w:rsidP="004A10BE">
      <w:r>
        <w:separator/>
      </w:r>
    </w:p>
  </w:footnote>
  <w:footnote w:type="continuationSeparator" w:id="0">
    <w:p w14:paraId="05C4629E" w14:textId="77777777" w:rsidR="00FA733C" w:rsidRDefault="00FA733C"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9F432" w14:textId="77777777" w:rsidR="00BF0BBF" w:rsidRDefault="00BF0BBF" w:rsidP="004A10BE">
    <w:pPr>
      <w:pStyle w:val="Kopfzeile"/>
    </w:pPr>
    <w:r>
      <w:tab/>
    </w:r>
  </w:p>
  <w:p w14:paraId="425A0E49" w14:textId="77777777" w:rsidR="00BF0BBF" w:rsidRDefault="00BF0BBF" w:rsidP="004A10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C8C73C"/>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62A6F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34B4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F445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A2CA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95455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1AB2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54B0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AC3C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FA8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B71C4"/>
    <w:multiLevelType w:val="hybridMultilevel"/>
    <w:tmpl w:val="5AC6C0E6"/>
    <w:lvl w:ilvl="0" w:tplc="EAF8B132">
      <w:start w:val="5"/>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9364E5"/>
    <w:multiLevelType w:val="hybridMultilevel"/>
    <w:tmpl w:val="E0D4DC6E"/>
    <w:lvl w:ilvl="0" w:tplc="E26E1AC6">
      <w:start w:val="1"/>
      <w:numFmt w:val="lowerLetter"/>
      <w:lvlText w:val="%1."/>
      <w:lvlJc w:val="left"/>
      <w:pPr>
        <w:ind w:left="501" w:hanging="360"/>
      </w:pPr>
      <w:rPr>
        <w:rFonts w:hint="default"/>
        <w:b/>
        <w:sz w:val="22"/>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EA97065"/>
    <w:multiLevelType w:val="hybridMultilevel"/>
    <w:tmpl w:val="7EEE07BA"/>
    <w:lvl w:ilvl="0" w:tplc="DBDC360C">
      <w:start w:val="1"/>
      <w:numFmt w:val="lowerLetter"/>
      <w:lvlText w:val="%1."/>
      <w:lvlJc w:val="left"/>
      <w:pPr>
        <w:ind w:left="360" w:hanging="360"/>
      </w:pPr>
      <w:rPr>
        <w:rFonts w:hint="default"/>
        <w:b/>
        <w:sz w:val="20"/>
        <w:szCs w:val="2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15:restartNumberingAfterBreak="0">
    <w:nsid w:val="33EA4398"/>
    <w:multiLevelType w:val="hybridMultilevel"/>
    <w:tmpl w:val="DAF0D802"/>
    <w:lvl w:ilvl="0" w:tplc="6A5836B2">
      <w:start w:val="1"/>
      <w:numFmt w:val="lowerLetter"/>
      <w:lvlText w:val="%1."/>
      <w:lvlJc w:val="left"/>
      <w:pPr>
        <w:ind w:left="360" w:hanging="360"/>
      </w:pPr>
      <w:rPr>
        <w:rFonts w:hint="default"/>
        <w:b/>
        <w:color w:val="auto"/>
        <w:sz w:val="22"/>
        <w:szCs w:val="2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351D577F"/>
    <w:multiLevelType w:val="hybridMultilevel"/>
    <w:tmpl w:val="BE42751A"/>
    <w:lvl w:ilvl="0" w:tplc="01289294">
      <w:start w:val="1"/>
      <w:numFmt w:val="lowerLetter"/>
      <w:lvlText w:val="%1."/>
      <w:lvlJc w:val="left"/>
      <w:pPr>
        <w:ind w:left="720" w:hanging="360"/>
      </w:pPr>
      <w:rPr>
        <w:rFonts w:hint="default"/>
        <w:b/>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0400744"/>
    <w:multiLevelType w:val="hybridMultilevel"/>
    <w:tmpl w:val="AF84D836"/>
    <w:lvl w:ilvl="0" w:tplc="D9FAEE90">
      <w:start w:val="1"/>
      <w:numFmt w:val="lowerLetter"/>
      <w:lvlText w:val="%1."/>
      <w:lvlJc w:val="left"/>
      <w:pPr>
        <w:ind w:left="360" w:hanging="360"/>
      </w:pPr>
      <w:rPr>
        <w:rFonts w:hint="default"/>
        <w:b/>
        <w:color w:val="auto"/>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76B18F0"/>
    <w:multiLevelType w:val="hybridMultilevel"/>
    <w:tmpl w:val="7EEE07BA"/>
    <w:lvl w:ilvl="0" w:tplc="DBDC360C">
      <w:start w:val="1"/>
      <w:numFmt w:val="lowerLetter"/>
      <w:lvlText w:val="%1."/>
      <w:lvlJc w:val="left"/>
      <w:pPr>
        <w:ind w:left="720" w:hanging="360"/>
      </w:pPr>
      <w:rPr>
        <w:rFonts w:hint="default"/>
        <w:b/>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EE45089"/>
    <w:multiLevelType w:val="hybridMultilevel"/>
    <w:tmpl w:val="DE528A46"/>
    <w:lvl w:ilvl="0" w:tplc="0E4CBB08">
      <w:start w:val="1"/>
      <w:numFmt w:val="lowerLetter"/>
      <w:lvlText w:val="%1."/>
      <w:lvlJc w:val="left"/>
      <w:pPr>
        <w:ind w:left="1080" w:hanging="360"/>
      </w:pPr>
      <w:rPr>
        <w:rFonts w:hint="default"/>
        <w:b/>
        <w:sz w:val="20"/>
        <w:szCs w:val="20"/>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9" w15:restartNumberingAfterBreak="0">
    <w:nsid w:val="51BD187E"/>
    <w:multiLevelType w:val="hybridMultilevel"/>
    <w:tmpl w:val="CA1E9E46"/>
    <w:lvl w:ilvl="0" w:tplc="7D06C99C">
      <w:start w:val="1"/>
      <w:numFmt w:val="lowerLetter"/>
      <w:lvlText w:val="%1."/>
      <w:lvlJc w:val="left"/>
      <w:pPr>
        <w:ind w:left="720" w:hanging="360"/>
      </w:pPr>
      <w:rPr>
        <w:rFonts w:hint="default"/>
        <w:b/>
        <w:sz w:val="22"/>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6B254870"/>
    <w:multiLevelType w:val="hybridMultilevel"/>
    <w:tmpl w:val="7EF05E98"/>
    <w:lvl w:ilvl="0" w:tplc="41782612">
      <w:start w:val="1"/>
      <w:numFmt w:val="lowerLetter"/>
      <w:lvlText w:val="%1."/>
      <w:lvlJc w:val="left"/>
      <w:pPr>
        <w:ind w:left="720" w:hanging="360"/>
      </w:pPr>
      <w:rPr>
        <w:rFonts w:ascii="Arial" w:hAnsi="Arial" w:cs="Arial" w:hint="default"/>
        <w:b/>
        <w:color w:val="auto"/>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BA13D3F"/>
    <w:multiLevelType w:val="hybridMultilevel"/>
    <w:tmpl w:val="AEB6FF28"/>
    <w:lvl w:ilvl="0" w:tplc="6DD4D7CA">
      <w:start w:val="1"/>
      <w:numFmt w:val="lowerLetter"/>
      <w:lvlText w:val="%1."/>
      <w:lvlJc w:val="left"/>
      <w:pPr>
        <w:ind w:left="360" w:hanging="360"/>
      </w:pPr>
      <w:rPr>
        <w:rFonts w:hint="default"/>
        <w:b/>
        <w:sz w:val="22"/>
        <w:szCs w:val="2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2" w15:restartNumberingAfterBreak="0">
    <w:nsid w:val="733D3CEE"/>
    <w:multiLevelType w:val="hybridMultilevel"/>
    <w:tmpl w:val="0700C846"/>
    <w:lvl w:ilvl="0" w:tplc="6E9E381C">
      <w:start w:val="33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5B564A1"/>
    <w:multiLevelType w:val="hybridMultilevel"/>
    <w:tmpl w:val="3EEEB0D2"/>
    <w:lvl w:ilvl="0" w:tplc="F2F666F0">
      <w:start w:val="1"/>
      <w:numFmt w:val="lowerLetter"/>
      <w:lvlText w:val="%1."/>
      <w:lvlJc w:val="left"/>
      <w:pPr>
        <w:ind w:left="720" w:hanging="360"/>
      </w:pPr>
      <w:rPr>
        <w:rFonts w:hint="default"/>
        <w:b/>
        <w:sz w:val="22"/>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7AF444AA"/>
    <w:multiLevelType w:val="hybridMultilevel"/>
    <w:tmpl w:val="4394FCEA"/>
    <w:lvl w:ilvl="0" w:tplc="5CC8E1A4">
      <w:start w:val="1"/>
      <w:numFmt w:val="lowerLetter"/>
      <w:lvlText w:val="%1."/>
      <w:lvlJc w:val="left"/>
      <w:pPr>
        <w:ind w:left="720" w:hanging="360"/>
      </w:pPr>
      <w:rPr>
        <w:rFonts w:hint="default"/>
        <w:b/>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BCF16D6"/>
    <w:multiLevelType w:val="hybridMultilevel"/>
    <w:tmpl w:val="062E7C24"/>
    <w:lvl w:ilvl="0" w:tplc="0E948CD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BA2E44"/>
    <w:multiLevelType w:val="hybridMultilevel"/>
    <w:tmpl w:val="35EAA3C8"/>
    <w:lvl w:ilvl="0" w:tplc="BD503F58">
      <w:start w:val="1"/>
      <w:numFmt w:val="lowerLetter"/>
      <w:lvlText w:val="%1."/>
      <w:lvlJc w:val="left"/>
      <w:pPr>
        <w:ind w:left="720" w:hanging="360"/>
      </w:pPr>
      <w:rPr>
        <w:rFonts w:hint="default"/>
        <w:b/>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9"/>
  </w:num>
  <w:num w:numId="14">
    <w:abstractNumId w:val="23"/>
  </w:num>
  <w:num w:numId="15">
    <w:abstractNumId w:val="26"/>
  </w:num>
  <w:num w:numId="16">
    <w:abstractNumId w:val="12"/>
  </w:num>
  <w:num w:numId="17">
    <w:abstractNumId w:val="14"/>
  </w:num>
  <w:num w:numId="18">
    <w:abstractNumId w:val="17"/>
  </w:num>
  <w:num w:numId="19">
    <w:abstractNumId w:val="15"/>
  </w:num>
  <w:num w:numId="20">
    <w:abstractNumId w:val="22"/>
  </w:num>
  <w:num w:numId="21">
    <w:abstractNumId w:val="18"/>
  </w:num>
  <w:num w:numId="22">
    <w:abstractNumId w:val="24"/>
  </w:num>
  <w:num w:numId="23">
    <w:abstractNumId w:val="16"/>
  </w:num>
  <w:num w:numId="24">
    <w:abstractNumId w:val="10"/>
  </w:num>
  <w:num w:numId="25">
    <w:abstractNumId w:val="20"/>
  </w:num>
  <w:num w:numId="26">
    <w:abstractNumId w:val="2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cientific Report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z9rw9f799t24erdrnxere4t5p00f2es9fa&quot;&gt;334 Endnote library&lt;record-ids&gt;&lt;item&gt;2&lt;/item&gt;&lt;item&gt;3&lt;/item&gt;&lt;item&gt;4&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3&lt;/item&gt;&lt;item&gt;35&lt;/item&gt;&lt;item&gt;36&lt;/item&gt;&lt;item&gt;37&lt;/item&gt;&lt;item&gt;38&lt;/item&gt;&lt;item&gt;39&lt;/item&gt;&lt;item&gt;40&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6&lt;/item&gt;&lt;item&gt;68&lt;/item&gt;&lt;item&gt;69&lt;/item&gt;&lt;/record-ids&gt;&lt;/item&gt;&lt;/Libraries&gt;"/>
  </w:docVars>
  <w:rsids>
    <w:rsidRoot w:val="0064261D"/>
    <w:rsid w:val="000019FB"/>
    <w:rsid w:val="000032DF"/>
    <w:rsid w:val="000100DC"/>
    <w:rsid w:val="0001049A"/>
    <w:rsid w:val="00010C97"/>
    <w:rsid w:val="00013B31"/>
    <w:rsid w:val="00015DD0"/>
    <w:rsid w:val="00017180"/>
    <w:rsid w:val="00020463"/>
    <w:rsid w:val="00023FC6"/>
    <w:rsid w:val="0002406F"/>
    <w:rsid w:val="0002700C"/>
    <w:rsid w:val="00030C74"/>
    <w:rsid w:val="00035AC3"/>
    <w:rsid w:val="00037E64"/>
    <w:rsid w:val="0004011E"/>
    <w:rsid w:val="0004112B"/>
    <w:rsid w:val="00041748"/>
    <w:rsid w:val="000430EA"/>
    <w:rsid w:val="00044258"/>
    <w:rsid w:val="0005127D"/>
    <w:rsid w:val="0005157C"/>
    <w:rsid w:val="000519FA"/>
    <w:rsid w:val="00053DA7"/>
    <w:rsid w:val="00054ED2"/>
    <w:rsid w:val="00054FEC"/>
    <w:rsid w:val="00055950"/>
    <w:rsid w:val="00063BCE"/>
    <w:rsid w:val="00067451"/>
    <w:rsid w:val="000703AC"/>
    <w:rsid w:val="00073830"/>
    <w:rsid w:val="000764B1"/>
    <w:rsid w:val="000766DC"/>
    <w:rsid w:val="000816EA"/>
    <w:rsid w:val="00082BBB"/>
    <w:rsid w:val="00085023"/>
    <w:rsid w:val="00085A6D"/>
    <w:rsid w:val="0008757E"/>
    <w:rsid w:val="00094836"/>
    <w:rsid w:val="00094C0F"/>
    <w:rsid w:val="000952F6"/>
    <w:rsid w:val="00095FDE"/>
    <w:rsid w:val="000A4419"/>
    <w:rsid w:val="000A4DA5"/>
    <w:rsid w:val="000A71A5"/>
    <w:rsid w:val="000B1BC9"/>
    <w:rsid w:val="000B4189"/>
    <w:rsid w:val="000B5415"/>
    <w:rsid w:val="000C239B"/>
    <w:rsid w:val="000C283E"/>
    <w:rsid w:val="000C4012"/>
    <w:rsid w:val="000C511F"/>
    <w:rsid w:val="000D555F"/>
    <w:rsid w:val="000D5AE6"/>
    <w:rsid w:val="000D6785"/>
    <w:rsid w:val="000D7249"/>
    <w:rsid w:val="000E11E1"/>
    <w:rsid w:val="000E3788"/>
    <w:rsid w:val="000E3F2B"/>
    <w:rsid w:val="000E7238"/>
    <w:rsid w:val="000F4234"/>
    <w:rsid w:val="000F4C8D"/>
    <w:rsid w:val="00104676"/>
    <w:rsid w:val="00110FF4"/>
    <w:rsid w:val="0011151F"/>
    <w:rsid w:val="00112F9C"/>
    <w:rsid w:val="00113D58"/>
    <w:rsid w:val="001157FC"/>
    <w:rsid w:val="00115936"/>
    <w:rsid w:val="00116921"/>
    <w:rsid w:val="001176E2"/>
    <w:rsid w:val="0013111C"/>
    <w:rsid w:val="001353D7"/>
    <w:rsid w:val="001363E7"/>
    <w:rsid w:val="00137694"/>
    <w:rsid w:val="00140C89"/>
    <w:rsid w:val="00146594"/>
    <w:rsid w:val="00151938"/>
    <w:rsid w:val="0015684F"/>
    <w:rsid w:val="00164236"/>
    <w:rsid w:val="0016509F"/>
    <w:rsid w:val="00166070"/>
    <w:rsid w:val="001667C2"/>
    <w:rsid w:val="00171C0E"/>
    <w:rsid w:val="00171E1D"/>
    <w:rsid w:val="00173281"/>
    <w:rsid w:val="00174587"/>
    <w:rsid w:val="00174748"/>
    <w:rsid w:val="00176786"/>
    <w:rsid w:val="00183137"/>
    <w:rsid w:val="00193A40"/>
    <w:rsid w:val="001A1BC4"/>
    <w:rsid w:val="001A320E"/>
    <w:rsid w:val="001A58BC"/>
    <w:rsid w:val="001A76A8"/>
    <w:rsid w:val="001A7EFB"/>
    <w:rsid w:val="001B561A"/>
    <w:rsid w:val="001B5F28"/>
    <w:rsid w:val="001B65BC"/>
    <w:rsid w:val="001C0729"/>
    <w:rsid w:val="001C106E"/>
    <w:rsid w:val="001C166E"/>
    <w:rsid w:val="001C3DAA"/>
    <w:rsid w:val="001C4886"/>
    <w:rsid w:val="001C57F1"/>
    <w:rsid w:val="001C6F0E"/>
    <w:rsid w:val="001C7AAD"/>
    <w:rsid w:val="001C7FAD"/>
    <w:rsid w:val="001D0BE4"/>
    <w:rsid w:val="001D4222"/>
    <w:rsid w:val="001D579D"/>
    <w:rsid w:val="001E2032"/>
    <w:rsid w:val="001E2386"/>
    <w:rsid w:val="001F052F"/>
    <w:rsid w:val="001F163C"/>
    <w:rsid w:val="001F1DAF"/>
    <w:rsid w:val="001F5D74"/>
    <w:rsid w:val="001F6EFF"/>
    <w:rsid w:val="00200C0E"/>
    <w:rsid w:val="00201685"/>
    <w:rsid w:val="002067F9"/>
    <w:rsid w:val="00210A14"/>
    <w:rsid w:val="00210D6A"/>
    <w:rsid w:val="00211BBA"/>
    <w:rsid w:val="00214512"/>
    <w:rsid w:val="002145D3"/>
    <w:rsid w:val="00224013"/>
    <w:rsid w:val="00224568"/>
    <w:rsid w:val="00233865"/>
    <w:rsid w:val="00240A26"/>
    <w:rsid w:val="00243849"/>
    <w:rsid w:val="002565F6"/>
    <w:rsid w:val="00261957"/>
    <w:rsid w:val="00270C2A"/>
    <w:rsid w:val="002718BD"/>
    <w:rsid w:val="00286EEF"/>
    <w:rsid w:val="0029477C"/>
    <w:rsid w:val="00295032"/>
    <w:rsid w:val="002A508E"/>
    <w:rsid w:val="002A62B8"/>
    <w:rsid w:val="002A6543"/>
    <w:rsid w:val="002A7DC5"/>
    <w:rsid w:val="002B6EBD"/>
    <w:rsid w:val="002B7D2B"/>
    <w:rsid w:val="002C3418"/>
    <w:rsid w:val="002D29ED"/>
    <w:rsid w:val="002D3216"/>
    <w:rsid w:val="002D3548"/>
    <w:rsid w:val="002D50EF"/>
    <w:rsid w:val="002D65BD"/>
    <w:rsid w:val="002E51E9"/>
    <w:rsid w:val="002E65AB"/>
    <w:rsid w:val="002F0089"/>
    <w:rsid w:val="002F02B9"/>
    <w:rsid w:val="002F47FC"/>
    <w:rsid w:val="002F7641"/>
    <w:rsid w:val="0030001A"/>
    <w:rsid w:val="0030133F"/>
    <w:rsid w:val="0030345C"/>
    <w:rsid w:val="0030652A"/>
    <w:rsid w:val="00306ED4"/>
    <w:rsid w:val="00306F07"/>
    <w:rsid w:val="0031215C"/>
    <w:rsid w:val="0031317B"/>
    <w:rsid w:val="0031359D"/>
    <w:rsid w:val="00316732"/>
    <w:rsid w:val="00317BB0"/>
    <w:rsid w:val="00321163"/>
    <w:rsid w:val="00323D49"/>
    <w:rsid w:val="003302CD"/>
    <w:rsid w:val="00330F9D"/>
    <w:rsid w:val="00331517"/>
    <w:rsid w:val="00332495"/>
    <w:rsid w:val="003325D4"/>
    <w:rsid w:val="00333B83"/>
    <w:rsid w:val="00336E6A"/>
    <w:rsid w:val="00343097"/>
    <w:rsid w:val="0034431D"/>
    <w:rsid w:val="00353A49"/>
    <w:rsid w:val="003545F5"/>
    <w:rsid w:val="00354CBA"/>
    <w:rsid w:val="00355140"/>
    <w:rsid w:val="0035523B"/>
    <w:rsid w:val="00355780"/>
    <w:rsid w:val="00360715"/>
    <w:rsid w:val="003654E9"/>
    <w:rsid w:val="0036737C"/>
    <w:rsid w:val="00372488"/>
    <w:rsid w:val="0037567C"/>
    <w:rsid w:val="00376FB8"/>
    <w:rsid w:val="003844D6"/>
    <w:rsid w:val="00390557"/>
    <w:rsid w:val="0039334D"/>
    <w:rsid w:val="0039370A"/>
    <w:rsid w:val="003943A0"/>
    <w:rsid w:val="003B1B11"/>
    <w:rsid w:val="003B2D20"/>
    <w:rsid w:val="003B400B"/>
    <w:rsid w:val="003B61B6"/>
    <w:rsid w:val="003B6C31"/>
    <w:rsid w:val="003B7D8F"/>
    <w:rsid w:val="003C0A3C"/>
    <w:rsid w:val="003C23BB"/>
    <w:rsid w:val="003C2F74"/>
    <w:rsid w:val="003C42B9"/>
    <w:rsid w:val="003C4303"/>
    <w:rsid w:val="003C733C"/>
    <w:rsid w:val="003D019C"/>
    <w:rsid w:val="003D7C0F"/>
    <w:rsid w:val="003E0BA6"/>
    <w:rsid w:val="003E2061"/>
    <w:rsid w:val="003E2D40"/>
    <w:rsid w:val="003E3E80"/>
    <w:rsid w:val="003E4F18"/>
    <w:rsid w:val="003F44E9"/>
    <w:rsid w:val="003F612A"/>
    <w:rsid w:val="004024DB"/>
    <w:rsid w:val="00414A0F"/>
    <w:rsid w:val="00420D61"/>
    <w:rsid w:val="00426568"/>
    <w:rsid w:val="00427067"/>
    <w:rsid w:val="004408A9"/>
    <w:rsid w:val="004442BF"/>
    <w:rsid w:val="0044742A"/>
    <w:rsid w:val="0044760D"/>
    <w:rsid w:val="00452D63"/>
    <w:rsid w:val="00455C1D"/>
    <w:rsid w:val="004576B7"/>
    <w:rsid w:val="00460ABB"/>
    <w:rsid w:val="0046146E"/>
    <w:rsid w:val="00462A88"/>
    <w:rsid w:val="00466EFB"/>
    <w:rsid w:val="004719D8"/>
    <w:rsid w:val="00472B40"/>
    <w:rsid w:val="0047386F"/>
    <w:rsid w:val="0047730B"/>
    <w:rsid w:val="00480A7C"/>
    <w:rsid w:val="00480C49"/>
    <w:rsid w:val="00480CA7"/>
    <w:rsid w:val="00482079"/>
    <w:rsid w:val="0048256E"/>
    <w:rsid w:val="004860E5"/>
    <w:rsid w:val="0049530F"/>
    <w:rsid w:val="004A10BE"/>
    <w:rsid w:val="004A436B"/>
    <w:rsid w:val="004A48B5"/>
    <w:rsid w:val="004B181D"/>
    <w:rsid w:val="004B6B0D"/>
    <w:rsid w:val="004C4471"/>
    <w:rsid w:val="004C7C74"/>
    <w:rsid w:val="004C7DD4"/>
    <w:rsid w:val="004D1BF2"/>
    <w:rsid w:val="004D43D7"/>
    <w:rsid w:val="004D4682"/>
    <w:rsid w:val="004D64AC"/>
    <w:rsid w:val="004D7E52"/>
    <w:rsid w:val="004E1844"/>
    <w:rsid w:val="004E2D0F"/>
    <w:rsid w:val="004E2F5C"/>
    <w:rsid w:val="004E3DB5"/>
    <w:rsid w:val="004E533F"/>
    <w:rsid w:val="004E73BC"/>
    <w:rsid w:val="004F1DE3"/>
    <w:rsid w:val="004F2D0B"/>
    <w:rsid w:val="004F3264"/>
    <w:rsid w:val="004F3C9F"/>
    <w:rsid w:val="004F4DDD"/>
    <w:rsid w:val="004F6414"/>
    <w:rsid w:val="00500219"/>
    <w:rsid w:val="00500BF4"/>
    <w:rsid w:val="00501EF7"/>
    <w:rsid w:val="005038E6"/>
    <w:rsid w:val="00503A68"/>
    <w:rsid w:val="00503C0D"/>
    <w:rsid w:val="005044AD"/>
    <w:rsid w:val="005058E3"/>
    <w:rsid w:val="00507B79"/>
    <w:rsid w:val="005118C3"/>
    <w:rsid w:val="00511E96"/>
    <w:rsid w:val="00516352"/>
    <w:rsid w:val="005235BE"/>
    <w:rsid w:val="00524FF4"/>
    <w:rsid w:val="0052623B"/>
    <w:rsid w:val="00532E1E"/>
    <w:rsid w:val="00533B43"/>
    <w:rsid w:val="005341F3"/>
    <w:rsid w:val="00535CFB"/>
    <w:rsid w:val="00540789"/>
    <w:rsid w:val="00542BDD"/>
    <w:rsid w:val="00542BF9"/>
    <w:rsid w:val="005436EF"/>
    <w:rsid w:val="00544AEF"/>
    <w:rsid w:val="00545F41"/>
    <w:rsid w:val="00546A0A"/>
    <w:rsid w:val="00546C76"/>
    <w:rsid w:val="0054719F"/>
    <w:rsid w:val="00550067"/>
    <w:rsid w:val="00552069"/>
    <w:rsid w:val="0055259F"/>
    <w:rsid w:val="00552926"/>
    <w:rsid w:val="00552BD1"/>
    <w:rsid w:val="00552CD9"/>
    <w:rsid w:val="00564E3B"/>
    <w:rsid w:val="00565A97"/>
    <w:rsid w:val="00565EF5"/>
    <w:rsid w:val="00565F60"/>
    <w:rsid w:val="00567139"/>
    <w:rsid w:val="00567620"/>
    <w:rsid w:val="00567B1C"/>
    <w:rsid w:val="00570C24"/>
    <w:rsid w:val="005723E6"/>
    <w:rsid w:val="00577C4A"/>
    <w:rsid w:val="00583FBD"/>
    <w:rsid w:val="00585631"/>
    <w:rsid w:val="00586D2D"/>
    <w:rsid w:val="00586F49"/>
    <w:rsid w:val="00587EEC"/>
    <w:rsid w:val="00590472"/>
    <w:rsid w:val="0059743D"/>
    <w:rsid w:val="005A35BF"/>
    <w:rsid w:val="005A6F72"/>
    <w:rsid w:val="005B19AC"/>
    <w:rsid w:val="005B312E"/>
    <w:rsid w:val="005B6C90"/>
    <w:rsid w:val="005C0AED"/>
    <w:rsid w:val="005C3D91"/>
    <w:rsid w:val="005C3E3F"/>
    <w:rsid w:val="005C4A3F"/>
    <w:rsid w:val="005C6B4D"/>
    <w:rsid w:val="005D1856"/>
    <w:rsid w:val="005D45B1"/>
    <w:rsid w:val="005D6D73"/>
    <w:rsid w:val="005D6E38"/>
    <w:rsid w:val="005E1CA2"/>
    <w:rsid w:val="005E225A"/>
    <w:rsid w:val="005E4131"/>
    <w:rsid w:val="005E58E7"/>
    <w:rsid w:val="005F0591"/>
    <w:rsid w:val="005F1CFD"/>
    <w:rsid w:val="005F76A6"/>
    <w:rsid w:val="00602AB7"/>
    <w:rsid w:val="00603618"/>
    <w:rsid w:val="00610787"/>
    <w:rsid w:val="0061095B"/>
    <w:rsid w:val="00612C13"/>
    <w:rsid w:val="006152B5"/>
    <w:rsid w:val="006157F9"/>
    <w:rsid w:val="00617591"/>
    <w:rsid w:val="00622940"/>
    <w:rsid w:val="006230A1"/>
    <w:rsid w:val="006309E4"/>
    <w:rsid w:val="0063576D"/>
    <w:rsid w:val="00635E28"/>
    <w:rsid w:val="00640388"/>
    <w:rsid w:val="00640A48"/>
    <w:rsid w:val="00640CE1"/>
    <w:rsid w:val="0064111C"/>
    <w:rsid w:val="0064261D"/>
    <w:rsid w:val="006531D0"/>
    <w:rsid w:val="00656F05"/>
    <w:rsid w:val="006577D5"/>
    <w:rsid w:val="00657FC8"/>
    <w:rsid w:val="00660EBC"/>
    <w:rsid w:val="00660F26"/>
    <w:rsid w:val="006616DF"/>
    <w:rsid w:val="0066325B"/>
    <w:rsid w:val="00672976"/>
    <w:rsid w:val="006735CA"/>
    <w:rsid w:val="00677D94"/>
    <w:rsid w:val="006802E4"/>
    <w:rsid w:val="00683D20"/>
    <w:rsid w:val="00684B95"/>
    <w:rsid w:val="00685E20"/>
    <w:rsid w:val="0069064A"/>
    <w:rsid w:val="00696C98"/>
    <w:rsid w:val="006A4C52"/>
    <w:rsid w:val="006B223C"/>
    <w:rsid w:val="006B7F70"/>
    <w:rsid w:val="006C187D"/>
    <w:rsid w:val="006C7182"/>
    <w:rsid w:val="006D01D9"/>
    <w:rsid w:val="006D01E8"/>
    <w:rsid w:val="006D022C"/>
    <w:rsid w:val="006D1103"/>
    <w:rsid w:val="006D1A4F"/>
    <w:rsid w:val="006E205D"/>
    <w:rsid w:val="006E2F4B"/>
    <w:rsid w:val="006E30D9"/>
    <w:rsid w:val="006E34F8"/>
    <w:rsid w:val="006E43B0"/>
    <w:rsid w:val="006E479F"/>
    <w:rsid w:val="006F07B8"/>
    <w:rsid w:val="006F5E43"/>
    <w:rsid w:val="00703393"/>
    <w:rsid w:val="00703FC4"/>
    <w:rsid w:val="00706C9E"/>
    <w:rsid w:val="00707DC1"/>
    <w:rsid w:val="007123D8"/>
    <w:rsid w:val="00720138"/>
    <w:rsid w:val="00721C59"/>
    <w:rsid w:val="00725065"/>
    <w:rsid w:val="00726552"/>
    <w:rsid w:val="00726EA1"/>
    <w:rsid w:val="007306B7"/>
    <w:rsid w:val="00730EE4"/>
    <w:rsid w:val="00733887"/>
    <w:rsid w:val="00745768"/>
    <w:rsid w:val="00746BF5"/>
    <w:rsid w:val="00746ECB"/>
    <w:rsid w:val="00747526"/>
    <w:rsid w:val="00750973"/>
    <w:rsid w:val="00751EA3"/>
    <w:rsid w:val="0075364B"/>
    <w:rsid w:val="00753AC9"/>
    <w:rsid w:val="00754478"/>
    <w:rsid w:val="0075491B"/>
    <w:rsid w:val="00754F7C"/>
    <w:rsid w:val="00756F87"/>
    <w:rsid w:val="0075761D"/>
    <w:rsid w:val="007624D8"/>
    <w:rsid w:val="007658AE"/>
    <w:rsid w:val="007667A4"/>
    <w:rsid w:val="00777404"/>
    <w:rsid w:val="007821CA"/>
    <w:rsid w:val="00790178"/>
    <w:rsid w:val="007917C8"/>
    <w:rsid w:val="007929CE"/>
    <w:rsid w:val="00792A37"/>
    <w:rsid w:val="007A1F05"/>
    <w:rsid w:val="007A35C4"/>
    <w:rsid w:val="007A64CD"/>
    <w:rsid w:val="007B4C65"/>
    <w:rsid w:val="007C0F13"/>
    <w:rsid w:val="007C2306"/>
    <w:rsid w:val="007C3E95"/>
    <w:rsid w:val="007C4C7F"/>
    <w:rsid w:val="007C54E6"/>
    <w:rsid w:val="007C70A5"/>
    <w:rsid w:val="007D38CD"/>
    <w:rsid w:val="007D5E74"/>
    <w:rsid w:val="007E504A"/>
    <w:rsid w:val="007F06D0"/>
    <w:rsid w:val="007F1DB6"/>
    <w:rsid w:val="007F2EF5"/>
    <w:rsid w:val="00806569"/>
    <w:rsid w:val="00806F9B"/>
    <w:rsid w:val="00812C34"/>
    <w:rsid w:val="00813736"/>
    <w:rsid w:val="008205DF"/>
    <w:rsid w:val="008225E6"/>
    <w:rsid w:val="00822701"/>
    <w:rsid w:val="00827A29"/>
    <w:rsid w:val="00827FCC"/>
    <w:rsid w:val="0083172D"/>
    <w:rsid w:val="008326D1"/>
    <w:rsid w:val="0083306E"/>
    <w:rsid w:val="0083733A"/>
    <w:rsid w:val="00841539"/>
    <w:rsid w:val="00843A8F"/>
    <w:rsid w:val="0084540A"/>
    <w:rsid w:val="008501FE"/>
    <w:rsid w:val="0085188A"/>
    <w:rsid w:val="008518B3"/>
    <w:rsid w:val="008546F0"/>
    <w:rsid w:val="00856B3C"/>
    <w:rsid w:val="008573F1"/>
    <w:rsid w:val="008603CA"/>
    <w:rsid w:val="008636A6"/>
    <w:rsid w:val="008644DC"/>
    <w:rsid w:val="00867550"/>
    <w:rsid w:val="00867565"/>
    <w:rsid w:val="008713A2"/>
    <w:rsid w:val="00871854"/>
    <w:rsid w:val="00876FC1"/>
    <w:rsid w:val="00881288"/>
    <w:rsid w:val="008814F5"/>
    <w:rsid w:val="008852F9"/>
    <w:rsid w:val="00890AD5"/>
    <w:rsid w:val="0089413B"/>
    <w:rsid w:val="00894568"/>
    <w:rsid w:val="008A3673"/>
    <w:rsid w:val="008A42C1"/>
    <w:rsid w:val="008A72D3"/>
    <w:rsid w:val="008B1E38"/>
    <w:rsid w:val="008B2E2D"/>
    <w:rsid w:val="008B30DF"/>
    <w:rsid w:val="008B3B60"/>
    <w:rsid w:val="008B4165"/>
    <w:rsid w:val="008B4D0F"/>
    <w:rsid w:val="008B6038"/>
    <w:rsid w:val="008B6AA7"/>
    <w:rsid w:val="008C120F"/>
    <w:rsid w:val="008C4838"/>
    <w:rsid w:val="008C4E29"/>
    <w:rsid w:val="008D0EA5"/>
    <w:rsid w:val="008D4578"/>
    <w:rsid w:val="008D6E28"/>
    <w:rsid w:val="008D712E"/>
    <w:rsid w:val="008D785F"/>
    <w:rsid w:val="008E070B"/>
    <w:rsid w:val="008E0E77"/>
    <w:rsid w:val="008E2AC5"/>
    <w:rsid w:val="008E34F7"/>
    <w:rsid w:val="008E4A25"/>
    <w:rsid w:val="008F21DC"/>
    <w:rsid w:val="008F356A"/>
    <w:rsid w:val="008F3691"/>
    <w:rsid w:val="008F75EC"/>
    <w:rsid w:val="00901AB8"/>
    <w:rsid w:val="00903342"/>
    <w:rsid w:val="00903D13"/>
    <w:rsid w:val="00904103"/>
    <w:rsid w:val="0090463C"/>
    <w:rsid w:val="009058CC"/>
    <w:rsid w:val="009064A0"/>
    <w:rsid w:val="009122D3"/>
    <w:rsid w:val="00914403"/>
    <w:rsid w:val="0091676A"/>
    <w:rsid w:val="00920A52"/>
    <w:rsid w:val="0092204C"/>
    <w:rsid w:val="00922C3A"/>
    <w:rsid w:val="00935F5E"/>
    <w:rsid w:val="009366CE"/>
    <w:rsid w:val="009368D6"/>
    <w:rsid w:val="00937854"/>
    <w:rsid w:val="00937F2C"/>
    <w:rsid w:val="00937FB2"/>
    <w:rsid w:val="00940C6C"/>
    <w:rsid w:val="00940DCE"/>
    <w:rsid w:val="00943D39"/>
    <w:rsid w:val="009442C3"/>
    <w:rsid w:val="00947C75"/>
    <w:rsid w:val="00950212"/>
    <w:rsid w:val="009543FA"/>
    <w:rsid w:val="009545F6"/>
    <w:rsid w:val="00955D94"/>
    <w:rsid w:val="00960628"/>
    <w:rsid w:val="009643B3"/>
    <w:rsid w:val="00967A06"/>
    <w:rsid w:val="00967E7C"/>
    <w:rsid w:val="00970834"/>
    <w:rsid w:val="00971AD8"/>
    <w:rsid w:val="009720FE"/>
    <w:rsid w:val="009732E4"/>
    <w:rsid w:val="0097753F"/>
    <w:rsid w:val="00977A5D"/>
    <w:rsid w:val="00984DB3"/>
    <w:rsid w:val="009853AA"/>
    <w:rsid w:val="009870A9"/>
    <w:rsid w:val="009907E3"/>
    <w:rsid w:val="009910D8"/>
    <w:rsid w:val="009A0B44"/>
    <w:rsid w:val="009A0EAB"/>
    <w:rsid w:val="009A57A7"/>
    <w:rsid w:val="009A6573"/>
    <w:rsid w:val="009B1767"/>
    <w:rsid w:val="009B73E7"/>
    <w:rsid w:val="009C0675"/>
    <w:rsid w:val="009C1A83"/>
    <w:rsid w:val="009C5CD5"/>
    <w:rsid w:val="009D0121"/>
    <w:rsid w:val="009D571C"/>
    <w:rsid w:val="009D6B6B"/>
    <w:rsid w:val="009E087F"/>
    <w:rsid w:val="009E21FC"/>
    <w:rsid w:val="009E2D70"/>
    <w:rsid w:val="009E4057"/>
    <w:rsid w:val="009E45CA"/>
    <w:rsid w:val="009E4804"/>
    <w:rsid w:val="009E5044"/>
    <w:rsid w:val="009E726E"/>
    <w:rsid w:val="009F04F8"/>
    <w:rsid w:val="009F6A1E"/>
    <w:rsid w:val="009F7FFD"/>
    <w:rsid w:val="00A024A8"/>
    <w:rsid w:val="00A027DB"/>
    <w:rsid w:val="00A13782"/>
    <w:rsid w:val="00A22175"/>
    <w:rsid w:val="00A235D9"/>
    <w:rsid w:val="00A23D2F"/>
    <w:rsid w:val="00A26167"/>
    <w:rsid w:val="00A30B08"/>
    <w:rsid w:val="00A31D12"/>
    <w:rsid w:val="00A33B41"/>
    <w:rsid w:val="00A34B17"/>
    <w:rsid w:val="00A3760E"/>
    <w:rsid w:val="00A40364"/>
    <w:rsid w:val="00A41661"/>
    <w:rsid w:val="00A45921"/>
    <w:rsid w:val="00A4704B"/>
    <w:rsid w:val="00A4732C"/>
    <w:rsid w:val="00A5175D"/>
    <w:rsid w:val="00A51C6D"/>
    <w:rsid w:val="00A5617E"/>
    <w:rsid w:val="00A57324"/>
    <w:rsid w:val="00A61DDB"/>
    <w:rsid w:val="00A62C57"/>
    <w:rsid w:val="00A6533F"/>
    <w:rsid w:val="00A710C6"/>
    <w:rsid w:val="00A7299E"/>
    <w:rsid w:val="00A777AA"/>
    <w:rsid w:val="00A801AD"/>
    <w:rsid w:val="00A84692"/>
    <w:rsid w:val="00A85B7C"/>
    <w:rsid w:val="00A85D05"/>
    <w:rsid w:val="00A93013"/>
    <w:rsid w:val="00AA10A0"/>
    <w:rsid w:val="00AA29FA"/>
    <w:rsid w:val="00AA58A5"/>
    <w:rsid w:val="00AB4AF3"/>
    <w:rsid w:val="00AC06E3"/>
    <w:rsid w:val="00AC08A4"/>
    <w:rsid w:val="00AC239E"/>
    <w:rsid w:val="00AC6902"/>
    <w:rsid w:val="00AE0442"/>
    <w:rsid w:val="00AE1C1B"/>
    <w:rsid w:val="00AE43AA"/>
    <w:rsid w:val="00AE476E"/>
    <w:rsid w:val="00AE5CC9"/>
    <w:rsid w:val="00AF34D7"/>
    <w:rsid w:val="00AF4C54"/>
    <w:rsid w:val="00B0012A"/>
    <w:rsid w:val="00B02791"/>
    <w:rsid w:val="00B027FF"/>
    <w:rsid w:val="00B04A92"/>
    <w:rsid w:val="00B05ABF"/>
    <w:rsid w:val="00B061C8"/>
    <w:rsid w:val="00B06484"/>
    <w:rsid w:val="00B11A9B"/>
    <w:rsid w:val="00B17EDD"/>
    <w:rsid w:val="00B2256E"/>
    <w:rsid w:val="00B25223"/>
    <w:rsid w:val="00B272F6"/>
    <w:rsid w:val="00B34511"/>
    <w:rsid w:val="00B345B5"/>
    <w:rsid w:val="00B44E3D"/>
    <w:rsid w:val="00B527DC"/>
    <w:rsid w:val="00B54FCD"/>
    <w:rsid w:val="00B55564"/>
    <w:rsid w:val="00B57AF3"/>
    <w:rsid w:val="00B62906"/>
    <w:rsid w:val="00B644F2"/>
    <w:rsid w:val="00B65FC2"/>
    <w:rsid w:val="00B70692"/>
    <w:rsid w:val="00B708BD"/>
    <w:rsid w:val="00B77913"/>
    <w:rsid w:val="00B864B4"/>
    <w:rsid w:val="00B86C54"/>
    <w:rsid w:val="00B87263"/>
    <w:rsid w:val="00B8732D"/>
    <w:rsid w:val="00B96141"/>
    <w:rsid w:val="00B96174"/>
    <w:rsid w:val="00BA4453"/>
    <w:rsid w:val="00BA4A38"/>
    <w:rsid w:val="00BB1847"/>
    <w:rsid w:val="00BB1CFA"/>
    <w:rsid w:val="00BB36E0"/>
    <w:rsid w:val="00BB584A"/>
    <w:rsid w:val="00BB59F4"/>
    <w:rsid w:val="00BB7060"/>
    <w:rsid w:val="00BB7AB2"/>
    <w:rsid w:val="00BC2FB8"/>
    <w:rsid w:val="00BC4BEA"/>
    <w:rsid w:val="00BC4F95"/>
    <w:rsid w:val="00BC5B7A"/>
    <w:rsid w:val="00BC7B14"/>
    <w:rsid w:val="00BC7B35"/>
    <w:rsid w:val="00BD15F9"/>
    <w:rsid w:val="00BD18AC"/>
    <w:rsid w:val="00BD3290"/>
    <w:rsid w:val="00BE27B0"/>
    <w:rsid w:val="00BF0BBF"/>
    <w:rsid w:val="00BF0CF4"/>
    <w:rsid w:val="00BF5656"/>
    <w:rsid w:val="00BF5DC4"/>
    <w:rsid w:val="00BF62AF"/>
    <w:rsid w:val="00BF78C8"/>
    <w:rsid w:val="00C05929"/>
    <w:rsid w:val="00C05CB6"/>
    <w:rsid w:val="00C0760C"/>
    <w:rsid w:val="00C07FE2"/>
    <w:rsid w:val="00C12280"/>
    <w:rsid w:val="00C14E98"/>
    <w:rsid w:val="00C15C6C"/>
    <w:rsid w:val="00C17648"/>
    <w:rsid w:val="00C2221C"/>
    <w:rsid w:val="00C24D9E"/>
    <w:rsid w:val="00C270C8"/>
    <w:rsid w:val="00C27CAB"/>
    <w:rsid w:val="00C30E7B"/>
    <w:rsid w:val="00C320A0"/>
    <w:rsid w:val="00C33098"/>
    <w:rsid w:val="00C34D0B"/>
    <w:rsid w:val="00C35FA9"/>
    <w:rsid w:val="00C43579"/>
    <w:rsid w:val="00C4682B"/>
    <w:rsid w:val="00C5012E"/>
    <w:rsid w:val="00C503D8"/>
    <w:rsid w:val="00C50E14"/>
    <w:rsid w:val="00C514FE"/>
    <w:rsid w:val="00C520B2"/>
    <w:rsid w:val="00C52844"/>
    <w:rsid w:val="00C52B53"/>
    <w:rsid w:val="00C54899"/>
    <w:rsid w:val="00C55348"/>
    <w:rsid w:val="00C55D08"/>
    <w:rsid w:val="00C57FA9"/>
    <w:rsid w:val="00C62CD6"/>
    <w:rsid w:val="00C63B35"/>
    <w:rsid w:val="00C63FC0"/>
    <w:rsid w:val="00C64EA9"/>
    <w:rsid w:val="00C658EC"/>
    <w:rsid w:val="00C67651"/>
    <w:rsid w:val="00C7336B"/>
    <w:rsid w:val="00C75360"/>
    <w:rsid w:val="00C75543"/>
    <w:rsid w:val="00C75ACF"/>
    <w:rsid w:val="00C76211"/>
    <w:rsid w:val="00C81DEB"/>
    <w:rsid w:val="00C90799"/>
    <w:rsid w:val="00C917E9"/>
    <w:rsid w:val="00C948C8"/>
    <w:rsid w:val="00C95F91"/>
    <w:rsid w:val="00CA2A44"/>
    <w:rsid w:val="00CA55FD"/>
    <w:rsid w:val="00CA7496"/>
    <w:rsid w:val="00CB1EF7"/>
    <w:rsid w:val="00CB27FB"/>
    <w:rsid w:val="00CB5E15"/>
    <w:rsid w:val="00CB72E0"/>
    <w:rsid w:val="00CC618C"/>
    <w:rsid w:val="00CD0F2C"/>
    <w:rsid w:val="00CD1180"/>
    <w:rsid w:val="00CD1B8E"/>
    <w:rsid w:val="00CD1FF0"/>
    <w:rsid w:val="00CD2CA3"/>
    <w:rsid w:val="00CE0CC0"/>
    <w:rsid w:val="00CE3785"/>
    <w:rsid w:val="00CE3B9E"/>
    <w:rsid w:val="00CE74AA"/>
    <w:rsid w:val="00CF1E24"/>
    <w:rsid w:val="00CF3DE0"/>
    <w:rsid w:val="00CF46DA"/>
    <w:rsid w:val="00CF4846"/>
    <w:rsid w:val="00CF4898"/>
    <w:rsid w:val="00D06EBB"/>
    <w:rsid w:val="00D109EE"/>
    <w:rsid w:val="00D11B34"/>
    <w:rsid w:val="00D134F9"/>
    <w:rsid w:val="00D13B25"/>
    <w:rsid w:val="00D141EB"/>
    <w:rsid w:val="00D14C01"/>
    <w:rsid w:val="00D15CFB"/>
    <w:rsid w:val="00D21823"/>
    <w:rsid w:val="00D21DA1"/>
    <w:rsid w:val="00D24C38"/>
    <w:rsid w:val="00D26A95"/>
    <w:rsid w:val="00D27297"/>
    <w:rsid w:val="00D275C8"/>
    <w:rsid w:val="00D3289E"/>
    <w:rsid w:val="00D32C1F"/>
    <w:rsid w:val="00D365ED"/>
    <w:rsid w:val="00D40F07"/>
    <w:rsid w:val="00D4164B"/>
    <w:rsid w:val="00D42E65"/>
    <w:rsid w:val="00D52BAB"/>
    <w:rsid w:val="00D60211"/>
    <w:rsid w:val="00D657A0"/>
    <w:rsid w:val="00D66185"/>
    <w:rsid w:val="00D66CDA"/>
    <w:rsid w:val="00D721DA"/>
    <w:rsid w:val="00D728C3"/>
    <w:rsid w:val="00D73B3D"/>
    <w:rsid w:val="00D75C04"/>
    <w:rsid w:val="00D7665D"/>
    <w:rsid w:val="00D87513"/>
    <w:rsid w:val="00D8765A"/>
    <w:rsid w:val="00D90695"/>
    <w:rsid w:val="00D91644"/>
    <w:rsid w:val="00D916B1"/>
    <w:rsid w:val="00D925F6"/>
    <w:rsid w:val="00D97B64"/>
    <w:rsid w:val="00D97FEB"/>
    <w:rsid w:val="00DA217F"/>
    <w:rsid w:val="00DA7C24"/>
    <w:rsid w:val="00DB38D6"/>
    <w:rsid w:val="00DC2125"/>
    <w:rsid w:val="00DC362C"/>
    <w:rsid w:val="00DC3A4C"/>
    <w:rsid w:val="00DC5367"/>
    <w:rsid w:val="00DC6573"/>
    <w:rsid w:val="00DC7E83"/>
    <w:rsid w:val="00DD0A47"/>
    <w:rsid w:val="00DD10B7"/>
    <w:rsid w:val="00DD14B2"/>
    <w:rsid w:val="00DD2466"/>
    <w:rsid w:val="00DD3A71"/>
    <w:rsid w:val="00DD457D"/>
    <w:rsid w:val="00DD4CA2"/>
    <w:rsid w:val="00DD6563"/>
    <w:rsid w:val="00DD744B"/>
    <w:rsid w:val="00DE0ECA"/>
    <w:rsid w:val="00DE268D"/>
    <w:rsid w:val="00DE440B"/>
    <w:rsid w:val="00DE492E"/>
    <w:rsid w:val="00DE4ADD"/>
    <w:rsid w:val="00DE5FEB"/>
    <w:rsid w:val="00DF2E4E"/>
    <w:rsid w:val="00DF3A54"/>
    <w:rsid w:val="00DF47C1"/>
    <w:rsid w:val="00DF5979"/>
    <w:rsid w:val="00DF781C"/>
    <w:rsid w:val="00E0543A"/>
    <w:rsid w:val="00E0724B"/>
    <w:rsid w:val="00E10459"/>
    <w:rsid w:val="00E105BF"/>
    <w:rsid w:val="00E1143E"/>
    <w:rsid w:val="00E13F71"/>
    <w:rsid w:val="00E1481E"/>
    <w:rsid w:val="00E160E2"/>
    <w:rsid w:val="00E16CFD"/>
    <w:rsid w:val="00E2006D"/>
    <w:rsid w:val="00E23973"/>
    <w:rsid w:val="00E24F0A"/>
    <w:rsid w:val="00E25B51"/>
    <w:rsid w:val="00E33B6D"/>
    <w:rsid w:val="00E34C3C"/>
    <w:rsid w:val="00E40D25"/>
    <w:rsid w:val="00E431A5"/>
    <w:rsid w:val="00E44840"/>
    <w:rsid w:val="00E5163E"/>
    <w:rsid w:val="00E52A70"/>
    <w:rsid w:val="00E545F9"/>
    <w:rsid w:val="00E61738"/>
    <w:rsid w:val="00E61902"/>
    <w:rsid w:val="00E643DB"/>
    <w:rsid w:val="00E64EB8"/>
    <w:rsid w:val="00E670A1"/>
    <w:rsid w:val="00E67168"/>
    <w:rsid w:val="00E7243F"/>
    <w:rsid w:val="00E74360"/>
    <w:rsid w:val="00E75ABD"/>
    <w:rsid w:val="00E7704D"/>
    <w:rsid w:val="00E77CF8"/>
    <w:rsid w:val="00E81A31"/>
    <w:rsid w:val="00E8757A"/>
    <w:rsid w:val="00E91E7B"/>
    <w:rsid w:val="00E962C6"/>
    <w:rsid w:val="00E964F8"/>
    <w:rsid w:val="00E97D9B"/>
    <w:rsid w:val="00EA3FDD"/>
    <w:rsid w:val="00EA4115"/>
    <w:rsid w:val="00EB0E82"/>
    <w:rsid w:val="00EC0C36"/>
    <w:rsid w:val="00EC1424"/>
    <w:rsid w:val="00EC4E07"/>
    <w:rsid w:val="00EC7606"/>
    <w:rsid w:val="00ED02A6"/>
    <w:rsid w:val="00ED552C"/>
    <w:rsid w:val="00EE2AD6"/>
    <w:rsid w:val="00EE42A9"/>
    <w:rsid w:val="00EE6CA4"/>
    <w:rsid w:val="00EF2FBA"/>
    <w:rsid w:val="00EF5BD5"/>
    <w:rsid w:val="00F064A7"/>
    <w:rsid w:val="00F07005"/>
    <w:rsid w:val="00F12345"/>
    <w:rsid w:val="00F1471F"/>
    <w:rsid w:val="00F16818"/>
    <w:rsid w:val="00F20E53"/>
    <w:rsid w:val="00F23499"/>
    <w:rsid w:val="00F23939"/>
    <w:rsid w:val="00F274F2"/>
    <w:rsid w:val="00F30B19"/>
    <w:rsid w:val="00F30E9D"/>
    <w:rsid w:val="00F31331"/>
    <w:rsid w:val="00F31771"/>
    <w:rsid w:val="00F36AFF"/>
    <w:rsid w:val="00F37EF6"/>
    <w:rsid w:val="00F41946"/>
    <w:rsid w:val="00F4305D"/>
    <w:rsid w:val="00F43443"/>
    <w:rsid w:val="00F4459A"/>
    <w:rsid w:val="00F4642E"/>
    <w:rsid w:val="00F46C34"/>
    <w:rsid w:val="00F51648"/>
    <w:rsid w:val="00F525A1"/>
    <w:rsid w:val="00F5361D"/>
    <w:rsid w:val="00F549E4"/>
    <w:rsid w:val="00F6141B"/>
    <w:rsid w:val="00F74E49"/>
    <w:rsid w:val="00F757FD"/>
    <w:rsid w:val="00F75C4E"/>
    <w:rsid w:val="00F77DAA"/>
    <w:rsid w:val="00F80E7B"/>
    <w:rsid w:val="00F85878"/>
    <w:rsid w:val="00F90EE9"/>
    <w:rsid w:val="00F93838"/>
    <w:rsid w:val="00F9497D"/>
    <w:rsid w:val="00F95CD0"/>
    <w:rsid w:val="00F973C8"/>
    <w:rsid w:val="00FA0949"/>
    <w:rsid w:val="00FA273D"/>
    <w:rsid w:val="00FA2AEA"/>
    <w:rsid w:val="00FA2FD3"/>
    <w:rsid w:val="00FA63A6"/>
    <w:rsid w:val="00FA733C"/>
    <w:rsid w:val="00FB0E55"/>
    <w:rsid w:val="00FB2769"/>
    <w:rsid w:val="00FC17EF"/>
    <w:rsid w:val="00FC668B"/>
    <w:rsid w:val="00FD1896"/>
    <w:rsid w:val="00FD6AB9"/>
    <w:rsid w:val="00FD6E3E"/>
    <w:rsid w:val="00FD78DB"/>
    <w:rsid w:val="00FD7B1A"/>
    <w:rsid w:val="00FE109E"/>
    <w:rsid w:val="00FE2BE3"/>
    <w:rsid w:val="00FE6A46"/>
    <w:rsid w:val="00FF1F7D"/>
    <w:rsid w:val="00FF2F1D"/>
    <w:rsid w:val="00FF6CD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A1CB88D"/>
  <w15:chartTrackingRefBased/>
  <w15:docId w15:val="{282E203B-910B-4DAD-8AA0-DBFE43B39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23BB"/>
    <w:rPr>
      <w:rFonts w:ascii="Arial" w:hAnsi="Arial"/>
      <w:sz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eText">
    <w:name w:val="Base_Text"/>
    <w:link w:val="BaseTextZchn"/>
    <w:rsid w:val="009A3899"/>
    <w:pPr>
      <w:spacing w:before="120"/>
    </w:pPr>
    <w:rPr>
      <w:rFonts w:eastAsia="Times New Roman"/>
      <w:sz w:val="24"/>
      <w:szCs w:val="24"/>
      <w:lang w:val="en-US"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val="en-US"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Sprechblasentext">
    <w:name w:val="Balloon Text"/>
    <w:basedOn w:val="Standard"/>
    <w:link w:val="SprechblasentextZchn"/>
    <w:semiHidden/>
    <w:rsid w:val="009A3899"/>
    <w:rPr>
      <w:rFonts w:ascii="Lucida Grande" w:eastAsia="Times New Roman" w:hAnsi="Lucida Grande"/>
      <w:sz w:val="18"/>
      <w:szCs w:val="18"/>
    </w:rPr>
  </w:style>
  <w:style w:type="character" w:customStyle="1" w:styleId="SprechblasentextZchn">
    <w:name w:val="Sprechblasentext Zchn"/>
    <w:link w:val="Sprechblase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link w:val="ParagraphZchn"/>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Kommentarzeichen">
    <w:name w:val="annotation reference"/>
    <w:uiPriority w:val="99"/>
    <w:rsid w:val="009A3899"/>
    <w:rPr>
      <w:sz w:val="18"/>
      <w:szCs w:val="18"/>
    </w:rPr>
  </w:style>
  <w:style w:type="paragraph" w:styleId="Kommentartext">
    <w:name w:val="annotation text"/>
    <w:basedOn w:val="Standard"/>
    <w:link w:val="KommentartextZchn"/>
    <w:uiPriority w:val="99"/>
    <w:semiHidden/>
    <w:rsid w:val="009A3899"/>
    <w:rPr>
      <w:rFonts w:eastAsia="Times New Roman"/>
    </w:rPr>
  </w:style>
  <w:style w:type="character" w:customStyle="1" w:styleId="KommentartextZchn">
    <w:name w:val="Kommentartext Zchn"/>
    <w:link w:val="Kommentartext"/>
    <w:uiPriority w:val="99"/>
    <w:semiHidden/>
    <w:rsid w:val="009A3899"/>
    <w:rPr>
      <w:rFonts w:ascii="Times New Roman" w:eastAsia="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9A3899"/>
    <w:rPr>
      <w:b/>
      <w:bCs/>
    </w:rPr>
  </w:style>
  <w:style w:type="character" w:customStyle="1" w:styleId="KommentarthemaZchn">
    <w:name w:val="Kommentarthema Zchn"/>
    <w:link w:val="Kommentarthema"/>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Hervorhebung">
    <w:name w:val="Emphasis"/>
    <w:uiPriority w:val="20"/>
    <w:qFormat/>
    <w:rsid w:val="009A3899"/>
    <w:rPr>
      <w:i/>
      <w:iCs/>
    </w:rPr>
  </w:style>
  <w:style w:type="character" w:styleId="Endnotenzeichen">
    <w:name w:val="endnote reference"/>
    <w:semiHidden/>
    <w:rsid w:val="009A3899"/>
    <w:rPr>
      <w:vertAlign w:val="superscript"/>
    </w:rPr>
  </w:style>
  <w:style w:type="paragraph" w:styleId="Endnotentext">
    <w:name w:val="endnote text"/>
    <w:basedOn w:val="Standard"/>
    <w:link w:val="EndnotentextZchn"/>
    <w:semiHidden/>
    <w:rsid w:val="009A3899"/>
    <w:rPr>
      <w:rFonts w:ascii="Cambria" w:eastAsia="Cambria" w:hAnsi="Cambria"/>
    </w:rPr>
  </w:style>
  <w:style w:type="character" w:customStyle="1" w:styleId="EndnotentextZchn">
    <w:name w:val="Endnotentext Zchn"/>
    <w:link w:val="Endnoten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customStyle="1" w:styleId="BesuchterHyperlink">
    <w:name w:val="BesuchterHyperlink"/>
    <w:rsid w:val="009A3899"/>
    <w:rPr>
      <w:color w:val="800080"/>
      <w:u w:val="single"/>
    </w:rPr>
  </w:style>
  <w:style w:type="paragraph" w:styleId="Fuzeile">
    <w:name w:val="footer"/>
    <w:basedOn w:val="Standard"/>
    <w:link w:val="FuzeileZchn"/>
    <w:uiPriority w:val="99"/>
    <w:rsid w:val="009A3899"/>
    <w:pPr>
      <w:tabs>
        <w:tab w:val="center" w:pos="4320"/>
        <w:tab w:val="right" w:pos="8640"/>
      </w:tabs>
    </w:pPr>
    <w:rPr>
      <w:rFonts w:eastAsia="Times New Roman"/>
    </w:rPr>
  </w:style>
  <w:style w:type="character" w:customStyle="1" w:styleId="FuzeileZchn">
    <w:name w:val="Fußzeile Zchn"/>
    <w:link w:val="Fuzeile"/>
    <w:uiPriority w:val="99"/>
    <w:rsid w:val="009A3899"/>
    <w:rPr>
      <w:rFonts w:ascii="Times New Roman" w:eastAsia="Times New Roman" w:hAnsi="Times New Roman"/>
      <w:sz w:val="20"/>
      <w:szCs w:val="20"/>
    </w:rPr>
  </w:style>
  <w:style w:type="character" w:styleId="Funotenzeichen">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Kopfzeile">
    <w:name w:val="header"/>
    <w:basedOn w:val="Standard"/>
    <w:link w:val="KopfzeileZchn"/>
    <w:rsid w:val="009A3899"/>
    <w:pPr>
      <w:tabs>
        <w:tab w:val="center" w:pos="4320"/>
        <w:tab w:val="right" w:pos="8640"/>
      </w:tabs>
    </w:pPr>
    <w:rPr>
      <w:rFonts w:eastAsia="Times New Roman"/>
    </w:rPr>
  </w:style>
  <w:style w:type="character" w:customStyle="1" w:styleId="KopfzeileZchn">
    <w:name w:val="Kopfzeile Zchn"/>
    <w:link w:val="Kopfzeile"/>
    <w:rsid w:val="009A3899"/>
    <w:rPr>
      <w:rFonts w:ascii="Times New Roman" w:eastAsia="Times New Roman" w:hAnsi="Times New Roman"/>
      <w:sz w:val="20"/>
      <w:szCs w:val="20"/>
    </w:rPr>
  </w:style>
  <w:style w:type="character" w:styleId="HTMLAkronym">
    <w:name w:val="HTML Acronym"/>
    <w:basedOn w:val="Absatz-Standardschriftart"/>
    <w:rsid w:val="009A3899"/>
  </w:style>
  <w:style w:type="character" w:styleId="HTMLZitat">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Tastatur">
    <w:name w:val="HTML Keyboard"/>
    <w:rsid w:val="009A3899"/>
    <w:rPr>
      <w:rFonts w:ascii="Courier New" w:hAnsi="Courier New" w:cs="Courier New"/>
      <w:sz w:val="20"/>
      <w:szCs w:val="20"/>
    </w:rPr>
  </w:style>
  <w:style w:type="paragraph" w:styleId="HTMLVorformatiert">
    <w:name w:val="HTML Preformatted"/>
    <w:basedOn w:val="Standard"/>
    <w:link w:val="HTMLVorformatiertZchn"/>
    <w:rsid w:val="009A3899"/>
    <w:rPr>
      <w:rFonts w:ascii="Consolas" w:eastAsia="Times New Roman" w:hAnsi="Consolas"/>
    </w:rPr>
  </w:style>
  <w:style w:type="character" w:customStyle="1" w:styleId="HTMLVorformatiertZchn">
    <w:name w:val="HTML Vorformatiert Zchn"/>
    <w:link w:val="HTMLVorformatiert"/>
    <w:rsid w:val="009A3899"/>
    <w:rPr>
      <w:rFonts w:ascii="Consolas" w:eastAsia="Times New Roman" w:hAnsi="Consolas"/>
      <w:sz w:val="20"/>
      <w:szCs w:val="20"/>
    </w:rPr>
  </w:style>
  <w:style w:type="character" w:styleId="HTMLBeispiel">
    <w:name w:val="HTML Sample"/>
    <w:rsid w:val="009A3899"/>
    <w:rPr>
      <w:rFonts w:ascii="Courier New" w:hAnsi="Courier New" w:cs="Courier New"/>
    </w:rPr>
  </w:style>
  <w:style w:type="character" w:styleId="HTMLSchreibmaschine">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Zeilennummer">
    <w:name w:val="line number"/>
    <w:rsid w:val="009E5044"/>
    <w:rPr>
      <w:rFonts w:ascii="Arial" w:hAnsi="Arial"/>
      <w:sz w:val="18"/>
    </w:rPr>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Seitenzahl">
    <w:name w:val="page number"/>
    <w:basedOn w:val="Absatz-Standardschriftar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Fett">
    <w:name w:val="Strong"/>
    <w:uiPriority w:val="22"/>
    <w:qFormat/>
    <w:rsid w:val="009A3899"/>
    <w:rPr>
      <w:b/>
      <w:bCs/>
    </w:rPr>
  </w:style>
  <w:style w:type="paragraph" w:customStyle="1" w:styleId="SX-Abstract">
    <w:name w:val="SX-Abstract"/>
    <w:basedOn w:val="Standard"/>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Standard"/>
    <w:next w:val="Standard"/>
    <w:rsid w:val="009A3899"/>
    <w:pPr>
      <w:spacing w:after="160" w:line="190" w:lineRule="exact"/>
    </w:pPr>
    <w:rPr>
      <w:rFonts w:ascii="BlissRegular" w:eastAsia="Times New Roman" w:hAnsi="BlissRegular"/>
      <w:sz w:val="16"/>
    </w:rPr>
  </w:style>
  <w:style w:type="paragraph" w:customStyle="1" w:styleId="SX-Articlehead">
    <w:name w:val="SX-Article head"/>
    <w:basedOn w:val="Standard"/>
    <w:rsid w:val="009A3899"/>
    <w:pPr>
      <w:spacing w:before="210" w:line="210" w:lineRule="exact"/>
      <w:ind w:firstLine="288"/>
      <w:jc w:val="both"/>
    </w:pPr>
    <w:rPr>
      <w:rFonts w:eastAsia="Times New Roman"/>
      <w:b/>
      <w:sz w:val="18"/>
    </w:rPr>
  </w:style>
  <w:style w:type="paragraph" w:customStyle="1" w:styleId="SX-Authornames">
    <w:name w:val="SX-Author names"/>
    <w:basedOn w:val="Standard"/>
    <w:rsid w:val="009A3899"/>
    <w:pPr>
      <w:spacing w:after="120" w:line="210" w:lineRule="exact"/>
    </w:pPr>
    <w:rPr>
      <w:rFonts w:ascii="BlissMedium" w:eastAsia="Times New Roman" w:hAnsi="BlissMedium"/>
    </w:rPr>
  </w:style>
  <w:style w:type="paragraph" w:customStyle="1" w:styleId="SX-Bodytext">
    <w:name w:val="SX-Body text"/>
    <w:basedOn w:val="Standard"/>
    <w:next w:val="Standard"/>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rsid w:val="009A3899"/>
    <w:pPr>
      <w:spacing w:after="80"/>
    </w:pPr>
  </w:style>
  <w:style w:type="paragraph" w:customStyle="1" w:styleId="SX-Date">
    <w:name w:val="SX-Date"/>
    <w:basedOn w:val="Standard"/>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Standard"/>
    <w:rsid w:val="009A3899"/>
    <w:pPr>
      <w:spacing w:line="190" w:lineRule="exact"/>
      <w:ind w:left="245" w:hanging="245"/>
      <w:jc w:val="both"/>
    </w:pPr>
    <w:rPr>
      <w:rFonts w:eastAsia="Times New Roman"/>
      <w:sz w:val="16"/>
    </w:rPr>
  </w:style>
  <w:style w:type="paragraph" w:customStyle="1" w:styleId="SX-RefHead">
    <w:name w:val="SX-RefHead"/>
    <w:basedOn w:val="Standard"/>
    <w:rsid w:val="009A3899"/>
    <w:pPr>
      <w:spacing w:before="200" w:line="190" w:lineRule="exact"/>
    </w:pPr>
    <w:rPr>
      <w:rFonts w:eastAsia="Times New Roman"/>
      <w:b/>
      <w:sz w:val="16"/>
    </w:rPr>
  </w:style>
  <w:style w:type="character" w:customStyle="1" w:styleId="SX-reflink">
    <w:name w:val="SX-reflink"/>
    <w:uiPriority w:val="1"/>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Standard"/>
    <w:rsid w:val="009A3899"/>
    <w:rPr>
      <w:rFonts w:eastAsia="Times New Roman"/>
      <w:szCs w:val="24"/>
    </w:rPr>
  </w:style>
  <w:style w:type="paragraph" w:customStyle="1" w:styleId="SX-Tablelegend">
    <w:name w:val="SX-Tablelegend"/>
    <w:basedOn w:val="Standard"/>
    <w:rsid w:val="009A3899"/>
    <w:pPr>
      <w:spacing w:line="190" w:lineRule="exact"/>
      <w:ind w:left="245" w:hanging="245"/>
      <w:jc w:val="both"/>
    </w:pPr>
    <w:rPr>
      <w:rFonts w:eastAsia="Times New Roman"/>
      <w:sz w:val="16"/>
    </w:rPr>
  </w:style>
  <w:style w:type="paragraph" w:customStyle="1" w:styleId="SX-Tabletext">
    <w:name w:val="SX-Tabletext"/>
    <w:basedOn w:val="Standard"/>
    <w:rsid w:val="009A3899"/>
    <w:pPr>
      <w:spacing w:line="210" w:lineRule="exact"/>
      <w:jc w:val="center"/>
    </w:pPr>
    <w:rPr>
      <w:rFonts w:eastAsia="Times New Roman"/>
      <w:sz w:val="18"/>
    </w:rPr>
  </w:style>
  <w:style w:type="paragraph" w:customStyle="1" w:styleId="SX-Tabletitle">
    <w:name w:val="SX-Tabletitle"/>
    <w:basedOn w:val="Standard"/>
    <w:rsid w:val="009A3899"/>
    <w:pPr>
      <w:spacing w:after="120" w:line="210" w:lineRule="exact"/>
      <w:jc w:val="both"/>
    </w:pPr>
    <w:rPr>
      <w:rFonts w:ascii="BlissMedium" w:eastAsia="Times New Roman" w:hAnsi="BlissMedium"/>
      <w:sz w:val="18"/>
    </w:rPr>
  </w:style>
  <w:style w:type="paragraph" w:customStyle="1" w:styleId="SX-Title">
    <w:name w:val="SX-Title"/>
    <w:basedOn w:val="Standard"/>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Standard"/>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rsid w:val="009A7F20"/>
  </w:style>
  <w:style w:type="character" w:customStyle="1" w:styleId="custom-cit-author">
    <w:name w:val="custom-cit-author"/>
    <w:basedOn w:val="Absatz-Standardschriftart"/>
    <w:rsid w:val="00943D39"/>
  </w:style>
  <w:style w:type="character" w:customStyle="1" w:styleId="custom-cit-title">
    <w:name w:val="custom-cit-title"/>
    <w:basedOn w:val="Absatz-Standardschriftart"/>
    <w:rsid w:val="00943D39"/>
  </w:style>
  <w:style w:type="character" w:customStyle="1" w:styleId="custom-cit-jour-title">
    <w:name w:val="custom-cit-jour-title"/>
    <w:basedOn w:val="Absatz-Standardschriftart"/>
    <w:rsid w:val="00943D39"/>
  </w:style>
  <w:style w:type="character" w:customStyle="1" w:styleId="custom-cit-volume">
    <w:name w:val="custom-cit-volume"/>
    <w:basedOn w:val="Absatz-Standardschriftart"/>
    <w:rsid w:val="00943D39"/>
  </w:style>
  <w:style w:type="character" w:customStyle="1" w:styleId="custom-cit-volume-sep">
    <w:name w:val="custom-cit-volume-sep"/>
    <w:basedOn w:val="Absatz-Standardschriftart"/>
    <w:rsid w:val="00943D39"/>
  </w:style>
  <w:style w:type="character" w:customStyle="1" w:styleId="custom-cit-fpage">
    <w:name w:val="custom-cit-fpage"/>
    <w:basedOn w:val="Absatz-Standardschriftart"/>
    <w:rsid w:val="00943D39"/>
  </w:style>
  <w:style w:type="character" w:customStyle="1" w:styleId="custom-cit-date">
    <w:name w:val="custom-cit-date"/>
    <w:basedOn w:val="Absatz-Standardschriftart"/>
    <w:rsid w:val="00943D39"/>
  </w:style>
  <w:style w:type="paragraph" w:customStyle="1" w:styleId="EndNoteBibliographyTitle">
    <w:name w:val="EndNote Bibliography Title"/>
    <w:basedOn w:val="Standard"/>
    <w:link w:val="EndNoteBibliographyTitleZchn"/>
    <w:rsid w:val="00C50E14"/>
    <w:pPr>
      <w:jc w:val="center"/>
    </w:pPr>
    <w:rPr>
      <w:rFonts w:ascii="Times New Roman" w:hAnsi="Times New Roman"/>
      <w:noProof/>
      <w:sz w:val="20"/>
    </w:rPr>
  </w:style>
  <w:style w:type="character" w:customStyle="1" w:styleId="BaseTextZchn">
    <w:name w:val="Base_Text Zchn"/>
    <w:link w:val="BaseText"/>
    <w:rsid w:val="00C50E14"/>
    <w:rPr>
      <w:rFonts w:eastAsia="Times New Roman"/>
      <w:sz w:val="24"/>
      <w:szCs w:val="24"/>
      <w:lang w:val="en-US" w:eastAsia="en-US"/>
    </w:rPr>
  </w:style>
  <w:style w:type="character" w:customStyle="1" w:styleId="ParagraphZchn">
    <w:name w:val="Paragraph Zchn"/>
    <w:basedOn w:val="BaseTextZchn"/>
    <w:link w:val="Paragraph"/>
    <w:rsid w:val="00C50E14"/>
    <w:rPr>
      <w:rFonts w:eastAsia="Times New Roman"/>
      <w:sz w:val="24"/>
      <w:szCs w:val="24"/>
      <w:lang w:val="en-US" w:eastAsia="en-US"/>
    </w:rPr>
  </w:style>
  <w:style w:type="character" w:customStyle="1" w:styleId="EndNoteBibliographyTitleZchn">
    <w:name w:val="EndNote Bibliography Title Zchn"/>
    <w:link w:val="EndNoteBibliographyTitle"/>
    <w:rsid w:val="00C50E14"/>
    <w:rPr>
      <w:noProof/>
      <w:lang w:val="en-US" w:eastAsia="en-US"/>
    </w:rPr>
  </w:style>
  <w:style w:type="paragraph" w:customStyle="1" w:styleId="EndNoteBibliography">
    <w:name w:val="EndNote Bibliography"/>
    <w:basedOn w:val="Standard"/>
    <w:link w:val="EndNoteBibliographyZchn"/>
    <w:rsid w:val="00C50E14"/>
    <w:rPr>
      <w:rFonts w:ascii="Times New Roman" w:hAnsi="Times New Roman"/>
      <w:noProof/>
      <w:sz w:val="20"/>
    </w:rPr>
  </w:style>
  <w:style w:type="character" w:customStyle="1" w:styleId="EndNoteBibliographyZchn">
    <w:name w:val="EndNote Bibliography Zchn"/>
    <w:link w:val="EndNoteBibliography"/>
    <w:rsid w:val="00C50E14"/>
    <w:rPr>
      <w:noProof/>
      <w:lang w:val="en-US" w:eastAsia="en-US"/>
    </w:rPr>
  </w:style>
  <w:style w:type="paragraph" w:styleId="KeinLeerraum">
    <w:name w:val="No Spacing"/>
    <w:uiPriority w:val="1"/>
    <w:rsid w:val="001B5F28"/>
    <w:rPr>
      <w:lang w:val="en-US" w:eastAsia="en-US"/>
    </w:rPr>
  </w:style>
  <w:style w:type="table" w:styleId="Tabellenraster">
    <w:name w:val="Table Grid"/>
    <w:basedOn w:val="NormaleTabelle"/>
    <w:uiPriority w:val="59"/>
    <w:rsid w:val="006D0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6D01D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D21DA1"/>
    <w:pPr>
      <w:autoSpaceDE w:val="0"/>
      <w:autoSpaceDN w:val="0"/>
      <w:adjustRightInd w:val="0"/>
    </w:pPr>
    <w:rPr>
      <w:rFonts w:ascii="Arial" w:eastAsia="Times New Roman" w:hAnsi="Arial" w:cs="Arial"/>
      <w:color w:val="000000"/>
      <w:sz w:val="24"/>
      <w:szCs w:val="24"/>
      <w:lang w:val="en-US" w:eastAsia="en-US"/>
    </w:rPr>
  </w:style>
  <w:style w:type="paragraph" w:styleId="Listenabsatz">
    <w:name w:val="List Paragraph"/>
    <w:basedOn w:val="Standard"/>
    <w:uiPriority w:val="34"/>
    <w:qFormat/>
    <w:rsid w:val="00C43579"/>
    <w:pPr>
      <w:spacing w:after="200" w:line="276" w:lineRule="auto"/>
      <w:ind w:left="720"/>
      <w:contextualSpacing/>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4478">
      <w:bodyDiv w:val="1"/>
      <w:marLeft w:val="0"/>
      <w:marRight w:val="0"/>
      <w:marTop w:val="0"/>
      <w:marBottom w:val="0"/>
      <w:divBdr>
        <w:top w:val="none" w:sz="0" w:space="0" w:color="auto"/>
        <w:left w:val="none" w:sz="0" w:space="0" w:color="auto"/>
        <w:bottom w:val="none" w:sz="0" w:space="0" w:color="auto"/>
        <w:right w:val="none" w:sz="0" w:space="0" w:color="auto"/>
      </w:divBdr>
    </w:div>
    <w:div w:id="285310418">
      <w:bodyDiv w:val="1"/>
      <w:marLeft w:val="0"/>
      <w:marRight w:val="0"/>
      <w:marTop w:val="0"/>
      <w:marBottom w:val="0"/>
      <w:divBdr>
        <w:top w:val="none" w:sz="0" w:space="0" w:color="auto"/>
        <w:left w:val="none" w:sz="0" w:space="0" w:color="auto"/>
        <w:bottom w:val="none" w:sz="0" w:space="0" w:color="auto"/>
        <w:right w:val="none" w:sz="0" w:space="0" w:color="auto"/>
      </w:divBdr>
    </w:div>
    <w:div w:id="376666094">
      <w:bodyDiv w:val="1"/>
      <w:marLeft w:val="0"/>
      <w:marRight w:val="0"/>
      <w:marTop w:val="0"/>
      <w:marBottom w:val="0"/>
      <w:divBdr>
        <w:top w:val="none" w:sz="0" w:space="0" w:color="auto"/>
        <w:left w:val="none" w:sz="0" w:space="0" w:color="auto"/>
        <w:bottom w:val="none" w:sz="0" w:space="0" w:color="auto"/>
        <w:right w:val="none" w:sz="0" w:space="0" w:color="auto"/>
      </w:divBdr>
    </w:div>
    <w:div w:id="773600773">
      <w:bodyDiv w:val="1"/>
      <w:marLeft w:val="0"/>
      <w:marRight w:val="0"/>
      <w:marTop w:val="0"/>
      <w:marBottom w:val="0"/>
      <w:divBdr>
        <w:top w:val="none" w:sz="0" w:space="0" w:color="auto"/>
        <w:left w:val="none" w:sz="0" w:space="0" w:color="auto"/>
        <w:bottom w:val="none" w:sz="0" w:space="0" w:color="auto"/>
        <w:right w:val="none" w:sz="0" w:space="0" w:color="auto"/>
      </w:divBdr>
    </w:div>
    <w:div w:id="924997250">
      <w:bodyDiv w:val="1"/>
      <w:marLeft w:val="0"/>
      <w:marRight w:val="0"/>
      <w:marTop w:val="0"/>
      <w:marBottom w:val="0"/>
      <w:divBdr>
        <w:top w:val="none" w:sz="0" w:space="0" w:color="auto"/>
        <w:left w:val="none" w:sz="0" w:space="0" w:color="auto"/>
        <w:bottom w:val="none" w:sz="0" w:space="0" w:color="auto"/>
        <w:right w:val="none" w:sz="0" w:space="0" w:color="auto"/>
      </w:divBdr>
    </w:div>
    <w:div w:id="1066344874">
      <w:bodyDiv w:val="1"/>
      <w:marLeft w:val="0"/>
      <w:marRight w:val="0"/>
      <w:marTop w:val="0"/>
      <w:marBottom w:val="0"/>
      <w:divBdr>
        <w:top w:val="none" w:sz="0" w:space="0" w:color="auto"/>
        <w:left w:val="none" w:sz="0" w:space="0" w:color="auto"/>
        <w:bottom w:val="none" w:sz="0" w:space="0" w:color="auto"/>
        <w:right w:val="none" w:sz="0" w:space="0" w:color="auto"/>
      </w:divBdr>
    </w:div>
    <w:div w:id="125659759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3.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02290-9F5E-4542-B8E4-1892C0709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1618</Words>
  <Characters>9177</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Science Manuscript Template</vt:lpstr>
      <vt:lpstr>Science Manuscript Template</vt:lpstr>
    </vt:vector>
  </TitlesOfParts>
  <Company>Microsoft</Company>
  <LinksUpToDate>false</LinksUpToDate>
  <CharactersWithSpaces>10774</CharactersWithSpaces>
  <SharedDoc>false</SharedDoc>
  <HLinks>
    <vt:vector size="144" baseType="variant">
      <vt:variant>
        <vt:i4>6881364</vt:i4>
      </vt:variant>
      <vt:variant>
        <vt:i4>308</vt:i4>
      </vt:variant>
      <vt:variant>
        <vt:i4>0</vt:i4>
      </vt:variant>
      <vt:variant>
        <vt:i4>5</vt:i4>
      </vt:variant>
      <vt:variant>
        <vt:lpwstr>mailto:johanna.pachmayr@pmu.ac.at</vt:lpwstr>
      </vt:variant>
      <vt:variant>
        <vt:lpwstr/>
      </vt:variant>
      <vt:variant>
        <vt:i4>2752628</vt:i4>
      </vt:variant>
      <vt:variant>
        <vt:i4>305</vt:i4>
      </vt:variant>
      <vt:variant>
        <vt:i4>0</vt:i4>
      </vt:variant>
      <vt:variant>
        <vt:i4>5</vt:i4>
      </vt:variant>
      <vt:variant>
        <vt:lpwstr>https://www.biochem.mpg.de/5111810/perseus</vt:lpwstr>
      </vt:variant>
      <vt:variant>
        <vt:lpwstr/>
      </vt:variant>
      <vt:variant>
        <vt:i4>3801198</vt:i4>
      </vt:variant>
      <vt:variant>
        <vt:i4>302</vt:i4>
      </vt:variant>
      <vt:variant>
        <vt:i4>0</vt:i4>
      </vt:variant>
      <vt:variant>
        <vt:i4>5</vt:i4>
      </vt:variant>
      <vt:variant>
        <vt:lpwstr>https://www.biochem.mpg.de/5111795/maxquant</vt:lpwstr>
      </vt:variant>
      <vt:variant>
        <vt:lpwstr/>
      </vt:variant>
      <vt:variant>
        <vt:i4>1441819</vt:i4>
      </vt:variant>
      <vt:variant>
        <vt:i4>299</vt:i4>
      </vt:variant>
      <vt:variant>
        <vt:i4>0</vt:i4>
      </vt:variant>
      <vt:variant>
        <vt:i4>5</vt:i4>
      </vt:variant>
      <vt:variant>
        <vt:lpwstr>http://software.broadinstitute.org/gsea/index.jsp</vt:lpwstr>
      </vt:variant>
      <vt:variant>
        <vt:lpwstr/>
      </vt:variant>
      <vt:variant>
        <vt:i4>2687103</vt:i4>
      </vt:variant>
      <vt:variant>
        <vt:i4>296</vt:i4>
      </vt:variant>
      <vt:variant>
        <vt:i4>0</vt:i4>
      </vt:variant>
      <vt:variant>
        <vt:i4>5</vt:i4>
      </vt:variant>
      <vt:variant>
        <vt:lpwstr>https://data.mendeley.com/datasets/t5z8v7752m/draft?a=6fb41af3-4490-4c73-8c96-84296fcc92fa</vt:lpwstr>
      </vt:variant>
      <vt:variant>
        <vt:lpwstr/>
      </vt:variant>
      <vt:variant>
        <vt:i4>2687103</vt:i4>
      </vt:variant>
      <vt:variant>
        <vt:i4>290</vt:i4>
      </vt:variant>
      <vt:variant>
        <vt:i4>0</vt:i4>
      </vt:variant>
      <vt:variant>
        <vt:i4>5</vt:i4>
      </vt:variant>
      <vt:variant>
        <vt:lpwstr>https://data.mendeley.com/datasets/t5z8v7752m/draft?a=6fb41af3-4490-4c73-8c96-84296fcc92fa</vt:lpwstr>
      </vt:variant>
      <vt:variant>
        <vt:lpwstr/>
      </vt:variant>
      <vt:variant>
        <vt:i4>6881364</vt:i4>
      </vt:variant>
      <vt:variant>
        <vt:i4>51</vt:i4>
      </vt:variant>
      <vt:variant>
        <vt:i4>0</vt:i4>
      </vt:variant>
      <vt:variant>
        <vt:i4>5</vt:i4>
      </vt:variant>
      <vt:variant>
        <vt:lpwstr>mailto:johanna.pachmayr@pmu.ac.at</vt:lpwstr>
      </vt:variant>
      <vt:variant>
        <vt:lpwstr/>
      </vt:variant>
      <vt:variant>
        <vt:i4>917603</vt:i4>
      </vt:variant>
      <vt:variant>
        <vt:i4>48</vt:i4>
      </vt:variant>
      <vt:variant>
        <vt:i4>0</vt:i4>
      </vt:variant>
      <vt:variant>
        <vt:i4>5</vt:i4>
      </vt:variant>
      <vt:variant>
        <vt:lpwstr>mailto:angelika.vollmar@cup.uni-muenchen.de</vt:lpwstr>
      </vt:variant>
      <vt:variant>
        <vt:lpwstr/>
      </vt:variant>
      <vt:variant>
        <vt:i4>6094892</vt:i4>
      </vt:variant>
      <vt:variant>
        <vt:i4>45</vt:i4>
      </vt:variant>
      <vt:variant>
        <vt:i4>0</vt:i4>
      </vt:variant>
      <vt:variant>
        <vt:i4>5</vt:i4>
      </vt:variant>
      <vt:variant>
        <vt:lpwstr>mailto:zischka@helmholtz-muenchen.de</vt:lpwstr>
      </vt:variant>
      <vt:variant>
        <vt:lpwstr/>
      </vt:variant>
      <vt:variant>
        <vt:i4>2293771</vt:i4>
      </vt:variant>
      <vt:variant>
        <vt:i4>42</vt:i4>
      </vt:variant>
      <vt:variant>
        <vt:i4>0</vt:i4>
      </vt:variant>
      <vt:variant>
        <vt:i4>5</vt:i4>
      </vt:variant>
      <vt:variant>
        <vt:lpwstr>mailto:gerbes@med.uni-muenchen.de</vt:lpwstr>
      </vt:variant>
      <vt:variant>
        <vt:lpwstr/>
      </vt:variant>
      <vt:variant>
        <vt:i4>458813</vt:i4>
      </vt:variant>
      <vt:variant>
        <vt:i4>39</vt:i4>
      </vt:variant>
      <vt:variant>
        <vt:i4>0</vt:i4>
      </vt:variant>
      <vt:variant>
        <vt:i4>5</vt:i4>
      </vt:variant>
      <vt:variant>
        <vt:lpwstr>mailto:pharm.bio.kiemer@mx.uni-saarland.de</vt:lpwstr>
      </vt:variant>
      <vt:variant>
        <vt:lpwstr/>
      </vt:variant>
      <vt:variant>
        <vt:i4>3145802</vt:i4>
      </vt:variant>
      <vt:variant>
        <vt:i4>36</vt:i4>
      </vt:variant>
      <vt:variant>
        <vt:i4>0</vt:i4>
      </vt:variant>
      <vt:variant>
        <vt:i4>5</vt:i4>
      </vt:variant>
      <vt:variant>
        <vt:lpwstr>mailto:simon.rothenfusser@med.uni-muenchen.de</vt:lpwstr>
      </vt:variant>
      <vt:variant>
        <vt:lpwstr/>
      </vt:variant>
      <vt:variant>
        <vt:i4>5374003</vt:i4>
      </vt:variant>
      <vt:variant>
        <vt:i4>33</vt:i4>
      </vt:variant>
      <vt:variant>
        <vt:i4>0</vt:i4>
      </vt:variant>
      <vt:variant>
        <vt:i4>5</vt:i4>
      </vt:variant>
      <vt:variant>
        <vt:lpwstr>mailto:arnold@genzentrum.lmu.de</vt:lpwstr>
      </vt:variant>
      <vt:variant>
        <vt:lpwstr/>
      </vt:variant>
      <vt:variant>
        <vt:i4>1376309</vt:i4>
      </vt:variant>
      <vt:variant>
        <vt:i4>30</vt:i4>
      </vt:variant>
      <vt:variant>
        <vt:i4>0</vt:i4>
      </vt:variant>
      <vt:variant>
        <vt:i4>5</vt:i4>
      </vt:variant>
      <vt:variant>
        <vt:lpwstr>mailto:andreas.koeberle@uni-jena.de</vt:lpwstr>
      </vt:variant>
      <vt:variant>
        <vt:lpwstr/>
      </vt:variant>
      <vt:variant>
        <vt:i4>6619157</vt:i4>
      </vt:variant>
      <vt:variant>
        <vt:i4>27</vt:i4>
      </vt:variant>
      <vt:variant>
        <vt:i4>0</vt:i4>
      </vt:variant>
      <vt:variant>
        <vt:i4>5</vt:i4>
      </vt:variant>
      <vt:variant>
        <vt:lpwstr>mailto:lena.zobel@cup.uni-muenchen.de</vt:lpwstr>
      </vt:variant>
      <vt:variant>
        <vt:lpwstr/>
      </vt:variant>
      <vt:variant>
        <vt:i4>6553614</vt:i4>
      </vt:variant>
      <vt:variant>
        <vt:i4>24</vt:i4>
      </vt:variant>
      <vt:variant>
        <vt:i4>0</vt:i4>
      </vt:variant>
      <vt:variant>
        <vt:i4>5</vt:i4>
      </vt:variant>
      <vt:variant>
        <vt:lpwstr>mailto:lars.koenig@med.uni-muenchen.de</vt:lpwstr>
      </vt:variant>
      <vt:variant>
        <vt:lpwstr/>
      </vt:variant>
      <vt:variant>
        <vt:i4>3866712</vt:i4>
      </vt:variant>
      <vt:variant>
        <vt:i4>21</vt:i4>
      </vt:variant>
      <vt:variant>
        <vt:i4>0</vt:i4>
      </vt:variant>
      <vt:variant>
        <vt:i4>5</vt:i4>
      </vt:variant>
      <vt:variant>
        <vt:lpwstr>mailto:carina.ortler@gmail.com</vt:lpwstr>
      </vt:variant>
      <vt:variant>
        <vt:lpwstr/>
      </vt:variant>
      <vt:variant>
        <vt:i4>5439613</vt:i4>
      </vt:variant>
      <vt:variant>
        <vt:i4>18</vt:i4>
      </vt:variant>
      <vt:variant>
        <vt:i4>0</vt:i4>
      </vt:variant>
      <vt:variant>
        <vt:i4>5</vt:i4>
      </vt:variant>
      <vt:variant>
        <vt:lpwstr>mailto:petra.cantonati@pmu.ac.at</vt:lpwstr>
      </vt:variant>
      <vt:variant>
        <vt:lpwstr/>
      </vt:variant>
      <vt:variant>
        <vt:i4>6619212</vt:i4>
      </vt:variant>
      <vt:variant>
        <vt:i4>15</vt:i4>
      </vt:variant>
      <vt:variant>
        <vt:i4>0</vt:i4>
      </vt:variant>
      <vt:variant>
        <vt:i4>5</vt:i4>
      </vt:variant>
      <vt:variant>
        <vt:lpwstr>mailto:helmut.pein@uni-jena.de</vt:lpwstr>
      </vt:variant>
      <vt:variant>
        <vt:lpwstr/>
      </vt:variant>
      <vt:variant>
        <vt:i4>6750216</vt:i4>
      </vt:variant>
      <vt:variant>
        <vt:i4>12</vt:i4>
      </vt:variant>
      <vt:variant>
        <vt:i4>0</vt:i4>
      </vt:variant>
      <vt:variant>
        <vt:i4>5</vt:i4>
      </vt:variant>
      <vt:variant>
        <vt:lpwstr>mailto:martin.mueller@cup.uni-muenchen.de</vt:lpwstr>
      </vt:variant>
      <vt:variant>
        <vt:lpwstr/>
      </vt:variant>
      <vt:variant>
        <vt:i4>3604561</vt:i4>
      </vt:variant>
      <vt:variant>
        <vt:i4>9</vt:i4>
      </vt:variant>
      <vt:variant>
        <vt:i4>0</vt:i4>
      </vt:variant>
      <vt:variant>
        <vt:i4>5</vt:i4>
      </vt:variant>
      <vt:variant>
        <vt:lpwstr>mailto:frohlich@genzentrum.lmu.de</vt:lpwstr>
      </vt:variant>
      <vt:variant>
        <vt:lpwstr/>
      </vt:variant>
      <vt:variant>
        <vt:i4>6553668</vt:i4>
      </vt:variant>
      <vt:variant>
        <vt:i4>6</vt:i4>
      </vt:variant>
      <vt:variant>
        <vt:i4>0</vt:i4>
      </vt:variant>
      <vt:variant>
        <vt:i4>5</vt:i4>
      </vt:variant>
      <vt:variant>
        <vt:lpwstr>mailto:maximilian.ardelt@pmu.ac.at</vt:lpwstr>
      </vt:variant>
      <vt:variant>
        <vt:lpwstr/>
      </vt:variant>
      <vt:variant>
        <vt:i4>5111931</vt:i4>
      </vt:variant>
      <vt:variant>
        <vt:i4>3</vt:i4>
      </vt:variant>
      <vt:variant>
        <vt:i4>0</vt:i4>
      </vt:variant>
      <vt:variant>
        <vt:i4>5</vt:i4>
      </vt:variant>
      <vt:variant>
        <vt:lpwstr>mailto:sabine.schmitt@helmholtz-muenchen.de</vt:lpwstr>
      </vt:variant>
      <vt:variant>
        <vt:lpwstr/>
      </vt:variant>
      <vt:variant>
        <vt:i4>4784237</vt:i4>
      </vt:variant>
      <vt:variant>
        <vt:i4>0</vt:i4>
      </vt:variant>
      <vt:variant>
        <vt:i4>0</vt:i4>
      </vt:variant>
      <vt:variant>
        <vt:i4>5</vt:i4>
      </vt:variant>
      <vt:variant>
        <vt:lpwstr>mailto:martina.messner@pmu.ac.at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dc:description/>
  <cp:lastModifiedBy>Ardelt Maximilian Alexander</cp:lastModifiedBy>
  <cp:revision>2</cp:revision>
  <cp:lastPrinted>2020-05-20T17:30:00Z</cp:lastPrinted>
  <dcterms:created xsi:type="dcterms:W3CDTF">2020-12-07T08:50:00Z</dcterms:created>
  <dcterms:modified xsi:type="dcterms:W3CDTF">2020-12-07T08:50:00Z</dcterms:modified>
</cp:coreProperties>
</file>