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31CA2" w14:textId="77777777" w:rsidR="00F02065" w:rsidRDefault="00F02065" w:rsidP="003D2F00">
      <w:pPr>
        <w:spacing w:after="0" w:line="480" w:lineRule="auto"/>
        <w:ind w:left="720"/>
        <w:jc w:val="center"/>
        <w:rPr>
          <w:rFonts w:ascii="Arial" w:hAnsi="Arial" w:cs="Arial"/>
          <w:b/>
          <w:sz w:val="24"/>
          <w:szCs w:val="24"/>
          <w:lang w:val="en-US"/>
        </w:rPr>
      </w:pPr>
      <w:r w:rsidRPr="00F02065">
        <w:rPr>
          <w:rFonts w:ascii="Arial" w:hAnsi="Arial" w:cs="Arial"/>
          <w:b/>
          <w:sz w:val="24"/>
          <w:szCs w:val="24"/>
          <w:lang w:val="en-US"/>
        </w:rPr>
        <w:t>T-cell engager antibodies enable T cells to control HBV infection and to target HBsAg-positive hepatoma in mice</w:t>
      </w:r>
    </w:p>
    <w:p w14:paraId="6888F719" w14:textId="268D5A6F" w:rsidR="00CD12CB" w:rsidRDefault="003D2F00" w:rsidP="003D2F00">
      <w:pPr>
        <w:spacing w:after="0" w:line="480" w:lineRule="auto"/>
        <w:ind w:left="720"/>
        <w:jc w:val="center"/>
        <w:rPr>
          <w:rFonts w:ascii="Arial" w:hAnsi="Arial" w:cs="Arial"/>
          <w:b/>
          <w:sz w:val="24"/>
          <w:szCs w:val="24"/>
          <w:lang w:val="en-US"/>
        </w:rPr>
      </w:pPr>
      <w:r w:rsidRPr="003D2F00">
        <w:rPr>
          <w:rFonts w:ascii="Arial" w:hAnsi="Arial" w:cs="Arial"/>
          <w:b/>
          <w:sz w:val="24"/>
          <w:szCs w:val="24"/>
          <w:lang w:val="en-US"/>
        </w:rPr>
        <w:t>-</w:t>
      </w:r>
      <w:r>
        <w:rPr>
          <w:rFonts w:ascii="Arial" w:hAnsi="Arial" w:cs="Arial"/>
          <w:b/>
          <w:sz w:val="24"/>
          <w:szCs w:val="24"/>
          <w:lang w:val="en-US"/>
        </w:rPr>
        <w:t xml:space="preserve"> </w:t>
      </w:r>
      <w:r w:rsidR="00140089" w:rsidRPr="003D2F00">
        <w:rPr>
          <w:rFonts w:ascii="Arial" w:hAnsi="Arial" w:cs="Arial"/>
          <w:b/>
          <w:sz w:val="24"/>
          <w:szCs w:val="24"/>
          <w:lang w:val="en-US"/>
        </w:rPr>
        <w:t>Supplementary Information</w:t>
      </w:r>
      <w:r w:rsidRPr="003D2F00">
        <w:rPr>
          <w:rFonts w:ascii="Arial" w:hAnsi="Arial" w:cs="Arial"/>
          <w:b/>
          <w:sz w:val="24"/>
          <w:szCs w:val="24"/>
          <w:lang w:val="en-US"/>
        </w:rPr>
        <w:t xml:space="preserve"> </w:t>
      </w:r>
      <w:r w:rsidR="00FB3863">
        <w:rPr>
          <w:rFonts w:ascii="Arial" w:hAnsi="Arial" w:cs="Arial"/>
          <w:b/>
          <w:sz w:val="24"/>
          <w:szCs w:val="24"/>
          <w:lang w:val="en-US"/>
        </w:rPr>
        <w:t>–</w:t>
      </w:r>
    </w:p>
    <w:p w14:paraId="6063BF27" w14:textId="77777777" w:rsidR="00FB3863" w:rsidRPr="003D2F00" w:rsidRDefault="00FB3863" w:rsidP="003D2F00">
      <w:pPr>
        <w:spacing w:after="0" w:line="480" w:lineRule="auto"/>
        <w:ind w:left="720"/>
        <w:jc w:val="center"/>
        <w:rPr>
          <w:rFonts w:ascii="Arial" w:hAnsi="Arial" w:cs="Arial"/>
          <w:b/>
          <w:sz w:val="24"/>
          <w:szCs w:val="24"/>
          <w:lang w:val="en-US"/>
        </w:rPr>
      </w:pPr>
    </w:p>
    <w:p w14:paraId="697C7A0F" w14:textId="4B773D3A" w:rsidR="00CD12CB" w:rsidRPr="003D2F00" w:rsidRDefault="00140089" w:rsidP="00BD405A">
      <w:pPr>
        <w:spacing w:line="480" w:lineRule="auto"/>
        <w:jc w:val="both"/>
        <w:rPr>
          <w:rFonts w:ascii="Arial" w:hAnsi="Arial" w:cs="Arial"/>
          <w:lang w:val="en-US"/>
        </w:rPr>
      </w:pPr>
      <w:r w:rsidRPr="003D2F00">
        <w:rPr>
          <w:rFonts w:ascii="Arial" w:hAnsi="Arial" w:cs="Arial"/>
          <w:lang w:val="en-US"/>
        </w:rPr>
        <w:t>Oliver Quitt</w:t>
      </w:r>
      <w:r w:rsidRPr="003D2F00">
        <w:rPr>
          <w:rFonts w:ascii="Arial" w:hAnsi="Arial" w:cs="Arial"/>
          <w:vertAlign w:val="superscript"/>
          <w:lang w:val="en-US"/>
        </w:rPr>
        <w:t>1,#</w:t>
      </w:r>
      <w:r w:rsidRPr="003D2F00">
        <w:rPr>
          <w:rFonts w:ascii="Arial" w:hAnsi="Arial" w:cs="Arial"/>
          <w:lang w:val="en-US"/>
        </w:rPr>
        <w:t>, Shanshan Luo</w:t>
      </w:r>
      <w:r w:rsidRPr="003D2F00">
        <w:rPr>
          <w:rFonts w:ascii="Arial" w:hAnsi="Arial" w:cs="Arial"/>
          <w:vertAlign w:val="superscript"/>
          <w:lang w:val="en-US"/>
        </w:rPr>
        <w:t>1,8,#</w:t>
      </w:r>
      <w:r w:rsidRPr="003D2F00">
        <w:rPr>
          <w:rFonts w:ascii="Arial" w:hAnsi="Arial" w:cs="Arial"/>
          <w:lang w:val="en-US"/>
        </w:rPr>
        <w:t>, Marten Meyer</w:t>
      </w:r>
      <w:r w:rsidRPr="003D2F00">
        <w:rPr>
          <w:rFonts w:ascii="Arial" w:hAnsi="Arial" w:cs="Arial"/>
          <w:vertAlign w:val="superscript"/>
          <w:lang w:val="en-US"/>
        </w:rPr>
        <w:t>2</w:t>
      </w:r>
      <w:r w:rsidRPr="003D2F00">
        <w:rPr>
          <w:rFonts w:ascii="Arial" w:hAnsi="Arial" w:cs="Arial"/>
          <w:lang w:val="en-US"/>
        </w:rPr>
        <w:t xml:space="preserve">, </w:t>
      </w:r>
      <w:proofErr w:type="spellStart"/>
      <w:r w:rsidRPr="003D2F00">
        <w:rPr>
          <w:rFonts w:ascii="Arial" w:hAnsi="Arial" w:cs="Arial"/>
          <w:lang w:val="en-US"/>
        </w:rPr>
        <w:t>Zhe</w:t>
      </w:r>
      <w:proofErr w:type="spellEnd"/>
      <w:r w:rsidRPr="003D2F00">
        <w:rPr>
          <w:rFonts w:ascii="Arial" w:hAnsi="Arial" w:cs="Arial"/>
          <w:lang w:val="en-US"/>
        </w:rPr>
        <w:t xml:space="preserve"> Xie</w:t>
      </w:r>
      <w:r w:rsidRPr="003D2F00">
        <w:rPr>
          <w:rFonts w:ascii="Arial" w:hAnsi="Arial" w:cs="Arial"/>
          <w:vertAlign w:val="superscript"/>
          <w:lang w:val="en-US"/>
        </w:rPr>
        <w:t>1</w:t>
      </w:r>
      <w:r w:rsidRPr="003D2F00">
        <w:rPr>
          <w:rFonts w:ascii="Arial" w:hAnsi="Arial" w:cs="Arial"/>
          <w:lang w:val="en-US"/>
        </w:rPr>
        <w:t>,</w:t>
      </w:r>
      <w:r w:rsidRPr="003D2F00">
        <w:rPr>
          <w:rFonts w:ascii="Arial" w:hAnsi="Arial" w:cs="Arial"/>
          <w:vertAlign w:val="superscript"/>
          <w:lang w:val="en-US"/>
        </w:rPr>
        <w:t xml:space="preserve"> </w:t>
      </w:r>
      <w:proofErr w:type="spellStart"/>
      <w:r w:rsidRPr="003D2F00">
        <w:rPr>
          <w:rFonts w:ascii="Arial" w:hAnsi="Arial" w:cs="Arial"/>
          <w:lang w:val="en-US"/>
        </w:rPr>
        <w:t>Forough</w:t>
      </w:r>
      <w:proofErr w:type="spellEnd"/>
      <w:r w:rsidRPr="003D2F00">
        <w:rPr>
          <w:rFonts w:ascii="Arial" w:hAnsi="Arial" w:cs="Arial"/>
          <w:lang w:val="en-US"/>
        </w:rPr>
        <w:t xml:space="preserve"> Golsaz-Shirazi</w:t>
      </w:r>
      <w:r w:rsidRPr="003D2F00">
        <w:rPr>
          <w:rFonts w:ascii="Arial" w:hAnsi="Arial" w:cs="Arial"/>
          <w:vertAlign w:val="superscript"/>
          <w:lang w:val="en-US"/>
        </w:rPr>
        <w:t>3</w:t>
      </w:r>
      <w:r w:rsidRPr="003D2F00">
        <w:rPr>
          <w:rFonts w:ascii="Arial" w:hAnsi="Arial" w:cs="Arial"/>
          <w:lang w:val="en-US"/>
        </w:rPr>
        <w:t>, Eva Loffredo-Verde</w:t>
      </w:r>
      <w:r w:rsidRPr="003D2F00">
        <w:rPr>
          <w:rFonts w:ascii="Arial" w:hAnsi="Arial" w:cs="Arial"/>
          <w:vertAlign w:val="superscript"/>
          <w:lang w:val="en-US"/>
        </w:rPr>
        <w:t>1</w:t>
      </w:r>
      <w:r w:rsidRPr="003D2F00">
        <w:rPr>
          <w:rFonts w:ascii="Arial" w:hAnsi="Arial" w:cs="Arial"/>
          <w:lang w:val="en-US"/>
        </w:rPr>
        <w:t>, Julia Festag</w:t>
      </w:r>
      <w:r w:rsidRPr="003D2F00">
        <w:rPr>
          <w:rFonts w:ascii="Arial" w:hAnsi="Arial" w:cs="Arial"/>
          <w:vertAlign w:val="superscript"/>
          <w:lang w:val="en-US"/>
        </w:rPr>
        <w:t>1</w:t>
      </w:r>
      <w:r w:rsidRPr="003D2F00">
        <w:rPr>
          <w:rFonts w:ascii="Arial" w:hAnsi="Arial" w:cs="Arial"/>
          <w:lang w:val="en-US"/>
        </w:rPr>
        <w:t>, Jan H</w:t>
      </w:r>
      <w:r w:rsidR="00357EED" w:rsidRPr="003D2F00">
        <w:rPr>
          <w:rFonts w:ascii="Arial" w:hAnsi="Arial" w:cs="Arial"/>
          <w:lang w:val="en-US"/>
        </w:rPr>
        <w:t>end</w:t>
      </w:r>
      <w:r w:rsidR="00BD405A" w:rsidRPr="003D2F00">
        <w:rPr>
          <w:rFonts w:ascii="Arial" w:hAnsi="Arial" w:cs="Arial"/>
          <w:lang w:val="en-US"/>
        </w:rPr>
        <w:t>r</w:t>
      </w:r>
      <w:r w:rsidR="00357EED" w:rsidRPr="003D2F00">
        <w:rPr>
          <w:rFonts w:ascii="Arial" w:hAnsi="Arial" w:cs="Arial"/>
          <w:lang w:val="en-US"/>
        </w:rPr>
        <w:t>ik</w:t>
      </w:r>
      <w:r w:rsidRPr="003D2F00">
        <w:rPr>
          <w:rFonts w:ascii="Arial" w:hAnsi="Arial" w:cs="Arial"/>
          <w:lang w:val="en-US"/>
        </w:rPr>
        <w:t xml:space="preserve"> Bockmann</w:t>
      </w:r>
      <w:r w:rsidRPr="003D2F00">
        <w:rPr>
          <w:rFonts w:ascii="Arial" w:hAnsi="Arial" w:cs="Arial"/>
          <w:vertAlign w:val="superscript"/>
          <w:lang w:val="en-US"/>
        </w:rPr>
        <w:t>1,5,6</w:t>
      </w:r>
      <w:r w:rsidRPr="003D2F00">
        <w:rPr>
          <w:rFonts w:ascii="Arial" w:hAnsi="Arial" w:cs="Arial"/>
          <w:lang w:val="en-US"/>
        </w:rPr>
        <w:t>, Lili Zhao</w:t>
      </w:r>
      <w:r w:rsidRPr="003D2F00">
        <w:rPr>
          <w:rFonts w:ascii="Arial" w:hAnsi="Arial" w:cs="Arial"/>
          <w:vertAlign w:val="superscript"/>
          <w:lang w:val="en-US"/>
        </w:rPr>
        <w:t>1</w:t>
      </w:r>
      <w:r w:rsidRPr="003D2F00">
        <w:rPr>
          <w:rFonts w:ascii="Arial" w:hAnsi="Arial" w:cs="Arial"/>
          <w:lang w:val="en-US"/>
        </w:rPr>
        <w:t>, Daniela Stadler</w:t>
      </w:r>
      <w:r w:rsidRPr="003D2F00">
        <w:rPr>
          <w:rFonts w:ascii="Arial" w:hAnsi="Arial" w:cs="Arial"/>
          <w:vertAlign w:val="superscript"/>
          <w:lang w:val="en-US"/>
        </w:rPr>
        <w:t>1</w:t>
      </w:r>
      <w:r w:rsidRPr="003D2F00">
        <w:rPr>
          <w:rFonts w:ascii="Arial" w:hAnsi="Arial" w:cs="Arial"/>
          <w:lang w:val="en-US"/>
        </w:rPr>
        <w:t>, Wen-Min Chou</w:t>
      </w:r>
      <w:r w:rsidRPr="003D2F00">
        <w:rPr>
          <w:rFonts w:ascii="Arial" w:hAnsi="Arial" w:cs="Arial"/>
          <w:vertAlign w:val="superscript"/>
          <w:lang w:val="en-US"/>
        </w:rPr>
        <w:t>1</w:t>
      </w:r>
      <w:r w:rsidRPr="003D2F00">
        <w:rPr>
          <w:rFonts w:ascii="Arial" w:hAnsi="Arial" w:cs="Arial"/>
          <w:lang w:val="en-US"/>
        </w:rPr>
        <w:t xml:space="preserve">, </w:t>
      </w:r>
      <w:proofErr w:type="spellStart"/>
      <w:r w:rsidRPr="003D2F00">
        <w:rPr>
          <w:rFonts w:ascii="Arial" w:hAnsi="Arial" w:cs="Arial"/>
          <w:lang w:val="en-US"/>
        </w:rPr>
        <w:t>Raindy</w:t>
      </w:r>
      <w:proofErr w:type="spellEnd"/>
      <w:r w:rsidRPr="003D2F00">
        <w:rPr>
          <w:rFonts w:ascii="Arial" w:hAnsi="Arial" w:cs="Arial"/>
          <w:lang w:val="en-US"/>
        </w:rPr>
        <w:t xml:space="preserve"> Tedjokusumo</w:t>
      </w:r>
      <w:r w:rsidRPr="003D2F00">
        <w:rPr>
          <w:rFonts w:ascii="Arial" w:hAnsi="Arial" w:cs="Arial"/>
          <w:vertAlign w:val="superscript"/>
          <w:lang w:val="en-US"/>
        </w:rPr>
        <w:t>1</w:t>
      </w:r>
      <w:r w:rsidRPr="003D2F00">
        <w:rPr>
          <w:rFonts w:ascii="Arial" w:hAnsi="Arial" w:cs="Arial"/>
          <w:lang w:val="en-US"/>
        </w:rPr>
        <w:t>, Jochen M</w:t>
      </w:r>
      <w:r w:rsidR="00357EED" w:rsidRPr="003D2F00">
        <w:rPr>
          <w:rFonts w:ascii="Arial" w:hAnsi="Arial" w:cs="Arial"/>
          <w:lang w:val="en-US"/>
        </w:rPr>
        <w:t>artin</w:t>
      </w:r>
      <w:r w:rsidRPr="003D2F00">
        <w:rPr>
          <w:rFonts w:ascii="Arial" w:hAnsi="Arial" w:cs="Arial"/>
          <w:lang w:val="en-US"/>
        </w:rPr>
        <w:t xml:space="preserve"> Wettengel</w:t>
      </w:r>
      <w:r w:rsidRPr="003D2F00">
        <w:rPr>
          <w:rFonts w:ascii="Arial" w:hAnsi="Arial" w:cs="Arial"/>
          <w:vertAlign w:val="superscript"/>
          <w:lang w:val="en-US"/>
        </w:rPr>
        <w:t>1</w:t>
      </w:r>
      <w:r w:rsidRPr="003D2F00">
        <w:rPr>
          <w:rFonts w:ascii="Arial" w:hAnsi="Arial" w:cs="Arial"/>
          <w:lang w:val="en-US"/>
        </w:rPr>
        <w:t>, Chunkyu Ko</w:t>
      </w:r>
      <w:r w:rsidRPr="003D2F00">
        <w:rPr>
          <w:rFonts w:ascii="Arial" w:hAnsi="Arial" w:cs="Arial"/>
          <w:vertAlign w:val="superscript"/>
          <w:lang w:val="en-US"/>
        </w:rPr>
        <w:t>1</w:t>
      </w:r>
      <w:r w:rsidRPr="003D2F00">
        <w:rPr>
          <w:rFonts w:ascii="Arial" w:hAnsi="Arial" w:cs="Arial"/>
          <w:lang w:val="en-US"/>
        </w:rPr>
        <w:t>, Elfriede Nößner</w:t>
      </w:r>
      <w:r w:rsidR="00357EED" w:rsidRPr="003D2F00">
        <w:rPr>
          <w:rFonts w:ascii="Arial" w:hAnsi="Arial" w:cs="Arial"/>
          <w:vertAlign w:val="superscript"/>
          <w:lang w:val="en-US"/>
        </w:rPr>
        <w:t>1</w:t>
      </w:r>
      <w:r w:rsidRPr="003D2F00">
        <w:rPr>
          <w:rFonts w:ascii="Arial" w:hAnsi="Arial" w:cs="Arial"/>
          <w:lang w:val="en-US"/>
        </w:rPr>
        <w:t>, Nadja Bulbuc</w:t>
      </w:r>
      <w:r w:rsidRPr="003D2F00">
        <w:rPr>
          <w:rFonts w:ascii="Arial" w:hAnsi="Arial" w:cs="Arial"/>
          <w:vertAlign w:val="superscript"/>
          <w:lang w:val="en-US"/>
        </w:rPr>
        <w:t>2</w:t>
      </w:r>
      <w:r w:rsidRPr="003D2F00">
        <w:rPr>
          <w:rFonts w:ascii="Arial" w:hAnsi="Arial" w:cs="Arial"/>
          <w:lang w:val="en-US"/>
        </w:rPr>
        <w:t>, Fazel Shokri</w:t>
      </w:r>
      <w:r w:rsidRPr="003D2F00">
        <w:rPr>
          <w:rFonts w:ascii="Arial" w:hAnsi="Arial" w:cs="Arial"/>
          <w:vertAlign w:val="superscript"/>
          <w:lang w:val="en-US"/>
        </w:rPr>
        <w:t>3</w:t>
      </w:r>
      <w:r w:rsidRPr="003D2F00">
        <w:rPr>
          <w:rFonts w:ascii="Arial" w:hAnsi="Arial" w:cs="Arial"/>
          <w:lang w:val="en-US"/>
        </w:rPr>
        <w:t>, Sandra Lüttgau</w:t>
      </w:r>
      <w:r w:rsidRPr="003D2F00">
        <w:rPr>
          <w:rFonts w:ascii="Arial" w:hAnsi="Arial" w:cs="Arial"/>
          <w:vertAlign w:val="superscript"/>
          <w:lang w:val="en-US"/>
        </w:rPr>
        <w:t>4</w:t>
      </w:r>
      <w:r w:rsidRPr="003D2F00">
        <w:rPr>
          <w:rFonts w:ascii="Arial" w:hAnsi="Arial" w:cs="Arial"/>
          <w:lang w:val="en-US"/>
        </w:rPr>
        <w:t>, Mathias Heikenwälder</w:t>
      </w:r>
      <w:r w:rsidRPr="003D2F00">
        <w:rPr>
          <w:rFonts w:ascii="Arial" w:hAnsi="Arial" w:cs="Arial"/>
          <w:vertAlign w:val="superscript"/>
          <w:lang w:val="en-US"/>
        </w:rPr>
        <w:t>1</w:t>
      </w:r>
      <w:r w:rsidRPr="003D2F00">
        <w:rPr>
          <w:rFonts w:ascii="Arial" w:hAnsi="Arial" w:cs="Arial"/>
          <w:lang w:val="en-US"/>
        </w:rPr>
        <w:t>, Felix Bohne</w:t>
      </w:r>
      <w:r w:rsidRPr="003D2F00">
        <w:rPr>
          <w:rFonts w:ascii="Arial" w:hAnsi="Arial" w:cs="Arial"/>
          <w:vertAlign w:val="superscript"/>
          <w:lang w:val="en-US"/>
        </w:rPr>
        <w:t>1</w:t>
      </w:r>
      <w:r w:rsidRPr="003D2F00">
        <w:rPr>
          <w:rFonts w:ascii="Arial" w:hAnsi="Arial" w:cs="Arial"/>
          <w:lang w:val="en-US"/>
        </w:rPr>
        <w:t>, Gerhard Moldenhauer</w:t>
      </w:r>
      <w:r w:rsidRPr="003D2F00">
        <w:rPr>
          <w:rFonts w:ascii="Arial" w:hAnsi="Arial" w:cs="Arial"/>
          <w:vertAlign w:val="superscript"/>
          <w:lang w:val="en-US"/>
        </w:rPr>
        <w:t>4</w:t>
      </w:r>
      <w:r w:rsidRPr="003D2F00">
        <w:rPr>
          <w:rFonts w:ascii="Arial" w:hAnsi="Arial" w:cs="Arial"/>
          <w:lang w:val="en-US"/>
        </w:rPr>
        <w:t>, Frank Momburg</w:t>
      </w:r>
      <w:r w:rsidRPr="003D2F00">
        <w:rPr>
          <w:rFonts w:ascii="Arial" w:hAnsi="Arial" w:cs="Arial"/>
          <w:vertAlign w:val="superscript"/>
          <w:lang w:val="en-US"/>
        </w:rPr>
        <w:t>2</w:t>
      </w:r>
      <w:r w:rsidRPr="003D2F00">
        <w:rPr>
          <w:rFonts w:ascii="Arial" w:hAnsi="Arial" w:cs="Arial"/>
          <w:lang w:val="en-US"/>
        </w:rPr>
        <w:t>, Ulrike Protzer</w:t>
      </w:r>
      <w:r w:rsidRPr="003D2F00">
        <w:rPr>
          <w:rFonts w:ascii="Arial" w:hAnsi="Arial" w:cs="Arial"/>
          <w:vertAlign w:val="superscript"/>
          <w:lang w:val="en-US"/>
        </w:rPr>
        <w:t>1,5,*</w:t>
      </w:r>
    </w:p>
    <w:p w14:paraId="67637494" w14:textId="3E20480E" w:rsidR="00CD12CB" w:rsidRPr="003D2F00" w:rsidRDefault="00140089" w:rsidP="00FB3863">
      <w:pPr>
        <w:spacing w:line="480" w:lineRule="auto"/>
        <w:ind w:firstLine="708"/>
        <w:jc w:val="both"/>
        <w:rPr>
          <w:rFonts w:ascii="Arial" w:hAnsi="Arial" w:cs="Arial"/>
          <w:lang w:val="en-US"/>
        </w:rPr>
      </w:pPr>
      <w:r w:rsidRPr="003D2F00">
        <w:rPr>
          <w:rFonts w:ascii="Arial" w:hAnsi="Arial" w:cs="Arial"/>
          <w:vertAlign w:val="superscript"/>
          <w:lang w:val="en-US"/>
        </w:rPr>
        <w:t xml:space="preserve"># </w:t>
      </w:r>
      <w:r w:rsidR="00FB3863">
        <w:rPr>
          <w:rFonts w:ascii="Arial" w:hAnsi="Arial" w:cs="Arial"/>
          <w:lang w:val="en-US"/>
        </w:rPr>
        <w:t>b</w:t>
      </w:r>
      <w:r w:rsidRPr="003D2F00">
        <w:rPr>
          <w:rFonts w:ascii="Arial" w:hAnsi="Arial" w:cs="Arial"/>
          <w:lang w:val="en-US"/>
        </w:rPr>
        <w:t>oth authors contributed equally to the work</w:t>
      </w:r>
      <w:r w:rsidR="00FB3863">
        <w:rPr>
          <w:rFonts w:ascii="Arial" w:hAnsi="Arial" w:cs="Arial"/>
          <w:lang w:val="en-US"/>
        </w:rPr>
        <w:t>; *corresponding author</w:t>
      </w:r>
    </w:p>
    <w:p w14:paraId="6AF5FBE6" w14:textId="77777777" w:rsidR="00FB3863" w:rsidRDefault="00FB3863" w:rsidP="00FB3863">
      <w:pPr>
        <w:spacing w:line="360" w:lineRule="auto"/>
        <w:jc w:val="both"/>
        <w:rPr>
          <w:rFonts w:ascii="Arial" w:hAnsi="Arial" w:cs="Arial"/>
          <w:vertAlign w:val="superscript"/>
          <w:lang w:val="en-US"/>
        </w:rPr>
      </w:pPr>
    </w:p>
    <w:p w14:paraId="6D7C3784" w14:textId="190EE1B8" w:rsidR="00CD12CB" w:rsidRPr="003D2F00" w:rsidRDefault="00140089" w:rsidP="00FB3863">
      <w:pPr>
        <w:spacing w:line="360" w:lineRule="auto"/>
        <w:jc w:val="both"/>
        <w:rPr>
          <w:rFonts w:ascii="Arial" w:hAnsi="Arial" w:cs="Arial"/>
          <w:lang w:val="en-US"/>
        </w:rPr>
      </w:pPr>
      <w:r w:rsidRPr="003D2F00">
        <w:rPr>
          <w:rFonts w:ascii="Arial" w:hAnsi="Arial" w:cs="Arial"/>
          <w:vertAlign w:val="superscript"/>
          <w:lang w:val="en-US"/>
        </w:rPr>
        <w:t>1</w:t>
      </w:r>
      <w:r w:rsidRPr="003D2F00">
        <w:rPr>
          <w:rFonts w:ascii="Arial" w:hAnsi="Arial" w:cs="Arial"/>
          <w:lang w:val="en-US"/>
        </w:rPr>
        <w:t xml:space="preserve">Institute of Virology, School of Medicine, Technical University of Munich / Helmholtz </w:t>
      </w:r>
      <w:proofErr w:type="spellStart"/>
      <w:r w:rsidRPr="003D2F00">
        <w:rPr>
          <w:rFonts w:ascii="Arial" w:hAnsi="Arial" w:cs="Arial"/>
          <w:lang w:val="en-US"/>
        </w:rPr>
        <w:t>Zentrum</w:t>
      </w:r>
      <w:proofErr w:type="spellEnd"/>
      <w:r w:rsidRPr="003D2F00">
        <w:rPr>
          <w:rFonts w:ascii="Arial" w:hAnsi="Arial" w:cs="Arial"/>
          <w:lang w:val="en-US"/>
        </w:rPr>
        <w:t xml:space="preserve"> München, Munich, Germany</w:t>
      </w:r>
    </w:p>
    <w:p w14:paraId="516AB66B" w14:textId="77777777" w:rsidR="00CD12CB" w:rsidRPr="003D2F00" w:rsidRDefault="00140089" w:rsidP="00FB3863">
      <w:pPr>
        <w:spacing w:line="360" w:lineRule="auto"/>
        <w:jc w:val="both"/>
        <w:rPr>
          <w:rFonts w:ascii="Arial" w:hAnsi="Arial" w:cs="Arial"/>
          <w:lang w:val="en-US"/>
        </w:rPr>
      </w:pPr>
      <w:r w:rsidRPr="003D2F00">
        <w:rPr>
          <w:rFonts w:ascii="Arial" w:hAnsi="Arial" w:cs="Arial"/>
          <w:vertAlign w:val="superscript"/>
          <w:lang w:val="en-US"/>
        </w:rPr>
        <w:t>2</w:t>
      </w:r>
      <w:r w:rsidRPr="003D2F00">
        <w:rPr>
          <w:rFonts w:ascii="Arial" w:hAnsi="Arial" w:cs="Arial"/>
          <w:lang w:val="en-US"/>
        </w:rPr>
        <w:t>Antigen Presentation and T/NK Cell Activation Group, Clinical Cooperation Unit Applied Tumor Immunity, German Cancer Research Centre, Heidelberg, Germany</w:t>
      </w:r>
    </w:p>
    <w:p w14:paraId="05E4FD44" w14:textId="53611A2B" w:rsidR="00CD12CB" w:rsidRPr="003D2F00" w:rsidRDefault="00140089" w:rsidP="00FB3863">
      <w:pPr>
        <w:spacing w:line="360" w:lineRule="auto"/>
        <w:jc w:val="both"/>
        <w:rPr>
          <w:rFonts w:ascii="Arial" w:hAnsi="Arial" w:cs="Arial"/>
          <w:lang w:val="en-US"/>
        </w:rPr>
      </w:pPr>
      <w:r w:rsidRPr="003D2F00">
        <w:rPr>
          <w:rFonts w:ascii="Arial" w:hAnsi="Arial" w:cs="Arial"/>
          <w:vertAlign w:val="superscript"/>
          <w:lang w:val="en-US"/>
        </w:rPr>
        <w:t>3</w:t>
      </w:r>
      <w:r w:rsidRPr="003D2F00">
        <w:rPr>
          <w:rFonts w:ascii="Arial" w:hAnsi="Arial" w:cs="Arial"/>
          <w:lang w:val="en-US"/>
        </w:rPr>
        <w:t>Department of Immunology, School of Public Health, Tehran University of Medical Sciences, Tehran, Iran</w:t>
      </w:r>
    </w:p>
    <w:p w14:paraId="3CD4DDBD" w14:textId="77777777" w:rsidR="00CD12CB" w:rsidRPr="003D2F00" w:rsidRDefault="00140089" w:rsidP="00FB3863">
      <w:pPr>
        <w:spacing w:line="360" w:lineRule="auto"/>
        <w:jc w:val="both"/>
        <w:rPr>
          <w:rFonts w:ascii="Arial" w:hAnsi="Arial" w:cs="Arial"/>
          <w:lang w:val="en-US"/>
        </w:rPr>
      </w:pPr>
      <w:r w:rsidRPr="003D2F00">
        <w:rPr>
          <w:rFonts w:ascii="Arial" w:hAnsi="Arial" w:cs="Arial"/>
          <w:vertAlign w:val="superscript"/>
          <w:lang w:val="en-US"/>
        </w:rPr>
        <w:t>4</w:t>
      </w:r>
      <w:r w:rsidRPr="003D2F00">
        <w:rPr>
          <w:rFonts w:ascii="Arial" w:hAnsi="Arial" w:cs="Arial"/>
          <w:lang w:val="en-US"/>
        </w:rPr>
        <w:t>Department of Translational Immunology, German Cancer Research Centre, Heidelberg, Germany</w:t>
      </w:r>
    </w:p>
    <w:p w14:paraId="4D4B72CD" w14:textId="77777777" w:rsidR="00CD12CB" w:rsidRPr="003D2F00" w:rsidRDefault="00140089" w:rsidP="00FB3863">
      <w:pPr>
        <w:spacing w:line="360" w:lineRule="auto"/>
        <w:jc w:val="both"/>
        <w:rPr>
          <w:rFonts w:ascii="Arial" w:hAnsi="Arial" w:cs="Arial"/>
          <w:lang w:val="en-US"/>
        </w:rPr>
      </w:pPr>
      <w:r w:rsidRPr="003D2F00">
        <w:rPr>
          <w:rFonts w:ascii="Arial" w:hAnsi="Arial" w:cs="Arial"/>
          <w:vertAlign w:val="superscript"/>
          <w:lang w:val="en-US"/>
        </w:rPr>
        <w:t>5</w:t>
      </w:r>
      <w:r w:rsidRPr="003D2F00">
        <w:rPr>
          <w:rFonts w:ascii="Arial" w:hAnsi="Arial" w:cs="Arial"/>
          <w:lang w:val="en-US"/>
        </w:rPr>
        <w:t>German Center for Infection Research (DZIF), Munich and Hamburg partner sites, Germany</w:t>
      </w:r>
    </w:p>
    <w:p w14:paraId="628005D3" w14:textId="77777777" w:rsidR="00CD12CB" w:rsidRPr="003D2F00" w:rsidRDefault="00140089" w:rsidP="00FB3863">
      <w:pPr>
        <w:spacing w:line="360" w:lineRule="auto"/>
        <w:jc w:val="both"/>
        <w:rPr>
          <w:rFonts w:ascii="Arial" w:hAnsi="Arial" w:cs="Arial"/>
          <w:iCs/>
          <w:shd w:val="clear" w:color="auto" w:fill="FFFFFF"/>
          <w:lang w:val="en-US"/>
        </w:rPr>
      </w:pPr>
      <w:r w:rsidRPr="003D2F00">
        <w:rPr>
          <w:rFonts w:ascii="Arial" w:hAnsi="Arial" w:cs="Arial"/>
          <w:iCs/>
          <w:shd w:val="clear" w:color="auto" w:fill="FFFFFF"/>
          <w:vertAlign w:val="superscript"/>
          <w:lang w:val="en-US"/>
        </w:rPr>
        <w:t>6</w:t>
      </w:r>
      <w:r w:rsidRPr="003D2F00">
        <w:rPr>
          <w:rFonts w:ascii="Arial" w:hAnsi="Arial" w:cs="Arial"/>
          <w:iCs/>
          <w:shd w:val="clear" w:color="auto" w:fill="FFFFFF"/>
          <w:lang w:val="en-US"/>
        </w:rPr>
        <w:t>Department of Internal Medicine, University Medical Center Hamburg-Eppendorf, Hamburg, Germany</w:t>
      </w:r>
    </w:p>
    <w:p w14:paraId="189772EB" w14:textId="4B0120A0" w:rsidR="00FB3863" w:rsidRDefault="00357EED" w:rsidP="00FB3863">
      <w:pPr>
        <w:spacing w:line="360" w:lineRule="auto"/>
        <w:jc w:val="both"/>
        <w:rPr>
          <w:rFonts w:ascii="Arial" w:hAnsi="Arial" w:cs="Arial"/>
          <w:lang w:val="en-US"/>
        </w:rPr>
      </w:pPr>
      <w:r w:rsidRPr="003D2F00">
        <w:rPr>
          <w:rFonts w:ascii="Arial" w:hAnsi="Arial" w:cs="Arial"/>
          <w:vertAlign w:val="superscript"/>
          <w:lang w:val="en-US"/>
        </w:rPr>
        <w:t>7</w:t>
      </w:r>
      <w:r w:rsidR="00140089" w:rsidRPr="003D2F00">
        <w:rPr>
          <w:rFonts w:ascii="Arial" w:hAnsi="Arial" w:cs="Arial"/>
          <w:lang w:val="en-US"/>
        </w:rPr>
        <w:t>Current address:</w:t>
      </w:r>
      <w:r w:rsidR="00140089" w:rsidRPr="003D2F00">
        <w:rPr>
          <w:rFonts w:ascii="Arial" w:hAnsi="Arial" w:cs="Arial"/>
          <w:vertAlign w:val="superscript"/>
          <w:lang w:val="en-US"/>
        </w:rPr>
        <w:t xml:space="preserve"> </w:t>
      </w:r>
      <w:r w:rsidR="00140089" w:rsidRPr="003D2F00">
        <w:rPr>
          <w:rFonts w:ascii="Arial" w:hAnsi="Arial" w:cs="Arial"/>
          <w:lang w:val="en-US"/>
        </w:rPr>
        <w:t>Institute of Hematology, Union Hospital, Tongji Medical College, Huazhong University of Science and Technology, Wuhan, China</w:t>
      </w:r>
    </w:p>
    <w:p w14:paraId="15B2DDAA" w14:textId="77777777" w:rsidR="00FB3863" w:rsidRDefault="00FB3863">
      <w:pPr>
        <w:rPr>
          <w:rFonts w:ascii="Arial" w:hAnsi="Arial" w:cs="Arial"/>
          <w:lang w:val="en-US"/>
        </w:rPr>
      </w:pPr>
    </w:p>
    <w:p w14:paraId="054D88F3" w14:textId="444152B6" w:rsidR="00FB3863" w:rsidRDefault="00FB3863">
      <w:pPr>
        <w:rPr>
          <w:rFonts w:ascii="Arial" w:hAnsi="Arial" w:cs="Arial"/>
          <w:lang w:val="en-US"/>
        </w:rPr>
      </w:pPr>
      <w:r w:rsidRPr="00FB3863">
        <w:rPr>
          <w:rFonts w:ascii="Arial" w:hAnsi="Arial" w:cs="Arial"/>
          <w:u w:val="single"/>
          <w:lang w:val="en-US"/>
        </w:rPr>
        <w:t>Remark</w:t>
      </w:r>
      <w:r>
        <w:rPr>
          <w:rFonts w:ascii="Arial" w:hAnsi="Arial" w:cs="Arial"/>
          <w:lang w:val="en-US"/>
        </w:rPr>
        <w:t xml:space="preserve">: </w:t>
      </w:r>
      <w:r w:rsidRPr="003D2F00">
        <w:rPr>
          <w:rFonts w:ascii="Arial" w:hAnsi="Arial" w:cs="Arial"/>
          <w:lang w:val="en-US"/>
        </w:rPr>
        <w:t>No additional investigators contributed to the study</w:t>
      </w:r>
      <w:r>
        <w:rPr>
          <w:rFonts w:ascii="Arial" w:hAnsi="Arial" w:cs="Arial"/>
          <w:lang w:val="en-US"/>
        </w:rPr>
        <w:t xml:space="preserve"> </w:t>
      </w:r>
      <w:r>
        <w:rPr>
          <w:rFonts w:ascii="Arial" w:hAnsi="Arial" w:cs="Arial"/>
          <w:lang w:val="en-US"/>
        </w:rPr>
        <w:br w:type="page"/>
      </w:r>
    </w:p>
    <w:p w14:paraId="07DC6E02" w14:textId="61645E94" w:rsidR="00CB4D32" w:rsidRPr="003D2F00" w:rsidRDefault="00CB4D32" w:rsidP="00BD405A">
      <w:pPr>
        <w:spacing w:line="480" w:lineRule="auto"/>
        <w:rPr>
          <w:rFonts w:ascii="Arial" w:hAnsi="Arial" w:cs="Arial"/>
          <w:b/>
          <w:lang w:val="en-US"/>
        </w:rPr>
      </w:pPr>
      <w:r w:rsidRPr="003D2F00">
        <w:rPr>
          <w:rFonts w:ascii="Arial" w:hAnsi="Arial" w:cs="Arial"/>
          <w:b/>
          <w:lang w:val="en-US"/>
        </w:rPr>
        <w:lastRenderedPageBreak/>
        <w:t>Table of content</w:t>
      </w:r>
    </w:p>
    <w:sdt>
      <w:sdtPr>
        <w:rPr>
          <w:rFonts w:ascii="Calibri" w:hAnsi="Calibri" w:cs="Arial"/>
          <w:sz w:val="22"/>
        </w:rPr>
        <w:id w:val="1807044989"/>
        <w:docPartObj>
          <w:docPartGallery w:val="Table of Contents"/>
          <w:docPartUnique/>
        </w:docPartObj>
      </w:sdtPr>
      <w:sdtEndPr>
        <w:rPr>
          <w:b/>
          <w:bCs/>
        </w:rPr>
      </w:sdtEndPr>
      <w:sdtContent>
        <w:p w14:paraId="639D7993" w14:textId="2EE78CE6" w:rsidR="00BD405A" w:rsidRPr="00FB3863" w:rsidRDefault="0094012C" w:rsidP="00FB3863">
          <w:pPr>
            <w:pStyle w:val="TOC1"/>
            <w:tabs>
              <w:tab w:val="right" w:leader="dot" w:pos="9062"/>
            </w:tabs>
            <w:spacing w:line="360" w:lineRule="auto"/>
            <w:rPr>
              <w:rFonts w:asciiTheme="minorHAnsi" w:eastAsiaTheme="minorEastAsia" w:hAnsiTheme="minorHAnsi" w:cstheme="minorBidi"/>
              <w:noProof/>
              <w:sz w:val="22"/>
              <w:lang w:val="en-GB" w:eastAsia="en-GB"/>
            </w:rPr>
          </w:pPr>
          <w:r w:rsidRPr="00FB3863">
            <w:rPr>
              <w:rFonts w:cs="Arial"/>
              <w:b/>
              <w:bCs/>
              <w:sz w:val="22"/>
            </w:rPr>
            <w:fldChar w:fldCharType="begin"/>
          </w:r>
          <w:r w:rsidRPr="00FB3863">
            <w:rPr>
              <w:rFonts w:cs="Arial"/>
              <w:b/>
              <w:bCs/>
              <w:sz w:val="22"/>
            </w:rPr>
            <w:instrText xml:space="preserve"> TOC \o "1-3" \h \z \u </w:instrText>
          </w:r>
          <w:r w:rsidRPr="00FB3863">
            <w:rPr>
              <w:rFonts w:cs="Arial"/>
              <w:b/>
              <w:bCs/>
              <w:sz w:val="22"/>
            </w:rPr>
            <w:fldChar w:fldCharType="separate"/>
          </w:r>
          <w:hyperlink w:anchor="_Toc72323394" w:history="1">
            <w:r w:rsidR="00BD405A" w:rsidRPr="00FB3863">
              <w:rPr>
                <w:rStyle w:val="Hyperlink"/>
                <w:noProof/>
                <w:sz w:val="22"/>
                <w:lang w:val="en-US"/>
              </w:rPr>
              <w:t>Supplementary Material and Methods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_Toc72323394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3</w:t>
            </w:r>
            <w:r w:rsidR="00BD405A" w:rsidRPr="00FB3863">
              <w:rPr>
                <w:noProof/>
                <w:webHidden/>
                <w:sz w:val="22"/>
              </w:rPr>
              <w:fldChar w:fldCharType="end"/>
            </w:r>
          </w:hyperlink>
        </w:p>
        <w:p w14:paraId="2B4DF8B6" w14:textId="2069985B"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395" w:history="1">
            <w:r w:rsidR="00BD405A" w:rsidRPr="00FB3863">
              <w:rPr>
                <w:rStyle w:val="Hyperlink"/>
                <w:noProof/>
                <w:sz w:val="22"/>
                <w:lang w:val="en-US"/>
              </w:rPr>
              <w:t>Structure and generation of BiMAb recognizing HBVenv</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_Toc72323395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4</w:t>
            </w:r>
            <w:r w:rsidR="00BD405A" w:rsidRPr="00FB3863">
              <w:rPr>
                <w:noProof/>
                <w:webHidden/>
                <w:sz w:val="22"/>
              </w:rPr>
              <w:fldChar w:fldCharType="end"/>
            </w:r>
          </w:hyperlink>
        </w:p>
        <w:p w14:paraId="694B1EB4" w14:textId="23B30555"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396" w:history="1">
            <w:r w:rsidR="00BD405A" w:rsidRPr="00FB3863">
              <w:rPr>
                <w:rStyle w:val="Hyperlink"/>
                <w:noProof/>
                <w:sz w:val="22"/>
                <w:lang w:val="en-US"/>
              </w:rPr>
              <w:t>Structure and generation of FabMAb recognizing HBVenv</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_Toc72323396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5</w:t>
            </w:r>
            <w:r w:rsidR="00BD405A" w:rsidRPr="00FB3863">
              <w:rPr>
                <w:noProof/>
                <w:webHidden/>
                <w:sz w:val="22"/>
              </w:rPr>
              <w:fldChar w:fldCharType="end"/>
            </w:r>
          </w:hyperlink>
        </w:p>
        <w:p w14:paraId="01E5CF43" w14:textId="1C9EC8BF"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397" w:history="1">
            <w:r w:rsidR="00BD405A" w:rsidRPr="00FB3863">
              <w:rPr>
                <w:rStyle w:val="Hyperlink"/>
                <w:noProof/>
                <w:sz w:val="22"/>
                <w:lang w:val="en-US"/>
              </w:rPr>
              <w:t>Production and purification of bsAbs.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_Toc72323397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6</w:t>
            </w:r>
            <w:r w:rsidR="00BD405A" w:rsidRPr="00FB3863">
              <w:rPr>
                <w:noProof/>
                <w:webHidden/>
                <w:sz w:val="22"/>
              </w:rPr>
              <w:fldChar w:fldCharType="end"/>
            </w:r>
          </w:hyperlink>
        </w:p>
        <w:p w14:paraId="684CF815" w14:textId="056BE663"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398" w:history="1">
            <w:r w:rsidR="00BD405A" w:rsidRPr="00FB3863">
              <w:rPr>
                <w:rStyle w:val="Hyperlink"/>
                <w:noProof/>
                <w:sz w:val="22"/>
                <w:lang w:val="en-US"/>
              </w:rPr>
              <w:t>SDS-polyacrylamide gel electrophoresis and Western blot analysis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_Toc72323398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6</w:t>
            </w:r>
            <w:r w:rsidR="00BD405A" w:rsidRPr="00FB3863">
              <w:rPr>
                <w:noProof/>
                <w:webHidden/>
                <w:sz w:val="22"/>
              </w:rPr>
              <w:fldChar w:fldCharType="end"/>
            </w:r>
          </w:hyperlink>
        </w:p>
        <w:p w14:paraId="6BD6270E" w14:textId="28389978"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399" w:history="1">
            <w:r w:rsidR="00BD405A" w:rsidRPr="00FB3863">
              <w:rPr>
                <w:rStyle w:val="Hyperlink"/>
                <w:noProof/>
                <w:sz w:val="22"/>
                <w:shd w:val="clear" w:color="auto" w:fill="FFFFFF"/>
                <w:lang w:val="en-US"/>
              </w:rPr>
              <w:t xml:space="preserve">ELISA for analysis of HBsAg-binding and </w:t>
            </w:r>
            <w:r w:rsidR="00BD405A" w:rsidRPr="00FB3863">
              <w:rPr>
                <w:rStyle w:val="Hyperlink"/>
                <w:noProof/>
                <w:sz w:val="22"/>
                <w:lang w:val="en"/>
              </w:rPr>
              <w:t>pharmacokinetics</w:t>
            </w:r>
            <w:r w:rsidR="00BD405A" w:rsidRPr="00FB3863">
              <w:rPr>
                <w:rStyle w:val="Hyperlink"/>
                <w:noProof/>
                <w:sz w:val="22"/>
                <w:shd w:val="clear" w:color="auto" w:fill="FFFFFF"/>
                <w:lang w:val="en-US"/>
              </w:rPr>
              <w:t>.</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_Toc72323399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6</w:t>
            </w:r>
            <w:r w:rsidR="00BD405A" w:rsidRPr="00FB3863">
              <w:rPr>
                <w:noProof/>
                <w:webHidden/>
                <w:sz w:val="22"/>
              </w:rPr>
              <w:fldChar w:fldCharType="end"/>
            </w:r>
          </w:hyperlink>
        </w:p>
        <w:p w14:paraId="11A5245F" w14:textId="1E3DD35B"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0" w:history="1">
            <w:r w:rsidR="00BD405A" w:rsidRPr="00FB3863">
              <w:rPr>
                <w:rStyle w:val="Hyperlink"/>
                <w:noProof/>
                <w:sz w:val="22"/>
                <w:lang w:val="en-US"/>
              </w:rPr>
              <w:t>ELISA HBsAg genotype panel</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_Toc72323400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7</w:t>
            </w:r>
            <w:r w:rsidR="00BD405A" w:rsidRPr="00FB3863">
              <w:rPr>
                <w:noProof/>
                <w:webHidden/>
                <w:sz w:val="22"/>
              </w:rPr>
              <w:fldChar w:fldCharType="end"/>
            </w:r>
          </w:hyperlink>
        </w:p>
        <w:p w14:paraId="077113BA" w14:textId="6BBB390B"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1" w:history="1">
            <w:r w:rsidR="00BD405A" w:rsidRPr="00FB3863">
              <w:rPr>
                <w:rStyle w:val="Hyperlink"/>
                <w:noProof/>
                <w:sz w:val="22"/>
                <w:lang w:val="en-US"/>
              </w:rPr>
              <w:t>Confocal microscopy to study binding of bsAbs to HBVenv on membranes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_Toc72323401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8</w:t>
            </w:r>
            <w:r w:rsidR="00BD405A" w:rsidRPr="00FB3863">
              <w:rPr>
                <w:noProof/>
                <w:webHidden/>
                <w:sz w:val="22"/>
              </w:rPr>
              <w:fldChar w:fldCharType="end"/>
            </w:r>
          </w:hyperlink>
        </w:p>
        <w:p w14:paraId="180E776D" w14:textId="6D856A94"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2" w:history="1">
            <w:r w:rsidR="00BD405A" w:rsidRPr="00FB3863">
              <w:rPr>
                <w:rStyle w:val="Hyperlink"/>
                <w:noProof/>
                <w:sz w:val="22"/>
                <w:lang w:val="en-US"/>
              </w:rPr>
              <w:t>Flow cytometry to study binding of bsAbs to T cells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_Toc72323402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9</w:t>
            </w:r>
            <w:r w:rsidR="00BD405A" w:rsidRPr="00FB3863">
              <w:rPr>
                <w:noProof/>
                <w:webHidden/>
                <w:sz w:val="22"/>
              </w:rPr>
              <w:fldChar w:fldCharType="end"/>
            </w:r>
          </w:hyperlink>
        </w:p>
        <w:p w14:paraId="7E08548E" w14:textId="1FA430D6"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3" w:history="1">
            <w:r w:rsidR="00BD405A" w:rsidRPr="00FB3863">
              <w:rPr>
                <w:rStyle w:val="Hyperlink"/>
                <w:noProof/>
                <w:sz w:val="22"/>
                <w:lang w:val="en-US"/>
              </w:rPr>
              <w:t>Flow cytometry to study binding of bsAbs to infected HepG2 NTCP cells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_Toc72323403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9</w:t>
            </w:r>
            <w:r w:rsidR="00BD405A" w:rsidRPr="00FB3863">
              <w:rPr>
                <w:noProof/>
                <w:webHidden/>
                <w:sz w:val="22"/>
              </w:rPr>
              <w:fldChar w:fldCharType="end"/>
            </w:r>
          </w:hyperlink>
        </w:p>
        <w:p w14:paraId="20A0C220" w14:textId="36EBECB0"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4" w:history="1">
            <w:r w:rsidR="00BD405A" w:rsidRPr="00FB3863">
              <w:rPr>
                <w:rStyle w:val="Hyperlink"/>
                <w:noProof/>
                <w:sz w:val="22"/>
                <w:shd w:val="clear" w:color="auto" w:fill="FFFFFF"/>
                <w:lang w:val="en-US"/>
              </w:rPr>
              <w:t>Flow cytometry after activation of PBMC on coated HBsAg or Huh7S cells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_Toc72323404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9</w:t>
            </w:r>
            <w:r w:rsidR="00BD405A" w:rsidRPr="00FB3863">
              <w:rPr>
                <w:noProof/>
                <w:webHidden/>
                <w:sz w:val="22"/>
              </w:rPr>
              <w:fldChar w:fldCharType="end"/>
            </w:r>
          </w:hyperlink>
        </w:p>
        <w:p w14:paraId="524406E3" w14:textId="2C9FF82C"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5" w:history="1">
            <w:r w:rsidR="00BD405A" w:rsidRPr="00FB3863">
              <w:rPr>
                <w:rStyle w:val="Hyperlink"/>
                <w:noProof/>
                <w:sz w:val="22"/>
                <w:lang w:val="en-US"/>
              </w:rPr>
              <w:t>T-cell proliferation and activation</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_Toc72323405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10</w:t>
            </w:r>
            <w:r w:rsidR="00BD405A" w:rsidRPr="00FB3863">
              <w:rPr>
                <w:noProof/>
                <w:webHidden/>
                <w:sz w:val="22"/>
              </w:rPr>
              <w:fldChar w:fldCharType="end"/>
            </w:r>
          </w:hyperlink>
        </w:p>
        <w:p w14:paraId="16C91453" w14:textId="72B468CE"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6" w:history="1">
            <w:r w:rsidR="00BD405A" w:rsidRPr="00FB3863">
              <w:rPr>
                <w:rStyle w:val="Hyperlink"/>
                <w:noProof/>
                <w:sz w:val="22"/>
                <w:lang w:val="en-US"/>
              </w:rPr>
              <w:t>T-cell subset quantification</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_Toc72323406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10</w:t>
            </w:r>
            <w:r w:rsidR="00BD405A" w:rsidRPr="00FB3863">
              <w:rPr>
                <w:noProof/>
                <w:webHidden/>
                <w:sz w:val="22"/>
              </w:rPr>
              <w:fldChar w:fldCharType="end"/>
            </w:r>
          </w:hyperlink>
        </w:p>
        <w:p w14:paraId="3B1D702C" w14:textId="287803A6"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7" w:history="1">
            <w:r w:rsidR="00BD405A" w:rsidRPr="00FB3863">
              <w:rPr>
                <w:rStyle w:val="Hyperlink"/>
                <w:noProof/>
                <w:sz w:val="22"/>
                <w:shd w:val="clear" w:color="auto" w:fill="FFFFFF"/>
                <w:lang w:val="en-US"/>
              </w:rPr>
              <w:t>Analysis of cytokine secretion</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_Toc72323407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11</w:t>
            </w:r>
            <w:r w:rsidR="00BD405A" w:rsidRPr="00FB3863">
              <w:rPr>
                <w:noProof/>
                <w:webHidden/>
                <w:sz w:val="22"/>
              </w:rPr>
              <w:fldChar w:fldCharType="end"/>
            </w:r>
          </w:hyperlink>
        </w:p>
        <w:p w14:paraId="73650E6A" w14:textId="4B4CD531"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8" w:history="1">
            <w:r w:rsidR="00BD405A" w:rsidRPr="00FB3863">
              <w:rPr>
                <w:rStyle w:val="Hyperlink"/>
                <w:noProof/>
                <w:sz w:val="22"/>
                <w:lang w:val="en-US"/>
              </w:rPr>
              <w:t>Intracellular cytokine staining</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_Toc72323408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11</w:t>
            </w:r>
            <w:r w:rsidR="00BD405A" w:rsidRPr="00FB3863">
              <w:rPr>
                <w:noProof/>
                <w:webHidden/>
                <w:sz w:val="22"/>
              </w:rPr>
              <w:fldChar w:fldCharType="end"/>
            </w:r>
          </w:hyperlink>
        </w:p>
        <w:p w14:paraId="06E6EED3" w14:textId="0DEA8CFF"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09" w:history="1">
            <w:r w:rsidR="00BD405A" w:rsidRPr="00FB3863">
              <w:rPr>
                <w:rStyle w:val="Hyperlink"/>
                <w:noProof/>
                <w:sz w:val="22"/>
                <w:shd w:val="clear" w:color="auto" w:fill="FFFFFF"/>
                <w:lang w:val="en-US"/>
              </w:rPr>
              <w:t>Co-culture with infected HepG2-NTCP cells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_Toc72323409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12</w:t>
            </w:r>
            <w:r w:rsidR="00BD405A" w:rsidRPr="00FB3863">
              <w:rPr>
                <w:noProof/>
                <w:webHidden/>
                <w:sz w:val="22"/>
              </w:rPr>
              <w:fldChar w:fldCharType="end"/>
            </w:r>
          </w:hyperlink>
        </w:p>
        <w:p w14:paraId="6464C0EF" w14:textId="06D6E48C"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0" w:history="1">
            <w:r w:rsidR="00BD405A" w:rsidRPr="00FB3863">
              <w:rPr>
                <w:rStyle w:val="Hyperlink"/>
                <w:noProof/>
                <w:sz w:val="22"/>
                <w:lang w:val="en-US"/>
              </w:rPr>
              <w:t>Transwell assay</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_Toc72323410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13</w:t>
            </w:r>
            <w:r w:rsidR="00BD405A" w:rsidRPr="00FB3863">
              <w:rPr>
                <w:noProof/>
                <w:webHidden/>
                <w:sz w:val="22"/>
              </w:rPr>
              <w:fldChar w:fldCharType="end"/>
            </w:r>
          </w:hyperlink>
        </w:p>
        <w:p w14:paraId="084A7814" w14:textId="15FE1BD5"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1" w:history="1">
            <w:r w:rsidR="00BD405A" w:rsidRPr="00FB3863">
              <w:rPr>
                <w:rStyle w:val="Hyperlink"/>
                <w:noProof/>
                <w:sz w:val="22"/>
                <w:shd w:val="clear" w:color="auto" w:fill="FFFFFF"/>
                <w:lang w:val="en-US"/>
              </w:rPr>
              <w:t>Intracellular HBVcore-staining for flow cytometry</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_Toc72323411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13</w:t>
            </w:r>
            <w:r w:rsidR="00BD405A" w:rsidRPr="00FB3863">
              <w:rPr>
                <w:noProof/>
                <w:webHidden/>
                <w:sz w:val="22"/>
              </w:rPr>
              <w:fldChar w:fldCharType="end"/>
            </w:r>
          </w:hyperlink>
        </w:p>
        <w:p w14:paraId="2BED5648" w14:textId="6BFB4868"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2" w:history="1">
            <w:r w:rsidR="00BD405A" w:rsidRPr="00FB3863">
              <w:rPr>
                <w:rStyle w:val="Hyperlink"/>
                <w:noProof/>
                <w:sz w:val="22"/>
                <w:lang w:val="en-US"/>
              </w:rPr>
              <w:t>Quantification of viral replication</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_Toc72323412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14</w:t>
            </w:r>
            <w:r w:rsidR="00BD405A" w:rsidRPr="00FB3863">
              <w:rPr>
                <w:noProof/>
                <w:webHidden/>
                <w:sz w:val="22"/>
              </w:rPr>
              <w:fldChar w:fldCharType="end"/>
            </w:r>
          </w:hyperlink>
        </w:p>
        <w:p w14:paraId="4B13D8C7" w14:textId="7AD4F070"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3" w:history="1">
            <w:r w:rsidR="00BD405A" w:rsidRPr="00FB3863">
              <w:rPr>
                <w:rStyle w:val="Hyperlink"/>
                <w:noProof/>
                <w:sz w:val="22"/>
                <w:lang w:val="en-GB"/>
              </w:rPr>
              <w:t>Animal experiments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_Toc72323413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15</w:t>
            </w:r>
            <w:r w:rsidR="00BD405A" w:rsidRPr="00FB3863">
              <w:rPr>
                <w:noProof/>
                <w:webHidden/>
                <w:sz w:val="22"/>
              </w:rPr>
              <w:fldChar w:fldCharType="end"/>
            </w:r>
          </w:hyperlink>
        </w:p>
        <w:p w14:paraId="53703537" w14:textId="79695EF2"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4" w:history="1">
            <w:r w:rsidR="00BD405A" w:rsidRPr="00FB3863">
              <w:rPr>
                <w:rStyle w:val="Hyperlink"/>
                <w:noProof/>
                <w:sz w:val="22"/>
                <w:lang w:val="en-US"/>
              </w:rPr>
              <w:t>Immunohistochemistry of murine liver</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_Toc72323414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15</w:t>
            </w:r>
            <w:r w:rsidR="00BD405A" w:rsidRPr="00FB3863">
              <w:rPr>
                <w:noProof/>
                <w:webHidden/>
                <w:sz w:val="22"/>
              </w:rPr>
              <w:fldChar w:fldCharType="end"/>
            </w:r>
          </w:hyperlink>
        </w:p>
        <w:p w14:paraId="12B6608A" w14:textId="70710734"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5" w:history="1">
            <w:r w:rsidR="00BD405A" w:rsidRPr="00FB3863">
              <w:rPr>
                <w:rStyle w:val="Hyperlink"/>
                <w:noProof/>
                <w:sz w:val="22"/>
                <w:lang w:val="en-GB"/>
              </w:rPr>
              <w:t>Pharmacokinetics of bsAbs in vivo</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_Toc72323415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16</w:t>
            </w:r>
            <w:r w:rsidR="00BD405A" w:rsidRPr="00FB3863">
              <w:rPr>
                <w:noProof/>
                <w:webHidden/>
                <w:sz w:val="22"/>
              </w:rPr>
              <w:fldChar w:fldCharType="end"/>
            </w:r>
          </w:hyperlink>
        </w:p>
        <w:p w14:paraId="79A254A3" w14:textId="4AAE8F15"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6" w:history="1">
            <w:r w:rsidR="00BD405A" w:rsidRPr="00FB3863">
              <w:rPr>
                <w:rStyle w:val="Hyperlink"/>
                <w:noProof/>
                <w:sz w:val="22"/>
                <w:lang w:val="en-GB"/>
              </w:rPr>
              <w:t>Therapeutic efficiency of BiMAb in vivo</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_Toc72323416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16</w:t>
            </w:r>
            <w:r w:rsidR="00BD405A" w:rsidRPr="00FB3863">
              <w:rPr>
                <w:noProof/>
                <w:webHidden/>
                <w:sz w:val="22"/>
              </w:rPr>
              <w:fldChar w:fldCharType="end"/>
            </w:r>
          </w:hyperlink>
        </w:p>
        <w:p w14:paraId="6395EE7E" w14:textId="6E0F2357"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7" w:history="1">
            <w:r w:rsidR="00BD405A" w:rsidRPr="00FB3863">
              <w:rPr>
                <w:rStyle w:val="Hyperlink"/>
                <w:noProof/>
                <w:sz w:val="22"/>
                <w:lang w:val="en-US"/>
              </w:rPr>
              <w:t>RNA extraction from tumor tissue and qPCR</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_Toc72323417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17</w:t>
            </w:r>
            <w:r w:rsidR="00BD405A" w:rsidRPr="00FB3863">
              <w:rPr>
                <w:noProof/>
                <w:webHidden/>
                <w:sz w:val="22"/>
              </w:rPr>
              <w:fldChar w:fldCharType="end"/>
            </w:r>
          </w:hyperlink>
        </w:p>
        <w:p w14:paraId="09EB4C97" w14:textId="36F7BC9A"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8" w:history="1">
            <w:r w:rsidR="00BD405A" w:rsidRPr="00FB3863">
              <w:rPr>
                <w:rStyle w:val="Hyperlink"/>
                <w:noProof/>
                <w:sz w:val="22"/>
                <w:lang w:val="en-US"/>
              </w:rPr>
              <w:t>Southern blot analyses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_Toc72323418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17</w:t>
            </w:r>
            <w:r w:rsidR="00BD405A" w:rsidRPr="00FB3863">
              <w:rPr>
                <w:noProof/>
                <w:webHidden/>
                <w:sz w:val="22"/>
              </w:rPr>
              <w:fldChar w:fldCharType="end"/>
            </w:r>
          </w:hyperlink>
        </w:p>
        <w:p w14:paraId="22E5F727" w14:textId="5251DEA8" w:rsidR="00BD405A" w:rsidRPr="00FB3863" w:rsidRDefault="00F02065" w:rsidP="00FB3863">
          <w:pPr>
            <w:pStyle w:val="TOC2"/>
            <w:tabs>
              <w:tab w:val="right" w:leader="dot" w:pos="9062"/>
            </w:tabs>
            <w:spacing w:line="360" w:lineRule="auto"/>
            <w:rPr>
              <w:rFonts w:asciiTheme="minorHAnsi" w:eastAsiaTheme="minorEastAsia" w:hAnsiTheme="minorHAnsi" w:cstheme="minorBidi"/>
              <w:noProof/>
              <w:sz w:val="22"/>
              <w:lang w:val="en-GB" w:eastAsia="en-GB"/>
            </w:rPr>
          </w:pPr>
          <w:hyperlink w:anchor="_Toc72323419" w:history="1">
            <w:r w:rsidR="00BD405A" w:rsidRPr="00FB3863">
              <w:rPr>
                <w:rStyle w:val="Hyperlink"/>
                <w:noProof/>
                <w:sz w:val="22"/>
                <w:lang w:val="en-US"/>
              </w:rPr>
              <w:t>Statistical analyses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_Toc72323419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18</w:t>
            </w:r>
            <w:r w:rsidR="00BD405A" w:rsidRPr="00FB3863">
              <w:rPr>
                <w:noProof/>
                <w:webHidden/>
                <w:sz w:val="22"/>
              </w:rPr>
              <w:fldChar w:fldCharType="end"/>
            </w:r>
          </w:hyperlink>
        </w:p>
        <w:p w14:paraId="6B4752C8" w14:textId="439D5BC5" w:rsidR="00BD405A" w:rsidRPr="00FB3863" w:rsidRDefault="00F02065" w:rsidP="00FB3863">
          <w:pPr>
            <w:pStyle w:val="TOC1"/>
            <w:tabs>
              <w:tab w:val="right" w:leader="dot" w:pos="9062"/>
            </w:tabs>
            <w:spacing w:line="360" w:lineRule="auto"/>
            <w:rPr>
              <w:rFonts w:asciiTheme="minorHAnsi" w:eastAsiaTheme="minorEastAsia" w:hAnsiTheme="minorHAnsi" w:cstheme="minorBidi"/>
              <w:noProof/>
              <w:sz w:val="22"/>
              <w:lang w:val="en-GB" w:eastAsia="en-GB"/>
            </w:rPr>
          </w:pPr>
          <w:hyperlink w:anchor="_Toc72323420" w:history="1">
            <w:r w:rsidR="00BD405A" w:rsidRPr="00FB3863">
              <w:rPr>
                <w:rStyle w:val="Hyperlink"/>
                <w:noProof/>
                <w:sz w:val="22"/>
                <w:lang w:val="en-US"/>
              </w:rPr>
              <w:t>Supplementary figures and figure legends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_Toc72323420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19</w:t>
            </w:r>
            <w:r w:rsidR="00BD405A" w:rsidRPr="00FB3863">
              <w:rPr>
                <w:noProof/>
                <w:webHidden/>
                <w:sz w:val="22"/>
              </w:rPr>
              <w:fldChar w:fldCharType="end"/>
            </w:r>
          </w:hyperlink>
        </w:p>
        <w:p w14:paraId="2A3FA4AA" w14:textId="1E348B7A" w:rsidR="00BD405A" w:rsidRPr="00FB3863" w:rsidRDefault="00F02065" w:rsidP="00FB3863">
          <w:pPr>
            <w:pStyle w:val="TOC1"/>
            <w:tabs>
              <w:tab w:val="right" w:leader="dot" w:pos="9062"/>
            </w:tabs>
            <w:spacing w:line="360" w:lineRule="auto"/>
            <w:rPr>
              <w:rFonts w:asciiTheme="minorHAnsi" w:eastAsiaTheme="minorEastAsia" w:hAnsiTheme="minorHAnsi" w:cstheme="minorBidi"/>
              <w:noProof/>
              <w:sz w:val="22"/>
              <w:lang w:val="en-GB" w:eastAsia="en-GB"/>
            </w:rPr>
          </w:pPr>
          <w:hyperlink w:anchor="_Toc72323421" w:history="1">
            <w:r w:rsidR="00BD405A" w:rsidRPr="00FB3863">
              <w:rPr>
                <w:rStyle w:val="Hyperlink"/>
                <w:noProof/>
                <w:sz w:val="22"/>
                <w:lang w:val="en-US"/>
              </w:rPr>
              <w:t>Supplementary tables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_Toc72323421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39</w:t>
            </w:r>
            <w:r w:rsidR="00BD405A" w:rsidRPr="00FB3863">
              <w:rPr>
                <w:noProof/>
                <w:webHidden/>
                <w:sz w:val="22"/>
              </w:rPr>
              <w:fldChar w:fldCharType="end"/>
            </w:r>
          </w:hyperlink>
        </w:p>
        <w:p w14:paraId="669CD7B6" w14:textId="2A3BBA95" w:rsidR="00BD405A" w:rsidRPr="00FB3863" w:rsidRDefault="00F02065" w:rsidP="00FB3863">
          <w:pPr>
            <w:pStyle w:val="TOC1"/>
            <w:tabs>
              <w:tab w:val="right" w:leader="dot" w:pos="9062"/>
            </w:tabs>
            <w:spacing w:line="360" w:lineRule="auto"/>
            <w:rPr>
              <w:rFonts w:asciiTheme="minorHAnsi" w:eastAsiaTheme="minorEastAsia" w:hAnsiTheme="minorHAnsi" w:cstheme="minorBidi"/>
              <w:noProof/>
              <w:sz w:val="22"/>
              <w:lang w:val="en-GB" w:eastAsia="en-GB"/>
            </w:rPr>
          </w:pPr>
          <w:hyperlink w:anchor="_Toc72323422" w:history="1">
            <w:r w:rsidR="00BD405A" w:rsidRPr="00FB3863">
              <w:rPr>
                <w:rStyle w:val="Hyperlink"/>
                <w:noProof/>
                <w:sz w:val="22"/>
                <w:lang w:val="en-US"/>
              </w:rPr>
              <w:t>Supplementary References</w:t>
            </w:r>
            <w:r w:rsidR="00BD405A" w:rsidRPr="00FB3863">
              <w:rPr>
                <w:noProof/>
                <w:webHidden/>
                <w:sz w:val="22"/>
              </w:rPr>
              <w:tab/>
            </w:r>
            <w:r w:rsidR="00BD405A" w:rsidRPr="00FB3863">
              <w:rPr>
                <w:noProof/>
                <w:webHidden/>
                <w:sz w:val="22"/>
              </w:rPr>
              <w:fldChar w:fldCharType="begin"/>
            </w:r>
            <w:r w:rsidR="00BD405A" w:rsidRPr="00FB3863">
              <w:rPr>
                <w:noProof/>
                <w:webHidden/>
                <w:sz w:val="22"/>
              </w:rPr>
              <w:instrText xml:space="preserve"> PAGEREF _Toc72323422 \h </w:instrText>
            </w:r>
            <w:r w:rsidR="00BD405A" w:rsidRPr="00FB3863">
              <w:rPr>
                <w:noProof/>
                <w:webHidden/>
                <w:sz w:val="22"/>
              </w:rPr>
            </w:r>
            <w:r w:rsidR="00BD405A" w:rsidRPr="00FB3863">
              <w:rPr>
                <w:noProof/>
                <w:webHidden/>
                <w:sz w:val="22"/>
              </w:rPr>
              <w:fldChar w:fldCharType="separate"/>
            </w:r>
            <w:r w:rsidR="00A01113" w:rsidRPr="00FB3863">
              <w:rPr>
                <w:noProof/>
                <w:webHidden/>
                <w:sz w:val="22"/>
              </w:rPr>
              <w:t>40</w:t>
            </w:r>
            <w:r w:rsidR="00BD405A" w:rsidRPr="00FB3863">
              <w:rPr>
                <w:noProof/>
                <w:webHidden/>
                <w:sz w:val="22"/>
              </w:rPr>
              <w:fldChar w:fldCharType="end"/>
            </w:r>
          </w:hyperlink>
        </w:p>
        <w:p w14:paraId="18768B7E" w14:textId="77777777" w:rsidR="00FB3863" w:rsidRDefault="0094012C" w:rsidP="00FB3863">
          <w:pPr>
            <w:spacing w:line="360" w:lineRule="auto"/>
            <w:rPr>
              <w:rFonts w:cs="Arial"/>
              <w:b/>
              <w:bCs/>
            </w:rPr>
          </w:pPr>
          <w:r w:rsidRPr="00FB3863">
            <w:rPr>
              <w:rFonts w:ascii="Arial" w:hAnsi="Arial" w:cs="Arial"/>
              <w:b/>
              <w:bCs/>
            </w:rPr>
            <w:fldChar w:fldCharType="end"/>
          </w:r>
        </w:p>
      </w:sdtContent>
    </w:sdt>
    <w:bookmarkStart w:id="0" w:name="_Toc72323394" w:displacedByCustomXml="prev"/>
    <w:p w14:paraId="5C988E42" w14:textId="6799F5C6" w:rsidR="000B02D2" w:rsidRPr="00FB3863" w:rsidRDefault="00A01113" w:rsidP="00FB3863">
      <w:pPr>
        <w:spacing w:line="360" w:lineRule="auto"/>
        <w:rPr>
          <w:rFonts w:ascii="Arial" w:hAnsi="Arial" w:cs="Arial"/>
        </w:rPr>
      </w:pPr>
      <w:r w:rsidRPr="003D2F00">
        <w:rPr>
          <w:rFonts w:ascii="Arial" w:hAnsi="Arial" w:cs="Arial"/>
          <w:lang w:val="en-US"/>
        </w:rPr>
        <w:t>.</w:t>
      </w:r>
      <w:r w:rsidR="000B02D2" w:rsidRPr="003D2F00">
        <w:rPr>
          <w:lang w:val="en-US"/>
        </w:rPr>
        <w:br w:type="page"/>
      </w:r>
    </w:p>
    <w:p w14:paraId="3A857691" w14:textId="2FFECA02" w:rsidR="00CD12CB" w:rsidRPr="003D2F00" w:rsidRDefault="00140089" w:rsidP="00BD405A">
      <w:pPr>
        <w:pStyle w:val="Heading1"/>
        <w:spacing w:line="480" w:lineRule="auto"/>
        <w:rPr>
          <w:sz w:val="22"/>
          <w:szCs w:val="22"/>
          <w:lang w:val="en-US"/>
        </w:rPr>
      </w:pPr>
      <w:r w:rsidRPr="003D2F00">
        <w:rPr>
          <w:sz w:val="22"/>
          <w:szCs w:val="22"/>
          <w:lang w:val="en-US"/>
        </w:rPr>
        <w:lastRenderedPageBreak/>
        <w:t>Supplementary Material and Methods</w:t>
      </w:r>
      <w:bookmarkEnd w:id="0"/>
    </w:p>
    <w:p w14:paraId="28D5104B" w14:textId="30AB281C" w:rsidR="0092207B" w:rsidRPr="003D2F00" w:rsidRDefault="00140089" w:rsidP="00BD405A">
      <w:pPr>
        <w:spacing w:after="0" w:line="480" w:lineRule="auto"/>
        <w:jc w:val="both"/>
        <w:rPr>
          <w:rFonts w:ascii="Arial" w:hAnsi="Arial" w:cs="Arial"/>
          <w:lang w:val="en-US"/>
        </w:rPr>
      </w:pPr>
      <w:bookmarkStart w:id="1" w:name="_Toc72323395"/>
      <w:r w:rsidRPr="003D2F00">
        <w:rPr>
          <w:rStyle w:val="Heading2Char"/>
          <w:sz w:val="22"/>
          <w:lang w:val="en-US"/>
        </w:rPr>
        <w:t>Structure and generation of BiMAb recognizing HBVenv</w:t>
      </w:r>
      <w:bookmarkEnd w:id="1"/>
      <w:r w:rsidRPr="003D2F00">
        <w:rPr>
          <w:rFonts w:ascii="Arial" w:hAnsi="Arial" w:cs="Arial"/>
          <w:lang w:val="en-US"/>
        </w:rPr>
        <w:t xml:space="preserve"> </w:t>
      </w:r>
    </w:p>
    <w:p w14:paraId="2D227D75" w14:textId="531930E3" w:rsidR="00CD12CB" w:rsidRPr="003D2F00" w:rsidRDefault="00140089" w:rsidP="00BD405A">
      <w:pPr>
        <w:spacing w:line="480" w:lineRule="auto"/>
        <w:jc w:val="both"/>
        <w:rPr>
          <w:rFonts w:ascii="Arial" w:hAnsi="Arial" w:cs="Arial"/>
          <w:lang w:val="en-US"/>
        </w:rPr>
      </w:pPr>
      <w:r w:rsidRPr="003D2F00">
        <w:rPr>
          <w:rFonts w:ascii="Arial" w:hAnsi="Arial" w:cs="Arial"/>
          <w:lang w:val="en-US"/>
        </w:rPr>
        <w:t>As HBV-specific binders, scFv C8</w:t>
      </w:r>
      <w:r w:rsidRPr="003D2F00">
        <w:rPr>
          <w:rFonts w:ascii="Arial" w:hAnsi="Arial" w:cs="Arial"/>
          <w:lang w:val="en-US"/>
        </w:rPr>
        <w:fldChar w:fldCharType="begin"/>
      </w:r>
      <w:r w:rsidR="00D370AE" w:rsidRPr="003D2F00">
        <w:rPr>
          <w:rFonts w:ascii="Arial" w:hAnsi="Arial" w:cs="Arial"/>
          <w:lang w:val="en-US"/>
        </w:rPr>
        <w:instrText xml:space="preserve"> ADDIN EN.CITE &lt;EndNote&gt;&lt;Cite&gt;&lt;Author&gt;Bohne&lt;/Author&gt;&lt;Year&gt;2008&lt;/Year&gt;&lt;RecNum&gt;14&lt;/RecNum&gt;&lt;DisplayText&gt;&lt;style face="superscript"&gt;1&lt;/style&gt;&lt;/DisplayText&gt;&lt;record&gt;&lt;rec-number&gt;14&lt;/rec-number&gt;&lt;foreign-keys&gt;&lt;key app="EN" db-id="daafzzrdj9wwxsex99650591fv0dde2srf52" timestamp="0"&gt;14&lt;/key&gt;&lt;/foreign-keys&gt;&lt;ref-type name="Journal Article"&gt;17&lt;/ref-type&gt;&lt;contributors&gt;&lt;authors&gt;&lt;author&gt;Bohne, F.&lt;/author&gt;&lt;author&gt;Chmielewski, M.&lt;/author&gt;&lt;author&gt;Ebert, G.&lt;/author&gt;&lt;author&gt;Wiegmann, K.&lt;/author&gt;&lt;author&gt;Kurschner, T.&lt;/author&gt;&lt;author&gt;Schulze, A.&lt;/author&gt;&lt;author&gt;Urban, S.&lt;/author&gt;&lt;author&gt;Kronke, M.&lt;/author&gt;&lt;author&gt;Abken, H.&lt;/author&gt;&lt;author&gt;Protzer, U.&lt;/author&gt;&lt;/authors&gt;&lt;/contributors&gt;&lt;auth-address&gt;Molecular Infectiology, University Hospital Cologne, Koeln, Germany.&lt;/auth-address&gt;&lt;titles&gt;&lt;title&gt;T cells redirected against hepatitis B virus surface proteins eliminate infected hepatocytes&lt;/title&gt;&lt;secondary-title&gt;Gastroenterology&lt;/secondary-title&gt;&lt;/titles&gt;&lt;periodical&gt;&lt;full-title&gt;Gastroenterology&lt;/full-title&gt;&lt;/periodical&gt;&lt;pages&gt;239-47&lt;/pages&gt;&lt;volume&gt;134&lt;/volume&gt;&lt;number&gt;1&lt;/number&gt;&lt;keywords&gt;&lt;keyword&gt;Antigens, CD3/*immunology&lt;/keyword&gt;&lt;keyword&gt;Cell Culture Techniques&lt;/keyword&gt;&lt;keyword&gt;Chimera&lt;/keyword&gt;&lt;keyword&gt;Hepatitis B/*immunology/pathology&lt;/keyword&gt;&lt;keyword&gt;Hepatitis B Surface Antigens/*immunology&lt;/keyword&gt;&lt;keyword&gt;Hepatitis B virus/*physiology&lt;/keyword&gt;&lt;keyword&gt;Hepatocytes/*immunology&lt;/keyword&gt;&lt;keyword&gt;Humans&lt;/keyword&gt;&lt;keyword&gt;Immunoglobulin Fragments/physiology&lt;/keyword&gt;&lt;keyword&gt;Receptors, Antigen, T-Cell/*immunology&lt;/keyword&gt;&lt;keyword&gt;T-Cell Antigen Receptor Specificity/physiology&lt;/keyword&gt;&lt;keyword&gt;T-Lymphocytes/*physiology&lt;/keyword&gt;&lt;/keywords&gt;&lt;dates&gt;&lt;year&gt;2008&lt;/year&gt;&lt;pub-dates&gt;&lt;date&gt;Jan&lt;/date&gt;&lt;/pub-dates&gt;&lt;/dates&gt;&lt;isbn&gt;1528-0012 (Electronic)&amp;#xD;0016-5085 (Linking)&lt;/isbn&gt;&lt;accession-num&gt;18166356&lt;/accession-num&gt;&lt;urls&gt;&lt;related-urls&gt;&lt;url&gt;https://www.ncbi.nlm.nih.gov/pubmed/18166356&lt;/url&gt;&lt;/related-urls&gt;&lt;/urls&gt;&lt;electronic-resource-num&gt;10.1053/j.gastro.2007.11.002&lt;/electronic-resource-num&gt;&lt;/record&gt;&lt;/Cite&gt;&lt;/EndNote&gt;</w:instrText>
      </w:r>
      <w:r w:rsidRPr="003D2F00">
        <w:rPr>
          <w:rFonts w:ascii="Arial" w:hAnsi="Arial" w:cs="Arial"/>
          <w:lang w:val="en-US"/>
        </w:rPr>
        <w:fldChar w:fldCharType="separate"/>
      </w:r>
      <w:r w:rsidR="00D370AE" w:rsidRPr="003D2F00">
        <w:rPr>
          <w:rFonts w:ascii="Arial" w:hAnsi="Arial" w:cs="Arial"/>
          <w:noProof/>
          <w:vertAlign w:val="superscript"/>
          <w:lang w:val="en-US"/>
        </w:rPr>
        <w:t>1</w:t>
      </w:r>
      <w:r w:rsidRPr="003D2F00">
        <w:rPr>
          <w:rFonts w:ascii="Arial" w:hAnsi="Arial" w:cs="Arial"/>
          <w:lang w:val="en-US"/>
        </w:rPr>
        <w:fldChar w:fldCharType="end"/>
      </w:r>
      <w:r w:rsidRPr="003D2F00">
        <w:rPr>
          <w:rFonts w:ascii="Arial" w:hAnsi="Arial" w:cs="Arial"/>
          <w:lang w:val="en-US"/>
        </w:rPr>
        <w:t xml:space="preserve"> and the Fab-fragment of monoclonal antibody </w:t>
      </w:r>
      <w:r w:rsidR="00BD405A" w:rsidRPr="003D2F00">
        <w:rPr>
          <w:rFonts w:ascii="Arial" w:hAnsi="Arial" w:cs="Arial"/>
          <w:lang w:val="en-US"/>
        </w:rPr>
        <w:br/>
      </w:r>
      <w:r w:rsidRPr="003D2F00">
        <w:rPr>
          <w:rFonts w:ascii="Arial" w:hAnsi="Arial" w:cs="Arial"/>
          <w:lang w:val="en-US"/>
        </w:rPr>
        <w:t>5F9</w:t>
      </w:r>
      <w:r w:rsidR="00BD405A" w:rsidRPr="003D2F00">
        <w:rPr>
          <w:rFonts w:ascii="Arial" w:hAnsi="Arial" w:cs="Arial"/>
          <w:lang w:val="en-US"/>
        </w:rPr>
        <w:fldChar w:fldCharType="begin">
          <w:fldData xml:space="preserve">PEVuZE5vdGU+PENpdGU+PEF1dGhvcj5Hb2xzYXogU2hpcmF6aTwvQXV0aG9yPjxZZWFyPjIwMTQ8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</w:fldData>
        </w:fldChar>
      </w:r>
      <w:r w:rsidR="00BD405A" w:rsidRPr="003D2F00">
        <w:rPr>
          <w:rFonts w:ascii="Arial" w:hAnsi="Arial" w:cs="Arial"/>
          <w:lang w:val="en-US"/>
        </w:rPr>
        <w:instrText xml:space="preserve"> ADDIN EN.CITE </w:instrText>
      </w:r>
      <w:r w:rsidR="00BD405A" w:rsidRPr="003D2F00">
        <w:rPr>
          <w:rFonts w:ascii="Arial" w:hAnsi="Arial" w:cs="Arial"/>
          <w:lang w:val="en-US"/>
        </w:rPr>
        <w:fldChar w:fldCharType="begin">
          <w:fldData xml:space="preserve">PEVuZE5vdGU+PENpdGU+PEF1dGhvcj5Hb2xzYXogU2hpcmF6aTwvQXV0aG9yPjxZZWFyPjIwMTQ8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</w:fldData>
        </w:fldChar>
      </w:r>
      <w:r w:rsidR="00BD405A" w:rsidRPr="003D2F00">
        <w:rPr>
          <w:rFonts w:ascii="Arial" w:hAnsi="Arial" w:cs="Arial"/>
          <w:lang w:val="en-US"/>
        </w:rPr>
        <w:instrText xml:space="preserve"> ADDIN EN.CITE.DATA </w:instrText>
      </w:r>
      <w:r w:rsidR="00BD405A" w:rsidRPr="003D2F00">
        <w:rPr>
          <w:rFonts w:ascii="Arial" w:hAnsi="Arial" w:cs="Arial"/>
          <w:lang w:val="en-US"/>
        </w:rPr>
      </w:r>
      <w:r w:rsidR="00BD405A" w:rsidRPr="003D2F00">
        <w:rPr>
          <w:rFonts w:ascii="Arial" w:hAnsi="Arial" w:cs="Arial"/>
          <w:lang w:val="en-US"/>
        </w:rPr>
        <w:fldChar w:fldCharType="end"/>
      </w:r>
      <w:r w:rsidR="00BD405A" w:rsidRPr="003D2F00">
        <w:rPr>
          <w:rFonts w:ascii="Arial" w:hAnsi="Arial" w:cs="Arial"/>
          <w:lang w:val="en-US"/>
        </w:rPr>
      </w:r>
      <w:r w:rsidR="00BD405A" w:rsidRPr="003D2F00">
        <w:rPr>
          <w:rFonts w:ascii="Arial" w:hAnsi="Arial" w:cs="Arial"/>
          <w:lang w:val="en-US"/>
        </w:rPr>
        <w:fldChar w:fldCharType="separate"/>
      </w:r>
      <w:r w:rsidR="00BD405A" w:rsidRPr="003D2F00">
        <w:rPr>
          <w:rFonts w:ascii="Arial" w:hAnsi="Arial" w:cs="Arial"/>
          <w:noProof/>
          <w:vertAlign w:val="superscript"/>
          <w:lang w:val="en-US"/>
        </w:rPr>
        <w:t>2, 3</w:t>
      </w:r>
      <w:r w:rsidR="00BD405A" w:rsidRPr="003D2F00">
        <w:rPr>
          <w:rFonts w:ascii="Arial" w:hAnsi="Arial" w:cs="Arial"/>
          <w:lang w:val="en-US"/>
        </w:rPr>
        <w:fldChar w:fldCharType="end"/>
      </w:r>
      <w:r w:rsidRPr="003D2F00">
        <w:rPr>
          <w:rFonts w:ascii="Arial" w:hAnsi="Arial" w:cs="Arial"/>
          <w:lang w:val="en-US"/>
        </w:rPr>
        <w:t xml:space="preserve"> were used that both recognize the a-determinant of HBV S protein that is contained in all HBVenv proteins. BiMAb (Fig. 1Ai) consist of two copies of HBVenv-specific scFv C8</w:t>
      </w:r>
      <w:r w:rsidRPr="003D2F00">
        <w:rPr>
          <w:rFonts w:ascii="Arial" w:hAnsi="Arial" w:cs="Arial"/>
          <w:lang w:val="en-US"/>
        </w:rPr>
        <w:fldChar w:fldCharType="begin"/>
      </w:r>
      <w:r w:rsidR="00D370AE" w:rsidRPr="003D2F00">
        <w:rPr>
          <w:rFonts w:ascii="Arial" w:hAnsi="Arial" w:cs="Arial"/>
          <w:lang w:val="en-US"/>
        </w:rPr>
        <w:instrText xml:space="preserve"> ADDIN EN.CITE &lt;EndNote&gt;&lt;Cite&gt;&lt;Author&gt;Bohne&lt;/Author&gt;&lt;Year&gt;2008&lt;/Year&gt;&lt;RecNum&gt;14&lt;/RecNum&gt;&lt;DisplayText&gt;&lt;style face="superscript"&gt;1&lt;/style&gt;&lt;/DisplayText&gt;&lt;record&gt;&lt;rec-number&gt;14&lt;/rec-number&gt;&lt;foreign-keys&gt;&lt;key app="EN" db-id="daafzzrdj9wwxsex99650591fv0dde2srf52" timestamp="0"&gt;14&lt;/key&gt;&lt;/foreign-keys&gt;&lt;ref-type name="Journal Article"&gt;17&lt;/ref-type&gt;&lt;contributors&gt;&lt;authors&gt;&lt;author&gt;Bohne, F.&lt;/author&gt;&lt;author&gt;Chmielewski, M.&lt;/author&gt;&lt;author&gt;Ebert, G.&lt;/author&gt;&lt;author&gt;Wiegmann, K.&lt;/author&gt;&lt;author&gt;Kurschner, T.&lt;/author&gt;&lt;author&gt;Schulze, A.&lt;/author&gt;&lt;author&gt;Urban, S.&lt;/author&gt;&lt;author&gt;Kronke, M.&lt;/author&gt;&lt;author&gt;Abken, H.&lt;/author&gt;&lt;author&gt;Protzer, U.&lt;/author&gt;&lt;/authors&gt;&lt;/contributors&gt;&lt;auth-address&gt;Molecular Infectiology, University Hospital Cologne, Koeln, Germany.&lt;/auth-address&gt;&lt;titles&gt;&lt;title&gt;T cells redirected against hepatitis B virus surface proteins eliminate infected hepatocytes&lt;/title&gt;&lt;secondary-title&gt;Gastroenterology&lt;/secondary-title&gt;&lt;/titles&gt;&lt;periodical&gt;&lt;full-title&gt;Gastroenterology&lt;/full-title&gt;&lt;/periodical&gt;&lt;pages&gt;239-47&lt;/pages&gt;&lt;volume&gt;134&lt;/volume&gt;&lt;number&gt;1&lt;/number&gt;&lt;keywords&gt;&lt;keyword&gt;Antigens, CD3/*immunology&lt;/keyword&gt;&lt;keyword&gt;Cell Culture Techniques&lt;/keyword&gt;&lt;keyword&gt;Chimera&lt;/keyword&gt;&lt;keyword&gt;Hepatitis B/*immunology/pathology&lt;/keyword&gt;&lt;keyword&gt;Hepatitis B Surface Antigens/*immunology&lt;/keyword&gt;&lt;keyword&gt;Hepatitis B virus/*physiology&lt;/keyword&gt;&lt;keyword&gt;Hepatocytes/*immunology&lt;/keyword&gt;&lt;keyword&gt;Humans&lt;/keyword&gt;&lt;keyword&gt;Immunoglobulin Fragments/physiology&lt;/keyword&gt;&lt;keyword&gt;Receptors, Antigen, T-Cell/*immunology&lt;/keyword&gt;&lt;keyword&gt;T-Cell Antigen Receptor Specificity/physiology&lt;/keyword&gt;&lt;keyword&gt;T-Lymphocytes/*physiology&lt;/keyword&gt;&lt;/keywords&gt;&lt;dates&gt;&lt;year&gt;2008&lt;/year&gt;&lt;pub-dates&gt;&lt;date&gt;Jan&lt;/date&gt;&lt;/pub-dates&gt;&lt;/dates&gt;&lt;isbn&gt;1528-0012 (Electronic)&amp;#xD;0016-5085 (Linking)&lt;/isbn&gt;&lt;accession-num&gt;18166356&lt;/accession-num&gt;&lt;urls&gt;&lt;related-urls&gt;&lt;url&gt;https://www.ncbi.nlm.nih.gov/pubmed/18166356&lt;/url&gt;&lt;/related-urls&gt;&lt;/urls&gt;&lt;electronic-resource-num&gt;10.1053/j.gastro.2007.11.002&lt;/electronic-resource-num&gt;&lt;/record&gt;&lt;/Cite&gt;&lt;/EndNote&gt;</w:instrText>
      </w:r>
      <w:r w:rsidRPr="003D2F00">
        <w:rPr>
          <w:rFonts w:ascii="Arial" w:hAnsi="Arial" w:cs="Arial"/>
          <w:lang w:val="en-US"/>
        </w:rPr>
        <w:fldChar w:fldCharType="separate"/>
      </w:r>
      <w:r w:rsidR="00D370AE" w:rsidRPr="003D2F00">
        <w:rPr>
          <w:rFonts w:ascii="Arial" w:hAnsi="Arial" w:cs="Arial"/>
          <w:noProof/>
          <w:vertAlign w:val="superscript"/>
          <w:lang w:val="en-US"/>
        </w:rPr>
        <w:t>1</w:t>
      </w:r>
      <w:r w:rsidRPr="003D2F00">
        <w:rPr>
          <w:rFonts w:ascii="Arial" w:hAnsi="Arial" w:cs="Arial"/>
          <w:lang w:val="en-US"/>
        </w:rPr>
        <w:fldChar w:fldCharType="end"/>
      </w:r>
      <w:r w:rsidRPr="003D2F00">
        <w:rPr>
          <w:rFonts w:ascii="Arial" w:hAnsi="Arial" w:cs="Arial"/>
          <w:lang w:val="en-US"/>
        </w:rPr>
        <w:t xml:space="preserve"> connected to the N-termini of a IgG1 Fc domain via a (G</w:t>
      </w:r>
      <w:r w:rsidRPr="003D2F00">
        <w:rPr>
          <w:rFonts w:ascii="Arial" w:hAnsi="Arial" w:cs="Arial"/>
          <w:vertAlign w:val="subscript"/>
          <w:lang w:val="en-US"/>
        </w:rPr>
        <w:t>4</w:t>
      </w:r>
      <w:r w:rsidRPr="003D2F00">
        <w:rPr>
          <w:rFonts w:ascii="Arial" w:hAnsi="Arial" w:cs="Arial"/>
          <w:lang w:val="en-US"/>
        </w:rPr>
        <w:t>S)</w:t>
      </w:r>
      <w:r w:rsidRPr="003D2F00">
        <w:rPr>
          <w:rFonts w:ascii="Arial" w:hAnsi="Arial" w:cs="Arial"/>
          <w:vertAlign w:val="subscript"/>
          <w:lang w:val="en-US"/>
        </w:rPr>
        <w:t>3</w:t>
      </w:r>
      <w:r w:rsidRPr="003D2F00">
        <w:rPr>
          <w:rFonts w:ascii="Arial" w:hAnsi="Arial" w:cs="Arial"/>
          <w:lang w:val="en-US"/>
        </w:rPr>
        <w:t xml:space="preserve"> linker. The Fc domain is instrumental for efficient secretion of BiMAb from producer cells. For recruitment of T cells, CD3- or CD28-specific scFv were fused to the C</w:t>
      </w:r>
      <w:r w:rsidRPr="003D2F00">
        <w:rPr>
          <w:rFonts w:ascii="Arial" w:hAnsi="Arial" w:cs="Arial"/>
          <w:lang w:val="en-US"/>
        </w:rPr>
        <w:noBreakHyphen/>
        <w:t>termini of the Fc domain. The CD3-specific scFv was generated from the variable domains of the monoclonal antibody OKT3</w:t>
      </w:r>
      <w:r w:rsidRPr="003D2F00">
        <w:rPr>
          <w:rFonts w:ascii="Arial" w:hAnsi="Arial" w:cs="Arial"/>
          <w:lang w:val="en-US"/>
        </w:rPr>
        <w:fldChar w:fldCharType="begin"/>
      </w:r>
      <w:r w:rsidR="00BD405A" w:rsidRPr="003D2F00">
        <w:rPr>
          <w:rFonts w:ascii="Arial" w:hAnsi="Arial" w:cs="Arial"/>
          <w:lang w:val="en-US"/>
        </w:rPr>
        <w:instrText xml:space="preserve"> ADDIN EN.CITE &lt;EndNote&gt;&lt;Cite&gt;&lt;Author&gt;Kung&lt;/Author&gt;&lt;Year&gt;1979&lt;/Year&gt;&lt;RecNum&gt;98&lt;/RecNum&gt;&lt;DisplayText&gt;&lt;style face="superscript"&gt;4&lt;/style&gt;&lt;/DisplayText&gt;&lt;record&gt;&lt;rec-number&gt;98&lt;/rec-number&gt;&lt;foreign-keys&gt;&lt;key app="EN" db-id="daafzzrdj9wwxsex99650591fv0dde2srf52" timestamp="1546446511"&gt;98&lt;/key&gt;&lt;/foreign-keys&gt;&lt;ref-type name="Journal Article"&gt;17&lt;/ref-type&gt;&lt;contributors&gt;&lt;authors&gt;&lt;author&gt;Kung, P.&lt;/author&gt;&lt;author&gt;Goldstein, G.&lt;/author&gt;&lt;author&gt;Reinherz, E. L.&lt;/author&gt;&lt;author&gt;Schlossman, S. F.&lt;/author&gt;&lt;/authors&gt;&lt;/contributors&gt;&lt;titles&gt;&lt;title&gt;Monoclonal antibodies defining distinctive human T cell surface antigens&lt;/title&gt;&lt;secondary-title&gt;Science&lt;/secondary-title&gt;&lt;/titles&gt;&lt;periodical&gt;&lt;full-title&gt;Science&lt;/full-title&gt;&lt;/periodical&gt;&lt;pages&gt;347-9&lt;/pages&gt;&lt;volume&gt;206&lt;/volume&gt;&lt;number&gt;4416&lt;/number&gt;&lt;edition&gt;1979/10/19&lt;/edition&gt;&lt;keywords&gt;&lt;keyword&gt;Animals&lt;/keyword&gt;&lt;keyword&gt;Antibody Specificity&lt;/keyword&gt;&lt;keyword&gt;Antigens, Surface/*analysis&lt;/keyword&gt;&lt;keyword&gt;Cells, Cultured/immunology&lt;/keyword&gt;&lt;keyword&gt;Clone Cells/immunology&lt;/keyword&gt;&lt;keyword&gt;Humans&lt;/keyword&gt;&lt;keyword&gt;Leukemia, Experimental/immunology&lt;/keyword&gt;&lt;keyword&gt;Mice&lt;/keyword&gt;&lt;keyword&gt;Plasmacytoma/immunology&lt;/keyword&gt;&lt;keyword&gt;T-Lymphocytes/*immunology&lt;/keyword&gt;&lt;/keywords&gt;&lt;dates&gt;&lt;year&gt;1979&lt;/year&gt;&lt;pub-dates&gt;&lt;date&gt;Oct 19&lt;/date&gt;&lt;/pub-dates&gt;&lt;/dates&gt;&lt;isbn&gt;0036-8075 (Print)&amp;#xD;0036-8075 (Linking)&lt;/isbn&gt;&lt;accession-num&gt;314668&lt;/accession-num&gt;&lt;urls&gt;&lt;related-urls&gt;&lt;url&gt;https://www.ncbi.nlm.nih.gov/pubmed/314668&lt;/url&gt;&lt;/related-urls&gt;&lt;/urls&gt;&lt;/record&gt;&lt;/Cite&gt;&lt;/EndNote&gt;</w:instrText>
      </w:r>
      <w:r w:rsidRPr="003D2F00">
        <w:rPr>
          <w:rFonts w:ascii="Arial" w:hAnsi="Arial" w:cs="Arial"/>
          <w:lang w:val="en-US"/>
        </w:rPr>
        <w:fldChar w:fldCharType="separate"/>
      </w:r>
      <w:r w:rsidR="00BD405A" w:rsidRPr="003D2F00">
        <w:rPr>
          <w:rFonts w:ascii="Arial" w:hAnsi="Arial" w:cs="Arial"/>
          <w:noProof/>
          <w:vertAlign w:val="superscript"/>
          <w:lang w:val="en-US"/>
        </w:rPr>
        <w:t>4</w:t>
      </w:r>
      <w:r w:rsidRPr="003D2F00">
        <w:rPr>
          <w:rFonts w:ascii="Arial" w:hAnsi="Arial" w:cs="Arial"/>
          <w:lang w:val="en-US"/>
        </w:rPr>
        <w:fldChar w:fldCharType="end"/>
      </w:r>
      <w:r w:rsidRPr="003D2F00">
        <w:rPr>
          <w:rFonts w:ascii="Arial" w:hAnsi="Arial" w:cs="Arial"/>
          <w:lang w:val="en-US"/>
        </w:rPr>
        <w:t>, and the CD28-specific scFv is derived from the antibody 9.3</w:t>
      </w:r>
      <w:r w:rsidRPr="003D2F00">
        <w:rPr>
          <w:rFonts w:ascii="Arial" w:hAnsi="Arial" w:cs="Arial"/>
          <w:lang w:val="en-US"/>
        </w:rPr>
        <w:fldChar w:fldCharType="begin"/>
      </w:r>
      <w:r w:rsidR="00BD405A" w:rsidRPr="003D2F00">
        <w:rPr>
          <w:rFonts w:ascii="Arial" w:hAnsi="Arial" w:cs="Arial"/>
          <w:lang w:val="en-US"/>
        </w:rPr>
        <w:instrText xml:space="preserve"> ADDIN EN.CITE &lt;EndNote&gt;&lt;Cite&gt;&lt;Author&gt;Baroja&lt;/Author&gt;&lt;Year&gt;1989&lt;/Year&gt;&lt;RecNum&gt;274&lt;/RecNum&gt;&lt;DisplayText&gt;&lt;style face="superscript"&gt;5&lt;/style&gt;&lt;/DisplayText&gt;&lt;record&gt;&lt;rec-number&gt;274&lt;/rec-number&gt;&lt;foreign-keys&gt;&lt;key app="EN" db-id="daafzzrdj9wwxsex99650591fv0dde2srf52" timestamp="1567066684"&gt;274&lt;/key&gt;&lt;/foreign-keys&gt;&lt;ref-type name="Journal Article"&gt;17&lt;/ref-type&gt;&lt;contributors&gt;&lt;authors&gt;&lt;author&gt;Baroja, M. L.&lt;/author&gt;&lt;author&gt;Lorre, K.&lt;/author&gt;&lt;author&gt;Van Vaeck, F.&lt;/author&gt;&lt;author&gt;Ceuppens, J. L.&lt;/author&gt;&lt;/authors&gt;&lt;/contributors&gt;&lt;auth-address&gt;Department of Medicine, University of Leuven, Belgium.&lt;/auth-address&gt;&lt;titles&gt;&lt;title&gt;The anti-T cell monoclonal antibody 9.3 (anti-CD28) provides a helper signal and bypasses the need for accessory cells in T cell activation with immobilized anti-CD3 and mitogens&lt;/title&gt;&lt;secondary-title&gt;Cell Immunol&lt;/secondary-title&gt;&lt;/titles&gt;&lt;periodical&gt;&lt;full-title&gt;Cell Immunol&lt;/full-title&gt;&lt;/periodical&gt;&lt;pages&gt;205-17&lt;/pages&gt;&lt;volume&gt;120&lt;/volume&gt;&lt;number&gt;1&lt;/number&gt;&lt;edition&gt;1989/04/15&lt;/edition&gt;&lt;keywords&gt;&lt;keyword&gt;Antibodies, Monoclonal/immunology&lt;/keyword&gt;&lt;keyword&gt;Antigen-Antibody Reactions&lt;/keyword&gt;&lt;keyword&gt;Antigens, Differentiation, T-Lymphocyte/*immunology&lt;/keyword&gt;&lt;keyword&gt;CD28 Antigens&lt;/keyword&gt;&lt;keyword&gt;CD3 Complex&lt;/keyword&gt;&lt;keyword&gt;Concanavalin A/pharmacology&lt;/keyword&gt;&lt;keyword&gt;Humans&lt;/keyword&gt;&lt;keyword&gt;In Vitro Techniques&lt;/keyword&gt;&lt;keyword&gt;Interleukin-2/biosynthesis&lt;/keyword&gt;&lt;keyword&gt;*Lymphocyte Activation&lt;/keyword&gt;&lt;keyword&gt;Phytohemagglutinins/pharmacology&lt;/keyword&gt;&lt;keyword&gt;Receptors, Antigen, T-Cell/immunology&lt;/keyword&gt;&lt;keyword&gt;Receptors, Interleukin-2/physiology&lt;/keyword&gt;&lt;keyword&gt;T-Lymphocytes/*immunology&lt;/keyword&gt;&lt;/keywords&gt;&lt;dates&gt;&lt;year&gt;1989&lt;/year&gt;&lt;pub-dates&gt;&lt;date&gt;Apr 15&lt;/date&gt;&lt;/pub-dates&gt;&lt;/dates&gt;&lt;isbn&gt;0008-8749 (Print)&amp;#xD;0008-8749 (Linking)&lt;/isbn&gt;&lt;accession-num&gt;2539266&lt;/accession-num&gt;&lt;urls&gt;&lt;related-urls&gt;&lt;url&gt;https://www.ncbi.nlm.nih.gov/pubmed/2539266&lt;/url&gt;&lt;/related-urls&gt;&lt;/urls&gt;&lt;electronic-resource-num&gt;10.1016/0008-8749(89)90188-3&lt;/electronic-resource-num&gt;&lt;/record&gt;&lt;/Cite&gt;&lt;/EndNote&gt;</w:instrText>
      </w:r>
      <w:r w:rsidRPr="003D2F00">
        <w:rPr>
          <w:rFonts w:ascii="Arial" w:hAnsi="Arial" w:cs="Arial"/>
          <w:lang w:val="en-US"/>
        </w:rPr>
        <w:fldChar w:fldCharType="separate"/>
      </w:r>
      <w:r w:rsidR="00BD405A" w:rsidRPr="003D2F00">
        <w:rPr>
          <w:rFonts w:ascii="Arial" w:hAnsi="Arial" w:cs="Arial"/>
          <w:noProof/>
          <w:vertAlign w:val="superscript"/>
          <w:lang w:val="en-US"/>
        </w:rPr>
        <w:t>5</w:t>
      </w:r>
      <w:r w:rsidRPr="003D2F00">
        <w:rPr>
          <w:rFonts w:ascii="Arial" w:hAnsi="Arial" w:cs="Arial"/>
          <w:lang w:val="en-US"/>
        </w:rPr>
        <w:fldChar w:fldCharType="end"/>
      </w:r>
      <w:r w:rsidRPr="003D2F00">
        <w:rPr>
          <w:rFonts w:ascii="Arial" w:eastAsia="Times New Roman" w:hAnsi="Arial" w:cs="Arial"/>
          <w:color w:val="212121"/>
          <w:lang w:val="en-US" w:eastAsia="de-DE"/>
        </w:rPr>
        <w:t xml:space="preserve">. </w:t>
      </w:r>
      <w:r w:rsidRPr="003D2F00">
        <w:rPr>
          <w:rFonts w:ascii="Arial" w:hAnsi="Arial" w:cs="Arial"/>
          <w:lang w:val="en-US"/>
        </w:rPr>
        <w:t xml:space="preserve">Homodimerization through the IgG1 hinge domain results in tetravalent constructs with two binding sites each for HBVenv and CD3 or CD28, respectively, and a molecular weight of ~170 kD. To avoid aberrant disulfide formation in the absence of Ig light chains Cys220 was mutated to Ser. In order to reduce antibody-dependent and complement-dependent cytotoxicity mediated by </w:t>
      </w:r>
      <w:proofErr w:type="spellStart"/>
      <w:r w:rsidRPr="003D2F00">
        <w:rPr>
          <w:rFonts w:ascii="Arial" w:hAnsi="Arial" w:cs="Arial"/>
          <w:lang w:val="en-US"/>
        </w:rPr>
        <w:t>Fcγ</w:t>
      </w:r>
      <w:proofErr w:type="spellEnd"/>
      <w:r w:rsidRPr="003D2F00">
        <w:rPr>
          <w:rFonts w:ascii="Arial" w:hAnsi="Arial" w:cs="Arial"/>
          <w:lang w:val="en-US"/>
        </w:rPr>
        <w:t xml:space="preserve"> receptor (</w:t>
      </w:r>
      <w:proofErr w:type="spellStart"/>
      <w:r w:rsidRPr="003D2F00">
        <w:rPr>
          <w:rFonts w:ascii="Arial" w:hAnsi="Arial" w:cs="Arial"/>
          <w:lang w:val="en-US"/>
        </w:rPr>
        <w:t>FcγR</w:t>
      </w:r>
      <w:proofErr w:type="spellEnd"/>
      <w:r w:rsidRPr="003D2F00">
        <w:rPr>
          <w:rFonts w:ascii="Arial" w:hAnsi="Arial" w:cs="Arial"/>
          <w:lang w:val="en-US"/>
        </w:rPr>
        <w:t xml:space="preserve">) binding, amino acid variations </w:t>
      </w:r>
      <w:r w:rsidRPr="003D2F00">
        <w:rPr>
          <w:rFonts w:ascii="Arial" w:hAnsi="Arial" w:cs="Arial"/>
          <w:shd w:val="clear" w:color="auto" w:fill="FFFFFF"/>
          <w:lang w:val="en-US"/>
        </w:rPr>
        <w:t>E233P, L234A, L235A, G236del, K322A, A327G, P329A, A330S and P331S</w:t>
      </w:r>
      <w:r w:rsidRPr="003D2F00">
        <w:rPr>
          <w:rFonts w:ascii="Arial" w:hAnsi="Arial" w:cs="Arial"/>
          <w:lang w:val="en-US"/>
        </w:rPr>
        <w:t xml:space="preserve"> were introduced into the Fc domain. </w:t>
      </w:r>
    </w:p>
    <w:p w14:paraId="1F33B0BF" w14:textId="68D240C9" w:rsidR="00CD12CB" w:rsidRPr="003D2F00" w:rsidRDefault="00140089" w:rsidP="00BD405A">
      <w:pPr>
        <w:spacing w:before="240" w:line="480" w:lineRule="auto"/>
        <w:jc w:val="both"/>
        <w:rPr>
          <w:rFonts w:ascii="Arial" w:hAnsi="Arial" w:cs="Arial"/>
          <w:b/>
          <w:lang w:val="en-US"/>
        </w:rPr>
      </w:pPr>
      <w:r w:rsidRPr="003D2F00">
        <w:rPr>
          <w:rFonts w:ascii="Arial" w:hAnsi="Arial" w:cs="Arial"/>
          <w:color w:val="212121"/>
          <w:shd w:val="clear" w:color="auto" w:fill="FFFFFF"/>
          <w:lang w:val="en-US"/>
        </w:rPr>
        <w:t xml:space="preserve">BiMAb were cloned by joining the following 5 fragments possessing unique restriction sites in </w:t>
      </w:r>
      <w:proofErr w:type="spellStart"/>
      <w:r w:rsidRPr="003D2F00">
        <w:rPr>
          <w:rFonts w:ascii="Arial" w:hAnsi="Arial" w:cs="Arial"/>
          <w:color w:val="212121"/>
          <w:shd w:val="clear" w:color="auto" w:fill="FFFFFF"/>
          <w:lang w:val="en-US"/>
        </w:rPr>
        <w:t>pBluescript</w:t>
      </w:r>
      <w:proofErr w:type="spellEnd"/>
      <w:r w:rsidRPr="003D2F00">
        <w:rPr>
          <w:rFonts w:ascii="Arial" w:hAnsi="Arial" w:cs="Arial"/>
          <w:color w:val="212121"/>
          <w:shd w:val="clear" w:color="auto" w:fill="FFFFFF"/>
          <w:lang w:val="en-US"/>
        </w:rPr>
        <w:t xml:space="preserve"> KS II+ (</w:t>
      </w:r>
      <w:proofErr w:type="spellStart"/>
      <w:r w:rsidRPr="003D2F00">
        <w:rPr>
          <w:rFonts w:ascii="Arial" w:hAnsi="Arial" w:cs="Arial"/>
          <w:color w:val="212121"/>
          <w:shd w:val="clear" w:color="auto" w:fill="FFFFFF"/>
          <w:lang w:val="en-US"/>
        </w:rPr>
        <w:t>Stratagene</w:t>
      </w:r>
      <w:proofErr w:type="spellEnd"/>
      <w:r w:rsidRPr="003D2F00">
        <w:rPr>
          <w:rFonts w:ascii="Arial" w:hAnsi="Arial" w:cs="Arial"/>
          <w:color w:val="212121"/>
          <w:shd w:val="clear" w:color="auto" w:fill="FFFFFF"/>
          <w:lang w:val="en-US"/>
        </w:rPr>
        <w:t xml:space="preserve">, San Diego, USA) and then subcloning the complete constructs into the expression vector pcDNA3.1(–) (Invitrogen, Karlsruhe, Germany) as a 5’ </w:t>
      </w:r>
      <w:proofErr w:type="spellStart"/>
      <w:r w:rsidRPr="003D2F00">
        <w:rPr>
          <w:rFonts w:ascii="Arial" w:hAnsi="Arial" w:cs="Arial"/>
          <w:color w:val="212121"/>
          <w:shd w:val="clear" w:color="auto" w:fill="FFFFFF"/>
          <w:lang w:val="en-US"/>
        </w:rPr>
        <w:t>XhoI</w:t>
      </w:r>
      <w:proofErr w:type="spellEnd"/>
      <w:r w:rsidRPr="003D2F00">
        <w:rPr>
          <w:rFonts w:ascii="Arial" w:hAnsi="Arial" w:cs="Arial"/>
          <w:color w:val="212121"/>
          <w:shd w:val="clear" w:color="auto" w:fill="FFFFFF"/>
          <w:lang w:val="en-US"/>
        </w:rPr>
        <w:t>–</w:t>
      </w:r>
      <w:proofErr w:type="spellStart"/>
      <w:r w:rsidRPr="003D2F00">
        <w:rPr>
          <w:rFonts w:ascii="Arial" w:hAnsi="Arial" w:cs="Arial"/>
          <w:color w:val="212121"/>
          <w:shd w:val="clear" w:color="auto" w:fill="FFFFFF"/>
          <w:lang w:val="en-US"/>
        </w:rPr>
        <w:t>NotI</w:t>
      </w:r>
      <w:proofErr w:type="spellEnd"/>
      <w:r w:rsidRPr="003D2F00">
        <w:rPr>
          <w:rFonts w:ascii="Arial" w:hAnsi="Arial" w:cs="Arial"/>
          <w:color w:val="212121"/>
          <w:shd w:val="clear" w:color="auto" w:fill="FFFFFF"/>
          <w:lang w:val="en-US"/>
        </w:rPr>
        <w:t xml:space="preserve"> 3’ insert. Fragment 1, Endoplasmic reticulum (ER) leader sequence and C8 anti-HBsAg scFv</w:t>
      </w:r>
      <w:r w:rsidRPr="003D2F00">
        <w:rPr>
          <w:rFonts w:ascii="Arial" w:hAnsi="Arial" w:cs="Arial"/>
          <w:lang w:val="en-US"/>
        </w:rPr>
        <w:fldChar w:fldCharType="begin"/>
      </w:r>
      <w:r w:rsidR="00D370AE" w:rsidRPr="003D2F00">
        <w:rPr>
          <w:rFonts w:ascii="Arial" w:hAnsi="Arial" w:cs="Arial"/>
          <w:lang w:val="en-US"/>
        </w:rPr>
        <w:instrText xml:space="preserve"> ADDIN EN.CITE &lt;EndNote&gt;&lt;Cite&gt;&lt;Author&gt;Bohne&lt;/Author&gt;&lt;Year&gt;2008&lt;/Year&gt;&lt;RecNum&gt;14&lt;/RecNum&gt;&lt;DisplayText&gt;&lt;style face="superscript"&gt;1&lt;/style&gt;&lt;/DisplayText&gt;&lt;record&gt;&lt;rec-number&gt;14&lt;/rec-number&gt;&lt;foreign-keys&gt;&lt;key app="EN" db-id="daafzzrdj9wwxsex99650591fv0dde2srf52" timestamp="0"&gt;14&lt;/key&gt;&lt;/foreign-keys&gt;&lt;ref-type name="Journal Article"&gt;17&lt;/ref-type&gt;&lt;contributors&gt;&lt;authors&gt;&lt;author&gt;Bohne, F.&lt;/author&gt;&lt;author&gt;Chmielewski, M.&lt;/author&gt;&lt;author&gt;Ebert, G.&lt;/author&gt;&lt;author&gt;Wiegmann, K.&lt;/author&gt;&lt;author&gt;Kurschner, T.&lt;/author&gt;&lt;author&gt;Schulze, A.&lt;/author&gt;&lt;author&gt;Urban, S.&lt;/author&gt;&lt;author&gt;Kronke, M.&lt;/author&gt;&lt;author&gt;Abken, H.&lt;/author&gt;&lt;author&gt;Protzer, U.&lt;/author&gt;&lt;/authors&gt;&lt;/contributors&gt;&lt;auth-address&gt;Molecular Infectiology, University Hospital Cologne, Koeln, Germany.&lt;/auth-address&gt;&lt;titles&gt;&lt;title&gt;T cells redirected against hepatitis B virus surface proteins eliminate infected hepatocytes&lt;/title&gt;&lt;secondary-title&gt;Gastroenterology&lt;/secondary-title&gt;&lt;/titles&gt;&lt;periodical&gt;&lt;full-title&gt;Gastroenterology&lt;/full-title&gt;&lt;/periodical&gt;&lt;pages&gt;239-47&lt;/pages&gt;&lt;volume&gt;134&lt;/volume&gt;&lt;number&gt;1&lt;/number&gt;&lt;keywords&gt;&lt;keyword&gt;Antigens, CD3/*immunology&lt;/keyword&gt;&lt;keyword&gt;Cell Culture Techniques&lt;/keyword&gt;&lt;keyword&gt;Chimera&lt;/keyword&gt;&lt;keyword&gt;Hepatitis B/*immunology/pathology&lt;/keyword&gt;&lt;keyword&gt;Hepatitis B Surface Antigens/*immunology&lt;/keyword&gt;&lt;keyword&gt;Hepatitis B virus/*physiology&lt;/keyword&gt;&lt;keyword&gt;Hepatocytes/*immunology&lt;/keyword&gt;&lt;keyword&gt;Humans&lt;/keyword&gt;&lt;keyword&gt;Immunoglobulin Fragments/physiology&lt;/keyword&gt;&lt;keyword&gt;Receptors, Antigen, T-Cell/*immunology&lt;/keyword&gt;&lt;keyword&gt;T-Cell Antigen Receptor Specificity/physiology&lt;/keyword&gt;&lt;keyword&gt;T-Lymphocytes/*physiology&lt;/keyword&gt;&lt;/keywords&gt;&lt;dates&gt;&lt;year&gt;2008&lt;/year&gt;&lt;pub-dates&gt;&lt;date&gt;Jan&lt;/date&gt;&lt;/pub-dates&gt;&lt;/dates&gt;&lt;isbn&gt;1528-0012 (Electronic)&amp;#xD;0016-5085 (Linking)&lt;/isbn&gt;&lt;accession-num&gt;18166356&lt;/accession-num&gt;&lt;urls&gt;&lt;related-urls&gt;&lt;url&gt;https://www.ncbi.nlm.nih.gov/pubmed/18166356&lt;/url&gt;&lt;/related-urls&gt;&lt;/urls&gt;&lt;electronic-resource-num&gt;10.1053/j.gastro.2007.11.002&lt;/electronic-resource-num&gt;&lt;/record&gt;&lt;/Cite&gt;&lt;/EndNote&gt;</w:instrText>
      </w:r>
      <w:r w:rsidRPr="003D2F00">
        <w:rPr>
          <w:rFonts w:ascii="Arial" w:hAnsi="Arial" w:cs="Arial"/>
          <w:lang w:val="en-US"/>
        </w:rPr>
        <w:fldChar w:fldCharType="separate"/>
      </w:r>
      <w:r w:rsidR="00D370AE" w:rsidRPr="003D2F00">
        <w:rPr>
          <w:rFonts w:ascii="Arial" w:hAnsi="Arial" w:cs="Arial"/>
          <w:noProof/>
          <w:vertAlign w:val="superscript"/>
          <w:lang w:val="en-US"/>
        </w:rPr>
        <w:t>1</w:t>
      </w:r>
      <w:r w:rsidRPr="003D2F00">
        <w:rPr>
          <w:rFonts w:ascii="Arial" w:hAnsi="Arial" w:cs="Arial"/>
          <w:lang w:val="en-US"/>
        </w:rPr>
        <w:fldChar w:fldCharType="end"/>
      </w:r>
      <w:r w:rsidRPr="003D2F00">
        <w:rPr>
          <w:rFonts w:ascii="Arial" w:hAnsi="Arial" w:cs="Arial"/>
          <w:color w:val="212121"/>
          <w:shd w:val="clear" w:color="auto" w:fill="FFFFFF"/>
          <w:lang w:val="en-US"/>
        </w:rPr>
        <w:t xml:space="preserve"> flanked by </w:t>
      </w:r>
      <w:proofErr w:type="spellStart"/>
      <w:r w:rsidRPr="003D2F00">
        <w:rPr>
          <w:rFonts w:ascii="Arial" w:hAnsi="Arial" w:cs="Arial"/>
          <w:color w:val="212121"/>
          <w:shd w:val="clear" w:color="auto" w:fill="FFFFFF"/>
          <w:lang w:val="en-US"/>
        </w:rPr>
        <w:t>XhoI</w:t>
      </w:r>
      <w:proofErr w:type="spellEnd"/>
      <w:r w:rsidRPr="003D2F00">
        <w:rPr>
          <w:rFonts w:ascii="Arial" w:hAnsi="Arial" w:cs="Arial"/>
          <w:color w:val="212121"/>
          <w:shd w:val="clear" w:color="auto" w:fill="FFFFFF"/>
          <w:lang w:val="en-US"/>
        </w:rPr>
        <w:t xml:space="preserve"> (5’, </w:t>
      </w:r>
      <w:proofErr w:type="spellStart"/>
      <w:r w:rsidRPr="003D2F00">
        <w:rPr>
          <w:rFonts w:ascii="Arial" w:hAnsi="Arial" w:cs="Arial"/>
          <w:color w:val="212121"/>
          <w:u w:val="single"/>
          <w:shd w:val="clear" w:color="auto" w:fill="FFFFFF"/>
          <w:lang w:val="en-US"/>
        </w:rPr>
        <w:t>ctcgag</w:t>
      </w:r>
      <w:r w:rsidRPr="003D2F00">
        <w:rPr>
          <w:rFonts w:ascii="Arial" w:hAnsi="Arial" w:cs="Arial"/>
          <w:color w:val="212121"/>
          <w:shd w:val="clear" w:color="auto" w:fill="FFFFFF"/>
          <w:lang w:val="en-US"/>
        </w:rPr>
        <w:t>accATG</w:t>
      </w:r>
      <w:proofErr w:type="spellEnd"/>
      <w:r w:rsidRPr="003D2F00">
        <w:rPr>
          <w:rFonts w:ascii="Arial" w:hAnsi="Arial" w:cs="Arial"/>
          <w:color w:val="212121"/>
          <w:shd w:val="clear" w:color="auto" w:fill="FFFFFF"/>
          <w:lang w:val="en-US"/>
        </w:rPr>
        <w:t xml:space="preserve">) and </w:t>
      </w:r>
      <w:proofErr w:type="spellStart"/>
      <w:r w:rsidRPr="003D2F00">
        <w:rPr>
          <w:rFonts w:ascii="Arial" w:hAnsi="Arial" w:cs="Arial"/>
          <w:color w:val="212121"/>
          <w:shd w:val="clear" w:color="auto" w:fill="FFFFFF"/>
          <w:lang w:val="en-US"/>
        </w:rPr>
        <w:t>EcoRI</w:t>
      </w:r>
      <w:proofErr w:type="spellEnd"/>
      <w:r w:rsidRPr="003D2F00">
        <w:rPr>
          <w:rFonts w:ascii="Arial" w:hAnsi="Arial" w:cs="Arial"/>
          <w:color w:val="212121"/>
          <w:shd w:val="clear" w:color="auto" w:fill="FFFFFF"/>
          <w:lang w:val="en-US"/>
        </w:rPr>
        <w:t xml:space="preserve"> sites (3’, coding GNS); fragment 2, glycine-serine linker </w:t>
      </w:r>
      <w:r w:rsidRPr="003D2F00">
        <w:rPr>
          <w:rFonts w:ascii="Arial" w:hAnsi="Arial" w:cs="Arial"/>
          <w:color w:val="212121"/>
          <w:u w:val="single"/>
          <w:shd w:val="clear" w:color="auto" w:fill="FFFFFF"/>
          <w:lang w:val="en-US"/>
        </w:rPr>
        <w:t>GNS(</w:t>
      </w:r>
      <w:r w:rsidRPr="003D2F00">
        <w:rPr>
          <w:rFonts w:ascii="Arial" w:hAnsi="Arial" w:cs="Arial"/>
          <w:color w:val="212121"/>
          <w:shd w:val="clear" w:color="auto" w:fill="FFFFFF"/>
          <w:lang w:val="en-US"/>
        </w:rPr>
        <w:t>G</w:t>
      </w:r>
      <w:r w:rsidRPr="003D2F00">
        <w:rPr>
          <w:rFonts w:ascii="Arial" w:hAnsi="Arial" w:cs="Arial"/>
          <w:color w:val="212121"/>
          <w:shd w:val="clear" w:color="auto" w:fill="FFFFFF"/>
          <w:vertAlign w:val="subscript"/>
          <w:lang w:val="en-US"/>
        </w:rPr>
        <w:t>4</w:t>
      </w:r>
      <w:r w:rsidRPr="003D2F00">
        <w:rPr>
          <w:rFonts w:ascii="Arial" w:hAnsi="Arial" w:cs="Arial"/>
          <w:color w:val="212121"/>
          <w:shd w:val="clear" w:color="auto" w:fill="FFFFFF"/>
          <w:lang w:val="en-US"/>
        </w:rPr>
        <w:t>S)</w:t>
      </w:r>
      <w:r w:rsidRPr="003D2F00">
        <w:rPr>
          <w:rFonts w:ascii="Arial" w:hAnsi="Arial" w:cs="Arial"/>
          <w:color w:val="212121"/>
          <w:shd w:val="clear" w:color="auto" w:fill="FFFFFF"/>
          <w:vertAlign w:val="subscript"/>
          <w:lang w:val="en-US"/>
        </w:rPr>
        <w:t>3</w:t>
      </w:r>
      <w:r w:rsidRPr="003D2F00">
        <w:rPr>
          <w:rFonts w:ascii="Arial" w:hAnsi="Arial" w:cs="Arial"/>
          <w:color w:val="212121"/>
          <w:u w:val="single"/>
          <w:shd w:val="clear" w:color="auto" w:fill="FFFFFF"/>
          <w:lang w:val="en-US"/>
        </w:rPr>
        <w:t>AS</w:t>
      </w:r>
      <w:r w:rsidRPr="003D2F00">
        <w:rPr>
          <w:rFonts w:ascii="Arial" w:hAnsi="Arial" w:cs="Arial"/>
          <w:color w:val="212121"/>
          <w:shd w:val="clear" w:color="auto" w:fill="FFFFFF"/>
          <w:lang w:val="en-US"/>
        </w:rPr>
        <w:t xml:space="preserve"> flanked by </w:t>
      </w:r>
      <w:proofErr w:type="spellStart"/>
      <w:r w:rsidRPr="003D2F00">
        <w:rPr>
          <w:rFonts w:ascii="Arial" w:hAnsi="Arial" w:cs="Arial"/>
          <w:color w:val="212121"/>
          <w:shd w:val="clear" w:color="auto" w:fill="FFFFFF"/>
          <w:lang w:val="en-US"/>
        </w:rPr>
        <w:t>EcoRI</w:t>
      </w:r>
      <w:proofErr w:type="spellEnd"/>
      <w:r w:rsidRPr="003D2F00">
        <w:rPr>
          <w:rFonts w:ascii="Arial" w:hAnsi="Arial" w:cs="Arial"/>
          <w:color w:val="212121"/>
          <w:shd w:val="clear" w:color="auto" w:fill="FFFFFF"/>
          <w:lang w:val="en-US"/>
        </w:rPr>
        <w:t xml:space="preserve"> (5’, coding GNS) and </w:t>
      </w:r>
      <w:proofErr w:type="spellStart"/>
      <w:r w:rsidRPr="003D2F00">
        <w:rPr>
          <w:rFonts w:ascii="Arial" w:hAnsi="Arial" w:cs="Arial"/>
          <w:color w:val="212121"/>
          <w:shd w:val="clear" w:color="auto" w:fill="FFFFFF"/>
          <w:lang w:val="en-US"/>
        </w:rPr>
        <w:t>NheI</w:t>
      </w:r>
      <w:proofErr w:type="spellEnd"/>
      <w:r w:rsidRPr="003D2F00">
        <w:rPr>
          <w:rFonts w:ascii="Arial" w:hAnsi="Arial" w:cs="Arial"/>
          <w:color w:val="212121"/>
          <w:shd w:val="clear" w:color="auto" w:fill="FFFFFF"/>
          <w:lang w:val="en-US"/>
        </w:rPr>
        <w:t xml:space="preserve"> (3’, coding AS) sites; fragment 3, the Fc portion of human IgG1 (GenBank accession no. BC078670) containing the mutations C220S, E233P, L234A, L235A, G236del, N297Q, K322A, A327G, P329A, A330S, and P331S introduced by PCR mutagenesis and flanked by </w:t>
      </w:r>
      <w:proofErr w:type="spellStart"/>
      <w:r w:rsidRPr="003D2F00">
        <w:rPr>
          <w:rFonts w:ascii="Arial" w:hAnsi="Arial" w:cs="Arial"/>
          <w:color w:val="212121"/>
          <w:shd w:val="clear" w:color="auto" w:fill="FFFFFF"/>
          <w:lang w:val="en-US"/>
        </w:rPr>
        <w:t>NheI</w:t>
      </w:r>
      <w:proofErr w:type="spellEnd"/>
      <w:r w:rsidRPr="003D2F00">
        <w:rPr>
          <w:rFonts w:ascii="Arial" w:hAnsi="Arial" w:cs="Arial"/>
          <w:color w:val="212121"/>
          <w:shd w:val="clear" w:color="auto" w:fill="FFFFFF"/>
          <w:lang w:val="en-US"/>
        </w:rPr>
        <w:t xml:space="preserve"> (coding AS) and </w:t>
      </w:r>
      <w:proofErr w:type="spellStart"/>
      <w:r w:rsidRPr="003D2F00">
        <w:rPr>
          <w:rFonts w:ascii="Arial" w:hAnsi="Arial" w:cs="Arial"/>
          <w:color w:val="212121"/>
          <w:shd w:val="clear" w:color="auto" w:fill="FFFFFF"/>
          <w:lang w:val="en-US"/>
        </w:rPr>
        <w:t>BamHI</w:t>
      </w:r>
      <w:proofErr w:type="spellEnd"/>
      <w:r w:rsidRPr="003D2F00">
        <w:rPr>
          <w:rFonts w:ascii="Arial" w:hAnsi="Arial" w:cs="Arial"/>
          <w:color w:val="212121"/>
          <w:shd w:val="clear" w:color="auto" w:fill="FFFFFF"/>
          <w:lang w:val="en-US"/>
        </w:rPr>
        <w:t xml:space="preserve"> (coding DP) sites; fragment 4, a </w:t>
      </w:r>
      <w:proofErr w:type="spellStart"/>
      <w:r w:rsidRPr="003D2F00">
        <w:rPr>
          <w:rFonts w:ascii="Arial" w:hAnsi="Arial" w:cs="Arial"/>
          <w:color w:val="212121"/>
          <w:shd w:val="clear" w:color="auto" w:fill="FFFFFF"/>
          <w:lang w:val="en-US"/>
        </w:rPr>
        <w:t>StrepTag</w:t>
      </w:r>
      <w:proofErr w:type="spellEnd"/>
      <w:r w:rsidRPr="003D2F00">
        <w:rPr>
          <w:rFonts w:ascii="Arial" w:hAnsi="Arial" w:cs="Arial"/>
          <w:color w:val="212121"/>
          <w:shd w:val="clear" w:color="auto" w:fill="FFFFFF"/>
          <w:lang w:val="en-US"/>
        </w:rPr>
        <w:t xml:space="preserve"> II sequence </w:t>
      </w:r>
      <w:r w:rsidRPr="003D2F00">
        <w:rPr>
          <w:rFonts w:ascii="Arial" w:hAnsi="Arial" w:cs="Arial"/>
          <w:color w:val="212121"/>
          <w:u w:val="single"/>
          <w:shd w:val="clear" w:color="auto" w:fill="FFFFFF"/>
          <w:lang w:val="en-US"/>
        </w:rPr>
        <w:t>DP</w:t>
      </w:r>
      <w:r w:rsidRPr="003D2F00">
        <w:rPr>
          <w:rFonts w:ascii="Arial" w:hAnsi="Arial" w:cs="Arial"/>
          <w:color w:val="212121"/>
          <w:shd w:val="clear" w:color="auto" w:fill="FFFFFF"/>
          <w:lang w:val="en-US"/>
        </w:rPr>
        <w:t>G</w:t>
      </w:r>
      <w:r w:rsidRPr="003D2F00">
        <w:rPr>
          <w:rFonts w:ascii="Arial" w:hAnsi="Arial" w:cs="Arial"/>
          <w:bCs/>
          <w:color w:val="212121"/>
          <w:shd w:val="clear" w:color="auto" w:fill="FFFFFF"/>
          <w:lang w:val="en-US"/>
        </w:rPr>
        <w:t>WSHPQFEK</w:t>
      </w:r>
      <w:r w:rsidRPr="003D2F00">
        <w:rPr>
          <w:rFonts w:ascii="Arial" w:hAnsi="Arial" w:cs="Arial"/>
          <w:color w:val="212121"/>
          <w:u w:val="single"/>
          <w:shd w:val="clear" w:color="auto" w:fill="FFFFFF"/>
          <w:lang w:val="en-US"/>
        </w:rPr>
        <w:t>SR</w:t>
      </w:r>
      <w:r w:rsidRPr="003D2F00">
        <w:rPr>
          <w:rFonts w:ascii="Arial" w:hAnsi="Arial" w:cs="Arial"/>
          <w:color w:val="212121"/>
          <w:shd w:val="clear" w:color="auto" w:fill="FFFFFF"/>
          <w:lang w:val="en-US"/>
        </w:rPr>
        <w:t xml:space="preserve"> flanked by </w:t>
      </w:r>
      <w:proofErr w:type="spellStart"/>
      <w:r w:rsidRPr="003D2F00">
        <w:rPr>
          <w:rFonts w:ascii="Arial" w:hAnsi="Arial" w:cs="Arial"/>
          <w:color w:val="212121"/>
          <w:shd w:val="clear" w:color="auto" w:fill="FFFFFF"/>
          <w:lang w:val="en-US"/>
        </w:rPr>
        <w:t>BamHI</w:t>
      </w:r>
      <w:proofErr w:type="spellEnd"/>
      <w:r w:rsidRPr="003D2F00">
        <w:rPr>
          <w:rFonts w:ascii="Arial" w:hAnsi="Arial" w:cs="Arial"/>
          <w:color w:val="212121"/>
          <w:shd w:val="clear" w:color="auto" w:fill="FFFFFF"/>
          <w:lang w:val="en-US"/>
        </w:rPr>
        <w:t xml:space="preserve"> (5’, coding DP) and </w:t>
      </w:r>
      <w:proofErr w:type="spellStart"/>
      <w:r w:rsidRPr="003D2F00">
        <w:rPr>
          <w:rFonts w:ascii="Arial" w:hAnsi="Arial" w:cs="Arial"/>
          <w:color w:val="212121"/>
          <w:shd w:val="clear" w:color="auto" w:fill="FFFFFF"/>
          <w:lang w:val="en-US"/>
        </w:rPr>
        <w:t>XbaI</w:t>
      </w:r>
      <w:proofErr w:type="spellEnd"/>
      <w:r w:rsidRPr="003D2F00">
        <w:rPr>
          <w:rFonts w:ascii="Arial" w:hAnsi="Arial" w:cs="Arial"/>
          <w:color w:val="212121"/>
          <w:shd w:val="clear" w:color="auto" w:fill="FFFFFF"/>
          <w:lang w:val="en-US"/>
        </w:rPr>
        <w:t xml:space="preserve"> (3’, coding SR); fragment 5, a scFv antibody derived from anti-CD3 </w:t>
      </w:r>
      <w:r w:rsidRPr="003D2F00">
        <w:rPr>
          <w:rFonts w:ascii="Arial" w:hAnsi="Arial" w:cs="Arial"/>
          <w:color w:val="212121"/>
          <w:shd w:val="clear" w:color="auto" w:fill="FFFFFF"/>
          <w:lang w:val="en-US"/>
        </w:rPr>
        <w:lastRenderedPageBreak/>
        <w:t>OKT3 (V</w:t>
      </w:r>
      <w:r w:rsidRPr="003D2F00">
        <w:rPr>
          <w:rFonts w:ascii="Arial" w:hAnsi="Arial" w:cs="Arial"/>
          <w:color w:val="212121"/>
          <w:shd w:val="clear" w:color="auto" w:fill="FFFFFF"/>
          <w:vertAlign w:val="subscript"/>
          <w:lang w:val="en-US"/>
        </w:rPr>
        <w:t>H</w:t>
      </w:r>
      <w:r w:rsidRPr="003D2F00">
        <w:rPr>
          <w:rFonts w:ascii="Arial" w:hAnsi="Arial" w:cs="Arial"/>
          <w:color w:val="212121"/>
          <w:shd w:val="clear" w:color="auto" w:fill="FFFFFF"/>
          <w:lang w:val="en-US"/>
        </w:rPr>
        <w:t>–(G</w:t>
      </w:r>
      <w:r w:rsidRPr="003D2F00">
        <w:rPr>
          <w:rFonts w:ascii="Arial" w:hAnsi="Arial" w:cs="Arial"/>
          <w:color w:val="212121"/>
          <w:shd w:val="clear" w:color="auto" w:fill="FFFFFF"/>
          <w:vertAlign w:val="subscript"/>
          <w:lang w:val="en-US"/>
        </w:rPr>
        <w:t>4</w:t>
      </w:r>
      <w:r w:rsidRPr="003D2F00">
        <w:rPr>
          <w:rFonts w:ascii="Arial" w:hAnsi="Arial" w:cs="Arial"/>
          <w:color w:val="212121"/>
          <w:shd w:val="clear" w:color="auto" w:fill="FFFFFF"/>
          <w:lang w:val="en-US"/>
        </w:rPr>
        <w:t>S)</w:t>
      </w:r>
      <w:r w:rsidRPr="003D2F00">
        <w:rPr>
          <w:rFonts w:ascii="Arial" w:hAnsi="Arial" w:cs="Arial"/>
          <w:color w:val="212121"/>
          <w:shd w:val="clear" w:color="auto" w:fill="FFFFFF"/>
          <w:vertAlign w:val="subscript"/>
          <w:lang w:val="en-US"/>
        </w:rPr>
        <w:t>3</w:t>
      </w:r>
      <w:r w:rsidRPr="003D2F00">
        <w:rPr>
          <w:rFonts w:ascii="Arial" w:hAnsi="Arial" w:cs="Arial"/>
          <w:color w:val="212121"/>
          <w:shd w:val="clear" w:color="auto" w:fill="FFFFFF"/>
          <w:lang w:val="en-US"/>
        </w:rPr>
        <w:t>-V</w:t>
      </w:r>
      <w:r w:rsidRPr="003D2F00">
        <w:rPr>
          <w:rFonts w:ascii="Arial" w:hAnsi="Arial" w:cs="Arial"/>
          <w:color w:val="212121"/>
          <w:shd w:val="clear" w:color="auto" w:fill="FFFFFF"/>
          <w:vertAlign w:val="subscript"/>
          <w:lang w:val="en-US"/>
        </w:rPr>
        <w:t>L</w:t>
      </w:r>
      <w:r w:rsidRPr="003D2F00">
        <w:rPr>
          <w:rFonts w:ascii="Arial" w:hAnsi="Arial" w:cs="Arial"/>
          <w:color w:val="212121"/>
          <w:shd w:val="clear" w:color="auto" w:fill="FFFFFF"/>
          <w:lang w:val="en-US"/>
        </w:rPr>
        <w:t>; GenBank accession nos. A22261 and A22259) or anti-CD28 9.3 (V</w:t>
      </w:r>
      <w:r w:rsidRPr="003D2F00">
        <w:rPr>
          <w:rFonts w:ascii="Arial" w:hAnsi="Arial" w:cs="Arial"/>
          <w:color w:val="212121"/>
          <w:shd w:val="clear" w:color="auto" w:fill="FFFFFF"/>
          <w:vertAlign w:val="subscript"/>
          <w:lang w:val="en-US"/>
        </w:rPr>
        <w:t>H</w:t>
      </w:r>
      <w:r w:rsidRPr="003D2F00">
        <w:rPr>
          <w:rFonts w:ascii="Arial" w:hAnsi="Arial" w:cs="Arial"/>
          <w:color w:val="212121"/>
          <w:shd w:val="clear" w:color="auto" w:fill="FFFFFF"/>
          <w:lang w:val="en-US"/>
        </w:rPr>
        <w:t>–(G</w:t>
      </w:r>
      <w:r w:rsidRPr="003D2F00">
        <w:rPr>
          <w:rFonts w:ascii="Arial" w:hAnsi="Arial" w:cs="Arial"/>
          <w:color w:val="212121"/>
          <w:shd w:val="clear" w:color="auto" w:fill="FFFFFF"/>
          <w:vertAlign w:val="subscript"/>
          <w:lang w:val="en-US"/>
        </w:rPr>
        <w:t>4</w:t>
      </w:r>
      <w:r w:rsidRPr="003D2F00">
        <w:rPr>
          <w:rFonts w:ascii="Arial" w:hAnsi="Arial" w:cs="Arial"/>
          <w:color w:val="212121"/>
          <w:shd w:val="clear" w:color="auto" w:fill="FFFFFF"/>
          <w:lang w:val="en-US"/>
        </w:rPr>
        <w:t>S)</w:t>
      </w:r>
      <w:r w:rsidRPr="003D2F00">
        <w:rPr>
          <w:rFonts w:ascii="Arial" w:hAnsi="Arial" w:cs="Arial"/>
          <w:color w:val="212121"/>
          <w:shd w:val="clear" w:color="auto" w:fill="FFFFFF"/>
          <w:vertAlign w:val="subscript"/>
          <w:lang w:val="en-US"/>
        </w:rPr>
        <w:t>3</w:t>
      </w:r>
      <w:r w:rsidRPr="003D2F00">
        <w:rPr>
          <w:rFonts w:ascii="Arial" w:hAnsi="Arial" w:cs="Arial"/>
          <w:color w:val="212121"/>
          <w:shd w:val="clear" w:color="auto" w:fill="FFFFFF"/>
          <w:lang w:val="en-US"/>
        </w:rPr>
        <w:t>-V</w:t>
      </w:r>
      <w:r w:rsidRPr="003D2F00">
        <w:rPr>
          <w:rFonts w:ascii="Arial" w:hAnsi="Arial" w:cs="Arial"/>
          <w:color w:val="212121"/>
          <w:shd w:val="clear" w:color="auto" w:fill="FFFFFF"/>
          <w:vertAlign w:val="subscript"/>
          <w:lang w:val="en-US"/>
        </w:rPr>
        <w:t>L</w:t>
      </w:r>
      <w:r w:rsidRPr="003D2F00">
        <w:rPr>
          <w:rFonts w:ascii="Arial" w:hAnsi="Arial" w:cs="Arial"/>
          <w:color w:val="212121"/>
          <w:shd w:val="clear" w:color="auto" w:fill="FFFFFF"/>
          <w:lang w:val="en-US"/>
        </w:rPr>
        <w:t xml:space="preserve">; GenBank accession nos. AJ459795 and AJ459794) flanked by </w:t>
      </w:r>
      <w:proofErr w:type="spellStart"/>
      <w:r w:rsidRPr="003D2F00">
        <w:rPr>
          <w:rFonts w:ascii="Arial" w:hAnsi="Arial" w:cs="Arial"/>
          <w:color w:val="212121"/>
          <w:shd w:val="clear" w:color="auto" w:fill="FFFFFF"/>
          <w:lang w:val="en-US"/>
        </w:rPr>
        <w:t>XbaI</w:t>
      </w:r>
      <w:proofErr w:type="spellEnd"/>
      <w:r w:rsidRPr="003D2F00">
        <w:rPr>
          <w:rFonts w:ascii="Arial" w:hAnsi="Arial" w:cs="Arial"/>
          <w:color w:val="212121"/>
          <w:shd w:val="clear" w:color="auto" w:fill="FFFFFF"/>
          <w:lang w:val="en-US"/>
        </w:rPr>
        <w:t xml:space="preserve"> (5’, coding SR), or </w:t>
      </w:r>
      <w:proofErr w:type="spellStart"/>
      <w:r w:rsidRPr="003D2F00">
        <w:rPr>
          <w:rFonts w:ascii="Arial" w:hAnsi="Arial" w:cs="Arial"/>
          <w:color w:val="212121"/>
          <w:shd w:val="clear" w:color="auto" w:fill="FFFFFF"/>
          <w:lang w:val="en-US"/>
        </w:rPr>
        <w:t>SpeI</w:t>
      </w:r>
      <w:proofErr w:type="spellEnd"/>
      <w:r w:rsidRPr="003D2F00">
        <w:rPr>
          <w:rFonts w:ascii="Arial" w:hAnsi="Arial" w:cs="Arial"/>
          <w:color w:val="212121"/>
          <w:shd w:val="clear" w:color="auto" w:fill="FFFFFF"/>
          <w:lang w:val="en-US"/>
        </w:rPr>
        <w:t xml:space="preserve"> in case of 9.3 scFv (5’, coding SS after ligation to </w:t>
      </w:r>
      <w:proofErr w:type="spellStart"/>
      <w:r w:rsidRPr="003D2F00">
        <w:rPr>
          <w:rFonts w:ascii="Arial" w:hAnsi="Arial" w:cs="Arial"/>
          <w:color w:val="212121"/>
          <w:shd w:val="clear" w:color="auto" w:fill="FFFFFF"/>
          <w:lang w:val="en-US"/>
        </w:rPr>
        <w:t>XbaI</w:t>
      </w:r>
      <w:proofErr w:type="spellEnd"/>
      <w:r w:rsidRPr="003D2F00">
        <w:rPr>
          <w:rFonts w:ascii="Arial" w:hAnsi="Arial" w:cs="Arial"/>
          <w:color w:val="212121"/>
          <w:shd w:val="clear" w:color="auto" w:fill="FFFFFF"/>
          <w:lang w:val="en-US"/>
        </w:rPr>
        <w:t>), followed by a short Gly</w:t>
      </w:r>
      <w:r w:rsidRPr="003D2F00">
        <w:rPr>
          <w:rFonts w:ascii="Arial" w:hAnsi="Arial" w:cs="Arial"/>
          <w:color w:val="212121"/>
          <w:shd w:val="clear" w:color="auto" w:fill="FFFFFF"/>
          <w:vertAlign w:val="subscript"/>
          <w:lang w:val="en-US"/>
        </w:rPr>
        <w:t>4</w:t>
      </w:r>
      <w:r w:rsidRPr="003D2F00">
        <w:rPr>
          <w:rFonts w:ascii="Arial" w:hAnsi="Arial" w:cs="Arial"/>
          <w:color w:val="212121"/>
          <w:shd w:val="clear" w:color="auto" w:fill="FFFFFF"/>
          <w:lang w:val="en-US"/>
        </w:rPr>
        <w:t xml:space="preserve"> linker, and flanked by a </w:t>
      </w:r>
      <w:proofErr w:type="spellStart"/>
      <w:r w:rsidRPr="003D2F00">
        <w:rPr>
          <w:rFonts w:ascii="Arial" w:hAnsi="Arial" w:cs="Arial"/>
          <w:color w:val="212121"/>
          <w:shd w:val="clear" w:color="auto" w:fill="FFFFFF"/>
          <w:lang w:val="en-US"/>
        </w:rPr>
        <w:t>NotI</w:t>
      </w:r>
      <w:proofErr w:type="spellEnd"/>
      <w:r w:rsidRPr="003D2F00">
        <w:rPr>
          <w:rFonts w:ascii="Arial" w:hAnsi="Arial" w:cs="Arial"/>
          <w:color w:val="212121"/>
          <w:shd w:val="clear" w:color="auto" w:fill="FFFFFF"/>
          <w:lang w:val="en-US"/>
        </w:rPr>
        <w:t xml:space="preserve"> site after the stop codon.</w:t>
      </w:r>
    </w:p>
    <w:p w14:paraId="2513A8FB" w14:textId="5E8D1B54" w:rsidR="0092207B" w:rsidRPr="003D2F00" w:rsidRDefault="00140089" w:rsidP="00BD405A">
      <w:pPr>
        <w:spacing w:after="0" w:line="480" w:lineRule="auto"/>
        <w:jc w:val="both"/>
        <w:rPr>
          <w:rFonts w:ascii="Arial" w:hAnsi="Arial" w:cs="Arial"/>
          <w:lang w:val="en-US"/>
        </w:rPr>
      </w:pPr>
      <w:bookmarkStart w:id="2" w:name="_Toc72323396"/>
      <w:r w:rsidRPr="003D2F00">
        <w:rPr>
          <w:rStyle w:val="Heading2Char"/>
          <w:sz w:val="22"/>
          <w:lang w:val="en-US"/>
        </w:rPr>
        <w:t>Structure and generation of FabMAb recognizing HBVenv</w:t>
      </w:r>
      <w:bookmarkEnd w:id="2"/>
    </w:p>
    <w:p w14:paraId="1D104E8E" w14:textId="7E4676A1" w:rsidR="00CD12CB" w:rsidRPr="003D2F00" w:rsidRDefault="00140089" w:rsidP="00BD405A">
      <w:pPr>
        <w:spacing w:line="480" w:lineRule="auto"/>
        <w:jc w:val="both"/>
        <w:rPr>
          <w:rFonts w:ascii="Arial" w:hAnsi="Arial" w:cs="Arial"/>
          <w:lang w:val="en-US"/>
        </w:rPr>
      </w:pPr>
      <w:r w:rsidRPr="003D2F00">
        <w:rPr>
          <w:rFonts w:ascii="Arial" w:hAnsi="Arial" w:cs="Arial"/>
          <w:lang w:val="en-US"/>
        </w:rPr>
        <w:t>FabMAb (Fig. 1Aii) is composed of an HBVenv-specific, chimeric Fab-fragment consisting of the human IgG CH1 and murine variable domains derived from antibody 5F9 connected to a CD3- or CD28-specific single chain variable fragment (scFv) by a glycine-serine (G</w:t>
      </w:r>
      <w:r w:rsidRPr="003D2F00">
        <w:rPr>
          <w:rFonts w:ascii="Arial" w:hAnsi="Arial" w:cs="Arial"/>
          <w:vertAlign w:val="subscript"/>
          <w:lang w:val="en-US"/>
        </w:rPr>
        <w:t>4</w:t>
      </w:r>
      <w:r w:rsidRPr="003D2F00">
        <w:rPr>
          <w:rFonts w:ascii="Arial" w:hAnsi="Arial" w:cs="Arial"/>
          <w:lang w:val="en-US"/>
        </w:rPr>
        <w:t>S)</w:t>
      </w:r>
      <w:r w:rsidRPr="003D2F00">
        <w:rPr>
          <w:rFonts w:ascii="Arial" w:hAnsi="Arial" w:cs="Arial"/>
          <w:vertAlign w:val="subscript"/>
          <w:lang w:val="en-US"/>
        </w:rPr>
        <w:t>3</w:t>
      </w:r>
      <w:r w:rsidRPr="003D2F00">
        <w:rPr>
          <w:rFonts w:ascii="Arial" w:hAnsi="Arial" w:cs="Arial"/>
          <w:lang w:val="en-US"/>
        </w:rPr>
        <w:t xml:space="preserve"> linker. FabMAb have a relatively small protein size of ~78 kD and display monovalent binding to both antigens. To enable efficient purification under neutral pH conditions, FabMAb were equipped with a C-terminal His-tag and BiMAb with a Strep-tag II between the Fc domain and the C-terminal scFvs. </w:t>
      </w:r>
    </w:p>
    <w:p w14:paraId="15A255C9" w14:textId="721A359F" w:rsidR="00CD12CB" w:rsidRPr="003D2F00" w:rsidRDefault="00140089" w:rsidP="00BD405A">
      <w:pPr>
        <w:shd w:val="clear" w:color="auto" w:fill="FFFFFF"/>
        <w:spacing w:line="480" w:lineRule="auto"/>
        <w:jc w:val="both"/>
        <w:rPr>
          <w:rFonts w:ascii="Arial" w:hAnsi="Arial" w:cs="Arial"/>
          <w:color w:val="000000"/>
          <w:lang w:val="en-US"/>
        </w:rPr>
      </w:pPr>
      <w:r w:rsidRPr="003D2F00">
        <w:rPr>
          <w:rFonts w:ascii="Arial" w:hAnsi="Arial" w:cs="Arial"/>
          <w:color w:val="212121"/>
          <w:lang w:val="en-US"/>
        </w:rPr>
        <w:t xml:space="preserve">FabMAbαCD3 was cloned by exchanging CD22 heavy and light chains in the construct </w:t>
      </w:r>
      <w:r w:rsidRPr="003D2F00">
        <w:rPr>
          <w:rFonts w:ascii="Arial" w:hAnsi="Arial" w:cs="Arial"/>
          <w:color w:val="212121"/>
          <w:shd w:val="clear" w:color="auto" w:fill="FFFFFF"/>
          <w:lang w:val="en-US"/>
        </w:rPr>
        <w:t>pcDNA3.1_</w:t>
      </w:r>
      <w:r w:rsidRPr="003D2F00">
        <w:rPr>
          <w:rFonts w:ascii="Arial" w:hAnsi="Arial" w:cs="Arial"/>
          <w:color w:val="212121"/>
          <w:lang w:val="en-US"/>
        </w:rPr>
        <w:t>CD22xOKT3(V</w:t>
      </w:r>
      <w:r w:rsidRPr="003D2F00">
        <w:rPr>
          <w:rFonts w:ascii="Arial" w:hAnsi="Arial" w:cs="Arial"/>
          <w:color w:val="212121"/>
          <w:vertAlign w:val="subscript"/>
          <w:lang w:val="en-US"/>
        </w:rPr>
        <w:t>H</w:t>
      </w:r>
      <w:r w:rsidRPr="003D2F00">
        <w:rPr>
          <w:rFonts w:ascii="Arial" w:hAnsi="Arial" w:cs="Arial"/>
          <w:color w:val="212121"/>
          <w:lang w:val="en-US"/>
        </w:rPr>
        <w:t>CD22_huCH1γ_(G</w:t>
      </w:r>
      <w:r w:rsidRPr="003D2F00">
        <w:rPr>
          <w:rFonts w:ascii="Arial" w:hAnsi="Arial" w:cs="Arial"/>
          <w:color w:val="212121"/>
          <w:vertAlign w:val="subscript"/>
          <w:lang w:val="en-US"/>
        </w:rPr>
        <w:t>4</w:t>
      </w:r>
      <w:r w:rsidRPr="003D2F00">
        <w:rPr>
          <w:rFonts w:ascii="Arial" w:hAnsi="Arial" w:cs="Arial"/>
          <w:color w:val="212121"/>
          <w:lang w:val="en-US"/>
        </w:rPr>
        <w:t>S)</w:t>
      </w:r>
      <w:r w:rsidRPr="003D2F00">
        <w:rPr>
          <w:rFonts w:ascii="Arial" w:hAnsi="Arial" w:cs="Arial"/>
          <w:color w:val="212121"/>
          <w:vertAlign w:val="subscript"/>
          <w:lang w:val="en-US"/>
        </w:rPr>
        <w:t>3</w:t>
      </w:r>
      <w:r w:rsidRPr="003D2F00">
        <w:rPr>
          <w:rFonts w:ascii="Arial" w:hAnsi="Arial" w:cs="Arial"/>
          <w:color w:val="212121"/>
          <w:lang w:val="en-US"/>
        </w:rPr>
        <w:t>_V</w:t>
      </w:r>
      <w:r w:rsidRPr="003D2F00">
        <w:rPr>
          <w:rFonts w:ascii="Arial" w:hAnsi="Arial" w:cs="Arial"/>
          <w:color w:val="212121"/>
          <w:vertAlign w:val="subscript"/>
          <w:lang w:val="en-US"/>
        </w:rPr>
        <w:t>H</w:t>
      </w:r>
      <w:r w:rsidRPr="003D2F00">
        <w:rPr>
          <w:rFonts w:ascii="Arial" w:hAnsi="Arial" w:cs="Arial"/>
          <w:color w:val="212121"/>
          <w:lang w:val="en-US"/>
        </w:rPr>
        <w:t>OKT3_(G</w:t>
      </w:r>
      <w:r w:rsidRPr="003D2F00">
        <w:rPr>
          <w:rFonts w:ascii="Arial" w:hAnsi="Arial" w:cs="Arial"/>
          <w:color w:val="212121"/>
          <w:vertAlign w:val="subscript"/>
          <w:lang w:val="en-US"/>
        </w:rPr>
        <w:t>4</w:t>
      </w:r>
      <w:r w:rsidRPr="003D2F00">
        <w:rPr>
          <w:rFonts w:ascii="Arial" w:hAnsi="Arial" w:cs="Arial"/>
          <w:color w:val="212121"/>
          <w:lang w:val="en-US"/>
        </w:rPr>
        <w:t>S)</w:t>
      </w:r>
      <w:r w:rsidRPr="003D2F00">
        <w:rPr>
          <w:rFonts w:ascii="Arial" w:hAnsi="Arial" w:cs="Arial"/>
          <w:color w:val="212121"/>
          <w:vertAlign w:val="subscript"/>
          <w:lang w:val="en-US"/>
        </w:rPr>
        <w:t>3</w:t>
      </w:r>
      <w:r w:rsidRPr="003D2F00">
        <w:rPr>
          <w:rFonts w:ascii="Arial" w:hAnsi="Arial" w:cs="Arial"/>
          <w:color w:val="212121"/>
          <w:lang w:val="en-US"/>
        </w:rPr>
        <w:t>_VκOKT3_10xHis_P2A_V</w:t>
      </w:r>
      <w:r w:rsidRPr="003D2F00">
        <w:rPr>
          <w:rFonts w:ascii="Arial" w:hAnsi="Arial" w:cs="Arial"/>
          <w:color w:val="212121"/>
          <w:vertAlign w:val="subscript"/>
          <w:lang w:val="en-US"/>
        </w:rPr>
        <w:t>L</w:t>
      </w:r>
      <w:r w:rsidRPr="003D2F00">
        <w:rPr>
          <w:rFonts w:ascii="Arial" w:hAnsi="Arial" w:cs="Arial"/>
          <w:color w:val="212121"/>
          <w:lang w:val="en-US"/>
        </w:rPr>
        <w:t>CD22_huCH1κ), with the variable domains of the HBVenv-specific murine antibody 5F9. For this, variable heavy and light chain sequences were amplified from cDNA of hybridoma 5F9 via PCR and inserted into</w:t>
      </w:r>
      <w:r w:rsidRPr="003D2F00">
        <w:rPr>
          <w:rFonts w:ascii="Arial" w:eastAsia="Times New Roman" w:hAnsi="Arial" w:cs="Arial"/>
          <w:color w:val="212121"/>
          <w:lang w:val="en-US"/>
        </w:rPr>
        <w:t xml:space="preserve"> </w:t>
      </w:r>
      <w:r w:rsidRPr="003D2F00">
        <w:rPr>
          <w:rFonts w:ascii="Arial" w:hAnsi="Arial" w:cs="Arial"/>
          <w:color w:val="212121"/>
          <w:shd w:val="clear" w:color="auto" w:fill="FFFFFF"/>
          <w:lang w:val="en-US"/>
        </w:rPr>
        <w:t>pcDNA3.1_CD22xOKT3</w:t>
      </w:r>
      <w:r w:rsidRPr="003D2F00">
        <w:rPr>
          <w:rFonts w:ascii="Arial" w:hAnsi="Arial" w:cs="Arial"/>
          <w:color w:val="212121"/>
          <w:lang w:val="en-US"/>
        </w:rPr>
        <w:t>. Through insertion of a P2A site, this construct expresses V</w:t>
      </w:r>
      <w:r w:rsidRPr="003D2F00">
        <w:rPr>
          <w:rFonts w:ascii="Arial" w:hAnsi="Arial" w:cs="Arial"/>
          <w:color w:val="212121"/>
          <w:vertAlign w:val="subscript"/>
          <w:lang w:val="en-US"/>
        </w:rPr>
        <w:t>H</w:t>
      </w:r>
      <w:r w:rsidRPr="003D2F00">
        <w:rPr>
          <w:rFonts w:ascii="Arial" w:hAnsi="Arial" w:cs="Arial"/>
          <w:color w:val="212121"/>
          <w:lang w:val="en-US"/>
        </w:rPr>
        <w:t xml:space="preserve"> and V</w:t>
      </w:r>
      <w:r w:rsidRPr="003D2F00">
        <w:rPr>
          <w:rFonts w:ascii="Arial" w:eastAsia="Symbol" w:hAnsi="Arial" w:cs="Arial"/>
          <w:color w:val="212121"/>
          <w:lang w:val="en-US"/>
        </w:rPr>
        <w:t></w:t>
      </w:r>
      <w:r w:rsidRPr="003D2F00">
        <w:rPr>
          <w:rFonts w:ascii="Arial" w:hAnsi="Arial" w:cs="Arial"/>
          <w:color w:val="000000" w:themeColor="text1"/>
          <w:lang w:val="en-US"/>
        </w:rPr>
        <w:t xml:space="preserve"> chains in an equimolar ratio. To construct FabMAbαCD28, we exchanged the scFv OKT3 (αCD3) for scFv 9.3 (αCD28).</w:t>
      </w:r>
    </w:p>
    <w:p w14:paraId="7041E955" w14:textId="77777777" w:rsidR="0092207B" w:rsidRPr="003D2F00" w:rsidRDefault="00140089" w:rsidP="00BD405A">
      <w:pPr>
        <w:pStyle w:val="Heading2"/>
        <w:spacing w:line="480" w:lineRule="auto"/>
        <w:rPr>
          <w:sz w:val="22"/>
          <w:lang w:val="en-US"/>
        </w:rPr>
      </w:pPr>
      <w:bookmarkStart w:id="3" w:name="_Toc72323397"/>
      <w:r w:rsidRPr="003D2F00">
        <w:rPr>
          <w:sz w:val="22"/>
          <w:lang w:val="en-US"/>
        </w:rPr>
        <w:t>Production and purification of bsAbs.</w:t>
      </w:r>
      <w:bookmarkEnd w:id="3"/>
      <w:r w:rsidRPr="003D2F00">
        <w:rPr>
          <w:sz w:val="22"/>
          <w:lang w:val="en-US"/>
        </w:rPr>
        <w:t xml:space="preserve"> </w:t>
      </w:r>
    </w:p>
    <w:p w14:paraId="0FC1BC57" w14:textId="2BA162FB" w:rsidR="00CD12CB" w:rsidRPr="003D2F00" w:rsidRDefault="00140089" w:rsidP="00BD405A">
      <w:pPr>
        <w:spacing w:line="480" w:lineRule="auto"/>
        <w:jc w:val="both"/>
        <w:rPr>
          <w:rFonts w:ascii="Arial" w:hAnsi="Arial" w:cs="Arial"/>
          <w:lang w:val="en-US"/>
        </w:rPr>
      </w:pPr>
      <w:r w:rsidRPr="003D2F00">
        <w:rPr>
          <w:rFonts w:ascii="Arial" w:hAnsi="Arial" w:cs="Arial"/>
          <w:lang w:val="en-US"/>
        </w:rPr>
        <w:t xml:space="preserve">BiMAb were produced by </w:t>
      </w:r>
      <w:proofErr w:type="spellStart"/>
      <w:r w:rsidRPr="003D2F00">
        <w:rPr>
          <w:rFonts w:ascii="Arial" w:hAnsi="Arial" w:cs="Arial"/>
          <w:lang w:val="en-US"/>
        </w:rPr>
        <w:t>Proteros</w:t>
      </w:r>
      <w:proofErr w:type="spellEnd"/>
      <w:r w:rsidRPr="003D2F00">
        <w:rPr>
          <w:rFonts w:ascii="Arial" w:hAnsi="Arial" w:cs="Arial"/>
          <w:lang w:val="en-US"/>
        </w:rPr>
        <w:t xml:space="preserve"> Biostructures, </w:t>
      </w:r>
      <w:proofErr w:type="spellStart"/>
      <w:r w:rsidRPr="003D2F00">
        <w:rPr>
          <w:rFonts w:ascii="Arial" w:hAnsi="Arial" w:cs="Arial"/>
          <w:lang w:val="en-US"/>
        </w:rPr>
        <w:t>Martinsried</w:t>
      </w:r>
      <w:proofErr w:type="spellEnd"/>
      <w:r w:rsidRPr="003D2F00">
        <w:rPr>
          <w:rFonts w:ascii="Arial" w:hAnsi="Arial" w:cs="Arial"/>
          <w:lang w:val="en-US"/>
        </w:rPr>
        <w:t xml:space="preserve">, Germany. Plasmid constructs were expressed in HEK293 cells, followed by combinational purification with protein </w:t>
      </w:r>
      <w:proofErr w:type="spellStart"/>
      <w:r w:rsidRPr="003D2F00">
        <w:rPr>
          <w:rFonts w:ascii="Arial" w:hAnsi="Arial" w:cs="Arial"/>
          <w:lang w:val="en-US"/>
        </w:rPr>
        <w:t>A</w:t>
      </w:r>
      <w:proofErr w:type="spellEnd"/>
      <w:r w:rsidRPr="003D2F00">
        <w:rPr>
          <w:rFonts w:ascii="Arial" w:hAnsi="Arial" w:cs="Arial"/>
          <w:lang w:val="en-US"/>
        </w:rPr>
        <w:t xml:space="preserve"> affinity chromatography and size exclusion chromatography (SEC). FabMAb were ordered from </w:t>
      </w:r>
      <w:proofErr w:type="spellStart"/>
      <w:r w:rsidRPr="003D2F00">
        <w:rPr>
          <w:rFonts w:ascii="Arial" w:hAnsi="Arial" w:cs="Arial"/>
          <w:lang w:val="en-US"/>
        </w:rPr>
        <w:t>InVivo</w:t>
      </w:r>
      <w:proofErr w:type="spellEnd"/>
      <w:r w:rsidRPr="003D2F00">
        <w:rPr>
          <w:rFonts w:ascii="Arial" w:hAnsi="Arial" w:cs="Arial"/>
          <w:lang w:val="en-US"/>
        </w:rPr>
        <w:t xml:space="preserve"> Biotech Services, </w:t>
      </w:r>
      <w:proofErr w:type="spellStart"/>
      <w:r w:rsidRPr="003D2F00">
        <w:rPr>
          <w:rFonts w:ascii="Arial" w:hAnsi="Arial" w:cs="Arial"/>
          <w:lang w:val="en-US"/>
        </w:rPr>
        <w:t>Henningsdorf</w:t>
      </w:r>
      <w:proofErr w:type="spellEnd"/>
      <w:r w:rsidRPr="003D2F00">
        <w:rPr>
          <w:rFonts w:ascii="Arial" w:hAnsi="Arial" w:cs="Arial"/>
          <w:lang w:val="en-US"/>
        </w:rPr>
        <w:t>/Berlin, Germany. Constructs were expressed in HEK293 cells, followed by combinational purification with metal chelate affinity chromatography and SEC.</w:t>
      </w:r>
    </w:p>
    <w:p w14:paraId="51BE8F63" w14:textId="665E3EFA" w:rsidR="0092207B" w:rsidRPr="003D2F00" w:rsidRDefault="00140089" w:rsidP="00BD405A">
      <w:pPr>
        <w:pStyle w:val="Heading2"/>
        <w:spacing w:line="480" w:lineRule="auto"/>
        <w:rPr>
          <w:sz w:val="22"/>
          <w:lang w:val="en-US"/>
        </w:rPr>
      </w:pPr>
      <w:bookmarkStart w:id="4" w:name="_Toc72323398"/>
      <w:r w:rsidRPr="003D2F00">
        <w:rPr>
          <w:sz w:val="22"/>
          <w:lang w:val="en-US"/>
        </w:rPr>
        <w:lastRenderedPageBreak/>
        <w:t>SDS-polyacrylamide gel electrophoresis and Western blot analysis</w:t>
      </w:r>
      <w:bookmarkEnd w:id="4"/>
      <w:r w:rsidRPr="003D2F00">
        <w:rPr>
          <w:sz w:val="22"/>
          <w:lang w:val="en-US"/>
        </w:rPr>
        <w:t xml:space="preserve"> </w:t>
      </w:r>
    </w:p>
    <w:p w14:paraId="1663118D" w14:textId="48A2F860" w:rsidR="00CD12CB" w:rsidRPr="003D2F00" w:rsidRDefault="00140089" w:rsidP="00BD405A">
      <w:pPr>
        <w:spacing w:line="480" w:lineRule="auto"/>
        <w:jc w:val="both"/>
        <w:rPr>
          <w:rFonts w:ascii="Arial" w:hAnsi="Arial" w:cs="Arial"/>
          <w:color w:val="222222"/>
          <w:spacing w:val="3"/>
          <w:shd w:val="clear" w:color="auto" w:fill="FFFFFF"/>
          <w:lang w:val="en-US"/>
        </w:rPr>
      </w:pPr>
      <w:r w:rsidRPr="003D2F00">
        <w:rPr>
          <w:rFonts w:ascii="Arial" w:hAnsi="Arial" w:cs="Arial"/>
          <w:lang w:val="en-US"/>
        </w:rPr>
        <w:t>To analyze the purity and integrity of the bsAbs, 2.5 µg of each construct were separated on a 12.5% SDS-PAGE under reducing and non-reducing conditions, followed by staining with Coomassie CCB R250 (Roth, Karlsruhe, Germany). For Western blot analysis 100 ng of purified bsAbs were separated by PAGE and transferred to a</w:t>
      </w:r>
      <w:r w:rsidRPr="003D2F00">
        <w:rPr>
          <w:rFonts w:ascii="Arial" w:hAnsi="Arial" w:cs="Arial"/>
          <w:color w:val="222222"/>
          <w:spacing w:val="3"/>
          <w:shd w:val="clear" w:color="auto" w:fill="FFFFFF"/>
          <w:lang w:val="en-US"/>
        </w:rPr>
        <w:t xml:space="preserve"> polyvinylidene fluoride membrane (Millipore/Merck, Darmstadt, Germany) at 20 V for 1 hour. The membrane was blocked with 5% dry skimmed milk in phosphate-buffered saline containing 1% Tween-20 (PBST, Roth) for 1 hour at room temperature (RT), followed by overnight incubation at 4 °C with goat anti human IgG peroxidase (Sigma-Aldrich, </w:t>
      </w:r>
      <w:proofErr w:type="spellStart"/>
      <w:r w:rsidRPr="003D2F00">
        <w:rPr>
          <w:rFonts w:ascii="Arial" w:hAnsi="Arial" w:cs="Arial"/>
          <w:color w:val="222222"/>
          <w:spacing w:val="3"/>
          <w:shd w:val="clear" w:color="auto" w:fill="FFFFFF"/>
          <w:lang w:val="en-US"/>
        </w:rPr>
        <w:t>Taufk</w:t>
      </w:r>
      <w:r w:rsidR="00075491" w:rsidRPr="003D2F00">
        <w:rPr>
          <w:rFonts w:ascii="Arial" w:hAnsi="Arial" w:cs="Arial"/>
          <w:color w:val="222222"/>
          <w:spacing w:val="3"/>
          <w:shd w:val="clear" w:color="auto" w:fill="FFFFFF"/>
          <w:lang w:val="en-US"/>
        </w:rPr>
        <w:t>ir</w:t>
      </w:r>
      <w:r w:rsidRPr="003D2F00">
        <w:rPr>
          <w:rFonts w:ascii="Arial" w:hAnsi="Arial" w:cs="Arial"/>
          <w:color w:val="222222"/>
          <w:spacing w:val="3"/>
          <w:shd w:val="clear" w:color="auto" w:fill="FFFFFF"/>
          <w:lang w:val="en-US"/>
        </w:rPr>
        <w:t>chen</w:t>
      </w:r>
      <w:proofErr w:type="spellEnd"/>
      <w:r w:rsidRPr="003D2F00">
        <w:rPr>
          <w:rFonts w:ascii="Arial" w:hAnsi="Arial" w:cs="Arial"/>
          <w:color w:val="222222"/>
          <w:spacing w:val="3"/>
          <w:shd w:val="clear" w:color="auto" w:fill="FFFFFF"/>
          <w:lang w:val="en-US"/>
        </w:rPr>
        <w:t xml:space="preserve">, Germany). Membranes were washed and incubated with </w:t>
      </w:r>
      <w:proofErr w:type="spellStart"/>
      <w:r w:rsidRPr="003D2F00">
        <w:rPr>
          <w:rFonts w:ascii="Arial" w:hAnsi="Arial" w:cs="Arial"/>
          <w:color w:val="222222"/>
          <w:spacing w:val="3"/>
          <w:shd w:val="clear" w:color="auto" w:fill="FFFFFF"/>
          <w:lang w:val="en-US"/>
        </w:rPr>
        <w:t>Amersham</w:t>
      </w:r>
      <w:proofErr w:type="spellEnd"/>
      <w:r w:rsidRPr="003D2F00">
        <w:rPr>
          <w:rFonts w:ascii="Arial" w:hAnsi="Arial" w:cs="Arial"/>
          <w:color w:val="222222"/>
          <w:spacing w:val="3"/>
          <w:shd w:val="clear" w:color="auto" w:fill="FFFFFF"/>
          <w:lang w:val="en-US"/>
        </w:rPr>
        <w:t xml:space="preserve"> ECL Prime Western Blotting Detection Reagent (GE, Boston, USA). Protein bands were visualized using an ECL </w:t>
      </w:r>
      <w:proofErr w:type="spellStart"/>
      <w:r w:rsidRPr="003D2F00">
        <w:rPr>
          <w:rFonts w:ascii="Arial" w:hAnsi="Arial" w:cs="Arial"/>
          <w:color w:val="222222"/>
          <w:spacing w:val="3"/>
          <w:shd w:val="clear" w:color="auto" w:fill="FFFFFF"/>
          <w:lang w:val="en-US"/>
        </w:rPr>
        <w:t>Chemocam</w:t>
      </w:r>
      <w:proofErr w:type="spellEnd"/>
      <w:r w:rsidRPr="003D2F00">
        <w:rPr>
          <w:rFonts w:ascii="Arial" w:hAnsi="Arial" w:cs="Arial"/>
          <w:color w:val="222222"/>
          <w:spacing w:val="3"/>
          <w:shd w:val="clear" w:color="auto" w:fill="FFFFFF"/>
          <w:lang w:val="en-US"/>
        </w:rPr>
        <w:t xml:space="preserve"> (</w:t>
      </w:r>
      <w:proofErr w:type="spellStart"/>
      <w:r w:rsidRPr="003D2F00">
        <w:rPr>
          <w:rFonts w:ascii="Arial" w:hAnsi="Arial" w:cs="Arial"/>
          <w:color w:val="222222"/>
          <w:spacing w:val="3"/>
          <w:shd w:val="clear" w:color="auto" w:fill="FFFFFF"/>
          <w:lang w:val="en-US"/>
        </w:rPr>
        <w:t>Intas</w:t>
      </w:r>
      <w:proofErr w:type="spellEnd"/>
      <w:r w:rsidRPr="003D2F00">
        <w:rPr>
          <w:rFonts w:ascii="Arial" w:hAnsi="Arial" w:cs="Arial"/>
          <w:color w:val="222222"/>
          <w:spacing w:val="3"/>
          <w:shd w:val="clear" w:color="auto" w:fill="FFFFFF"/>
          <w:lang w:val="en-US"/>
        </w:rPr>
        <w:t>, Göttingen, Germany).</w:t>
      </w:r>
    </w:p>
    <w:p w14:paraId="5ED6A866" w14:textId="77777777" w:rsidR="0092207B" w:rsidRPr="003D2F00" w:rsidRDefault="00140089" w:rsidP="00BD405A">
      <w:pPr>
        <w:pStyle w:val="Heading2"/>
        <w:spacing w:line="480" w:lineRule="auto"/>
        <w:rPr>
          <w:sz w:val="22"/>
          <w:shd w:val="clear" w:color="auto" w:fill="FFFFFF"/>
          <w:lang w:val="en-US"/>
        </w:rPr>
      </w:pPr>
      <w:bookmarkStart w:id="5" w:name="_Toc72323399"/>
      <w:r w:rsidRPr="003D2F00">
        <w:rPr>
          <w:sz w:val="22"/>
          <w:shd w:val="clear" w:color="auto" w:fill="FFFFFF"/>
          <w:lang w:val="en-US"/>
        </w:rPr>
        <w:t xml:space="preserve">ELISA for analysis of HBsAg-binding and </w:t>
      </w:r>
      <w:r w:rsidRPr="003D2F00">
        <w:rPr>
          <w:color w:val="212121"/>
          <w:sz w:val="22"/>
          <w:lang w:val="en"/>
        </w:rPr>
        <w:t>pharmacokinetics</w:t>
      </w:r>
      <w:r w:rsidRPr="003D2F00">
        <w:rPr>
          <w:sz w:val="22"/>
          <w:shd w:val="clear" w:color="auto" w:fill="FFFFFF"/>
          <w:lang w:val="en-US"/>
        </w:rPr>
        <w:t>.</w:t>
      </w:r>
      <w:bookmarkEnd w:id="5"/>
      <w:r w:rsidRPr="003D2F00">
        <w:rPr>
          <w:sz w:val="22"/>
          <w:shd w:val="clear" w:color="auto" w:fill="FFFFFF"/>
          <w:lang w:val="en-US"/>
        </w:rPr>
        <w:t xml:space="preserve"> </w:t>
      </w:r>
    </w:p>
    <w:p w14:paraId="71A50DAF" w14:textId="6C074438" w:rsidR="00CD12CB" w:rsidRPr="003D2F00" w:rsidRDefault="00140089" w:rsidP="00BD405A">
      <w:pPr>
        <w:pBdr>
          <w:right w:val="none" w:sz="4" w:space="1" w:color="000000"/>
        </w:pBdr>
        <w:spacing w:line="480" w:lineRule="auto"/>
        <w:jc w:val="both"/>
        <w:rPr>
          <w:rFonts w:ascii="Arial" w:hAnsi="Arial" w:cs="Arial"/>
          <w:b/>
          <w:color w:val="222222"/>
          <w:spacing w:val="3"/>
          <w:shd w:val="clear" w:color="auto" w:fill="FFFFFF"/>
          <w:lang w:val="en-US"/>
        </w:rPr>
      </w:pPr>
      <w:r w:rsidRPr="003D2F00">
        <w:rPr>
          <w:rFonts w:ascii="Arial" w:hAnsi="Arial" w:cs="Arial"/>
          <w:spacing w:val="3"/>
          <w:shd w:val="clear" w:color="auto" w:fill="FFFFFF"/>
          <w:lang w:val="en-US"/>
        </w:rPr>
        <w:t xml:space="preserve">96-well </w:t>
      </w:r>
      <w:proofErr w:type="spellStart"/>
      <w:r w:rsidRPr="003D2F00">
        <w:rPr>
          <w:rFonts w:ascii="Arial" w:hAnsi="Arial" w:cs="Arial"/>
          <w:spacing w:val="3"/>
          <w:shd w:val="clear" w:color="auto" w:fill="FFFFFF"/>
          <w:lang w:val="en-US"/>
        </w:rPr>
        <w:t>MaxiSorp</w:t>
      </w:r>
      <w:proofErr w:type="spellEnd"/>
      <w:r w:rsidRPr="003D2F00">
        <w:rPr>
          <w:rFonts w:ascii="Arial" w:hAnsi="Arial" w:cs="Arial"/>
          <w:spacing w:val="3"/>
          <w:shd w:val="clear" w:color="auto" w:fill="FFFFFF"/>
          <w:lang w:val="en-US"/>
        </w:rPr>
        <w:t xml:space="preserve"> plates (</w:t>
      </w:r>
      <w:proofErr w:type="spellStart"/>
      <w:r w:rsidRPr="003D2F00">
        <w:rPr>
          <w:rFonts w:ascii="Arial" w:hAnsi="Arial" w:cs="Arial"/>
          <w:spacing w:val="3"/>
          <w:shd w:val="clear" w:color="auto" w:fill="FFFFFF"/>
          <w:lang w:val="en-US"/>
        </w:rPr>
        <w:t>ThermoFisher</w:t>
      </w:r>
      <w:proofErr w:type="spellEnd"/>
      <w:r w:rsidRPr="003D2F00">
        <w:rPr>
          <w:rFonts w:ascii="Arial" w:hAnsi="Arial" w:cs="Arial"/>
          <w:spacing w:val="3"/>
          <w:shd w:val="clear" w:color="auto" w:fill="FFFFFF"/>
          <w:lang w:val="en-US"/>
        </w:rPr>
        <w:t xml:space="preserve"> Scientific, Darmstadt, Germany) were coated with 1 µg/ml HBsAg purified from patient serum (kindly provided by Roche Diagnostics, </w:t>
      </w:r>
      <w:proofErr w:type="spellStart"/>
      <w:r w:rsidRPr="003D2F00">
        <w:rPr>
          <w:rFonts w:ascii="Arial" w:hAnsi="Arial" w:cs="Arial"/>
          <w:spacing w:val="3"/>
          <w:shd w:val="clear" w:color="auto" w:fill="FFFFFF"/>
          <w:lang w:val="en-US"/>
        </w:rPr>
        <w:t>Penzberg</w:t>
      </w:r>
      <w:proofErr w:type="spellEnd"/>
      <w:r w:rsidRPr="003D2F00">
        <w:rPr>
          <w:rFonts w:ascii="Arial" w:hAnsi="Arial" w:cs="Arial"/>
          <w:spacing w:val="3"/>
          <w:shd w:val="clear" w:color="auto" w:fill="FFFFFF"/>
          <w:lang w:val="en-US"/>
        </w:rPr>
        <w:t xml:space="preserve">, Germany) in PBS overnight at 4 °C. Plates were washed with PBS/0.5% </w:t>
      </w:r>
      <w:r w:rsidRPr="003D2F00">
        <w:rPr>
          <w:rFonts w:ascii="Arial" w:hAnsi="Arial" w:cs="Arial"/>
          <w:color w:val="222222"/>
          <w:spacing w:val="3"/>
          <w:shd w:val="clear" w:color="auto" w:fill="FFFFFF"/>
          <w:lang w:val="en-US"/>
        </w:rPr>
        <w:t xml:space="preserve">tween </w:t>
      </w:r>
      <w:r w:rsidRPr="003D2F00">
        <w:rPr>
          <w:rFonts w:ascii="Arial" w:hAnsi="Arial" w:cs="Arial"/>
          <w:spacing w:val="3"/>
          <w:shd w:val="clear" w:color="auto" w:fill="FFFFFF"/>
          <w:lang w:val="en-US"/>
        </w:rPr>
        <w:t>(PBST) and blocked with 200 µl assay diluent (PBS containing 1% bovine serum albumin (BSA), Roth) for 1 hour at RT. After washing with PBST, a dilution series of BiMAb or FabMAb (1000, 316.2, 100, 31.62, 10, 3.162, 1, 0.316, 0.1, 0.031, 0.01, 0.003 nM) was applied in 100 µl assay diluent and incubated for 1.5 hours at RT. Plates were washed and</w:t>
      </w:r>
      <w:r w:rsidRPr="003D2F00">
        <w:rPr>
          <w:rFonts w:ascii="Arial" w:hAnsi="Arial" w:cs="Arial"/>
          <w:lang w:val="en-US"/>
        </w:rPr>
        <w:t xml:space="preserve"> polyclonal horseradish peroxidase (HRP) coupled goat anti human IgG antibodies (Sigma Aldrich) diluted 1:1000 </w:t>
      </w:r>
      <w:r w:rsidRPr="003D2F00">
        <w:rPr>
          <w:rFonts w:ascii="Arial" w:hAnsi="Arial" w:cs="Arial"/>
          <w:spacing w:val="3"/>
          <w:shd w:val="clear" w:color="auto" w:fill="FFFFFF"/>
          <w:lang w:val="en-US"/>
        </w:rPr>
        <w:t xml:space="preserve">was added for one hour at RT to detect </w:t>
      </w:r>
      <w:r w:rsidRPr="003D2F00">
        <w:rPr>
          <w:rFonts w:ascii="Arial" w:hAnsi="Arial" w:cs="Arial"/>
          <w:color w:val="222222"/>
          <w:spacing w:val="3"/>
          <w:shd w:val="clear" w:color="auto" w:fill="FFFFFF"/>
          <w:lang w:val="en-US"/>
        </w:rPr>
        <w:t xml:space="preserve">bsAbs bound to HBsAg. The ELISA was developed by addition of 100 µl stabilized chromogen TMB (Life Technologies, Carlsbad, USA). The reaction was stopped with 100 µl 2N sulfuric acid (Roth). Optical density was measured at 450 nm and background at 560 nm with an infinite F200 reader (Tecan, </w:t>
      </w:r>
      <w:proofErr w:type="spellStart"/>
      <w:r w:rsidRPr="003D2F00">
        <w:rPr>
          <w:rFonts w:ascii="Arial" w:hAnsi="Arial" w:cs="Arial"/>
          <w:color w:val="222222"/>
          <w:spacing w:val="3"/>
          <w:shd w:val="clear" w:color="auto" w:fill="FFFFFF"/>
          <w:lang w:val="en-US"/>
        </w:rPr>
        <w:t>Männedorf</w:t>
      </w:r>
      <w:proofErr w:type="spellEnd"/>
      <w:r w:rsidRPr="003D2F00">
        <w:rPr>
          <w:rFonts w:ascii="Arial" w:hAnsi="Arial" w:cs="Arial"/>
          <w:color w:val="222222"/>
          <w:spacing w:val="3"/>
          <w:shd w:val="clear" w:color="auto" w:fill="FFFFFF"/>
          <w:lang w:val="en-US"/>
        </w:rPr>
        <w:t xml:space="preserve">, Switzerland). </w:t>
      </w:r>
      <w:r w:rsidRPr="003D2F00">
        <w:rPr>
          <w:rFonts w:ascii="Arial" w:hAnsi="Arial" w:cs="Arial"/>
          <w:lang w:val="en-US"/>
        </w:rPr>
        <w:t xml:space="preserve">Data were fitted with Prism (GraphPad </w:t>
      </w:r>
      <w:proofErr w:type="spellStart"/>
      <w:r w:rsidRPr="003D2F00">
        <w:rPr>
          <w:rFonts w:ascii="Arial" w:hAnsi="Arial" w:cs="Arial"/>
          <w:lang w:val="en-US"/>
        </w:rPr>
        <w:t>Sofware</w:t>
      </w:r>
      <w:proofErr w:type="spellEnd"/>
      <w:r w:rsidRPr="003D2F00">
        <w:rPr>
          <w:rFonts w:ascii="Arial" w:hAnsi="Arial" w:cs="Arial"/>
          <w:lang w:val="en-US"/>
        </w:rPr>
        <w:t>) in order to calculate EC</w:t>
      </w:r>
      <w:r w:rsidRPr="003D2F00">
        <w:rPr>
          <w:rFonts w:ascii="Arial" w:hAnsi="Arial" w:cs="Arial"/>
          <w:vertAlign w:val="subscript"/>
          <w:lang w:val="en-US"/>
        </w:rPr>
        <w:t>50</w:t>
      </w:r>
      <w:r w:rsidRPr="003D2F00">
        <w:rPr>
          <w:rFonts w:ascii="Arial" w:hAnsi="Arial" w:cs="Arial"/>
          <w:lang w:val="en-US"/>
        </w:rPr>
        <w:t xml:space="preserve"> values by non-linear regression. </w:t>
      </w:r>
    </w:p>
    <w:p w14:paraId="6DD0F926" w14:textId="2F1F68DF" w:rsidR="0092207B" w:rsidRPr="003D2F00" w:rsidRDefault="00140089" w:rsidP="00BD405A">
      <w:pPr>
        <w:pStyle w:val="Heading2"/>
        <w:spacing w:line="480" w:lineRule="auto"/>
        <w:rPr>
          <w:sz w:val="22"/>
          <w:lang w:val="en-US"/>
        </w:rPr>
      </w:pPr>
      <w:bookmarkStart w:id="6" w:name="_Toc72323400"/>
      <w:r w:rsidRPr="003D2F00">
        <w:rPr>
          <w:sz w:val="22"/>
          <w:lang w:val="en-US"/>
        </w:rPr>
        <w:lastRenderedPageBreak/>
        <w:t>ELISA HBsAg genotype panel</w:t>
      </w:r>
      <w:bookmarkEnd w:id="6"/>
    </w:p>
    <w:p w14:paraId="640AED01" w14:textId="04F31AB9" w:rsidR="00CD12CB" w:rsidRPr="003D2F00" w:rsidRDefault="00140089" w:rsidP="00BD405A">
      <w:pPr>
        <w:pBdr>
          <w:right w:val="none" w:sz="4" w:space="1" w:color="000000"/>
        </w:pBdr>
        <w:spacing w:line="480" w:lineRule="auto"/>
        <w:jc w:val="both"/>
        <w:rPr>
          <w:rFonts w:ascii="Arial" w:hAnsi="Arial" w:cs="Arial"/>
          <w:lang w:val="en-US"/>
        </w:rPr>
      </w:pPr>
      <w:r w:rsidRPr="003D2F00">
        <w:rPr>
          <w:rFonts w:ascii="Arial" w:hAnsi="Arial" w:cs="Arial"/>
          <w:lang w:val="en-US"/>
        </w:rPr>
        <w:t>Serum HBsAg from a genotype panel (Paul-Ehrlich-</w:t>
      </w:r>
      <w:proofErr w:type="spellStart"/>
      <w:r w:rsidRPr="003D2F00">
        <w:rPr>
          <w:rFonts w:ascii="Arial" w:hAnsi="Arial" w:cs="Arial"/>
          <w:lang w:val="en-US"/>
        </w:rPr>
        <w:t>Institut</w:t>
      </w:r>
      <w:proofErr w:type="spellEnd"/>
      <w:r w:rsidRPr="003D2F00">
        <w:rPr>
          <w:rFonts w:ascii="Arial" w:hAnsi="Arial" w:cs="Arial"/>
          <w:lang w:val="en-US"/>
        </w:rPr>
        <w:t xml:space="preserve">, </w:t>
      </w:r>
      <w:proofErr w:type="spellStart"/>
      <w:r w:rsidRPr="003D2F00">
        <w:rPr>
          <w:rFonts w:ascii="Arial" w:hAnsi="Arial" w:cs="Arial"/>
          <w:lang w:val="en-US"/>
        </w:rPr>
        <w:t>Langen</w:t>
      </w:r>
      <w:proofErr w:type="spellEnd"/>
      <w:r w:rsidRPr="003D2F00">
        <w:rPr>
          <w:rFonts w:ascii="Arial" w:hAnsi="Arial" w:cs="Arial"/>
          <w:lang w:val="en-US"/>
        </w:rPr>
        <w:t xml:space="preserve">, Germany) was captured with HBVenv-specific antibodies (Murex HBsAg Version 3, </w:t>
      </w:r>
      <w:proofErr w:type="spellStart"/>
      <w:r w:rsidRPr="003D2F00">
        <w:rPr>
          <w:rFonts w:ascii="Arial" w:hAnsi="Arial" w:cs="Arial"/>
          <w:lang w:val="en-US"/>
        </w:rPr>
        <w:t>DiaSorin</w:t>
      </w:r>
      <w:proofErr w:type="spellEnd"/>
      <w:r w:rsidRPr="003D2F00">
        <w:rPr>
          <w:rFonts w:ascii="Arial" w:hAnsi="Arial" w:cs="Arial"/>
          <w:lang w:val="en-US"/>
        </w:rPr>
        <w:t xml:space="preserve">, </w:t>
      </w:r>
      <w:proofErr w:type="spellStart"/>
      <w:r w:rsidRPr="003D2F00">
        <w:rPr>
          <w:rFonts w:ascii="Arial" w:hAnsi="Arial" w:cs="Arial"/>
          <w:lang w:val="en-US"/>
        </w:rPr>
        <w:t>Saluggia</w:t>
      </w:r>
      <w:proofErr w:type="spellEnd"/>
      <w:r w:rsidRPr="003D2F00">
        <w:rPr>
          <w:rFonts w:ascii="Arial" w:hAnsi="Arial" w:cs="Arial"/>
          <w:lang w:val="en-US"/>
        </w:rPr>
        <w:t xml:space="preserve">, Italy). After addition of 25 µl sample diluent provided with the Murex assay kit, 1 IU (FabMAb analysis) or 5 IU (BiMAb analysis) HBsAg from the genotype panel were added to the assay stripes in 75 µl assay diluent and incubated for 1 hour at 37 °C. 50 nM FabMAb or 100 nM BiMAb were added in 25 µl assay diluent, followed by incubation for 30 min at 37 °C. Antibodies were detected with an anti-6x His-Tag antibody HRP-conjugate (Invitrogen) diluted 1:500 (FabMAb analysis) and a </w:t>
      </w:r>
      <w:proofErr w:type="spellStart"/>
      <w:r w:rsidRPr="003D2F00">
        <w:rPr>
          <w:rFonts w:ascii="Arial" w:hAnsi="Arial" w:cs="Arial"/>
          <w:lang w:val="en-US"/>
        </w:rPr>
        <w:t>StrepMAb</w:t>
      </w:r>
      <w:proofErr w:type="spellEnd"/>
      <w:r w:rsidRPr="003D2F00">
        <w:rPr>
          <w:rFonts w:ascii="Arial" w:hAnsi="Arial" w:cs="Arial"/>
          <w:lang w:val="en-US"/>
        </w:rPr>
        <w:t xml:space="preserve"> classic-HRP (</w:t>
      </w:r>
      <w:proofErr w:type="spellStart"/>
      <w:r w:rsidRPr="003D2F00">
        <w:rPr>
          <w:rFonts w:ascii="Arial" w:hAnsi="Arial" w:cs="Arial"/>
          <w:lang w:val="en-US"/>
        </w:rPr>
        <w:t>Iba</w:t>
      </w:r>
      <w:proofErr w:type="spellEnd"/>
      <w:r w:rsidRPr="003D2F00">
        <w:rPr>
          <w:rFonts w:ascii="Arial" w:hAnsi="Arial" w:cs="Arial"/>
          <w:lang w:val="en-US"/>
        </w:rPr>
        <w:t xml:space="preserve"> </w:t>
      </w:r>
      <w:proofErr w:type="spellStart"/>
      <w:r w:rsidRPr="003D2F00">
        <w:rPr>
          <w:rFonts w:ascii="Arial" w:hAnsi="Arial" w:cs="Arial"/>
          <w:lang w:val="en-US"/>
        </w:rPr>
        <w:t>Lifescience</w:t>
      </w:r>
      <w:proofErr w:type="spellEnd"/>
      <w:r w:rsidRPr="003D2F00">
        <w:rPr>
          <w:rFonts w:ascii="Arial" w:hAnsi="Arial" w:cs="Arial"/>
          <w:lang w:val="en-US"/>
        </w:rPr>
        <w:t xml:space="preserve">, Göttingen, Germany) diluted 1:4000 (BiMAb analysis) in 25 µl assay diluent. After incubation for 30 min at 37 °C and washing, development and OD measurement was performed as mentioned above. </w:t>
      </w:r>
    </w:p>
    <w:p w14:paraId="0A235881" w14:textId="6306FF5D" w:rsidR="0092207B" w:rsidRPr="003D2F00" w:rsidRDefault="00140089" w:rsidP="00BD405A">
      <w:pPr>
        <w:pStyle w:val="Heading2"/>
        <w:spacing w:line="480" w:lineRule="auto"/>
        <w:rPr>
          <w:sz w:val="22"/>
          <w:lang w:val="en-US"/>
        </w:rPr>
      </w:pPr>
      <w:bookmarkStart w:id="7" w:name="_Toc72323401"/>
      <w:r w:rsidRPr="003D2F00">
        <w:rPr>
          <w:sz w:val="22"/>
          <w:lang w:val="en-US"/>
        </w:rPr>
        <w:t>Confocal microscopy to study binding of bsAbs to HBVenv on membranes</w:t>
      </w:r>
      <w:bookmarkEnd w:id="7"/>
      <w:r w:rsidRPr="003D2F00">
        <w:rPr>
          <w:sz w:val="22"/>
          <w:lang w:val="en-US"/>
        </w:rPr>
        <w:t xml:space="preserve"> </w:t>
      </w:r>
    </w:p>
    <w:p w14:paraId="12333813" w14:textId="1E7F7026" w:rsidR="00CD12CB" w:rsidRPr="003D2F00" w:rsidRDefault="00140089" w:rsidP="00BD405A">
      <w:pPr>
        <w:pBdr>
          <w:right w:val="none" w:sz="4" w:space="1" w:color="000000"/>
        </w:pBdr>
        <w:spacing w:line="480" w:lineRule="auto"/>
        <w:jc w:val="both"/>
        <w:rPr>
          <w:rFonts w:ascii="Arial" w:hAnsi="Arial" w:cs="Arial"/>
          <w:b/>
          <w:lang w:val="en-US"/>
        </w:rPr>
      </w:pPr>
      <w:r w:rsidRPr="003D2F00">
        <w:rPr>
          <w:rFonts w:ascii="Arial" w:hAnsi="Arial" w:cs="Arial"/>
          <w:lang w:val="en-US"/>
        </w:rPr>
        <w:t>0.7x10</w:t>
      </w:r>
      <w:r w:rsidRPr="003D2F00">
        <w:rPr>
          <w:rFonts w:ascii="Arial" w:hAnsi="Arial" w:cs="Arial"/>
          <w:vertAlign w:val="superscript"/>
          <w:lang w:val="en-US"/>
        </w:rPr>
        <w:t>6</w:t>
      </w:r>
      <w:r w:rsidRPr="003D2F00">
        <w:rPr>
          <w:rFonts w:ascii="Arial" w:hAnsi="Arial" w:cs="Arial"/>
          <w:lang w:val="en-US"/>
        </w:rPr>
        <w:t xml:space="preserve"> Huh7 cells were seeded in a 6-well plate and transfected with 5 µg </w:t>
      </w:r>
      <w:proofErr w:type="spellStart"/>
      <w:r w:rsidRPr="003D2F00">
        <w:rPr>
          <w:rFonts w:ascii="Arial" w:hAnsi="Arial" w:cs="Arial"/>
          <w:lang w:val="en-US"/>
        </w:rPr>
        <w:t>mCherry</w:t>
      </w:r>
      <w:proofErr w:type="spellEnd"/>
      <w:r w:rsidRPr="003D2F00">
        <w:rPr>
          <w:rFonts w:ascii="Arial" w:hAnsi="Arial" w:cs="Arial"/>
          <w:lang w:val="en-US"/>
        </w:rPr>
        <w:t xml:space="preserve">-S plasmid DNA (kindly provided by Volker Bruss, German Research Centre for </w:t>
      </w:r>
      <w:proofErr w:type="spellStart"/>
      <w:r w:rsidRPr="003D2F00">
        <w:rPr>
          <w:rFonts w:ascii="Arial" w:hAnsi="Arial" w:cs="Arial"/>
          <w:lang w:val="en-US"/>
        </w:rPr>
        <w:t>Eviromental</w:t>
      </w:r>
      <w:proofErr w:type="spellEnd"/>
      <w:r w:rsidRPr="003D2F00">
        <w:rPr>
          <w:rFonts w:ascii="Arial" w:hAnsi="Arial" w:cs="Arial"/>
          <w:lang w:val="en-US"/>
        </w:rPr>
        <w:t xml:space="preserve"> Health, Germany) using </w:t>
      </w:r>
      <w:proofErr w:type="spellStart"/>
      <w:r w:rsidRPr="003D2F00">
        <w:rPr>
          <w:rFonts w:ascii="Arial" w:hAnsi="Arial" w:cs="Arial"/>
          <w:lang w:val="en-US"/>
        </w:rPr>
        <w:t>FuGene</w:t>
      </w:r>
      <w:proofErr w:type="spellEnd"/>
      <w:r w:rsidRPr="003D2F00">
        <w:rPr>
          <w:rFonts w:ascii="Arial" w:hAnsi="Arial" w:cs="Arial"/>
          <w:lang w:val="en-US"/>
        </w:rPr>
        <w:t xml:space="preserve"> HD (Promega, Walldorf, Germany) according to the </w:t>
      </w:r>
      <w:r w:rsidR="00075491" w:rsidRPr="003D2F00">
        <w:rPr>
          <w:rFonts w:ascii="Arial" w:hAnsi="Arial" w:cs="Arial"/>
          <w:lang w:val="en-US"/>
        </w:rPr>
        <w:t>manufacturer’s</w:t>
      </w:r>
      <w:r w:rsidRPr="003D2F00">
        <w:rPr>
          <w:rFonts w:ascii="Arial" w:hAnsi="Arial" w:cs="Arial"/>
          <w:lang w:val="en-US"/>
        </w:rPr>
        <w:t xml:space="preserve"> protocol. After 48 hours, cells were trypsinized and blocked for 1 hour in PBS containing 5% BSA. Cells were washed, </w:t>
      </w:r>
      <w:proofErr w:type="spellStart"/>
      <w:r w:rsidRPr="003D2F00">
        <w:rPr>
          <w:rFonts w:ascii="Arial" w:hAnsi="Arial" w:cs="Arial"/>
          <w:lang w:val="en-US"/>
        </w:rPr>
        <w:t>resusbended</w:t>
      </w:r>
      <w:proofErr w:type="spellEnd"/>
      <w:r w:rsidRPr="003D2F00">
        <w:rPr>
          <w:rFonts w:ascii="Arial" w:hAnsi="Arial" w:cs="Arial"/>
          <w:lang w:val="en-US"/>
        </w:rPr>
        <w:t xml:space="preserve"> in 200 </w:t>
      </w:r>
      <w:r w:rsidRPr="003D2F00">
        <w:rPr>
          <w:rFonts w:ascii="Arial" w:hAnsi="Arial" w:cs="Arial"/>
        </w:rPr>
        <w:t>μ</w:t>
      </w:r>
      <w:r w:rsidRPr="003D2F00">
        <w:rPr>
          <w:rFonts w:ascii="Arial" w:hAnsi="Arial" w:cs="Arial"/>
          <w:lang w:val="en-US"/>
        </w:rPr>
        <w:t>l assay diluent containing 50 nM of bsAbs and incubated for 1.5 hours. Cells were washed and incubated for 45 min in 200 </w:t>
      </w:r>
      <w:r w:rsidRPr="003D2F00">
        <w:rPr>
          <w:rFonts w:ascii="Arial" w:hAnsi="Arial" w:cs="Arial"/>
        </w:rPr>
        <w:t>μ</w:t>
      </w:r>
      <w:r w:rsidRPr="003D2F00">
        <w:rPr>
          <w:rFonts w:ascii="Arial" w:hAnsi="Arial" w:cs="Arial"/>
          <w:lang w:val="en-US"/>
        </w:rPr>
        <w:t>l of Alexa Fluor 647 goat anti-human IgG (</w:t>
      </w:r>
      <w:proofErr w:type="spellStart"/>
      <w:r w:rsidRPr="003D2F00">
        <w:rPr>
          <w:rFonts w:ascii="Arial" w:hAnsi="Arial" w:cs="Arial"/>
          <w:lang w:val="en-US"/>
        </w:rPr>
        <w:t>ThermoFisher</w:t>
      </w:r>
      <w:proofErr w:type="spellEnd"/>
      <w:r w:rsidRPr="003D2F00">
        <w:rPr>
          <w:rFonts w:ascii="Arial" w:hAnsi="Arial" w:cs="Arial"/>
          <w:lang w:val="en-US"/>
        </w:rPr>
        <w:t xml:space="preserve"> Scientific), 1:500 diluted in assay diluent, and an Alexa 488 coupled wheat germ </w:t>
      </w:r>
      <w:proofErr w:type="spellStart"/>
      <w:r w:rsidRPr="003D2F00">
        <w:rPr>
          <w:rFonts w:ascii="Arial" w:hAnsi="Arial" w:cs="Arial"/>
          <w:lang w:val="en-US"/>
        </w:rPr>
        <w:t>agglutinine</w:t>
      </w:r>
      <w:proofErr w:type="spellEnd"/>
      <w:r w:rsidRPr="003D2F00">
        <w:rPr>
          <w:rFonts w:ascii="Arial" w:hAnsi="Arial" w:cs="Arial"/>
          <w:lang w:val="en-US"/>
        </w:rPr>
        <w:t xml:space="preserve"> (</w:t>
      </w:r>
      <w:proofErr w:type="spellStart"/>
      <w:r w:rsidRPr="003D2F00">
        <w:rPr>
          <w:rFonts w:ascii="Arial" w:hAnsi="Arial" w:cs="Arial"/>
          <w:lang w:val="en-US"/>
        </w:rPr>
        <w:t>ThermoFisher</w:t>
      </w:r>
      <w:proofErr w:type="spellEnd"/>
      <w:r w:rsidRPr="003D2F00">
        <w:rPr>
          <w:rFonts w:ascii="Arial" w:hAnsi="Arial" w:cs="Arial"/>
          <w:lang w:val="en-US"/>
        </w:rPr>
        <w:t>), 1:400 diluted in assay diluent. Cells were washed 3 times, resuspended in PBS containing 4% paraformaldehyde (</w:t>
      </w:r>
      <w:proofErr w:type="spellStart"/>
      <w:r w:rsidRPr="003D2F00">
        <w:rPr>
          <w:rFonts w:ascii="Arial" w:hAnsi="Arial" w:cs="Arial"/>
          <w:lang w:val="en-US"/>
        </w:rPr>
        <w:t>ChemCruz</w:t>
      </w:r>
      <w:proofErr w:type="spellEnd"/>
      <w:r w:rsidRPr="003D2F00">
        <w:rPr>
          <w:rFonts w:ascii="Arial" w:hAnsi="Arial" w:cs="Arial"/>
          <w:lang w:val="en-US"/>
        </w:rPr>
        <w:t xml:space="preserve">/Santa Cruz Biotechnology, Dallas, USA) and incubated for 15 min. Finally, cells were resuspended in 100 </w:t>
      </w:r>
      <w:r w:rsidRPr="003D2F00">
        <w:rPr>
          <w:rFonts w:ascii="Arial" w:hAnsi="Arial" w:cs="Arial"/>
        </w:rPr>
        <w:t>μ</w:t>
      </w:r>
      <w:r w:rsidRPr="003D2F00">
        <w:rPr>
          <w:rFonts w:ascii="Arial" w:hAnsi="Arial" w:cs="Arial"/>
          <w:lang w:val="en-US"/>
        </w:rPr>
        <w:t xml:space="preserve">l mounting solution </w:t>
      </w:r>
      <w:proofErr w:type="spellStart"/>
      <w:r w:rsidRPr="003D2F00">
        <w:rPr>
          <w:rFonts w:ascii="Arial" w:hAnsi="Arial" w:cs="Arial"/>
          <w:lang w:val="en-US"/>
        </w:rPr>
        <w:t>Fluoromount</w:t>
      </w:r>
      <w:proofErr w:type="spellEnd"/>
      <w:r w:rsidRPr="003D2F00">
        <w:rPr>
          <w:rFonts w:ascii="Arial" w:hAnsi="Arial" w:cs="Arial"/>
          <w:lang w:val="en-US"/>
        </w:rPr>
        <w:t xml:space="preserve">-G® (Southern Biotech), transferred to slides and stored overnight in the dark at 4 °C. Analysis was performed using a </w:t>
      </w:r>
      <w:proofErr w:type="spellStart"/>
      <w:r w:rsidRPr="003D2F00">
        <w:rPr>
          <w:rFonts w:ascii="Arial" w:hAnsi="Arial" w:cs="Arial"/>
          <w:lang w:val="en-US"/>
        </w:rPr>
        <w:t>Fluoview</w:t>
      </w:r>
      <w:proofErr w:type="spellEnd"/>
      <w:r w:rsidRPr="003D2F00">
        <w:rPr>
          <w:rFonts w:ascii="Arial" w:hAnsi="Arial" w:cs="Arial"/>
          <w:lang w:val="en-US"/>
        </w:rPr>
        <w:t xml:space="preserve"> FV10i fluorescence microscope (Olympus, Shinjuku, Japan). Pictures were taken with a 60x special water phase contrast objective lens NA1.2 (corresponds to UPLSAPO60XW) at room temperature. Cells were embedded in Mounting solution </w:t>
      </w:r>
      <w:proofErr w:type="spellStart"/>
      <w:r w:rsidRPr="003D2F00">
        <w:rPr>
          <w:rFonts w:ascii="Arial" w:hAnsi="Arial" w:cs="Arial"/>
          <w:lang w:val="en-US"/>
        </w:rPr>
        <w:lastRenderedPageBreak/>
        <w:t>Fluoromount</w:t>
      </w:r>
      <w:proofErr w:type="spellEnd"/>
      <w:r w:rsidRPr="003D2F00">
        <w:rPr>
          <w:rFonts w:ascii="Arial" w:hAnsi="Arial" w:cs="Arial"/>
          <w:lang w:val="en-US"/>
        </w:rPr>
        <w:t xml:space="preserve">-G®. The used fluorochromes were </w:t>
      </w:r>
      <w:proofErr w:type="spellStart"/>
      <w:r w:rsidRPr="003D2F00">
        <w:rPr>
          <w:rFonts w:ascii="Arial" w:hAnsi="Arial" w:cs="Arial"/>
          <w:lang w:val="en-US"/>
        </w:rPr>
        <w:t>mcherry</w:t>
      </w:r>
      <w:proofErr w:type="spellEnd"/>
      <w:r w:rsidRPr="003D2F00">
        <w:rPr>
          <w:rFonts w:ascii="Arial" w:hAnsi="Arial" w:cs="Arial"/>
          <w:lang w:val="en-US"/>
        </w:rPr>
        <w:t xml:space="preserve">, Alexa Fluor 647, Alexa 488 and 4′,6-Diamidin-2-phenylindol. The scanning device (camera) were 2 </w:t>
      </w:r>
      <w:proofErr w:type="spellStart"/>
      <w:r w:rsidRPr="003D2F00">
        <w:rPr>
          <w:rFonts w:ascii="Arial" w:hAnsi="Arial" w:cs="Arial"/>
          <w:lang w:val="en-US"/>
        </w:rPr>
        <w:t>galvano</w:t>
      </w:r>
      <w:proofErr w:type="spellEnd"/>
      <w:r w:rsidRPr="003D2F00">
        <w:rPr>
          <w:rFonts w:ascii="Arial" w:hAnsi="Arial" w:cs="Arial"/>
          <w:lang w:val="en-US"/>
        </w:rPr>
        <w:t xml:space="preserve">-meter mirrors incorporated in the </w:t>
      </w:r>
      <w:proofErr w:type="spellStart"/>
      <w:r w:rsidRPr="003D2F00">
        <w:rPr>
          <w:rFonts w:ascii="Arial" w:hAnsi="Arial" w:cs="Arial"/>
          <w:lang w:val="en-US"/>
        </w:rPr>
        <w:t>Fluoview</w:t>
      </w:r>
      <w:proofErr w:type="spellEnd"/>
      <w:r w:rsidRPr="003D2F00">
        <w:rPr>
          <w:rFonts w:ascii="Arial" w:hAnsi="Arial" w:cs="Arial"/>
          <w:lang w:val="en-US"/>
        </w:rPr>
        <w:t xml:space="preserve"> FV10i fluorescence microscope. The acquisition software FV10i SW 02.01.01.07 (Olympus). Pictures of Alexa Fluor 647 channel were post-processed in Adobe Photoshop CS3 using picture, mode, grey scale and picture, mode, brightness/contrast (2x 150 brightness, 100 contrast). </w:t>
      </w:r>
    </w:p>
    <w:p w14:paraId="03B1E60D" w14:textId="19FE21B9" w:rsidR="0059514F" w:rsidRPr="003D2F00" w:rsidRDefault="00140089" w:rsidP="00BD405A">
      <w:pPr>
        <w:pStyle w:val="Heading2"/>
        <w:spacing w:line="480" w:lineRule="auto"/>
        <w:rPr>
          <w:sz w:val="22"/>
          <w:lang w:val="en-US"/>
        </w:rPr>
      </w:pPr>
      <w:bookmarkStart w:id="8" w:name="_Toc72323402"/>
      <w:r w:rsidRPr="003D2F00">
        <w:rPr>
          <w:sz w:val="22"/>
          <w:lang w:val="en-US"/>
        </w:rPr>
        <w:t>Flow cytometry to study binding of bsAbs to T cells</w:t>
      </w:r>
      <w:bookmarkEnd w:id="8"/>
      <w:r w:rsidRPr="003D2F00">
        <w:rPr>
          <w:sz w:val="22"/>
          <w:lang w:val="en-US"/>
        </w:rPr>
        <w:t xml:space="preserve"> </w:t>
      </w:r>
    </w:p>
    <w:p w14:paraId="51FAFC48" w14:textId="5AD33300" w:rsidR="00CD12CB" w:rsidRPr="003D2F00" w:rsidRDefault="00140089" w:rsidP="00BD405A">
      <w:pPr>
        <w:pBdr>
          <w:right w:val="none" w:sz="4" w:space="1" w:color="000000"/>
        </w:pBdr>
        <w:spacing w:line="480" w:lineRule="auto"/>
        <w:jc w:val="both"/>
        <w:rPr>
          <w:rFonts w:ascii="Arial" w:hAnsi="Arial" w:cs="Arial"/>
          <w:lang w:val="en-US"/>
        </w:rPr>
      </w:pPr>
      <w:r w:rsidRPr="003D2F00">
        <w:rPr>
          <w:rFonts w:ascii="Arial" w:hAnsi="Arial" w:cs="Arial"/>
          <w:lang w:val="en-US"/>
        </w:rPr>
        <w:t>2.5x10</w:t>
      </w:r>
      <w:r w:rsidRPr="003D2F00">
        <w:rPr>
          <w:rFonts w:ascii="Arial" w:hAnsi="Arial" w:cs="Arial"/>
          <w:vertAlign w:val="superscript"/>
          <w:lang w:val="en-US"/>
        </w:rPr>
        <w:t>5</w:t>
      </w:r>
      <w:r w:rsidRPr="003D2F00">
        <w:rPr>
          <w:rFonts w:ascii="Arial" w:hAnsi="Arial" w:cs="Arial"/>
          <w:lang w:val="en-US"/>
        </w:rPr>
        <w:t xml:space="preserve"> PBMC were washed with PBS containing 0.1% BSA (FACS buffer) and incubated in this buffer containing a dilution series of FabMAb </w:t>
      </w:r>
      <w:r w:rsidRPr="003D2F00">
        <w:rPr>
          <w:rFonts w:ascii="Arial" w:hAnsi="Arial" w:cs="Arial"/>
          <w:color w:val="222222"/>
          <w:spacing w:val="3"/>
          <w:shd w:val="clear" w:color="auto" w:fill="FFFFFF"/>
          <w:lang w:val="en-US"/>
        </w:rPr>
        <w:t xml:space="preserve">(1000, 316.2, 100, 31.62, 10, 3.162, 1, 0.316, 0.1, 0.031) </w:t>
      </w:r>
      <w:r w:rsidRPr="003D2F00">
        <w:rPr>
          <w:rFonts w:ascii="Arial" w:hAnsi="Arial" w:cs="Arial"/>
          <w:lang w:val="en-US"/>
        </w:rPr>
        <w:t xml:space="preserve">for 30 min at 4 °C. After 3 washing steps with 200 µl FACS puffer, cells were stained with a cocktail containing an anti-CD8 PB (clone DK25, </w:t>
      </w:r>
      <w:proofErr w:type="spellStart"/>
      <w:r w:rsidRPr="003D2F00">
        <w:rPr>
          <w:rFonts w:ascii="Arial" w:hAnsi="Arial" w:cs="Arial"/>
          <w:lang w:val="en-US"/>
        </w:rPr>
        <w:t>Dako</w:t>
      </w:r>
      <w:proofErr w:type="spellEnd"/>
      <w:r w:rsidRPr="003D2F00">
        <w:rPr>
          <w:rFonts w:ascii="Arial" w:hAnsi="Arial" w:cs="Arial"/>
          <w:lang w:val="en-US"/>
        </w:rPr>
        <w:t xml:space="preserve">/Agilent, Santa Clara, USA) 1:50, anti-CD4 FITC (clone RPA-T4, BD, Heidelberg, Germany) 1:5 and anti-human IgG PE (clone G18-145, BD) 1:25 in 50 µl FACS buffer for 30 min at 4 °C in the dark. PBMC were washed 3 times, stained with 10 µl propidium iodide (BD), and analyzed on a </w:t>
      </w:r>
      <w:proofErr w:type="spellStart"/>
      <w:r w:rsidRPr="003D2F00">
        <w:rPr>
          <w:rFonts w:ascii="Arial" w:hAnsi="Arial" w:cs="Arial"/>
          <w:lang w:val="en-US"/>
        </w:rPr>
        <w:t>CytoFlexS</w:t>
      </w:r>
      <w:proofErr w:type="spellEnd"/>
      <w:r w:rsidRPr="003D2F00">
        <w:rPr>
          <w:rFonts w:ascii="Arial" w:hAnsi="Arial" w:cs="Arial"/>
          <w:lang w:val="en-US"/>
        </w:rPr>
        <w:t xml:space="preserve"> (Beckman Coulter, Brea, USA).</w:t>
      </w:r>
    </w:p>
    <w:p w14:paraId="395BDEF5" w14:textId="4560675C" w:rsidR="0059514F" w:rsidRPr="003D2F00" w:rsidRDefault="00140089" w:rsidP="00BD405A">
      <w:pPr>
        <w:pStyle w:val="Heading2"/>
        <w:spacing w:line="480" w:lineRule="auto"/>
        <w:rPr>
          <w:sz w:val="22"/>
          <w:lang w:val="en-US"/>
        </w:rPr>
      </w:pPr>
      <w:bookmarkStart w:id="9" w:name="_Toc72323403"/>
      <w:r w:rsidRPr="003D2F00">
        <w:rPr>
          <w:sz w:val="22"/>
          <w:lang w:val="en-US"/>
        </w:rPr>
        <w:t>Flow cytometry to study binding of bsAbs to infected HepG2 NTCP cells</w:t>
      </w:r>
      <w:bookmarkEnd w:id="9"/>
    </w:p>
    <w:p w14:paraId="24AD25A8" w14:textId="29B2DA85" w:rsidR="00CD12CB" w:rsidRPr="003D2F00" w:rsidRDefault="00140089" w:rsidP="00BD405A">
      <w:pPr>
        <w:pBdr>
          <w:right w:val="none" w:sz="4" w:space="1" w:color="000000"/>
        </w:pBdr>
        <w:spacing w:line="480" w:lineRule="auto"/>
        <w:jc w:val="both"/>
        <w:rPr>
          <w:rFonts w:ascii="Arial" w:hAnsi="Arial" w:cs="Arial"/>
          <w:b/>
          <w:lang w:val="en-US"/>
        </w:rPr>
      </w:pPr>
      <w:r w:rsidRPr="003D2F00">
        <w:rPr>
          <w:rFonts w:ascii="Arial" w:eastAsia="Times New Roman" w:hAnsi="Arial" w:cs="Arial"/>
          <w:lang w:val="en-US" w:eastAsia="de-DE"/>
        </w:rPr>
        <w:t>For binding of BiMAb to HBV infected HepG2NTCP cells (MOI 1000), 5 µg of purified BiMAb w</w:t>
      </w:r>
      <w:r w:rsidRPr="003D2F00">
        <w:rPr>
          <w:rFonts w:ascii="Arial" w:eastAsia="SimSun" w:hAnsi="Arial" w:cs="Arial"/>
          <w:lang w:val="en-US" w:eastAsia="zh-CN"/>
        </w:rPr>
        <w:t xml:space="preserve">as </w:t>
      </w:r>
      <w:r w:rsidRPr="003D2F00">
        <w:rPr>
          <w:rFonts w:ascii="Arial" w:eastAsia="Times New Roman" w:hAnsi="Arial" w:cs="Arial"/>
          <w:lang w:val="en-US" w:eastAsia="de-DE"/>
        </w:rPr>
        <w:t xml:space="preserve">incubated with infected HepG2 NTCP cells in 50 µl </w:t>
      </w:r>
      <w:r w:rsidRPr="003D2F00">
        <w:rPr>
          <w:rFonts w:ascii="Arial" w:eastAsia="SimSun" w:hAnsi="Arial" w:cs="Arial"/>
          <w:lang w:val="en-US" w:eastAsia="zh-CN"/>
        </w:rPr>
        <w:t xml:space="preserve">for </w:t>
      </w:r>
      <w:r w:rsidRPr="003D2F00">
        <w:rPr>
          <w:rFonts w:ascii="Arial" w:eastAsia="Times New Roman" w:hAnsi="Arial" w:cs="Arial"/>
          <w:lang w:val="en-US" w:eastAsia="de-DE"/>
        </w:rPr>
        <w:t xml:space="preserve">30 min on ice. After washing, cells were incubated with </w:t>
      </w:r>
      <w:r w:rsidRPr="003D2F00">
        <w:rPr>
          <w:rFonts w:ascii="Arial" w:eastAsia="Times New Roman" w:hAnsi="Arial" w:cs="Arial"/>
          <w:lang w:val="en-GB" w:eastAsia="de-DE"/>
        </w:rPr>
        <w:t>Alexa-Fluor</w:t>
      </w:r>
      <w:r w:rsidRPr="003D2F00">
        <w:rPr>
          <w:rFonts w:ascii="Arial" w:eastAsia="Times New Roman" w:hAnsi="Arial" w:cs="Arial"/>
          <w:lang w:val="en-US" w:eastAsia="de-DE"/>
        </w:rPr>
        <w:t>®</w:t>
      </w:r>
      <w:r w:rsidRPr="003D2F00">
        <w:rPr>
          <w:rFonts w:ascii="Arial" w:eastAsia="Times New Roman" w:hAnsi="Arial" w:cs="Arial"/>
          <w:lang w:val="en-GB" w:eastAsia="de-DE"/>
        </w:rPr>
        <w:t xml:space="preserve"> 647 labelled goat anti-human IgG (1:400, 50 µl/sample)</w:t>
      </w:r>
      <w:r w:rsidRPr="003D2F00">
        <w:rPr>
          <w:rFonts w:ascii="Arial" w:eastAsia="Times New Roman" w:hAnsi="Arial" w:cs="Arial"/>
          <w:lang w:val="en-US" w:eastAsia="de-DE"/>
        </w:rPr>
        <w:t xml:space="preserve"> for 30 min on ice. Following additional washing, samples were </w:t>
      </w:r>
      <w:r w:rsidRPr="003D2F00">
        <w:rPr>
          <w:rFonts w:ascii="Arial" w:hAnsi="Arial" w:cs="Arial"/>
          <w:lang w:val="en-US"/>
        </w:rPr>
        <w:t xml:space="preserve">analyzed on a </w:t>
      </w:r>
      <w:proofErr w:type="spellStart"/>
      <w:r w:rsidRPr="003D2F00">
        <w:rPr>
          <w:rFonts w:ascii="Arial" w:hAnsi="Arial" w:cs="Arial"/>
          <w:lang w:val="en-US"/>
        </w:rPr>
        <w:t>CytoFlexS</w:t>
      </w:r>
      <w:proofErr w:type="spellEnd"/>
      <w:r w:rsidRPr="003D2F00">
        <w:rPr>
          <w:rFonts w:ascii="Arial" w:hAnsi="Arial" w:cs="Arial"/>
          <w:lang w:val="en-US"/>
        </w:rPr>
        <w:t xml:space="preserve"> (Beckman Coulter)</w:t>
      </w:r>
      <w:r w:rsidR="008507EC" w:rsidRPr="003D2F00">
        <w:rPr>
          <w:rFonts w:ascii="Arial" w:hAnsi="Arial" w:cs="Arial"/>
          <w:lang w:val="en-US"/>
        </w:rPr>
        <w:t>.</w:t>
      </w:r>
    </w:p>
    <w:p w14:paraId="0197C899" w14:textId="77777777" w:rsidR="0059514F" w:rsidRPr="003D2F00" w:rsidRDefault="00140089" w:rsidP="00BD405A">
      <w:pPr>
        <w:pStyle w:val="Heading2"/>
        <w:spacing w:line="480" w:lineRule="auto"/>
        <w:rPr>
          <w:sz w:val="22"/>
          <w:shd w:val="clear" w:color="auto" w:fill="FFFFFF"/>
          <w:lang w:val="en-US"/>
        </w:rPr>
      </w:pPr>
      <w:bookmarkStart w:id="10" w:name="_Toc72323404"/>
      <w:r w:rsidRPr="003D2F00">
        <w:rPr>
          <w:sz w:val="22"/>
          <w:shd w:val="clear" w:color="auto" w:fill="FFFFFF"/>
          <w:lang w:val="en-US"/>
        </w:rPr>
        <w:t>Flow cytometry after activation of PBMC on coated HBsAg or Huh7S cells</w:t>
      </w:r>
      <w:bookmarkEnd w:id="10"/>
    </w:p>
    <w:p w14:paraId="218A6D28" w14:textId="1E6A1442" w:rsidR="00CD12CB" w:rsidRPr="003D2F00" w:rsidRDefault="00140089" w:rsidP="00BD405A">
      <w:pPr>
        <w:pBdr>
          <w:right w:val="none" w:sz="4" w:space="1" w:color="000000"/>
        </w:pBdr>
        <w:spacing w:line="480" w:lineRule="auto"/>
        <w:jc w:val="both"/>
        <w:rPr>
          <w:rFonts w:ascii="Arial" w:hAnsi="Arial" w:cs="Arial"/>
          <w:b/>
          <w:color w:val="222222"/>
          <w:spacing w:val="3"/>
          <w:shd w:val="clear" w:color="auto" w:fill="FFFFFF"/>
          <w:lang w:val="en-US"/>
        </w:rPr>
      </w:pPr>
      <w:r w:rsidRPr="003D2F00">
        <w:rPr>
          <w:rFonts w:ascii="Arial" w:hAnsi="Arial" w:cs="Arial"/>
          <w:spacing w:val="3"/>
          <w:shd w:val="clear" w:color="auto" w:fill="FFFFFF"/>
          <w:lang w:val="en-US"/>
        </w:rPr>
        <w:t xml:space="preserve">96-well cell culture plates were coated with 5 µg/ml HBsAg (kindly provided by Roche, </w:t>
      </w:r>
      <w:proofErr w:type="spellStart"/>
      <w:r w:rsidRPr="003D2F00">
        <w:rPr>
          <w:rFonts w:ascii="Arial" w:hAnsi="Arial" w:cs="Arial"/>
          <w:spacing w:val="3"/>
          <w:shd w:val="clear" w:color="auto" w:fill="FFFFFF"/>
          <w:lang w:val="en-US"/>
        </w:rPr>
        <w:t>Penzberg</w:t>
      </w:r>
      <w:proofErr w:type="spellEnd"/>
      <w:r w:rsidRPr="003D2F00">
        <w:rPr>
          <w:rFonts w:ascii="Arial" w:hAnsi="Arial" w:cs="Arial"/>
          <w:spacing w:val="3"/>
          <w:shd w:val="clear" w:color="auto" w:fill="FFFFFF"/>
          <w:lang w:val="en-US"/>
        </w:rPr>
        <w:t xml:space="preserve">, Germany) in PBS overnight at 37 °C. Control wells were incubated with PBS only. As target cells, </w:t>
      </w:r>
      <w:r w:rsidRPr="003D2F00">
        <w:rPr>
          <w:rFonts w:ascii="Arial" w:hAnsi="Arial" w:cs="Arial"/>
          <w:lang w:val="en-US"/>
        </w:rPr>
        <w:t>4x10</w:t>
      </w:r>
      <w:r w:rsidRPr="003D2F00">
        <w:rPr>
          <w:rFonts w:ascii="Arial" w:hAnsi="Arial" w:cs="Arial"/>
          <w:vertAlign w:val="superscript"/>
          <w:lang w:val="en-US"/>
        </w:rPr>
        <w:t>5</w:t>
      </w:r>
      <w:r w:rsidRPr="003D2F00">
        <w:rPr>
          <w:rFonts w:ascii="Arial" w:hAnsi="Arial" w:cs="Arial"/>
          <w:lang w:val="en-US"/>
        </w:rPr>
        <w:t xml:space="preserve"> Huh7S cells (a cell line stably transfected with HBV S, genotype </w:t>
      </w:r>
      <w:r w:rsidRPr="003D2F00">
        <w:rPr>
          <w:rFonts w:ascii="Arial" w:hAnsi="Arial" w:cs="Arial"/>
          <w:lang w:val="en-US"/>
        </w:rPr>
        <w:lastRenderedPageBreak/>
        <w:t xml:space="preserve">D) or parental Huh7 as control cells per well were seeded. </w:t>
      </w:r>
      <w:r w:rsidRPr="003D2F00">
        <w:rPr>
          <w:rFonts w:ascii="Arial" w:hAnsi="Arial" w:cs="Arial"/>
          <w:spacing w:val="3"/>
          <w:shd w:val="clear" w:color="auto" w:fill="FFFFFF"/>
          <w:lang w:val="en-US"/>
        </w:rPr>
        <w:t xml:space="preserve">The next day, plates were washed </w:t>
      </w:r>
      <w:r w:rsidRPr="003D2F00">
        <w:rPr>
          <w:rFonts w:ascii="Arial" w:hAnsi="Arial" w:cs="Arial"/>
          <w:color w:val="222222"/>
          <w:spacing w:val="3"/>
          <w:shd w:val="clear" w:color="auto" w:fill="FFFFFF"/>
          <w:lang w:val="en-US"/>
        </w:rPr>
        <w:t>once with PBS and 1x10</w:t>
      </w:r>
      <w:r w:rsidRPr="003D2F00">
        <w:rPr>
          <w:rFonts w:ascii="Arial" w:hAnsi="Arial" w:cs="Arial"/>
          <w:color w:val="222222"/>
          <w:spacing w:val="3"/>
          <w:shd w:val="clear" w:color="auto" w:fill="FFFFFF"/>
          <w:vertAlign w:val="superscript"/>
          <w:lang w:val="en-US"/>
        </w:rPr>
        <w:t xml:space="preserve">5 </w:t>
      </w:r>
      <w:r w:rsidRPr="003D2F00">
        <w:rPr>
          <w:rFonts w:ascii="Arial" w:hAnsi="Arial" w:cs="Arial"/>
          <w:color w:val="222222"/>
          <w:spacing w:val="3"/>
          <w:shd w:val="clear" w:color="auto" w:fill="FFFFFF"/>
          <w:lang w:val="en-US"/>
        </w:rPr>
        <w:t>freshly isolated PBMC per well were added in 100 µl RPMI1640 (</w:t>
      </w:r>
      <w:r w:rsidRPr="003D2F00">
        <w:rPr>
          <w:rFonts w:ascii="Arial" w:hAnsi="Arial" w:cs="Arial"/>
          <w:lang w:val="en-US"/>
        </w:rPr>
        <w:t>supplemented with 10% fetal bovine serum, 50 U/ml penicillin/streptomycin, 2 mM L-glutamine, 1% sodium pyruvate and 1% MEM non-essential amino acids</w:t>
      </w:r>
      <w:r w:rsidRPr="003D2F00">
        <w:rPr>
          <w:rFonts w:ascii="Arial" w:hAnsi="Arial" w:cs="Arial"/>
          <w:lang w:val="en-US" w:eastAsia="zh-CN"/>
        </w:rPr>
        <w:t xml:space="preserve">; </w:t>
      </w:r>
      <w:r w:rsidRPr="003D2F00">
        <w:rPr>
          <w:rFonts w:ascii="Arial" w:hAnsi="Arial" w:cs="Arial"/>
          <w:lang w:val="en-US"/>
        </w:rPr>
        <w:t xml:space="preserve">all from Life Technologies). BsAbs were diluted in DMEM (same supplements as RPMI1640) and subsequently added to the PBMC. Unless otherwise indicated, co-culture was maintained for 72 hours, before supernatants and T cells were analyzed. For killing assays, cells were seeded in </w:t>
      </w:r>
      <w:r w:rsidRPr="003D2F00">
        <w:rPr>
          <w:rFonts w:ascii="Arial" w:hAnsi="Arial" w:cs="Arial"/>
          <w:color w:val="222222"/>
          <w:spacing w:val="3"/>
          <w:shd w:val="clear" w:color="auto" w:fill="FFFFFF"/>
          <w:lang w:val="en-US"/>
        </w:rPr>
        <w:t xml:space="preserve">96-well E-plates (ACEA Biosciences, San Diego, USA) one day prior to start of PBMC co-cultures. Cell viability was measured for 96 hours employing an xCELLigence real-time cell analyzer </w:t>
      </w:r>
      <w:r w:rsidRPr="003D2F00">
        <w:rPr>
          <w:rFonts w:ascii="Arial" w:hAnsi="Arial" w:cs="Arial"/>
          <w:lang w:val="en-US"/>
        </w:rPr>
        <w:t>SP</w:t>
      </w:r>
      <w:r w:rsidRPr="003D2F00">
        <w:rPr>
          <w:rFonts w:ascii="Arial" w:hAnsi="Arial" w:cs="Arial"/>
          <w:color w:val="222222"/>
          <w:spacing w:val="3"/>
          <w:shd w:val="clear" w:color="auto" w:fill="FFFFFF"/>
          <w:lang w:val="en-US"/>
        </w:rPr>
        <w:t xml:space="preserve"> device (ACEA Biosciences).</w:t>
      </w:r>
    </w:p>
    <w:p w14:paraId="46DD4015" w14:textId="6697E7AA" w:rsidR="0059514F" w:rsidRPr="003D2F00" w:rsidRDefault="00140089" w:rsidP="00BD405A">
      <w:pPr>
        <w:pStyle w:val="Heading2"/>
        <w:spacing w:line="480" w:lineRule="auto"/>
        <w:rPr>
          <w:sz w:val="22"/>
          <w:lang w:val="en-US"/>
        </w:rPr>
      </w:pPr>
      <w:bookmarkStart w:id="11" w:name="_Toc72323405"/>
      <w:r w:rsidRPr="003D2F00">
        <w:rPr>
          <w:sz w:val="22"/>
          <w:lang w:val="en-US"/>
        </w:rPr>
        <w:t>T-cell proliferation and activation</w:t>
      </w:r>
      <w:bookmarkEnd w:id="11"/>
      <w:r w:rsidRPr="003D2F00">
        <w:rPr>
          <w:sz w:val="22"/>
          <w:lang w:val="en-US"/>
        </w:rPr>
        <w:t xml:space="preserve"> </w:t>
      </w:r>
    </w:p>
    <w:p w14:paraId="568A6A2D" w14:textId="30F02E89" w:rsidR="00CD12CB" w:rsidRPr="003D2F00" w:rsidRDefault="00140089" w:rsidP="00BD405A">
      <w:pPr>
        <w:pBdr>
          <w:right w:val="none" w:sz="4" w:space="1" w:color="000000"/>
        </w:pBdr>
        <w:spacing w:line="480" w:lineRule="auto"/>
        <w:jc w:val="both"/>
        <w:rPr>
          <w:rFonts w:ascii="Arial" w:hAnsi="Arial" w:cs="Arial"/>
          <w:lang w:val="en-US"/>
        </w:rPr>
      </w:pPr>
      <w:r w:rsidRPr="003D2F00">
        <w:rPr>
          <w:rFonts w:ascii="Arial" w:hAnsi="Arial" w:cs="Arial"/>
          <w:lang w:val="en-US"/>
        </w:rPr>
        <w:t>PBMC were stained using the cell trace violet proliferation kit (</w:t>
      </w:r>
      <w:proofErr w:type="spellStart"/>
      <w:r w:rsidRPr="003D2F00">
        <w:rPr>
          <w:rFonts w:ascii="Arial" w:hAnsi="Arial" w:cs="Arial"/>
          <w:lang w:val="en-US"/>
        </w:rPr>
        <w:t>ThermoFischer</w:t>
      </w:r>
      <w:proofErr w:type="spellEnd"/>
      <w:r w:rsidRPr="003D2F00">
        <w:rPr>
          <w:rFonts w:ascii="Arial" w:hAnsi="Arial" w:cs="Arial"/>
          <w:lang w:val="en-US"/>
        </w:rPr>
        <w:t xml:space="preserve"> scientific) prior to start of co-cultures. After 72 hours of co-culture, cells were harvested and washed with 200 µl FACS buffer, followed by staining with a 50 µl mix containing 1:20 dilutions of anti-CD4 PE-</w:t>
      </w:r>
      <w:proofErr w:type="spellStart"/>
      <w:r w:rsidRPr="003D2F00">
        <w:rPr>
          <w:rFonts w:ascii="Arial" w:hAnsi="Arial" w:cs="Arial"/>
          <w:lang w:val="en-US"/>
        </w:rPr>
        <w:t>eFlour</w:t>
      </w:r>
      <w:proofErr w:type="spellEnd"/>
      <w:r w:rsidRPr="003D2F00">
        <w:rPr>
          <w:rFonts w:ascii="Arial" w:hAnsi="Arial" w:cs="Arial"/>
          <w:lang w:val="en-US"/>
        </w:rPr>
        <w:t xml:space="preserve"> 610 (clone RPA-T4, </w:t>
      </w:r>
      <w:proofErr w:type="spellStart"/>
      <w:r w:rsidRPr="003D2F00">
        <w:rPr>
          <w:rFonts w:ascii="Arial" w:hAnsi="Arial" w:cs="Arial"/>
          <w:lang w:val="en-US"/>
        </w:rPr>
        <w:t>ThermoFisher</w:t>
      </w:r>
      <w:proofErr w:type="spellEnd"/>
      <w:r w:rsidRPr="003D2F00">
        <w:rPr>
          <w:rFonts w:ascii="Arial" w:hAnsi="Arial" w:cs="Arial"/>
          <w:lang w:val="en-US"/>
        </w:rPr>
        <w:t xml:space="preserve">), anti-CD8 APC (clone SK1, BD), anti-LAMP1 Alexa Flour 488 (clone H4A3, </w:t>
      </w:r>
      <w:proofErr w:type="spellStart"/>
      <w:r w:rsidRPr="003D2F00">
        <w:rPr>
          <w:rFonts w:ascii="Arial" w:hAnsi="Arial" w:cs="Arial"/>
          <w:lang w:val="en-US"/>
        </w:rPr>
        <w:t>ThermoFisher</w:t>
      </w:r>
      <w:proofErr w:type="spellEnd"/>
      <w:r w:rsidRPr="003D2F00">
        <w:rPr>
          <w:rFonts w:ascii="Arial" w:hAnsi="Arial" w:cs="Arial"/>
          <w:lang w:val="en-US"/>
        </w:rPr>
        <w:t>), anti-CD25 PE (clone M-A251, BD), as well as near-infrared live/dead (</w:t>
      </w:r>
      <w:proofErr w:type="spellStart"/>
      <w:r w:rsidRPr="003D2F00">
        <w:rPr>
          <w:rFonts w:ascii="Arial" w:hAnsi="Arial" w:cs="Arial"/>
          <w:lang w:val="en-US"/>
        </w:rPr>
        <w:t>ThermoFisher</w:t>
      </w:r>
      <w:proofErr w:type="spellEnd"/>
      <w:r w:rsidRPr="003D2F00">
        <w:rPr>
          <w:rFonts w:ascii="Arial" w:hAnsi="Arial" w:cs="Arial"/>
          <w:lang w:val="en-US"/>
        </w:rPr>
        <w:t xml:space="preserve">) 1:1000 in FACS buffer for 30 min at 4 °C in the dark. Cells were washed 3 times with 200 µl FACS buffer and analyzed by flow cytometry on a </w:t>
      </w:r>
      <w:proofErr w:type="spellStart"/>
      <w:r w:rsidRPr="003D2F00">
        <w:rPr>
          <w:rFonts w:ascii="Arial" w:hAnsi="Arial" w:cs="Arial"/>
          <w:lang w:val="en-US"/>
        </w:rPr>
        <w:t>CytoFlexS</w:t>
      </w:r>
      <w:proofErr w:type="spellEnd"/>
      <w:r w:rsidRPr="003D2F00">
        <w:rPr>
          <w:rFonts w:ascii="Arial" w:hAnsi="Arial" w:cs="Arial"/>
          <w:lang w:val="en-US"/>
        </w:rPr>
        <w:t>.</w:t>
      </w:r>
    </w:p>
    <w:p w14:paraId="09360D7F" w14:textId="6C9F4DBB" w:rsidR="0059514F" w:rsidRPr="003D2F00" w:rsidRDefault="00140089" w:rsidP="00BD405A">
      <w:pPr>
        <w:pStyle w:val="Heading2"/>
        <w:spacing w:line="480" w:lineRule="auto"/>
        <w:rPr>
          <w:sz w:val="22"/>
          <w:lang w:val="en-US"/>
        </w:rPr>
      </w:pPr>
      <w:bookmarkStart w:id="12" w:name="_Toc72323406"/>
      <w:r w:rsidRPr="003D2F00">
        <w:rPr>
          <w:sz w:val="22"/>
          <w:lang w:val="en-US"/>
        </w:rPr>
        <w:t>T-cell subset quantification</w:t>
      </w:r>
      <w:bookmarkEnd w:id="12"/>
    </w:p>
    <w:p w14:paraId="1718279A" w14:textId="41D2AB23" w:rsidR="00CD12CB" w:rsidRPr="003D2F00" w:rsidRDefault="00140089" w:rsidP="00BD405A">
      <w:pPr>
        <w:pBdr>
          <w:right w:val="none" w:sz="4" w:space="1" w:color="000000"/>
        </w:pBdr>
        <w:spacing w:line="480" w:lineRule="auto"/>
        <w:jc w:val="both"/>
        <w:rPr>
          <w:rFonts w:ascii="Arial" w:hAnsi="Arial" w:cs="Arial"/>
          <w:lang w:val="en-US"/>
        </w:rPr>
      </w:pPr>
      <w:r w:rsidRPr="003D2F00">
        <w:rPr>
          <w:rFonts w:ascii="Arial" w:hAnsi="Arial" w:cs="Arial"/>
          <w:lang w:val="en-US"/>
        </w:rPr>
        <w:t>Subsets of CD8</w:t>
      </w:r>
      <w:r w:rsidRPr="003D2F00">
        <w:rPr>
          <w:rFonts w:ascii="Arial" w:hAnsi="Arial" w:cs="Arial"/>
          <w:vertAlign w:val="superscript"/>
          <w:lang w:val="en-US"/>
        </w:rPr>
        <w:t>+</w:t>
      </w:r>
      <w:r w:rsidRPr="003D2F00">
        <w:rPr>
          <w:rFonts w:ascii="Arial" w:hAnsi="Arial" w:cs="Arial"/>
          <w:lang w:val="en-US"/>
        </w:rPr>
        <w:t xml:space="preserve"> T cells were defined employing the markers CD45RA</w:t>
      </w:r>
      <w:r w:rsidR="00B55AEA" w:rsidRPr="003D2F00">
        <w:rPr>
          <w:rFonts w:ascii="Arial" w:hAnsi="Arial" w:cs="Arial"/>
          <w:lang w:val="en-US"/>
        </w:rPr>
        <w:t xml:space="preserve"> and</w:t>
      </w:r>
      <w:r w:rsidRPr="003D2F00">
        <w:rPr>
          <w:rFonts w:ascii="Arial" w:hAnsi="Arial" w:cs="Arial"/>
          <w:lang w:val="en-US"/>
        </w:rPr>
        <w:t xml:space="preserve"> CCR7 according to</w:t>
      </w:r>
      <w:r w:rsidR="00B55AEA" w:rsidRPr="003D2F00">
        <w:rPr>
          <w:rFonts w:ascii="Arial" w:hAnsi="Arial" w:cs="Arial"/>
          <w:lang w:val="en-US"/>
        </w:rPr>
        <w:t xml:space="preserve"> </w:t>
      </w:r>
      <w:proofErr w:type="spellStart"/>
      <w:r w:rsidR="00B55AEA" w:rsidRPr="003D2F00">
        <w:rPr>
          <w:rFonts w:ascii="Arial" w:hAnsi="Arial" w:cs="Arial"/>
          <w:lang w:val="en-US"/>
        </w:rPr>
        <w:t>Sallusto</w:t>
      </w:r>
      <w:proofErr w:type="spellEnd"/>
      <w:r w:rsidR="00B55AEA" w:rsidRPr="003D2F00">
        <w:rPr>
          <w:rFonts w:ascii="Arial" w:hAnsi="Arial" w:cs="Arial"/>
          <w:lang w:val="en-US"/>
        </w:rPr>
        <w:t xml:space="preserve"> et al. 1999</w:t>
      </w:r>
      <w:r w:rsidR="003A4504" w:rsidRPr="003D2F00">
        <w:rPr>
          <w:rFonts w:ascii="Arial" w:hAnsi="Arial" w:cs="Arial"/>
          <w:lang w:val="en-US"/>
        </w:rPr>
        <w:fldChar w:fldCharType="begin"/>
      </w:r>
      <w:r w:rsidR="00BD405A" w:rsidRPr="003D2F00">
        <w:rPr>
          <w:rFonts w:ascii="Arial" w:hAnsi="Arial" w:cs="Arial"/>
          <w:lang w:val="en-US"/>
        </w:rPr>
        <w:instrText xml:space="preserve"> ADDIN EN.CITE &lt;EndNote&gt;&lt;Cite&gt;&lt;Author&gt;Sallusto&lt;/Author&gt;&lt;Year&gt;1999&lt;/Year&gt;&lt;RecNum&gt;300&lt;/RecNum&gt;&lt;DisplayText&gt;&lt;style face="superscript"&gt;6&lt;/style&gt;&lt;/DisplayText&gt;&lt;record&gt;&lt;rec-number&gt;300&lt;/rec-number&gt;&lt;foreign-keys&gt;&lt;key app="EN" db-id="daafzzrdj9wwxsex99650591fv0dde2srf52" timestamp="1619181033"&gt;300&lt;/key&gt;&lt;/foreign-keys&gt;&lt;ref-type name="Journal Article"&gt;17&lt;/ref-type&gt;&lt;contributors&gt;&lt;authors&gt;&lt;author&gt;Sallusto, Federica&lt;/author&gt;&lt;author&gt;Lenig, Danielle&lt;/author&gt;&lt;author&gt;Förster, Reinhold&lt;/author&gt;&lt;author&gt;Lipp, Martin&lt;/author&gt;&lt;author&gt;Lanzavecchia, Antonio&lt;/author&gt;&lt;/authors&gt;&lt;/contributors&gt;&lt;titles&gt;&lt;title&gt;Two subsets of memory T lymphocytes with distinct homing potentials and effector functions&lt;/title&gt;&lt;secondary-title&gt;Nature&lt;/secondary-title&gt;&lt;/titles&gt;&lt;periodical&gt;&lt;full-title&gt;Nature&lt;/full-title&gt;&lt;/periodical&gt;&lt;pages&gt;34-38&lt;/pages&gt;&lt;volume&gt;402&lt;/volume&gt;&lt;number&gt;6763&lt;/number&gt;&lt;dates&gt;&lt;year&gt;1999&lt;/year&gt;&lt;pub-dates&gt;&lt;date&gt;1999/12/01&lt;/date&gt;&lt;/pub-dates&gt;&lt;/dates&gt;&lt;isbn&gt;1476-4687&lt;/isbn&gt;&lt;urls&gt;&lt;related-urls&gt;&lt;url&gt;https://doi.org/10.1038/35005534&lt;/url&gt;&lt;/related-urls&gt;&lt;/urls&gt;&lt;electronic-resource-num&gt;10.1038/35005534&lt;/electronic-resource-num&gt;&lt;/record&gt;&lt;/Cite&gt;&lt;/EndNote&gt;</w:instrText>
      </w:r>
      <w:r w:rsidR="003A4504" w:rsidRPr="003D2F00">
        <w:rPr>
          <w:rFonts w:ascii="Arial" w:hAnsi="Arial" w:cs="Arial"/>
          <w:lang w:val="en-US"/>
        </w:rPr>
        <w:fldChar w:fldCharType="separate"/>
      </w:r>
      <w:r w:rsidR="00BD405A" w:rsidRPr="003D2F00">
        <w:rPr>
          <w:rFonts w:ascii="Arial" w:hAnsi="Arial" w:cs="Arial"/>
          <w:noProof/>
          <w:vertAlign w:val="superscript"/>
          <w:lang w:val="en-US"/>
        </w:rPr>
        <w:t>6</w:t>
      </w:r>
      <w:r w:rsidR="003A4504" w:rsidRPr="003D2F00">
        <w:rPr>
          <w:rFonts w:ascii="Arial" w:hAnsi="Arial" w:cs="Arial"/>
          <w:lang w:val="en-US"/>
        </w:rPr>
        <w:fldChar w:fldCharType="end"/>
      </w:r>
      <w:r w:rsidRPr="003D2F00">
        <w:rPr>
          <w:rFonts w:ascii="Arial" w:hAnsi="Arial" w:cs="Arial"/>
          <w:lang w:val="en-US"/>
        </w:rPr>
        <w:t>. Cells were harvested after 72 hours of culture on coated HBsAg in the presence of 3 nM FabMAb or BiMAb CD3/CD28 combinations. After washing with FACS buffer, cells were stained with anti</w:t>
      </w:r>
      <w:r w:rsidRPr="003D2F00">
        <w:rPr>
          <w:rFonts w:ascii="Arial" w:hAnsi="Arial" w:cs="Arial"/>
          <w:lang w:val="en-US"/>
        </w:rPr>
        <w:noBreakHyphen/>
        <w:t xml:space="preserve">CD3 AF700 (clone UCHT1, BD) 1:50, anti-CD4 FITC (RPA-T4, BD) 1:5, anti-CD8 PB (clone SK1, </w:t>
      </w:r>
      <w:proofErr w:type="spellStart"/>
      <w:r w:rsidRPr="003D2F00">
        <w:rPr>
          <w:rFonts w:ascii="Arial" w:hAnsi="Arial" w:cs="Arial"/>
          <w:lang w:val="en-US"/>
        </w:rPr>
        <w:t>BioLegend</w:t>
      </w:r>
      <w:proofErr w:type="spellEnd"/>
      <w:r w:rsidRPr="003D2F00">
        <w:rPr>
          <w:rFonts w:ascii="Arial" w:hAnsi="Arial" w:cs="Arial"/>
          <w:lang w:val="en-US"/>
        </w:rPr>
        <w:t xml:space="preserve">, San Diego, USA) 1:50, anti-CD45RA APC (clone HI100, </w:t>
      </w:r>
      <w:proofErr w:type="spellStart"/>
      <w:r w:rsidRPr="003D2F00">
        <w:rPr>
          <w:rFonts w:ascii="Arial" w:hAnsi="Arial" w:cs="Arial"/>
          <w:lang w:val="en-US"/>
        </w:rPr>
        <w:t>BioLegend</w:t>
      </w:r>
      <w:proofErr w:type="spellEnd"/>
      <w:r w:rsidRPr="003D2F00">
        <w:rPr>
          <w:rFonts w:ascii="Arial" w:hAnsi="Arial" w:cs="Arial"/>
          <w:lang w:val="en-US"/>
        </w:rPr>
        <w:t xml:space="preserve">) 1:20, anti-CCR7 BV650 (clone G043H7, </w:t>
      </w:r>
      <w:proofErr w:type="spellStart"/>
      <w:r w:rsidRPr="003D2F00">
        <w:rPr>
          <w:rFonts w:ascii="Arial" w:hAnsi="Arial" w:cs="Arial"/>
          <w:lang w:val="en-US"/>
        </w:rPr>
        <w:t>BioLegend</w:t>
      </w:r>
      <w:proofErr w:type="spellEnd"/>
      <w:r w:rsidRPr="003D2F00">
        <w:rPr>
          <w:rFonts w:ascii="Arial" w:hAnsi="Arial" w:cs="Arial"/>
          <w:lang w:val="en-US"/>
        </w:rPr>
        <w:t xml:space="preserve">) 1:20, and </w:t>
      </w:r>
      <w:r w:rsidR="00B55AEA" w:rsidRPr="003D2F00">
        <w:rPr>
          <w:rFonts w:ascii="Arial" w:hAnsi="Arial" w:cs="Arial"/>
          <w:lang w:val="en-US"/>
        </w:rPr>
        <w:t>Aqua</w:t>
      </w:r>
      <w:r w:rsidRPr="003D2F00">
        <w:rPr>
          <w:rFonts w:ascii="Arial" w:hAnsi="Arial" w:cs="Arial"/>
          <w:lang w:val="en-US"/>
        </w:rPr>
        <w:t xml:space="preserve"> </w:t>
      </w:r>
      <w:r w:rsidRPr="003D2F00">
        <w:rPr>
          <w:rFonts w:ascii="Arial" w:hAnsi="Arial" w:cs="Arial"/>
          <w:lang w:val="en-US"/>
        </w:rPr>
        <w:lastRenderedPageBreak/>
        <w:t>live/dead (</w:t>
      </w:r>
      <w:proofErr w:type="spellStart"/>
      <w:r w:rsidRPr="003D2F00">
        <w:rPr>
          <w:rFonts w:ascii="Arial" w:hAnsi="Arial" w:cs="Arial"/>
          <w:lang w:val="en-US"/>
        </w:rPr>
        <w:t>ThermoFisher</w:t>
      </w:r>
      <w:proofErr w:type="spellEnd"/>
      <w:r w:rsidRPr="003D2F00">
        <w:rPr>
          <w:rFonts w:ascii="Arial" w:hAnsi="Arial" w:cs="Arial"/>
          <w:lang w:val="en-US"/>
        </w:rPr>
        <w:t xml:space="preserve">) 1:1000 in 50 µl FACS buffer for 30 min at 4 °C in the dark. Cells were washed three times and analyzed on a </w:t>
      </w:r>
      <w:proofErr w:type="spellStart"/>
      <w:r w:rsidRPr="003D2F00">
        <w:rPr>
          <w:rFonts w:ascii="Arial" w:hAnsi="Arial" w:cs="Arial"/>
          <w:lang w:val="en-US"/>
        </w:rPr>
        <w:t>CytoFlexS</w:t>
      </w:r>
      <w:proofErr w:type="spellEnd"/>
      <w:r w:rsidRPr="003D2F00">
        <w:rPr>
          <w:rFonts w:ascii="Arial" w:hAnsi="Arial" w:cs="Arial"/>
          <w:lang w:val="en-US"/>
        </w:rPr>
        <w:t>.</w:t>
      </w:r>
    </w:p>
    <w:p w14:paraId="02FD6B1F" w14:textId="77777777" w:rsidR="0059514F" w:rsidRPr="003D2F00" w:rsidRDefault="00140089" w:rsidP="00BD405A">
      <w:pPr>
        <w:pStyle w:val="Heading2"/>
        <w:spacing w:line="480" w:lineRule="auto"/>
        <w:rPr>
          <w:sz w:val="22"/>
          <w:shd w:val="clear" w:color="auto" w:fill="FFFFFF"/>
          <w:lang w:val="en-US"/>
        </w:rPr>
      </w:pPr>
      <w:bookmarkStart w:id="13" w:name="_Toc72323407"/>
      <w:r w:rsidRPr="003D2F00">
        <w:rPr>
          <w:sz w:val="22"/>
          <w:shd w:val="clear" w:color="auto" w:fill="FFFFFF"/>
          <w:lang w:val="en-US"/>
        </w:rPr>
        <w:t>Analysis of cytokine secretion</w:t>
      </w:r>
      <w:bookmarkEnd w:id="13"/>
    </w:p>
    <w:p w14:paraId="14B3FDF7" w14:textId="7019AB71" w:rsidR="00CD12CB" w:rsidRPr="003D2F00" w:rsidRDefault="00140089" w:rsidP="00BD405A">
      <w:pPr>
        <w:pBdr>
          <w:right w:val="none" w:sz="4" w:space="1" w:color="000000"/>
        </w:pBdr>
        <w:spacing w:line="480" w:lineRule="auto"/>
        <w:jc w:val="both"/>
        <w:rPr>
          <w:rFonts w:ascii="Arial" w:hAnsi="Arial" w:cs="Arial"/>
          <w:b/>
          <w:color w:val="222222"/>
          <w:spacing w:val="3"/>
          <w:shd w:val="clear" w:color="auto" w:fill="FFFFFF"/>
          <w:lang w:val="en-US"/>
        </w:rPr>
      </w:pPr>
      <w:r w:rsidRPr="003D2F00">
        <w:rPr>
          <w:rFonts w:ascii="Arial" w:hAnsi="Arial" w:cs="Arial"/>
          <w:color w:val="222222"/>
          <w:spacing w:val="3"/>
          <w:shd w:val="clear" w:color="auto" w:fill="FFFFFF"/>
          <w:lang w:val="en-US"/>
        </w:rPr>
        <w:t xml:space="preserve">Supernatants of PBMC cultures collected after stimulation were analyzed by the human IFNγ uncoated ELISA kit </w:t>
      </w:r>
      <w:r w:rsidRPr="003D2F00">
        <w:rPr>
          <w:rFonts w:ascii="Arial" w:hAnsi="Arial" w:cs="Arial"/>
          <w:lang w:val="en-US"/>
        </w:rPr>
        <w:t>(</w:t>
      </w:r>
      <w:proofErr w:type="spellStart"/>
      <w:r w:rsidRPr="003D2F00">
        <w:rPr>
          <w:rFonts w:ascii="Arial" w:hAnsi="Arial" w:cs="Arial"/>
          <w:lang w:val="en-US"/>
        </w:rPr>
        <w:t>ThermoFisher</w:t>
      </w:r>
      <w:proofErr w:type="spellEnd"/>
      <w:r w:rsidRPr="003D2F00">
        <w:rPr>
          <w:rFonts w:ascii="Arial" w:hAnsi="Arial" w:cs="Arial"/>
          <w:lang w:val="en-US"/>
        </w:rPr>
        <w:t>), the human IL</w:t>
      </w:r>
      <w:r w:rsidRPr="003D2F00">
        <w:rPr>
          <w:rFonts w:ascii="Arial" w:hAnsi="Arial" w:cs="Arial"/>
          <w:lang w:val="en-US"/>
        </w:rPr>
        <w:noBreakHyphen/>
        <w:t>2 uncoated ELISA kit (</w:t>
      </w:r>
      <w:proofErr w:type="spellStart"/>
      <w:r w:rsidRPr="003D2F00">
        <w:rPr>
          <w:rFonts w:ascii="Arial" w:hAnsi="Arial" w:cs="Arial"/>
          <w:lang w:val="en-US"/>
        </w:rPr>
        <w:t>ThermoFisher</w:t>
      </w:r>
      <w:proofErr w:type="spellEnd"/>
      <w:r w:rsidRPr="003D2F00">
        <w:rPr>
          <w:rFonts w:ascii="Arial" w:hAnsi="Arial" w:cs="Arial"/>
          <w:lang w:val="en-US"/>
        </w:rPr>
        <w:t xml:space="preserve">) or the BD </w:t>
      </w:r>
      <w:proofErr w:type="spellStart"/>
      <w:r w:rsidRPr="003D2F00">
        <w:rPr>
          <w:rFonts w:ascii="Arial" w:hAnsi="Arial" w:cs="Arial"/>
          <w:lang w:val="en-US"/>
        </w:rPr>
        <w:t>OptEIA</w:t>
      </w:r>
      <w:proofErr w:type="spellEnd"/>
      <w:r w:rsidRPr="003D2F00">
        <w:rPr>
          <w:rFonts w:ascii="Arial" w:hAnsi="Arial" w:cs="Arial"/>
          <w:lang w:val="en-US"/>
        </w:rPr>
        <w:t xml:space="preserve"> human TNFα ELISA set (BD), according to the manufacture’s protocol. ELISAs were performed on </w:t>
      </w:r>
      <w:proofErr w:type="spellStart"/>
      <w:r w:rsidRPr="003D2F00">
        <w:rPr>
          <w:rFonts w:ascii="Arial" w:hAnsi="Arial" w:cs="Arial"/>
          <w:color w:val="222222"/>
          <w:spacing w:val="3"/>
          <w:shd w:val="clear" w:color="auto" w:fill="FFFFFF"/>
          <w:lang w:val="en-US"/>
        </w:rPr>
        <w:t>MaxiSorp</w:t>
      </w:r>
      <w:proofErr w:type="spellEnd"/>
      <w:r w:rsidRPr="003D2F00">
        <w:rPr>
          <w:rFonts w:ascii="Arial" w:hAnsi="Arial" w:cs="Arial"/>
          <w:color w:val="222222"/>
          <w:spacing w:val="3"/>
          <w:shd w:val="clear" w:color="auto" w:fill="FFFFFF"/>
          <w:lang w:val="en-US"/>
        </w:rPr>
        <w:t xml:space="preserve"> plates.</w:t>
      </w:r>
      <w:r w:rsidR="00002062" w:rsidRPr="003D2F00">
        <w:rPr>
          <w:rFonts w:ascii="Arial" w:hAnsi="Arial" w:cs="Arial"/>
          <w:color w:val="000000"/>
          <w:shd w:val="clear" w:color="auto" w:fill="FFFFFF"/>
          <w:lang w:val="en-US"/>
        </w:rPr>
        <w:t xml:space="preserve"> For in-depth analysis, cytokines and chemokines in supernatants were measured using the multiplex bead array system Bio-Plex</w:t>
      </w:r>
      <w:r w:rsidR="00002062" w:rsidRPr="003D2F00">
        <w:rPr>
          <w:rFonts w:ascii="Arial" w:hAnsi="Arial" w:cs="Arial"/>
          <w:color w:val="000000"/>
          <w:shd w:val="clear" w:color="auto" w:fill="FFFFFF"/>
          <w:vertAlign w:val="superscript"/>
          <w:lang w:val="en-US"/>
        </w:rPr>
        <w:t> </w:t>
      </w:r>
      <w:r w:rsidR="00002062" w:rsidRPr="003D2F00">
        <w:rPr>
          <w:rFonts w:ascii="Arial" w:hAnsi="Arial" w:cs="Arial"/>
          <w:color w:val="000000"/>
          <w:shd w:val="clear" w:color="auto" w:fill="FFFFFF"/>
          <w:lang w:val="en-US"/>
        </w:rPr>
        <w:t xml:space="preserve">human Cytokine Group I Panel 17-Plex, with added single kits for human RANTES (CCL5), human IP-10 (CXCL10), following the manufacturer’s recommendations. Data were acquired using the Luminex100 machine with </w:t>
      </w:r>
      <w:proofErr w:type="spellStart"/>
      <w:r w:rsidR="00002062" w:rsidRPr="003D2F00">
        <w:rPr>
          <w:rFonts w:ascii="Arial" w:hAnsi="Arial" w:cs="Arial"/>
          <w:color w:val="000000"/>
          <w:shd w:val="clear" w:color="auto" w:fill="FFFFFF"/>
          <w:lang w:val="en-US"/>
        </w:rPr>
        <w:t>BioPlex</w:t>
      </w:r>
      <w:proofErr w:type="spellEnd"/>
      <w:r w:rsidR="00002062" w:rsidRPr="003D2F00">
        <w:rPr>
          <w:rFonts w:ascii="Arial" w:hAnsi="Arial" w:cs="Arial"/>
          <w:color w:val="000000"/>
          <w:shd w:val="clear" w:color="auto" w:fill="FFFFFF"/>
          <w:lang w:val="en-US"/>
        </w:rPr>
        <w:t xml:space="preserve"> Manager 6.1 software. Standard curves were fitted using the logistic-5PL regression type.</w:t>
      </w:r>
    </w:p>
    <w:p w14:paraId="44D60451" w14:textId="03327A23" w:rsidR="0059514F" w:rsidRPr="003D2F00" w:rsidRDefault="00140089" w:rsidP="00BD405A">
      <w:pPr>
        <w:pStyle w:val="Heading2"/>
        <w:spacing w:line="480" w:lineRule="auto"/>
        <w:rPr>
          <w:sz w:val="22"/>
          <w:lang w:val="en-US"/>
        </w:rPr>
      </w:pPr>
      <w:bookmarkStart w:id="14" w:name="_Toc72323408"/>
      <w:r w:rsidRPr="003D2F00">
        <w:rPr>
          <w:sz w:val="22"/>
          <w:lang w:val="en-US"/>
        </w:rPr>
        <w:t>Intracellular cytokine staining</w:t>
      </w:r>
      <w:bookmarkEnd w:id="14"/>
      <w:r w:rsidRPr="003D2F00">
        <w:rPr>
          <w:sz w:val="22"/>
          <w:lang w:val="en-US"/>
        </w:rPr>
        <w:t xml:space="preserve"> </w:t>
      </w:r>
    </w:p>
    <w:p w14:paraId="582296FD" w14:textId="645B683A" w:rsidR="00CD12CB" w:rsidRPr="003D2F00" w:rsidRDefault="00140089" w:rsidP="00BD405A">
      <w:pPr>
        <w:spacing w:line="480" w:lineRule="auto"/>
        <w:jc w:val="both"/>
        <w:rPr>
          <w:rFonts w:ascii="Arial" w:hAnsi="Arial" w:cs="Arial"/>
          <w:lang w:val="en-US"/>
        </w:rPr>
      </w:pPr>
      <w:r w:rsidRPr="003D2F00">
        <w:rPr>
          <w:rFonts w:ascii="Arial" w:hAnsi="Arial" w:cs="Arial"/>
          <w:lang w:val="en-US"/>
        </w:rPr>
        <w:t>PBMC were treated with 0.2 µg/ml Brefeldin A (</w:t>
      </w:r>
      <w:r w:rsidRPr="003D2F00">
        <w:rPr>
          <w:rFonts w:ascii="Arial" w:hAnsi="Arial" w:cs="Arial"/>
          <w:color w:val="222222"/>
          <w:spacing w:val="3"/>
          <w:shd w:val="clear" w:color="auto" w:fill="FFFFFF"/>
          <w:lang w:val="en-US"/>
        </w:rPr>
        <w:t>Sigma-Aldrich</w:t>
      </w:r>
      <w:r w:rsidRPr="003D2F00">
        <w:rPr>
          <w:rFonts w:ascii="Arial" w:hAnsi="Arial" w:cs="Arial"/>
          <w:lang w:val="en-US"/>
        </w:rPr>
        <w:t>) 4 hours prior to harvest and stored at 4° C if needed. After washing with 200 µl FACS buffer, cells were stained with anti-CD4 PE-</w:t>
      </w:r>
      <w:proofErr w:type="spellStart"/>
      <w:r w:rsidRPr="003D2F00">
        <w:rPr>
          <w:rFonts w:ascii="Arial" w:hAnsi="Arial" w:cs="Arial"/>
          <w:lang w:val="en-US"/>
        </w:rPr>
        <w:t>eFlour</w:t>
      </w:r>
      <w:proofErr w:type="spellEnd"/>
      <w:r w:rsidRPr="003D2F00">
        <w:rPr>
          <w:rFonts w:ascii="Arial" w:hAnsi="Arial" w:cs="Arial"/>
          <w:lang w:val="en-US"/>
        </w:rPr>
        <w:t xml:space="preserve"> 610 1:20, anti-CD8 APC 1:20 and near-infrared live/dead 1:1000 in 50 </w:t>
      </w:r>
      <w:r w:rsidR="000B02D2" w:rsidRPr="003D2F00">
        <w:rPr>
          <w:rFonts w:ascii="Arial" w:hAnsi="Arial" w:cs="Arial"/>
          <w:lang w:val="en-US"/>
        </w:rPr>
        <w:t>µl FACS buffer for 30 min at 4 °</w:t>
      </w:r>
      <w:r w:rsidRPr="003D2F00">
        <w:rPr>
          <w:rFonts w:ascii="Arial" w:hAnsi="Arial" w:cs="Arial"/>
          <w:lang w:val="en-US"/>
        </w:rPr>
        <w:t xml:space="preserve">C in the dark. Cells were washed with FACS buffer, resuspended in 100 µl </w:t>
      </w:r>
      <w:proofErr w:type="spellStart"/>
      <w:r w:rsidRPr="003D2F00">
        <w:rPr>
          <w:rFonts w:ascii="Arial" w:hAnsi="Arial" w:cs="Arial"/>
          <w:lang w:val="en-US"/>
        </w:rPr>
        <w:t>Cytofix</w:t>
      </w:r>
      <w:proofErr w:type="spellEnd"/>
      <w:r w:rsidRPr="003D2F00">
        <w:rPr>
          <w:rFonts w:ascii="Arial" w:hAnsi="Arial" w:cs="Arial"/>
          <w:lang w:val="en-US"/>
        </w:rPr>
        <w:t>/</w:t>
      </w:r>
      <w:proofErr w:type="spellStart"/>
      <w:r w:rsidRPr="003D2F00">
        <w:rPr>
          <w:rFonts w:ascii="Arial" w:hAnsi="Arial" w:cs="Arial"/>
          <w:lang w:val="en-US"/>
        </w:rPr>
        <w:t>Cytoperm</w:t>
      </w:r>
      <w:proofErr w:type="spellEnd"/>
      <w:r w:rsidRPr="003D2F00">
        <w:rPr>
          <w:rFonts w:ascii="Arial" w:hAnsi="Arial" w:cs="Arial"/>
          <w:lang w:val="en-US"/>
        </w:rPr>
        <w:t xml:space="preserve"> (BD) and incubated for 20 min in the dark. After washing with Perm/Wash (BD) cells were stained with a cocktail containing anti-TNFα </w:t>
      </w:r>
      <w:proofErr w:type="spellStart"/>
      <w:r w:rsidRPr="003D2F00">
        <w:rPr>
          <w:rFonts w:ascii="Arial" w:hAnsi="Arial" w:cs="Arial"/>
          <w:lang w:val="en-US"/>
        </w:rPr>
        <w:t>eFlour</w:t>
      </w:r>
      <w:proofErr w:type="spellEnd"/>
      <w:r w:rsidRPr="003D2F00">
        <w:rPr>
          <w:rFonts w:ascii="Arial" w:hAnsi="Arial" w:cs="Arial"/>
          <w:lang w:val="en-US"/>
        </w:rPr>
        <w:t xml:space="preserve"> 450 (clone Mab11, </w:t>
      </w:r>
      <w:proofErr w:type="spellStart"/>
      <w:r w:rsidRPr="003D2F00">
        <w:rPr>
          <w:rFonts w:ascii="Arial" w:hAnsi="Arial" w:cs="Arial"/>
          <w:lang w:val="en-US"/>
        </w:rPr>
        <w:t>ThermoFisher</w:t>
      </w:r>
      <w:proofErr w:type="spellEnd"/>
      <w:r w:rsidRPr="003D2F00">
        <w:rPr>
          <w:rFonts w:ascii="Arial" w:hAnsi="Arial" w:cs="Arial"/>
          <w:lang w:val="en-US"/>
        </w:rPr>
        <w:t>), anti-IL</w:t>
      </w:r>
      <w:r w:rsidRPr="003D2F00">
        <w:rPr>
          <w:rFonts w:ascii="Arial" w:hAnsi="Arial" w:cs="Arial"/>
          <w:lang w:val="en-US"/>
        </w:rPr>
        <w:noBreakHyphen/>
        <w:t>2 FITC (clone</w:t>
      </w:r>
      <w:r w:rsidRPr="003D2F00">
        <w:rPr>
          <w:rFonts w:ascii="Arial" w:hAnsi="Arial" w:cs="Arial"/>
          <w:color w:val="666666"/>
          <w:spacing w:val="12"/>
          <w:lang w:val="en-US"/>
        </w:rPr>
        <w:t xml:space="preserve"> </w:t>
      </w:r>
      <w:r w:rsidRPr="003D2F00">
        <w:rPr>
          <w:rFonts w:ascii="Arial" w:hAnsi="Arial" w:cs="Arial"/>
          <w:lang w:val="en-US"/>
        </w:rPr>
        <w:t>MQ1-17H12, BD), anti</w:t>
      </w:r>
      <w:r w:rsidRPr="003D2F00">
        <w:rPr>
          <w:rFonts w:ascii="Arial" w:hAnsi="Arial" w:cs="Arial"/>
          <w:lang w:val="en-US"/>
        </w:rPr>
        <w:noBreakHyphen/>
        <w:t xml:space="preserve">IFNγ AF700 (clone B27, BD) and anti-grzB PE (clone GB11, </w:t>
      </w:r>
      <w:proofErr w:type="spellStart"/>
      <w:r w:rsidRPr="003D2F00">
        <w:rPr>
          <w:rFonts w:ascii="Arial" w:hAnsi="Arial" w:cs="Arial"/>
          <w:lang w:val="en-US"/>
        </w:rPr>
        <w:t>ThermoFisher</w:t>
      </w:r>
      <w:proofErr w:type="spellEnd"/>
      <w:r w:rsidRPr="003D2F00">
        <w:rPr>
          <w:rFonts w:ascii="Arial" w:hAnsi="Arial" w:cs="Arial"/>
          <w:lang w:val="en-US"/>
        </w:rPr>
        <w:t xml:space="preserve">), 1:40 in FACS buffer for 30 min at 4 °C in the dark. After washing, cells were analyzed on a </w:t>
      </w:r>
      <w:proofErr w:type="spellStart"/>
      <w:r w:rsidRPr="003D2F00">
        <w:rPr>
          <w:rFonts w:ascii="Arial" w:hAnsi="Arial" w:cs="Arial"/>
          <w:lang w:val="en-US"/>
        </w:rPr>
        <w:t>CytoFlexS</w:t>
      </w:r>
      <w:proofErr w:type="spellEnd"/>
      <w:r w:rsidRPr="003D2F00">
        <w:rPr>
          <w:rFonts w:ascii="Arial" w:hAnsi="Arial" w:cs="Arial"/>
          <w:lang w:val="en-US"/>
        </w:rPr>
        <w:t>.</w:t>
      </w:r>
    </w:p>
    <w:p w14:paraId="3422F371" w14:textId="4284410B" w:rsidR="0059514F" w:rsidRPr="003D2F00" w:rsidRDefault="00140089" w:rsidP="00BD405A">
      <w:pPr>
        <w:pStyle w:val="Heading2"/>
        <w:spacing w:line="480" w:lineRule="auto"/>
        <w:rPr>
          <w:sz w:val="22"/>
          <w:shd w:val="clear" w:color="auto" w:fill="FFFFFF"/>
          <w:lang w:val="en-US"/>
        </w:rPr>
      </w:pPr>
      <w:bookmarkStart w:id="15" w:name="_Toc72323409"/>
      <w:r w:rsidRPr="003D2F00">
        <w:rPr>
          <w:sz w:val="22"/>
          <w:shd w:val="clear" w:color="auto" w:fill="FFFFFF"/>
          <w:lang w:val="en-US"/>
        </w:rPr>
        <w:t>Co-culture with infected HepG2-NTCP cells</w:t>
      </w:r>
      <w:bookmarkEnd w:id="15"/>
      <w:r w:rsidRPr="003D2F00">
        <w:rPr>
          <w:sz w:val="22"/>
          <w:shd w:val="clear" w:color="auto" w:fill="FFFFFF"/>
          <w:lang w:val="en-US"/>
        </w:rPr>
        <w:t xml:space="preserve"> </w:t>
      </w:r>
    </w:p>
    <w:p w14:paraId="420752D5" w14:textId="1477B3A2" w:rsidR="00CD12CB" w:rsidRPr="003D2F00" w:rsidRDefault="00140089" w:rsidP="00BD405A">
      <w:pPr>
        <w:spacing w:line="480" w:lineRule="auto"/>
        <w:jc w:val="both"/>
        <w:rPr>
          <w:rFonts w:ascii="Arial" w:hAnsi="Arial" w:cs="Arial"/>
          <w:b/>
          <w:color w:val="222222"/>
          <w:spacing w:val="3"/>
          <w:shd w:val="clear" w:color="auto" w:fill="FFFFFF"/>
          <w:lang w:val="en-US"/>
        </w:rPr>
      </w:pPr>
      <w:r w:rsidRPr="003D2F00">
        <w:rPr>
          <w:rFonts w:ascii="Arial" w:hAnsi="Arial" w:cs="Arial"/>
          <w:color w:val="222222"/>
          <w:spacing w:val="3"/>
          <w:shd w:val="clear" w:color="auto" w:fill="FFFFFF"/>
          <w:lang w:val="en-US"/>
        </w:rPr>
        <w:t>2x10</w:t>
      </w:r>
      <w:r w:rsidRPr="003D2F00">
        <w:rPr>
          <w:rFonts w:ascii="Arial" w:hAnsi="Arial" w:cs="Arial"/>
          <w:color w:val="222222"/>
          <w:spacing w:val="3"/>
          <w:shd w:val="clear" w:color="auto" w:fill="FFFFFF"/>
          <w:vertAlign w:val="superscript"/>
          <w:lang w:val="en-US"/>
        </w:rPr>
        <w:t>5</w:t>
      </w:r>
      <w:r w:rsidRPr="003D2F00">
        <w:rPr>
          <w:rFonts w:ascii="Arial" w:hAnsi="Arial" w:cs="Arial"/>
          <w:color w:val="222222"/>
          <w:spacing w:val="3"/>
          <w:shd w:val="clear" w:color="auto" w:fill="FFFFFF"/>
          <w:lang w:val="en-US"/>
        </w:rPr>
        <w:t xml:space="preserve"> HepG2-NTCP K7 cells</w:t>
      </w:r>
      <w:r w:rsidR="000B02D2" w:rsidRPr="003D2F00">
        <w:rPr>
          <w:rFonts w:ascii="Arial" w:hAnsi="Arial" w:cs="Arial"/>
          <w:color w:val="222222"/>
          <w:spacing w:val="3"/>
          <w:shd w:val="clear" w:color="auto" w:fill="FFFFFF"/>
          <w:lang w:val="en-US"/>
        </w:rPr>
        <w:fldChar w:fldCharType="begin">
          <w:fldData xml:space="preserve">PEVuZE5vdGU+PENpdGU+PEF1dGhvcj5LbzwvQXV0aG9yPjxZZWFyPjIwMTg8L1llYXI+PFJlY051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==
</w:fldData>
        </w:fldChar>
      </w:r>
      <w:r w:rsidR="000B02D2" w:rsidRPr="003D2F00">
        <w:rPr>
          <w:rFonts w:ascii="Arial" w:hAnsi="Arial" w:cs="Arial"/>
          <w:color w:val="222222"/>
          <w:spacing w:val="3"/>
          <w:shd w:val="clear" w:color="auto" w:fill="FFFFFF"/>
          <w:lang w:val="en-US"/>
        </w:rPr>
        <w:instrText xml:space="preserve"> ADDIN EN.CITE </w:instrText>
      </w:r>
      <w:r w:rsidR="000B02D2" w:rsidRPr="003D2F00">
        <w:rPr>
          <w:rFonts w:ascii="Arial" w:hAnsi="Arial" w:cs="Arial"/>
          <w:color w:val="222222"/>
          <w:spacing w:val="3"/>
          <w:shd w:val="clear" w:color="auto" w:fill="FFFFFF"/>
          <w:lang w:val="en-US"/>
        </w:rPr>
        <w:fldChar w:fldCharType="begin">
          <w:fldData xml:space="preserve">PEVuZE5vdGU+PENpdGU+PEF1dGhvcj5LbzwvQXV0aG9yPjxZZWFyPjIwMTg8L1llYXI+PFJlY051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==
</w:fldData>
        </w:fldChar>
      </w:r>
      <w:r w:rsidR="000B02D2" w:rsidRPr="003D2F00">
        <w:rPr>
          <w:rFonts w:ascii="Arial" w:hAnsi="Arial" w:cs="Arial"/>
          <w:color w:val="222222"/>
          <w:spacing w:val="3"/>
          <w:shd w:val="clear" w:color="auto" w:fill="FFFFFF"/>
          <w:lang w:val="en-US"/>
        </w:rPr>
        <w:instrText xml:space="preserve"> ADDIN EN.CITE.DATA </w:instrText>
      </w:r>
      <w:r w:rsidR="000B02D2" w:rsidRPr="003D2F00">
        <w:rPr>
          <w:rFonts w:ascii="Arial" w:hAnsi="Arial" w:cs="Arial"/>
          <w:color w:val="222222"/>
          <w:spacing w:val="3"/>
          <w:shd w:val="clear" w:color="auto" w:fill="FFFFFF"/>
          <w:lang w:val="en-US"/>
        </w:rPr>
      </w:r>
      <w:r w:rsidR="000B02D2" w:rsidRPr="003D2F00">
        <w:rPr>
          <w:rFonts w:ascii="Arial" w:hAnsi="Arial" w:cs="Arial"/>
          <w:color w:val="222222"/>
          <w:spacing w:val="3"/>
          <w:shd w:val="clear" w:color="auto" w:fill="FFFFFF"/>
          <w:lang w:val="en-US"/>
        </w:rPr>
        <w:fldChar w:fldCharType="end"/>
      </w:r>
      <w:r w:rsidR="000B02D2" w:rsidRPr="003D2F00">
        <w:rPr>
          <w:rFonts w:ascii="Arial" w:hAnsi="Arial" w:cs="Arial"/>
          <w:color w:val="222222"/>
          <w:spacing w:val="3"/>
          <w:shd w:val="clear" w:color="auto" w:fill="FFFFFF"/>
          <w:lang w:val="en-US"/>
        </w:rPr>
      </w:r>
      <w:r w:rsidR="000B02D2" w:rsidRPr="003D2F00">
        <w:rPr>
          <w:rFonts w:ascii="Arial" w:hAnsi="Arial" w:cs="Arial"/>
          <w:color w:val="222222"/>
          <w:spacing w:val="3"/>
          <w:shd w:val="clear" w:color="auto" w:fill="FFFFFF"/>
          <w:lang w:val="en-US"/>
        </w:rPr>
        <w:fldChar w:fldCharType="separate"/>
      </w:r>
      <w:r w:rsidR="000B02D2" w:rsidRPr="003D2F00">
        <w:rPr>
          <w:rFonts w:ascii="Arial" w:hAnsi="Arial" w:cs="Arial"/>
          <w:noProof/>
          <w:color w:val="222222"/>
          <w:spacing w:val="3"/>
          <w:shd w:val="clear" w:color="auto" w:fill="FFFFFF"/>
          <w:vertAlign w:val="superscript"/>
          <w:lang w:val="en-US"/>
        </w:rPr>
        <w:t>7</w:t>
      </w:r>
      <w:r w:rsidR="000B02D2" w:rsidRPr="003D2F00">
        <w:rPr>
          <w:rFonts w:ascii="Arial" w:hAnsi="Arial" w:cs="Arial"/>
          <w:color w:val="222222"/>
          <w:spacing w:val="3"/>
          <w:shd w:val="clear" w:color="auto" w:fill="FFFFFF"/>
          <w:lang w:val="en-US"/>
        </w:rPr>
        <w:fldChar w:fldCharType="end"/>
      </w:r>
      <w:r w:rsidR="00BD405A" w:rsidRPr="003D2F00">
        <w:rPr>
          <w:rFonts w:ascii="Arial" w:hAnsi="Arial" w:cs="Arial"/>
          <w:color w:val="222222"/>
          <w:spacing w:val="3"/>
          <w:shd w:val="clear" w:color="auto" w:fill="FFFFFF"/>
          <w:lang w:val="en-US"/>
        </w:rPr>
        <w:t xml:space="preserve"> </w:t>
      </w:r>
      <w:r w:rsidRPr="003D2F00">
        <w:rPr>
          <w:rFonts w:ascii="Arial" w:hAnsi="Arial" w:cs="Arial"/>
          <w:color w:val="222222"/>
          <w:spacing w:val="3"/>
          <w:shd w:val="clear" w:color="auto" w:fill="FFFFFF"/>
          <w:lang w:val="en-US"/>
        </w:rPr>
        <w:t xml:space="preserve">per well were seeded in 24-well cell culture plates in 500 µl DMEM. When cells had reached a confluency of ~90%, the medium was replaced by </w:t>
      </w:r>
      <w:r w:rsidRPr="003D2F00">
        <w:rPr>
          <w:rFonts w:ascii="Arial" w:hAnsi="Arial" w:cs="Arial"/>
          <w:color w:val="222222"/>
          <w:spacing w:val="3"/>
          <w:shd w:val="clear" w:color="auto" w:fill="FFFFFF"/>
          <w:lang w:val="en-US"/>
        </w:rPr>
        <w:lastRenderedPageBreak/>
        <w:t>differentiation medium containing 2.5% dimethyl sulfoxide (DMSO) (Sigma-Aldrich). After differentiation for two days, cells were infected</w:t>
      </w:r>
      <w:r w:rsidRPr="003D2F00">
        <w:rPr>
          <w:rFonts w:ascii="Arial" w:hAnsi="Arial" w:cs="Arial"/>
          <w:lang w:val="en-US"/>
        </w:rPr>
        <w:t xml:space="preserve"> by addition of HBV medium supplied with </w:t>
      </w:r>
      <w:r w:rsidRPr="003D2F00">
        <w:rPr>
          <w:rFonts w:ascii="Arial" w:hAnsi="Arial" w:cs="Arial"/>
          <w:spacing w:val="3"/>
          <w:shd w:val="clear" w:color="auto" w:fill="FFFFFF"/>
          <w:lang w:val="en-US"/>
        </w:rPr>
        <w:t>2.5% DMSO</w:t>
      </w:r>
      <w:r w:rsidRPr="003D2F00">
        <w:rPr>
          <w:rFonts w:ascii="Arial" w:hAnsi="Arial" w:cs="Arial"/>
          <w:lang w:val="en-US"/>
        </w:rPr>
        <w:t xml:space="preserve"> and 4% polyethylene glycol at indicated MOI for 24 hours. Fresh differentiation medium was added and cells were cultured for 8 days. Medium was exchanged again 2 days prior to the start of the co-culture. 10 days after infection, cell culture medium was collected and 5x10</w:t>
      </w:r>
      <w:r w:rsidRPr="003D2F00">
        <w:rPr>
          <w:rFonts w:ascii="Arial" w:hAnsi="Arial" w:cs="Arial"/>
          <w:vertAlign w:val="superscript"/>
          <w:lang w:val="en-US"/>
        </w:rPr>
        <w:t xml:space="preserve">5 </w:t>
      </w:r>
      <w:r w:rsidRPr="003D2F00">
        <w:rPr>
          <w:rFonts w:ascii="Arial" w:hAnsi="Arial" w:cs="Arial"/>
          <w:lang w:val="en-US"/>
        </w:rPr>
        <w:t>freshly isolated PBMC were added in 250 µl RPMI</w:t>
      </w:r>
      <w:r w:rsidRPr="003D2F00">
        <w:rPr>
          <w:rFonts w:ascii="Arial" w:hAnsi="Arial" w:cs="Arial"/>
          <w:color w:val="222222"/>
          <w:spacing w:val="3"/>
          <w:shd w:val="clear" w:color="auto" w:fill="FFFFFF"/>
          <w:lang w:val="en-US"/>
        </w:rPr>
        <w:t>1640</w:t>
      </w:r>
      <w:r w:rsidRPr="003D2F00">
        <w:rPr>
          <w:rFonts w:ascii="Arial" w:hAnsi="Arial" w:cs="Arial"/>
          <w:lang w:val="en-US"/>
        </w:rPr>
        <w:t xml:space="preserve"> mixed with 250 µl DMEM containing bsAbs. To prevent de-differentiation of HepG2-NTCP cells, the co-culture was supplied with 1% DMSO. Fresh medium containing bsAbs was supplied every two days for a total duration of 10 days, and supernatants were stored at -20 °C for parallel analysis at the end of the experiment. At the end of the experiment, a cell titer blue assay (Promega) was performed and cellular DNA was extracted employing a </w:t>
      </w:r>
      <w:proofErr w:type="spellStart"/>
      <w:r w:rsidRPr="003D2F00">
        <w:rPr>
          <w:rFonts w:ascii="Arial" w:hAnsi="Arial" w:cs="Arial"/>
          <w:lang w:val="en-US"/>
        </w:rPr>
        <w:t>NucleoSpin</w:t>
      </w:r>
      <w:proofErr w:type="spellEnd"/>
      <w:r w:rsidRPr="003D2F00">
        <w:rPr>
          <w:rFonts w:ascii="Arial" w:hAnsi="Arial" w:cs="Arial"/>
          <w:lang w:val="en-US"/>
        </w:rPr>
        <w:t>® tissue kit (</w:t>
      </w:r>
      <w:proofErr w:type="spellStart"/>
      <w:r w:rsidRPr="003D2F00">
        <w:rPr>
          <w:rFonts w:ascii="Arial" w:hAnsi="Arial" w:cs="Arial"/>
          <w:lang w:val="en-US"/>
        </w:rPr>
        <w:t>Macherey</w:t>
      </w:r>
      <w:proofErr w:type="spellEnd"/>
      <w:r w:rsidRPr="003D2F00">
        <w:rPr>
          <w:rFonts w:ascii="Arial" w:hAnsi="Arial" w:cs="Arial"/>
          <w:lang w:val="en-US"/>
        </w:rPr>
        <w:t xml:space="preserve">-Nagel, </w:t>
      </w:r>
      <w:proofErr w:type="spellStart"/>
      <w:r w:rsidRPr="003D2F00">
        <w:rPr>
          <w:rFonts w:ascii="Arial" w:hAnsi="Arial" w:cs="Arial"/>
          <w:lang w:val="en-US"/>
        </w:rPr>
        <w:t>Düren</w:t>
      </w:r>
      <w:proofErr w:type="spellEnd"/>
      <w:r w:rsidRPr="003D2F00">
        <w:rPr>
          <w:rFonts w:ascii="Arial" w:hAnsi="Arial" w:cs="Arial"/>
          <w:lang w:val="en-US"/>
        </w:rPr>
        <w:t>, Germany), both according to the manufacturer’s protocol. For viability measurements using the xCELLigence device, 1.2x10</w:t>
      </w:r>
      <w:r w:rsidRPr="003D2F00">
        <w:rPr>
          <w:rFonts w:ascii="Arial" w:hAnsi="Arial" w:cs="Arial"/>
          <w:vertAlign w:val="superscript"/>
          <w:lang w:val="en-US"/>
        </w:rPr>
        <w:t xml:space="preserve">6 </w:t>
      </w:r>
      <w:r w:rsidRPr="003D2F00">
        <w:rPr>
          <w:rFonts w:ascii="Arial" w:hAnsi="Arial" w:cs="Arial"/>
          <w:lang w:val="en-US"/>
        </w:rPr>
        <w:t>cells per well were seeded in a 6-well cell culture plate, followed by HBV-infection as described above. 7 days post infection, cells were trypsinized and 4x10</w:t>
      </w:r>
      <w:r w:rsidRPr="003D2F00">
        <w:rPr>
          <w:rFonts w:ascii="Arial" w:hAnsi="Arial" w:cs="Arial"/>
          <w:vertAlign w:val="superscript"/>
          <w:lang w:val="en-US"/>
        </w:rPr>
        <w:t xml:space="preserve">5 </w:t>
      </w:r>
      <w:r w:rsidRPr="003D2F00">
        <w:rPr>
          <w:rFonts w:ascii="Arial" w:hAnsi="Arial" w:cs="Arial"/>
          <w:lang w:val="en-US"/>
        </w:rPr>
        <w:t xml:space="preserve">cells per well were transferred to a </w:t>
      </w:r>
      <w:r w:rsidRPr="003D2F00">
        <w:rPr>
          <w:rFonts w:ascii="Arial" w:hAnsi="Arial" w:cs="Arial"/>
          <w:color w:val="222222"/>
          <w:spacing w:val="3"/>
          <w:shd w:val="clear" w:color="auto" w:fill="FFFFFF"/>
          <w:lang w:val="en-US"/>
        </w:rPr>
        <w:t xml:space="preserve">96-well E-plate. On the following day, a co-culture with PBMC was performed as described above in the presence of 1% DMSO. </w:t>
      </w:r>
    </w:p>
    <w:p w14:paraId="694C3DB9" w14:textId="66C022E8" w:rsidR="0059514F" w:rsidRPr="003D2F00" w:rsidRDefault="00140089" w:rsidP="00BD405A">
      <w:pPr>
        <w:pStyle w:val="Heading2"/>
        <w:spacing w:line="480" w:lineRule="auto"/>
        <w:rPr>
          <w:color w:val="000000"/>
          <w:sz w:val="22"/>
          <w:lang w:val="en-US"/>
        </w:rPr>
      </w:pPr>
      <w:bookmarkStart w:id="16" w:name="_Toc72323410"/>
      <w:r w:rsidRPr="003D2F00">
        <w:rPr>
          <w:sz w:val="22"/>
          <w:lang w:val="en-US"/>
        </w:rPr>
        <w:t>Transwell assay</w:t>
      </w:r>
      <w:bookmarkEnd w:id="16"/>
    </w:p>
    <w:p w14:paraId="2E0196F0" w14:textId="78692648" w:rsidR="00CD12CB" w:rsidRPr="003D2F00" w:rsidRDefault="00140089" w:rsidP="00BD405A">
      <w:pPr>
        <w:spacing w:line="480" w:lineRule="auto"/>
        <w:jc w:val="both"/>
        <w:rPr>
          <w:rFonts w:ascii="Arial" w:hAnsi="Arial" w:cs="Arial"/>
          <w:b/>
          <w:color w:val="000000"/>
          <w:lang w:val="en-US"/>
        </w:rPr>
      </w:pPr>
      <w:r w:rsidRPr="003D2F00">
        <w:rPr>
          <w:rFonts w:ascii="Arial" w:hAnsi="Arial" w:cs="Arial"/>
          <w:color w:val="000000" w:themeColor="text1"/>
          <w:lang w:val="en-US"/>
        </w:rPr>
        <w:t>To analyze the cytokine-mediated antiviral effect of pro-inflammatory cytokines (e.g. IFNγ and TNFα) that are released upon T</w:t>
      </w:r>
      <w:r w:rsidRPr="003D2F00">
        <w:rPr>
          <w:rFonts w:ascii="Arial" w:hAnsi="Arial" w:cs="Arial"/>
          <w:lang w:val="en-US"/>
        </w:rPr>
        <w:t>-</w:t>
      </w:r>
      <w:r w:rsidRPr="003D2F00">
        <w:rPr>
          <w:rFonts w:ascii="Arial" w:hAnsi="Arial" w:cs="Arial"/>
          <w:color w:val="000000" w:themeColor="text1"/>
          <w:lang w:val="en-US"/>
        </w:rPr>
        <w:t>cell activation, a transwell system was established employing Corning transwell polyester membrane cell culture inserts (Corning,</w:t>
      </w:r>
      <w:r w:rsidRPr="003D2F00">
        <w:rPr>
          <w:rFonts w:ascii="Arial" w:hAnsi="Arial" w:cs="Arial"/>
          <w:lang w:val="en-US"/>
        </w:rPr>
        <w:t xml:space="preserve"> New York, USA) with 0.4</w:t>
      </w:r>
      <w:r w:rsidR="00FD7334" w:rsidRPr="003D2F00">
        <w:rPr>
          <w:rFonts w:ascii="Arial" w:hAnsi="Arial" w:cs="Arial"/>
          <w:lang w:val="en-US"/>
        </w:rPr>
        <w:t> </w:t>
      </w:r>
      <w:r w:rsidRPr="003D2F00">
        <w:rPr>
          <w:rFonts w:ascii="Arial" w:hAnsi="Arial" w:cs="Arial"/>
          <w:lang w:val="en-US"/>
        </w:rPr>
        <w:t xml:space="preserve">µm pore size (Sigma). Huh7 or Huh7S </w:t>
      </w:r>
      <w:r w:rsidRPr="003D2F00">
        <w:rPr>
          <w:rFonts w:ascii="Arial" w:hAnsi="Arial" w:cs="Arial"/>
          <w:lang w:val="en-US" w:eastAsia="zh-CN"/>
        </w:rPr>
        <w:t xml:space="preserve">cells </w:t>
      </w:r>
      <w:r w:rsidRPr="003D2F00">
        <w:rPr>
          <w:rFonts w:ascii="Arial" w:hAnsi="Arial" w:cs="Arial"/>
          <w:lang w:val="en-US"/>
        </w:rPr>
        <w:t>(1.6x10</w:t>
      </w:r>
      <w:r w:rsidRPr="003D2F00">
        <w:rPr>
          <w:rFonts w:ascii="Arial" w:hAnsi="Arial" w:cs="Arial"/>
          <w:vertAlign w:val="superscript"/>
          <w:lang w:val="en-US"/>
        </w:rPr>
        <w:t>5</w:t>
      </w:r>
      <w:r w:rsidRPr="003D2F00">
        <w:rPr>
          <w:rFonts w:ascii="Arial" w:hAnsi="Arial" w:cs="Arial"/>
          <w:lang w:val="en-US"/>
        </w:rPr>
        <w:t>/well) were seeded in the inlet and cultured overnight to reach a confluency of ~90%. After discarding the old medium, cells were co-cultured with PBMC (5x10</w:t>
      </w:r>
      <w:r w:rsidRPr="003D2F00">
        <w:rPr>
          <w:rFonts w:ascii="Arial" w:hAnsi="Arial" w:cs="Arial"/>
          <w:vertAlign w:val="superscript"/>
          <w:lang w:val="en-US"/>
        </w:rPr>
        <w:t>5</w:t>
      </w:r>
      <w:r w:rsidRPr="003D2F00">
        <w:rPr>
          <w:rFonts w:ascii="Arial" w:hAnsi="Arial" w:cs="Arial"/>
          <w:lang w:val="en-US"/>
        </w:rPr>
        <w:t xml:space="preserve">/well) in the presence or absence of BiMAb (3 nM of BiMAbαCD3 and BiMAbαCD28 combination) </w:t>
      </w:r>
      <w:r w:rsidRPr="003D2F00">
        <w:rPr>
          <w:rFonts w:ascii="Arial" w:eastAsia="Arial" w:hAnsi="Arial" w:cs="Arial"/>
          <w:color w:val="000000"/>
          <w:lang w:val="en-US"/>
        </w:rPr>
        <w:t>or FabMAb (3 nM of FabMAb</w:t>
      </w:r>
      <w:r w:rsidRPr="003D2F00">
        <w:rPr>
          <w:rFonts w:ascii="Arial" w:eastAsia="Arial" w:hAnsi="Arial" w:cs="Arial"/>
          <w:color w:val="000000"/>
        </w:rPr>
        <w:t>α</w:t>
      </w:r>
      <w:r w:rsidRPr="003D2F00">
        <w:rPr>
          <w:rFonts w:ascii="Arial" w:eastAsia="Arial" w:hAnsi="Arial" w:cs="Arial"/>
          <w:color w:val="000000"/>
          <w:lang w:val="en-US"/>
        </w:rPr>
        <w:t>CD3 and FabMAb</w:t>
      </w:r>
      <w:r w:rsidRPr="003D2F00">
        <w:rPr>
          <w:rFonts w:ascii="Arial" w:eastAsia="Arial" w:hAnsi="Arial" w:cs="Arial"/>
          <w:color w:val="000000"/>
        </w:rPr>
        <w:t>α</w:t>
      </w:r>
      <w:r w:rsidRPr="003D2F00">
        <w:rPr>
          <w:rFonts w:ascii="Arial" w:eastAsia="Arial" w:hAnsi="Arial" w:cs="Arial"/>
          <w:color w:val="000000"/>
          <w:lang w:val="en-US"/>
        </w:rPr>
        <w:t>CD28 combination) </w:t>
      </w:r>
      <w:r w:rsidRPr="003D2F00">
        <w:rPr>
          <w:rFonts w:ascii="Arial" w:hAnsi="Arial" w:cs="Arial"/>
          <w:lang w:val="en-US"/>
        </w:rPr>
        <w:t xml:space="preserve">for 24 hours. Subsequently, the inlets were transferred to 12-well cell cultures, in which HBV-infected, differentiated HepaRG cells (MOI 100) </w:t>
      </w:r>
      <w:r w:rsidRPr="003D2F00">
        <w:rPr>
          <w:rFonts w:ascii="Arial" w:hAnsi="Arial" w:cs="Arial"/>
          <w:lang w:val="en-US" w:eastAsia="zh-CN"/>
        </w:rPr>
        <w:t xml:space="preserve">were cultivated as described </w:t>
      </w:r>
      <w:r w:rsidRPr="003D2F00">
        <w:rPr>
          <w:rFonts w:ascii="Arial" w:hAnsi="Arial" w:cs="Arial"/>
          <w:lang w:val="en-US" w:eastAsia="zh-CN"/>
        </w:rPr>
        <w:lastRenderedPageBreak/>
        <w:t>before</w:t>
      </w:r>
      <w:r w:rsidR="000B02D2" w:rsidRPr="003D2F00">
        <w:rPr>
          <w:rFonts w:ascii="Arial" w:hAnsi="Arial" w:cs="Arial"/>
          <w:lang w:val="en-US" w:eastAsia="zh-CN"/>
        </w:rPr>
        <w:fldChar w:fldCharType="begin">
          <w:fldData xml:space="preserve">PEVuZE5vdGU+PENpdGU+PEF1dGhvcj5YaWE8L0F1dGhvcj48WWVhcj4yMDE3PC9ZZWFyPjxSZWNO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</w:fldData>
        </w:fldChar>
      </w:r>
      <w:r w:rsidR="000B02D2" w:rsidRPr="003D2F00">
        <w:rPr>
          <w:rFonts w:ascii="Arial" w:hAnsi="Arial" w:cs="Arial"/>
          <w:lang w:val="en-US" w:eastAsia="zh-CN"/>
        </w:rPr>
        <w:instrText xml:space="preserve"> ADDIN EN.CITE </w:instrText>
      </w:r>
      <w:r w:rsidR="000B02D2" w:rsidRPr="003D2F00">
        <w:rPr>
          <w:rFonts w:ascii="Arial" w:hAnsi="Arial" w:cs="Arial"/>
          <w:lang w:val="en-US" w:eastAsia="zh-CN"/>
        </w:rPr>
        <w:fldChar w:fldCharType="begin">
          <w:fldData xml:space="preserve">PEVuZE5vdGU+PENpdGU+PEF1dGhvcj5YaWE8L0F1dGhvcj48WWVhcj4yMDE3PC9ZZWFyPjxSZWNO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</w:fldData>
        </w:fldChar>
      </w:r>
      <w:r w:rsidR="000B02D2" w:rsidRPr="003D2F00">
        <w:rPr>
          <w:rFonts w:ascii="Arial" w:hAnsi="Arial" w:cs="Arial"/>
          <w:lang w:val="en-US" w:eastAsia="zh-CN"/>
        </w:rPr>
        <w:instrText xml:space="preserve"> ADDIN EN.CITE.DATA </w:instrText>
      </w:r>
      <w:r w:rsidR="000B02D2" w:rsidRPr="003D2F00">
        <w:rPr>
          <w:rFonts w:ascii="Arial" w:hAnsi="Arial" w:cs="Arial"/>
          <w:lang w:val="en-US" w:eastAsia="zh-CN"/>
        </w:rPr>
      </w:r>
      <w:r w:rsidR="000B02D2" w:rsidRPr="003D2F00">
        <w:rPr>
          <w:rFonts w:ascii="Arial" w:hAnsi="Arial" w:cs="Arial"/>
          <w:lang w:val="en-US" w:eastAsia="zh-CN"/>
        </w:rPr>
        <w:fldChar w:fldCharType="end"/>
      </w:r>
      <w:r w:rsidR="000B02D2" w:rsidRPr="003D2F00">
        <w:rPr>
          <w:rFonts w:ascii="Arial" w:hAnsi="Arial" w:cs="Arial"/>
          <w:lang w:val="en-US" w:eastAsia="zh-CN"/>
        </w:rPr>
      </w:r>
      <w:r w:rsidR="000B02D2" w:rsidRPr="003D2F00">
        <w:rPr>
          <w:rFonts w:ascii="Arial" w:hAnsi="Arial" w:cs="Arial"/>
          <w:lang w:val="en-US" w:eastAsia="zh-CN"/>
        </w:rPr>
        <w:fldChar w:fldCharType="separate"/>
      </w:r>
      <w:r w:rsidR="000B02D2" w:rsidRPr="003D2F00">
        <w:rPr>
          <w:rFonts w:ascii="Arial" w:hAnsi="Arial" w:cs="Arial"/>
          <w:noProof/>
          <w:vertAlign w:val="superscript"/>
          <w:lang w:val="en-US" w:eastAsia="zh-CN"/>
        </w:rPr>
        <w:t>8, 9</w:t>
      </w:r>
      <w:r w:rsidR="000B02D2" w:rsidRPr="003D2F00">
        <w:rPr>
          <w:rFonts w:ascii="Arial" w:hAnsi="Arial" w:cs="Arial"/>
          <w:lang w:val="en-US" w:eastAsia="zh-CN"/>
        </w:rPr>
        <w:fldChar w:fldCharType="end"/>
      </w:r>
      <w:r w:rsidRPr="003D2F00">
        <w:rPr>
          <w:rFonts w:ascii="Arial" w:hAnsi="Arial" w:cs="Arial"/>
          <w:lang w:val="en-US"/>
        </w:rPr>
        <w:t xml:space="preserve">. After 1 week of co-culture, </w:t>
      </w:r>
      <w:r w:rsidRPr="003D2F00">
        <w:rPr>
          <w:rFonts w:ascii="Arial" w:hAnsi="Arial" w:cs="Arial"/>
          <w:lang w:val="en-US" w:eastAsia="zh-CN"/>
        </w:rPr>
        <w:t xml:space="preserve">pro-inflammatory cytokines and viral parameters in the supernatant, as well as intracellular HBV </w:t>
      </w:r>
      <w:r w:rsidRPr="003D2F00">
        <w:rPr>
          <w:rFonts w:ascii="Arial" w:hAnsi="Arial" w:cs="Arial"/>
          <w:lang w:val="en-US"/>
        </w:rPr>
        <w:t>cccDNA</w:t>
      </w:r>
      <w:r w:rsidRPr="003D2F00">
        <w:rPr>
          <w:rFonts w:ascii="Arial" w:hAnsi="Arial" w:cs="Arial"/>
          <w:lang w:val="en-US" w:eastAsia="zh-CN"/>
        </w:rPr>
        <w:t xml:space="preserve"> and</w:t>
      </w:r>
      <w:r w:rsidRPr="003D2F00">
        <w:rPr>
          <w:rFonts w:ascii="Arial" w:hAnsi="Arial" w:cs="Arial"/>
          <w:lang w:val="en-US"/>
        </w:rPr>
        <w:t xml:space="preserve"> total HBV-DNA</w:t>
      </w:r>
      <w:r w:rsidRPr="003D2F00">
        <w:rPr>
          <w:rFonts w:ascii="Arial" w:hAnsi="Arial" w:cs="Arial"/>
          <w:lang w:val="en-US" w:eastAsia="zh-CN"/>
        </w:rPr>
        <w:t xml:space="preserve"> were quantified</w:t>
      </w:r>
      <w:r w:rsidRPr="003D2F00">
        <w:rPr>
          <w:rFonts w:ascii="Arial" w:hAnsi="Arial" w:cs="Arial"/>
          <w:lang w:val="en-US"/>
        </w:rPr>
        <w:t>.</w:t>
      </w:r>
    </w:p>
    <w:p w14:paraId="7C2334BF" w14:textId="04F77C08" w:rsidR="0059514F" w:rsidRPr="003D2F00" w:rsidRDefault="00140089" w:rsidP="00BD405A">
      <w:pPr>
        <w:pStyle w:val="Heading2"/>
        <w:spacing w:line="480" w:lineRule="auto"/>
        <w:rPr>
          <w:sz w:val="22"/>
          <w:shd w:val="clear" w:color="auto" w:fill="FFFFFF"/>
          <w:lang w:val="en-US"/>
        </w:rPr>
      </w:pPr>
      <w:bookmarkStart w:id="17" w:name="_Toc72323411"/>
      <w:r w:rsidRPr="003D2F00">
        <w:rPr>
          <w:sz w:val="22"/>
          <w:shd w:val="clear" w:color="auto" w:fill="FFFFFF"/>
          <w:lang w:val="en-US"/>
        </w:rPr>
        <w:t xml:space="preserve">Intracellular </w:t>
      </w:r>
      <w:proofErr w:type="spellStart"/>
      <w:r w:rsidRPr="003D2F00">
        <w:rPr>
          <w:sz w:val="22"/>
          <w:shd w:val="clear" w:color="auto" w:fill="FFFFFF"/>
          <w:lang w:val="en-US"/>
        </w:rPr>
        <w:t>HBVcore</w:t>
      </w:r>
      <w:proofErr w:type="spellEnd"/>
      <w:r w:rsidRPr="003D2F00">
        <w:rPr>
          <w:sz w:val="22"/>
          <w:shd w:val="clear" w:color="auto" w:fill="FFFFFF"/>
          <w:lang w:val="en-US"/>
        </w:rPr>
        <w:t>-staining for flow cytometry</w:t>
      </w:r>
      <w:bookmarkEnd w:id="17"/>
      <w:r w:rsidRPr="003D2F00">
        <w:rPr>
          <w:sz w:val="22"/>
          <w:shd w:val="clear" w:color="auto" w:fill="FFFFFF"/>
          <w:lang w:val="en-US"/>
        </w:rPr>
        <w:t xml:space="preserve"> </w:t>
      </w:r>
    </w:p>
    <w:p w14:paraId="0E083BB3" w14:textId="3476FADE" w:rsidR="00CD12CB" w:rsidRPr="003D2F00" w:rsidRDefault="00140089" w:rsidP="00BD405A">
      <w:pPr>
        <w:spacing w:line="480" w:lineRule="auto"/>
        <w:jc w:val="both"/>
        <w:rPr>
          <w:rFonts w:ascii="Arial" w:hAnsi="Arial" w:cs="Arial"/>
          <w:b/>
          <w:color w:val="222222"/>
          <w:spacing w:val="3"/>
          <w:shd w:val="clear" w:color="auto" w:fill="FFFFFF"/>
          <w:lang w:val="en-US"/>
        </w:rPr>
      </w:pPr>
      <w:r w:rsidRPr="003D2F00">
        <w:rPr>
          <w:rFonts w:ascii="Arial" w:hAnsi="Arial" w:cs="Arial"/>
          <w:color w:val="222222"/>
          <w:spacing w:val="3"/>
          <w:shd w:val="clear" w:color="auto" w:fill="FFFFFF"/>
          <w:lang w:val="en-US"/>
        </w:rPr>
        <w:t xml:space="preserve">Infected HepG2-NTCP were washed once with PBS and incubated with a 1:1 mixture of trypsin and </w:t>
      </w:r>
      <w:proofErr w:type="spellStart"/>
      <w:r w:rsidRPr="003D2F00">
        <w:rPr>
          <w:rFonts w:ascii="Arial" w:hAnsi="Arial" w:cs="Arial"/>
          <w:color w:val="222222"/>
          <w:spacing w:val="3"/>
          <w:shd w:val="clear" w:color="auto" w:fill="FFFFFF"/>
          <w:lang w:val="en-US"/>
        </w:rPr>
        <w:t>Versene</w:t>
      </w:r>
      <w:proofErr w:type="spellEnd"/>
      <w:r w:rsidRPr="003D2F00">
        <w:rPr>
          <w:rFonts w:ascii="Arial" w:hAnsi="Arial" w:cs="Arial"/>
          <w:color w:val="222222"/>
          <w:spacing w:val="3"/>
          <w:shd w:val="clear" w:color="auto" w:fill="FFFFFF"/>
          <w:lang w:val="en-US"/>
        </w:rPr>
        <w:t xml:space="preserve"> solution (0.02%, both </w:t>
      </w:r>
      <w:proofErr w:type="spellStart"/>
      <w:r w:rsidRPr="003D2F00">
        <w:rPr>
          <w:rFonts w:ascii="Arial" w:hAnsi="Arial" w:cs="Arial"/>
          <w:lang w:val="en-US"/>
        </w:rPr>
        <w:t>Ther</w:t>
      </w:r>
      <w:r w:rsidR="000B02D2" w:rsidRPr="003D2F00">
        <w:rPr>
          <w:rFonts w:ascii="Arial" w:hAnsi="Arial" w:cs="Arial"/>
          <w:lang w:val="en-US"/>
        </w:rPr>
        <w:t>moFisher</w:t>
      </w:r>
      <w:proofErr w:type="spellEnd"/>
      <w:r w:rsidR="000B02D2" w:rsidRPr="003D2F00">
        <w:rPr>
          <w:rFonts w:ascii="Arial" w:hAnsi="Arial" w:cs="Arial"/>
          <w:lang w:val="en-US"/>
        </w:rPr>
        <w:t xml:space="preserve">) for 30 minutes at 37 </w:t>
      </w:r>
      <w:r w:rsidR="00BD405A" w:rsidRPr="003D2F00">
        <w:rPr>
          <w:rFonts w:ascii="Arial" w:hAnsi="Arial" w:cs="Arial"/>
          <w:lang w:val="en-US"/>
        </w:rPr>
        <w:t>°</w:t>
      </w:r>
      <w:r w:rsidRPr="003D2F00">
        <w:rPr>
          <w:rFonts w:ascii="Arial" w:hAnsi="Arial" w:cs="Arial"/>
          <w:lang w:val="en-US"/>
        </w:rPr>
        <w:t xml:space="preserve">C. Trypsin was inactivated by addition of DMEM containing 10% FCS and cells were passed through a 100 µM cell strainer (Corning) and transferred to a 96-well V-bottom plate. All following incubation steps were performed at 4 °C in the dark. Cells were washed once with FACS buffer and stained with fixable viability dye </w:t>
      </w:r>
      <w:proofErr w:type="spellStart"/>
      <w:r w:rsidRPr="003D2F00">
        <w:rPr>
          <w:rFonts w:ascii="Arial" w:hAnsi="Arial" w:cs="Arial"/>
          <w:lang w:val="en-US"/>
        </w:rPr>
        <w:t>eFlour</w:t>
      </w:r>
      <w:proofErr w:type="spellEnd"/>
      <w:r w:rsidRPr="003D2F00">
        <w:rPr>
          <w:rFonts w:ascii="Arial" w:hAnsi="Arial" w:cs="Arial"/>
          <w:lang w:val="en-US"/>
        </w:rPr>
        <w:t xml:space="preserve"> 780 (</w:t>
      </w:r>
      <w:proofErr w:type="spellStart"/>
      <w:r w:rsidRPr="003D2F00">
        <w:rPr>
          <w:rFonts w:ascii="Arial" w:hAnsi="Arial" w:cs="Arial"/>
          <w:lang w:val="en-US"/>
        </w:rPr>
        <w:t>ebioscience</w:t>
      </w:r>
      <w:proofErr w:type="spellEnd"/>
      <w:r w:rsidRPr="003D2F00">
        <w:rPr>
          <w:rFonts w:ascii="Arial" w:hAnsi="Arial" w:cs="Arial"/>
          <w:lang w:val="en-US"/>
        </w:rPr>
        <w:t xml:space="preserve">) diluted 1:5000 in 50 µl FACS buffer for 30 minutes. After washing with FACS buffer, cells were permeabilized with 100 µl permeabilization solution (FoxP3 Staining kit, </w:t>
      </w:r>
      <w:proofErr w:type="spellStart"/>
      <w:r w:rsidRPr="003D2F00">
        <w:rPr>
          <w:rFonts w:ascii="Arial" w:hAnsi="Arial" w:cs="Arial"/>
          <w:lang w:val="en-US"/>
        </w:rPr>
        <w:t>eBioscience</w:t>
      </w:r>
      <w:proofErr w:type="spellEnd"/>
      <w:r w:rsidRPr="003D2F00">
        <w:rPr>
          <w:rFonts w:ascii="Arial" w:hAnsi="Arial" w:cs="Arial"/>
          <w:lang w:val="en-US"/>
        </w:rPr>
        <w:t xml:space="preserve">) for 1 hour. Cells were washed twice with permeabilization buffer (FoxP3 Staining kit, </w:t>
      </w:r>
      <w:proofErr w:type="spellStart"/>
      <w:r w:rsidRPr="003D2F00">
        <w:rPr>
          <w:rFonts w:ascii="Arial" w:hAnsi="Arial" w:cs="Arial"/>
          <w:lang w:val="en-US"/>
        </w:rPr>
        <w:t>eBioscience</w:t>
      </w:r>
      <w:proofErr w:type="spellEnd"/>
      <w:r w:rsidRPr="003D2F00">
        <w:rPr>
          <w:rFonts w:ascii="Arial" w:hAnsi="Arial" w:cs="Arial"/>
          <w:lang w:val="en-US"/>
        </w:rPr>
        <w:t xml:space="preserve">) and stained with rabbit anti-HBc antiserum Ad48 diluted 1:2000 in 50 µl permeabilization buffer for 30 minutes. After washing with permeabilization buffer, cells were stained with a </w:t>
      </w:r>
      <w:r w:rsidRPr="003D2F00">
        <w:rPr>
          <w:rFonts w:ascii="Arial" w:hAnsi="Arial" w:cs="Arial"/>
          <w:color w:val="222222"/>
          <w:spacing w:val="3"/>
          <w:shd w:val="clear" w:color="auto" w:fill="FFFFFF"/>
          <w:lang w:val="en-US"/>
        </w:rPr>
        <w:t>F(ab’)</w:t>
      </w:r>
      <w:r w:rsidRPr="003D2F00">
        <w:rPr>
          <w:rFonts w:ascii="Arial" w:hAnsi="Arial" w:cs="Arial"/>
          <w:color w:val="222222"/>
          <w:spacing w:val="3"/>
          <w:shd w:val="clear" w:color="auto" w:fill="FFFFFF"/>
          <w:vertAlign w:val="subscript"/>
          <w:lang w:val="en-US"/>
        </w:rPr>
        <w:t>2</w:t>
      </w:r>
      <w:r w:rsidRPr="003D2F00">
        <w:rPr>
          <w:rFonts w:ascii="Arial" w:hAnsi="Arial" w:cs="Arial"/>
          <w:color w:val="222222"/>
          <w:spacing w:val="3"/>
          <w:shd w:val="clear" w:color="auto" w:fill="FFFFFF"/>
          <w:lang w:val="en-US"/>
        </w:rPr>
        <w:t xml:space="preserve"> </w:t>
      </w:r>
      <w:r w:rsidRPr="003D2F00">
        <w:rPr>
          <w:rFonts w:ascii="Arial" w:hAnsi="Arial" w:cs="Arial"/>
          <w:lang w:val="en-US"/>
        </w:rPr>
        <w:t xml:space="preserve">donkey anti-rabbit IgG PE (555416, BD) diluted 1:10 in 50 µl permeabilization buffer for 30 min. After washing with permeabilization buffer, cells were resuspended in 200 µl FACS buffer and analyzed on a </w:t>
      </w:r>
      <w:proofErr w:type="spellStart"/>
      <w:r w:rsidRPr="003D2F00">
        <w:rPr>
          <w:rFonts w:ascii="Arial" w:hAnsi="Arial" w:cs="Arial"/>
          <w:lang w:val="en-US"/>
        </w:rPr>
        <w:t>CytoFlexS</w:t>
      </w:r>
      <w:proofErr w:type="spellEnd"/>
      <w:r w:rsidRPr="003D2F00">
        <w:rPr>
          <w:rFonts w:ascii="Arial" w:hAnsi="Arial" w:cs="Arial"/>
          <w:lang w:val="en-US"/>
        </w:rPr>
        <w:t>.</w:t>
      </w:r>
    </w:p>
    <w:p w14:paraId="66575B72" w14:textId="255DE2B9" w:rsidR="0059514F" w:rsidRPr="003D2F00" w:rsidRDefault="00140089" w:rsidP="00BD405A">
      <w:pPr>
        <w:pStyle w:val="Heading2"/>
        <w:spacing w:line="480" w:lineRule="auto"/>
        <w:rPr>
          <w:sz w:val="22"/>
          <w:lang w:val="en-US"/>
        </w:rPr>
      </w:pPr>
      <w:bookmarkStart w:id="18" w:name="_Toc72323412"/>
      <w:r w:rsidRPr="003D2F00">
        <w:rPr>
          <w:sz w:val="22"/>
          <w:lang w:val="en-US"/>
        </w:rPr>
        <w:t>Quantification of viral replication</w:t>
      </w:r>
      <w:bookmarkEnd w:id="18"/>
      <w:r w:rsidRPr="003D2F00">
        <w:rPr>
          <w:sz w:val="22"/>
          <w:lang w:val="en-US"/>
        </w:rPr>
        <w:t xml:space="preserve"> </w:t>
      </w:r>
    </w:p>
    <w:p w14:paraId="6CE6F294" w14:textId="2308FAEE" w:rsidR="00CD12CB" w:rsidRPr="003D2F00" w:rsidRDefault="00140089" w:rsidP="00BD405A">
      <w:pPr>
        <w:spacing w:line="480" w:lineRule="auto"/>
        <w:jc w:val="both"/>
        <w:rPr>
          <w:rFonts w:ascii="Arial" w:hAnsi="Arial" w:cs="Arial"/>
          <w:lang w:val="en-US"/>
        </w:rPr>
      </w:pPr>
      <w:r w:rsidRPr="003D2F00">
        <w:rPr>
          <w:rFonts w:ascii="Arial" w:hAnsi="Arial" w:cs="Arial"/>
          <w:lang w:val="en-US"/>
        </w:rPr>
        <w:t xml:space="preserve">To define the antiviral effect of redirected T cells on HBV-infected hepatocytes, the viral parameters HBsAg, HBeAg, total HBV-DNA and HBV cccDNA were quantified. </w:t>
      </w:r>
      <w:r w:rsidRPr="003D2F00">
        <w:rPr>
          <w:rFonts w:ascii="Arial" w:hAnsi="Arial" w:cs="Arial"/>
          <w:color w:val="000000" w:themeColor="text1"/>
          <w:lang w:val="en-US"/>
        </w:rPr>
        <w:t xml:space="preserve">HBsAg and HBeAg levels were quantified on an </w:t>
      </w:r>
      <w:proofErr w:type="spellStart"/>
      <w:r w:rsidRPr="003D2F00">
        <w:rPr>
          <w:rFonts w:ascii="Arial" w:hAnsi="Arial" w:cs="Arial"/>
          <w:color w:val="000000" w:themeColor="text1"/>
          <w:lang w:val="en-US"/>
        </w:rPr>
        <w:t>Architect</w:t>
      </w:r>
      <w:r w:rsidRPr="003D2F00">
        <w:rPr>
          <w:rFonts w:ascii="Arial" w:hAnsi="Arial" w:cs="Arial"/>
          <w:color w:val="000000" w:themeColor="text1"/>
          <w:vertAlign w:val="superscript"/>
          <w:lang w:val="en-US"/>
        </w:rPr>
        <w:t>TM</w:t>
      </w:r>
      <w:proofErr w:type="spellEnd"/>
      <w:r w:rsidRPr="003D2F00">
        <w:rPr>
          <w:rFonts w:ascii="Arial" w:hAnsi="Arial" w:cs="Arial"/>
          <w:color w:val="000000" w:themeColor="text1"/>
          <w:lang w:val="en-US"/>
        </w:rPr>
        <w:t xml:space="preserve"> platform after 1:5 dilution of samples with the Architect HBsAg Manual Diluent using the quantitative HBsAg test (</w:t>
      </w:r>
      <w:r w:rsidRPr="003D2F00">
        <w:rPr>
          <w:rFonts w:ascii="Arial" w:hAnsi="Arial" w:cs="Arial"/>
          <w:lang w:val="en-US"/>
        </w:rPr>
        <w:t>Abbott Laboratories, Wiesbaden, Germany</w:t>
      </w:r>
      <w:r w:rsidRPr="003D2F00">
        <w:rPr>
          <w:rFonts w:ascii="Arial" w:hAnsi="Arial" w:cs="Arial"/>
          <w:color w:val="000000" w:themeColor="text1"/>
          <w:lang w:val="en-US"/>
        </w:rPr>
        <w:t>) or the HBeAg BEP III test (</w:t>
      </w:r>
      <w:proofErr w:type="spellStart"/>
      <w:r w:rsidRPr="003D2F00">
        <w:rPr>
          <w:rFonts w:ascii="Arial" w:hAnsi="Arial" w:cs="Arial"/>
          <w:color w:val="000000" w:themeColor="text1"/>
          <w:lang w:val="en-US"/>
        </w:rPr>
        <w:t>Diasorin</w:t>
      </w:r>
      <w:proofErr w:type="spellEnd"/>
      <w:r w:rsidRPr="003D2F00">
        <w:rPr>
          <w:rFonts w:ascii="Arial" w:hAnsi="Arial" w:cs="Arial"/>
          <w:color w:val="000000" w:themeColor="text1"/>
          <w:lang w:val="en-US"/>
        </w:rPr>
        <w:t xml:space="preserve">, </w:t>
      </w:r>
      <w:proofErr w:type="spellStart"/>
      <w:r w:rsidRPr="003D2F00">
        <w:rPr>
          <w:rFonts w:ascii="Arial" w:hAnsi="Arial" w:cs="Arial"/>
          <w:color w:val="000000" w:themeColor="text1"/>
          <w:lang w:val="en-US"/>
        </w:rPr>
        <w:t>Saluggia</w:t>
      </w:r>
      <w:proofErr w:type="spellEnd"/>
      <w:r w:rsidRPr="003D2F00">
        <w:rPr>
          <w:rFonts w:ascii="Arial" w:hAnsi="Arial" w:cs="Arial"/>
          <w:color w:val="000000" w:themeColor="text1"/>
          <w:lang w:val="en-US"/>
        </w:rPr>
        <w:t xml:space="preserve">, Italy). </w:t>
      </w:r>
      <w:r w:rsidRPr="003D2F00">
        <w:rPr>
          <w:rFonts w:ascii="Arial" w:hAnsi="Arial" w:cs="Arial"/>
          <w:lang w:val="en-US"/>
        </w:rPr>
        <w:t xml:space="preserve">DNA was extracted employing a </w:t>
      </w:r>
      <w:proofErr w:type="spellStart"/>
      <w:r w:rsidRPr="003D2F00">
        <w:rPr>
          <w:rFonts w:ascii="Arial" w:hAnsi="Arial" w:cs="Arial"/>
          <w:lang w:val="en-US"/>
        </w:rPr>
        <w:t>NucleoSpin</w:t>
      </w:r>
      <w:proofErr w:type="spellEnd"/>
      <w:r w:rsidRPr="003D2F00">
        <w:rPr>
          <w:rFonts w:ascii="Arial" w:hAnsi="Arial" w:cs="Arial"/>
          <w:lang w:val="en-US"/>
        </w:rPr>
        <w:t>® tissue kit (</w:t>
      </w:r>
      <w:proofErr w:type="spellStart"/>
      <w:r w:rsidRPr="003D2F00">
        <w:rPr>
          <w:rFonts w:ascii="Arial" w:hAnsi="Arial" w:cs="Arial"/>
          <w:lang w:val="en-US"/>
        </w:rPr>
        <w:t>Macherey</w:t>
      </w:r>
      <w:proofErr w:type="spellEnd"/>
      <w:r w:rsidRPr="003D2F00">
        <w:rPr>
          <w:rFonts w:ascii="Arial" w:hAnsi="Arial" w:cs="Arial"/>
          <w:lang w:val="en-US"/>
        </w:rPr>
        <w:t xml:space="preserve">-Nagel) according to manufacturer´s instruction and total HBV- and cccDNA levels were analyzed by quantitative real time PCR (qPCR) performed on a </w:t>
      </w:r>
      <w:proofErr w:type="spellStart"/>
      <w:r w:rsidRPr="003D2F00">
        <w:rPr>
          <w:rFonts w:ascii="Arial" w:hAnsi="Arial" w:cs="Arial"/>
          <w:lang w:val="en-US"/>
        </w:rPr>
        <w:t>LightCycler</w:t>
      </w:r>
      <w:proofErr w:type="spellEnd"/>
      <w:r w:rsidRPr="003D2F00">
        <w:rPr>
          <w:rFonts w:ascii="Arial" w:hAnsi="Arial" w:cs="Arial"/>
          <w:lang w:val="en-US"/>
        </w:rPr>
        <w:t xml:space="preserve">® 480 instrument (Roche Diagnostics, Mannheim, Germany). To </w:t>
      </w:r>
      <w:r w:rsidRPr="003D2F00">
        <w:rPr>
          <w:rFonts w:ascii="Arial" w:hAnsi="Arial" w:cs="Arial"/>
          <w:lang w:val="en-US"/>
        </w:rPr>
        <w:lastRenderedPageBreak/>
        <w:t xml:space="preserve">ensure specific detection of cccDNA, </w:t>
      </w:r>
      <w:r w:rsidRPr="003D2F00">
        <w:rPr>
          <w:rFonts w:ascii="Arial" w:eastAsia="Malgun Gothic" w:hAnsi="Arial" w:cs="Arial"/>
          <w:color w:val="000000" w:themeColor="text1"/>
          <w:lang w:val="en-US" w:eastAsia="ko-KR"/>
        </w:rPr>
        <w:t xml:space="preserve">isolated intracellular DNA </w:t>
      </w:r>
      <w:r w:rsidRPr="003D2F00">
        <w:rPr>
          <w:rFonts w:ascii="Arial" w:hAnsi="Arial" w:cs="Arial"/>
          <w:color w:val="000000" w:themeColor="text1"/>
          <w:lang w:val="en-US" w:eastAsia="zh-CN"/>
        </w:rPr>
        <w:t>was</w:t>
      </w:r>
      <w:r w:rsidRPr="003D2F00">
        <w:rPr>
          <w:rFonts w:ascii="Arial" w:eastAsia="Malgun Gothic" w:hAnsi="Arial" w:cs="Arial"/>
          <w:color w:val="000000" w:themeColor="text1"/>
          <w:lang w:val="en-US" w:eastAsia="ko-KR"/>
        </w:rPr>
        <w:t xml:space="preserve"> subjected to T5 exonuclease digestion (New England Biolabs, Ipswich, USA) prior to PCR as described</w:t>
      </w:r>
      <w:r w:rsidR="003728DF" w:rsidRPr="003D2F00">
        <w:rPr>
          <w:rFonts w:ascii="Arial" w:eastAsia="Malgun Gothic" w:hAnsi="Arial" w:cs="Arial"/>
          <w:color w:val="000000" w:themeColor="text1"/>
          <w:vertAlign w:val="superscript"/>
          <w:lang w:val="en-US" w:eastAsia="ko-KR"/>
        </w:rPr>
        <w:t>7-9</w:t>
      </w:r>
      <w:r w:rsidRPr="003D2F00">
        <w:rPr>
          <w:rFonts w:ascii="Arial" w:hAnsi="Arial" w:cs="Arial"/>
          <w:lang w:val="en-US"/>
        </w:rPr>
        <w:t xml:space="preserve">. In brief, DNA was eluted in 100 µl buffer. The rcDNA was </w:t>
      </w:r>
      <w:r w:rsidRPr="003D2F00">
        <w:rPr>
          <w:rFonts w:ascii="Arial" w:hAnsi="Arial" w:cs="Arial"/>
          <w:lang w:val="en-GB"/>
        </w:rPr>
        <w:t>quantified</w:t>
      </w:r>
      <w:r w:rsidRPr="003D2F00">
        <w:rPr>
          <w:rFonts w:ascii="Arial" w:hAnsi="Arial" w:cs="Arial"/>
          <w:lang w:val="en-US"/>
        </w:rPr>
        <w:t xml:space="preserve"> by RT-PCR on a </w:t>
      </w:r>
      <w:proofErr w:type="spellStart"/>
      <w:r w:rsidRPr="003D2F00">
        <w:rPr>
          <w:rFonts w:ascii="Arial" w:hAnsi="Arial" w:cs="Arial"/>
          <w:color w:val="000000" w:themeColor="text1"/>
          <w:lang w:val="en-US"/>
        </w:rPr>
        <w:t>LightCycler</w:t>
      </w:r>
      <w:proofErr w:type="spellEnd"/>
      <w:r w:rsidRPr="003D2F00">
        <w:rPr>
          <w:rFonts w:ascii="Arial" w:hAnsi="Arial" w:cs="Arial"/>
          <w:color w:val="000000" w:themeColor="text1"/>
          <w:vertAlign w:val="superscript"/>
          <w:lang w:val="en-US"/>
        </w:rPr>
        <w:t>®</w:t>
      </w:r>
      <w:r w:rsidRPr="003D2F00">
        <w:rPr>
          <w:rFonts w:ascii="Arial" w:hAnsi="Arial" w:cs="Arial"/>
          <w:color w:val="000000" w:themeColor="text1"/>
          <w:lang w:val="en-US"/>
        </w:rPr>
        <w:t xml:space="preserve"> 480 Instrument II</w:t>
      </w:r>
      <w:r w:rsidRPr="003D2F00">
        <w:rPr>
          <w:rFonts w:ascii="Arial" w:hAnsi="Arial" w:cs="Arial"/>
          <w:b/>
          <w:color w:val="000000" w:themeColor="text1"/>
          <w:lang w:val="en-US"/>
        </w:rPr>
        <w:t xml:space="preserve"> </w:t>
      </w:r>
      <w:r w:rsidRPr="003D2F00">
        <w:rPr>
          <w:rFonts w:ascii="Arial" w:hAnsi="Arial" w:cs="Arial"/>
          <w:color w:val="000000" w:themeColor="text1"/>
          <w:lang w:val="en-US"/>
        </w:rPr>
        <w:t xml:space="preserve">(Roche Diagnostics) using the Light Cycler 480 SYBR Green I Master Mix (Roche Diagnostics) with 4 µl genomic DNA, 0.5 µl of each primer (20 nM) in total reaction volume of 10 µl. </w:t>
      </w:r>
      <w:r w:rsidRPr="003D2F00">
        <w:rPr>
          <w:rFonts w:ascii="Arial" w:hAnsi="Arial" w:cs="Arial"/>
          <w:lang w:val="en-US"/>
        </w:rPr>
        <w:t xml:space="preserve">In case of cccDNA, 4 µl of T5 digested DNA was employed. Specificity was tested by melting curve analysis. Samples from the transwell experiment were calculated via relative quantification using the cellular prion protein (PRP) gene and then normalized to the HBV only group. Samples from HepG2 NTCP cultures were calculated via absolute quantification using plasmid standards containing the HBV sequence and then normalized to controls without Ab. For detailed information about primer sequences see CTAT table. </w:t>
      </w:r>
    </w:p>
    <w:p w14:paraId="29EFD355" w14:textId="422BC2AC" w:rsidR="0059514F" w:rsidRPr="003D2F00" w:rsidRDefault="00140089" w:rsidP="00BD405A">
      <w:pPr>
        <w:pStyle w:val="Heading2"/>
        <w:spacing w:line="480" w:lineRule="auto"/>
        <w:rPr>
          <w:sz w:val="22"/>
          <w:lang w:val="en-GB"/>
        </w:rPr>
      </w:pPr>
      <w:bookmarkStart w:id="19" w:name="_Toc72323413"/>
      <w:r w:rsidRPr="003D2F00">
        <w:rPr>
          <w:sz w:val="22"/>
          <w:lang w:val="en-GB"/>
        </w:rPr>
        <w:t>Animal experiments</w:t>
      </w:r>
      <w:bookmarkEnd w:id="19"/>
      <w:r w:rsidRPr="003D2F00">
        <w:rPr>
          <w:sz w:val="22"/>
          <w:lang w:val="en-GB"/>
        </w:rPr>
        <w:t xml:space="preserve"> </w:t>
      </w:r>
    </w:p>
    <w:p w14:paraId="72F50C93" w14:textId="708B1F25" w:rsidR="00CD12CB" w:rsidRPr="003D2F00" w:rsidRDefault="00140089" w:rsidP="00BD405A">
      <w:pPr>
        <w:spacing w:line="480" w:lineRule="auto"/>
        <w:jc w:val="both"/>
        <w:rPr>
          <w:rFonts w:ascii="Arial" w:hAnsi="Arial" w:cs="Arial"/>
          <w:b/>
          <w:lang w:val="en-GB"/>
        </w:rPr>
      </w:pPr>
      <w:r w:rsidRPr="003D2F00">
        <w:rPr>
          <w:rFonts w:ascii="Arial" w:hAnsi="Arial" w:cs="Arial"/>
          <w:lang w:val="en-GB"/>
        </w:rPr>
        <w:t>Rag2/IL2R</w:t>
      </w:r>
      <w:r w:rsidRPr="003D2F00">
        <w:rPr>
          <w:rFonts w:ascii="Arial" w:hAnsi="Arial" w:cs="Arial"/>
        </w:rPr>
        <w:t>γ</w:t>
      </w:r>
      <w:r w:rsidRPr="003D2F00">
        <w:rPr>
          <w:rFonts w:ascii="Arial" w:hAnsi="Arial" w:cs="Arial"/>
          <w:lang w:val="en-GB"/>
        </w:rPr>
        <w:t>c</w:t>
      </w:r>
      <w:r w:rsidRPr="003D2F00">
        <w:rPr>
          <w:rFonts w:ascii="Arial" w:hAnsi="Arial" w:cs="Arial"/>
          <w:vertAlign w:val="superscript"/>
          <w:lang w:val="en-GB"/>
        </w:rPr>
        <w:t>-/-</w:t>
      </w:r>
      <w:r w:rsidRPr="003D2F00">
        <w:rPr>
          <w:rFonts w:ascii="Arial" w:hAnsi="Arial" w:cs="Arial"/>
          <w:lang w:val="en-GB"/>
        </w:rPr>
        <w:t xml:space="preserve"> mice (</w:t>
      </w:r>
      <w:proofErr w:type="spellStart"/>
      <w:r w:rsidRPr="003D2F00">
        <w:rPr>
          <w:rFonts w:ascii="Arial" w:hAnsi="Arial" w:cs="Arial"/>
          <w:lang w:val="en-GB"/>
        </w:rPr>
        <w:t>Balb</w:t>
      </w:r>
      <w:proofErr w:type="spellEnd"/>
      <w:r w:rsidRPr="003D2F00">
        <w:rPr>
          <w:rFonts w:ascii="Arial" w:hAnsi="Arial" w:cs="Arial"/>
          <w:lang w:val="en-GB"/>
        </w:rPr>
        <w:t xml:space="preserve">/c background), </w:t>
      </w:r>
      <w:r w:rsidRPr="003D2F00">
        <w:rPr>
          <w:rFonts w:ascii="Arial" w:hAnsi="Arial" w:cs="Arial"/>
          <w:color w:val="000000"/>
          <w:lang w:val="en-US"/>
        </w:rPr>
        <w:t>HBVtg HBV1.3xfs mice (HBVQ9 genotype D, serotype ayw</w:t>
      </w:r>
      <w:r w:rsidRPr="003D2F00">
        <w:rPr>
          <w:rFonts w:ascii="Arial" w:hAnsi="Arial" w:cs="Arial"/>
          <w:lang w:val="en-US"/>
        </w:rPr>
        <w:t xml:space="preserve">13, </w:t>
      </w:r>
      <w:r w:rsidRPr="003D2F00">
        <w:rPr>
          <w:rFonts w:ascii="Arial" w:hAnsi="Arial" w:cs="Arial"/>
          <w:color w:val="000000"/>
          <w:lang w:val="en-US"/>
        </w:rPr>
        <w:t xml:space="preserve">C57BL/6 background) and C57BL/6 mice were used. </w:t>
      </w:r>
      <w:r w:rsidRPr="003D2F00">
        <w:rPr>
          <w:rFonts w:ascii="Arial" w:hAnsi="Arial" w:cs="Arial"/>
          <w:color w:val="000000" w:themeColor="text1"/>
          <w:lang w:val="en-US"/>
        </w:rPr>
        <w:t xml:space="preserve">Animal experiments were conducted in strict accordance to the German regulations of the Society for Laboratory Animal Science (GV-SOLAS) and the European Health Law of the Federation of Laboratory Animal Science Associations (FELASA). Experiments were approved by the local Animal Care and Use Committee of Upper Bavaria (permission number: </w:t>
      </w:r>
      <w:r w:rsidRPr="003D2F00">
        <w:rPr>
          <w:rFonts w:ascii="Arial" w:hAnsi="Arial" w:cs="Arial"/>
          <w:color w:val="000000" w:themeColor="text1"/>
          <w:spacing w:val="-4"/>
          <w:lang w:val="en-US"/>
        </w:rPr>
        <w:t>55.2-1-54-2532-57-14</w:t>
      </w:r>
      <w:r w:rsidRPr="003D2F00">
        <w:rPr>
          <w:rFonts w:ascii="Arial" w:hAnsi="Arial" w:cs="Arial"/>
          <w:color w:val="000000" w:themeColor="text1"/>
          <w:lang w:val="en-US"/>
        </w:rPr>
        <w:t>) and followed the 3R rules. Mice were kept in a specific-pathogen-free (SPF) facility under appropriate biosafety level following institutional guidelines and received humane care.</w:t>
      </w:r>
    </w:p>
    <w:p w14:paraId="2436C248" w14:textId="23D80D23" w:rsidR="0059514F" w:rsidRPr="003D2F00" w:rsidRDefault="00140089" w:rsidP="00BD405A">
      <w:pPr>
        <w:pStyle w:val="Heading2"/>
        <w:spacing w:line="480" w:lineRule="auto"/>
        <w:rPr>
          <w:color w:val="000000" w:themeColor="text1"/>
          <w:sz w:val="22"/>
          <w:lang w:val="en-US"/>
        </w:rPr>
      </w:pPr>
      <w:bookmarkStart w:id="20" w:name="_Toc72323414"/>
      <w:r w:rsidRPr="003D2F00">
        <w:rPr>
          <w:sz w:val="22"/>
          <w:lang w:val="en-US"/>
        </w:rPr>
        <w:t>Immunohistochemistry of murine liver</w:t>
      </w:r>
      <w:bookmarkEnd w:id="20"/>
    </w:p>
    <w:p w14:paraId="3DF06A80" w14:textId="63C8171A" w:rsidR="00CD12CB" w:rsidRPr="003D2F00" w:rsidRDefault="00140089" w:rsidP="00BD405A">
      <w:pPr>
        <w:spacing w:line="480" w:lineRule="auto"/>
        <w:jc w:val="both"/>
        <w:rPr>
          <w:rFonts w:ascii="Arial" w:hAnsi="Arial" w:cs="Arial"/>
          <w:color w:val="000000"/>
          <w:lang w:val="en-US"/>
        </w:rPr>
      </w:pPr>
      <w:r w:rsidRPr="003D2F00">
        <w:rPr>
          <w:rFonts w:ascii="Arial" w:hAnsi="Arial" w:cs="Arial"/>
          <w:lang w:val="en-GB"/>
        </w:rPr>
        <w:t xml:space="preserve">To evaluate whether BiMAb specifically target </w:t>
      </w:r>
      <w:r w:rsidRPr="003D2F00">
        <w:rPr>
          <w:rFonts w:ascii="Arial" w:hAnsi="Arial" w:cs="Arial"/>
          <w:lang w:val="en-GB" w:eastAsia="zh-CN"/>
        </w:rPr>
        <w:t>HBs on the cell surface of</w:t>
      </w:r>
      <w:r w:rsidRPr="003D2F00">
        <w:rPr>
          <w:rFonts w:ascii="Arial" w:hAnsi="Arial" w:cs="Arial"/>
          <w:lang w:val="en-GB"/>
        </w:rPr>
        <w:t xml:space="preserve"> hepatocytes </w:t>
      </w:r>
      <w:r w:rsidRPr="003D2F00">
        <w:rPr>
          <w:rFonts w:ascii="Arial" w:hAnsi="Arial" w:cs="Arial"/>
          <w:i/>
          <w:lang w:val="en-GB"/>
        </w:rPr>
        <w:t>in vivo</w:t>
      </w:r>
      <w:r w:rsidRPr="003D2F00">
        <w:rPr>
          <w:rFonts w:ascii="Arial" w:hAnsi="Arial" w:cs="Arial"/>
          <w:lang w:val="en-GB"/>
        </w:rPr>
        <w:t xml:space="preserve">, two different doses of BiMAbαCD3 </w:t>
      </w:r>
      <w:r w:rsidRPr="003D2F00">
        <w:rPr>
          <w:rFonts w:ascii="Arial" w:hAnsi="Arial" w:cs="Arial"/>
          <w:lang w:val="en-GB" w:eastAsia="zh-CN"/>
        </w:rPr>
        <w:t>or</w:t>
      </w:r>
      <w:r w:rsidRPr="003D2F00">
        <w:rPr>
          <w:rFonts w:ascii="Arial" w:hAnsi="Arial" w:cs="Arial"/>
          <w:lang w:val="en-GB"/>
        </w:rPr>
        <w:t xml:space="preserve"> BiMAbαCD28 (50 µg and 100 µg/mouse in 200 µl PBS) were intravenously injected into </w:t>
      </w:r>
      <w:r w:rsidRPr="003D2F00">
        <w:rPr>
          <w:rFonts w:ascii="Arial" w:hAnsi="Arial" w:cs="Arial"/>
          <w:color w:val="000000"/>
          <w:lang w:val="en-US"/>
        </w:rPr>
        <w:t>HBV1.3xfs</w:t>
      </w:r>
      <w:r w:rsidRPr="003D2F00">
        <w:rPr>
          <w:rFonts w:ascii="Arial" w:hAnsi="Arial" w:cs="Arial"/>
          <w:lang w:val="en-GB"/>
        </w:rPr>
        <w:t xml:space="preserve"> </w:t>
      </w:r>
      <w:r w:rsidRPr="003D2F00">
        <w:rPr>
          <w:rFonts w:ascii="Arial" w:hAnsi="Arial" w:cs="Arial"/>
          <w:color w:val="000000"/>
          <w:lang w:val="en-US"/>
        </w:rPr>
        <w:t xml:space="preserve">or C57BL/6 control mice. </w:t>
      </w:r>
      <w:r w:rsidRPr="003D2F00">
        <w:rPr>
          <w:rFonts w:ascii="Arial" w:hAnsi="Arial" w:cs="Arial"/>
          <w:lang w:val="en-GB"/>
        </w:rPr>
        <w:t xml:space="preserve">2 hours after injection, mice were sacrificed, followed by collection of the liver. Specific binding of BiMAb to hepatocytes was examined by immunohistochemistry. </w:t>
      </w:r>
      <w:r w:rsidRPr="003D2F00">
        <w:rPr>
          <w:rFonts w:ascii="Arial" w:hAnsi="Arial" w:cs="Arial"/>
          <w:color w:val="000000" w:themeColor="text1"/>
          <w:lang w:val="en-US"/>
        </w:rPr>
        <w:t xml:space="preserve">Livers were fixed in 4% buffered </w:t>
      </w:r>
      <w:r w:rsidRPr="003D2F00">
        <w:rPr>
          <w:rFonts w:ascii="Arial" w:hAnsi="Arial" w:cs="Arial"/>
          <w:color w:val="000000" w:themeColor="text1"/>
          <w:lang w:val="en-US"/>
        </w:rPr>
        <w:lastRenderedPageBreak/>
        <w:t xml:space="preserve">formalin for 48 hours, dehydrated and embedded in paraffin before serial 2 µm-thin sections were prepared. Hematoxylin-Eosin (HE) staining was performed on deparaffinized sections with Eosin and Mayer´s </w:t>
      </w:r>
      <w:proofErr w:type="spellStart"/>
      <w:r w:rsidRPr="003D2F00">
        <w:rPr>
          <w:rFonts w:ascii="Arial" w:hAnsi="Arial" w:cs="Arial"/>
          <w:color w:val="000000" w:themeColor="text1"/>
          <w:lang w:val="en-US"/>
        </w:rPr>
        <w:t>Haemalaun</w:t>
      </w:r>
      <w:proofErr w:type="spellEnd"/>
      <w:r w:rsidRPr="003D2F00">
        <w:rPr>
          <w:rFonts w:ascii="Arial" w:hAnsi="Arial" w:cs="Arial"/>
          <w:color w:val="000000" w:themeColor="text1"/>
          <w:lang w:val="en-US"/>
        </w:rPr>
        <w:t xml:space="preserve"> according to standard protocols. For detection of bsAbs, liver sections were stained using HRP-coupled goat-anti-human antiserum on a Leica Bond MAX system (Leica Biosystems, </w:t>
      </w:r>
      <w:proofErr w:type="spellStart"/>
      <w:r w:rsidRPr="003D2F00">
        <w:rPr>
          <w:rFonts w:ascii="Arial" w:hAnsi="Arial" w:cs="Arial"/>
          <w:color w:val="000000" w:themeColor="text1"/>
          <w:lang w:val="en-US"/>
        </w:rPr>
        <w:t>Nussloch</w:t>
      </w:r>
      <w:proofErr w:type="spellEnd"/>
      <w:r w:rsidRPr="003D2F00">
        <w:rPr>
          <w:rFonts w:ascii="Arial" w:hAnsi="Arial" w:cs="Arial"/>
          <w:color w:val="000000" w:themeColor="text1"/>
          <w:lang w:val="en-US"/>
        </w:rPr>
        <w:t>, Germany). For analysis, tissue slides were scanned using a SCN 400 slide scanner (Leica Biosystems). Positive cells were quantified from at least three tissue areas adding up to ≥10 mm</w:t>
      </w:r>
      <w:r w:rsidRPr="003D2F00">
        <w:rPr>
          <w:rFonts w:ascii="Arial" w:hAnsi="Arial" w:cs="Arial"/>
          <w:color w:val="000000" w:themeColor="text1"/>
          <w:vertAlign w:val="superscript"/>
          <w:lang w:val="en-US"/>
        </w:rPr>
        <w:t>2</w:t>
      </w:r>
      <w:r w:rsidRPr="003D2F00">
        <w:rPr>
          <w:rFonts w:ascii="Arial" w:hAnsi="Arial" w:cs="Arial"/>
          <w:color w:val="000000" w:themeColor="text1"/>
          <w:lang w:val="en-US"/>
        </w:rPr>
        <w:t xml:space="preserve"> using the integrated Tissue AI software (Leica Biosystems).</w:t>
      </w:r>
    </w:p>
    <w:p w14:paraId="0E2B1D36" w14:textId="327CCA96" w:rsidR="0059514F" w:rsidRPr="003D2F00" w:rsidRDefault="00140089" w:rsidP="00BD405A">
      <w:pPr>
        <w:pStyle w:val="Heading2"/>
        <w:spacing w:line="480" w:lineRule="auto"/>
        <w:rPr>
          <w:sz w:val="22"/>
          <w:lang w:val="en-GB"/>
        </w:rPr>
      </w:pPr>
      <w:bookmarkStart w:id="21" w:name="_Toc72323415"/>
      <w:r w:rsidRPr="003D2F00">
        <w:rPr>
          <w:sz w:val="22"/>
          <w:lang w:val="en-GB"/>
        </w:rPr>
        <w:t>Pharmacokinetics of bsAbs in vivo</w:t>
      </w:r>
      <w:bookmarkEnd w:id="21"/>
      <w:r w:rsidRPr="003D2F00">
        <w:rPr>
          <w:sz w:val="22"/>
          <w:lang w:val="en-GB"/>
        </w:rPr>
        <w:t xml:space="preserve"> </w:t>
      </w:r>
    </w:p>
    <w:p w14:paraId="4B327728" w14:textId="7874B248" w:rsidR="00CD12CB" w:rsidRPr="003D2F00" w:rsidRDefault="00140089" w:rsidP="00BD405A">
      <w:pPr>
        <w:spacing w:line="480" w:lineRule="auto"/>
        <w:jc w:val="both"/>
        <w:rPr>
          <w:rFonts w:ascii="Arial" w:hAnsi="Arial" w:cs="Arial"/>
          <w:lang w:val="en-US"/>
        </w:rPr>
      </w:pPr>
      <w:r w:rsidRPr="003D2F00">
        <w:rPr>
          <w:rFonts w:ascii="Arial" w:hAnsi="Arial" w:cs="Arial"/>
          <w:color w:val="000000"/>
          <w:lang w:val="en-US"/>
        </w:rPr>
        <w:t>C57BL/6 mice got injected with 200 µl PBS containing 50 µg of BiMAbαCD3 or FabMAbαCD28. 3 mice each were injected intravenously (i.v.), intraperitoneally (i.p.), or subcutaneously (s.c</w:t>
      </w:r>
      <w:r w:rsidR="0059514F" w:rsidRPr="003D2F00">
        <w:rPr>
          <w:rFonts w:ascii="Arial" w:hAnsi="Arial" w:cs="Arial"/>
          <w:color w:val="000000"/>
          <w:lang w:val="en-US"/>
        </w:rPr>
        <w:t>.</w:t>
      </w:r>
      <w:r w:rsidRPr="003D2F00">
        <w:rPr>
          <w:rFonts w:ascii="Arial" w:hAnsi="Arial" w:cs="Arial"/>
          <w:color w:val="000000"/>
          <w:lang w:val="en-US"/>
        </w:rPr>
        <w:t>). 3 mice injected with PBS served as negative control. Serum was collected after 1, 6, 12, 24, 48 and 72 hours.</w:t>
      </w:r>
      <w:r w:rsidRPr="003D2F00">
        <w:rPr>
          <w:rFonts w:ascii="Arial" w:hAnsi="Arial" w:cs="Arial"/>
          <w:lang w:val="en-US" w:eastAsia="zh-CN"/>
        </w:rPr>
        <w:t xml:space="preserve"> To determine</w:t>
      </w:r>
      <w:r w:rsidRPr="003D2F00">
        <w:rPr>
          <w:rFonts w:ascii="Arial" w:hAnsi="Arial" w:cs="Arial"/>
          <w:color w:val="212121"/>
          <w:lang w:val="en"/>
        </w:rPr>
        <w:t xml:space="preserve"> </w:t>
      </w:r>
      <w:r w:rsidRPr="003D2F00">
        <w:rPr>
          <w:rFonts w:ascii="Arial" w:hAnsi="Arial" w:cs="Arial"/>
          <w:lang w:val="en-GB"/>
        </w:rPr>
        <w:t>FabMAb concentrations in mouse sera</w:t>
      </w:r>
      <w:r w:rsidRPr="003D2F00">
        <w:rPr>
          <w:rFonts w:ascii="Arial" w:hAnsi="Arial" w:cs="Arial"/>
          <w:lang w:val="en-GB" w:eastAsia="zh-CN"/>
        </w:rPr>
        <w:t xml:space="preserve">, </w:t>
      </w:r>
      <w:proofErr w:type="spellStart"/>
      <w:r w:rsidRPr="003D2F00">
        <w:rPr>
          <w:rFonts w:ascii="Arial" w:hAnsi="Arial" w:cs="Arial"/>
          <w:lang w:val="en-GB" w:eastAsia="zh-CN"/>
        </w:rPr>
        <w:t>MaxiSorp</w:t>
      </w:r>
      <w:proofErr w:type="spellEnd"/>
      <w:r w:rsidRPr="003D2F00">
        <w:rPr>
          <w:rFonts w:ascii="Arial" w:hAnsi="Arial" w:cs="Arial"/>
          <w:lang w:val="en-GB" w:eastAsia="zh-CN"/>
        </w:rPr>
        <w:t xml:space="preserve"> plates were coated with HBsAg and blocked </w:t>
      </w:r>
      <w:r w:rsidRPr="003D2F00">
        <w:rPr>
          <w:rFonts w:ascii="Arial" w:hAnsi="Arial" w:cs="Arial"/>
          <w:lang w:val="en-US"/>
        </w:rPr>
        <w:t>as described</w:t>
      </w:r>
      <w:r w:rsidRPr="003D2F00">
        <w:rPr>
          <w:rFonts w:ascii="Arial" w:hAnsi="Arial" w:cs="Arial"/>
          <w:lang w:val="en-US" w:eastAsia="zh-CN"/>
        </w:rPr>
        <w:t xml:space="preserve">. A dilution series of sera (1:20-1:160) was added and incubated for 1.5 hours at RT. As standard, a dilution series of FabMAb was employed. Bound FabMAb that had been contained in mouse sera were detected by goat anti-human Fab HRP (Sigma-Aldrich/Merck). </w:t>
      </w:r>
      <w:r w:rsidRPr="003D2F00">
        <w:rPr>
          <w:rFonts w:ascii="Arial" w:hAnsi="Arial" w:cs="Arial"/>
          <w:color w:val="000000" w:themeColor="text1"/>
          <w:lang w:val="en-US" w:eastAsia="zh-CN"/>
        </w:rPr>
        <w:t xml:space="preserve">BiMAb concentrations in sera were quantified using </w:t>
      </w:r>
      <w:r w:rsidRPr="003D2F00">
        <w:rPr>
          <w:rFonts w:ascii="Arial" w:hAnsi="Arial" w:cs="Arial"/>
          <w:color w:val="000000" w:themeColor="text1"/>
          <w:lang w:val="en-US"/>
        </w:rPr>
        <w:t xml:space="preserve">the </w:t>
      </w:r>
      <w:proofErr w:type="spellStart"/>
      <w:r w:rsidRPr="003D2F00">
        <w:rPr>
          <w:rFonts w:ascii="Arial" w:hAnsi="Arial" w:cs="Arial"/>
          <w:color w:val="000000" w:themeColor="text1"/>
          <w:lang w:val="en-US"/>
        </w:rPr>
        <w:t>Architect</w:t>
      </w:r>
      <w:r w:rsidRPr="003D2F00">
        <w:rPr>
          <w:rFonts w:ascii="Arial" w:hAnsi="Arial" w:cs="Arial"/>
          <w:color w:val="000000" w:themeColor="text1"/>
          <w:vertAlign w:val="superscript"/>
          <w:lang w:val="en-US"/>
        </w:rPr>
        <w:t>TM</w:t>
      </w:r>
      <w:proofErr w:type="spellEnd"/>
      <w:r w:rsidRPr="003D2F00">
        <w:rPr>
          <w:rFonts w:ascii="Arial" w:hAnsi="Arial" w:cs="Arial"/>
          <w:color w:val="000000" w:themeColor="text1"/>
          <w:lang w:val="en-US"/>
        </w:rPr>
        <w:t xml:space="preserve"> anti-HBs assay (</w:t>
      </w:r>
      <w:proofErr w:type="spellStart"/>
      <w:r w:rsidRPr="003D2F00">
        <w:rPr>
          <w:rFonts w:ascii="Arial" w:hAnsi="Arial" w:cs="Arial"/>
          <w:lang w:val="en-US"/>
        </w:rPr>
        <w:t>Abott</w:t>
      </w:r>
      <w:proofErr w:type="spellEnd"/>
      <w:r w:rsidRPr="003D2F00">
        <w:rPr>
          <w:rFonts w:ascii="Arial" w:hAnsi="Arial" w:cs="Arial"/>
          <w:lang w:val="en-US"/>
        </w:rPr>
        <w:t xml:space="preserve"> Laboratories)</w:t>
      </w:r>
      <w:r w:rsidRPr="003D2F00">
        <w:rPr>
          <w:rFonts w:ascii="Arial" w:hAnsi="Arial" w:cs="Arial"/>
          <w:color w:val="000000" w:themeColor="text1"/>
          <w:lang w:val="en-US" w:eastAsia="zh-CN"/>
        </w:rPr>
        <w:t xml:space="preserve">. </w:t>
      </w:r>
    </w:p>
    <w:p w14:paraId="1E4536EE" w14:textId="77777777" w:rsidR="0059514F" w:rsidRPr="003D2F00" w:rsidRDefault="00140089" w:rsidP="00BD405A">
      <w:pPr>
        <w:pStyle w:val="Heading2"/>
        <w:spacing w:line="480" w:lineRule="auto"/>
        <w:rPr>
          <w:sz w:val="22"/>
          <w:lang w:val="en-GB"/>
        </w:rPr>
      </w:pPr>
      <w:bookmarkStart w:id="22" w:name="_Toc72323416"/>
      <w:r w:rsidRPr="003D2F00">
        <w:rPr>
          <w:sz w:val="22"/>
          <w:lang w:val="en-GB"/>
        </w:rPr>
        <w:t>Therapeutic efficiency of BiMAb in vivo</w:t>
      </w:r>
      <w:bookmarkEnd w:id="22"/>
    </w:p>
    <w:p w14:paraId="6A121E62" w14:textId="03A52085" w:rsidR="00CD12CB" w:rsidRPr="003D2F00" w:rsidRDefault="00140089" w:rsidP="00BD405A">
      <w:pPr>
        <w:spacing w:line="480" w:lineRule="auto"/>
        <w:jc w:val="both"/>
        <w:rPr>
          <w:rFonts w:ascii="Arial" w:hAnsi="Arial" w:cs="Arial"/>
          <w:lang w:val="en-GB"/>
        </w:rPr>
      </w:pPr>
      <w:r w:rsidRPr="003D2F00">
        <w:rPr>
          <w:rFonts w:ascii="Arial" w:hAnsi="Arial" w:cs="Arial"/>
          <w:lang w:val="en-GB"/>
        </w:rPr>
        <w:t xml:space="preserve">To evaluate the therapeutic efficiency of BiMAb </w:t>
      </w:r>
      <w:r w:rsidRPr="003D2F00">
        <w:rPr>
          <w:rFonts w:ascii="Arial" w:hAnsi="Arial" w:cs="Arial"/>
          <w:i/>
          <w:lang w:val="en-GB"/>
        </w:rPr>
        <w:t>in vivo</w:t>
      </w:r>
      <w:r w:rsidRPr="003D2F00">
        <w:rPr>
          <w:rFonts w:ascii="Arial" w:hAnsi="Arial" w:cs="Arial"/>
          <w:lang w:val="en-GB"/>
        </w:rPr>
        <w:t xml:space="preserve">, we selected 28 </w:t>
      </w:r>
      <w:r w:rsidRPr="003D2F00">
        <w:rPr>
          <w:rFonts w:ascii="Arial" w:hAnsi="Arial" w:cs="Arial"/>
          <w:lang w:val="en-US"/>
        </w:rPr>
        <w:t>Rag2/IL2Ryc</w:t>
      </w:r>
      <w:r w:rsidRPr="003D2F00">
        <w:rPr>
          <w:rFonts w:ascii="Arial" w:hAnsi="Arial" w:cs="Arial"/>
          <w:vertAlign w:val="superscript"/>
          <w:lang w:val="en-US"/>
        </w:rPr>
        <w:t>-/-</w:t>
      </w:r>
      <w:r w:rsidRPr="003D2F00">
        <w:rPr>
          <w:rFonts w:ascii="Arial" w:hAnsi="Arial" w:cs="Arial"/>
          <w:lang w:val="en-US"/>
        </w:rPr>
        <w:t xml:space="preserve"> mice </w:t>
      </w:r>
      <w:r w:rsidRPr="003D2F00">
        <w:rPr>
          <w:rFonts w:ascii="Arial" w:hAnsi="Arial" w:cs="Arial"/>
          <w:lang w:val="en-GB"/>
        </w:rPr>
        <w:t>with comparable age and gender distribution. On day 0, Huh7 and Huh7S cells (2x10</w:t>
      </w:r>
      <w:r w:rsidRPr="003D2F00">
        <w:rPr>
          <w:rFonts w:ascii="Arial" w:hAnsi="Arial" w:cs="Arial"/>
          <w:vertAlign w:val="superscript"/>
          <w:lang w:val="en-GB"/>
        </w:rPr>
        <w:t>6</w:t>
      </w:r>
      <w:r w:rsidRPr="003D2F00">
        <w:rPr>
          <w:rFonts w:ascii="Arial" w:hAnsi="Arial" w:cs="Arial"/>
          <w:lang w:val="en-GB"/>
        </w:rPr>
        <w:t xml:space="preserve"> cells/mouse) were injected subcutaneously into the left (Huh7) and the right flank (Huh7S) of each animal. Freshly isolated PBMC (1x10</w:t>
      </w:r>
      <w:r w:rsidRPr="003D2F00">
        <w:rPr>
          <w:rFonts w:ascii="Arial" w:hAnsi="Arial" w:cs="Arial"/>
          <w:vertAlign w:val="superscript"/>
          <w:lang w:val="en-GB"/>
        </w:rPr>
        <w:t xml:space="preserve">6 </w:t>
      </w:r>
      <w:r w:rsidRPr="003D2F00">
        <w:rPr>
          <w:rFonts w:ascii="Arial" w:hAnsi="Arial" w:cs="Arial"/>
          <w:lang w:val="en-GB"/>
        </w:rPr>
        <w:t xml:space="preserve">/ </w:t>
      </w:r>
      <w:r w:rsidRPr="003D2F00">
        <w:rPr>
          <w:rFonts w:ascii="Arial" w:hAnsi="Arial" w:cs="Arial"/>
          <w:lang w:val="en-GB" w:eastAsia="zh-CN"/>
        </w:rPr>
        <w:t>well</w:t>
      </w:r>
      <w:r w:rsidRPr="003D2F00">
        <w:rPr>
          <w:rFonts w:ascii="Arial" w:hAnsi="Arial" w:cs="Arial"/>
          <w:lang w:val="en-GB"/>
        </w:rPr>
        <w:t xml:space="preserve">) </w:t>
      </w:r>
      <w:r w:rsidRPr="003D2F00">
        <w:rPr>
          <w:rFonts w:ascii="Arial" w:hAnsi="Arial" w:cs="Arial"/>
          <w:lang w:val="en-GB" w:eastAsia="zh-CN"/>
        </w:rPr>
        <w:t>were</w:t>
      </w:r>
      <w:r w:rsidRPr="003D2F00">
        <w:rPr>
          <w:rFonts w:ascii="Arial" w:hAnsi="Arial" w:cs="Arial"/>
          <w:lang w:val="en-GB"/>
        </w:rPr>
        <w:t xml:space="preserve"> stimulated on 24-well plates coated with anti-</w:t>
      </w:r>
      <w:r w:rsidRPr="003D2F00">
        <w:rPr>
          <w:rFonts w:ascii="Arial" w:hAnsi="Arial" w:cs="Arial"/>
          <w:lang w:val="en-GB" w:eastAsia="zh-CN"/>
        </w:rPr>
        <w:t xml:space="preserve">human </w:t>
      </w:r>
      <w:r w:rsidRPr="003D2F00">
        <w:rPr>
          <w:rFonts w:ascii="Arial" w:hAnsi="Arial" w:cs="Arial"/>
          <w:lang w:val="en-GB"/>
        </w:rPr>
        <w:t xml:space="preserve">CD3 </w:t>
      </w:r>
      <w:r w:rsidRPr="003D2F00">
        <w:rPr>
          <w:rFonts w:ascii="Arial" w:hAnsi="Arial" w:cs="Arial"/>
          <w:lang w:val="en-GB" w:eastAsia="zh-CN"/>
        </w:rPr>
        <w:t xml:space="preserve">(5 </w:t>
      </w:r>
      <w:r w:rsidRPr="003D2F00">
        <w:rPr>
          <w:rFonts w:ascii="Arial" w:hAnsi="Arial" w:cs="Arial"/>
          <w:lang w:val="en-GB"/>
        </w:rPr>
        <w:t>µ</w:t>
      </w:r>
      <w:r w:rsidRPr="003D2F00">
        <w:rPr>
          <w:rFonts w:ascii="Arial" w:hAnsi="Arial" w:cs="Arial"/>
          <w:lang w:val="en-GB" w:eastAsia="zh-CN"/>
        </w:rPr>
        <w:t>g/ml)</w:t>
      </w:r>
      <w:r w:rsidRPr="003D2F00">
        <w:rPr>
          <w:rFonts w:ascii="Arial" w:hAnsi="Arial" w:cs="Arial"/>
          <w:lang w:val="en-GB"/>
        </w:rPr>
        <w:t xml:space="preserve"> (MAB core facility, German Research Centre for Environmental health) and anti-</w:t>
      </w:r>
      <w:r w:rsidRPr="003D2F00">
        <w:rPr>
          <w:rFonts w:ascii="Arial" w:hAnsi="Arial" w:cs="Arial"/>
          <w:lang w:val="en-GB" w:eastAsia="zh-CN"/>
        </w:rPr>
        <w:t xml:space="preserve">human </w:t>
      </w:r>
      <w:r w:rsidRPr="003D2F00">
        <w:rPr>
          <w:rFonts w:ascii="Arial" w:hAnsi="Arial" w:cs="Arial"/>
          <w:lang w:val="en-GB"/>
        </w:rPr>
        <w:t>CD28</w:t>
      </w:r>
      <w:r w:rsidRPr="003D2F00">
        <w:rPr>
          <w:rFonts w:ascii="Arial" w:hAnsi="Arial" w:cs="Arial"/>
          <w:lang w:val="en-GB" w:eastAsia="zh-CN"/>
        </w:rPr>
        <w:t xml:space="preserve"> (0.005 </w:t>
      </w:r>
      <w:r w:rsidRPr="003D2F00">
        <w:rPr>
          <w:rFonts w:ascii="Arial" w:hAnsi="Arial" w:cs="Arial"/>
          <w:lang w:val="en-GB"/>
        </w:rPr>
        <w:t>µ</w:t>
      </w:r>
      <w:r w:rsidRPr="003D2F00">
        <w:rPr>
          <w:rFonts w:ascii="Arial" w:hAnsi="Arial" w:cs="Arial"/>
          <w:lang w:val="en-GB" w:eastAsia="zh-CN"/>
        </w:rPr>
        <w:t>g/ml) (</w:t>
      </w:r>
      <w:proofErr w:type="spellStart"/>
      <w:r w:rsidRPr="003D2F00">
        <w:rPr>
          <w:rFonts w:ascii="Arial" w:hAnsi="Arial" w:cs="Arial"/>
          <w:bCs/>
          <w:shd w:val="clear" w:color="auto" w:fill="FFFFFF"/>
          <w:lang w:val="en-US"/>
        </w:rPr>
        <w:t>eBioscience</w:t>
      </w:r>
      <w:proofErr w:type="spellEnd"/>
      <w:r w:rsidRPr="003D2F00">
        <w:rPr>
          <w:rFonts w:ascii="Arial" w:hAnsi="Arial" w:cs="Arial"/>
          <w:lang w:val="en-GB" w:eastAsia="zh-CN"/>
        </w:rPr>
        <w:t xml:space="preserve">) in the presence of IL-2 (350 IU/ml) (Novartis, Basel, Switzerland) </w:t>
      </w:r>
      <w:r w:rsidRPr="003D2F00">
        <w:rPr>
          <w:rFonts w:ascii="Arial" w:hAnsi="Arial" w:cs="Arial"/>
          <w:lang w:val="en-GB"/>
        </w:rPr>
        <w:t xml:space="preserve">for 3 days. Subsequently, cells were maintained in culture </w:t>
      </w:r>
      <w:r w:rsidRPr="003D2F00">
        <w:rPr>
          <w:rFonts w:ascii="Arial" w:hAnsi="Arial" w:cs="Arial"/>
          <w:lang w:val="en-GB"/>
        </w:rPr>
        <w:lastRenderedPageBreak/>
        <w:t xml:space="preserve">medium containing </w:t>
      </w:r>
      <w:r w:rsidRPr="003D2F00">
        <w:rPr>
          <w:rFonts w:ascii="Arial" w:hAnsi="Arial" w:cs="Arial"/>
          <w:lang w:val="en-GB" w:eastAsia="zh-CN"/>
        </w:rPr>
        <w:t>180</w:t>
      </w:r>
      <w:r w:rsidRPr="003D2F00">
        <w:rPr>
          <w:rFonts w:ascii="Arial" w:hAnsi="Arial" w:cs="Arial"/>
          <w:lang w:val="en-GB"/>
        </w:rPr>
        <w:t xml:space="preserve"> </w:t>
      </w:r>
      <w:r w:rsidRPr="003D2F00">
        <w:rPr>
          <w:rFonts w:ascii="Arial" w:hAnsi="Arial" w:cs="Arial"/>
          <w:lang w:val="en-GB" w:eastAsia="zh-CN"/>
        </w:rPr>
        <w:t>I</w:t>
      </w:r>
      <w:r w:rsidRPr="003D2F00">
        <w:rPr>
          <w:rFonts w:ascii="Arial" w:hAnsi="Arial" w:cs="Arial"/>
          <w:lang w:val="en-GB"/>
        </w:rPr>
        <w:t>U/ml of IL-2 for 7 days. On day 14, when tumours were well established, 2x10</w:t>
      </w:r>
      <w:r w:rsidRPr="003D2F00">
        <w:rPr>
          <w:rFonts w:ascii="Arial" w:hAnsi="Arial" w:cs="Arial"/>
          <w:vertAlign w:val="superscript"/>
          <w:lang w:val="en-GB"/>
        </w:rPr>
        <w:t xml:space="preserve">7 </w:t>
      </w:r>
      <w:r w:rsidRPr="003D2F00">
        <w:rPr>
          <w:rFonts w:ascii="Arial" w:hAnsi="Arial" w:cs="Arial"/>
          <w:lang w:val="en-GB"/>
        </w:rPr>
        <w:t xml:space="preserve">PBMC / mouse were i.p. and a combination of BiMAbαCD3 and BiMAbαCD28 (100 µg/mouse) or PBS were i.v. injected. </w:t>
      </w:r>
      <w:r w:rsidRPr="003D2F00">
        <w:rPr>
          <w:rFonts w:ascii="Arial" w:hAnsi="Arial" w:cs="Arial"/>
          <w:lang w:val="en-GB" w:eastAsia="zh-CN"/>
        </w:rPr>
        <w:t>Injection of antibodies was repeated on day 16, 18 and 20</w:t>
      </w:r>
      <w:r w:rsidRPr="003D2F00">
        <w:rPr>
          <w:rFonts w:ascii="Arial" w:hAnsi="Arial" w:cs="Arial"/>
          <w:lang w:val="en-GB"/>
        </w:rPr>
        <w:t>. Mice were sacrificed on day 23. Tumour size was measured using a calliper and tumour tissue</w:t>
      </w:r>
      <w:r w:rsidRPr="003D2F00">
        <w:rPr>
          <w:rFonts w:ascii="Arial" w:hAnsi="Arial" w:cs="Arial"/>
          <w:lang w:val="en-GB" w:eastAsia="zh-CN"/>
        </w:rPr>
        <w:t xml:space="preserve"> was </w:t>
      </w:r>
      <w:r w:rsidRPr="003D2F00">
        <w:rPr>
          <w:rFonts w:ascii="Arial" w:hAnsi="Arial" w:cs="Arial"/>
          <w:lang w:val="en-GB"/>
        </w:rPr>
        <w:t>collected for immunohistochemistry and mRNA extraction to analyse T-cell infiltration and activation via qPCR. Serum was collected to quantify HBsAg levels.</w:t>
      </w:r>
    </w:p>
    <w:p w14:paraId="5138F2B0" w14:textId="70DD484F" w:rsidR="0059514F" w:rsidRPr="003D2F00" w:rsidRDefault="00140089" w:rsidP="00BD405A">
      <w:pPr>
        <w:pStyle w:val="Heading2"/>
        <w:spacing w:line="480" w:lineRule="auto"/>
        <w:rPr>
          <w:color w:val="000000" w:themeColor="text1"/>
          <w:sz w:val="22"/>
          <w:lang w:val="en-US"/>
        </w:rPr>
      </w:pPr>
      <w:bookmarkStart w:id="23" w:name="_Toc72323417"/>
      <w:r w:rsidRPr="003D2F00">
        <w:rPr>
          <w:sz w:val="22"/>
          <w:lang w:val="en-US"/>
        </w:rPr>
        <w:t>RNA extraction from tumor tissue and qPCR</w:t>
      </w:r>
      <w:bookmarkEnd w:id="23"/>
      <w:r w:rsidRPr="003D2F00">
        <w:rPr>
          <w:color w:val="000000" w:themeColor="text1"/>
          <w:sz w:val="22"/>
          <w:lang w:val="en-US"/>
        </w:rPr>
        <w:t xml:space="preserve"> </w:t>
      </w:r>
    </w:p>
    <w:p w14:paraId="5424822C" w14:textId="1D3F16A5" w:rsidR="00CD12CB" w:rsidRPr="003D2F00" w:rsidRDefault="00140089" w:rsidP="00BD405A">
      <w:pPr>
        <w:spacing w:after="0" w:line="480" w:lineRule="auto"/>
        <w:jc w:val="both"/>
        <w:rPr>
          <w:rFonts w:ascii="Arial" w:hAnsi="Arial" w:cs="Arial"/>
          <w:color w:val="000000"/>
          <w:lang w:val="en-US"/>
        </w:rPr>
      </w:pPr>
      <w:r w:rsidRPr="003D2F00">
        <w:rPr>
          <w:rFonts w:ascii="Arial" w:hAnsi="Arial" w:cs="Arial"/>
          <w:lang w:val="en-US" w:eastAsia="zh-CN"/>
        </w:rPr>
        <w:t xml:space="preserve">Tumor tissues were taken from BiMAb treated or non-treated mice, cut into four parts, and directly frozen in liquid nitrogen for further use. </w:t>
      </w:r>
      <w:r w:rsidRPr="003D2F00">
        <w:rPr>
          <w:rFonts w:ascii="Arial" w:hAnsi="Arial" w:cs="Arial"/>
          <w:lang w:val="en-US"/>
        </w:rPr>
        <w:t>RNA was extracted with the “</w:t>
      </w:r>
      <w:proofErr w:type="spellStart"/>
      <w:r w:rsidRPr="003D2F00">
        <w:rPr>
          <w:rFonts w:ascii="Arial" w:hAnsi="Arial" w:cs="Arial"/>
          <w:lang w:val="en-US"/>
        </w:rPr>
        <w:t>NucleoSpin</w:t>
      </w:r>
      <w:proofErr w:type="spellEnd"/>
      <w:r w:rsidRPr="003D2F00">
        <w:rPr>
          <w:rFonts w:ascii="Arial" w:hAnsi="Arial" w:cs="Arial"/>
          <w:lang w:val="en-US"/>
        </w:rPr>
        <w:t>® Tissue” RNA kit (</w:t>
      </w:r>
      <w:proofErr w:type="spellStart"/>
      <w:r w:rsidRPr="003D2F00">
        <w:rPr>
          <w:rFonts w:ascii="Arial" w:hAnsi="Arial" w:cs="Arial"/>
          <w:lang w:val="en-US"/>
        </w:rPr>
        <w:t>Macherey</w:t>
      </w:r>
      <w:proofErr w:type="spellEnd"/>
      <w:r w:rsidRPr="003D2F00">
        <w:rPr>
          <w:rFonts w:ascii="Arial" w:hAnsi="Arial" w:cs="Arial"/>
          <w:lang w:val="en-US"/>
        </w:rPr>
        <w:t xml:space="preserve"> Nagel)</w:t>
      </w:r>
      <w:r w:rsidRPr="003D2F00">
        <w:rPr>
          <w:rFonts w:ascii="Arial" w:hAnsi="Arial" w:cs="Arial"/>
          <w:lang w:val="en-US" w:eastAsia="zh-CN"/>
        </w:rPr>
        <w:t xml:space="preserve"> </w:t>
      </w:r>
      <w:r w:rsidRPr="003D2F00">
        <w:rPr>
          <w:rFonts w:ascii="Arial" w:hAnsi="Arial" w:cs="Arial"/>
          <w:lang w:val="en-US"/>
        </w:rPr>
        <w:t xml:space="preserve">from </w:t>
      </w:r>
      <w:r w:rsidRPr="003D2F00">
        <w:rPr>
          <w:rFonts w:ascii="Arial" w:hAnsi="Arial" w:cs="Arial"/>
          <w:lang w:val="en-US" w:eastAsia="zh-CN"/>
        </w:rPr>
        <w:t xml:space="preserve">frozen </w:t>
      </w:r>
      <w:r w:rsidRPr="003D2F00">
        <w:rPr>
          <w:rFonts w:ascii="Arial" w:hAnsi="Arial" w:cs="Arial"/>
          <w:lang w:val="en-US"/>
        </w:rPr>
        <w:t>tumor tissues</w:t>
      </w:r>
      <w:r w:rsidRPr="003D2F00">
        <w:rPr>
          <w:rFonts w:ascii="Arial" w:hAnsi="Arial" w:cs="Arial"/>
          <w:lang w:val="en-US" w:eastAsia="zh-CN"/>
        </w:rPr>
        <w:t xml:space="preserve"> (all samples were frozen and thawed one time) and used for </w:t>
      </w:r>
      <w:r w:rsidRPr="003D2F00">
        <w:rPr>
          <w:rFonts w:ascii="Arial" w:hAnsi="Arial" w:cs="Arial"/>
          <w:lang w:val="en-US"/>
        </w:rPr>
        <w:t>cDNA synthetiz</w:t>
      </w:r>
      <w:r w:rsidRPr="003D2F00">
        <w:rPr>
          <w:rFonts w:ascii="Arial" w:hAnsi="Arial" w:cs="Arial"/>
          <w:lang w:val="en-US" w:eastAsia="zh-CN"/>
        </w:rPr>
        <w:t>ation</w:t>
      </w:r>
      <w:r w:rsidRPr="003D2F00">
        <w:rPr>
          <w:rFonts w:ascii="Arial" w:hAnsi="Arial" w:cs="Arial"/>
          <w:lang w:val="en-US"/>
        </w:rPr>
        <w:t xml:space="preserve"> with the Superscript III kit (</w:t>
      </w:r>
      <w:proofErr w:type="spellStart"/>
      <w:r w:rsidRPr="003D2F00">
        <w:rPr>
          <w:rFonts w:ascii="Arial" w:hAnsi="Arial" w:cs="Arial"/>
          <w:lang w:val="en-US"/>
        </w:rPr>
        <w:t>ThermoFisher</w:t>
      </w:r>
      <w:proofErr w:type="spellEnd"/>
      <w:r w:rsidRPr="003D2F00">
        <w:rPr>
          <w:rFonts w:ascii="Arial" w:hAnsi="Arial" w:cs="Arial"/>
          <w:lang w:val="en-US"/>
        </w:rPr>
        <w:t xml:space="preserve"> Scientific)</w:t>
      </w:r>
      <w:r w:rsidRPr="003D2F00">
        <w:rPr>
          <w:rFonts w:ascii="Arial" w:hAnsi="Arial" w:cs="Arial"/>
          <w:lang w:val="en-US" w:eastAsia="zh-CN"/>
        </w:rPr>
        <w:t xml:space="preserve"> (20 µl reaction volume)</w:t>
      </w:r>
      <w:r w:rsidRPr="003D2F00">
        <w:rPr>
          <w:rFonts w:ascii="Arial" w:hAnsi="Arial" w:cs="Arial"/>
          <w:lang w:val="en-US"/>
        </w:rPr>
        <w:t xml:space="preserve">. </w:t>
      </w:r>
      <w:r w:rsidRPr="003D2F00">
        <w:rPr>
          <w:rFonts w:ascii="Arial" w:hAnsi="Arial" w:cs="Arial"/>
          <w:lang w:val="en-US" w:eastAsia="zh-CN"/>
        </w:rPr>
        <w:t xml:space="preserve">The concentration of all the cDNA samples was quantified by Nano-drop 1 </w:t>
      </w:r>
      <w:r w:rsidRPr="003D2F00">
        <w:rPr>
          <w:rFonts w:ascii="Arial" w:hAnsi="Arial" w:cs="Arial"/>
          <w:lang w:val="en-US"/>
        </w:rPr>
        <w:t>(</w:t>
      </w:r>
      <w:proofErr w:type="spellStart"/>
      <w:r w:rsidRPr="003D2F00">
        <w:rPr>
          <w:rFonts w:ascii="Arial" w:hAnsi="Arial" w:cs="Arial"/>
          <w:lang w:val="en-US"/>
        </w:rPr>
        <w:t>ThermoFisher</w:t>
      </w:r>
      <w:proofErr w:type="spellEnd"/>
      <w:r w:rsidRPr="003D2F00">
        <w:rPr>
          <w:rFonts w:ascii="Arial" w:hAnsi="Arial" w:cs="Arial"/>
          <w:lang w:val="en-US"/>
        </w:rPr>
        <w:t xml:space="preserve"> Scientific)</w:t>
      </w:r>
      <w:r w:rsidRPr="003D2F00">
        <w:rPr>
          <w:rFonts w:ascii="Arial" w:hAnsi="Arial" w:cs="Arial"/>
          <w:lang w:val="en-US" w:eastAsia="zh-CN"/>
        </w:rPr>
        <w:t xml:space="preserve"> and normalized with H</w:t>
      </w:r>
      <w:r w:rsidRPr="003D2F00">
        <w:rPr>
          <w:rFonts w:ascii="Arial" w:hAnsi="Arial" w:cs="Arial"/>
          <w:vertAlign w:val="subscript"/>
          <w:lang w:val="en-US" w:eastAsia="zh-CN"/>
        </w:rPr>
        <w:t>2</w:t>
      </w:r>
      <w:r w:rsidRPr="003D2F00">
        <w:rPr>
          <w:rFonts w:ascii="Arial" w:hAnsi="Arial" w:cs="Arial"/>
          <w:lang w:val="en-US" w:eastAsia="zh-CN"/>
        </w:rPr>
        <w:t xml:space="preserve">O. </w:t>
      </w:r>
      <w:r w:rsidRPr="003D2F00">
        <w:rPr>
          <w:rFonts w:ascii="Arial" w:hAnsi="Arial" w:cs="Arial"/>
          <w:lang w:val="en-US"/>
        </w:rPr>
        <w:t>Human CD4</w:t>
      </w:r>
      <w:r w:rsidRPr="003D2F00">
        <w:rPr>
          <w:rFonts w:ascii="Arial" w:hAnsi="Arial" w:cs="Arial"/>
          <w:vertAlign w:val="superscript"/>
          <w:lang w:val="en-US"/>
        </w:rPr>
        <w:t>+</w:t>
      </w:r>
      <w:r w:rsidRPr="003D2F00">
        <w:rPr>
          <w:rFonts w:ascii="Arial" w:hAnsi="Arial" w:cs="Arial"/>
          <w:lang w:val="en-US"/>
        </w:rPr>
        <w:t>, CD8</w:t>
      </w:r>
      <w:r w:rsidRPr="003D2F00">
        <w:rPr>
          <w:rFonts w:ascii="Arial" w:hAnsi="Arial" w:cs="Arial"/>
          <w:vertAlign w:val="superscript"/>
          <w:lang w:val="en-US"/>
        </w:rPr>
        <w:t>+</w:t>
      </w:r>
      <w:r w:rsidRPr="003D2F00">
        <w:rPr>
          <w:rFonts w:ascii="Arial" w:hAnsi="Arial" w:cs="Arial"/>
          <w:lang w:val="en-US"/>
        </w:rPr>
        <w:t xml:space="preserve">, </w:t>
      </w:r>
      <w:r w:rsidRPr="003D2F00">
        <w:rPr>
          <w:rFonts w:ascii="Arial" w:hAnsi="Arial" w:cs="Arial"/>
          <w:lang w:val="en-GB"/>
        </w:rPr>
        <w:t>TNFα, IFN</w:t>
      </w:r>
      <w:r w:rsidR="0094012C" w:rsidRPr="003D2F00">
        <w:rPr>
          <w:rFonts w:ascii="Arial" w:hAnsi="Arial" w:cs="Arial"/>
          <w:lang w:val="en-GB"/>
        </w:rPr>
        <w:t>γ</w:t>
      </w:r>
      <w:r w:rsidRPr="003D2F00">
        <w:rPr>
          <w:rFonts w:ascii="Arial" w:hAnsi="Arial" w:cs="Arial"/>
          <w:lang w:val="en-GB"/>
        </w:rPr>
        <w:t xml:space="preserve"> and IL-2 mRNAs were quantified</w:t>
      </w:r>
      <w:r w:rsidRPr="003D2F00">
        <w:rPr>
          <w:rFonts w:ascii="Arial" w:hAnsi="Arial" w:cs="Arial"/>
          <w:lang w:val="en-US"/>
        </w:rPr>
        <w:t xml:space="preserve"> by RT-PCR on a </w:t>
      </w:r>
      <w:proofErr w:type="spellStart"/>
      <w:r w:rsidRPr="003D2F00">
        <w:rPr>
          <w:rFonts w:ascii="Arial" w:hAnsi="Arial" w:cs="Arial"/>
          <w:color w:val="000000" w:themeColor="text1"/>
          <w:lang w:val="en-US"/>
        </w:rPr>
        <w:t>LightCycler</w:t>
      </w:r>
      <w:proofErr w:type="spellEnd"/>
      <w:r w:rsidRPr="003D2F00">
        <w:rPr>
          <w:rFonts w:ascii="Arial" w:hAnsi="Arial" w:cs="Arial"/>
          <w:color w:val="000000" w:themeColor="text1"/>
          <w:vertAlign w:val="superscript"/>
          <w:lang w:val="en-US"/>
        </w:rPr>
        <w:t>®</w:t>
      </w:r>
      <w:r w:rsidRPr="003D2F00">
        <w:rPr>
          <w:rFonts w:ascii="Arial" w:hAnsi="Arial" w:cs="Arial"/>
          <w:color w:val="000000" w:themeColor="text1"/>
          <w:lang w:val="en-US"/>
        </w:rPr>
        <w:t xml:space="preserve"> 480 Instrument II</w:t>
      </w:r>
      <w:r w:rsidRPr="003D2F00">
        <w:rPr>
          <w:rFonts w:ascii="Arial" w:hAnsi="Arial" w:cs="Arial"/>
          <w:b/>
          <w:color w:val="000000" w:themeColor="text1"/>
          <w:lang w:val="en-US"/>
        </w:rPr>
        <w:t xml:space="preserve"> </w:t>
      </w:r>
      <w:r w:rsidRPr="003D2F00">
        <w:rPr>
          <w:rFonts w:ascii="Arial" w:hAnsi="Arial" w:cs="Arial"/>
          <w:color w:val="000000" w:themeColor="text1"/>
          <w:lang w:val="en-US"/>
        </w:rPr>
        <w:t>(Roche Diagnostics) using the Light Cycler 480 SYBR Green I Master Mix with 1 µl cDNA, 0.5 µl of each primer (20 nM) in total reaction volume of 10 µl. Results were normalized to expression of g</w:t>
      </w:r>
      <w:r w:rsidRPr="003D2F00">
        <w:rPr>
          <w:rFonts w:ascii="Arial" w:eastAsia="Times New Roman" w:hAnsi="Arial" w:cs="Arial"/>
          <w:color w:val="000000" w:themeColor="text1"/>
          <w:lang w:val="en-US" w:eastAsia="de-DE"/>
        </w:rPr>
        <w:t>lyceraldehyde 3-phosphate dehydrogenase</w:t>
      </w:r>
      <w:r w:rsidRPr="003D2F00">
        <w:rPr>
          <w:rFonts w:ascii="Arial" w:hAnsi="Arial" w:cs="Arial"/>
          <w:color w:val="000000" w:themeColor="text1"/>
          <w:lang w:val="en-US"/>
        </w:rPr>
        <w:t xml:space="preserve"> (GAPDH). Analysis was performed with the </w:t>
      </w:r>
      <w:proofErr w:type="spellStart"/>
      <w:r w:rsidRPr="003D2F00">
        <w:rPr>
          <w:rFonts w:ascii="Arial" w:hAnsi="Arial" w:cs="Arial"/>
          <w:lang w:val="en-US"/>
        </w:rPr>
        <w:t>LightCycler</w:t>
      </w:r>
      <w:proofErr w:type="spellEnd"/>
      <w:r w:rsidRPr="003D2F00">
        <w:rPr>
          <w:rFonts w:ascii="Arial" w:hAnsi="Arial" w:cs="Arial"/>
          <w:lang w:val="en-US"/>
        </w:rPr>
        <w:t xml:space="preserve"> 480 SW software. </w:t>
      </w:r>
      <w:r w:rsidRPr="003D2F00">
        <w:rPr>
          <w:rFonts w:ascii="Arial" w:hAnsi="Arial" w:cs="Arial"/>
          <w:color w:val="000000" w:themeColor="text1"/>
          <w:lang w:val="en-US"/>
        </w:rPr>
        <w:t xml:space="preserve">For primer sequences, see CTAT table. qPCR conditions are listed in </w:t>
      </w:r>
      <w:r w:rsidR="007E2881" w:rsidRPr="003D2F00">
        <w:rPr>
          <w:rFonts w:ascii="Arial" w:hAnsi="Arial" w:cs="Arial"/>
          <w:color w:val="000000" w:themeColor="text1"/>
          <w:lang w:val="en-US"/>
        </w:rPr>
        <w:t>S</w:t>
      </w:r>
      <w:r w:rsidR="00FD7334" w:rsidRPr="003D2F00">
        <w:rPr>
          <w:rFonts w:ascii="Arial" w:hAnsi="Arial" w:cs="Arial"/>
          <w:color w:val="000000" w:themeColor="text1"/>
          <w:lang w:val="en-US"/>
        </w:rPr>
        <w:t>upplementary table 1</w:t>
      </w:r>
      <w:r w:rsidRPr="003D2F00">
        <w:rPr>
          <w:rFonts w:ascii="Arial" w:hAnsi="Arial" w:cs="Arial"/>
          <w:color w:val="000000" w:themeColor="text1"/>
          <w:lang w:val="en-US"/>
        </w:rPr>
        <w:t>.</w:t>
      </w:r>
    </w:p>
    <w:p w14:paraId="070B2A05" w14:textId="18548891" w:rsidR="00FD7334" w:rsidRPr="003D2F00" w:rsidRDefault="00140089" w:rsidP="00BD405A">
      <w:pPr>
        <w:pStyle w:val="Heading2"/>
        <w:spacing w:line="480" w:lineRule="auto"/>
        <w:rPr>
          <w:sz w:val="22"/>
          <w:lang w:val="en-US"/>
        </w:rPr>
      </w:pPr>
      <w:bookmarkStart w:id="24" w:name="_Toc72323418"/>
      <w:r w:rsidRPr="003D2F00">
        <w:rPr>
          <w:sz w:val="22"/>
          <w:lang w:val="en-US"/>
        </w:rPr>
        <w:t>Southern blot analyses</w:t>
      </w:r>
      <w:bookmarkEnd w:id="24"/>
      <w:r w:rsidRPr="003D2F00">
        <w:rPr>
          <w:sz w:val="22"/>
          <w:lang w:val="en-US"/>
        </w:rPr>
        <w:t xml:space="preserve"> </w:t>
      </w:r>
    </w:p>
    <w:p w14:paraId="3A551185" w14:textId="7E07E73B" w:rsidR="00667A76" w:rsidRPr="003D2F00" w:rsidRDefault="00140089" w:rsidP="00BD405A">
      <w:pPr>
        <w:spacing w:line="480" w:lineRule="auto"/>
        <w:jc w:val="both"/>
        <w:rPr>
          <w:rFonts w:ascii="Arial" w:hAnsi="Arial" w:cs="Arial"/>
          <w:lang w:val="en-US"/>
        </w:rPr>
      </w:pPr>
      <w:r w:rsidRPr="003D2F00">
        <w:rPr>
          <w:rFonts w:ascii="Arial" w:hAnsi="Arial" w:cs="Arial"/>
          <w:lang w:val="en-US"/>
        </w:rPr>
        <w:t>For Southern blot analysis, cells were lysed and lysates were treated with DNase I (</w:t>
      </w:r>
      <w:r w:rsidRPr="003D2F00">
        <w:rPr>
          <w:rFonts w:ascii="Arial" w:hAnsi="Arial" w:cs="Arial"/>
          <w:color w:val="000000"/>
          <w:shd w:val="clear" w:color="auto" w:fill="FFFFFF"/>
          <w:lang w:val="en-US"/>
        </w:rPr>
        <w:t>Roche</w:t>
      </w:r>
      <w:r w:rsidRPr="003D2F00">
        <w:rPr>
          <w:rFonts w:ascii="Arial" w:hAnsi="Arial" w:cs="Arial"/>
          <w:lang w:val="en-US"/>
        </w:rPr>
        <w:t>) and RNase (</w:t>
      </w:r>
      <w:proofErr w:type="spellStart"/>
      <w:r w:rsidRPr="003D2F00">
        <w:rPr>
          <w:rFonts w:ascii="Arial" w:hAnsi="Arial" w:cs="Arial"/>
          <w:color w:val="000000"/>
          <w:shd w:val="clear" w:color="auto" w:fill="FFFFFF"/>
          <w:lang w:val="en-US"/>
        </w:rPr>
        <w:t>Applichem</w:t>
      </w:r>
      <w:proofErr w:type="spellEnd"/>
      <w:r w:rsidRPr="003D2F00">
        <w:rPr>
          <w:rFonts w:ascii="Arial" w:hAnsi="Arial" w:cs="Arial"/>
          <w:color w:val="000000"/>
          <w:shd w:val="clear" w:color="auto" w:fill="FFFFFF"/>
          <w:lang w:val="en-US"/>
        </w:rPr>
        <w:t>, Darmstadt, Germany</w:t>
      </w:r>
      <w:r w:rsidRPr="003D2F00">
        <w:rPr>
          <w:rFonts w:ascii="Arial" w:hAnsi="Arial" w:cs="Arial"/>
          <w:lang w:val="en-US"/>
        </w:rPr>
        <w:t xml:space="preserve">) for 3 hours at 37 °C. Cytoplasmic HBV capsids were precipitated with polyethylene glycol (PEG8000) and digested using sodium dodecyl sulfate and proteinase K for 3 hours at 37 °C. Subsequently, capsid-associated DNA was purified by phenol–chloroform extraction, followed by ethanol precipitation. This DNA was </w:t>
      </w:r>
      <w:r w:rsidRPr="003D2F00">
        <w:rPr>
          <w:rFonts w:ascii="Arial" w:hAnsi="Arial" w:cs="Arial"/>
          <w:lang w:val="en-US"/>
        </w:rPr>
        <w:lastRenderedPageBreak/>
        <w:t>separated through a 1.3% agarose gel, transferred to a nylon membrane and UV cross</w:t>
      </w:r>
      <w:r w:rsidRPr="003D2F00">
        <w:rPr>
          <w:rFonts w:ascii="Arial" w:hAnsi="Arial" w:cs="Arial"/>
          <w:lang w:val="en-US" w:eastAsia="zh-CN"/>
        </w:rPr>
        <w:t>-</w:t>
      </w:r>
      <w:r w:rsidRPr="003D2F00">
        <w:rPr>
          <w:rFonts w:ascii="Arial" w:hAnsi="Arial" w:cs="Arial"/>
          <w:lang w:val="en-US"/>
        </w:rPr>
        <w:t xml:space="preserve">linked. The membrane was hybridized with a digoxigenin-labelled HBV-specific DNA probe at 65 °C overnight and HBV </w:t>
      </w:r>
      <w:r w:rsidRPr="003D2F00">
        <w:rPr>
          <w:rFonts w:ascii="Arial" w:hAnsi="Arial" w:cs="Arial"/>
          <w:lang w:val="en-US" w:eastAsia="zh-CN"/>
        </w:rPr>
        <w:t>rc</w:t>
      </w:r>
      <w:r w:rsidRPr="003D2F00">
        <w:rPr>
          <w:rFonts w:ascii="Arial" w:hAnsi="Arial" w:cs="Arial"/>
          <w:lang w:val="en-US"/>
        </w:rPr>
        <w:t>DNA was visualized using the DIG Luminescent Detection kit (Roche)</w:t>
      </w:r>
      <w:r w:rsidR="008507EC" w:rsidRPr="003D2F00">
        <w:rPr>
          <w:rFonts w:ascii="Arial" w:hAnsi="Arial" w:cs="Arial"/>
          <w:lang w:val="en-US"/>
        </w:rPr>
        <w:t>.</w:t>
      </w:r>
    </w:p>
    <w:p w14:paraId="596EED04" w14:textId="53E5CBB7" w:rsidR="0059514F" w:rsidRPr="003D2F00" w:rsidRDefault="00140089" w:rsidP="00BD405A">
      <w:pPr>
        <w:spacing w:before="240" w:after="0" w:line="480" w:lineRule="auto"/>
        <w:jc w:val="both"/>
        <w:rPr>
          <w:rStyle w:val="Heading2Char"/>
          <w:sz w:val="22"/>
          <w:lang w:val="en-US"/>
        </w:rPr>
      </w:pPr>
      <w:bookmarkStart w:id="25" w:name="_Toc72323419"/>
      <w:r w:rsidRPr="003D2F00">
        <w:rPr>
          <w:rStyle w:val="Heading2Char"/>
          <w:sz w:val="22"/>
          <w:lang w:val="en-US"/>
        </w:rPr>
        <w:t>Statistical analys</w:t>
      </w:r>
      <w:r w:rsidR="0059514F" w:rsidRPr="003D2F00">
        <w:rPr>
          <w:rStyle w:val="Heading2Char"/>
          <w:sz w:val="22"/>
          <w:lang w:val="en-US"/>
        </w:rPr>
        <w:t>e</w:t>
      </w:r>
      <w:r w:rsidRPr="003D2F00">
        <w:rPr>
          <w:rStyle w:val="Heading2Char"/>
          <w:sz w:val="22"/>
          <w:lang w:val="en-US"/>
        </w:rPr>
        <w:t>s</w:t>
      </w:r>
      <w:bookmarkEnd w:id="25"/>
      <w:r w:rsidRPr="003D2F00">
        <w:rPr>
          <w:rStyle w:val="Heading2Char"/>
          <w:sz w:val="22"/>
          <w:lang w:val="en-US"/>
        </w:rPr>
        <w:t xml:space="preserve"> </w:t>
      </w:r>
    </w:p>
    <w:p w14:paraId="72912A6B" w14:textId="1B6F7328" w:rsidR="0092207B" w:rsidRPr="00BD405A" w:rsidRDefault="00140089" w:rsidP="00BD405A">
      <w:pPr>
        <w:spacing w:line="480" w:lineRule="auto"/>
        <w:jc w:val="both"/>
        <w:rPr>
          <w:rFonts w:ascii="Arial" w:hAnsi="Arial" w:cs="Arial"/>
          <w:sz w:val="24"/>
          <w:szCs w:val="24"/>
          <w:lang w:val="en-US"/>
        </w:rPr>
      </w:pPr>
      <w:r w:rsidRPr="003D2F00">
        <w:rPr>
          <w:rFonts w:ascii="Arial" w:hAnsi="Arial" w:cs="Arial"/>
          <w:lang w:val="en-US"/>
        </w:rPr>
        <w:t>All statistical analysis was performed with Prism 5.01.336 (Graph</w:t>
      </w:r>
      <w:r w:rsidR="003D2F00">
        <w:rPr>
          <w:rFonts w:ascii="Arial" w:hAnsi="Arial" w:cs="Arial"/>
          <w:lang w:val="en-US"/>
        </w:rPr>
        <w:t>P</w:t>
      </w:r>
      <w:r w:rsidRPr="003D2F00">
        <w:rPr>
          <w:rFonts w:ascii="Arial" w:hAnsi="Arial" w:cs="Arial"/>
          <w:lang w:val="en-US"/>
        </w:rPr>
        <w:t>ad</w:t>
      </w:r>
      <w:r w:rsidR="003D2F00">
        <w:rPr>
          <w:rFonts w:ascii="Arial" w:hAnsi="Arial" w:cs="Arial"/>
          <w:lang w:val="en-US"/>
        </w:rPr>
        <w:t xml:space="preserve"> Software Inc., San Diego, CA, USA</w:t>
      </w:r>
      <w:r w:rsidRPr="003D2F00">
        <w:rPr>
          <w:rFonts w:ascii="Arial" w:hAnsi="Arial" w:cs="Arial"/>
          <w:lang w:val="en-US"/>
        </w:rPr>
        <w:t>). Data sets were analyzed for Gaus</w:t>
      </w:r>
      <w:r w:rsidR="00160CB6" w:rsidRPr="003D2F00">
        <w:rPr>
          <w:rFonts w:ascii="Arial" w:hAnsi="Arial" w:cs="Arial"/>
          <w:lang w:val="en-US"/>
        </w:rPr>
        <w:t>sian distribution with D’Agosti</w:t>
      </w:r>
      <w:r w:rsidRPr="003D2F00">
        <w:rPr>
          <w:rFonts w:ascii="Arial" w:hAnsi="Arial" w:cs="Arial"/>
          <w:lang w:val="en-US"/>
        </w:rPr>
        <w:t>n</w:t>
      </w:r>
      <w:r w:rsidR="00160CB6" w:rsidRPr="003D2F00">
        <w:rPr>
          <w:rFonts w:ascii="Arial" w:hAnsi="Arial" w:cs="Arial"/>
          <w:lang w:val="en-US"/>
        </w:rPr>
        <w:t>o</w:t>
      </w:r>
      <w:r w:rsidRPr="003D2F00">
        <w:rPr>
          <w:rFonts w:ascii="Arial" w:hAnsi="Arial" w:cs="Arial"/>
          <w:lang w:val="en-US"/>
        </w:rPr>
        <w:t>-Pearson omnibus test. Depending on the result parametric student T test or non-parametric Mann-Whitney test was employed. P-values &lt;0.05 were considered significant. P-values are only shown if they are significant. EC</w:t>
      </w:r>
      <w:r w:rsidRPr="003D2F00">
        <w:rPr>
          <w:rFonts w:ascii="Arial" w:hAnsi="Arial" w:cs="Arial"/>
          <w:vertAlign w:val="subscript"/>
          <w:lang w:val="en-US"/>
        </w:rPr>
        <w:t>50</w:t>
      </w:r>
      <w:r w:rsidRPr="003D2F00">
        <w:rPr>
          <w:rFonts w:ascii="Arial" w:hAnsi="Arial" w:cs="Arial"/>
          <w:vertAlign w:val="superscript"/>
          <w:lang w:val="en-US"/>
        </w:rPr>
        <w:t xml:space="preserve"> </w:t>
      </w:r>
      <w:r w:rsidRPr="003D2F00">
        <w:rPr>
          <w:rFonts w:ascii="Arial" w:hAnsi="Arial" w:cs="Arial"/>
          <w:lang w:val="en-US"/>
        </w:rPr>
        <w:t>was calculated using non-linear regression log(agonist) vs. response variable slope with a robust fit. IC</w:t>
      </w:r>
      <w:r w:rsidRPr="003D2F00">
        <w:rPr>
          <w:rFonts w:ascii="Arial" w:hAnsi="Arial" w:cs="Arial"/>
          <w:vertAlign w:val="subscript"/>
          <w:lang w:val="en-US"/>
        </w:rPr>
        <w:t>50</w:t>
      </w:r>
      <w:r w:rsidRPr="003D2F00">
        <w:rPr>
          <w:rFonts w:ascii="Arial" w:hAnsi="Arial" w:cs="Arial"/>
          <w:lang w:val="en-US"/>
        </w:rPr>
        <w:t xml:space="preserve"> was calculated with non-linear regression log(inhibitor) vs. response variable slope with a robust fit.</w:t>
      </w:r>
      <w:r w:rsidRPr="00BD405A">
        <w:rPr>
          <w:rFonts w:ascii="Arial" w:hAnsi="Arial" w:cs="Arial"/>
          <w:sz w:val="24"/>
          <w:szCs w:val="24"/>
          <w:lang w:val="en-US"/>
        </w:rPr>
        <w:t xml:space="preserve"> </w:t>
      </w:r>
    </w:p>
    <w:p w14:paraId="70A03F18" w14:textId="77777777" w:rsidR="003728DF" w:rsidRDefault="003728DF">
      <w:pPr>
        <w:rPr>
          <w:rStyle w:val="Heading1Char"/>
          <w:szCs w:val="24"/>
          <w:lang w:val="en-US"/>
        </w:rPr>
      </w:pPr>
      <w:bookmarkStart w:id="26" w:name="_Toc72323420"/>
      <w:r>
        <w:rPr>
          <w:rStyle w:val="Heading1Char"/>
          <w:szCs w:val="24"/>
          <w:lang w:val="en-US"/>
        </w:rPr>
        <w:br w:type="page"/>
      </w:r>
    </w:p>
    <w:p w14:paraId="4E1F0D1B" w14:textId="3F2E5C85" w:rsidR="00CD12CB" w:rsidRDefault="0092207B" w:rsidP="003728DF">
      <w:pPr>
        <w:spacing w:line="480" w:lineRule="auto"/>
        <w:rPr>
          <w:rStyle w:val="Heading1Char"/>
          <w:szCs w:val="24"/>
          <w:lang w:val="en-US"/>
        </w:rPr>
      </w:pPr>
      <w:r w:rsidRPr="000B02D2">
        <w:rPr>
          <w:rStyle w:val="Heading1Char"/>
          <w:szCs w:val="24"/>
          <w:lang w:val="en-US"/>
        </w:rPr>
        <w:lastRenderedPageBreak/>
        <w:t>Supplementary figures and figure legends</w:t>
      </w:r>
      <w:bookmarkEnd w:id="26"/>
    </w:p>
    <w:p w14:paraId="4E9AF864" w14:textId="73D05FC0" w:rsidR="003728DF" w:rsidRPr="007E2881" w:rsidRDefault="00DB643D" w:rsidP="003728DF">
      <w:pPr>
        <w:spacing w:line="480" w:lineRule="auto"/>
        <w:rPr>
          <w:rFonts w:ascii="Arial" w:hAnsi="Arial" w:cs="Arial"/>
          <w:b/>
          <w:lang w:val="en-US"/>
        </w:rPr>
      </w:pPr>
      <w:r>
        <w:rPr>
          <w:rFonts w:ascii="Arial" w:hAnsi="Arial" w:cs="Arial"/>
          <w:b/>
          <w:noProof/>
          <w:lang w:val="en-US"/>
        </w:rPr>
        <w:drawing>
          <wp:inline distT="0" distB="0" distL="0" distR="0" wp14:anchorId="1BF63579" wp14:editId="4C319E2A">
            <wp:extent cx="5760720" cy="4537075"/>
            <wp:effectExtent l="0" t="0" r="508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537075"/>
                    </a:xfrm>
                    <a:prstGeom prst="rect">
                      <a:avLst/>
                    </a:prstGeom>
                  </pic:spPr>
                </pic:pic>
              </a:graphicData>
            </a:graphic>
          </wp:inline>
        </w:drawing>
      </w:r>
    </w:p>
    <w:p w14:paraId="2A37EF4B" w14:textId="77777777" w:rsidR="003728DF" w:rsidRPr="007E2881" w:rsidRDefault="003728DF" w:rsidP="00FB3863">
      <w:pPr>
        <w:pBdr>
          <w:left w:val="none" w:sz="4" w:space="8" w:color="000000"/>
        </w:pBdr>
        <w:spacing w:after="0" w:line="360" w:lineRule="auto"/>
        <w:jc w:val="both"/>
        <w:rPr>
          <w:rFonts w:ascii="Arial" w:hAnsi="Arial"/>
          <w:color w:val="000000" w:themeColor="text1"/>
          <w:spacing w:val="3"/>
          <w:shd w:val="clear" w:color="auto" w:fill="FFFFFF"/>
          <w:lang w:val="en-US" w:eastAsia="de-DE"/>
        </w:rPr>
      </w:pPr>
      <w:r w:rsidRPr="007E2881">
        <w:rPr>
          <w:rFonts w:ascii="Arial" w:hAnsi="Arial" w:cs="Arial"/>
          <w:b/>
          <w:lang w:val="en-US"/>
        </w:rPr>
        <w:t xml:space="preserve">Supplementary Fig. 1. Purified T-cell engager antibodies bind effector cells specifically. (A) </w:t>
      </w:r>
      <w:r w:rsidRPr="007E2881">
        <w:rPr>
          <w:rFonts w:ascii="Arial" w:hAnsi="Arial" w:cs="Arial"/>
          <w:lang w:val="en-US"/>
        </w:rPr>
        <w:t xml:space="preserve">Western blot of </w:t>
      </w:r>
      <w:proofErr w:type="spellStart"/>
      <w:r w:rsidRPr="007E2881">
        <w:rPr>
          <w:rFonts w:ascii="Arial" w:hAnsi="Arial" w:cs="Arial"/>
          <w:lang w:val="en-US"/>
        </w:rPr>
        <w:t>bsAbs</w:t>
      </w:r>
      <w:proofErr w:type="spellEnd"/>
      <w:r w:rsidRPr="007E2881">
        <w:rPr>
          <w:rFonts w:ascii="Arial" w:hAnsi="Arial" w:cs="Arial"/>
          <w:lang w:val="en-US"/>
        </w:rPr>
        <w:t xml:space="preserve"> under reducing and non-reducing conditions. 100 ng of the respective antibody were separated by a 12.5% polyacrylamide SDS-gel and transferred to a </w:t>
      </w:r>
      <w:r w:rsidRPr="007E2881">
        <w:rPr>
          <w:rFonts w:ascii="Arial" w:hAnsi="Arial" w:cs="Arial"/>
          <w:color w:val="222222"/>
          <w:spacing w:val="3"/>
          <w:shd w:val="clear" w:color="auto" w:fill="FFFFFF"/>
          <w:lang w:val="en-US"/>
        </w:rPr>
        <w:t>polyvinylidene fluoride membrane</w:t>
      </w:r>
      <w:r w:rsidRPr="007E2881">
        <w:rPr>
          <w:rFonts w:ascii="Arial" w:hAnsi="Arial" w:cs="Arial"/>
          <w:lang w:val="en-US"/>
        </w:rPr>
        <w:t xml:space="preserve">. </w:t>
      </w:r>
      <w:proofErr w:type="spellStart"/>
      <w:r w:rsidRPr="007E2881">
        <w:rPr>
          <w:rFonts w:ascii="Arial" w:hAnsi="Arial" w:cs="Arial"/>
          <w:lang w:val="en-US"/>
        </w:rPr>
        <w:t>BsAbs</w:t>
      </w:r>
      <w:proofErr w:type="spellEnd"/>
      <w:r w:rsidRPr="007E2881">
        <w:rPr>
          <w:rFonts w:ascii="Arial" w:hAnsi="Arial" w:cs="Arial"/>
          <w:lang w:val="en-US"/>
        </w:rPr>
        <w:t xml:space="preserve"> were detected with polyclonal goat anti human IgG antibodies. </w:t>
      </w:r>
      <w:r w:rsidRPr="007E2881">
        <w:rPr>
          <w:rFonts w:ascii="Arial" w:hAnsi="Arial" w:cs="Arial"/>
          <w:b/>
          <w:lang w:val="en-US"/>
        </w:rPr>
        <w:t>(B)</w:t>
      </w:r>
      <w:r w:rsidRPr="007E2881">
        <w:rPr>
          <w:rFonts w:ascii="Arial" w:hAnsi="Arial" w:cs="Arial"/>
          <w:lang w:val="en-US"/>
        </w:rPr>
        <w:t xml:space="preserve"> Non-linear regression analysis of the percentage of IgG positive CD8</w:t>
      </w:r>
      <w:r w:rsidRPr="007E2881">
        <w:rPr>
          <w:rFonts w:ascii="Arial" w:hAnsi="Arial" w:cs="Arial"/>
          <w:vertAlign w:val="superscript"/>
          <w:lang w:val="en-US"/>
        </w:rPr>
        <w:t xml:space="preserve">+ </w:t>
      </w:r>
      <w:r w:rsidRPr="007E2881">
        <w:rPr>
          <w:rFonts w:ascii="Arial" w:hAnsi="Arial" w:cs="Arial"/>
          <w:lang w:val="en-US"/>
        </w:rPr>
        <w:t>(top) and CD4</w:t>
      </w:r>
      <w:r w:rsidRPr="007E2881">
        <w:rPr>
          <w:rFonts w:ascii="Arial" w:hAnsi="Arial" w:cs="Arial"/>
          <w:vertAlign w:val="superscript"/>
          <w:lang w:val="en-US"/>
        </w:rPr>
        <w:t xml:space="preserve">+ </w:t>
      </w:r>
      <w:r w:rsidRPr="007E2881">
        <w:rPr>
          <w:rFonts w:ascii="Arial" w:hAnsi="Arial" w:cs="Arial"/>
          <w:lang w:val="en-US"/>
        </w:rPr>
        <w:t xml:space="preserve">(bottom) T cells after incubation with a half-logarithmic dilution series of </w:t>
      </w:r>
      <w:proofErr w:type="spellStart"/>
      <w:r w:rsidRPr="007E2881">
        <w:rPr>
          <w:rFonts w:ascii="Arial" w:hAnsi="Arial" w:cs="Arial"/>
          <w:lang w:val="en-US"/>
        </w:rPr>
        <w:t>FabMAb</w:t>
      </w:r>
      <w:proofErr w:type="spellEnd"/>
      <w:r w:rsidRPr="007E2881">
        <w:rPr>
          <w:rFonts w:ascii="Arial" w:hAnsi="Arial" w:cs="Arial"/>
          <w:lang w:val="en-US"/>
        </w:rPr>
        <w:t xml:space="preserve"> ranging from 1000-0.03162 </w:t>
      </w:r>
      <w:proofErr w:type="spellStart"/>
      <w:r w:rsidRPr="007E2881">
        <w:rPr>
          <w:rFonts w:ascii="Arial" w:hAnsi="Arial" w:cs="Arial"/>
          <w:lang w:val="en-US"/>
        </w:rPr>
        <w:t>nM</w:t>
      </w:r>
      <w:proofErr w:type="spellEnd"/>
      <w:r w:rsidRPr="007E2881">
        <w:rPr>
          <w:rFonts w:ascii="Arial" w:hAnsi="Arial" w:cs="Arial"/>
          <w:lang w:val="en-US"/>
        </w:rPr>
        <w:t xml:space="preserve"> determined by flow cytometry. Single values of a representative experiment are shown. EC</w:t>
      </w:r>
      <w:r w:rsidRPr="007E2881">
        <w:rPr>
          <w:rFonts w:ascii="Arial" w:hAnsi="Arial" w:cs="Arial"/>
          <w:vertAlign w:val="subscript"/>
          <w:lang w:val="en-US"/>
        </w:rPr>
        <w:t>50</w:t>
      </w:r>
      <w:r w:rsidRPr="007E2881">
        <w:rPr>
          <w:rFonts w:ascii="Arial" w:hAnsi="Arial" w:cs="Arial"/>
          <w:lang w:val="en-US"/>
        </w:rPr>
        <w:t xml:space="preserve"> values were calculated with the Prism software using non-linear regression log(agonist) vs. response variable slope with a robust fit. </w:t>
      </w:r>
      <w:r w:rsidRPr="007E2881">
        <w:rPr>
          <w:rFonts w:ascii="Arial" w:hAnsi="Arial" w:cs="Arial"/>
          <w:b/>
          <w:lang w:val="en-US"/>
        </w:rPr>
        <w:t xml:space="preserve">(C) </w:t>
      </w:r>
      <w:r w:rsidRPr="007E2881">
        <w:rPr>
          <w:rFonts w:ascii="Arial" w:hAnsi="Arial" w:cs="Arial"/>
          <w:lang w:val="en-US"/>
        </w:rPr>
        <w:t>Gating strategy for the detection of CD4</w:t>
      </w:r>
      <w:r w:rsidRPr="007E2881">
        <w:rPr>
          <w:rFonts w:ascii="Arial" w:hAnsi="Arial" w:cs="Arial"/>
          <w:vertAlign w:val="superscript"/>
          <w:lang w:val="en-US"/>
        </w:rPr>
        <w:t>+</w:t>
      </w:r>
      <w:r w:rsidRPr="007E2881">
        <w:rPr>
          <w:rFonts w:ascii="Arial" w:hAnsi="Arial" w:cs="Arial"/>
          <w:lang w:val="en-US"/>
        </w:rPr>
        <w:t xml:space="preserve"> and CD8</w:t>
      </w:r>
      <w:r w:rsidRPr="007E2881">
        <w:rPr>
          <w:rFonts w:ascii="Arial" w:hAnsi="Arial" w:cs="Arial"/>
          <w:vertAlign w:val="superscript"/>
          <w:lang w:val="en-US"/>
        </w:rPr>
        <w:t>+</w:t>
      </w:r>
      <w:r w:rsidRPr="007E2881">
        <w:rPr>
          <w:rFonts w:ascii="Arial" w:hAnsi="Arial" w:cs="Arial"/>
          <w:lang w:val="en-US"/>
        </w:rPr>
        <w:t xml:space="preserve"> T cells, B cells, NK cells and </w:t>
      </w:r>
      <w:r w:rsidRPr="007E2881">
        <w:rPr>
          <w:rFonts w:ascii="Arial" w:hAnsi="Arial" w:cs="Arial"/>
          <w:color w:val="000000" w:themeColor="text1"/>
          <w:lang w:val="en-US"/>
        </w:rPr>
        <w:t xml:space="preserve">monocytes. PBMC were gated for lymphocytes, which were further gated on single cells and living cells. Living cells were gated for CD4 or CD8 expression to distinguish T cells and CD3 </w:t>
      </w:r>
      <w:r w:rsidRPr="007E2881">
        <w:rPr>
          <w:rFonts w:ascii="Arial" w:hAnsi="Arial"/>
          <w:color w:val="000000" w:themeColor="text1"/>
          <w:spacing w:val="3"/>
          <w:shd w:val="clear" w:color="auto" w:fill="FFFFFF"/>
          <w:lang w:val="en-US" w:eastAsia="de-DE"/>
        </w:rPr>
        <w:t xml:space="preserve">as well as CD19, CD56 and CD14 to separate B cells, NK cells and monocytes. </w:t>
      </w:r>
    </w:p>
    <w:p w14:paraId="3EE3D75A" w14:textId="77777777" w:rsidR="003728DF" w:rsidRPr="007E2881" w:rsidRDefault="003728DF" w:rsidP="003728DF">
      <w:pPr>
        <w:spacing w:line="480" w:lineRule="auto"/>
        <w:rPr>
          <w:rFonts w:ascii="Arial" w:hAnsi="Arial"/>
          <w:color w:val="000000" w:themeColor="text1"/>
          <w:spacing w:val="3"/>
          <w:shd w:val="clear" w:color="auto" w:fill="FFFFFF"/>
          <w:lang w:val="en-US" w:eastAsia="de-DE"/>
        </w:rPr>
      </w:pPr>
      <w:r w:rsidRPr="007E2881">
        <w:rPr>
          <w:rFonts w:ascii="Arial" w:hAnsi="Arial"/>
          <w:color w:val="000000" w:themeColor="text1"/>
          <w:spacing w:val="3"/>
          <w:shd w:val="clear" w:color="auto" w:fill="FFFFFF"/>
          <w:lang w:val="en-US" w:eastAsia="de-DE"/>
        </w:rPr>
        <w:br w:type="page"/>
      </w:r>
    </w:p>
    <w:p w14:paraId="45C97FFF" w14:textId="77777777" w:rsidR="003728DF" w:rsidRPr="007E2881" w:rsidRDefault="003728DF" w:rsidP="003728DF">
      <w:pPr>
        <w:rPr>
          <w:lang w:val="en-US"/>
        </w:rPr>
      </w:pPr>
      <w:r w:rsidRPr="007E2881">
        <w:rPr>
          <w:noProof/>
          <w:lang w:val="en-GB" w:eastAsia="en-GB"/>
        </w:rPr>
        <w:lastRenderedPageBreak/>
        <w:drawing>
          <wp:inline distT="0" distB="0" distL="0" distR="0" wp14:anchorId="23CD4EAA" wp14:editId="164FA182">
            <wp:extent cx="5305382" cy="6944008"/>
            <wp:effectExtent l="0" t="0" r="3810" b="3175"/>
            <wp:docPr id="14" name="Grafik 12" descr="Z:\GRPForschung_Troger\Oliver.Quitt\PHD\BiMab paper\Journal of hepatology\Figures\Figure S2\Supp figure 2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 descr="Z:\GRPForschung_Troger\Oliver.Quitt\PHD\BiMab paper\Journal of hepatology\Figures\Figure S2\Supp figure 2 JoH.png"/>
                    <pic:cNvPicPr>
                      <a:picLocks noChangeAspect="1"/>
                    </pic:cNvPicPr>
                  </pic:nvPicPr>
                  <pic:blipFill>
                    <a:blip r:embed="rId12"/>
                    <a:stretch/>
                  </pic:blipFill>
                  <pic:spPr bwMode="auto">
                    <a:xfrm>
                      <a:off x="0" y="0"/>
                      <a:ext cx="5306169" cy="6945038"/>
                    </a:xfrm>
                    <a:prstGeom prst="rect">
                      <a:avLst/>
                    </a:prstGeom>
                    <a:noFill/>
                    <a:ln>
                      <a:noFill/>
                    </a:ln>
                  </pic:spPr>
                </pic:pic>
              </a:graphicData>
            </a:graphic>
          </wp:inline>
        </w:drawing>
      </w:r>
    </w:p>
    <w:p w14:paraId="5E402D7B" w14:textId="77777777" w:rsidR="003728DF" w:rsidRPr="007E2881" w:rsidRDefault="003728DF" w:rsidP="003728DF">
      <w:pPr>
        <w:pBdr>
          <w:left w:val="none" w:sz="4" w:space="8" w:color="000000"/>
        </w:pBdr>
        <w:spacing w:after="0" w:line="360" w:lineRule="auto"/>
        <w:jc w:val="both"/>
        <w:rPr>
          <w:rFonts w:ascii="Arial" w:hAnsi="Arial" w:cs="Arial"/>
          <w:b/>
          <w:sz w:val="20"/>
          <w:szCs w:val="20"/>
          <w:lang w:val="en-US"/>
        </w:rPr>
      </w:pPr>
      <w:r w:rsidRPr="007E2881">
        <w:rPr>
          <w:rFonts w:ascii="Arial" w:hAnsi="Arial" w:cs="Arial"/>
          <w:b/>
          <w:sz w:val="20"/>
          <w:szCs w:val="20"/>
          <w:lang w:val="en-US"/>
        </w:rPr>
        <w:t xml:space="preserve">Supplementary Fig. 2. </w:t>
      </w:r>
      <w:proofErr w:type="spellStart"/>
      <w:r w:rsidRPr="007E2881">
        <w:rPr>
          <w:rFonts w:ascii="Arial" w:hAnsi="Arial" w:cs="Arial"/>
          <w:b/>
          <w:sz w:val="20"/>
          <w:szCs w:val="20"/>
          <w:lang w:val="en-US"/>
        </w:rPr>
        <w:t>HBVenv</w:t>
      </w:r>
      <w:proofErr w:type="spellEnd"/>
      <w:r w:rsidRPr="007E2881">
        <w:rPr>
          <w:rFonts w:ascii="Arial" w:hAnsi="Arial" w:cs="Arial"/>
          <w:b/>
          <w:sz w:val="20"/>
          <w:szCs w:val="20"/>
          <w:lang w:val="en-US"/>
        </w:rPr>
        <w:t>-binding T-cell engager antibodies induce upregulation of CD25 and LAMP-1 on CD8</w:t>
      </w:r>
      <w:r w:rsidRPr="007E2881">
        <w:rPr>
          <w:rFonts w:ascii="Arial" w:hAnsi="Arial" w:cs="Arial"/>
          <w:b/>
          <w:sz w:val="20"/>
          <w:szCs w:val="20"/>
          <w:vertAlign w:val="superscript"/>
          <w:lang w:val="en-US"/>
        </w:rPr>
        <w:t>+</w:t>
      </w:r>
      <w:r w:rsidRPr="007E2881">
        <w:rPr>
          <w:rFonts w:ascii="Arial" w:hAnsi="Arial" w:cs="Arial"/>
          <w:b/>
          <w:sz w:val="20"/>
          <w:szCs w:val="20"/>
          <w:lang w:val="en-US"/>
        </w:rPr>
        <w:t xml:space="preserve"> and CD4</w:t>
      </w:r>
      <w:r w:rsidRPr="007E2881">
        <w:rPr>
          <w:rFonts w:ascii="Arial" w:hAnsi="Arial" w:cs="Arial"/>
          <w:b/>
          <w:sz w:val="20"/>
          <w:szCs w:val="20"/>
          <w:vertAlign w:val="superscript"/>
          <w:lang w:val="en-US"/>
        </w:rPr>
        <w:t xml:space="preserve">+ </w:t>
      </w:r>
      <w:r w:rsidRPr="007E2881">
        <w:rPr>
          <w:rFonts w:ascii="Arial" w:hAnsi="Arial" w:cs="Arial"/>
          <w:b/>
          <w:sz w:val="20"/>
          <w:szCs w:val="20"/>
          <w:lang w:val="en-US"/>
        </w:rPr>
        <w:t xml:space="preserve">T cells. </w:t>
      </w:r>
      <w:r w:rsidRPr="007E2881">
        <w:rPr>
          <w:rFonts w:ascii="Arial" w:hAnsi="Arial" w:cs="Arial"/>
          <w:sz w:val="20"/>
          <w:szCs w:val="20"/>
          <w:lang w:val="en-US"/>
        </w:rPr>
        <w:t>Gating strategy for the detection of CD25 and LAMP-1 expressing CD4</w:t>
      </w:r>
      <w:r w:rsidRPr="007E2881">
        <w:rPr>
          <w:rFonts w:ascii="Arial" w:hAnsi="Arial" w:cs="Arial"/>
          <w:sz w:val="20"/>
          <w:szCs w:val="20"/>
          <w:vertAlign w:val="superscript"/>
          <w:lang w:val="en-US"/>
        </w:rPr>
        <w:t xml:space="preserve">+ </w:t>
      </w:r>
      <w:r w:rsidRPr="007E2881">
        <w:rPr>
          <w:rFonts w:ascii="Arial" w:hAnsi="Arial" w:cs="Arial"/>
          <w:sz w:val="20"/>
          <w:szCs w:val="20"/>
          <w:lang w:val="en-US"/>
        </w:rPr>
        <w:t>and CD8</w:t>
      </w:r>
      <w:r w:rsidRPr="007E2881">
        <w:rPr>
          <w:rFonts w:ascii="Arial" w:hAnsi="Arial" w:cs="Arial"/>
          <w:sz w:val="20"/>
          <w:szCs w:val="20"/>
          <w:vertAlign w:val="superscript"/>
          <w:lang w:val="en-US"/>
        </w:rPr>
        <w:t xml:space="preserve">+ </w:t>
      </w:r>
      <w:r w:rsidRPr="007E2881">
        <w:rPr>
          <w:rFonts w:ascii="Arial" w:hAnsi="Arial" w:cs="Arial"/>
          <w:sz w:val="20"/>
          <w:szCs w:val="20"/>
          <w:lang w:val="en-US"/>
        </w:rPr>
        <w:t xml:space="preserve">T cells. PBMC were cultured for 72 hours on plates </w:t>
      </w:r>
      <w:r w:rsidRPr="007E2881">
        <w:rPr>
          <w:rFonts w:ascii="Arial" w:hAnsi="Arial" w:cs="Arial"/>
          <w:b/>
          <w:sz w:val="20"/>
          <w:szCs w:val="20"/>
          <w:lang w:val="en-US"/>
        </w:rPr>
        <w:t>(A)</w:t>
      </w:r>
      <w:r w:rsidRPr="007E2881">
        <w:rPr>
          <w:rFonts w:ascii="Arial" w:hAnsi="Arial" w:cs="Arial"/>
          <w:sz w:val="20"/>
          <w:szCs w:val="20"/>
          <w:lang w:val="en-US"/>
        </w:rPr>
        <w:t xml:space="preserve"> with or </w:t>
      </w:r>
      <w:r w:rsidRPr="007E2881">
        <w:rPr>
          <w:rFonts w:ascii="Arial" w:hAnsi="Arial" w:cs="Arial"/>
          <w:b/>
          <w:sz w:val="20"/>
          <w:szCs w:val="20"/>
          <w:lang w:val="en-US"/>
        </w:rPr>
        <w:t>(B)</w:t>
      </w:r>
      <w:r w:rsidRPr="007E2881">
        <w:rPr>
          <w:rFonts w:ascii="Arial" w:hAnsi="Arial" w:cs="Arial"/>
          <w:sz w:val="20"/>
          <w:szCs w:val="20"/>
          <w:lang w:val="en-US"/>
        </w:rPr>
        <w:t xml:space="preserve"> without HBsAg coated in the presence of 3 </w:t>
      </w:r>
      <w:proofErr w:type="spellStart"/>
      <w:r w:rsidRPr="007E2881">
        <w:rPr>
          <w:rFonts w:ascii="Arial" w:hAnsi="Arial" w:cs="Arial"/>
          <w:sz w:val="20"/>
          <w:szCs w:val="20"/>
          <w:lang w:val="en-US"/>
        </w:rPr>
        <w:t>nM</w:t>
      </w:r>
      <w:proofErr w:type="spellEnd"/>
      <w:r w:rsidRPr="007E2881">
        <w:rPr>
          <w:rFonts w:ascii="Arial" w:hAnsi="Arial" w:cs="Arial"/>
          <w:sz w:val="20"/>
          <w:szCs w:val="20"/>
          <w:lang w:val="en-US"/>
        </w:rPr>
        <w:t xml:space="preserve">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 xml:space="preserve">αCD3 and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 xml:space="preserve">αCD28 in a 1:1 ratio. Flow cytometry dot plots were first gated for lymphocytes, and in a second step for living cells. Living cells were gated for CD4 or CD8 expression to identify T cell subsets, and further gated on CD25 and LAMP-1. </w:t>
      </w:r>
      <w:r w:rsidRPr="007E2881">
        <w:rPr>
          <w:rFonts w:ascii="Arial" w:hAnsi="Arial" w:cs="Arial"/>
          <w:b/>
          <w:sz w:val="20"/>
          <w:szCs w:val="20"/>
          <w:lang w:val="en-US"/>
        </w:rPr>
        <w:t>(C,D)</w:t>
      </w:r>
      <w:r w:rsidRPr="007E2881">
        <w:rPr>
          <w:rFonts w:ascii="Arial" w:hAnsi="Arial" w:cs="Arial"/>
          <w:sz w:val="20"/>
          <w:szCs w:val="20"/>
          <w:lang w:val="en-US"/>
        </w:rPr>
        <w:t xml:space="preserve"> Quantification of CD25</w:t>
      </w:r>
      <w:r w:rsidRPr="007E2881">
        <w:rPr>
          <w:rFonts w:ascii="Arial" w:hAnsi="Arial" w:cs="Arial"/>
          <w:sz w:val="20"/>
          <w:szCs w:val="20"/>
          <w:vertAlign w:val="superscript"/>
          <w:lang w:val="en-US"/>
        </w:rPr>
        <w:t xml:space="preserve">+ </w:t>
      </w:r>
      <w:r w:rsidRPr="007E2881">
        <w:rPr>
          <w:rFonts w:ascii="Arial" w:hAnsi="Arial" w:cs="Arial"/>
          <w:sz w:val="20"/>
          <w:szCs w:val="20"/>
          <w:lang w:val="en-US"/>
        </w:rPr>
        <w:t>and LAMP</w:t>
      </w:r>
      <w:r w:rsidRPr="007E2881">
        <w:rPr>
          <w:rFonts w:ascii="Arial" w:hAnsi="Arial" w:cs="Arial"/>
          <w:sz w:val="20"/>
          <w:szCs w:val="20"/>
          <w:lang w:val="en-US"/>
        </w:rPr>
        <w:noBreakHyphen/>
        <w:t>1</w:t>
      </w:r>
      <w:r w:rsidRPr="007E2881">
        <w:rPr>
          <w:rFonts w:ascii="Arial" w:hAnsi="Arial" w:cs="Arial"/>
          <w:sz w:val="20"/>
          <w:szCs w:val="20"/>
          <w:vertAlign w:val="superscript"/>
          <w:lang w:val="en-US"/>
        </w:rPr>
        <w:t>+</w:t>
      </w:r>
      <w:r w:rsidRPr="007E2881">
        <w:rPr>
          <w:rFonts w:ascii="Arial" w:hAnsi="Arial" w:cs="Arial"/>
          <w:sz w:val="20"/>
          <w:szCs w:val="20"/>
          <w:lang w:val="en-US"/>
        </w:rPr>
        <w:t>-positive CD4</w:t>
      </w:r>
      <w:r w:rsidRPr="007E2881">
        <w:rPr>
          <w:rFonts w:ascii="Arial" w:hAnsi="Arial" w:cs="Arial"/>
          <w:sz w:val="20"/>
          <w:szCs w:val="20"/>
          <w:vertAlign w:val="superscript"/>
          <w:lang w:val="en-US"/>
        </w:rPr>
        <w:t xml:space="preserve">+ </w:t>
      </w:r>
      <w:r w:rsidRPr="007E2881">
        <w:rPr>
          <w:rFonts w:ascii="Arial" w:hAnsi="Arial" w:cs="Arial"/>
          <w:sz w:val="20"/>
          <w:szCs w:val="20"/>
          <w:lang w:val="en-US"/>
        </w:rPr>
        <w:t>T cells</w:t>
      </w:r>
      <w:r w:rsidRPr="007E2881">
        <w:rPr>
          <w:rFonts w:ascii="Arial" w:hAnsi="Arial" w:cs="Arial"/>
          <w:b/>
          <w:sz w:val="20"/>
          <w:szCs w:val="20"/>
          <w:lang w:val="en-US"/>
        </w:rPr>
        <w:t xml:space="preserve"> </w:t>
      </w:r>
      <w:r w:rsidRPr="007E2881">
        <w:rPr>
          <w:rFonts w:ascii="Arial" w:hAnsi="Arial" w:cs="Arial"/>
          <w:sz w:val="20"/>
          <w:szCs w:val="20"/>
          <w:lang w:val="en-US"/>
        </w:rPr>
        <w:t xml:space="preserve">given as </w:t>
      </w:r>
      <w:r w:rsidRPr="007E2881">
        <w:rPr>
          <w:rFonts w:ascii="Arial" w:hAnsi="Arial" w:cs="Arial"/>
          <w:b/>
          <w:sz w:val="20"/>
          <w:szCs w:val="20"/>
          <w:lang w:val="en-US"/>
        </w:rPr>
        <w:t>(C)</w:t>
      </w:r>
      <w:r w:rsidRPr="007E2881">
        <w:rPr>
          <w:rFonts w:ascii="Arial" w:hAnsi="Arial" w:cs="Arial"/>
          <w:sz w:val="20"/>
          <w:szCs w:val="20"/>
          <w:lang w:val="en-US"/>
        </w:rPr>
        <w:t xml:space="preserve"> percentage of the parental population or </w:t>
      </w:r>
      <w:r w:rsidRPr="007E2881">
        <w:rPr>
          <w:rFonts w:ascii="Arial" w:hAnsi="Arial" w:cs="Arial"/>
          <w:b/>
          <w:sz w:val="20"/>
          <w:szCs w:val="20"/>
          <w:lang w:val="en-US"/>
        </w:rPr>
        <w:t>(D)</w:t>
      </w:r>
      <w:r w:rsidRPr="007E2881">
        <w:rPr>
          <w:rFonts w:ascii="Arial" w:hAnsi="Arial" w:cs="Arial"/>
          <w:sz w:val="20"/>
          <w:szCs w:val="20"/>
          <w:lang w:val="en-US"/>
        </w:rPr>
        <w:t xml:space="preserve"> MFI.</w:t>
      </w:r>
      <w:r w:rsidRPr="007E2881">
        <w:rPr>
          <w:rFonts w:ascii="Arial" w:hAnsi="Arial" w:cs="Arial"/>
          <w:b/>
          <w:sz w:val="20"/>
          <w:szCs w:val="20"/>
          <w:lang w:val="en-US"/>
        </w:rPr>
        <w:t xml:space="preserve"> </w:t>
      </w:r>
    </w:p>
    <w:p w14:paraId="5F1DAB56" w14:textId="77777777" w:rsidR="003728DF" w:rsidRPr="007E2881" w:rsidRDefault="003728DF" w:rsidP="003728DF">
      <w:pPr>
        <w:rPr>
          <w:rFonts w:ascii="Arial" w:hAnsi="Arial" w:cs="Arial"/>
          <w:b/>
          <w:lang w:val="en-US"/>
        </w:rPr>
      </w:pPr>
      <w:r w:rsidRPr="007E2881">
        <w:rPr>
          <w:rFonts w:ascii="Arial" w:hAnsi="Arial" w:cs="Arial"/>
          <w:b/>
          <w:lang w:val="en-US"/>
        </w:rPr>
        <w:br w:type="page"/>
      </w:r>
    </w:p>
    <w:p w14:paraId="1042F26A" w14:textId="77777777" w:rsidR="003728DF" w:rsidRPr="007E2881" w:rsidRDefault="003728DF" w:rsidP="003728DF">
      <w:pPr>
        <w:rPr>
          <w:lang w:val="en-US"/>
        </w:rPr>
      </w:pPr>
      <w:r w:rsidRPr="007E2881">
        <w:rPr>
          <w:noProof/>
          <w:lang w:val="en-GB" w:eastAsia="en-GB"/>
        </w:rPr>
        <w:lastRenderedPageBreak/>
        <w:drawing>
          <wp:inline distT="0" distB="0" distL="0" distR="0" wp14:anchorId="07F3B23A" wp14:editId="2B08FED0">
            <wp:extent cx="4961299" cy="7141948"/>
            <wp:effectExtent l="0" t="0" r="4445" b="0"/>
            <wp:docPr id="15" name="Grafik 13" descr="Z:\GRPForschung_Troger\Oliver.Quitt\PHD\BiMab paper\Journal of hepatology\Figures\Figure S2\Supp figure 3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3" descr="Z:\GRPForschung_Troger\Oliver.Quitt\PHD\BiMab paper\Journal of hepatology\Figures\Figure S2\Supp figure 3 JoH.png"/>
                    <pic:cNvPicPr>
                      <a:picLocks noChangeAspect="1"/>
                    </pic:cNvPicPr>
                  </pic:nvPicPr>
                  <pic:blipFill>
                    <a:blip r:embed="rId13"/>
                    <a:stretch/>
                  </pic:blipFill>
                  <pic:spPr bwMode="auto">
                    <a:xfrm>
                      <a:off x="0" y="0"/>
                      <a:ext cx="4962267" cy="7143341"/>
                    </a:xfrm>
                    <a:prstGeom prst="rect">
                      <a:avLst/>
                    </a:prstGeom>
                    <a:noFill/>
                    <a:ln>
                      <a:noFill/>
                    </a:ln>
                  </pic:spPr>
                </pic:pic>
              </a:graphicData>
            </a:graphic>
          </wp:inline>
        </w:drawing>
      </w:r>
    </w:p>
    <w:p w14:paraId="735A7CC2" w14:textId="77777777" w:rsidR="003728DF" w:rsidRPr="007E2881" w:rsidRDefault="003728DF" w:rsidP="003728DF">
      <w:pPr>
        <w:pBdr>
          <w:left w:val="none" w:sz="4" w:space="8" w:color="000000"/>
        </w:pBdr>
        <w:spacing w:after="0" w:line="360" w:lineRule="auto"/>
        <w:jc w:val="both"/>
        <w:rPr>
          <w:rFonts w:ascii="Arial" w:hAnsi="Arial" w:cs="Arial"/>
          <w:sz w:val="20"/>
          <w:szCs w:val="20"/>
          <w:lang w:val="en-US"/>
        </w:rPr>
      </w:pPr>
      <w:r w:rsidRPr="007E2881">
        <w:rPr>
          <w:rFonts w:ascii="Arial" w:hAnsi="Arial" w:cs="Arial"/>
          <w:b/>
          <w:sz w:val="20"/>
          <w:szCs w:val="20"/>
          <w:lang w:val="en-US"/>
        </w:rPr>
        <w:t xml:space="preserve">Supplementary Fig. 3. </w:t>
      </w:r>
      <w:proofErr w:type="spellStart"/>
      <w:r w:rsidRPr="007E2881">
        <w:rPr>
          <w:rFonts w:ascii="Arial" w:hAnsi="Arial" w:cs="Arial"/>
          <w:b/>
          <w:sz w:val="20"/>
          <w:szCs w:val="20"/>
          <w:lang w:val="en-US"/>
        </w:rPr>
        <w:t>HBVenv</w:t>
      </w:r>
      <w:proofErr w:type="spellEnd"/>
      <w:r w:rsidRPr="007E2881">
        <w:rPr>
          <w:rFonts w:ascii="Arial" w:hAnsi="Arial" w:cs="Arial"/>
          <w:b/>
          <w:sz w:val="20"/>
          <w:szCs w:val="20"/>
          <w:lang w:val="en-US"/>
        </w:rPr>
        <w:t xml:space="preserve">-binding T-cell engager antibodies activate T cells to secrete IFNγ, IL-2 and TNFα when cultured on recombinant HBsAg. </w:t>
      </w:r>
      <w:r w:rsidRPr="007E2881">
        <w:rPr>
          <w:rFonts w:ascii="Arial" w:hAnsi="Arial" w:cs="Arial"/>
          <w:sz w:val="20"/>
          <w:szCs w:val="20"/>
          <w:lang w:val="en-US"/>
        </w:rPr>
        <w:t xml:space="preserve">PBMC were cultured for 72 hours on plated with (+) or without (-)HBsAg coated in the presence of the indicated concentration of </w:t>
      </w:r>
      <w:r w:rsidRPr="007E2881">
        <w:rPr>
          <w:rFonts w:ascii="Arial" w:hAnsi="Arial" w:cs="Arial"/>
          <w:b/>
          <w:sz w:val="20"/>
          <w:szCs w:val="20"/>
          <w:lang w:val="en-US"/>
        </w:rPr>
        <w:t>(A)</w:t>
      </w:r>
      <w:r w:rsidRPr="007E2881">
        <w:rPr>
          <w:rFonts w:ascii="Arial" w:hAnsi="Arial" w:cs="Arial"/>
          <w:sz w:val="20"/>
          <w:szCs w:val="20"/>
          <w:lang w:val="en-US"/>
        </w:rPr>
        <w:t xml:space="preserve"> </w:t>
      </w:r>
      <w:proofErr w:type="spellStart"/>
      <w:r w:rsidRPr="007E2881">
        <w:rPr>
          <w:rFonts w:ascii="Arial" w:hAnsi="Arial" w:cs="Arial"/>
          <w:sz w:val="20"/>
          <w:szCs w:val="20"/>
          <w:lang w:val="en-US"/>
        </w:rPr>
        <w:t>BiMAb</w:t>
      </w:r>
      <w:proofErr w:type="spellEnd"/>
      <w:r w:rsidRPr="007E2881">
        <w:rPr>
          <w:rFonts w:ascii="Arial" w:hAnsi="Arial" w:cs="Arial"/>
          <w:sz w:val="20"/>
          <w:szCs w:val="20"/>
          <w:lang w:val="en-US"/>
        </w:rPr>
        <w:t xml:space="preserve"> or </w:t>
      </w:r>
      <w:r w:rsidRPr="007E2881">
        <w:rPr>
          <w:rFonts w:ascii="Arial" w:hAnsi="Arial" w:cs="Arial"/>
          <w:b/>
          <w:sz w:val="20"/>
          <w:szCs w:val="20"/>
          <w:lang w:val="en-US"/>
        </w:rPr>
        <w:t>(B)</w:t>
      </w:r>
      <w:r w:rsidRPr="007E2881">
        <w:rPr>
          <w:rFonts w:ascii="Arial" w:hAnsi="Arial" w:cs="Arial"/>
          <w:sz w:val="20"/>
          <w:szCs w:val="20"/>
          <w:lang w:val="en-US"/>
        </w:rPr>
        <w:t xml:space="preserve">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 Cytokines were quantified in the supernatant by ELISA. Treatment was performed with CD3-specific constructs (left), CD28-specific constructs (middle) or the combination of both constructs in a 1:1 ratio (right). Data are presented as mean values ± SD of triplicate co-cultures (</w:t>
      </w:r>
      <w:r w:rsidRPr="007E2881">
        <w:rPr>
          <w:rFonts w:ascii="Arial" w:hAnsi="Arial" w:cs="Arial"/>
          <w:i/>
          <w:sz w:val="20"/>
          <w:szCs w:val="20"/>
          <w:lang w:val="en-US"/>
        </w:rPr>
        <w:t>n</w:t>
      </w:r>
      <w:r w:rsidRPr="007E2881">
        <w:rPr>
          <w:rFonts w:ascii="Arial" w:hAnsi="Arial" w:cs="Arial"/>
          <w:sz w:val="20"/>
          <w:szCs w:val="20"/>
          <w:lang w:val="en-US"/>
        </w:rPr>
        <w:t xml:space="preserve"> = 3). </w:t>
      </w:r>
    </w:p>
    <w:p w14:paraId="71711DC7" w14:textId="77777777" w:rsidR="003728DF" w:rsidRPr="007E2881" w:rsidRDefault="003728DF" w:rsidP="003728DF">
      <w:pPr>
        <w:rPr>
          <w:rFonts w:ascii="Arial" w:hAnsi="Arial" w:cs="Arial"/>
          <w:lang w:val="en-US"/>
        </w:rPr>
      </w:pPr>
      <w:r w:rsidRPr="007E2881">
        <w:rPr>
          <w:rFonts w:ascii="Arial" w:hAnsi="Arial" w:cs="Arial"/>
          <w:lang w:val="en-US"/>
        </w:rPr>
        <w:br w:type="page"/>
      </w:r>
    </w:p>
    <w:p w14:paraId="1B904C83" w14:textId="77777777" w:rsidR="003728DF" w:rsidRPr="007E2881" w:rsidRDefault="003728DF" w:rsidP="003728DF">
      <w:pPr>
        <w:pBdr>
          <w:left w:val="none" w:sz="4" w:space="8" w:color="000000"/>
        </w:pBdr>
        <w:spacing w:after="0" w:line="480" w:lineRule="auto"/>
        <w:jc w:val="both"/>
        <w:rPr>
          <w:rFonts w:ascii="Arial" w:hAnsi="Arial" w:cs="Arial"/>
          <w:lang w:val="en-US"/>
        </w:rPr>
      </w:pPr>
    </w:p>
    <w:p w14:paraId="09D402C1" w14:textId="77777777" w:rsidR="003728DF" w:rsidRPr="007E2881" w:rsidRDefault="003728DF" w:rsidP="003728DF">
      <w:pPr>
        <w:pBdr>
          <w:left w:val="none" w:sz="4" w:space="8" w:color="000000"/>
        </w:pBdr>
        <w:spacing w:after="0" w:line="360" w:lineRule="auto"/>
        <w:jc w:val="both"/>
        <w:rPr>
          <w:rFonts w:ascii="Arial" w:hAnsi="Arial" w:cs="Arial"/>
          <w:lang w:val="en-US"/>
        </w:rPr>
      </w:pPr>
    </w:p>
    <w:p w14:paraId="257A4C54" w14:textId="77777777" w:rsidR="003728DF" w:rsidRPr="007E2881" w:rsidRDefault="003728DF" w:rsidP="003728DF">
      <w:pPr>
        <w:rPr>
          <w:lang w:val="en-US"/>
        </w:rPr>
      </w:pPr>
      <w:r w:rsidRPr="007E2881">
        <w:rPr>
          <w:noProof/>
          <w:lang w:val="en-GB" w:eastAsia="en-GB"/>
        </w:rPr>
        <w:drawing>
          <wp:inline distT="0" distB="0" distL="0" distR="0" wp14:anchorId="13243DB1" wp14:editId="705F77C1">
            <wp:extent cx="5760720" cy="2981934"/>
            <wp:effectExtent l="0" t="0" r="0" b="9525"/>
            <wp:docPr id="16" name="Grafik 14" descr="Z:\GRPForschung_Troger\Oliver.Quitt\PHD\BiMab paper\Journal of hepatology\Figures\Figure S2\Supp figure 4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descr="Z:\GRPForschung_Troger\Oliver.Quitt\PHD\BiMab paper\Journal of hepatology\Figures\Figure S2\Supp figure 4 JoH.png"/>
                    <pic:cNvPicPr>
                      <a:picLocks noChangeAspect="1"/>
                    </pic:cNvPicPr>
                  </pic:nvPicPr>
                  <pic:blipFill>
                    <a:blip r:embed="rId14"/>
                    <a:stretch/>
                  </pic:blipFill>
                  <pic:spPr bwMode="auto">
                    <a:xfrm>
                      <a:off x="0" y="0"/>
                      <a:ext cx="5760720" cy="2981934"/>
                    </a:xfrm>
                    <a:prstGeom prst="rect">
                      <a:avLst/>
                    </a:prstGeom>
                    <a:noFill/>
                    <a:ln>
                      <a:noFill/>
                    </a:ln>
                  </pic:spPr>
                </pic:pic>
              </a:graphicData>
            </a:graphic>
          </wp:inline>
        </w:drawing>
      </w:r>
    </w:p>
    <w:p w14:paraId="5FCEFE6B" w14:textId="77777777" w:rsidR="003728DF" w:rsidRPr="000967DE" w:rsidRDefault="003728DF" w:rsidP="003728DF">
      <w:pPr>
        <w:pBdr>
          <w:left w:val="none" w:sz="4" w:space="8" w:color="000000"/>
        </w:pBdr>
        <w:spacing w:after="0" w:line="360" w:lineRule="auto"/>
        <w:jc w:val="both"/>
        <w:rPr>
          <w:rFonts w:ascii="Arial" w:hAnsi="Arial" w:cs="Arial"/>
          <w:sz w:val="20"/>
          <w:szCs w:val="20"/>
          <w:lang w:val="en-US"/>
        </w:rPr>
      </w:pPr>
      <w:r w:rsidRPr="007E2881">
        <w:rPr>
          <w:rFonts w:ascii="Arial" w:hAnsi="Arial" w:cs="Arial"/>
          <w:b/>
          <w:sz w:val="20"/>
          <w:szCs w:val="20"/>
          <w:lang w:val="en-US"/>
        </w:rPr>
        <w:t xml:space="preserve">Supplementary Fig. 4. </w:t>
      </w:r>
      <w:proofErr w:type="spellStart"/>
      <w:r w:rsidRPr="007E2881">
        <w:rPr>
          <w:rFonts w:ascii="Arial" w:hAnsi="Arial" w:cs="Arial"/>
          <w:b/>
          <w:sz w:val="20"/>
          <w:szCs w:val="20"/>
          <w:lang w:val="en-US"/>
        </w:rPr>
        <w:t>HBVenv</w:t>
      </w:r>
      <w:proofErr w:type="spellEnd"/>
      <w:r w:rsidRPr="007E2881">
        <w:rPr>
          <w:rFonts w:ascii="Arial" w:hAnsi="Arial" w:cs="Arial"/>
          <w:b/>
          <w:sz w:val="20"/>
          <w:szCs w:val="20"/>
          <w:lang w:val="en-US"/>
        </w:rPr>
        <w:t xml:space="preserve">-binding T-cell engager antibodies activate T cells to secret IFNγ, IL-2 and TNFα in co-cultures with transgenic target cells. </w:t>
      </w:r>
      <w:r w:rsidRPr="007E2881">
        <w:rPr>
          <w:rFonts w:ascii="Arial" w:hAnsi="Arial" w:cs="Arial"/>
          <w:sz w:val="20"/>
          <w:szCs w:val="20"/>
          <w:lang w:val="en-US"/>
        </w:rPr>
        <w:t xml:space="preserve">PBMC were cultured with </w:t>
      </w:r>
      <w:proofErr w:type="spellStart"/>
      <w:r w:rsidRPr="007E2881">
        <w:rPr>
          <w:rFonts w:ascii="Arial" w:hAnsi="Arial" w:cs="Arial"/>
          <w:sz w:val="20"/>
          <w:szCs w:val="20"/>
          <w:lang w:val="en-US"/>
        </w:rPr>
        <w:t>HBVenv</w:t>
      </w:r>
      <w:proofErr w:type="spellEnd"/>
      <w:r w:rsidRPr="007E2881">
        <w:rPr>
          <w:rFonts w:ascii="Arial" w:hAnsi="Arial" w:cs="Arial"/>
          <w:sz w:val="20"/>
          <w:szCs w:val="20"/>
          <w:lang w:val="en-US"/>
        </w:rPr>
        <w:t xml:space="preserve">-expressing Huh7S or parental Huh7 cells as control in the presence of 3 </w:t>
      </w:r>
      <w:proofErr w:type="spellStart"/>
      <w:r w:rsidRPr="007E2881">
        <w:rPr>
          <w:rFonts w:ascii="Arial" w:hAnsi="Arial" w:cs="Arial"/>
          <w:sz w:val="20"/>
          <w:szCs w:val="20"/>
          <w:lang w:val="en-US"/>
        </w:rPr>
        <w:t>nM</w:t>
      </w:r>
      <w:proofErr w:type="spellEnd"/>
      <w:r w:rsidRPr="007E2881">
        <w:rPr>
          <w:rFonts w:ascii="Arial" w:hAnsi="Arial" w:cs="Arial"/>
          <w:sz w:val="20"/>
          <w:szCs w:val="20"/>
          <w:lang w:val="en-US"/>
        </w:rPr>
        <w:t xml:space="preserve"> of </w:t>
      </w:r>
      <w:proofErr w:type="spellStart"/>
      <w:r w:rsidRPr="007E2881">
        <w:rPr>
          <w:rFonts w:ascii="Arial" w:hAnsi="Arial" w:cs="Arial"/>
          <w:sz w:val="20"/>
          <w:szCs w:val="20"/>
          <w:lang w:val="en-US"/>
        </w:rPr>
        <w:t>of</w:t>
      </w:r>
      <w:proofErr w:type="spellEnd"/>
      <w:r w:rsidRPr="007E2881">
        <w:rPr>
          <w:rFonts w:ascii="Arial" w:hAnsi="Arial" w:cs="Arial"/>
          <w:sz w:val="20"/>
          <w:szCs w:val="20"/>
          <w:lang w:val="en-US"/>
        </w:rPr>
        <w:t xml:space="preserve"> CD3- and CD28-targeting </w:t>
      </w:r>
      <w:proofErr w:type="spellStart"/>
      <w:r w:rsidRPr="007E2881">
        <w:rPr>
          <w:rFonts w:ascii="Arial" w:hAnsi="Arial" w:cs="Arial"/>
          <w:sz w:val="20"/>
          <w:szCs w:val="20"/>
          <w:lang w:val="en-US"/>
        </w:rPr>
        <w:t>BiMAb</w:t>
      </w:r>
      <w:proofErr w:type="spellEnd"/>
      <w:r w:rsidRPr="007E2881">
        <w:rPr>
          <w:rFonts w:ascii="Arial" w:hAnsi="Arial" w:cs="Arial"/>
          <w:sz w:val="20"/>
          <w:szCs w:val="20"/>
          <w:lang w:val="en-US"/>
        </w:rPr>
        <w:t xml:space="preserve"> (top) or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 xml:space="preserve"> (bottom) in a 1:1 ratio. Levels of </w:t>
      </w:r>
      <w:r w:rsidRPr="007E2881">
        <w:rPr>
          <w:rFonts w:ascii="Arial" w:hAnsi="Arial" w:cs="Arial"/>
          <w:b/>
          <w:sz w:val="20"/>
          <w:szCs w:val="20"/>
          <w:lang w:val="en-US"/>
        </w:rPr>
        <w:t>(A)</w:t>
      </w:r>
      <w:r w:rsidRPr="007E2881">
        <w:rPr>
          <w:rFonts w:ascii="Arial" w:hAnsi="Arial" w:cs="Arial"/>
          <w:sz w:val="20"/>
          <w:szCs w:val="20"/>
          <w:lang w:val="en-US"/>
        </w:rPr>
        <w:t xml:space="preserve"> IFNγ, </w:t>
      </w:r>
      <w:r w:rsidRPr="000967DE">
        <w:rPr>
          <w:rFonts w:ascii="Arial" w:hAnsi="Arial" w:cs="Arial"/>
          <w:b/>
          <w:sz w:val="20"/>
          <w:szCs w:val="20"/>
          <w:lang w:val="en-US"/>
        </w:rPr>
        <w:t>(B)</w:t>
      </w:r>
      <w:r w:rsidRPr="000967DE">
        <w:rPr>
          <w:rFonts w:ascii="Arial" w:hAnsi="Arial" w:cs="Arial"/>
          <w:sz w:val="20"/>
          <w:szCs w:val="20"/>
          <w:lang w:val="en-US"/>
        </w:rPr>
        <w:t xml:space="preserve"> IL-2, and </w:t>
      </w:r>
      <w:r w:rsidRPr="000967DE">
        <w:rPr>
          <w:rFonts w:ascii="Arial" w:hAnsi="Arial" w:cs="Arial"/>
          <w:b/>
          <w:sz w:val="20"/>
          <w:szCs w:val="20"/>
          <w:lang w:val="en-US"/>
        </w:rPr>
        <w:t>(C)</w:t>
      </w:r>
      <w:r w:rsidRPr="000967DE">
        <w:rPr>
          <w:rFonts w:ascii="Arial" w:hAnsi="Arial" w:cs="Arial"/>
          <w:sz w:val="20"/>
          <w:szCs w:val="20"/>
          <w:lang w:val="en-US"/>
        </w:rPr>
        <w:t xml:space="preserve"> TNFα in the supernatant was quantified by ELISA at indicated time points. Data are presented as mean values ± SD of triplicate co-cultures (</w:t>
      </w:r>
      <w:r w:rsidRPr="000967DE">
        <w:rPr>
          <w:rFonts w:ascii="Arial" w:hAnsi="Arial" w:cs="Arial"/>
          <w:i/>
          <w:sz w:val="20"/>
          <w:szCs w:val="20"/>
          <w:lang w:val="en-US"/>
        </w:rPr>
        <w:t>n</w:t>
      </w:r>
      <w:r w:rsidRPr="000967DE">
        <w:rPr>
          <w:rFonts w:ascii="Arial" w:hAnsi="Arial" w:cs="Arial"/>
          <w:sz w:val="20"/>
          <w:szCs w:val="20"/>
          <w:lang w:val="en-US"/>
        </w:rPr>
        <w:t xml:space="preserve"> = 3). </w:t>
      </w:r>
    </w:p>
    <w:p w14:paraId="230328CA" w14:textId="77777777" w:rsidR="003728DF" w:rsidRPr="007E2881" w:rsidRDefault="003728DF" w:rsidP="003728DF">
      <w:pPr>
        <w:rPr>
          <w:lang w:val="en-US"/>
        </w:rPr>
      </w:pPr>
      <w:r w:rsidRPr="007E2881">
        <w:rPr>
          <w:noProof/>
          <w:lang w:val="en-GB" w:eastAsia="en-GB"/>
        </w:rPr>
        <w:lastRenderedPageBreak/>
        <w:drawing>
          <wp:inline distT="0" distB="0" distL="0" distR="0" wp14:anchorId="198219C2" wp14:editId="2F22D7A8">
            <wp:extent cx="5760720" cy="6739519"/>
            <wp:effectExtent l="0" t="0" r="0" b="4445"/>
            <wp:docPr id="17" name="Grafik 15" descr="Z:\GRPForschung_Troger\Oliver.Quitt\PHD\BiMab paper\Journal of hepatology\Figures\Figure S2\Supp figure 5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 descr="Z:\GRPForschung_Troger\Oliver.Quitt\PHD\BiMab paper\Journal of hepatology\Figures\Figure S2\Supp figure 5 JoH.png"/>
                    <pic:cNvPicPr>
                      <a:picLocks noChangeAspect="1"/>
                    </pic:cNvPicPr>
                  </pic:nvPicPr>
                  <pic:blipFill>
                    <a:blip r:embed="rId15"/>
                    <a:stretch/>
                  </pic:blipFill>
                  <pic:spPr bwMode="auto">
                    <a:xfrm>
                      <a:off x="0" y="0"/>
                      <a:ext cx="5760720" cy="6739519"/>
                    </a:xfrm>
                    <a:prstGeom prst="rect">
                      <a:avLst/>
                    </a:prstGeom>
                    <a:noFill/>
                    <a:ln>
                      <a:noFill/>
                    </a:ln>
                  </pic:spPr>
                </pic:pic>
              </a:graphicData>
            </a:graphic>
          </wp:inline>
        </w:drawing>
      </w:r>
    </w:p>
    <w:p w14:paraId="4B407FA9" w14:textId="77777777" w:rsidR="003728DF" w:rsidRPr="007E2881" w:rsidRDefault="003728DF" w:rsidP="003728DF">
      <w:pPr>
        <w:pBdr>
          <w:left w:val="none" w:sz="4" w:space="8" w:color="000000"/>
        </w:pBdr>
        <w:spacing w:after="0" w:line="360" w:lineRule="auto"/>
        <w:jc w:val="both"/>
        <w:rPr>
          <w:rFonts w:ascii="Arial" w:hAnsi="Arial" w:cs="Arial"/>
          <w:sz w:val="20"/>
          <w:szCs w:val="20"/>
          <w:lang w:val="en-US"/>
        </w:rPr>
      </w:pPr>
      <w:r w:rsidRPr="007E2881">
        <w:rPr>
          <w:rFonts w:ascii="Arial" w:hAnsi="Arial" w:cs="Arial"/>
          <w:b/>
          <w:sz w:val="20"/>
          <w:szCs w:val="20"/>
          <w:lang w:val="en-US"/>
        </w:rPr>
        <w:t xml:space="preserve">Supplementary Fig. 5. </w:t>
      </w:r>
      <w:proofErr w:type="spellStart"/>
      <w:r w:rsidRPr="007E2881">
        <w:rPr>
          <w:rFonts w:ascii="Arial" w:hAnsi="Arial" w:cs="Arial"/>
          <w:b/>
          <w:sz w:val="20"/>
          <w:szCs w:val="20"/>
          <w:lang w:val="en-US"/>
        </w:rPr>
        <w:t>HBVenv</w:t>
      </w:r>
      <w:proofErr w:type="spellEnd"/>
      <w:r w:rsidRPr="007E2881">
        <w:rPr>
          <w:rFonts w:ascii="Arial" w:hAnsi="Arial" w:cs="Arial"/>
          <w:b/>
          <w:sz w:val="20"/>
          <w:szCs w:val="20"/>
          <w:lang w:val="en-US"/>
        </w:rPr>
        <w:t xml:space="preserve">-binding T-cell engager antibodies activate T cells to upregulate cytokine expression. </w:t>
      </w:r>
      <w:r w:rsidRPr="007E2881">
        <w:rPr>
          <w:rFonts w:ascii="Arial" w:hAnsi="Arial" w:cs="Arial"/>
          <w:sz w:val="20"/>
          <w:szCs w:val="20"/>
          <w:lang w:val="en-US"/>
        </w:rPr>
        <w:t xml:space="preserve">PBMC were cultured with </w:t>
      </w:r>
      <w:proofErr w:type="spellStart"/>
      <w:r w:rsidRPr="007E2881">
        <w:rPr>
          <w:rFonts w:ascii="Arial" w:hAnsi="Arial" w:cs="Arial"/>
          <w:sz w:val="20"/>
          <w:szCs w:val="20"/>
          <w:lang w:val="en-US"/>
        </w:rPr>
        <w:t>HBVenv</w:t>
      </w:r>
      <w:proofErr w:type="spellEnd"/>
      <w:r w:rsidRPr="007E2881">
        <w:rPr>
          <w:rFonts w:ascii="Arial" w:hAnsi="Arial" w:cs="Arial"/>
          <w:sz w:val="20"/>
          <w:szCs w:val="20"/>
          <w:lang w:val="en-US"/>
        </w:rPr>
        <w:t xml:space="preserve">-expressing Huh7S or parental Huh7 control cells in the presence of 3 </w:t>
      </w:r>
      <w:proofErr w:type="spellStart"/>
      <w:r w:rsidRPr="007E2881">
        <w:rPr>
          <w:rFonts w:ascii="Arial" w:hAnsi="Arial" w:cs="Arial"/>
          <w:sz w:val="20"/>
          <w:szCs w:val="20"/>
          <w:lang w:val="en-US"/>
        </w:rPr>
        <w:t>nM</w:t>
      </w:r>
      <w:proofErr w:type="spellEnd"/>
      <w:r w:rsidRPr="007E2881">
        <w:rPr>
          <w:rFonts w:ascii="Arial" w:hAnsi="Arial" w:cs="Arial"/>
          <w:sz w:val="20"/>
          <w:szCs w:val="20"/>
          <w:lang w:val="en-US"/>
        </w:rPr>
        <w:t xml:space="preserve"> of CD3- and CD28-targeting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 xml:space="preserve"> for 48 hours in a 1:1 ratio. PBMC were harvested at indicated time points and the expression of TNFα (top), IFNγ (middle) and IL-2 (bottom) was determined by intracellular cytokine staining. Exemplary FACS blots for </w:t>
      </w:r>
      <w:r w:rsidRPr="007E2881">
        <w:rPr>
          <w:rFonts w:ascii="Arial" w:hAnsi="Arial" w:cs="Arial"/>
          <w:b/>
          <w:bCs/>
          <w:sz w:val="20"/>
          <w:szCs w:val="20"/>
          <w:lang w:val="en-US"/>
        </w:rPr>
        <w:t>(A)</w:t>
      </w:r>
      <w:r w:rsidRPr="007E2881">
        <w:rPr>
          <w:rFonts w:ascii="Arial" w:hAnsi="Arial" w:cs="Arial"/>
          <w:sz w:val="20"/>
          <w:szCs w:val="20"/>
          <w:lang w:val="en-US"/>
        </w:rPr>
        <w:t xml:space="preserve"> CD8</w:t>
      </w:r>
      <w:r w:rsidRPr="007E2881">
        <w:rPr>
          <w:rFonts w:ascii="Arial" w:hAnsi="Arial" w:cs="Arial"/>
          <w:sz w:val="20"/>
          <w:szCs w:val="20"/>
          <w:vertAlign w:val="superscript"/>
          <w:lang w:val="en-US"/>
        </w:rPr>
        <w:t>+</w:t>
      </w:r>
      <w:r w:rsidRPr="007E2881">
        <w:rPr>
          <w:rFonts w:ascii="Arial" w:hAnsi="Arial" w:cs="Arial"/>
          <w:sz w:val="20"/>
          <w:szCs w:val="20"/>
          <w:lang w:val="en-US"/>
        </w:rPr>
        <w:t xml:space="preserve"> T cells and </w:t>
      </w:r>
      <w:r w:rsidRPr="007E2881">
        <w:rPr>
          <w:rFonts w:ascii="Arial" w:hAnsi="Arial" w:cs="Arial"/>
          <w:b/>
          <w:bCs/>
          <w:sz w:val="20"/>
          <w:szCs w:val="20"/>
          <w:lang w:val="en-US"/>
        </w:rPr>
        <w:t>(B)</w:t>
      </w:r>
      <w:r w:rsidRPr="007E2881">
        <w:rPr>
          <w:rFonts w:ascii="Arial" w:hAnsi="Arial" w:cs="Arial"/>
          <w:sz w:val="20"/>
          <w:szCs w:val="20"/>
          <w:lang w:val="en-US"/>
        </w:rPr>
        <w:t xml:space="preserve"> CD4</w:t>
      </w:r>
      <w:r w:rsidRPr="007E2881">
        <w:rPr>
          <w:rFonts w:ascii="Arial" w:hAnsi="Arial" w:cs="Arial"/>
          <w:sz w:val="20"/>
          <w:szCs w:val="20"/>
          <w:vertAlign w:val="superscript"/>
          <w:lang w:val="en-US"/>
        </w:rPr>
        <w:t>+</w:t>
      </w:r>
      <w:r w:rsidRPr="007E2881">
        <w:rPr>
          <w:rFonts w:ascii="Arial" w:hAnsi="Arial" w:cs="Arial"/>
          <w:sz w:val="20"/>
          <w:szCs w:val="20"/>
          <w:lang w:val="en-US"/>
        </w:rPr>
        <w:t xml:space="preserve"> T cells are shown.</w:t>
      </w:r>
    </w:p>
    <w:p w14:paraId="046E4BAB" w14:textId="77777777" w:rsidR="003728DF" w:rsidRPr="007E2881" w:rsidRDefault="003728DF" w:rsidP="003728DF">
      <w:pPr>
        <w:rPr>
          <w:rFonts w:ascii="Arial" w:hAnsi="Arial" w:cs="Arial"/>
          <w:lang w:val="en-US"/>
        </w:rPr>
      </w:pPr>
      <w:r w:rsidRPr="007E2881">
        <w:rPr>
          <w:rFonts w:ascii="Arial" w:hAnsi="Arial" w:cs="Arial"/>
          <w:lang w:val="en-US"/>
        </w:rPr>
        <w:br w:type="page"/>
      </w:r>
    </w:p>
    <w:p w14:paraId="1659875C" w14:textId="77777777" w:rsidR="003728DF" w:rsidRPr="007E2881" w:rsidRDefault="003728DF" w:rsidP="003728DF">
      <w:pPr>
        <w:rPr>
          <w:lang w:val="en-US"/>
        </w:rPr>
      </w:pPr>
      <w:r w:rsidRPr="007E2881">
        <w:rPr>
          <w:noProof/>
          <w:lang w:val="en-GB" w:eastAsia="en-GB"/>
        </w:rPr>
        <w:lastRenderedPageBreak/>
        <w:drawing>
          <wp:inline distT="0" distB="0" distL="0" distR="0" wp14:anchorId="66B81A00" wp14:editId="3FCA6743">
            <wp:extent cx="5760720" cy="4781921"/>
            <wp:effectExtent l="0" t="0" r="0" b="0"/>
            <wp:docPr id="18" name="Grafik 16" descr="Z:\GRPForschung_Troger\Oliver.Quitt\PHD\BiMab paper\Journal of hepatology\Figures\Figure S2\Supp figu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descr="Z:\GRPForschung_Troger\Oliver.Quitt\PHD\BiMab paper\Journal of hepatology\Figures\Figure S2\Supp figure 6.png"/>
                    <pic:cNvPicPr>
                      <a:picLocks noChangeAspect="1"/>
                    </pic:cNvPicPr>
                  </pic:nvPicPr>
                  <pic:blipFill>
                    <a:blip r:embed="rId16"/>
                    <a:stretch/>
                  </pic:blipFill>
                  <pic:spPr bwMode="auto">
                    <a:xfrm>
                      <a:off x="0" y="0"/>
                      <a:ext cx="5760720" cy="4781921"/>
                    </a:xfrm>
                    <a:prstGeom prst="rect">
                      <a:avLst/>
                    </a:prstGeom>
                    <a:noFill/>
                    <a:ln>
                      <a:noFill/>
                    </a:ln>
                  </pic:spPr>
                </pic:pic>
              </a:graphicData>
            </a:graphic>
          </wp:inline>
        </w:drawing>
      </w:r>
    </w:p>
    <w:p w14:paraId="03AA9CA8" w14:textId="77777777" w:rsidR="003728DF" w:rsidRPr="000967DE" w:rsidRDefault="003728DF" w:rsidP="003728DF">
      <w:pPr>
        <w:pBdr>
          <w:left w:val="none" w:sz="4" w:space="8" w:color="000000"/>
        </w:pBdr>
        <w:spacing w:after="0" w:line="360" w:lineRule="auto"/>
        <w:jc w:val="both"/>
        <w:rPr>
          <w:rFonts w:ascii="Arial" w:hAnsi="Arial" w:cs="Arial"/>
          <w:sz w:val="20"/>
          <w:szCs w:val="20"/>
          <w:lang w:val="en-US"/>
        </w:rPr>
      </w:pPr>
      <w:r w:rsidRPr="007E2881">
        <w:rPr>
          <w:rFonts w:ascii="Arial" w:hAnsi="Arial" w:cs="Arial"/>
          <w:b/>
          <w:bCs/>
          <w:sz w:val="20"/>
          <w:szCs w:val="20"/>
          <w:lang w:val="en-US"/>
        </w:rPr>
        <w:t>Supplementary Fig. 6.</w:t>
      </w:r>
      <w:r w:rsidRPr="007E2881">
        <w:rPr>
          <w:rFonts w:ascii="Arial" w:hAnsi="Arial" w:cs="Arial"/>
          <w:sz w:val="20"/>
          <w:szCs w:val="20"/>
          <w:lang w:val="en-US"/>
        </w:rPr>
        <w:t xml:space="preserve"> </w:t>
      </w:r>
      <w:proofErr w:type="spellStart"/>
      <w:r w:rsidRPr="007E2881">
        <w:rPr>
          <w:rFonts w:ascii="Arial" w:hAnsi="Arial" w:cs="Arial"/>
          <w:b/>
          <w:sz w:val="20"/>
          <w:szCs w:val="20"/>
          <w:lang w:val="en-US"/>
        </w:rPr>
        <w:t>HBVenv</w:t>
      </w:r>
      <w:proofErr w:type="spellEnd"/>
      <w:r w:rsidRPr="007E2881">
        <w:rPr>
          <w:rFonts w:ascii="Arial" w:hAnsi="Arial" w:cs="Arial"/>
          <w:b/>
          <w:sz w:val="20"/>
          <w:szCs w:val="20"/>
          <w:lang w:val="en-US"/>
        </w:rPr>
        <w:t xml:space="preserve">-binding T-cell engager antibodies induce polyfunctional T cells. </w:t>
      </w:r>
      <w:r w:rsidRPr="007E2881">
        <w:rPr>
          <w:rFonts w:ascii="Arial" w:hAnsi="Arial" w:cs="Arial"/>
          <w:sz w:val="20"/>
          <w:szCs w:val="20"/>
          <w:lang w:val="en-US"/>
        </w:rPr>
        <w:t xml:space="preserve">PBMC were cultured with </w:t>
      </w:r>
      <w:proofErr w:type="spellStart"/>
      <w:r w:rsidRPr="007E2881">
        <w:rPr>
          <w:rFonts w:ascii="Arial" w:hAnsi="Arial" w:cs="Arial"/>
          <w:sz w:val="20"/>
          <w:szCs w:val="20"/>
          <w:lang w:val="en-US"/>
        </w:rPr>
        <w:t>HBVenv</w:t>
      </w:r>
      <w:proofErr w:type="spellEnd"/>
      <w:r w:rsidRPr="007E2881">
        <w:rPr>
          <w:rFonts w:ascii="Arial" w:hAnsi="Arial" w:cs="Arial"/>
          <w:sz w:val="20"/>
          <w:szCs w:val="20"/>
          <w:lang w:val="en-US"/>
        </w:rPr>
        <w:t>-expressing Huh7S or parental Huh7 control cells in the presence of 3 </w:t>
      </w:r>
      <w:proofErr w:type="spellStart"/>
      <w:r w:rsidRPr="007E2881">
        <w:rPr>
          <w:rFonts w:ascii="Arial" w:hAnsi="Arial" w:cs="Arial"/>
          <w:sz w:val="20"/>
          <w:szCs w:val="20"/>
          <w:lang w:val="en-US"/>
        </w:rPr>
        <w:t>nM</w:t>
      </w:r>
      <w:proofErr w:type="spellEnd"/>
      <w:r w:rsidRPr="007E2881">
        <w:rPr>
          <w:rFonts w:ascii="Arial" w:hAnsi="Arial" w:cs="Arial"/>
          <w:sz w:val="20"/>
          <w:szCs w:val="20"/>
          <w:lang w:val="en-US"/>
        </w:rPr>
        <w:t xml:space="preserve"> of </w:t>
      </w:r>
      <w:proofErr w:type="spellStart"/>
      <w:r w:rsidRPr="007E2881">
        <w:rPr>
          <w:rFonts w:ascii="Arial" w:hAnsi="Arial" w:cs="Arial"/>
          <w:sz w:val="20"/>
          <w:szCs w:val="20"/>
          <w:lang w:val="en-US"/>
        </w:rPr>
        <w:t>of</w:t>
      </w:r>
      <w:proofErr w:type="spellEnd"/>
      <w:r w:rsidRPr="007E2881">
        <w:rPr>
          <w:rFonts w:ascii="Arial" w:hAnsi="Arial" w:cs="Arial"/>
          <w:sz w:val="20"/>
          <w:szCs w:val="20"/>
          <w:lang w:val="en-US"/>
        </w:rPr>
        <w:t xml:space="preserve"> CD3- and CD28-targeting </w:t>
      </w:r>
      <w:r w:rsidRPr="007E2881">
        <w:rPr>
          <w:rFonts w:ascii="Arial" w:hAnsi="Arial" w:cs="Arial"/>
          <w:b/>
          <w:bCs/>
          <w:sz w:val="20"/>
          <w:szCs w:val="20"/>
          <w:lang w:val="en-US"/>
        </w:rPr>
        <w:t xml:space="preserve">(A) </w:t>
      </w:r>
      <w:proofErr w:type="spellStart"/>
      <w:r w:rsidRPr="007E2881">
        <w:rPr>
          <w:rFonts w:ascii="Arial" w:hAnsi="Arial" w:cs="Arial"/>
          <w:sz w:val="20"/>
          <w:szCs w:val="20"/>
          <w:lang w:val="en-US"/>
        </w:rPr>
        <w:t>BiMAb</w:t>
      </w:r>
      <w:proofErr w:type="spellEnd"/>
      <w:r w:rsidRPr="007E2881">
        <w:rPr>
          <w:rFonts w:ascii="Arial" w:hAnsi="Arial" w:cs="Arial"/>
          <w:sz w:val="20"/>
          <w:szCs w:val="20"/>
          <w:lang w:val="en-US"/>
        </w:rPr>
        <w:t xml:space="preserve"> or </w:t>
      </w:r>
      <w:r w:rsidRPr="007E2881">
        <w:rPr>
          <w:rFonts w:ascii="Arial" w:hAnsi="Arial" w:cs="Arial"/>
          <w:b/>
          <w:bCs/>
          <w:sz w:val="20"/>
          <w:szCs w:val="20"/>
          <w:lang w:val="en-US"/>
        </w:rPr>
        <w:t>(B)</w:t>
      </w:r>
      <w:r w:rsidRPr="007E2881">
        <w:rPr>
          <w:rFonts w:ascii="Arial" w:hAnsi="Arial" w:cs="Arial"/>
          <w:sz w:val="20"/>
          <w:szCs w:val="20"/>
          <w:lang w:val="en-US"/>
        </w:rPr>
        <w:t xml:space="preserve">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 xml:space="preserve"> in a 1:1 ratio for 48 hours. To determine polyfunctionality of T cells, intracellular cytokine staining of IFNγ, IL-2, and TNFα was performed in CD8</w:t>
      </w:r>
      <w:r w:rsidRPr="000967DE">
        <w:rPr>
          <w:rFonts w:ascii="Arial" w:hAnsi="Arial" w:cs="Arial"/>
          <w:sz w:val="20"/>
          <w:szCs w:val="20"/>
          <w:vertAlign w:val="superscript"/>
          <w:lang w:val="en-US"/>
        </w:rPr>
        <w:t xml:space="preserve">+ </w:t>
      </w:r>
      <w:r w:rsidRPr="000967DE">
        <w:rPr>
          <w:rFonts w:ascii="Arial" w:hAnsi="Arial" w:cs="Arial"/>
          <w:sz w:val="20"/>
          <w:szCs w:val="20"/>
          <w:lang w:val="en-US"/>
        </w:rPr>
        <w:t>(top) and CD4</w:t>
      </w:r>
      <w:r w:rsidRPr="000967DE">
        <w:rPr>
          <w:rFonts w:ascii="Arial" w:hAnsi="Arial" w:cs="Arial"/>
          <w:sz w:val="20"/>
          <w:szCs w:val="20"/>
          <w:vertAlign w:val="superscript"/>
          <w:lang w:val="en-US"/>
        </w:rPr>
        <w:t>+</w:t>
      </w:r>
      <w:r w:rsidRPr="000967DE">
        <w:rPr>
          <w:rFonts w:ascii="Arial" w:hAnsi="Arial" w:cs="Arial"/>
          <w:sz w:val="20"/>
          <w:szCs w:val="20"/>
          <w:lang w:val="en-US"/>
        </w:rPr>
        <w:t xml:space="preserve"> (bottom) T cells after co-culture with Huh7S (left) and Huh7 (right) cells in the presence of </w:t>
      </w:r>
      <w:proofErr w:type="spellStart"/>
      <w:r w:rsidRPr="000967DE">
        <w:rPr>
          <w:rFonts w:ascii="Arial" w:hAnsi="Arial" w:cs="Arial"/>
          <w:sz w:val="20"/>
          <w:szCs w:val="20"/>
          <w:lang w:val="en-US"/>
        </w:rPr>
        <w:t>bsAbs</w:t>
      </w:r>
      <w:proofErr w:type="spellEnd"/>
      <w:r w:rsidRPr="000967DE">
        <w:rPr>
          <w:rFonts w:ascii="Arial" w:hAnsi="Arial" w:cs="Arial"/>
          <w:sz w:val="20"/>
          <w:szCs w:val="20"/>
          <w:lang w:val="en-US"/>
        </w:rPr>
        <w:t xml:space="preserve"> at indicated time points. Shaded areas indicate the cytokine combinations detected in the respective proportion of T cells. Data are presented as mean values of triplicate co-cultures (</w:t>
      </w:r>
      <w:r w:rsidRPr="000967DE">
        <w:rPr>
          <w:rFonts w:ascii="Arial" w:hAnsi="Arial" w:cs="Arial"/>
          <w:i/>
          <w:sz w:val="20"/>
          <w:szCs w:val="20"/>
          <w:lang w:val="en-US"/>
        </w:rPr>
        <w:t>n</w:t>
      </w:r>
      <w:r w:rsidRPr="000967DE">
        <w:rPr>
          <w:rFonts w:ascii="Arial" w:hAnsi="Arial" w:cs="Arial"/>
          <w:sz w:val="20"/>
          <w:szCs w:val="20"/>
          <w:lang w:val="en-US"/>
        </w:rPr>
        <w:t xml:space="preserve"> = 3). </w:t>
      </w:r>
    </w:p>
    <w:p w14:paraId="43489067" w14:textId="77777777" w:rsidR="003728DF" w:rsidRPr="007E2881" w:rsidRDefault="003728DF" w:rsidP="003728DF">
      <w:pPr>
        <w:rPr>
          <w:lang w:val="en-US"/>
        </w:rPr>
      </w:pPr>
      <w:r w:rsidRPr="007E2881">
        <w:rPr>
          <w:noProof/>
          <w:lang w:val="en-GB" w:eastAsia="en-GB"/>
        </w:rPr>
        <w:lastRenderedPageBreak/>
        <w:drawing>
          <wp:inline distT="0" distB="0" distL="0" distR="0" wp14:anchorId="52E85971" wp14:editId="36BC37AB">
            <wp:extent cx="5116740" cy="7278986"/>
            <wp:effectExtent l="0" t="0" r="1905" b="0"/>
            <wp:docPr id="19" name="Grafik 23" descr="Z:\GRPForschung_Troger\Oliver.Quitt\PHD\BiMab paper\Journal of hepatology\Figures\Figure S2\Supp figure 7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3" descr="Z:\GRPForschung_Troger\Oliver.Quitt\PHD\BiMab paper\Journal of hepatology\Figures\Figure S2\Supp figure 7 JoH.png"/>
                    <pic:cNvPicPr>
                      <a:picLocks noChangeAspect="1"/>
                    </pic:cNvPicPr>
                  </pic:nvPicPr>
                  <pic:blipFill>
                    <a:blip r:embed="rId17"/>
                    <a:stretch/>
                  </pic:blipFill>
                  <pic:spPr bwMode="auto">
                    <a:xfrm>
                      <a:off x="0" y="0"/>
                      <a:ext cx="5117746" cy="7280418"/>
                    </a:xfrm>
                    <a:prstGeom prst="rect">
                      <a:avLst/>
                    </a:prstGeom>
                    <a:noFill/>
                    <a:ln>
                      <a:noFill/>
                    </a:ln>
                  </pic:spPr>
                </pic:pic>
              </a:graphicData>
            </a:graphic>
          </wp:inline>
        </w:drawing>
      </w:r>
    </w:p>
    <w:p w14:paraId="51D8A22C" w14:textId="207F5A5A" w:rsidR="003728DF" w:rsidRPr="007E2881" w:rsidRDefault="003728DF" w:rsidP="003728DF">
      <w:pPr>
        <w:pBdr>
          <w:left w:val="none" w:sz="4" w:space="8" w:color="000000"/>
        </w:pBdr>
        <w:spacing w:after="0" w:line="360" w:lineRule="auto"/>
        <w:jc w:val="both"/>
        <w:rPr>
          <w:rFonts w:ascii="Arial" w:hAnsi="Arial" w:cs="Arial"/>
          <w:lang w:val="en-US"/>
        </w:rPr>
      </w:pPr>
      <w:r w:rsidRPr="007E2881">
        <w:rPr>
          <w:rFonts w:ascii="Arial" w:hAnsi="Arial" w:cs="Arial"/>
          <w:b/>
          <w:bCs/>
          <w:sz w:val="20"/>
          <w:szCs w:val="20"/>
          <w:lang w:val="en-US"/>
        </w:rPr>
        <w:t>Supplementary Fig. 7.</w:t>
      </w:r>
      <w:r w:rsidRPr="007E2881">
        <w:rPr>
          <w:rFonts w:ascii="Arial" w:hAnsi="Arial" w:cs="Arial"/>
          <w:sz w:val="20"/>
          <w:szCs w:val="20"/>
          <w:lang w:val="en-US"/>
        </w:rPr>
        <w:t xml:space="preserve"> </w:t>
      </w:r>
      <w:proofErr w:type="spellStart"/>
      <w:r w:rsidRPr="007E2881">
        <w:rPr>
          <w:rFonts w:ascii="Arial" w:hAnsi="Arial" w:cs="Arial"/>
          <w:b/>
          <w:sz w:val="20"/>
          <w:szCs w:val="20"/>
          <w:lang w:val="en-US"/>
        </w:rPr>
        <w:t>HBVenv</w:t>
      </w:r>
      <w:proofErr w:type="spellEnd"/>
      <w:r w:rsidRPr="007E2881">
        <w:rPr>
          <w:rFonts w:ascii="Arial" w:hAnsi="Arial" w:cs="Arial"/>
          <w:b/>
          <w:sz w:val="20"/>
          <w:szCs w:val="20"/>
          <w:lang w:val="en-US"/>
        </w:rPr>
        <w:t xml:space="preserve">-binding T-cell engager antibodies activate T cells to secrete a variety of cytokines and chemokines. </w:t>
      </w:r>
      <w:r w:rsidRPr="007E2881">
        <w:rPr>
          <w:rFonts w:ascii="Arial" w:hAnsi="Arial" w:cs="Arial"/>
          <w:sz w:val="20"/>
          <w:szCs w:val="20"/>
          <w:lang w:val="en-US"/>
        </w:rPr>
        <w:t xml:space="preserve">PBMC were cultured for 72 hours on plates coated with HBsAg or BSA in the presence 3 </w:t>
      </w:r>
      <w:proofErr w:type="spellStart"/>
      <w:r w:rsidRPr="007E2881">
        <w:rPr>
          <w:rFonts w:ascii="Arial" w:hAnsi="Arial" w:cs="Arial"/>
          <w:sz w:val="20"/>
          <w:szCs w:val="20"/>
          <w:lang w:val="en-US"/>
        </w:rPr>
        <w:t>nM</w:t>
      </w:r>
      <w:proofErr w:type="spellEnd"/>
      <w:r w:rsidRPr="007E2881">
        <w:rPr>
          <w:rFonts w:ascii="Arial" w:hAnsi="Arial" w:cs="Arial"/>
          <w:sz w:val="20"/>
          <w:szCs w:val="20"/>
          <w:lang w:val="en-US"/>
        </w:rPr>
        <w:t xml:space="preserve"> of CD3- and CD28-targeting </w:t>
      </w:r>
      <w:proofErr w:type="spellStart"/>
      <w:r w:rsidRPr="007E2881">
        <w:rPr>
          <w:rFonts w:ascii="Arial" w:hAnsi="Arial" w:cs="Arial"/>
          <w:sz w:val="20"/>
          <w:szCs w:val="20"/>
          <w:lang w:val="en-US"/>
        </w:rPr>
        <w:t>BiMAb</w:t>
      </w:r>
      <w:proofErr w:type="spellEnd"/>
      <w:r w:rsidRPr="007E2881">
        <w:rPr>
          <w:rFonts w:ascii="Arial" w:hAnsi="Arial" w:cs="Arial"/>
          <w:sz w:val="20"/>
          <w:szCs w:val="20"/>
          <w:lang w:val="en-US"/>
        </w:rPr>
        <w:t xml:space="preserve">,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 xml:space="preserve"> in a 1:1 ratio or without </w:t>
      </w:r>
      <w:proofErr w:type="spellStart"/>
      <w:r w:rsidRPr="007E2881">
        <w:rPr>
          <w:rFonts w:ascii="Arial" w:hAnsi="Arial" w:cs="Arial"/>
          <w:sz w:val="20"/>
          <w:szCs w:val="20"/>
          <w:lang w:val="en-US"/>
        </w:rPr>
        <w:t>bsAb</w:t>
      </w:r>
      <w:proofErr w:type="spellEnd"/>
      <w:r w:rsidRPr="007E2881">
        <w:rPr>
          <w:rFonts w:ascii="Arial" w:hAnsi="Arial" w:cs="Arial"/>
          <w:sz w:val="20"/>
          <w:szCs w:val="20"/>
          <w:lang w:val="en-US"/>
        </w:rPr>
        <w:t xml:space="preserve"> (w/o Ab). Luminex assa</w:t>
      </w:r>
      <w:r w:rsidRPr="000967DE">
        <w:rPr>
          <w:rFonts w:ascii="Arial" w:hAnsi="Arial" w:cs="Arial"/>
          <w:sz w:val="20"/>
          <w:szCs w:val="20"/>
          <w:lang w:val="en-US"/>
        </w:rPr>
        <w:t xml:space="preserve">y determined the levels of G-CSF, GM-CSF, IL-1b, IL-4, IL-5, IL-6, IL-7, IL-8, IL-10, IL-12(p70), IL-13, IL-17, MCP-1(MCAF), MIP-1b, </w:t>
      </w:r>
      <w:proofErr w:type="spellStart"/>
      <w:r w:rsidRPr="000967DE">
        <w:rPr>
          <w:rFonts w:ascii="Arial" w:hAnsi="Arial" w:cs="Arial"/>
          <w:sz w:val="20"/>
          <w:szCs w:val="20"/>
          <w:lang w:val="en-US"/>
        </w:rPr>
        <w:t>Rantes</w:t>
      </w:r>
      <w:proofErr w:type="spellEnd"/>
      <w:r w:rsidRPr="000967DE">
        <w:rPr>
          <w:rFonts w:ascii="Arial" w:hAnsi="Arial" w:cs="Arial"/>
          <w:sz w:val="20"/>
          <w:szCs w:val="20"/>
          <w:lang w:val="en-US"/>
        </w:rPr>
        <w:t xml:space="preserve"> and IP-10 in the supernatant employing </w:t>
      </w:r>
      <w:r w:rsidRPr="000967DE">
        <w:rPr>
          <w:rFonts w:ascii="Arial" w:hAnsi="Arial" w:cs="Arial"/>
          <w:color w:val="000000"/>
          <w:sz w:val="20"/>
          <w:szCs w:val="20"/>
          <w:shd w:val="clear" w:color="auto" w:fill="FFFFFF"/>
          <w:lang w:val="en-US"/>
        </w:rPr>
        <w:t xml:space="preserve">Luminex100 machine with </w:t>
      </w:r>
      <w:proofErr w:type="spellStart"/>
      <w:r w:rsidRPr="000967DE">
        <w:rPr>
          <w:rFonts w:ascii="Arial" w:hAnsi="Arial" w:cs="Arial"/>
          <w:color w:val="000000"/>
          <w:sz w:val="20"/>
          <w:szCs w:val="20"/>
          <w:shd w:val="clear" w:color="auto" w:fill="FFFFFF"/>
          <w:lang w:val="en-US"/>
        </w:rPr>
        <w:t>BioPlex</w:t>
      </w:r>
      <w:proofErr w:type="spellEnd"/>
      <w:r w:rsidRPr="000967DE">
        <w:rPr>
          <w:rFonts w:ascii="Arial" w:hAnsi="Arial" w:cs="Arial"/>
          <w:color w:val="000000"/>
          <w:sz w:val="20"/>
          <w:szCs w:val="20"/>
          <w:shd w:val="clear" w:color="auto" w:fill="FFFFFF"/>
          <w:lang w:val="en-US"/>
        </w:rPr>
        <w:t xml:space="preserve"> Manager 6.1 software</w:t>
      </w:r>
      <w:r w:rsidRPr="007E2881">
        <w:rPr>
          <w:rFonts w:ascii="Arial" w:hAnsi="Arial" w:cs="Arial"/>
          <w:lang w:val="en-US"/>
        </w:rPr>
        <w:t xml:space="preserve">. </w:t>
      </w:r>
      <w:r w:rsidRPr="007E2881">
        <w:rPr>
          <w:rFonts w:ascii="Arial" w:hAnsi="Arial" w:cs="Arial"/>
          <w:lang w:val="en-US"/>
        </w:rPr>
        <w:br w:type="page"/>
      </w:r>
    </w:p>
    <w:p w14:paraId="7ED25B41" w14:textId="0CF166D7" w:rsidR="003728DF" w:rsidRPr="007E2881" w:rsidRDefault="00CE3270" w:rsidP="003728DF">
      <w:pPr>
        <w:rPr>
          <w:lang w:val="en-US"/>
        </w:rPr>
      </w:pPr>
      <w:r w:rsidRPr="00160CB6">
        <w:rPr>
          <w:rFonts w:ascii="Arial" w:hAnsi="Arial" w:cs="Arial"/>
          <w:noProof/>
          <w:sz w:val="24"/>
          <w:szCs w:val="24"/>
          <w:lang w:val="en-GB" w:eastAsia="en-GB"/>
        </w:rPr>
        <w:lastRenderedPageBreak/>
        <w:drawing>
          <wp:inline distT="0" distB="0" distL="0" distR="0" wp14:anchorId="2402F038" wp14:editId="169BE5E6">
            <wp:extent cx="5760720" cy="6838950"/>
            <wp:effectExtent l="0" t="0" r="5080" b="6350"/>
            <wp:docPr id="2" name="Picture 2" descr="\\nas.ads.mwn.de\tume\vi0\GRPForschung_Troger\Oliver.Quitt\PHD\BiMab paper\Journal of hepatology\Figures\Figure S2\Supp figure 8 T cell subsets gating und examples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ads.mwn.de\tume\vi0\GRPForschung_Troger\Oliver.Quitt\PHD\BiMab paper\Journal of hepatology\Figures\Figure S2\Supp figure 8 T cell subsets gating und examples new.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6838950"/>
                    </a:xfrm>
                    <a:prstGeom prst="rect">
                      <a:avLst/>
                    </a:prstGeom>
                    <a:noFill/>
                    <a:ln>
                      <a:noFill/>
                    </a:ln>
                  </pic:spPr>
                </pic:pic>
              </a:graphicData>
            </a:graphic>
          </wp:inline>
        </w:drawing>
      </w:r>
    </w:p>
    <w:p w14:paraId="19031205" w14:textId="2F974A3E" w:rsidR="003728DF" w:rsidRPr="00CE3270" w:rsidRDefault="003728DF" w:rsidP="00CE3270">
      <w:pPr>
        <w:spacing w:line="360" w:lineRule="auto"/>
        <w:jc w:val="both"/>
        <w:rPr>
          <w:rFonts w:ascii="Arial" w:eastAsia="Times New Roman" w:hAnsi="Arial" w:cs="Arial"/>
          <w:sz w:val="20"/>
          <w:szCs w:val="20"/>
          <w:lang w:val="en-US" w:eastAsia="de-DE"/>
        </w:rPr>
      </w:pPr>
      <w:r w:rsidRPr="007E2881">
        <w:rPr>
          <w:rFonts w:ascii="Arial" w:hAnsi="Arial" w:cs="Arial"/>
          <w:b/>
          <w:bCs/>
          <w:sz w:val="20"/>
          <w:szCs w:val="20"/>
          <w:lang w:val="en-US"/>
        </w:rPr>
        <w:t>Supplementary Fig. 8.</w:t>
      </w:r>
      <w:r w:rsidRPr="007E2881">
        <w:rPr>
          <w:rFonts w:ascii="Arial" w:hAnsi="Arial" w:cs="Arial"/>
          <w:sz w:val="20"/>
          <w:szCs w:val="20"/>
          <w:lang w:val="en-US"/>
        </w:rPr>
        <w:t xml:space="preserve"> </w:t>
      </w:r>
      <w:proofErr w:type="spellStart"/>
      <w:r w:rsidRPr="007E2881">
        <w:rPr>
          <w:rFonts w:ascii="Arial" w:hAnsi="Arial" w:cs="Arial"/>
          <w:b/>
          <w:sz w:val="20"/>
          <w:szCs w:val="20"/>
          <w:lang w:val="en-US"/>
        </w:rPr>
        <w:t>HBVenv</w:t>
      </w:r>
      <w:proofErr w:type="spellEnd"/>
      <w:r w:rsidRPr="007E2881">
        <w:rPr>
          <w:rFonts w:ascii="Arial" w:hAnsi="Arial" w:cs="Arial"/>
          <w:b/>
          <w:sz w:val="20"/>
          <w:szCs w:val="20"/>
          <w:lang w:val="en-US"/>
        </w:rPr>
        <w:t xml:space="preserve">-binding T-cell engager antibodies induce the differentiation from naïve into effector T cells. </w:t>
      </w:r>
      <w:r w:rsidRPr="007E2881">
        <w:rPr>
          <w:rFonts w:ascii="Arial" w:hAnsi="Arial" w:cs="Arial"/>
          <w:sz w:val="20"/>
          <w:szCs w:val="20"/>
          <w:lang w:val="en-US"/>
        </w:rPr>
        <w:t>Gating strategy for the detection of CCR7 and CD45RA on CD8</w:t>
      </w:r>
      <w:r w:rsidRPr="007E2881">
        <w:rPr>
          <w:rFonts w:ascii="Arial" w:hAnsi="Arial" w:cs="Arial"/>
          <w:sz w:val="20"/>
          <w:szCs w:val="20"/>
          <w:vertAlign w:val="superscript"/>
          <w:lang w:val="en-US"/>
        </w:rPr>
        <w:t xml:space="preserve">+ </w:t>
      </w:r>
      <w:r w:rsidRPr="007E2881">
        <w:rPr>
          <w:rFonts w:ascii="Arial" w:hAnsi="Arial" w:cs="Arial"/>
          <w:sz w:val="20"/>
          <w:szCs w:val="20"/>
          <w:lang w:val="en-US"/>
        </w:rPr>
        <w:t>and CD4</w:t>
      </w:r>
      <w:r w:rsidRPr="007E2881">
        <w:rPr>
          <w:rFonts w:ascii="Arial" w:hAnsi="Arial" w:cs="Arial"/>
          <w:sz w:val="20"/>
          <w:szCs w:val="20"/>
          <w:vertAlign w:val="superscript"/>
          <w:lang w:val="en-US"/>
        </w:rPr>
        <w:t>+</w:t>
      </w:r>
      <w:r w:rsidRPr="007E2881">
        <w:rPr>
          <w:rFonts w:ascii="Arial" w:hAnsi="Arial" w:cs="Arial"/>
          <w:sz w:val="20"/>
          <w:szCs w:val="20"/>
          <w:lang w:val="en-US"/>
        </w:rPr>
        <w:t xml:space="preserve"> T cells. PBMC were cultured for 72 hours on plates </w:t>
      </w:r>
      <w:r w:rsidRPr="007E2881">
        <w:rPr>
          <w:rFonts w:ascii="Arial" w:hAnsi="Arial" w:cs="Arial"/>
          <w:b/>
          <w:sz w:val="20"/>
          <w:szCs w:val="20"/>
          <w:lang w:val="en-US"/>
        </w:rPr>
        <w:t>(A)</w:t>
      </w:r>
      <w:r w:rsidRPr="007E2881">
        <w:rPr>
          <w:rFonts w:ascii="Arial" w:hAnsi="Arial" w:cs="Arial"/>
          <w:sz w:val="20"/>
          <w:szCs w:val="20"/>
          <w:lang w:val="en-US"/>
        </w:rPr>
        <w:t xml:space="preserve"> with or </w:t>
      </w:r>
      <w:r w:rsidRPr="007E2881">
        <w:rPr>
          <w:rFonts w:ascii="Arial" w:hAnsi="Arial" w:cs="Arial"/>
          <w:b/>
          <w:sz w:val="20"/>
          <w:szCs w:val="20"/>
          <w:lang w:val="en-US"/>
        </w:rPr>
        <w:t>(B)</w:t>
      </w:r>
      <w:r w:rsidRPr="007E2881">
        <w:rPr>
          <w:rFonts w:ascii="Arial" w:hAnsi="Arial" w:cs="Arial"/>
          <w:sz w:val="20"/>
          <w:szCs w:val="20"/>
          <w:lang w:val="en-US"/>
        </w:rPr>
        <w:t xml:space="preserve"> without HBsAg coated in the presence of 3 </w:t>
      </w:r>
      <w:proofErr w:type="spellStart"/>
      <w:r w:rsidRPr="007E2881">
        <w:rPr>
          <w:rFonts w:ascii="Arial" w:hAnsi="Arial" w:cs="Arial"/>
          <w:sz w:val="20"/>
          <w:szCs w:val="20"/>
          <w:lang w:val="en-US"/>
        </w:rPr>
        <w:t>nM</w:t>
      </w:r>
      <w:proofErr w:type="spellEnd"/>
      <w:r w:rsidRPr="007E2881">
        <w:rPr>
          <w:rFonts w:ascii="Arial" w:hAnsi="Arial" w:cs="Arial"/>
          <w:sz w:val="20"/>
          <w:szCs w:val="20"/>
          <w:lang w:val="en-US"/>
        </w:rPr>
        <w:t xml:space="preserve">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 xml:space="preserve">αCD3 and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αCD28 in a 1:1 ratio. PBMC were gated for lymphocytes, which were further gated on living cells and CD8 and CD4 expression. CD8</w:t>
      </w:r>
      <w:r w:rsidRPr="007E2881">
        <w:rPr>
          <w:rFonts w:ascii="Arial" w:hAnsi="Arial" w:cs="Arial"/>
          <w:sz w:val="20"/>
          <w:szCs w:val="20"/>
          <w:vertAlign w:val="superscript"/>
          <w:lang w:val="en-US"/>
        </w:rPr>
        <w:t xml:space="preserve">+ </w:t>
      </w:r>
      <w:r w:rsidRPr="007E2881">
        <w:rPr>
          <w:rFonts w:ascii="Arial" w:hAnsi="Arial" w:cs="Arial"/>
          <w:sz w:val="20"/>
          <w:szCs w:val="20"/>
          <w:lang w:val="en-US"/>
        </w:rPr>
        <w:t>and CD4</w:t>
      </w:r>
      <w:r w:rsidRPr="007E2881">
        <w:rPr>
          <w:rFonts w:ascii="Arial" w:hAnsi="Arial" w:cs="Arial"/>
          <w:sz w:val="20"/>
          <w:szCs w:val="20"/>
          <w:vertAlign w:val="superscript"/>
          <w:lang w:val="en-US"/>
        </w:rPr>
        <w:t>+</w:t>
      </w:r>
      <w:r w:rsidRPr="007E2881">
        <w:rPr>
          <w:rFonts w:ascii="Arial" w:hAnsi="Arial" w:cs="Arial"/>
          <w:sz w:val="20"/>
          <w:szCs w:val="20"/>
          <w:lang w:val="en-US"/>
        </w:rPr>
        <w:t xml:space="preserve"> T cells were then gated for CCR7 and CD45RA. Exemplary FACS blots are shown. </w:t>
      </w:r>
      <w:r w:rsidRPr="007E2881">
        <w:rPr>
          <w:rFonts w:ascii="Arial" w:hAnsi="Arial" w:cs="Arial"/>
          <w:b/>
          <w:sz w:val="20"/>
          <w:szCs w:val="20"/>
          <w:lang w:val="en-US"/>
        </w:rPr>
        <w:t xml:space="preserve">(C) </w:t>
      </w:r>
      <w:r w:rsidRPr="007E2881">
        <w:rPr>
          <w:rFonts w:ascii="Arial" w:eastAsia="Times New Roman" w:hAnsi="Arial" w:cs="Arial"/>
          <w:sz w:val="20"/>
          <w:szCs w:val="20"/>
          <w:lang w:val="en-US" w:eastAsia="de-DE"/>
        </w:rPr>
        <w:t>Percentage of naïve (T</w:t>
      </w:r>
      <w:r w:rsidRPr="007E2881">
        <w:rPr>
          <w:rFonts w:ascii="Arial" w:eastAsia="Times New Roman" w:hAnsi="Arial" w:cs="Arial"/>
          <w:sz w:val="20"/>
          <w:szCs w:val="20"/>
          <w:vertAlign w:val="subscript"/>
          <w:lang w:val="en-US" w:eastAsia="de-DE"/>
        </w:rPr>
        <w:t>N</w:t>
      </w:r>
      <w:r w:rsidRPr="007E2881">
        <w:rPr>
          <w:rFonts w:ascii="Arial" w:eastAsia="Times New Roman" w:hAnsi="Arial" w:cs="Arial"/>
          <w:sz w:val="20"/>
          <w:szCs w:val="20"/>
          <w:lang w:val="en-US" w:eastAsia="de-DE"/>
        </w:rPr>
        <w:t>), central memory (</w:t>
      </w:r>
      <w:proofErr w:type="spellStart"/>
      <w:r w:rsidRPr="007E2881">
        <w:rPr>
          <w:rFonts w:ascii="Arial" w:eastAsia="Times New Roman" w:hAnsi="Arial" w:cs="Arial"/>
          <w:sz w:val="20"/>
          <w:szCs w:val="20"/>
          <w:lang w:val="en-US" w:eastAsia="de-DE"/>
        </w:rPr>
        <w:t>T</w:t>
      </w:r>
      <w:r w:rsidRPr="007E2881">
        <w:rPr>
          <w:rFonts w:ascii="Arial" w:eastAsia="Times New Roman" w:hAnsi="Arial" w:cs="Arial"/>
          <w:sz w:val="20"/>
          <w:szCs w:val="20"/>
          <w:vertAlign w:val="subscript"/>
          <w:lang w:val="en-US" w:eastAsia="de-DE"/>
        </w:rPr>
        <w:t>cm</w:t>
      </w:r>
      <w:proofErr w:type="spellEnd"/>
      <w:r w:rsidRPr="007E2881">
        <w:rPr>
          <w:rFonts w:ascii="Arial" w:eastAsia="Times New Roman" w:hAnsi="Arial" w:cs="Arial"/>
          <w:sz w:val="20"/>
          <w:szCs w:val="20"/>
          <w:lang w:val="en-US" w:eastAsia="de-DE"/>
        </w:rPr>
        <w:t>), effector memory (</w:t>
      </w:r>
      <w:proofErr w:type="spellStart"/>
      <w:r w:rsidRPr="007E2881">
        <w:rPr>
          <w:rFonts w:ascii="Arial" w:eastAsia="Times New Roman" w:hAnsi="Arial" w:cs="Arial"/>
          <w:sz w:val="20"/>
          <w:szCs w:val="20"/>
          <w:lang w:val="en-US" w:eastAsia="de-DE"/>
        </w:rPr>
        <w:t>T</w:t>
      </w:r>
      <w:r w:rsidRPr="007E2881">
        <w:rPr>
          <w:rFonts w:ascii="Arial" w:eastAsia="Times New Roman" w:hAnsi="Arial" w:cs="Arial"/>
          <w:sz w:val="20"/>
          <w:szCs w:val="20"/>
          <w:vertAlign w:val="subscript"/>
          <w:lang w:val="en-US" w:eastAsia="de-DE"/>
        </w:rPr>
        <w:t>em</w:t>
      </w:r>
      <w:proofErr w:type="spellEnd"/>
      <w:r w:rsidRPr="007E2881">
        <w:rPr>
          <w:rFonts w:ascii="Arial" w:eastAsia="Times New Roman" w:hAnsi="Arial" w:cs="Arial"/>
          <w:sz w:val="20"/>
          <w:szCs w:val="20"/>
          <w:lang w:val="en-US" w:eastAsia="de-DE"/>
        </w:rPr>
        <w:t>) and effector memory cells re-expressing CD45RA (</w:t>
      </w:r>
      <w:proofErr w:type="spellStart"/>
      <w:r w:rsidRPr="007E2881">
        <w:rPr>
          <w:rFonts w:ascii="Arial" w:eastAsia="Times New Roman" w:hAnsi="Arial" w:cs="Arial"/>
          <w:sz w:val="20"/>
          <w:szCs w:val="20"/>
          <w:lang w:val="en-US" w:eastAsia="de-DE"/>
        </w:rPr>
        <w:t>T</w:t>
      </w:r>
      <w:r w:rsidRPr="007E2881">
        <w:rPr>
          <w:rFonts w:ascii="Arial" w:eastAsia="Times New Roman" w:hAnsi="Arial" w:cs="Arial"/>
          <w:sz w:val="20"/>
          <w:szCs w:val="20"/>
          <w:vertAlign w:val="subscript"/>
          <w:lang w:val="en-US" w:eastAsia="de-DE"/>
        </w:rPr>
        <w:t>emra</w:t>
      </w:r>
      <w:proofErr w:type="spellEnd"/>
      <w:r w:rsidRPr="007E2881">
        <w:rPr>
          <w:rFonts w:ascii="Arial" w:eastAsia="Times New Roman" w:hAnsi="Arial" w:cs="Arial"/>
          <w:sz w:val="20"/>
          <w:szCs w:val="20"/>
          <w:lang w:val="en-US" w:eastAsia="de-DE"/>
        </w:rPr>
        <w:t>) was determined after flow cytometry staining of CD45RA and CCR7. Data are presented as mean values of triplicate co-cultures (</w:t>
      </w:r>
      <w:r w:rsidRPr="007E2881">
        <w:rPr>
          <w:rFonts w:ascii="Arial" w:eastAsia="Times New Roman" w:hAnsi="Arial" w:cs="Arial"/>
          <w:i/>
          <w:sz w:val="20"/>
          <w:szCs w:val="20"/>
          <w:lang w:val="en-US" w:eastAsia="de-DE"/>
        </w:rPr>
        <w:t>n</w:t>
      </w:r>
      <w:r w:rsidRPr="007E2881">
        <w:rPr>
          <w:rFonts w:ascii="Arial" w:eastAsia="Times New Roman" w:hAnsi="Arial" w:cs="Arial"/>
          <w:sz w:val="20"/>
          <w:szCs w:val="20"/>
          <w:lang w:val="en-US" w:eastAsia="de-DE"/>
        </w:rPr>
        <w:t xml:space="preserve"> = 3). </w:t>
      </w:r>
      <w:r w:rsidRPr="007E2881">
        <w:rPr>
          <w:rFonts w:ascii="Arial" w:hAnsi="Arial" w:cs="Arial"/>
          <w:lang w:val="en-US"/>
        </w:rPr>
        <w:br w:type="page"/>
      </w:r>
      <w:r w:rsidRPr="007E2881">
        <w:rPr>
          <w:rFonts w:ascii="Arial" w:hAnsi="Arial" w:cs="Arial"/>
          <w:noProof/>
          <w:lang w:val="en-GB" w:eastAsia="en-GB"/>
        </w:rPr>
        <w:lastRenderedPageBreak/>
        <w:drawing>
          <wp:inline distT="0" distB="0" distL="0" distR="0" wp14:anchorId="20ABB6E2" wp14:editId="7693B8A4">
            <wp:extent cx="5760720" cy="4124146"/>
            <wp:effectExtent l="0" t="0" r="0" b="0"/>
            <wp:docPr id="26" name="Picture 26" descr="\\nas.ads.mwn.de\tume\vi0\GRPForschung_Troger\Oliver.Quitt\PHD\BiMab paper\Journal of hepatology\Figures\Figure S3\Supp figure 9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s.ads.mwn.de\tume\vi0\GRPForschung_Troger\Oliver.Quitt\PHD\BiMab paper\Journal of hepatology\Figures\Figure S3\Supp figure 9 JoH.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4124146"/>
                    </a:xfrm>
                    <a:prstGeom prst="rect">
                      <a:avLst/>
                    </a:prstGeom>
                    <a:noFill/>
                    <a:ln>
                      <a:noFill/>
                    </a:ln>
                  </pic:spPr>
                </pic:pic>
              </a:graphicData>
            </a:graphic>
          </wp:inline>
        </w:drawing>
      </w:r>
    </w:p>
    <w:p w14:paraId="25D7187E" w14:textId="77777777" w:rsidR="003728DF" w:rsidRPr="007E2881" w:rsidRDefault="003728DF" w:rsidP="003728DF">
      <w:pPr>
        <w:rPr>
          <w:rFonts w:ascii="Arial" w:hAnsi="Arial" w:cs="Arial"/>
          <w:lang w:val="en-US"/>
        </w:rPr>
      </w:pPr>
    </w:p>
    <w:p w14:paraId="47D368F9" w14:textId="77777777" w:rsidR="003728DF" w:rsidRPr="007E2881" w:rsidRDefault="003728DF" w:rsidP="003728DF">
      <w:pPr>
        <w:pBdr>
          <w:left w:val="none" w:sz="4" w:space="8" w:color="000000"/>
        </w:pBdr>
        <w:spacing w:after="0" w:line="360" w:lineRule="auto"/>
        <w:jc w:val="both"/>
        <w:rPr>
          <w:rFonts w:ascii="Arial" w:hAnsi="Arial" w:cs="Arial"/>
          <w:sz w:val="20"/>
          <w:szCs w:val="20"/>
          <w:lang w:val="en-US"/>
        </w:rPr>
      </w:pPr>
      <w:r w:rsidRPr="007E2881">
        <w:rPr>
          <w:rFonts w:ascii="Arial" w:hAnsi="Arial" w:cs="Arial"/>
          <w:b/>
          <w:bCs/>
          <w:sz w:val="20"/>
          <w:szCs w:val="20"/>
          <w:lang w:val="en-US"/>
        </w:rPr>
        <w:t>Supplementary Fig. 9.</w:t>
      </w:r>
      <w:r w:rsidRPr="007E2881">
        <w:rPr>
          <w:rFonts w:ascii="Arial" w:hAnsi="Arial" w:cs="Arial"/>
          <w:sz w:val="20"/>
          <w:szCs w:val="20"/>
          <w:lang w:val="en-US"/>
        </w:rPr>
        <w:t xml:space="preserve"> </w:t>
      </w:r>
      <w:proofErr w:type="spellStart"/>
      <w:r w:rsidRPr="007E2881">
        <w:rPr>
          <w:rFonts w:ascii="Arial" w:hAnsi="Arial" w:cs="Arial"/>
          <w:b/>
          <w:sz w:val="20"/>
          <w:szCs w:val="20"/>
          <w:lang w:val="en-US"/>
        </w:rPr>
        <w:t>HBVenv</w:t>
      </w:r>
      <w:proofErr w:type="spellEnd"/>
      <w:r w:rsidRPr="007E2881">
        <w:rPr>
          <w:rFonts w:ascii="Arial" w:hAnsi="Arial" w:cs="Arial"/>
          <w:b/>
          <w:sz w:val="20"/>
          <w:szCs w:val="20"/>
          <w:lang w:val="en-US"/>
        </w:rPr>
        <w:t xml:space="preserve">-binding T-cell engager antibodies induce the </w:t>
      </w:r>
      <w:proofErr w:type="spellStart"/>
      <w:r w:rsidRPr="007E2881">
        <w:rPr>
          <w:rFonts w:ascii="Arial" w:hAnsi="Arial" w:cs="Arial"/>
          <w:b/>
          <w:sz w:val="20"/>
          <w:szCs w:val="20"/>
          <w:lang w:val="en-US"/>
        </w:rPr>
        <w:t>the</w:t>
      </w:r>
      <w:proofErr w:type="spellEnd"/>
      <w:r w:rsidRPr="007E2881">
        <w:rPr>
          <w:rFonts w:ascii="Arial" w:hAnsi="Arial" w:cs="Arial"/>
          <w:b/>
          <w:sz w:val="20"/>
          <w:szCs w:val="20"/>
          <w:lang w:val="en-US"/>
        </w:rPr>
        <w:t xml:space="preserve"> expression of </w:t>
      </w:r>
      <w:proofErr w:type="spellStart"/>
      <w:r w:rsidRPr="007E2881">
        <w:rPr>
          <w:rFonts w:ascii="Arial" w:hAnsi="Arial" w:cs="Arial"/>
          <w:b/>
          <w:sz w:val="20"/>
          <w:szCs w:val="20"/>
          <w:lang w:val="en-US"/>
        </w:rPr>
        <w:t>GrzB</w:t>
      </w:r>
      <w:proofErr w:type="spellEnd"/>
      <w:r w:rsidRPr="007E2881">
        <w:rPr>
          <w:rFonts w:ascii="Arial" w:hAnsi="Arial" w:cs="Arial"/>
          <w:b/>
          <w:sz w:val="20"/>
          <w:szCs w:val="20"/>
          <w:lang w:val="en-US"/>
        </w:rPr>
        <w:t xml:space="preserve"> on CD8</w:t>
      </w:r>
      <w:r w:rsidRPr="007E2881">
        <w:rPr>
          <w:rFonts w:ascii="Arial" w:hAnsi="Arial" w:cs="Arial"/>
          <w:b/>
          <w:sz w:val="20"/>
          <w:szCs w:val="20"/>
          <w:vertAlign w:val="superscript"/>
          <w:lang w:val="en-US"/>
        </w:rPr>
        <w:t xml:space="preserve">+ </w:t>
      </w:r>
      <w:r w:rsidRPr="007E2881">
        <w:rPr>
          <w:rFonts w:ascii="Arial" w:hAnsi="Arial" w:cs="Arial"/>
          <w:b/>
          <w:sz w:val="20"/>
          <w:szCs w:val="20"/>
          <w:lang w:val="en-US"/>
        </w:rPr>
        <w:t>and CD4</w:t>
      </w:r>
      <w:r w:rsidRPr="007E2881">
        <w:rPr>
          <w:rFonts w:ascii="Arial" w:hAnsi="Arial" w:cs="Arial"/>
          <w:b/>
          <w:sz w:val="20"/>
          <w:szCs w:val="20"/>
          <w:vertAlign w:val="superscript"/>
          <w:lang w:val="en-US"/>
        </w:rPr>
        <w:t>+</w:t>
      </w:r>
      <w:r w:rsidRPr="007E2881">
        <w:rPr>
          <w:rFonts w:ascii="Arial" w:hAnsi="Arial" w:cs="Arial"/>
          <w:b/>
          <w:sz w:val="20"/>
          <w:szCs w:val="20"/>
          <w:lang w:val="en-US"/>
        </w:rPr>
        <w:t xml:space="preserve"> T cells. </w:t>
      </w:r>
      <w:r w:rsidRPr="007E2881">
        <w:rPr>
          <w:rFonts w:ascii="Arial" w:hAnsi="Arial" w:cs="Arial"/>
          <w:sz w:val="20"/>
          <w:szCs w:val="20"/>
          <w:lang w:val="en-US"/>
        </w:rPr>
        <w:t xml:space="preserve">PBMC were cultured with </w:t>
      </w:r>
      <w:proofErr w:type="spellStart"/>
      <w:r w:rsidRPr="007E2881">
        <w:rPr>
          <w:rFonts w:ascii="Arial" w:hAnsi="Arial" w:cs="Arial"/>
          <w:sz w:val="20"/>
          <w:szCs w:val="20"/>
          <w:lang w:val="en-US"/>
        </w:rPr>
        <w:t>HBVenv</w:t>
      </w:r>
      <w:proofErr w:type="spellEnd"/>
      <w:r w:rsidRPr="007E2881">
        <w:rPr>
          <w:rFonts w:ascii="Arial" w:hAnsi="Arial" w:cs="Arial"/>
          <w:sz w:val="20"/>
          <w:szCs w:val="20"/>
          <w:lang w:val="en-US"/>
        </w:rPr>
        <w:t xml:space="preserve">-expressing Huh7S or parental Huh7 control cells in the presence of 3 </w:t>
      </w:r>
      <w:proofErr w:type="spellStart"/>
      <w:r w:rsidRPr="007E2881">
        <w:rPr>
          <w:rFonts w:ascii="Arial" w:hAnsi="Arial" w:cs="Arial"/>
          <w:sz w:val="20"/>
          <w:szCs w:val="20"/>
          <w:lang w:val="en-US"/>
        </w:rPr>
        <w:t>nM</w:t>
      </w:r>
      <w:proofErr w:type="spellEnd"/>
      <w:r w:rsidRPr="007E2881">
        <w:rPr>
          <w:rFonts w:ascii="Arial" w:hAnsi="Arial" w:cs="Arial"/>
          <w:sz w:val="20"/>
          <w:szCs w:val="20"/>
          <w:lang w:val="en-US"/>
        </w:rPr>
        <w:t xml:space="preserve"> of CD3- and CD28-targeting </w:t>
      </w:r>
      <w:proofErr w:type="spellStart"/>
      <w:r w:rsidRPr="007E2881">
        <w:rPr>
          <w:rFonts w:ascii="Arial" w:hAnsi="Arial" w:cs="Arial"/>
          <w:sz w:val="20"/>
          <w:szCs w:val="20"/>
          <w:lang w:val="en-US"/>
        </w:rPr>
        <w:t>BiMAb</w:t>
      </w:r>
      <w:proofErr w:type="spellEnd"/>
      <w:r w:rsidRPr="007E2881">
        <w:rPr>
          <w:rFonts w:ascii="Arial" w:hAnsi="Arial" w:cs="Arial"/>
          <w:sz w:val="20"/>
          <w:szCs w:val="20"/>
          <w:lang w:val="en-US"/>
        </w:rPr>
        <w:t xml:space="preserve"> or </w:t>
      </w:r>
      <w:proofErr w:type="spellStart"/>
      <w:r w:rsidRPr="007E2881">
        <w:rPr>
          <w:rFonts w:ascii="Arial" w:hAnsi="Arial" w:cs="Arial"/>
          <w:sz w:val="20"/>
          <w:szCs w:val="20"/>
          <w:lang w:val="en-US"/>
        </w:rPr>
        <w:t>FabMAb</w:t>
      </w:r>
      <w:proofErr w:type="spellEnd"/>
      <w:r w:rsidRPr="007E2881">
        <w:rPr>
          <w:rFonts w:ascii="Arial" w:hAnsi="Arial" w:cs="Arial"/>
          <w:sz w:val="20"/>
          <w:szCs w:val="20"/>
          <w:lang w:val="en-US"/>
        </w:rPr>
        <w:t xml:space="preserve"> for 72 hours in a 1:1 ratio. PBMC were harvested and the expression of </w:t>
      </w:r>
      <w:proofErr w:type="spellStart"/>
      <w:r w:rsidRPr="007E2881">
        <w:rPr>
          <w:rFonts w:ascii="Arial" w:hAnsi="Arial" w:cs="Arial"/>
          <w:sz w:val="20"/>
          <w:szCs w:val="20"/>
          <w:lang w:val="en-US"/>
        </w:rPr>
        <w:t>GrzB</w:t>
      </w:r>
      <w:proofErr w:type="spellEnd"/>
      <w:r w:rsidRPr="007E2881">
        <w:rPr>
          <w:rFonts w:ascii="Arial" w:hAnsi="Arial" w:cs="Arial"/>
          <w:sz w:val="20"/>
          <w:szCs w:val="20"/>
          <w:lang w:val="en-US"/>
        </w:rPr>
        <w:t xml:space="preserve"> was determined by intracellular cytokine staining. </w:t>
      </w:r>
      <w:r w:rsidRPr="000967DE">
        <w:rPr>
          <w:rFonts w:ascii="Arial" w:hAnsi="Arial" w:cs="Arial"/>
          <w:b/>
          <w:sz w:val="20"/>
          <w:szCs w:val="20"/>
          <w:lang w:val="en-US"/>
        </w:rPr>
        <w:t>(A)</w:t>
      </w:r>
      <w:r w:rsidRPr="007E2881">
        <w:rPr>
          <w:rFonts w:ascii="Arial" w:hAnsi="Arial" w:cs="Arial"/>
          <w:sz w:val="20"/>
          <w:szCs w:val="20"/>
          <w:lang w:val="en-US"/>
        </w:rPr>
        <w:t xml:space="preserve"> PBMC were gated for lymphocytes, which were further gated on single cells and living cells, and finally CD8 and CD4 expression. </w:t>
      </w:r>
      <w:r w:rsidRPr="000967DE">
        <w:rPr>
          <w:rFonts w:ascii="Arial" w:hAnsi="Arial" w:cs="Arial"/>
          <w:b/>
          <w:sz w:val="20"/>
          <w:szCs w:val="20"/>
          <w:lang w:val="en-US"/>
        </w:rPr>
        <w:t>(B)</w:t>
      </w:r>
      <w:r w:rsidRPr="007E2881">
        <w:rPr>
          <w:rFonts w:ascii="Arial" w:hAnsi="Arial" w:cs="Arial"/>
          <w:b/>
          <w:sz w:val="20"/>
          <w:szCs w:val="20"/>
          <w:lang w:val="en-US"/>
        </w:rPr>
        <w:t xml:space="preserve"> </w:t>
      </w:r>
      <w:r w:rsidRPr="007E2881">
        <w:rPr>
          <w:rFonts w:ascii="Arial" w:hAnsi="Arial" w:cs="Arial"/>
          <w:sz w:val="20"/>
          <w:szCs w:val="20"/>
          <w:lang w:val="en-US"/>
        </w:rPr>
        <w:t>Production</w:t>
      </w:r>
      <w:r w:rsidRPr="000967DE">
        <w:rPr>
          <w:rFonts w:ascii="Arial" w:hAnsi="Arial" w:cs="Arial"/>
          <w:sz w:val="20"/>
          <w:szCs w:val="20"/>
          <w:lang w:val="en-US"/>
        </w:rPr>
        <w:t xml:space="preserve"> </w:t>
      </w:r>
      <w:r w:rsidRPr="007E2881">
        <w:rPr>
          <w:rFonts w:ascii="Arial" w:hAnsi="Arial" w:cs="Arial"/>
          <w:sz w:val="20"/>
          <w:szCs w:val="20"/>
          <w:lang w:val="en-US"/>
        </w:rPr>
        <w:t xml:space="preserve">of </w:t>
      </w:r>
      <w:proofErr w:type="spellStart"/>
      <w:r w:rsidRPr="007E2881">
        <w:rPr>
          <w:rFonts w:ascii="Arial" w:hAnsi="Arial" w:cs="Arial"/>
          <w:sz w:val="20"/>
          <w:szCs w:val="20"/>
          <w:lang w:val="en-US"/>
        </w:rPr>
        <w:t>GrzB</w:t>
      </w:r>
      <w:proofErr w:type="spellEnd"/>
      <w:r w:rsidRPr="007E2881">
        <w:rPr>
          <w:rFonts w:ascii="Arial" w:hAnsi="Arial" w:cs="Arial"/>
          <w:sz w:val="20"/>
          <w:szCs w:val="20"/>
          <w:lang w:val="en-US"/>
        </w:rPr>
        <w:t xml:space="preserve"> by CD8</w:t>
      </w:r>
      <w:r w:rsidRPr="007E2881">
        <w:rPr>
          <w:rFonts w:ascii="Arial" w:hAnsi="Arial" w:cs="Arial"/>
          <w:sz w:val="20"/>
          <w:szCs w:val="20"/>
          <w:vertAlign w:val="superscript"/>
          <w:lang w:val="en-US"/>
        </w:rPr>
        <w:t xml:space="preserve">+ </w:t>
      </w:r>
      <w:r w:rsidRPr="007E2881">
        <w:rPr>
          <w:rFonts w:ascii="Arial" w:hAnsi="Arial" w:cs="Arial"/>
          <w:sz w:val="20"/>
          <w:szCs w:val="20"/>
          <w:lang w:val="en-US"/>
        </w:rPr>
        <w:t>(top) and CD4</w:t>
      </w:r>
      <w:r w:rsidRPr="007E2881">
        <w:rPr>
          <w:rFonts w:ascii="Arial" w:hAnsi="Arial" w:cs="Arial"/>
          <w:sz w:val="20"/>
          <w:szCs w:val="20"/>
          <w:vertAlign w:val="superscript"/>
          <w:lang w:val="en-US"/>
        </w:rPr>
        <w:t>+</w:t>
      </w:r>
      <w:r w:rsidRPr="007E2881">
        <w:rPr>
          <w:rFonts w:ascii="Arial" w:hAnsi="Arial" w:cs="Arial"/>
          <w:sz w:val="20"/>
          <w:szCs w:val="20"/>
          <w:lang w:val="en-US"/>
        </w:rPr>
        <w:t xml:space="preserve"> (bottom) T cells at indicated time points Exemplary FACS blots are shown.</w:t>
      </w:r>
    </w:p>
    <w:p w14:paraId="146EF213" w14:textId="77777777" w:rsidR="003728DF" w:rsidRPr="007E2881" w:rsidRDefault="003728DF" w:rsidP="003728DF">
      <w:pPr>
        <w:pBdr>
          <w:left w:val="none" w:sz="4" w:space="8" w:color="000000"/>
        </w:pBdr>
        <w:spacing w:after="0" w:line="480" w:lineRule="auto"/>
        <w:jc w:val="both"/>
        <w:rPr>
          <w:rFonts w:ascii="Arial" w:hAnsi="Arial" w:cs="Arial"/>
          <w:lang w:val="en-US"/>
        </w:rPr>
      </w:pPr>
    </w:p>
    <w:p w14:paraId="7F497FAA" w14:textId="77777777" w:rsidR="003728DF" w:rsidRPr="007E2881" w:rsidRDefault="003728DF" w:rsidP="003728DF">
      <w:pPr>
        <w:pBdr>
          <w:left w:val="none" w:sz="4" w:space="8" w:color="000000"/>
        </w:pBdr>
        <w:spacing w:after="0" w:line="480" w:lineRule="auto"/>
        <w:jc w:val="both"/>
        <w:rPr>
          <w:rFonts w:ascii="Arial" w:hAnsi="Arial" w:cs="Arial"/>
          <w:lang w:val="en-US"/>
        </w:rPr>
      </w:pPr>
    </w:p>
    <w:p w14:paraId="41B3A8E0" w14:textId="77777777" w:rsidR="003728DF" w:rsidRPr="007E2881" w:rsidRDefault="003728DF" w:rsidP="003728DF">
      <w:pPr>
        <w:pBdr>
          <w:left w:val="none" w:sz="4" w:space="8" w:color="000000"/>
        </w:pBdr>
        <w:spacing w:after="0" w:line="480" w:lineRule="auto"/>
        <w:jc w:val="both"/>
        <w:rPr>
          <w:rFonts w:ascii="Arial" w:hAnsi="Arial" w:cs="Arial"/>
          <w:lang w:val="en-US"/>
        </w:rPr>
      </w:pPr>
    </w:p>
    <w:p w14:paraId="246266A1" w14:textId="77777777" w:rsidR="003728DF" w:rsidRPr="007E2881" w:rsidRDefault="003728DF" w:rsidP="003728DF">
      <w:pPr>
        <w:rPr>
          <w:lang w:val="en-US"/>
        </w:rPr>
      </w:pPr>
      <w:r w:rsidRPr="007E2881">
        <w:rPr>
          <w:noProof/>
          <w:lang w:val="en-GB" w:eastAsia="en-GB"/>
        </w:rPr>
        <w:lastRenderedPageBreak/>
        <w:drawing>
          <wp:inline distT="0" distB="0" distL="0" distR="0" wp14:anchorId="1C1F62CB" wp14:editId="7B1DB8EB">
            <wp:extent cx="5760720" cy="3847837"/>
            <wp:effectExtent l="0" t="0" r="0" b="635"/>
            <wp:docPr id="21" name="Grafik 19" descr="Z:\GRPForschung_Troger\Oliver.Quitt\PHD\BiMab paper\Journal of hepatology\Figures\Figure S3\Supp figure 9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9" descr="Z:\GRPForschung_Troger\Oliver.Quitt\PHD\BiMab paper\Journal of hepatology\Figures\Figure S3\Supp figure 9 JoH.png"/>
                    <pic:cNvPicPr>
                      <a:picLocks noChangeAspect="1"/>
                    </pic:cNvPicPr>
                  </pic:nvPicPr>
                  <pic:blipFill>
                    <a:blip r:embed="rId20"/>
                    <a:stretch/>
                  </pic:blipFill>
                  <pic:spPr bwMode="auto">
                    <a:xfrm>
                      <a:off x="0" y="0"/>
                      <a:ext cx="5760720" cy="3847836"/>
                    </a:xfrm>
                    <a:prstGeom prst="rect">
                      <a:avLst/>
                    </a:prstGeom>
                    <a:noFill/>
                    <a:ln>
                      <a:noFill/>
                    </a:ln>
                  </pic:spPr>
                </pic:pic>
              </a:graphicData>
            </a:graphic>
          </wp:inline>
        </w:drawing>
      </w:r>
    </w:p>
    <w:p w14:paraId="6E07EC60" w14:textId="77777777" w:rsidR="003728DF" w:rsidRPr="000967DE" w:rsidRDefault="003728DF" w:rsidP="003728DF">
      <w:pPr>
        <w:spacing w:after="0" w:line="360" w:lineRule="auto"/>
        <w:jc w:val="both"/>
        <w:rPr>
          <w:rFonts w:ascii="Arial" w:hAnsi="Arial" w:cs="Arial"/>
          <w:sz w:val="20"/>
          <w:szCs w:val="20"/>
          <w:lang w:val="en-US"/>
        </w:rPr>
      </w:pPr>
      <w:r w:rsidRPr="007E2881">
        <w:rPr>
          <w:rFonts w:ascii="Arial" w:hAnsi="Arial" w:cs="Arial"/>
          <w:b/>
          <w:sz w:val="20"/>
          <w:szCs w:val="20"/>
          <w:lang w:val="en-US"/>
        </w:rPr>
        <w:t>Supplementary Fig. 10</w:t>
      </w:r>
      <w:r w:rsidRPr="000967DE">
        <w:rPr>
          <w:rFonts w:ascii="Arial" w:hAnsi="Arial" w:cs="Arial"/>
          <w:b/>
          <w:sz w:val="20"/>
          <w:szCs w:val="20"/>
          <w:lang w:val="en-US"/>
        </w:rPr>
        <w:t xml:space="preserve">. Parental Huh7 cells slowly lose viability in the presence of high doses of T-cell engager antibodies. </w:t>
      </w:r>
      <w:proofErr w:type="spellStart"/>
      <w:r w:rsidRPr="000967DE">
        <w:rPr>
          <w:rFonts w:ascii="Arial" w:hAnsi="Arial" w:cs="Arial"/>
          <w:sz w:val="20"/>
          <w:szCs w:val="20"/>
          <w:lang w:val="en-US"/>
        </w:rPr>
        <w:t>HBVenv</w:t>
      </w:r>
      <w:proofErr w:type="spellEnd"/>
      <w:r w:rsidRPr="000967DE">
        <w:rPr>
          <w:rFonts w:ascii="Arial" w:hAnsi="Arial" w:cs="Arial"/>
          <w:sz w:val="20"/>
          <w:szCs w:val="20"/>
          <w:lang w:val="en-US"/>
        </w:rPr>
        <w:t xml:space="preserve">-negative Huh7 cells in co-culture with various PBMC preparations. </w:t>
      </w:r>
      <w:r w:rsidRPr="000967DE">
        <w:rPr>
          <w:rFonts w:ascii="Arial" w:hAnsi="Arial" w:cs="Arial"/>
          <w:b/>
          <w:bCs/>
          <w:sz w:val="20"/>
          <w:szCs w:val="20"/>
          <w:lang w:val="en-US"/>
        </w:rPr>
        <w:t>(A)</w:t>
      </w:r>
      <w:r w:rsidRPr="000967DE">
        <w:rPr>
          <w:rFonts w:ascii="Arial" w:hAnsi="Arial" w:cs="Arial"/>
          <w:sz w:val="20"/>
          <w:szCs w:val="20"/>
          <w:lang w:val="en-US"/>
        </w:rPr>
        <w:t xml:space="preserve"> PBMC from a healthy individual and a dilution series of </w:t>
      </w:r>
      <w:proofErr w:type="spellStart"/>
      <w:r w:rsidRPr="000967DE">
        <w:rPr>
          <w:rFonts w:ascii="Arial" w:hAnsi="Arial" w:cs="Arial"/>
          <w:sz w:val="20"/>
          <w:szCs w:val="20"/>
          <w:lang w:val="en-US"/>
        </w:rPr>
        <w:t>BiMAb</w:t>
      </w:r>
      <w:proofErr w:type="spellEnd"/>
      <w:r w:rsidRPr="000967DE">
        <w:rPr>
          <w:rFonts w:ascii="Arial" w:hAnsi="Arial" w:cs="Arial"/>
          <w:sz w:val="20"/>
          <w:szCs w:val="20"/>
          <w:lang w:val="en-US"/>
        </w:rPr>
        <w:t xml:space="preserve"> (top) or </w:t>
      </w:r>
      <w:proofErr w:type="spellStart"/>
      <w:r w:rsidRPr="000967DE">
        <w:rPr>
          <w:rFonts w:ascii="Arial" w:hAnsi="Arial" w:cs="Arial"/>
          <w:sz w:val="20"/>
          <w:szCs w:val="20"/>
          <w:lang w:val="en-US"/>
        </w:rPr>
        <w:t>FabMAb</w:t>
      </w:r>
      <w:proofErr w:type="spellEnd"/>
      <w:r w:rsidRPr="000967DE">
        <w:rPr>
          <w:rFonts w:ascii="Arial" w:hAnsi="Arial" w:cs="Arial"/>
          <w:sz w:val="20"/>
          <w:szCs w:val="20"/>
          <w:lang w:val="en-US"/>
        </w:rPr>
        <w:t xml:space="preserve"> (bottom).</w:t>
      </w:r>
      <w:r w:rsidRPr="000967DE">
        <w:rPr>
          <w:rFonts w:ascii="Arial" w:hAnsi="Arial" w:cs="Arial"/>
          <w:b/>
          <w:sz w:val="20"/>
          <w:szCs w:val="20"/>
          <w:lang w:val="en-US"/>
        </w:rPr>
        <w:t xml:space="preserve"> (B) </w:t>
      </w:r>
      <w:r w:rsidRPr="000967DE">
        <w:rPr>
          <w:rFonts w:ascii="Arial" w:hAnsi="Arial" w:cs="Arial"/>
          <w:sz w:val="20"/>
          <w:szCs w:val="20"/>
          <w:lang w:val="en-US"/>
        </w:rPr>
        <w:t xml:space="preserve">PBMC from 4 different healthy donors (D1-D4) and from a chronically infected patient (CHB) and </w:t>
      </w:r>
      <w:proofErr w:type="spellStart"/>
      <w:r w:rsidRPr="000967DE">
        <w:rPr>
          <w:rFonts w:ascii="Arial" w:hAnsi="Arial" w:cs="Arial"/>
          <w:sz w:val="20"/>
          <w:szCs w:val="20"/>
          <w:lang w:val="en-US"/>
        </w:rPr>
        <w:t>BiMAb</w:t>
      </w:r>
      <w:proofErr w:type="spellEnd"/>
      <w:r w:rsidRPr="000967DE">
        <w:rPr>
          <w:rFonts w:ascii="Arial" w:hAnsi="Arial" w:cs="Arial"/>
          <w:sz w:val="20"/>
          <w:szCs w:val="20"/>
          <w:lang w:val="en-US"/>
        </w:rPr>
        <w:t xml:space="preserve"> (top) or </w:t>
      </w:r>
      <w:proofErr w:type="spellStart"/>
      <w:r w:rsidRPr="000967DE">
        <w:rPr>
          <w:rFonts w:ascii="Arial" w:hAnsi="Arial" w:cs="Arial"/>
          <w:sz w:val="20"/>
          <w:szCs w:val="20"/>
          <w:lang w:val="en-US"/>
        </w:rPr>
        <w:t>FabMAb</w:t>
      </w:r>
      <w:proofErr w:type="spellEnd"/>
      <w:r w:rsidRPr="000967DE">
        <w:rPr>
          <w:rFonts w:ascii="Arial" w:hAnsi="Arial" w:cs="Arial"/>
          <w:sz w:val="20"/>
          <w:szCs w:val="20"/>
          <w:lang w:val="en-US"/>
        </w:rPr>
        <w:t xml:space="preserve"> (bottom) at 3nM </w:t>
      </w:r>
      <w:proofErr w:type="spellStart"/>
      <w:r w:rsidRPr="000967DE">
        <w:rPr>
          <w:rFonts w:ascii="Arial" w:hAnsi="Arial" w:cs="Arial"/>
          <w:sz w:val="20"/>
          <w:szCs w:val="20"/>
          <w:lang w:val="en-US"/>
        </w:rPr>
        <w:t>concentratuin</w:t>
      </w:r>
      <w:proofErr w:type="spellEnd"/>
      <w:r w:rsidRPr="000967DE">
        <w:rPr>
          <w:rFonts w:ascii="Arial" w:hAnsi="Arial" w:cs="Arial"/>
          <w:sz w:val="20"/>
          <w:szCs w:val="20"/>
          <w:lang w:val="en-US"/>
        </w:rPr>
        <w:t xml:space="preserve">. Target cell viability was determined over 96 hours in real-time employing an </w:t>
      </w:r>
      <w:proofErr w:type="spellStart"/>
      <w:r w:rsidRPr="000967DE">
        <w:rPr>
          <w:rFonts w:ascii="Arial" w:hAnsi="Arial" w:cs="Arial"/>
          <w:sz w:val="20"/>
          <w:szCs w:val="20"/>
          <w:lang w:val="en-US"/>
        </w:rPr>
        <w:t>xCELLigence</w:t>
      </w:r>
      <w:proofErr w:type="spellEnd"/>
      <w:r w:rsidRPr="000967DE">
        <w:rPr>
          <w:rFonts w:ascii="Arial" w:hAnsi="Arial" w:cs="Arial"/>
          <w:sz w:val="20"/>
          <w:szCs w:val="20"/>
          <w:lang w:val="en-US"/>
        </w:rPr>
        <w:t xml:space="preserve"> real-time cell analyzer. </w:t>
      </w:r>
      <w:r w:rsidRPr="000967DE">
        <w:rPr>
          <w:rFonts w:ascii="Arial" w:hAnsi="Arial" w:cs="Arial"/>
          <w:b/>
          <w:sz w:val="20"/>
          <w:szCs w:val="20"/>
          <w:lang w:val="en-US"/>
        </w:rPr>
        <w:t>(C)</w:t>
      </w:r>
      <w:r w:rsidRPr="000967DE">
        <w:rPr>
          <w:rFonts w:ascii="Arial" w:hAnsi="Arial" w:cs="Arial"/>
          <w:sz w:val="20"/>
          <w:szCs w:val="20"/>
          <w:lang w:val="en-US"/>
        </w:rPr>
        <w:t xml:space="preserve"> Viability of non-infected HepG2 NTCP cells was monitored over 96 hours employing an </w:t>
      </w:r>
      <w:proofErr w:type="spellStart"/>
      <w:r w:rsidRPr="000967DE">
        <w:rPr>
          <w:rFonts w:ascii="Arial" w:hAnsi="Arial" w:cs="Arial"/>
          <w:sz w:val="20"/>
          <w:szCs w:val="20"/>
          <w:lang w:val="en-US"/>
        </w:rPr>
        <w:t>xCELLigence</w:t>
      </w:r>
      <w:proofErr w:type="spellEnd"/>
      <w:r w:rsidRPr="000967DE">
        <w:rPr>
          <w:rFonts w:ascii="Arial" w:hAnsi="Arial" w:cs="Arial"/>
          <w:sz w:val="20"/>
          <w:szCs w:val="20"/>
          <w:lang w:val="en-US"/>
        </w:rPr>
        <w:t xml:space="preserve"> real-time cell analyzer. Cells were cultured with PBMC and the indicated concentration of CD3- and CD28-targeting </w:t>
      </w:r>
      <w:proofErr w:type="spellStart"/>
      <w:r w:rsidRPr="000967DE">
        <w:rPr>
          <w:rFonts w:ascii="Arial" w:hAnsi="Arial" w:cs="Arial"/>
          <w:sz w:val="20"/>
          <w:szCs w:val="20"/>
          <w:lang w:val="en-US"/>
        </w:rPr>
        <w:t>BiMAb</w:t>
      </w:r>
      <w:proofErr w:type="spellEnd"/>
      <w:r w:rsidRPr="000967DE">
        <w:rPr>
          <w:rFonts w:ascii="Arial" w:hAnsi="Arial" w:cs="Arial"/>
          <w:sz w:val="20"/>
          <w:szCs w:val="20"/>
          <w:lang w:val="en-US"/>
        </w:rPr>
        <w:t xml:space="preserve"> (top) or </w:t>
      </w:r>
      <w:proofErr w:type="spellStart"/>
      <w:r w:rsidRPr="000967DE">
        <w:rPr>
          <w:rFonts w:ascii="Arial" w:hAnsi="Arial" w:cs="Arial"/>
          <w:sz w:val="20"/>
          <w:szCs w:val="20"/>
          <w:lang w:val="en-US"/>
        </w:rPr>
        <w:t>FabMAb</w:t>
      </w:r>
      <w:proofErr w:type="spellEnd"/>
      <w:r w:rsidRPr="000967DE">
        <w:rPr>
          <w:rFonts w:ascii="Arial" w:hAnsi="Arial" w:cs="Arial"/>
          <w:sz w:val="20"/>
          <w:szCs w:val="20"/>
          <w:lang w:val="en-US"/>
        </w:rPr>
        <w:t xml:space="preserve"> (bottom) in a 1:1 ratio. Data are presented as mean ± SD of triplicate cell-cultures (</w:t>
      </w:r>
      <w:r w:rsidRPr="000967DE">
        <w:rPr>
          <w:rFonts w:ascii="Arial" w:hAnsi="Arial" w:cs="Arial"/>
          <w:i/>
          <w:sz w:val="20"/>
          <w:szCs w:val="20"/>
          <w:lang w:val="en-US"/>
        </w:rPr>
        <w:t>n</w:t>
      </w:r>
      <w:r w:rsidRPr="000967DE">
        <w:rPr>
          <w:rFonts w:ascii="Arial" w:hAnsi="Arial" w:cs="Arial"/>
          <w:sz w:val="20"/>
          <w:szCs w:val="20"/>
          <w:lang w:val="en-US"/>
        </w:rPr>
        <w:t xml:space="preserve"> = 3). </w:t>
      </w:r>
    </w:p>
    <w:p w14:paraId="4104206D" w14:textId="77777777" w:rsidR="003728DF" w:rsidRPr="007E2881" w:rsidRDefault="003728DF" w:rsidP="003728DF">
      <w:pPr>
        <w:rPr>
          <w:lang w:val="en-US"/>
        </w:rPr>
      </w:pPr>
      <w:r w:rsidRPr="007E2881">
        <w:rPr>
          <w:lang w:val="en-US"/>
        </w:rPr>
        <w:br w:type="column"/>
      </w:r>
    </w:p>
    <w:p w14:paraId="565CD1AF" w14:textId="77777777" w:rsidR="003728DF" w:rsidRPr="007E2881" w:rsidRDefault="003728DF" w:rsidP="003728DF">
      <w:pPr>
        <w:rPr>
          <w:lang w:val="en-US"/>
        </w:rPr>
      </w:pPr>
      <w:r w:rsidRPr="007E2881">
        <w:rPr>
          <w:noProof/>
          <w:lang w:val="en-GB" w:eastAsia="en-GB"/>
        </w:rPr>
        <w:drawing>
          <wp:inline distT="0" distB="0" distL="0" distR="0" wp14:anchorId="3E4C11E6" wp14:editId="07576838">
            <wp:extent cx="5760720" cy="4107386"/>
            <wp:effectExtent l="0" t="0" r="0" b="7620"/>
            <wp:docPr id="22" name="Grafik 20" descr="Z:\GRPForschung_Troger\Oliver.Quitt\PHD\BiMab paper\Journal of hepatology\Figures\Figure S3\Supp figure 10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0" descr="Z:\GRPForschung_Troger\Oliver.Quitt\PHD\BiMab paper\Journal of hepatology\Figures\Figure S3\Supp figure 10 JoH.png"/>
                    <pic:cNvPicPr>
                      <a:picLocks noChangeAspect="1"/>
                    </pic:cNvPicPr>
                  </pic:nvPicPr>
                  <pic:blipFill>
                    <a:blip r:embed="rId21"/>
                    <a:stretch/>
                  </pic:blipFill>
                  <pic:spPr bwMode="auto">
                    <a:xfrm>
                      <a:off x="0" y="0"/>
                      <a:ext cx="5760720" cy="4107386"/>
                    </a:xfrm>
                    <a:prstGeom prst="rect">
                      <a:avLst/>
                    </a:prstGeom>
                    <a:noFill/>
                    <a:ln>
                      <a:noFill/>
                    </a:ln>
                  </pic:spPr>
                </pic:pic>
              </a:graphicData>
            </a:graphic>
          </wp:inline>
        </w:drawing>
      </w:r>
    </w:p>
    <w:p w14:paraId="41E5097B" w14:textId="77777777" w:rsidR="003728DF" w:rsidRPr="000967DE" w:rsidRDefault="003728DF" w:rsidP="003728DF">
      <w:pPr>
        <w:spacing w:after="0" w:line="360" w:lineRule="auto"/>
        <w:jc w:val="both"/>
        <w:rPr>
          <w:rFonts w:ascii="Arial" w:hAnsi="Arial" w:cs="Arial"/>
          <w:color w:val="000000"/>
          <w:sz w:val="20"/>
          <w:szCs w:val="20"/>
          <w:lang w:val="en-US"/>
        </w:rPr>
      </w:pPr>
      <w:r w:rsidRPr="007E2881">
        <w:rPr>
          <w:rFonts w:ascii="Arial" w:hAnsi="Arial" w:cs="Arial"/>
          <w:b/>
          <w:bCs/>
          <w:sz w:val="20"/>
          <w:szCs w:val="20"/>
          <w:lang w:val="en-US"/>
        </w:rPr>
        <w:t>Supplementary Fig. 11</w:t>
      </w:r>
      <w:r w:rsidRPr="000967DE">
        <w:rPr>
          <w:rFonts w:ascii="Arial" w:hAnsi="Arial" w:cs="Arial"/>
          <w:b/>
          <w:bCs/>
          <w:sz w:val="20"/>
          <w:szCs w:val="20"/>
          <w:lang w:val="en-US"/>
        </w:rPr>
        <w:t>. CD8</w:t>
      </w:r>
      <w:r w:rsidRPr="000967DE">
        <w:rPr>
          <w:rFonts w:ascii="Arial" w:hAnsi="Arial" w:cs="Arial"/>
          <w:b/>
          <w:bCs/>
          <w:sz w:val="20"/>
          <w:szCs w:val="20"/>
          <w:vertAlign w:val="superscript"/>
          <w:lang w:val="en-US"/>
        </w:rPr>
        <w:t xml:space="preserve">+ </w:t>
      </w:r>
      <w:r w:rsidRPr="000967DE">
        <w:rPr>
          <w:rFonts w:ascii="Arial" w:hAnsi="Arial" w:cs="Arial"/>
          <w:b/>
          <w:bCs/>
          <w:sz w:val="20"/>
          <w:szCs w:val="20"/>
          <w:lang w:val="en-US"/>
        </w:rPr>
        <w:t>and CD4</w:t>
      </w:r>
      <w:r w:rsidRPr="000967DE">
        <w:rPr>
          <w:rFonts w:ascii="Arial" w:hAnsi="Arial" w:cs="Arial"/>
          <w:b/>
          <w:bCs/>
          <w:sz w:val="20"/>
          <w:szCs w:val="20"/>
          <w:vertAlign w:val="superscript"/>
          <w:lang w:val="en-US"/>
        </w:rPr>
        <w:t xml:space="preserve">+ </w:t>
      </w:r>
      <w:r w:rsidRPr="000967DE">
        <w:rPr>
          <w:rFonts w:ascii="Arial" w:hAnsi="Arial" w:cs="Arial"/>
          <w:b/>
          <w:bCs/>
          <w:sz w:val="20"/>
          <w:szCs w:val="20"/>
          <w:lang w:val="en-US"/>
        </w:rPr>
        <w:t xml:space="preserve">T cells are efficiently depleted and can be isolated by magnetic associated cell sorting (MACS). </w:t>
      </w:r>
      <w:r w:rsidRPr="000967DE">
        <w:rPr>
          <w:rFonts w:ascii="Arial" w:hAnsi="Arial" w:cs="Arial"/>
          <w:sz w:val="20"/>
          <w:szCs w:val="20"/>
          <w:lang w:val="en-US"/>
        </w:rPr>
        <w:t xml:space="preserve">Gating strategy to analyze the efficiency of T-cell depletion and isolation by MACS. Top panel: </w:t>
      </w:r>
      <w:r w:rsidRPr="000967DE">
        <w:rPr>
          <w:rFonts w:ascii="Arial" w:hAnsi="Arial" w:cs="Arial"/>
          <w:color w:val="000000" w:themeColor="text1"/>
          <w:sz w:val="20"/>
          <w:szCs w:val="20"/>
          <w:lang w:val="en-US"/>
        </w:rPr>
        <w:t>PBMC were gated for lymphocytes, which were further gated for single cells and living cells. Living cells were gated for CD4 or CD8 expression to distinguish T cells. Middle panel: CD8</w:t>
      </w:r>
      <w:r w:rsidRPr="000967DE">
        <w:rPr>
          <w:rFonts w:ascii="Arial" w:hAnsi="Arial" w:cs="Arial"/>
          <w:color w:val="000000" w:themeColor="text1"/>
          <w:sz w:val="20"/>
          <w:szCs w:val="20"/>
          <w:vertAlign w:val="superscript"/>
          <w:lang w:val="en-US"/>
        </w:rPr>
        <w:t xml:space="preserve">+ </w:t>
      </w:r>
      <w:r w:rsidRPr="000967DE">
        <w:rPr>
          <w:rFonts w:ascii="Arial" w:hAnsi="Arial" w:cs="Arial"/>
          <w:color w:val="000000" w:themeColor="text1"/>
          <w:sz w:val="20"/>
          <w:szCs w:val="20"/>
          <w:lang w:val="en-US"/>
        </w:rPr>
        <w:t>(left), CD4</w:t>
      </w:r>
      <w:r w:rsidRPr="000967DE">
        <w:rPr>
          <w:rFonts w:ascii="Arial" w:hAnsi="Arial" w:cs="Arial"/>
          <w:color w:val="000000" w:themeColor="text1"/>
          <w:sz w:val="20"/>
          <w:szCs w:val="20"/>
          <w:vertAlign w:val="superscript"/>
          <w:lang w:val="en-US"/>
        </w:rPr>
        <w:t>+</w:t>
      </w:r>
      <w:r w:rsidRPr="000967DE">
        <w:rPr>
          <w:rFonts w:ascii="Arial" w:hAnsi="Arial" w:cs="Arial"/>
          <w:color w:val="000000" w:themeColor="text1"/>
          <w:sz w:val="20"/>
          <w:szCs w:val="20"/>
          <w:lang w:val="en-US"/>
        </w:rPr>
        <w:t xml:space="preserve"> (middle) and both subsets (right) are successfully depleted by MACS. Bottom panel: CD8</w:t>
      </w:r>
      <w:r w:rsidRPr="000967DE">
        <w:rPr>
          <w:rFonts w:ascii="Arial" w:hAnsi="Arial" w:cs="Arial"/>
          <w:color w:val="000000" w:themeColor="text1"/>
          <w:sz w:val="20"/>
          <w:szCs w:val="20"/>
          <w:vertAlign w:val="superscript"/>
          <w:lang w:val="en-US"/>
        </w:rPr>
        <w:t xml:space="preserve">+ </w:t>
      </w:r>
      <w:r w:rsidRPr="000967DE">
        <w:rPr>
          <w:rFonts w:ascii="Arial" w:hAnsi="Arial" w:cs="Arial"/>
          <w:color w:val="000000" w:themeColor="text1"/>
          <w:sz w:val="20"/>
          <w:szCs w:val="20"/>
          <w:lang w:val="en-US"/>
        </w:rPr>
        <w:t>(left), CD4</w:t>
      </w:r>
      <w:r w:rsidRPr="000967DE">
        <w:rPr>
          <w:rFonts w:ascii="Arial" w:hAnsi="Arial" w:cs="Arial"/>
          <w:color w:val="000000" w:themeColor="text1"/>
          <w:sz w:val="20"/>
          <w:szCs w:val="20"/>
          <w:vertAlign w:val="superscript"/>
          <w:lang w:val="en-US"/>
        </w:rPr>
        <w:t>+</w:t>
      </w:r>
      <w:r w:rsidRPr="000967DE">
        <w:rPr>
          <w:rFonts w:ascii="Arial" w:hAnsi="Arial" w:cs="Arial"/>
          <w:color w:val="000000" w:themeColor="text1"/>
          <w:sz w:val="20"/>
          <w:szCs w:val="20"/>
          <w:lang w:val="en-US"/>
        </w:rPr>
        <w:t xml:space="preserve"> (middle) and both subsets (right) are successfully purified by MACS. Exemplary FACS blots are shown. </w:t>
      </w:r>
    </w:p>
    <w:p w14:paraId="0AA98489" w14:textId="77777777" w:rsidR="003728DF" w:rsidRPr="007E2881" w:rsidRDefault="003728DF" w:rsidP="003728DF">
      <w:pPr>
        <w:rPr>
          <w:lang w:val="en-US"/>
        </w:rPr>
      </w:pPr>
      <w:r w:rsidRPr="007E2881">
        <w:rPr>
          <w:noProof/>
          <w:lang w:val="en-GB" w:eastAsia="en-GB"/>
        </w:rPr>
        <w:lastRenderedPageBreak/>
        <w:drawing>
          <wp:inline distT="0" distB="0" distL="0" distR="0" wp14:anchorId="3F45E0A5" wp14:editId="76C7EB89">
            <wp:extent cx="4082322" cy="9229061"/>
            <wp:effectExtent l="0" t="0" r="0" b="0"/>
            <wp:docPr id="23" name="Grafik 25" descr="Z:\GRPForschung_Troger\Oliver.Quitt\PHD\BiMab paper\Journal of hepatology\Figures\Figure S4\Supp figure 11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descr="Z:\GRPForschung_Troger\Oliver.Quitt\PHD\BiMab paper\Journal of hepatology\Figures\Figure S4\Supp figure 11 JoH.png"/>
                    <pic:cNvPicPr>
                      <a:picLocks noChangeAspect="1"/>
                    </pic:cNvPicPr>
                  </pic:nvPicPr>
                  <pic:blipFill>
                    <a:blip r:embed="rId22"/>
                    <a:stretch/>
                  </pic:blipFill>
                  <pic:spPr bwMode="auto">
                    <a:xfrm>
                      <a:off x="0" y="0"/>
                      <a:ext cx="4090754" cy="9248124"/>
                    </a:xfrm>
                    <a:prstGeom prst="rect">
                      <a:avLst/>
                    </a:prstGeom>
                    <a:noFill/>
                    <a:ln>
                      <a:noFill/>
                    </a:ln>
                  </pic:spPr>
                </pic:pic>
              </a:graphicData>
            </a:graphic>
          </wp:inline>
        </w:drawing>
      </w:r>
    </w:p>
    <w:p w14:paraId="244E2EDF" w14:textId="77777777" w:rsidR="003728DF" w:rsidRPr="007E2881" w:rsidRDefault="003728DF" w:rsidP="003728DF">
      <w:pPr>
        <w:spacing w:after="0" w:line="360" w:lineRule="auto"/>
        <w:jc w:val="both"/>
        <w:rPr>
          <w:rFonts w:ascii="Arial" w:hAnsi="Arial" w:cs="Arial"/>
          <w:sz w:val="20"/>
          <w:szCs w:val="20"/>
          <w:lang w:val="en-US"/>
        </w:rPr>
      </w:pPr>
      <w:r w:rsidRPr="007E2881">
        <w:rPr>
          <w:rFonts w:ascii="Arial" w:hAnsi="Arial" w:cs="Arial"/>
          <w:b/>
          <w:sz w:val="20"/>
          <w:szCs w:val="20"/>
          <w:lang w:val="en-US"/>
        </w:rPr>
        <w:lastRenderedPageBreak/>
        <w:t>Supplementary Fig. 12</w:t>
      </w:r>
      <w:r w:rsidRPr="000967DE">
        <w:rPr>
          <w:rFonts w:ascii="Arial" w:hAnsi="Arial" w:cs="Arial"/>
          <w:b/>
          <w:sz w:val="20"/>
          <w:szCs w:val="20"/>
          <w:lang w:val="en-US"/>
        </w:rPr>
        <w:t xml:space="preserve">. T cells elicit cytokine-mediated antiviral effects only in the presence of </w:t>
      </w:r>
      <w:proofErr w:type="spellStart"/>
      <w:r w:rsidRPr="000967DE">
        <w:rPr>
          <w:rFonts w:ascii="Arial" w:hAnsi="Arial" w:cs="Arial"/>
          <w:b/>
          <w:sz w:val="20"/>
          <w:szCs w:val="20"/>
          <w:lang w:val="en-US"/>
        </w:rPr>
        <w:t>HBVenv</w:t>
      </w:r>
      <w:proofErr w:type="spellEnd"/>
      <w:r w:rsidRPr="000967DE">
        <w:rPr>
          <w:rFonts w:ascii="Arial" w:hAnsi="Arial" w:cs="Arial"/>
          <w:b/>
          <w:sz w:val="20"/>
          <w:szCs w:val="20"/>
          <w:lang w:val="en-US"/>
        </w:rPr>
        <w:t xml:space="preserve">. </w:t>
      </w:r>
      <w:r w:rsidRPr="000967DE">
        <w:rPr>
          <w:rFonts w:ascii="Arial" w:hAnsi="Arial" w:cs="Arial"/>
          <w:sz w:val="20"/>
          <w:szCs w:val="20"/>
          <w:lang w:val="en-US"/>
        </w:rPr>
        <w:t xml:space="preserve">HepaRG cells were cultivated on the bottom of a well and infected with HBV before a </w:t>
      </w:r>
      <w:proofErr w:type="spellStart"/>
      <w:r w:rsidRPr="000967DE">
        <w:rPr>
          <w:rFonts w:ascii="Arial" w:hAnsi="Arial" w:cs="Arial"/>
          <w:sz w:val="20"/>
          <w:szCs w:val="20"/>
          <w:lang w:val="en-US"/>
        </w:rPr>
        <w:t>transwell</w:t>
      </w:r>
      <w:proofErr w:type="spellEnd"/>
      <w:r w:rsidRPr="000967DE">
        <w:rPr>
          <w:rFonts w:ascii="Arial" w:hAnsi="Arial" w:cs="Arial"/>
          <w:sz w:val="20"/>
          <w:szCs w:val="20"/>
          <w:lang w:val="en-US"/>
        </w:rPr>
        <w:t xml:space="preserve"> system with a co-culture of PBMC and </w:t>
      </w:r>
      <w:r w:rsidRPr="000967DE">
        <w:rPr>
          <w:rFonts w:ascii="Arial" w:hAnsi="Arial" w:cs="Arial"/>
          <w:b/>
          <w:sz w:val="20"/>
          <w:szCs w:val="20"/>
          <w:lang w:val="en-US"/>
        </w:rPr>
        <w:t>(A)</w:t>
      </w:r>
      <w:r w:rsidRPr="000967DE">
        <w:rPr>
          <w:rFonts w:ascii="Arial" w:hAnsi="Arial" w:cs="Arial"/>
          <w:b/>
          <w:bCs/>
          <w:sz w:val="20"/>
          <w:szCs w:val="20"/>
          <w:lang w:val="en-US"/>
        </w:rPr>
        <w:t xml:space="preserve"> </w:t>
      </w:r>
      <w:proofErr w:type="spellStart"/>
      <w:r w:rsidRPr="000967DE">
        <w:rPr>
          <w:rFonts w:ascii="Arial" w:hAnsi="Arial" w:cs="Arial"/>
          <w:bCs/>
          <w:sz w:val="20"/>
          <w:szCs w:val="20"/>
          <w:lang w:val="en-US"/>
        </w:rPr>
        <w:t>BiMAb</w:t>
      </w:r>
      <w:proofErr w:type="spellEnd"/>
      <w:r w:rsidRPr="000967DE">
        <w:rPr>
          <w:rFonts w:ascii="Arial" w:hAnsi="Arial" w:cs="Arial"/>
          <w:bCs/>
          <w:sz w:val="20"/>
          <w:szCs w:val="20"/>
          <w:lang w:val="en-US"/>
        </w:rPr>
        <w:t xml:space="preserve"> and </w:t>
      </w:r>
      <w:proofErr w:type="spellStart"/>
      <w:r w:rsidRPr="000967DE">
        <w:rPr>
          <w:rFonts w:ascii="Arial" w:hAnsi="Arial" w:cs="Arial"/>
          <w:bCs/>
          <w:sz w:val="20"/>
          <w:szCs w:val="20"/>
          <w:lang w:val="en-US"/>
        </w:rPr>
        <w:t>HBVenv</w:t>
      </w:r>
      <w:proofErr w:type="spellEnd"/>
      <w:r w:rsidRPr="000967DE">
        <w:rPr>
          <w:rFonts w:ascii="Arial" w:hAnsi="Arial" w:cs="Arial"/>
          <w:bCs/>
          <w:sz w:val="20"/>
          <w:szCs w:val="20"/>
          <w:lang w:val="en-US"/>
        </w:rPr>
        <w:t>-positive Huh7S cells</w:t>
      </w:r>
      <w:r w:rsidRPr="000967DE">
        <w:rPr>
          <w:rFonts w:ascii="Arial" w:hAnsi="Arial" w:cs="Arial"/>
          <w:b/>
          <w:bCs/>
          <w:sz w:val="20"/>
          <w:szCs w:val="20"/>
          <w:lang w:val="en-US"/>
        </w:rPr>
        <w:t xml:space="preserve"> (B) </w:t>
      </w:r>
      <w:proofErr w:type="spellStart"/>
      <w:r w:rsidRPr="000967DE">
        <w:rPr>
          <w:rFonts w:ascii="Arial" w:hAnsi="Arial" w:cs="Arial"/>
          <w:sz w:val="20"/>
          <w:szCs w:val="20"/>
          <w:lang w:val="en-US"/>
        </w:rPr>
        <w:t>BiMAb</w:t>
      </w:r>
      <w:proofErr w:type="spellEnd"/>
      <w:r w:rsidRPr="000967DE">
        <w:rPr>
          <w:rFonts w:ascii="Arial" w:hAnsi="Arial" w:cs="Arial"/>
          <w:sz w:val="20"/>
          <w:szCs w:val="20"/>
          <w:lang w:val="en-US"/>
        </w:rPr>
        <w:t xml:space="preserve"> and parental Huh7 cells, </w:t>
      </w:r>
      <w:r w:rsidRPr="000967DE">
        <w:rPr>
          <w:rFonts w:ascii="Arial" w:hAnsi="Arial" w:cs="Arial"/>
          <w:b/>
          <w:bCs/>
          <w:sz w:val="20"/>
          <w:szCs w:val="20"/>
          <w:lang w:val="en-US"/>
        </w:rPr>
        <w:t>(C)</w:t>
      </w:r>
      <w:r w:rsidRPr="000967DE">
        <w:rPr>
          <w:rFonts w:ascii="Arial" w:hAnsi="Arial" w:cs="Arial"/>
          <w:sz w:val="20"/>
          <w:szCs w:val="20"/>
          <w:lang w:val="en-US"/>
        </w:rPr>
        <w:t xml:space="preserve"> </w:t>
      </w:r>
      <w:proofErr w:type="spellStart"/>
      <w:r w:rsidRPr="000967DE">
        <w:rPr>
          <w:rFonts w:ascii="Arial" w:hAnsi="Arial" w:cs="Arial"/>
          <w:sz w:val="20"/>
          <w:szCs w:val="20"/>
          <w:lang w:val="en-US"/>
        </w:rPr>
        <w:t>FabMAb</w:t>
      </w:r>
      <w:proofErr w:type="spellEnd"/>
      <w:r w:rsidRPr="000967DE">
        <w:rPr>
          <w:rFonts w:ascii="Arial" w:hAnsi="Arial" w:cs="Arial"/>
          <w:sz w:val="20"/>
          <w:szCs w:val="20"/>
          <w:lang w:val="en-US"/>
        </w:rPr>
        <w:t xml:space="preserve"> and </w:t>
      </w:r>
      <w:proofErr w:type="spellStart"/>
      <w:r w:rsidRPr="000967DE">
        <w:rPr>
          <w:rFonts w:ascii="Arial" w:hAnsi="Arial" w:cs="Arial"/>
          <w:sz w:val="20"/>
          <w:szCs w:val="20"/>
          <w:lang w:val="en-US"/>
        </w:rPr>
        <w:t>HBVenv</w:t>
      </w:r>
      <w:proofErr w:type="spellEnd"/>
      <w:r w:rsidRPr="000967DE">
        <w:rPr>
          <w:rFonts w:ascii="Arial" w:hAnsi="Arial" w:cs="Arial"/>
          <w:sz w:val="20"/>
          <w:szCs w:val="20"/>
          <w:lang w:val="en-US"/>
        </w:rPr>
        <w:t xml:space="preserve">-positive Huh7S cells and </w:t>
      </w:r>
      <w:r w:rsidRPr="000967DE">
        <w:rPr>
          <w:rFonts w:ascii="Arial" w:hAnsi="Arial" w:cs="Arial"/>
          <w:b/>
          <w:bCs/>
          <w:sz w:val="20"/>
          <w:szCs w:val="20"/>
          <w:lang w:val="en-US"/>
        </w:rPr>
        <w:t>(D)</w:t>
      </w:r>
      <w:r w:rsidRPr="000967DE">
        <w:rPr>
          <w:rFonts w:ascii="Arial" w:hAnsi="Arial" w:cs="Arial"/>
          <w:sz w:val="20"/>
          <w:szCs w:val="20"/>
          <w:lang w:val="en-US"/>
        </w:rPr>
        <w:t xml:space="preserve"> </w:t>
      </w:r>
      <w:proofErr w:type="spellStart"/>
      <w:r w:rsidRPr="000967DE">
        <w:rPr>
          <w:rFonts w:ascii="Arial" w:hAnsi="Arial" w:cs="Arial"/>
          <w:sz w:val="20"/>
          <w:szCs w:val="20"/>
          <w:lang w:val="en-US"/>
        </w:rPr>
        <w:t>FabMAb</w:t>
      </w:r>
      <w:proofErr w:type="spellEnd"/>
      <w:r w:rsidRPr="000967DE">
        <w:rPr>
          <w:rFonts w:ascii="Arial" w:hAnsi="Arial" w:cs="Arial"/>
          <w:sz w:val="20"/>
          <w:szCs w:val="20"/>
          <w:lang w:val="en-US"/>
        </w:rPr>
        <w:t xml:space="preserve"> and parental Huh7 cells for 7 days were added. </w:t>
      </w:r>
      <w:proofErr w:type="spellStart"/>
      <w:r w:rsidRPr="000967DE">
        <w:rPr>
          <w:rFonts w:ascii="Arial" w:hAnsi="Arial" w:cs="Arial"/>
          <w:sz w:val="20"/>
          <w:szCs w:val="20"/>
          <w:lang w:val="en-US"/>
        </w:rPr>
        <w:t>BsAbs</w:t>
      </w:r>
      <w:proofErr w:type="spellEnd"/>
      <w:r w:rsidRPr="000967DE">
        <w:rPr>
          <w:rFonts w:ascii="Arial" w:hAnsi="Arial" w:cs="Arial"/>
          <w:sz w:val="20"/>
          <w:szCs w:val="20"/>
          <w:lang w:val="en-US"/>
        </w:rPr>
        <w:t xml:space="preserve"> were applied as a combination of CD3- and CD28- specific constructs in a 1:1 ratio at a concentration of 3 </w:t>
      </w:r>
      <w:proofErr w:type="spellStart"/>
      <w:r w:rsidRPr="000967DE">
        <w:rPr>
          <w:rFonts w:ascii="Arial" w:hAnsi="Arial" w:cs="Arial"/>
          <w:sz w:val="20"/>
          <w:szCs w:val="20"/>
          <w:lang w:val="en-US"/>
        </w:rPr>
        <w:t>nM.</w:t>
      </w:r>
      <w:proofErr w:type="spellEnd"/>
      <w:r w:rsidRPr="000967DE">
        <w:rPr>
          <w:rFonts w:ascii="Arial" w:hAnsi="Arial" w:cs="Arial"/>
          <w:sz w:val="20"/>
          <w:szCs w:val="20"/>
          <w:lang w:val="en-US"/>
        </w:rPr>
        <w:t xml:space="preserve"> Activated T cells had no direct contact to the infected HepaRG cells but secreted cytokines could pass the inlet membrane and act on target cells. </w:t>
      </w:r>
      <w:r w:rsidRPr="000967DE">
        <w:rPr>
          <w:rFonts w:ascii="Arial" w:hAnsi="Arial" w:cs="Arial"/>
          <w:b/>
          <w:sz w:val="20"/>
          <w:szCs w:val="20"/>
          <w:lang w:val="en-US"/>
        </w:rPr>
        <w:t>(B-D)</w:t>
      </w:r>
      <w:r w:rsidRPr="000967DE">
        <w:rPr>
          <w:rFonts w:ascii="Arial" w:hAnsi="Arial" w:cs="Arial"/>
          <w:sz w:val="20"/>
          <w:szCs w:val="20"/>
          <w:lang w:val="en-US"/>
        </w:rPr>
        <w:t xml:space="preserve"> Upper panel:</w:t>
      </w:r>
      <w:r w:rsidRPr="000967DE">
        <w:rPr>
          <w:rFonts w:ascii="Arial" w:hAnsi="Arial" w:cs="Arial"/>
          <w:b/>
          <w:sz w:val="20"/>
          <w:szCs w:val="20"/>
          <w:lang w:val="en-US"/>
        </w:rPr>
        <w:t xml:space="preserve"> </w:t>
      </w:r>
      <w:r w:rsidRPr="000967DE">
        <w:rPr>
          <w:rFonts w:ascii="Arial" w:hAnsi="Arial" w:cs="Arial"/>
          <w:sz w:val="20"/>
          <w:szCs w:val="20"/>
          <w:lang w:val="en-US"/>
        </w:rPr>
        <w:t>levels of</w:t>
      </w:r>
      <w:r w:rsidRPr="000967DE">
        <w:rPr>
          <w:rFonts w:ascii="Arial" w:hAnsi="Arial" w:cs="Arial"/>
          <w:b/>
          <w:sz w:val="20"/>
          <w:szCs w:val="20"/>
          <w:lang w:val="en-US"/>
        </w:rPr>
        <w:t xml:space="preserve"> </w:t>
      </w:r>
      <w:r w:rsidRPr="000967DE">
        <w:rPr>
          <w:rFonts w:ascii="Arial" w:hAnsi="Arial" w:cs="Arial"/>
          <w:sz w:val="20"/>
          <w:szCs w:val="20"/>
          <w:lang w:val="en-US"/>
        </w:rPr>
        <w:t>total</w:t>
      </w:r>
      <w:r w:rsidRPr="000967DE">
        <w:rPr>
          <w:rFonts w:ascii="Arial" w:hAnsi="Arial" w:cs="Arial"/>
          <w:b/>
          <w:sz w:val="20"/>
          <w:szCs w:val="20"/>
          <w:lang w:val="en-US"/>
        </w:rPr>
        <w:t xml:space="preserve"> </w:t>
      </w:r>
      <w:r w:rsidRPr="000967DE">
        <w:rPr>
          <w:rFonts w:ascii="Arial" w:hAnsi="Arial" w:cs="Arial"/>
          <w:sz w:val="20"/>
          <w:szCs w:val="20"/>
          <w:lang w:val="en-US"/>
        </w:rPr>
        <w:t xml:space="preserve">intracellular HBV-DNA (left), HBV cccDNA (middle) in infected HepaRG cells were determined by qPCR relative to the cellular prion protein (PRP) gene, and levels of HBeAg (right) in the supernatant secreted </w:t>
      </w:r>
      <w:r w:rsidRPr="000967DE">
        <w:rPr>
          <w:rFonts w:ascii="Arial" w:hAnsi="Arial"/>
          <w:sz w:val="20"/>
          <w:szCs w:val="20"/>
          <w:lang w:val="en-US"/>
        </w:rPr>
        <w:t xml:space="preserve">from day </w:t>
      </w:r>
      <w:r w:rsidRPr="000967DE">
        <w:rPr>
          <w:rFonts w:ascii="Arial" w:hAnsi="Arial" w:cs="Arial"/>
          <w:sz w:val="20"/>
          <w:szCs w:val="20"/>
          <w:lang w:val="en-US"/>
        </w:rPr>
        <w:t xml:space="preserve">0-7 are indicated. </w:t>
      </w:r>
      <w:r w:rsidRPr="000967DE">
        <w:rPr>
          <w:rFonts w:ascii="Arial" w:hAnsi="Arial" w:cs="Arial"/>
          <w:b/>
          <w:sz w:val="20"/>
          <w:szCs w:val="20"/>
          <w:lang w:val="en-US"/>
        </w:rPr>
        <w:t xml:space="preserve">(A-D) </w:t>
      </w:r>
      <w:r w:rsidRPr="000967DE">
        <w:rPr>
          <w:rFonts w:ascii="Arial" w:hAnsi="Arial" w:cs="Arial"/>
          <w:sz w:val="20"/>
          <w:szCs w:val="20"/>
          <w:lang w:val="en-US"/>
        </w:rPr>
        <w:t>Lower panel: levels of indicated cytokines were measured by ELISA. Data are presented as mean values ± SD of triplicate co-cultures (</w:t>
      </w:r>
      <w:r w:rsidRPr="000967DE">
        <w:rPr>
          <w:rFonts w:ascii="Arial" w:hAnsi="Arial" w:cs="Arial"/>
          <w:i/>
          <w:sz w:val="20"/>
          <w:szCs w:val="20"/>
          <w:lang w:val="en-US"/>
        </w:rPr>
        <w:t>n</w:t>
      </w:r>
      <w:r w:rsidRPr="000967DE">
        <w:rPr>
          <w:rFonts w:ascii="Arial" w:hAnsi="Arial" w:cs="Arial"/>
          <w:sz w:val="20"/>
          <w:szCs w:val="20"/>
          <w:lang w:val="en-US"/>
        </w:rPr>
        <w:t xml:space="preserve"> = 3). </w:t>
      </w:r>
      <w:proofErr w:type="spellStart"/>
      <w:r w:rsidRPr="000967DE">
        <w:rPr>
          <w:rFonts w:ascii="Arial" w:hAnsi="Arial" w:cs="Arial"/>
          <w:sz w:val="20"/>
          <w:szCs w:val="20"/>
          <w:lang w:val="en-US"/>
        </w:rPr>
        <w:t>nd</w:t>
      </w:r>
      <w:proofErr w:type="spellEnd"/>
      <w:r w:rsidRPr="000967DE">
        <w:rPr>
          <w:rFonts w:ascii="Arial" w:hAnsi="Arial" w:cs="Arial"/>
          <w:sz w:val="20"/>
          <w:szCs w:val="20"/>
          <w:lang w:val="en-US"/>
        </w:rPr>
        <w:t xml:space="preserve">=not detectable. </w:t>
      </w:r>
    </w:p>
    <w:p w14:paraId="6668F634" w14:textId="77777777" w:rsidR="003728DF" w:rsidRPr="007E2881" w:rsidRDefault="003728DF" w:rsidP="003728DF">
      <w:pPr>
        <w:rPr>
          <w:rFonts w:ascii="Arial" w:hAnsi="Arial" w:cs="Arial"/>
          <w:lang w:val="en-US"/>
        </w:rPr>
      </w:pPr>
      <w:r w:rsidRPr="007E2881">
        <w:rPr>
          <w:rFonts w:ascii="Arial" w:hAnsi="Arial" w:cs="Arial"/>
          <w:lang w:val="en-US"/>
        </w:rPr>
        <w:br w:type="page"/>
      </w:r>
    </w:p>
    <w:p w14:paraId="63BA16E2" w14:textId="77777777" w:rsidR="003728DF" w:rsidRPr="007E2881" w:rsidRDefault="003728DF" w:rsidP="003728DF">
      <w:pPr>
        <w:rPr>
          <w:lang w:val="en-US"/>
        </w:rPr>
      </w:pPr>
      <w:r w:rsidRPr="007E2881">
        <w:rPr>
          <w:noProof/>
          <w:lang w:val="en-GB" w:eastAsia="en-GB"/>
        </w:rPr>
        <w:lastRenderedPageBreak/>
        <w:drawing>
          <wp:inline distT="0" distB="0" distL="0" distR="0" wp14:anchorId="6EA3DF8D" wp14:editId="1FC41CEF">
            <wp:extent cx="5760720" cy="1748606"/>
            <wp:effectExtent l="0" t="0" r="0" b="4445"/>
            <wp:docPr id="24" name="Grafik 22" descr="Z:\GRPForschung_Troger\Oliver.Quitt\PHD\BiMab paper\Journal of hepatology\Figures\Figure S5\Supple Fig 12 J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2" descr="Z:\GRPForschung_Troger\Oliver.Quitt\PHD\BiMab paper\Journal of hepatology\Figures\Figure S5\Supple Fig 12 JoH.png"/>
                    <pic:cNvPicPr>
                      <a:picLocks noChangeAspect="1"/>
                    </pic:cNvPicPr>
                  </pic:nvPicPr>
                  <pic:blipFill>
                    <a:blip r:embed="rId23"/>
                    <a:stretch/>
                  </pic:blipFill>
                  <pic:spPr bwMode="auto">
                    <a:xfrm>
                      <a:off x="0" y="0"/>
                      <a:ext cx="5760720" cy="1748606"/>
                    </a:xfrm>
                    <a:prstGeom prst="rect">
                      <a:avLst/>
                    </a:prstGeom>
                    <a:noFill/>
                    <a:ln>
                      <a:noFill/>
                    </a:ln>
                  </pic:spPr>
                </pic:pic>
              </a:graphicData>
            </a:graphic>
          </wp:inline>
        </w:drawing>
      </w:r>
    </w:p>
    <w:p w14:paraId="750CCED0" w14:textId="77777777" w:rsidR="003728DF" w:rsidRPr="000967DE" w:rsidRDefault="003728DF" w:rsidP="003728DF">
      <w:pPr>
        <w:spacing w:line="360" w:lineRule="auto"/>
        <w:jc w:val="both"/>
        <w:rPr>
          <w:rFonts w:ascii="Arial" w:hAnsi="Arial" w:cs="Arial"/>
          <w:sz w:val="20"/>
          <w:szCs w:val="20"/>
          <w:lang w:val="en-US"/>
        </w:rPr>
      </w:pPr>
      <w:r w:rsidRPr="000967DE">
        <w:rPr>
          <w:rFonts w:ascii="Arial" w:hAnsi="Arial" w:cs="Arial"/>
          <w:b/>
          <w:bCs/>
          <w:sz w:val="20"/>
          <w:szCs w:val="20"/>
          <w:lang w:val="en-US"/>
        </w:rPr>
        <w:t xml:space="preserve">Supplementary Fig. 13 The expression of pro-inflammatory cytokines is increased in </w:t>
      </w:r>
      <w:proofErr w:type="spellStart"/>
      <w:r w:rsidRPr="000967DE">
        <w:rPr>
          <w:rFonts w:ascii="Arial" w:hAnsi="Arial" w:cs="Arial"/>
          <w:b/>
          <w:bCs/>
          <w:sz w:val="20"/>
          <w:szCs w:val="20"/>
          <w:lang w:val="en-US"/>
        </w:rPr>
        <w:t>HBVenv</w:t>
      </w:r>
      <w:proofErr w:type="spellEnd"/>
      <w:r w:rsidRPr="000967DE">
        <w:rPr>
          <w:rFonts w:ascii="Arial" w:hAnsi="Arial" w:cs="Arial"/>
          <w:b/>
          <w:bCs/>
          <w:sz w:val="20"/>
          <w:szCs w:val="20"/>
          <w:lang w:val="en-US"/>
        </w:rPr>
        <w:t>-expressing tumors.</w:t>
      </w:r>
      <w:r w:rsidRPr="000967DE">
        <w:rPr>
          <w:rFonts w:ascii="Arial" w:hAnsi="Arial" w:cs="Arial"/>
          <w:sz w:val="20"/>
          <w:szCs w:val="20"/>
          <w:lang w:val="en-US"/>
        </w:rPr>
        <w:t xml:space="preserve"> Fold increase of </w:t>
      </w:r>
      <w:proofErr w:type="spellStart"/>
      <w:r w:rsidRPr="000967DE">
        <w:rPr>
          <w:rFonts w:ascii="Arial" w:hAnsi="Arial" w:cs="Arial"/>
          <w:sz w:val="20"/>
          <w:szCs w:val="20"/>
          <w:lang w:val="en-US"/>
        </w:rPr>
        <w:t>hIFNγ</w:t>
      </w:r>
      <w:proofErr w:type="spellEnd"/>
      <w:r w:rsidRPr="000967DE">
        <w:rPr>
          <w:rFonts w:ascii="Arial" w:hAnsi="Arial" w:cs="Arial"/>
          <w:sz w:val="20"/>
          <w:szCs w:val="20"/>
          <w:lang w:val="en-US"/>
        </w:rPr>
        <w:t xml:space="preserve"> (left), </w:t>
      </w:r>
      <w:proofErr w:type="spellStart"/>
      <w:r w:rsidRPr="000967DE">
        <w:rPr>
          <w:rFonts w:ascii="Arial" w:hAnsi="Arial" w:cs="Arial"/>
          <w:sz w:val="20"/>
          <w:szCs w:val="20"/>
          <w:lang w:val="en-US"/>
        </w:rPr>
        <w:t>hTNF</w:t>
      </w:r>
      <w:proofErr w:type="spellEnd"/>
      <w:r w:rsidRPr="000967DE">
        <w:rPr>
          <w:rFonts w:ascii="Arial" w:hAnsi="Arial" w:cs="Arial"/>
          <w:sz w:val="20"/>
          <w:szCs w:val="20"/>
          <w:lang w:val="en-US"/>
        </w:rPr>
        <w:t xml:space="preserve">α (middle), and hIL-2 (right) mRNA in </w:t>
      </w:r>
      <w:proofErr w:type="spellStart"/>
      <w:r w:rsidRPr="000967DE">
        <w:rPr>
          <w:rFonts w:ascii="Arial" w:hAnsi="Arial" w:cs="Arial"/>
          <w:sz w:val="20"/>
          <w:szCs w:val="20"/>
          <w:lang w:val="en-US"/>
        </w:rPr>
        <w:t>HBVenv</w:t>
      </w:r>
      <w:proofErr w:type="spellEnd"/>
      <w:r w:rsidRPr="000967DE">
        <w:rPr>
          <w:rFonts w:ascii="Arial" w:hAnsi="Arial" w:cs="Arial"/>
          <w:sz w:val="20"/>
          <w:szCs w:val="20"/>
          <w:lang w:val="en-US"/>
        </w:rPr>
        <w:t xml:space="preserve">-positive tumors after 10-day treatment with </w:t>
      </w:r>
      <w:proofErr w:type="spellStart"/>
      <w:r w:rsidRPr="000967DE">
        <w:rPr>
          <w:rFonts w:ascii="Arial" w:hAnsi="Arial" w:cs="Arial"/>
          <w:sz w:val="20"/>
          <w:szCs w:val="20"/>
          <w:lang w:val="en-US"/>
        </w:rPr>
        <w:t>BiMAb</w:t>
      </w:r>
      <w:proofErr w:type="spellEnd"/>
      <w:r w:rsidRPr="000967DE">
        <w:rPr>
          <w:rFonts w:ascii="Arial" w:hAnsi="Arial" w:cs="Arial"/>
          <w:sz w:val="20"/>
          <w:szCs w:val="20"/>
          <w:lang w:val="en-US"/>
        </w:rPr>
        <w:t>. mRNA was only extracted from detectable tumors and samples without detectable GAPDH mRNA were excluded from the analysis. Data represent mean ± SD.</w:t>
      </w:r>
      <w:r w:rsidRPr="000967DE">
        <w:rPr>
          <w:rFonts w:ascii="Arial" w:hAnsi="Arial" w:cs="Arial"/>
          <w:b/>
          <w:sz w:val="20"/>
          <w:szCs w:val="20"/>
          <w:lang w:val="en-US"/>
        </w:rPr>
        <w:t xml:space="preserve"> </w:t>
      </w:r>
      <w:r w:rsidRPr="000967DE">
        <w:rPr>
          <w:rFonts w:ascii="Arial" w:hAnsi="Arial" w:cs="Arial"/>
          <w:sz w:val="20"/>
          <w:szCs w:val="20"/>
          <w:lang w:val="en-US"/>
        </w:rPr>
        <w:t>p-values were calculated using Mann-</w:t>
      </w:r>
      <w:proofErr w:type="spellStart"/>
      <w:r w:rsidRPr="000967DE">
        <w:rPr>
          <w:rFonts w:ascii="Arial" w:hAnsi="Arial" w:cs="Arial"/>
          <w:sz w:val="20"/>
          <w:szCs w:val="20"/>
          <w:lang w:val="en-US"/>
        </w:rPr>
        <w:t>Withney</w:t>
      </w:r>
      <w:proofErr w:type="spellEnd"/>
      <w:r w:rsidRPr="000967DE">
        <w:rPr>
          <w:rFonts w:ascii="Arial" w:hAnsi="Arial" w:cs="Arial"/>
          <w:sz w:val="20"/>
          <w:szCs w:val="20"/>
          <w:lang w:val="en-US"/>
        </w:rPr>
        <w:t xml:space="preserve"> u test. </w:t>
      </w:r>
    </w:p>
    <w:p w14:paraId="0767054A" w14:textId="77777777" w:rsidR="003728DF" w:rsidRPr="007E2881" w:rsidRDefault="003728DF" w:rsidP="003728DF">
      <w:pPr>
        <w:rPr>
          <w:rFonts w:ascii="Arial" w:hAnsi="Arial" w:cs="Arial"/>
          <w:lang w:val="en-US"/>
        </w:rPr>
      </w:pPr>
      <w:r w:rsidRPr="007E2881">
        <w:rPr>
          <w:rFonts w:ascii="Arial" w:hAnsi="Arial" w:cs="Arial"/>
          <w:lang w:val="en-US"/>
        </w:rPr>
        <w:br w:type="page"/>
      </w:r>
    </w:p>
    <w:p w14:paraId="1642A7F3" w14:textId="77777777" w:rsidR="003728DF" w:rsidRDefault="003728DF" w:rsidP="003728DF">
      <w:pPr>
        <w:pStyle w:val="Heading1"/>
        <w:rPr>
          <w:sz w:val="22"/>
          <w:szCs w:val="22"/>
          <w:lang w:val="en-US"/>
        </w:rPr>
      </w:pPr>
      <w:bookmarkStart w:id="27" w:name="_Toc66177371"/>
      <w:r w:rsidRPr="007E2881">
        <w:rPr>
          <w:sz w:val="22"/>
          <w:szCs w:val="22"/>
          <w:lang w:val="en-US"/>
        </w:rPr>
        <w:lastRenderedPageBreak/>
        <w:t>Supplementary tables</w:t>
      </w:r>
      <w:bookmarkEnd w:id="27"/>
    </w:p>
    <w:p w14:paraId="1631D45F" w14:textId="77777777" w:rsidR="003728DF" w:rsidRPr="000967DE" w:rsidRDefault="003728DF" w:rsidP="003728DF">
      <w:pPr>
        <w:pStyle w:val="Heading1"/>
        <w:rPr>
          <w:b w:val="0"/>
          <w:sz w:val="22"/>
          <w:szCs w:val="22"/>
          <w:lang w:val="en-US"/>
        </w:rPr>
      </w:pPr>
    </w:p>
    <w:p w14:paraId="10ACF1BE" w14:textId="77777777" w:rsidR="003728DF" w:rsidRPr="003728DF" w:rsidRDefault="003728DF" w:rsidP="003728DF">
      <w:pPr>
        <w:spacing w:line="480" w:lineRule="auto"/>
        <w:jc w:val="both"/>
        <w:rPr>
          <w:rFonts w:ascii="Arial" w:hAnsi="Arial" w:cs="Arial"/>
          <w:b/>
          <w:bCs/>
          <w:lang w:val="en-US"/>
        </w:rPr>
      </w:pPr>
      <w:r w:rsidRPr="003728DF">
        <w:rPr>
          <w:rFonts w:ascii="Arial" w:hAnsi="Arial" w:cs="Arial"/>
          <w:b/>
          <w:bCs/>
          <w:lang w:val="en-US"/>
        </w:rPr>
        <w:t xml:space="preserve">Supplementary Table 1: qPCR conditions </w:t>
      </w:r>
      <w:r w:rsidRPr="003728DF">
        <w:rPr>
          <w:rFonts w:ascii="Arial" w:hAnsi="Arial" w:cs="Arial"/>
          <w:b/>
          <w:bCs/>
          <w:lang w:val="en-US" w:eastAsia="zh-CN"/>
        </w:rPr>
        <w:t xml:space="preserve">for </w:t>
      </w:r>
      <w:r w:rsidRPr="003728DF">
        <w:rPr>
          <w:rFonts w:ascii="Arial" w:hAnsi="Arial" w:cs="Arial"/>
          <w:b/>
          <w:bCs/>
          <w:lang w:val="en-US"/>
        </w:rPr>
        <w:t>human CD4+, CD8+, IFNγ, IL-2 and TNFα</w:t>
      </w:r>
    </w:p>
    <w:tbl>
      <w:tblPr>
        <w:tblW w:w="92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134"/>
        <w:gridCol w:w="850"/>
        <w:gridCol w:w="1559"/>
        <w:gridCol w:w="1843"/>
        <w:gridCol w:w="1599"/>
      </w:tblGrid>
      <w:tr w:rsidR="003728DF" w:rsidRPr="003728DF" w14:paraId="4F150077" w14:textId="77777777" w:rsidTr="007D59FB">
        <w:trPr>
          <w:trHeight w:val="300"/>
        </w:trPr>
        <w:tc>
          <w:tcPr>
            <w:tcW w:w="2240" w:type="dxa"/>
            <w:shd w:val="clear" w:color="auto" w:fill="D9D9D9" w:themeFill="background1" w:themeFillShade="D9"/>
            <w:noWrap/>
            <w:vAlign w:val="bottom"/>
          </w:tcPr>
          <w:p w14:paraId="55C2C676" w14:textId="77777777" w:rsidR="003728DF" w:rsidRPr="003728DF" w:rsidRDefault="003728DF" w:rsidP="007D59FB">
            <w:pPr>
              <w:jc w:val="center"/>
              <w:rPr>
                <w:b/>
                <w:bCs/>
                <w:color w:val="000000"/>
                <w:lang w:val="en-US"/>
              </w:rPr>
            </w:pPr>
          </w:p>
        </w:tc>
        <w:tc>
          <w:tcPr>
            <w:tcW w:w="1134" w:type="dxa"/>
            <w:shd w:val="clear" w:color="auto" w:fill="auto"/>
            <w:noWrap/>
            <w:vAlign w:val="bottom"/>
          </w:tcPr>
          <w:p w14:paraId="2C447ECD" w14:textId="77777777" w:rsidR="003728DF" w:rsidRPr="003728DF" w:rsidRDefault="003728DF" w:rsidP="007D59FB">
            <w:pPr>
              <w:jc w:val="center"/>
              <w:rPr>
                <w:b/>
                <w:bCs/>
                <w:color w:val="000000"/>
                <w:lang w:val="en-US"/>
              </w:rPr>
            </w:pPr>
            <w:r w:rsidRPr="003728DF">
              <w:rPr>
                <w:b/>
                <w:bCs/>
                <w:color w:val="000000"/>
                <w:lang w:val="en-US"/>
              </w:rPr>
              <w:t>T [°C]</w:t>
            </w:r>
          </w:p>
        </w:tc>
        <w:tc>
          <w:tcPr>
            <w:tcW w:w="850" w:type="dxa"/>
            <w:shd w:val="clear" w:color="auto" w:fill="auto"/>
            <w:noWrap/>
            <w:vAlign w:val="bottom"/>
          </w:tcPr>
          <w:p w14:paraId="5AC14175" w14:textId="77777777" w:rsidR="003728DF" w:rsidRPr="003728DF" w:rsidRDefault="003728DF" w:rsidP="007D59FB">
            <w:pPr>
              <w:jc w:val="center"/>
              <w:rPr>
                <w:b/>
                <w:bCs/>
                <w:color w:val="000000"/>
                <w:lang w:val="en-US"/>
              </w:rPr>
            </w:pPr>
            <w:r w:rsidRPr="003728DF">
              <w:rPr>
                <w:b/>
                <w:bCs/>
                <w:color w:val="000000"/>
                <w:lang w:val="en-US"/>
              </w:rPr>
              <w:t>t [sec]</w:t>
            </w:r>
          </w:p>
        </w:tc>
        <w:tc>
          <w:tcPr>
            <w:tcW w:w="1559" w:type="dxa"/>
            <w:shd w:val="clear" w:color="auto" w:fill="auto"/>
            <w:noWrap/>
            <w:vAlign w:val="bottom"/>
          </w:tcPr>
          <w:p w14:paraId="42F90E2E" w14:textId="77777777" w:rsidR="003728DF" w:rsidRPr="003728DF" w:rsidRDefault="003728DF" w:rsidP="007D59FB">
            <w:pPr>
              <w:jc w:val="center"/>
              <w:rPr>
                <w:b/>
                <w:bCs/>
                <w:color w:val="000000"/>
                <w:lang w:val="en-US"/>
              </w:rPr>
            </w:pPr>
            <w:r w:rsidRPr="003728DF">
              <w:rPr>
                <w:b/>
                <w:bCs/>
                <w:color w:val="000000"/>
                <w:lang w:val="en-US"/>
              </w:rPr>
              <w:t>Ramp [°C/sec]</w:t>
            </w:r>
          </w:p>
        </w:tc>
        <w:tc>
          <w:tcPr>
            <w:tcW w:w="1843" w:type="dxa"/>
            <w:shd w:val="clear" w:color="auto" w:fill="auto"/>
            <w:noWrap/>
            <w:vAlign w:val="bottom"/>
          </w:tcPr>
          <w:p w14:paraId="67A1CB08" w14:textId="77777777" w:rsidR="003728DF" w:rsidRPr="003728DF" w:rsidRDefault="003728DF" w:rsidP="007D59FB">
            <w:pPr>
              <w:jc w:val="center"/>
              <w:rPr>
                <w:b/>
                <w:bCs/>
                <w:color w:val="000000"/>
                <w:lang w:val="en-US"/>
              </w:rPr>
            </w:pPr>
            <w:r w:rsidRPr="003728DF">
              <w:rPr>
                <w:b/>
                <w:bCs/>
                <w:color w:val="000000"/>
                <w:lang w:val="en-US"/>
              </w:rPr>
              <w:t>Acquisition mode</w:t>
            </w:r>
          </w:p>
        </w:tc>
        <w:tc>
          <w:tcPr>
            <w:tcW w:w="1599" w:type="dxa"/>
            <w:shd w:val="clear" w:color="auto" w:fill="auto"/>
            <w:noWrap/>
            <w:vAlign w:val="bottom"/>
          </w:tcPr>
          <w:p w14:paraId="44F6E752" w14:textId="77777777" w:rsidR="003728DF" w:rsidRPr="003728DF" w:rsidRDefault="003728DF" w:rsidP="007D59FB">
            <w:pPr>
              <w:jc w:val="center"/>
              <w:rPr>
                <w:b/>
                <w:bCs/>
                <w:color w:val="000000"/>
                <w:lang w:val="en-US"/>
              </w:rPr>
            </w:pPr>
            <w:r w:rsidRPr="003728DF">
              <w:rPr>
                <w:b/>
                <w:bCs/>
                <w:color w:val="000000"/>
                <w:lang w:val="en-US"/>
              </w:rPr>
              <w:t>Cycles</w:t>
            </w:r>
          </w:p>
        </w:tc>
      </w:tr>
      <w:tr w:rsidR="003728DF" w:rsidRPr="003728DF" w14:paraId="0742CDD7" w14:textId="77777777" w:rsidTr="007D59FB">
        <w:trPr>
          <w:trHeight w:val="300"/>
        </w:trPr>
        <w:tc>
          <w:tcPr>
            <w:tcW w:w="2240" w:type="dxa"/>
            <w:shd w:val="clear" w:color="auto" w:fill="auto"/>
            <w:noWrap/>
            <w:vAlign w:val="bottom"/>
          </w:tcPr>
          <w:p w14:paraId="73BFC09A" w14:textId="77777777" w:rsidR="003728DF" w:rsidRPr="003728DF" w:rsidRDefault="003728DF" w:rsidP="007D59FB">
            <w:pPr>
              <w:jc w:val="center"/>
              <w:rPr>
                <w:b/>
                <w:bCs/>
                <w:color w:val="000000"/>
                <w:lang w:val="en-US"/>
              </w:rPr>
            </w:pPr>
            <w:r w:rsidRPr="003728DF">
              <w:rPr>
                <w:b/>
                <w:bCs/>
                <w:color w:val="000000"/>
                <w:lang w:val="en-US"/>
              </w:rPr>
              <w:t>Denaturation</w:t>
            </w:r>
          </w:p>
        </w:tc>
        <w:tc>
          <w:tcPr>
            <w:tcW w:w="1134" w:type="dxa"/>
            <w:shd w:val="clear" w:color="auto" w:fill="auto"/>
            <w:noWrap/>
            <w:vAlign w:val="bottom"/>
          </w:tcPr>
          <w:p w14:paraId="1E4CB8F3" w14:textId="77777777" w:rsidR="003728DF" w:rsidRPr="003728DF" w:rsidRDefault="003728DF" w:rsidP="007D59FB">
            <w:pPr>
              <w:jc w:val="center"/>
              <w:rPr>
                <w:color w:val="000000"/>
                <w:lang w:val="en-US"/>
              </w:rPr>
            </w:pPr>
            <w:r w:rsidRPr="003728DF">
              <w:rPr>
                <w:color w:val="000000"/>
                <w:lang w:val="en-US"/>
              </w:rPr>
              <w:t>95</w:t>
            </w:r>
          </w:p>
        </w:tc>
        <w:tc>
          <w:tcPr>
            <w:tcW w:w="850" w:type="dxa"/>
            <w:shd w:val="clear" w:color="auto" w:fill="auto"/>
            <w:noWrap/>
            <w:vAlign w:val="bottom"/>
          </w:tcPr>
          <w:p w14:paraId="0060166D" w14:textId="77777777" w:rsidR="003728DF" w:rsidRPr="003728DF" w:rsidRDefault="003728DF" w:rsidP="007D59FB">
            <w:pPr>
              <w:jc w:val="center"/>
              <w:rPr>
                <w:color w:val="000000"/>
                <w:lang w:val="en-US"/>
              </w:rPr>
            </w:pPr>
            <w:r w:rsidRPr="003728DF">
              <w:rPr>
                <w:color w:val="000000"/>
                <w:lang w:val="en-US"/>
              </w:rPr>
              <w:t>300</w:t>
            </w:r>
          </w:p>
        </w:tc>
        <w:tc>
          <w:tcPr>
            <w:tcW w:w="1559" w:type="dxa"/>
            <w:shd w:val="clear" w:color="auto" w:fill="auto"/>
            <w:noWrap/>
            <w:vAlign w:val="bottom"/>
          </w:tcPr>
          <w:p w14:paraId="01490667" w14:textId="77777777" w:rsidR="003728DF" w:rsidRPr="003728DF" w:rsidRDefault="003728DF" w:rsidP="007D59FB">
            <w:pPr>
              <w:jc w:val="center"/>
              <w:rPr>
                <w:color w:val="000000"/>
                <w:lang w:val="en-US"/>
              </w:rPr>
            </w:pPr>
            <w:r w:rsidRPr="003728DF">
              <w:rPr>
                <w:color w:val="000000"/>
                <w:lang w:val="en-US"/>
              </w:rPr>
              <w:t>4.4</w:t>
            </w:r>
          </w:p>
        </w:tc>
        <w:tc>
          <w:tcPr>
            <w:tcW w:w="1843" w:type="dxa"/>
            <w:shd w:val="clear" w:color="auto" w:fill="auto"/>
            <w:noWrap/>
            <w:vAlign w:val="bottom"/>
          </w:tcPr>
          <w:p w14:paraId="698756BD" w14:textId="77777777" w:rsidR="003728DF" w:rsidRPr="003728DF" w:rsidRDefault="003728DF" w:rsidP="007D59FB">
            <w:pPr>
              <w:jc w:val="center"/>
              <w:rPr>
                <w:color w:val="000000"/>
                <w:lang w:val="en-US"/>
              </w:rPr>
            </w:pPr>
          </w:p>
        </w:tc>
        <w:tc>
          <w:tcPr>
            <w:tcW w:w="1599" w:type="dxa"/>
            <w:shd w:val="clear" w:color="auto" w:fill="auto"/>
            <w:noWrap/>
            <w:vAlign w:val="center"/>
          </w:tcPr>
          <w:p w14:paraId="08177727" w14:textId="77777777" w:rsidR="003728DF" w:rsidRPr="003728DF" w:rsidRDefault="003728DF" w:rsidP="007D59FB">
            <w:pPr>
              <w:jc w:val="center"/>
              <w:rPr>
                <w:color w:val="000000"/>
                <w:lang w:val="en-US"/>
              </w:rPr>
            </w:pPr>
            <w:r w:rsidRPr="003728DF">
              <w:rPr>
                <w:color w:val="000000"/>
                <w:lang w:val="en-US"/>
              </w:rPr>
              <w:t>1</w:t>
            </w:r>
          </w:p>
        </w:tc>
      </w:tr>
      <w:tr w:rsidR="003728DF" w:rsidRPr="003728DF" w14:paraId="73183C8E" w14:textId="77777777" w:rsidTr="007D59FB">
        <w:trPr>
          <w:trHeight w:val="300"/>
        </w:trPr>
        <w:tc>
          <w:tcPr>
            <w:tcW w:w="2240" w:type="dxa"/>
            <w:shd w:val="clear" w:color="auto" w:fill="auto"/>
            <w:noWrap/>
            <w:vAlign w:val="bottom"/>
          </w:tcPr>
          <w:p w14:paraId="28DF6D33" w14:textId="77777777" w:rsidR="003728DF" w:rsidRPr="003728DF" w:rsidRDefault="003728DF" w:rsidP="007D59FB">
            <w:pPr>
              <w:jc w:val="center"/>
              <w:rPr>
                <w:b/>
                <w:bCs/>
                <w:color w:val="000000"/>
                <w:lang w:val="en-US"/>
              </w:rPr>
            </w:pPr>
            <w:r w:rsidRPr="003728DF">
              <w:rPr>
                <w:b/>
                <w:bCs/>
                <w:color w:val="000000"/>
                <w:lang w:val="en-US"/>
              </w:rPr>
              <w:t>Amplification</w:t>
            </w:r>
          </w:p>
        </w:tc>
        <w:tc>
          <w:tcPr>
            <w:tcW w:w="1134" w:type="dxa"/>
            <w:shd w:val="clear" w:color="auto" w:fill="auto"/>
            <w:noWrap/>
            <w:vAlign w:val="bottom"/>
          </w:tcPr>
          <w:p w14:paraId="1E6D0AEE" w14:textId="77777777" w:rsidR="003728DF" w:rsidRPr="003728DF" w:rsidRDefault="003728DF" w:rsidP="007D59FB">
            <w:pPr>
              <w:jc w:val="center"/>
              <w:rPr>
                <w:color w:val="000000"/>
                <w:lang w:val="en-US"/>
              </w:rPr>
            </w:pPr>
            <w:r w:rsidRPr="003728DF">
              <w:rPr>
                <w:color w:val="000000"/>
                <w:lang w:val="en-US"/>
              </w:rPr>
              <w:t>95</w:t>
            </w:r>
          </w:p>
        </w:tc>
        <w:tc>
          <w:tcPr>
            <w:tcW w:w="850" w:type="dxa"/>
            <w:shd w:val="clear" w:color="auto" w:fill="auto"/>
            <w:noWrap/>
            <w:vAlign w:val="bottom"/>
          </w:tcPr>
          <w:p w14:paraId="5849184A" w14:textId="77777777" w:rsidR="003728DF" w:rsidRPr="003728DF" w:rsidRDefault="003728DF" w:rsidP="007D59FB">
            <w:pPr>
              <w:jc w:val="center"/>
              <w:rPr>
                <w:color w:val="000000"/>
                <w:lang w:val="en-US"/>
              </w:rPr>
            </w:pPr>
            <w:r w:rsidRPr="003728DF">
              <w:rPr>
                <w:color w:val="000000"/>
                <w:lang w:val="en-US"/>
              </w:rPr>
              <w:t>25</w:t>
            </w:r>
          </w:p>
        </w:tc>
        <w:tc>
          <w:tcPr>
            <w:tcW w:w="1559" w:type="dxa"/>
            <w:shd w:val="clear" w:color="auto" w:fill="auto"/>
            <w:noWrap/>
            <w:vAlign w:val="bottom"/>
          </w:tcPr>
          <w:p w14:paraId="0735A1D5" w14:textId="77777777" w:rsidR="003728DF" w:rsidRPr="003728DF" w:rsidRDefault="003728DF" w:rsidP="007D59FB">
            <w:pPr>
              <w:jc w:val="center"/>
              <w:rPr>
                <w:color w:val="000000"/>
                <w:lang w:val="en-US"/>
              </w:rPr>
            </w:pPr>
            <w:r w:rsidRPr="003728DF">
              <w:rPr>
                <w:color w:val="000000"/>
                <w:lang w:val="en-US"/>
              </w:rPr>
              <w:t>4.4</w:t>
            </w:r>
          </w:p>
        </w:tc>
        <w:tc>
          <w:tcPr>
            <w:tcW w:w="1843" w:type="dxa"/>
            <w:shd w:val="clear" w:color="auto" w:fill="auto"/>
            <w:noWrap/>
            <w:vAlign w:val="bottom"/>
          </w:tcPr>
          <w:p w14:paraId="2F8E1EC7" w14:textId="77777777" w:rsidR="003728DF" w:rsidRPr="003728DF" w:rsidRDefault="003728DF" w:rsidP="007D59FB">
            <w:pPr>
              <w:jc w:val="center"/>
              <w:rPr>
                <w:color w:val="000000"/>
                <w:lang w:val="en-US"/>
              </w:rPr>
            </w:pPr>
          </w:p>
        </w:tc>
        <w:tc>
          <w:tcPr>
            <w:tcW w:w="1599" w:type="dxa"/>
            <w:vMerge w:val="restart"/>
            <w:shd w:val="clear" w:color="auto" w:fill="auto"/>
            <w:noWrap/>
            <w:vAlign w:val="center"/>
          </w:tcPr>
          <w:p w14:paraId="7A3F8D2F" w14:textId="77777777" w:rsidR="003728DF" w:rsidRPr="003728DF" w:rsidRDefault="003728DF" w:rsidP="007D59FB">
            <w:pPr>
              <w:jc w:val="center"/>
              <w:rPr>
                <w:color w:val="000000"/>
                <w:lang w:val="en-US"/>
              </w:rPr>
            </w:pPr>
            <w:r w:rsidRPr="003728DF">
              <w:rPr>
                <w:color w:val="000000"/>
                <w:lang w:val="en-US"/>
              </w:rPr>
              <w:t>40</w:t>
            </w:r>
          </w:p>
        </w:tc>
      </w:tr>
      <w:tr w:rsidR="003728DF" w:rsidRPr="003728DF" w14:paraId="5F97600E" w14:textId="77777777" w:rsidTr="007D59FB">
        <w:trPr>
          <w:trHeight w:val="300"/>
        </w:trPr>
        <w:tc>
          <w:tcPr>
            <w:tcW w:w="2240" w:type="dxa"/>
            <w:shd w:val="clear" w:color="auto" w:fill="auto"/>
            <w:noWrap/>
            <w:vAlign w:val="bottom"/>
          </w:tcPr>
          <w:p w14:paraId="03D816CA" w14:textId="77777777" w:rsidR="003728DF" w:rsidRPr="003728DF" w:rsidRDefault="003728DF" w:rsidP="007D59FB">
            <w:pPr>
              <w:jc w:val="center"/>
              <w:rPr>
                <w:b/>
                <w:bCs/>
                <w:color w:val="000000"/>
                <w:lang w:val="en-US"/>
              </w:rPr>
            </w:pPr>
          </w:p>
        </w:tc>
        <w:tc>
          <w:tcPr>
            <w:tcW w:w="1134" w:type="dxa"/>
            <w:shd w:val="clear" w:color="auto" w:fill="auto"/>
            <w:noWrap/>
            <w:vAlign w:val="bottom"/>
          </w:tcPr>
          <w:p w14:paraId="13EEF8F6" w14:textId="77777777" w:rsidR="003728DF" w:rsidRPr="003728DF" w:rsidRDefault="003728DF" w:rsidP="007D59FB">
            <w:pPr>
              <w:jc w:val="center"/>
              <w:rPr>
                <w:color w:val="000000"/>
                <w:lang w:val="en-US"/>
              </w:rPr>
            </w:pPr>
            <w:r w:rsidRPr="003728DF">
              <w:rPr>
                <w:color w:val="000000"/>
                <w:lang w:val="en-US"/>
              </w:rPr>
              <w:t>60</w:t>
            </w:r>
          </w:p>
        </w:tc>
        <w:tc>
          <w:tcPr>
            <w:tcW w:w="850" w:type="dxa"/>
            <w:shd w:val="clear" w:color="auto" w:fill="auto"/>
            <w:noWrap/>
            <w:vAlign w:val="bottom"/>
          </w:tcPr>
          <w:p w14:paraId="51D1A3F9" w14:textId="77777777" w:rsidR="003728DF" w:rsidRPr="003728DF" w:rsidRDefault="003728DF" w:rsidP="007D59FB">
            <w:pPr>
              <w:jc w:val="center"/>
              <w:rPr>
                <w:color w:val="000000"/>
                <w:lang w:val="en-US"/>
              </w:rPr>
            </w:pPr>
            <w:r w:rsidRPr="003728DF">
              <w:rPr>
                <w:color w:val="000000"/>
                <w:lang w:val="en-US"/>
              </w:rPr>
              <w:t>20</w:t>
            </w:r>
          </w:p>
        </w:tc>
        <w:tc>
          <w:tcPr>
            <w:tcW w:w="1559" w:type="dxa"/>
            <w:shd w:val="clear" w:color="auto" w:fill="auto"/>
            <w:noWrap/>
            <w:vAlign w:val="bottom"/>
          </w:tcPr>
          <w:p w14:paraId="728C608B" w14:textId="77777777" w:rsidR="003728DF" w:rsidRPr="003728DF" w:rsidRDefault="003728DF" w:rsidP="007D59FB">
            <w:pPr>
              <w:jc w:val="center"/>
              <w:rPr>
                <w:color w:val="000000"/>
                <w:lang w:val="en-US"/>
              </w:rPr>
            </w:pPr>
            <w:r w:rsidRPr="003728DF">
              <w:rPr>
                <w:color w:val="000000"/>
                <w:lang w:val="en-US"/>
              </w:rPr>
              <w:t>2.2</w:t>
            </w:r>
          </w:p>
        </w:tc>
        <w:tc>
          <w:tcPr>
            <w:tcW w:w="1843" w:type="dxa"/>
            <w:shd w:val="clear" w:color="auto" w:fill="auto"/>
            <w:noWrap/>
            <w:vAlign w:val="bottom"/>
          </w:tcPr>
          <w:p w14:paraId="0E60B394" w14:textId="77777777" w:rsidR="003728DF" w:rsidRPr="003728DF" w:rsidRDefault="003728DF" w:rsidP="007D59FB">
            <w:pPr>
              <w:jc w:val="center"/>
              <w:rPr>
                <w:color w:val="000000"/>
                <w:lang w:val="en-US"/>
              </w:rPr>
            </w:pPr>
          </w:p>
        </w:tc>
        <w:tc>
          <w:tcPr>
            <w:tcW w:w="1599" w:type="dxa"/>
            <w:vMerge/>
            <w:vAlign w:val="center"/>
          </w:tcPr>
          <w:p w14:paraId="2ED5EAA4" w14:textId="77777777" w:rsidR="003728DF" w:rsidRPr="003728DF" w:rsidRDefault="003728DF" w:rsidP="007D59FB">
            <w:pPr>
              <w:jc w:val="center"/>
              <w:rPr>
                <w:color w:val="000000"/>
                <w:lang w:val="en-US"/>
              </w:rPr>
            </w:pPr>
          </w:p>
        </w:tc>
      </w:tr>
      <w:tr w:rsidR="003728DF" w:rsidRPr="003728DF" w14:paraId="29B3BCE5" w14:textId="77777777" w:rsidTr="007D59FB">
        <w:trPr>
          <w:trHeight w:val="300"/>
        </w:trPr>
        <w:tc>
          <w:tcPr>
            <w:tcW w:w="2240" w:type="dxa"/>
            <w:shd w:val="clear" w:color="auto" w:fill="auto"/>
            <w:noWrap/>
            <w:vAlign w:val="bottom"/>
          </w:tcPr>
          <w:p w14:paraId="4D4CE80E" w14:textId="77777777" w:rsidR="003728DF" w:rsidRPr="003728DF" w:rsidRDefault="003728DF" w:rsidP="007D59FB">
            <w:pPr>
              <w:jc w:val="center"/>
              <w:rPr>
                <w:b/>
                <w:bCs/>
                <w:color w:val="000000"/>
                <w:lang w:val="en-US"/>
              </w:rPr>
            </w:pPr>
          </w:p>
        </w:tc>
        <w:tc>
          <w:tcPr>
            <w:tcW w:w="1134" w:type="dxa"/>
            <w:shd w:val="clear" w:color="auto" w:fill="auto"/>
            <w:noWrap/>
            <w:vAlign w:val="bottom"/>
          </w:tcPr>
          <w:p w14:paraId="1A6F3B4D" w14:textId="77777777" w:rsidR="003728DF" w:rsidRPr="003728DF" w:rsidRDefault="003728DF" w:rsidP="007D59FB">
            <w:pPr>
              <w:jc w:val="center"/>
              <w:rPr>
                <w:color w:val="000000"/>
                <w:lang w:val="en-US"/>
              </w:rPr>
            </w:pPr>
            <w:r w:rsidRPr="003728DF">
              <w:rPr>
                <w:color w:val="000000"/>
                <w:lang w:val="en-US"/>
              </w:rPr>
              <w:t>72</w:t>
            </w:r>
          </w:p>
        </w:tc>
        <w:tc>
          <w:tcPr>
            <w:tcW w:w="850" w:type="dxa"/>
            <w:shd w:val="clear" w:color="auto" w:fill="auto"/>
            <w:noWrap/>
            <w:vAlign w:val="bottom"/>
          </w:tcPr>
          <w:p w14:paraId="3842C720" w14:textId="77777777" w:rsidR="003728DF" w:rsidRPr="003728DF" w:rsidRDefault="003728DF" w:rsidP="007D59FB">
            <w:pPr>
              <w:jc w:val="center"/>
              <w:rPr>
                <w:color w:val="000000"/>
                <w:lang w:val="en-US"/>
              </w:rPr>
            </w:pPr>
            <w:r w:rsidRPr="003728DF">
              <w:rPr>
                <w:color w:val="000000"/>
                <w:lang w:val="en-US"/>
              </w:rPr>
              <w:t>40</w:t>
            </w:r>
          </w:p>
        </w:tc>
        <w:tc>
          <w:tcPr>
            <w:tcW w:w="1559" w:type="dxa"/>
            <w:shd w:val="clear" w:color="auto" w:fill="auto"/>
            <w:noWrap/>
            <w:vAlign w:val="bottom"/>
          </w:tcPr>
          <w:p w14:paraId="74DDDB68" w14:textId="77777777" w:rsidR="003728DF" w:rsidRPr="003728DF" w:rsidRDefault="003728DF" w:rsidP="007D59FB">
            <w:pPr>
              <w:jc w:val="center"/>
              <w:rPr>
                <w:color w:val="000000"/>
                <w:lang w:val="en-US"/>
              </w:rPr>
            </w:pPr>
            <w:r w:rsidRPr="003728DF">
              <w:rPr>
                <w:color w:val="000000"/>
                <w:lang w:val="en-US"/>
              </w:rPr>
              <w:t>4.4</w:t>
            </w:r>
          </w:p>
        </w:tc>
        <w:tc>
          <w:tcPr>
            <w:tcW w:w="1843" w:type="dxa"/>
            <w:shd w:val="clear" w:color="auto" w:fill="auto"/>
            <w:noWrap/>
            <w:vAlign w:val="bottom"/>
          </w:tcPr>
          <w:p w14:paraId="7E371B3D" w14:textId="77777777" w:rsidR="003728DF" w:rsidRPr="003728DF" w:rsidRDefault="003728DF" w:rsidP="007D59FB">
            <w:pPr>
              <w:jc w:val="center"/>
              <w:rPr>
                <w:color w:val="000000"/>
                <w:lang w:val="en-US"/>
              </w:rPr>
            </w:pPr>
          </w:p>
        </w:tc>
        <w:tc>
          <w:tcPr>
            <w:tcW w:w="1599" w:type="dxa"/>
            <w:vMerge/>
            <w:vAlign w:val="center"/>
          </w:tcPr>
          <w:p w14:paraId="231CFA1C" w14:textId="77777777" w:rsidR="003728DF" w:rsidRPr="003728DF" w:rsidRDefault="003728DF" w:rsidP="007D59FB">
            <w:pPr>
              <w:jc w:val="center"/>
              <w:rPr>
                <w:color w:val="000000"/>
                <w:lang w:val="en-US"/>
              </w:rPr>
            </w:pPr>
          </w:p>
        </w:tc>
      </w:tr>
      <w:tr w:rsidR="003728DF" w:rsidRPr="003728DF" w14:paraId="31449803" w14:textId="77777777" w:rsidTr="007D59FB">
        <w:trPr>
          <w:trHeight w:val="300"/>
        </w:trPr>
        <w:tc>
          <w:tcPr>
            <w:tcW w:w="2240" w:type="dxa"/>
            <w:shd w:val="clear" w:color="auto" w:fill="auto"/>
            <w:noWrap/>
            <w:vAlign w:val="bottom"/>
          </w:tcPr>
          <w:p w14:paraId="6F6263EC" w14:textId="77777777" w:rsidR="003728DF" w:rsidRPr="003728DF" w:rsidRDefault="003728DF" w:rsidP="007D59FB">
            <w:pPr>
              <w:jc w:val="center"/>
              <w:rPr>
                <w:b/>
                <w:bCs/>
                <w:color w:val="000000"/>
                <w:lang w:val="en-US"/>
              </w:rPr>
            </w:pPr>
            <w:r w:rsidRPr="003728DF">
              <w:rPr>
                <w:b/>
                <w:bCs/>
                <w:color w:val="000000"/>
                <w:lang w:val="en-US"/>
              </w:rPr>
              <w:t>Melting</w:t>
            </w:r>
          </w:p>
        </w:tc>
        <w:tc>
          <w:tcPr>
            <w:tcW w:w="1134" w:type="dxa"/>
            <w:shd w:val="clear" w:color="auto" w:fill="auto"/>
            <w:noWrap/>
            <w:vAlign w:val="bottom"/>
          </w:tcPr>
          <w:p w14:paraId="2CA0408F" w14:textId="77777777" w:rsidR="003728DF" w:rsidRPr="003728DF" w:rsidRDefault="003728DF" w:rsidP="007D59FB">
            <w:pPr>
              <w:jc w:val="center"/>
              <w:rPr>
                <w:color w:val="000000"/>
                <w:lang w:val="en-US"/>
              </w:rPr>
            </w:pPr>
            <w:r w:rsidRPr="003728DF">
              <w:rPr>
                <w:color w:val="000000"/>
                <w:lang w:val="en-US"/>
              </w:rPr>
              <w:t>95</w:t>
            </w:r>
          </w:p>
        </w:tc>
        <w:tc>
          <w:tcPr>
            <w:tcW w:w="850" w:type="dxa"/>
            <w:shd w:val="clear" w:color="auto" w:fill="auto"/>
            <w:noWrap/>
            <w:vAlign w:val="bottom"/>
          </w:tcPr>
          <w:p w14:paraId="1AD9701D" w14:textId="77777777" w:rsidR="003728DF" w:rsidRPr="003728DF" w:rsidRDefault="003728DF" w:rsidP="007D59FB">
            <w:pPr>
              <w:jc w:val="center"/>
              <w:rPr>
                <w:color w:val="000000"/>
                <w:lang w:val="en-US"/>
              </w:rPr>
            </w:pPr>
            <w:r w:rsidRPr="003728DF">
              <w:rPr>
                <w:color w:val="000000"/>
                <w:lang w:val="en-US"/>
              </w:rPr>
              <w:t>1</w:t>
            </w:r>
          </w:p>
        </w:tc>
        <w:tc>
          <w:tcPr>
            <w:tcW w:w="1559" w:type="dxa"/>
            <w:shd w:val="clear" w:color="auto" w:fill="auto"/>
            <w:noWrap/>
            <w:vAlign w:val="bottom"/>
          </w:tcPr>
          <w:p w14:paraId="22AECAEC" w14:textId="77777777" w:rsidR="003728DF" w:rsidRPr="003728DF" w:rsidRDefault="003728DF" w:rsidP="007D59FB">
            <w:pPr>
              <w:jc w:val="center"/>
              <w:rPr>
                <w:color w:val="000000"/>
                <w:lang w:val="en-US"/>
              </w:rPr>
            </w:pPr>
            <w:r w:rsidRPr="003728DF">
              <w:rPr>
                <w:color w:val="000000"/>
                <w:lang w:val="en-US"/>
              </w:rPr>
              <w:t>4.4</w:t>
            </w:r>
          </w:p>
        </w:tc>
        <w:tc>
          <w:tcPr>
            <w:tcW w:w="1843" w:type="dxa"/>
            <w:shd w:val="clear" w:color="auto" w:fill="auto"/>
            <w:noWrap/>
            <w:vAlign w:val="bottom"/>
          </w:tcPr>
          <w:p w14:paraId="26AB9707" w14:textId="77777777" w:rsidR="003728DF" w:rsidRPr="003728DF" w:rsidRDefault="003728DF" w:rsidP="007D59FB">
            <w:pPr>
              <w:jc w:val="center"/>
              <w:rPr>
                <w:color w:val="000000"/>
                <w:lang w:val="en-US"/>
              </w:rPr>
            </w:pPr>
          </w:p>
        </w:tc>
        <w:tc>
          <w:tcPr>
            <w:tcW w:w="1599" w:type="dxa"/>
            <w:vMerge w:val="restart"/>
            <w:shd w:val="clear" w:color="auto" w:fill="auto"/>
            <w:noWrap/>
            <w:vAlign w:val="center"/>
          </w:tcPr>
          <w:p w14:paraId="1FCDB279" w14:textId="77777777" w:rsidR="003728DF" w:rsidRPr="003728DF" w:rsidRDefault="003728DF" w:rsidP="007D59FB">
            <w:pPr>
              <w:jc w:val="center"/>
              <w:rPr>
                <w:color w:val="000000"/>
                <w:lang w:val="en-US"/>
              </w:rPr>
            </w:pPr>
            <w:r w:rsidRPr="003728DF">
              <w:rPr>
                <w:color w:val="000000"/>
                <w:lang w:val="en-US"/>
              </w:rPr>
              <w:t>1</w:t>
            </w:r>
          </w:p>
        </w:tc>
      </w:tr>
      <w:tr w:rsidR="003728DF" w:rsidRPr="003728DF" w14:paraId="327D3108" w14:textId="77777777" w:rsidTr="007D59FB">
        <w:trPr>
          <w:trHeight w:val="300"/>
        </w:trPr>
        <w:tc>
          <w:tcPr>
            <w:tcW w:w="2240" w:type="dxa"/>
            <w:shd w:val="clear" w:color="auto" w:fill="auto"/>
            <w:noWrap/>
            <w:vAlign w:val="bottom"/>
          </w:tcPr>
          <w:p w14:paraId="2F886C94" w14:textId="77777777" w:rsidR="003728DF" w:rsidRPr="003728DF" w:rsidRDefault="003728DF" w:rsidP="007D59FB">
            <w:pPr>
              <w:jc w:val="center"/>
              <w:rPr>
                <w:b/>
                <w:bCs/>
                <w:color w:val="000000"/>
                <w:lang w:val="en-US"/>
              </w:rPr>
            </w:pPr>
          </w:p>
        </w:tc>
        <w:tc>
          <w:tcPr>
            <w:tcW w:w="1134" w:type="dxa"/>
            <w:shd w:val="clear" w:color="auto" w:fill="auto"/>
            <w:noWrap/>
            <w:vAlign w:val="bottom"/>
          </w:tcPr>
          <w:p w14:paraId="1FBA3A2A" w14:textId="77777777" w:rsidR="003728DF" w:rsidRPr="003728DF" w:rsidRDefault="003728DF" w:rsidP="007D59FB">
            <w:pPr>
              <w:jc w:val="center"/>
              <w:rPr>
                <w:color w:val="000000"/>
                <w:lang w:val="en-US"/>
              </w:rPr>
            </w:pPr>
            <w:r w:rsidRPr="003728DF">
              <w:rPr>
                <w:color w:val="000000"/>
                <w:lang w:val="en-US"/>
              </w:rPr>
              <w:t>65</w:t>
            </w:r>
          </w:p>
        </w:tc>
        <w:tc>
          <w:tcPr>
            <w:tcW w:w="850" w:type="dxa"/>
            <w:shd w:val="clear" w:color="auto" w:fill="auto"/>
            <w:noWrap/>
            <w:vAlign w:val="bottom"/>
          </w:tcPr>
          <w:p w14:paraId="46563347" w14:textId="77777777" w:rsidR="003728DF" w:rsidRPr="003728DF" w:rsidRDefault="003728DF" w:rsidP="007D59FB">
            <w:pPr>
              <w:jc w:val="center"/>
              <w:rPr>
                <w:color w:val="000000"/>
                <w:lang w:val="en-US"/>
              </w:rPr>
            </w:pPr>
            <w:r w:rsidRPr="003728DF">
              <w:rPr>
                <w:color w:val="000000"/>
                <w:lang w:val="en-US"/>
              </w:rPr>
              <w:t>60</w:t>
            </w:r>
          </w:p>
        </w:tc>
        <w:tc>
          <w:tcPr>
            <w:tcW w:w="1559" w:type="dxa"/>
            <w:shd w:val="clear" w:color="auto" w:fill="FFFFFF" w:themeFill="background1"/>
            <w:noWrap/>
            <w:vAlign w:val="bottom"/>
          </w:tcPr>
          <w:p w14:paraId="73F9F259" w14:textId="77777777" w:rsidR="003728DF" w:rsidRPr="003728DF" w:rsidRDefault="003728DF" w:rsidP="007D59FB">
            <w:pPr>
              <w:jc w:val="center"/>
              <w:rPr>
                <w:color w:val="000000"/>
                <w:lang w:val="en-US"/>
              </w:rPr>
            </w:pPr>
            <w:r w:rsidRPr="003728DF">
              <w:rPr>
                <w:color w:val="000000"/>
                <w:lang w:val="en-US"/>
              </w:rPr>
              <w:t>2.2</w:t>
            </w:r>
          </w:p>
        </w:tc>
        <w:tc>
          <w:tcPr>
            <w:tcW w:w="1843" w:type="dxa"/>
            <w:shd w:val="clear" w:color="auto" w:fill="auto"/>
            <w:noWrap/>
            <w:vAlign w:val="bottom"/>
          </w:tcPr>
          <w:p w14:paraId="56D32C14" w14:textId="77777777" w:rsidR="003728DF" w:rsidRPr="003728DF" w:rsidRDefault="003728DF" w:rsidP="007D59FB">
            <w:pPr>
              <w:jc w:val="center"/>
              <w:rPr>
                <w:color w:val="000000"/>
                <w:lang w:val="en-US"/>
              </w:rPr>
            </w:pPr>
          </w:p>
        </w:tc>
        <w:tc>
          <w:tcPr>
            <w:tcW w:w="1599" w:type="dxa"/>
            <w:vMerge/>
            <w:vAlign w:val="center"/>
          </w:tcPr>
          <w:p w14:paraId="7E4EDCE5" w14:textId="77777777" w:rsidR="003728DF" w:rsidRPr="003728DF" w:rsidRDefault="003728DF" w:rsidP="007D59FB">
            <w:pPr>
              <w:jc w:val="center"/>
              <w:rPr>
                <w:color w:val="000000"/>
                <w:lang w:val="en-US"/>
              </w:rPr>
            </w:pPr>
          </w:p>
        </w:tc>
      </w:tr>
      <w:tr w:rsidR="003728DF" w:rsidRPr="003728DF" w14:paraId="18B76DB1" w14:textId="77777777" w:rsidTr="007D59FB">
        <w:trPr>
          <w:trHeight w:val="300"/>
        </w:trPr>
        <w:tc>
          <w:tcPr>
            <w:tcW w:w="2240" w:type="dxa"/>
            <w:shd w:val="clear" w:color="auto" w:fill="auto"/>
            <w:noWrap/>
            <w:vAlign w:val="bottom"/>
          </w:tcPr>
          <w:p w14:paraId="07CED2DB" w14:textId="77777777" w:rsidR="003728DF" w:rsidRPr="003728DF" w:rsidRDefault="003728DF" w:rsidP="007D59FB">
            <w:pPr>
              <w:jc w:val="center"/>
              <w:rPr>
                <w:b/>
                <w:bCs/>
                <w:color w:val="000000"/>
                <w:lang w:val="en-US"/>
              </w:rPr>
            </w:pPr>
          </w:p>
        </w:tc>
        <w:tc>
          <w:tcPr>
            <w:tcW w:w="1134" w:type="dxa"/>
            <w:shd w:val="clear" w:color="auto" w:fill="auto"/>
            <w:noWrap/>
            <w:vAlign w:val="bottom"/>
          </w:tcPr>
          <w:p w14:paraId="247BD1F5" w14:textId="77777777" w:rsidR="003728DF" w:rsidRPr="003728DF" w:rsidRDefault="003728DF" w:rsidP="007D59FB">
            <w:pPr>
              <w:jc w:val="center"/>
              <w:rPr>
                <w:color w:val="000000"/>
                <w:lang w:val="en-US"/>
              </w:rPr>
            </w:pPr>
            <w:r w:rsidRPr="003728DF">
              <w:rPr>
                <w:color w:val="000000"/>
                <w:lang w:val="en-US"/>
              </w:rPr>
              <w:t>95</w:t>
            </w:r>
          </w:p>
        </w:tc>
        <w:tc>
          <w:tcPr>
            <w:tcW w:w="850" w:type="dxa"/>
            <w:shd w:val="clear" w:color="auto" w:fill="auto"/>
            <w:noWrap/>
            <w:vAlign w:val="bottom"/>
          </w:tcPr>
          <w:p w14:paraId="3D3278E6" w14:textId="77777777" w:rsidR="003728DF" w:rsidRPr="003728DF" w:rsidRDefault="003728DF" w:rsidP="007D59FB">
            <w:pPr>
              <w:jc w:val="center"/>
              <w:rPr>
                <w:color w:val="000000"/>
                <w:lang w:val="en-US"/>
              </w:rPr>
            </w:pPr>
          </w:p>
        </w:tc>
        <w:tc>
          <w:tcPr>
            <w:tcW w:w="1559" w:type="dxa"/>
            <w:shd w:val="clear" w:color="auto" w:fill="FFFFFF" w:themeFill="background1"/>
            <w:noWrap/>
            <w:vAlign w:val="bottom"/>
          </w:tcPr>
          <w:p w14:paraId="5454E1AD" w14:textId="77777777" w:rsidR="003728DF" w:rsidRPr="003728DF" w:rsidRDefault="003728DF" w:rsidP="007D59FB">
            <w:pPr>
              <w:jc w:val="center"/>
              <w:rPr>
                <w:lang w:val="en-US"/>
              </w:rPr>
            </w:pPr>
            <w:r w:rsidRPr="003728DF">
              <w:rPr>
                <w:lang w:val="en-US"/>
              </w:rPr>
              <w:t>0.11</w:t>
            </w:r>
          </w:p>
        </w:tc>
        <w:tc>
          <w:tcPr>
            <w:tcW w:w="1843" w:type="dxa"/>
            <w:shd w:val="clear" w:color="auto" w:fill="auto"/>
            <w:noWrap/>
            <w:vAlign w:val="bottom"/>
          </w:tcPr>
          <w:p w14:paraId="576286AF" w14:textId="7E766EA3" w:rsidR="003728DF" w:rsidRPr="003728DF" w:rsidRDefault="003728DF" w:rsidP="007D59FB">
            <w:pPr>
              <w:jc w:val="center"/>
              <w:rPr>
                <w:color w:val="000000"/>
                <w:lang w:val="en-US"/>
              </w:rPr>
            </w:pPr>
            <w:r w:rsidRPr="003728DF">
              <w:rPr>
                <w:color w:val="000000"/>
                <w:lang w:val="en-US"/>
              </w:rPr>
              <w:t>continuous: 5/°C</w:t>
            </w:r>
          </w:p>
        </w:tc>
        <w:tc>
          <w:tcPr>
            <w:tcW w:w="1599" w:type="dxa"/>
            <w:vMerge/>
            <w:vAlign w:val="center"/>
          </w:tcPr>
          <w:p w14:paraId="79D5C36F" w14:textId="77777777" w:rsidR="003728DF" w:rsidRPr="003728DF" w:rsidRDefault="003728DF" w:rsidP="007D59FB">
            <w:pPr>
              <w:jc w:val="center"/>
              <w:rPr>
                <w:color w:val="000000"/>
                <w:lang w:val="en-US"/>
              </w:rPr>
            </w:pPr>
          </w:p>
        </w:tc>
      </w:tr>
      <w:tr w:rsidR="003728DF" w:rsidRPr="003728DF" w14:paraId="0CB224FE" w14:textId="77777777" w:rsidTr="007D59FB">
        <w:trPr>
          <w:trHeight w:val="300"/>
        </w:trPr>
        <w:tc>
          <w:tcPr>
            <w:tcW w:w="2240" w:type="dxa"/>
            <w:shd w:val="clear" w:color="auto" w:fill="auto"/>
            <w:noWrap/>
            <w:vAlign w:val="bottom"/>
          </w:tcPr>
          <w:p w14:paraId="4FF7D639" w14:textId="77777777" w:rsidR="003728DF" w:rsidRPr="003728DF" w:rsidRDefault="003728DF" w:rsidP="007D59FB">
            <w:pPr>
              <w:jc w:val="center"/>
              <w:rPr>
                <w:b/>
                <w:bCs/>
                <w:color w:val="000000"/>
                <w:lang w:val="en-US"/>
              </w:rPr>
            </w:pPr>
            <w:r w:rsidRPr="003728DF">
              <w:rPr>
                <w:b/>
                <w:bCs/>
                <w:color w:val="000000"/>
                <w:lang w:val="en-US"/>
              </w:rPr>
              <w:t>Cooling</w:t>
            </w:r>
          </w:p>
        </w:tc>
        <w:tc>
          <w:tcPr>
            <w:tcW w:w="1134" w:type="dxa"/>
            <w:shd w:val="clear" w:color="auto" w:fill="auto"/>
            <w:noWrap/>
            <w:vAlign w:val="bottom"/>
          </w:tcPr>
          <w:p w14:paraId="71E22803" w14:textId="77777777" w:rsidR="003728DF" w:rsidRPr="003728DF" w:rsidRDefault="003728DF" w:rsidP="007D59FB">
            <w:pPr>
              <w:jc w:val="center"/>
              <w:rPr>
                <w:color w:val="000000"/>
                <w:lang w:val="en-US"/>
              </w:rPr>
            </w:pPr>
            <w:r w:rsidRPr="003728DF">
              <w:rPr>
                <w:color w:val="000000"/>
                <w:lang w:val="en-US"/>
              </w:rPr>
              <w:t>40</w:t>
            </w:r>
          </w:p>
        </w:tc>
        <w:tc>
          <w:tcPr>
            <w:tcW w:w="850" w:type="dxa"/>
            <w:shd w:val="clear" w:color="auto" w:fill="auto"/>
            <w:noWrap/>
            <w:vAlign w:val="bottom"/>
          </w:tcPr>
          <w:p w14:paraId="0C25FD18" w14:textId="77777777" w:rsidR="003728DF" w:rsidRPr="003728DF" w:rsidRDefault="003728DF" w:rsidP="007D59FB">
            <w:pPr>
              <w:jc w:val="center"/>
              <w:rPr>
                <w:color w:val="000000"/>
                <w:lang w:val="en-US"/>
              </w:rPr>
            </w:pPr>
            <w:r w:rsidRPr="003728DF">
              <w:rPr>
                <w:color w:val="000000"/>
                <w:lang w:val="en-US"/>
              </w:rPr>
              <w:t>30</w:t>
            </w:r>
          </w:p>
        </w:tc>
        <w:tc>
          <w:tcPr>
            <w:tcW w:w="1559" w:type="dxa"/>
            <w:shd w:val="clear" w:color="auto" w:fill="auto"/>
            <w:noWrap/>
            <w:vAlign w:val="bottom"/>
          </w:tcPr>
          <w:p w14:paraId="286B3AE4" w14:textId="77777777" w:rsidR="003728DF" w:rsidRPr="003728DF" w:rsidRDefault="003728DF" w:rsidP="007D59FB">
            <w:pPr>
              <w:jc w:val="center"/>
              <w:rPr>
                <w:color w:val="000000"/>
                <w:lang w:val="en-US"/>
              </w:rPr>
            </w:pPr>
            <w:r w:rsidRPr="003728DF">
              <w:rPr>
                <w:color w:val="000000"/>
                <w:lang w:val="en-US"/>
              </w:rPr>
              <w:t>2.2</w:t>
            </w:r>
          </w:p>
        </w:tc>
        <w:tc>
          <w:tcPr>
            <w:tcW w:w="1843" w:type="dxa"/>
            <w:shd w:val="clear" w:color="auto" w:fill="auto"/>
            <w:noWrap/>
            <w:vAlign w:val="bottom"/>
          </w:tcPr>
          <w:p w14:paraId="34BF0702" w14:textId="77777777" w:rsidR="003728DF" w:rsidRPr="003728DF" w:rsidRDefault="003728DF" w:rsidP="007D59FB">
            <w:pPr>
              <w:jc w:val="center"/>
              <w:rPr>
                <w:color w:val="000000"/>
                <w:lang w:val="en-US"/>
              </w:rPr>
            </w:pPr>
          </w:p>
        </w:tc>
        <w:tc>
          <w:tcPr>
            <w:tcW w:w="1599" w:type="dxa"/>
            <w:shd w:val="clear" w:color="auto" w:fill="auto"/>
            <w:noWrap/>
            <w:vAlign w:val="center"/>
          </w:tcPr>
          <w:p w14:paraId="1F7CAAD3" w14:textId="77777777" w:rsidR="003728DF" w:rsidRPr="003728DF" w:rsidRDefault="003728DF" w:rsidP="007D59FB">
            <w:pPr>
              <w:jc w:val="center"/>
              <w:rPr>
                <w:color w:val="000000"/>
                <w:lang w:val="en-US"/>
              </w:rPr>
            </w:pPr>
            <w:r w:rsidRPr="003728DF">
              <w:rPr>
                <w:color w:val="000000"/>
                <w:lang w:val="en-US"/>
              </w:rPr>
              <w:t>1</w:t>
            </w:r>
          </w:p>
        </w:tc>
      </w:tr>
    </w:tbl>
    <w:p w14:paraId="729F9BE3" w14:textId="62B615FD" w:rsidR="003728DF" w:rsidRPr="003728DF" w:rsidRDefault="003728DF" w:rsidP="003728DF">
      <w:pPr>
        <w:spacing w:line="480" w:lineRule="auto"/>
        <w:jc w:val="both"/>
        <w:rPr>
          <w:rStyle w:val="Heading1Char"/>
          <w:rFonts w:eastAsia="Calibri"/>
          <w:b w:val="0"/>
          <w:sz w:val="22"/>
          <w:szCs w:val="22"/>
          <w:lang w:val="en-US"/>
        </w:rPr>
      </w:pPr>
      <w:bookmarkStart w:id="28" w:name="_Toc72323422"/>
      <w:r>
        <w:rPr>
          <w:rStyle w:val="Heading1Char"/>
          <w:szCs w:val="24"/>
          <w:lang w:val="en-US"/>
        </w:rPr>
        <w:br w:type="page"/>
      </w:r>
    </w:p>
    <w:p w14:paraId="18469A14" w14:textId="226AB49C" w:rsidR="00CD12CB" w:rsidRPr="000B02D2" w:rsidRDefault="000967DE" w:rsidP="000B02D2">
      <w:pPr>
        <w:spacing w:line="480" w:lineRule="auto"/>
        <w:rPr>
          <w:rFonts w:ascii="Arial" w:hAnsi="Arial" w:cs="Arial"/>
          <w:sz w:val="24"/>
          <w:szCs w:val="24"/>
          <w:u w:val="single"/>
          <w:lang w:val="en-US"/>
        </w:rPr>
      </w:pPr>
      <w:r w:rsidRPr="000B02D2">
        <w:rPr>
          <w:rStyle w:val="Heading1Char"/>
          <w:szCs w:val="24"/>
          <w:lang w:val="en-US"/>
        </w:rPr>
        <w:lastRenderedPageBreak/>
        <w:t>Supplementary R</w:t>
      </w:r>
      <w:r w:rsidR="0094012C" w:rsidRPr="000B02D2">
        <w:rPr>
          <w:rStyle w:val="Heading1Char"/>
          <w:szCs w:val="24"/>
          <w:lang w:val="en-US"/>
        </w:rPr>
        <w:t>eferences</w:t>
      </w:r>
      <w:bookmarkEnd w:id="28"/>
    </w:p>
    <w:p w14:paraId="64FAE3B8" w14:textId="77777777" w:rsidR="00A01113" w:rsidRPr="00A01113" w:rsidRDefault="00690216" w:rsidP="003728DF">
      <w:pPr>
        <w:pStyle w:val="EndNoteBibliography"/>
        <w:spacing w:after="0" w:line="360" w:lineRule="auto"/>
        <w:ind w:left="720" w:hanging="720"/>
      </w:pPr>
      <w:r w:rsidRPr="000B02D2">
        <w:rPr>
          <w:rFonts w:ascii="Arial" w:hAnsi="Arial" w:cs="Arial"/>
          <w:sz w:val="24"/>
          <w:szCs w:val="24"/>
        </w:rPr>
        <w:fldChar w:fldCharType="begin"/>
      </w:r>
      <w:r w:rsidRPr="000B02D2">
        <w:rPr>
          <w:rFonts w:ascii="Arial" w:hAnsi="Arial" w:cs="Arial"/>
          <w:sz w:val="24"/>
          <w:szCs w:val="24"/>
          <w:lang w:val="de-DE"/>
        </w:rPr>
        <w:instrText xml:space="preserve"> ADDIN EN.REFLIST </w:instrText>
      </w:r>
      <w:r w:rsidRPr="000B02D2">
        <w:rPr>
          <w:rFonts w:ascii="Arial" w:hAnsi="Arial" w:cs="Arial"/>
          <w:sz w:val="24"/>
          <w:szCs w:val="24"/>
        </w:rPr>
        <w:fldChar w:fldCharType="separate"/>
      </w:r>
      <w:r w:rsidR="00A01113" w:rsidRPr="000F0CE1">
        <w:rPr>
          <w:lang w:val="de-DE"/>
        </w:rPr>
        <w:t>1.</w:t>
      </w:r>
      <w:r w:rsidR="00A01113" w:rsidRPr="000F0CE1">
        <w:rPr>
          <w:lang w:val="de-DE"/>
        </w:rPr>
        <w:tab/>
        <w:t xml:space="preserve">Bohne F, Chmielewski M, Ebert G, Wiegmann K, Kurschner T, Schulze A, et al. </w:t>
      </w:r>
      <w:r w:rsidR="00A01113" w:rsidRPr="00A01113">
        <w:t>T cells redirected against hepatitis B virus surface proteins eliminate infected hepatocytes. Gastroenterology 2008;134:239-247.</w:t>
      </w:r>
    </w:p>
    <w:p w14:paraId="57DD48D6" w14:textId="77777777" w:rsidR="00A01113" w:rsidRPr="00A01113" w:rsidRDefault="00A01113" w:rsidP="003728DF">
      <w:pPr>
        <w:pStyle w:val="EndNoteBibliography"/>
        <w:spacing w:after="0" w:line="360" w:lineRule="auto"/>
        <w:ind w:left="720" w:hanging="720"/>
      </w:pPr>
      <w:r w:rsidRPr="00A01113">
        <w:t>2.</w:t>
      </w:r>
      <w:r w:rsidRPr="00A01113">
        <w:tab/>
        <w:t>Golsaz Shirazi F, Mohammadi H, Amiri MM, Singethan K, Xia Y, Bayat AA, et al. Monoclonal antibodies to various epitopes of hepatitis B surface antigen inhibit hepatitis B virus infection. J Gastroenterol Hepatol 2014;29:1083-1091.</w:t>
      </w:r>
    </w:p>
    <w:p w14:paraId="52E04F8E" w14:textId="77777777" w:rsidR="00A01113" w:rsidRPr="000F0CE1" w:rsidRDefault="00A01113" w:rsidP="003728DF">
      <w:pPr>
        <w:pStyle w:val="EndNoteBibliography"/>
        <w:spacing w:after="0" w:line="360" w:lineRule="auto"/>
        <w:ind w:left="720" w:hanging="720"/>
        <w:rPr>
          <w:lang w:val="de-DE"/>
        </w:rPr>
      </w:pPr>
      <w:r w:rsidRPr="00A01113">
        <w:t>3.</w:t>
      </w:r>
      <w:r w:rsidRPr="00A01113">
        <w:tab/>
        <w:t xml:space="preserve">Golsaz-Shirazi F, Mohammadi H, Amiri MM, Khoshnoodi J, Kardar GA, Jeddi-Tehrani M, et al. Localization of immunodominant epitopes within the "a" determinant of hepatitis B surface antigen using monoclonal antibodies. </w:t>
      </w:r>
      <w:r w:rsidRPr="000F0CE1">
        <w:rPr>
          <w:lang w:val="de-DE"/>
        </w:rPr>
        <w:t>Arch Virol 2016;161:2765-2772.</w:t>
      </w:r>
    </w:p>
    <w:p w14:paraId="6FD2D2DC" w14:textId="77777777" w:rsidR="00A01113" w:rsidRPr="00A01113" w:rsidRDefault="00A01113" w:rsidP="003728DF">
      <w:pPr>
        <w:pStyle w:val="EndNoteBibliography"/>
        <w:spacing w:after="0" w:line="360" w:lineRule="auto"/>
        <w:ind w:left="720" w:hanging="720"/>
      </w:pPr>
      <w:r w:rsidRPr="000F0CE1">
        <w:rPr>
          <w:lang w:val="de-DE"/>
        </w:rPr>
        <w:t>4.</w:t>
      </w:r>
      <w:r w:rsidRPr="000F0CE1">
        <w:rPr>
          <w:lang w:val="de-DE"/>
        </w:rPr>
        <w:tab/>
        <w:t xml:space="preserve">Kung P, Goldstein G, Reinherz EL, Schlossman SF. </w:t>
      </w:r>
      <w:r w:rsidRPr="00A01113">
        <w:t>Monoclonal antibodies defining distinctive human T cell surface antigens. Science 1979;206:347-349.</w:t>
      </w:r>
    </w:p>
    <w:p w14:paraId="6821E852" w14:textId="77777777" w:rsidR="00A01113" w:rsidRPr="00A01113" w:rsidRDefault="00A01113" w:rsidP="003728DF">
      <w:pPr>
        <w:pStyle w:val="EndNoteBibliography"/>
        <w:spacing w:after="0" w:line="360" w:lineRule="auto"/>
        <w:ind w:left="720" w:hanging="720"/>
      </w:pPr>
      <w:r w:rsidRPr="00A01113">
        <w:t>5.</w:t>
      </w:r>
      <w:r w:rsidRPr="00A01113">
        <w:tab/>
        <w:t>Baroja ML, Lorre K, Van Vaeck F, Ceuppens JL. The anti-T cell monoclonal antibody 9.3 (anti-CD28) provides a helper signal and bypasses the need for accessory cells in T cell activation with immobilized anti-CD3 and mitogens. Cell Immunol 1989;120:205-217.</w:t>
      </w:r>
    </w:p>
    <w:p w14:paraId="2F5143D2" w14:textId="77777777" w:rsidR="00A01113" w:rsidRPr="00A01113" w:rsidRDefault="00A01113" w:rsidP="003728DF">
      <w:pPr>
        <w:pStyle w:val="EndNoteBibliography"/>
        <w:spacing w:after="0" w:line="360" w:lineRule="auto"/>
        <w:ind w:left="720" w:hanging="720"/>
      </w:pPr>
      <w:r w:rsidRPr="00A01113">
        <w:t>6.</w:t>
      </w:r>
      <w:r w:rsidRPr="00A01113">
        <w:tab/>
        <w:t>Sallusto F, Lenig D, Förster R, Lipp M, Lanzavecchia A. Two subsets of memory T lymphocytes with distinct homing potentials and effector functions. Nature 1999;402:34-38.</w:t>
      </w:r>
    </w:p>
    <w:p w14:paraId="2BD67FA0" w14:textId="0A928883" w:rsidR="00A01113" w:rsidRPr="00A01113" w:rsidRDefault="00A01113" w:rsidP="003728DF">
      <w:pPr>
        <w:pStyle w:val="EndNoteBibliography"/>
        <w:spacing w:after="0" w:line="360" w:lineRule="auto"/>
        <w:ind w:left="720" w:hanging="720"/>
      </w:pPr>
      <w:r w:rsidRPr="00A01113">
        <w:t>7.</w:t>
      </w:r>
      <w:r w:rsidRPr="00A01113">
        <w:tab/>
        <w:t>Ko C, Chakraborty A, Chou WM, Hasreiter J, Wettengel JM, Stadler D, et al. Hepatitis B virus genome recycling and de novo secondary infection events maintain stable cccDNA levels. J Hepatol 2018</w:t>
      </w:r>
      <w:r w:rsidR="000F0CE1">
        <w:t>;69:1231-1241</w:t>
      </w:r>
      <w:r w:rsidRPr="00A01113">
        <w:t>.</w:t>
      </w:r>
    </w:p>
    <w:p w14:paraId="15981DD2" w14:textId="77777777" w:rsidR="00A01113" w:rsidRPr="00A01113" w:rsidRDefault="00A01113" w:rsidP="003728DF">
      <w:pPr>
        <w:pStyle w:val="EndNoteBibliography"/>
        <w:spacing w:after="0" w:line="360" w:lineRule="auto"/>
        <w:ind w:left="720" w:hanging="720"/>
      </w:pPr>
      <w:r w:rsidRPr="00A01113">
        <w:t>8.</w:t>
      </w:r>
      <w:r w:rsidRPr="00A01113">
        <w:tab/>
      </w:r>
      <w:r w:rsidRPr="000F0CE1">
        <w:t>Xia Y, Stadler D</w:t>
      </w:r>
      <w:r w:rsidRPr="00A01113">
        <w:t>, Ko C, Protzer U: Analyses of HBV cccDNA Quantification and Modification. In: Guo H, Cuconati A, eds. Hepatitis B Virus: Methods and Protocols. New York, NY: Springer New York, 2017; 59-72.</w:t>
      </w:r>
    </w:p>
    <w:p w14:paraId="7894FB92" w14:textId="77777777" w:rsidR="00A01113" w:rsidRPr="00A01113" w:rsidRDefault="00A01113" w:rsidP="003728DF">
      <w:pPr>
        <w:pStyle w:val="EndNoteBibliography"/>
        <w:spacing w:after="0" w:line="360" w:lineRule="auto"/>
        <w:ind w:left="720" w:hanging="720"/>
      </w:pPr>
      <w:r w:rsidRPr="00A01113">
        <w:t>9.</w:t>
      </w:r>
      <w:r w:rsidRPr="00A01113">
        <w:tab/>
      </w:r>
      <w:r w:rsidRPr="000F0CE1">
        <w:rPr>
          <w:b/>
          <w:bCs/>
        </w:rPr>
        <w:t>Xia Y, Stadler D</w:t>
      </w:r>
      <w:r w:rsidRPr="00A01113">
        <w:t>, Lucifora J, Reisinger F, Webb D, Hosel M, et al. Interferon-gamma and Tumor Necrosis Factor-alpha Produced by T Cells Reduce the HBV Persistence Form, cccDNA, Without Cytolysis. Gastroenterology 2016;150:194-205.</w:t>
      </w:r>
    </w:p>
    <w:p w14:paraId="5942FE21" w14:textId="14FC9A6D" w:rsidR="00C237FB" w:rsidRPr="000967DE" w:rsidRDefault="00690216" w:rsidP="000B02D2">
      <w:pPr>
        <w:spacing w:line="480" w:lineRule="auto"/>
        <w:rPr>
          <w:rFonts w:ascii="Arial" w:hAnsi="Arial" w:cs="Arial"/>
          <w:lang w:val="en-US"/>
        </w:rPr>
      </w:pPr>
      <w:r w:rsidRPr="000B02D2">
        <w:rPr>
          <w:rFonts w:ascii="Arial" w:hAnsi="Arial" w:cs="Arial"/>
          <w:sz w:val="24"/>
          <w:szCs w:val="24"/>
          <w:lang w:val="en-US"/>
        </w:rPr>
        <w:fldChar w:fldCharType="end"/>
      </w:r>
    </w:p>
    <w:sectPr w:rsidR="00C237FB" w:rsidRPr="000967DE" w:rsidSect="007E2881">
      <w:headerReference w:type="default" r:id="rId24"/>
      <w:footerReference w:type="default" r:id="rId2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28671" w14:textId="77777777" w:rsidR="004D2C7B" w:rsidRDefault="004D2C7B">
      <w:pPr>
        <w:spacing w:after="0" w:line="240" w:lineRule="auto"/>
      </w:pPr>
      <w:r>
        <w:separator/>
      </w:r>
    </w:p>
  </w:endnote>
  <w:endnote w:type="continuationSeparator" w:id="0">
    <w:p w14:paraId="753A4652" w14:textId="77777777" w:rsidR="004D2C7B" w:rsidRDefault="004D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625667"/>
      <w:docPartObj>
        <w:docPartGallery w:val="Page Numbers (Bottom of Page)"/>
        <w:docPartUnique/>
      </w:docPartObj>
    </w:sdtPr>
    <w:sdtEndPr/>
    <w:sdtContent>
      <w:p w14:paraId="472A78CA" w14:textId="19550115" w:rsidR="00BD405A" w:rsidRDefault="00BD405A">
        <w:pPr>
          <w:pStyle w:val="Footer"/>
          <w:jc w:val="right"/>
        </w:pPr>
        <w:r>
          <w:fldChar w:fldCharType="begin"/>
        </w:r>
        <w:r>
          <w:instrText>PAGE   \* MERGEFORMAT</w:instrText>
        </w:r>
        <w:r>
          <w:fldChar w:fldCharType="separate"/>
        </w:r>
        <w:r w:rsidR="00A01113">
          <w:rPr>
            <w:noProof/>
          </w:rPr>
          <w:t>16</w:t>
        </w:r>
        <w:r>
          <w:fldChar w:fldCharType="end"/>
        </w:r>
      </w:p>
    </w:sdtContent>
  </w:sdt>
  <w:p w14:paraId="6525AED6" w14:textId="77777777" w:rsidR="00BD405A" w:rsidRDefault="00BD4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1FD49" w14:textId="77777777" w:rsidR="004D2C7B" w:rsidRDefault="004D2C7B">
      <w:pPr>
        <w:spacing w:after="0" w:line="240" w:lineRule="auto"/>
      </w:pPr>
      <w:r>
        <w:separator/>
      </w:r>
    </w:p>
  </w:footnote>
  <w:footnote w:type="continuationSeparator" w:id="0">
    <w:p w14:paraId="5DF3EEB6" w14:textId="77777777" w:rsidR="004D2C7B" w:rsidRDefault="004D2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B212A" w14:textId="41F857D1" w:rsidR="00BD405A" w:rsidRPr="007E2881" w:rsidRDefault="00BD405A" w:rsidP="007E2881">
    <w:pPr>
      <w:pStyle w:val="Header"/>
      <w:jc w:val="center"/>
      <w:rPr>
        <w:sz w:val="20"/>
        <w:szCs w:val="20"/>
        <w:lang w:val="en-US"/>
      </w:rPr>
    </w:pPr>
    <w:r w:rsidRPr="007E2881">
      <w:rPr>
        <w:rFonts w:ascii="Arial" w:hAnsi="Arial" w:cs="Arial"/>
        <w:sz w:val="20"/>
        <w:szCs w:val="20"/>
        <w:lang w:val="en-US"/>
      </w:rPr>
      <w:t>-</w:t>
    </w:r>
    <w:r>
      <w:rPr>
        <w:rFonts w:ascii="Arial" w:hAnsi="Arial" w:cs="Arial"/>
        <w:sz w:val="20"/>
        <w:szCs w:val="20"/>
        <w:lang w:val="en-US"/>
      </w:rPr>
      <w:t xml:space="preserve"> Quitt, Luo et al.: </w:t>
    </w:r>
    <w:r w:rsidRPr="007E2881">
      <w:rPr>
        <w:rFonts w:ascii="Arial" w:hAnsi="Arial" w:cs="Arial"/>
        <w:sz w:val="20"/>
        <w:szCs w:val="20"/>
        <w:lang w:val="en-US"/>
      </w:rPr>
      <w:t>T-cell engager antibodies allow to target HBV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3BD7"/>
    <w:multiLevelType w:val="hybridMultilevel"/>
    <w:tmpl w:val="D586EE72"/>
    <w:lvl w:ilvl="0" w:tplc="F9E8F72C">
      <w:start w:val="1"/>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0693562"/>
    <w:multiLevelType w:val="hybridMultilevel"/>
    <w:tmpl w:val="52ECA344"/>
    <w:lvl w:ilvl="0" w:tplc="06CAE21E">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606180"/>
    <w:multiLevelType w:val="hybridMultilevel"/>
    <w:tmpl w:val="ECC03694"/>
    <w:lvl w:ilvl="0" w:tplc="D2267F10">
      <w:start w:val="20"/>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72061480"/>
    <w:multiLevelType w:val="hybridMultilevel"/>
    <w:tmpl w:val="2D50BE92"/>
    <w:lvl w:ilvl="0" w:tplc="C2C6B668">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o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afzzrdj9wwxsex99650591fv0dde2srf52&quot;&gt;BiMabs manuscript current endnote version&lt;record-ids&gt;&lt;item&gt;14&lt;/item&gt;&lt;item&gt;16&lt;/item&gt;&lt;item&gt;76&lt;/item&gt;&lt;item&gt;96&lt;/item&gt;&lt;item&gt;98&lt;/item&gt;&lt;item&gt;274&lt;/item&gt;&lt;item&gt;277&lt;/item&gt;&lt;item&gt;300&lt;/item&gt;&lt;/record-ids&gt;&lt;/item&gt;&lt;/Libraries&gt;"/>
  </w:docVars>
  <w:rsids>
    <w:rsidRoot w:val="00CD12CB"/>
    <w:rsid w:val="00002062"/>
    <w:rsid w:val="00025FEA"/>
    <w:rsid w:val="000366FE"/>
    <w:rsid w:val="00040FB4"/>
    <w:rsid w:val="00043B92"/>
    <w:rsid w:val="00050C86"/>
    <w:rsid w:val="00075491"/>
    <w:rsid w:val="000967DE"/>
    <w:rsid w:val="000B02D2"/>
    <w:rsid w:val="000F0CE1"/>
    <w:rsid w:val="001000FD"/>
    <w:rsid w:val="00140089"/>
    <w:rsid w:val="00160CB6"/>
    <w:rsid w:val="00200729"/>
    <w:rsid w:val="002E6E55"/>
    <w:rsid w:val="00357364"/>
    <w:rsid w:val="00357EED"/>
    <w:rsid w:val="003626BD"/>
    <w:rsid w:val="003728DF"/>
    <w:rsid w:val="003752C3"/>
    <w:rsid w:val="003A4504"/>
    <w:rsid w:val="003B1E8B"/>
    <w:rsid w:val="003D2F00"/>
    <w:rsid w:val="003F3FA4"/>
    <w:rsid w:val="004712E2"/>
    <w:rsid w:val="004C77E6"/>
    <w:rsid w:val="004D2C7B"/>
    <w:rsid w:val="00565C41"/>
    <w:rsid w:val="0059514F"/>
    <w:rsid w:val="005A0337"/>
    <w:rsid w:val="005A1450"/>
    <w:rsid w:val="005B38D2"/>
    <w:rsid w:val="005E14FC"/>
    <w:rsid w:val="00660096"/>
    <w:rsid w:val="00667A76"/>
    <w:rsid w:val="00690216"/>
    <w:rsid w:val="007A4C8F"/>
    <w:rsid w:val="007E2881"/>
    <w:rsid w:val="007F5D9C"/>
    <w:rsid w:val="008507EC"/>
    <w:rsid w:val="0091719D"/>
    <w:rsid w:val="0092207B"/>
    <w:rsid w:val="00924A0C"/>
    <w:rsid w:val="0094012C"/>
    <w:rsid w:val="00950916"/>
    <w:rsid w:val="009D6205"/>
    <w:rsid w:val="00A01113"/>
    <w:rsid w:val="00A02580"/>
    <w:rsid w:val="00A34715"/>
    <w:rsid w:val="00A40728"/>
    <w:rsid w:val="00B55AEA"/>
    <w:rsid w:val="00B8001C"/>
    <w:rsid w:val="00BD405A"/>
    <w:rsid w:val="00C237FB"/>
    <w:rsid w:val="00CB4D32"/>
    <w:rsid w:val="00CD12CB"/>
    <w:rsid w:val="00CE3270"/>
    <w:rsid w:val="00D370AE"/>
    <w:rsid w:val="00DA4147"/>
    <w:rsid w:val="00DB643D"/>
    <w:rsid w:val="00E519DD"/>
    <w:rsid w:val="00EB0956"/>
    <w:rsid w:val="00EE39C8"/>
    <w:rsid w:val="00F02065"/>
    <w:rsid w:val="00F05A1E"/>
    <w:rsid w:val="00F27D22"/>
    <w:rsid w:val="00FB3863"/>
    <w:rsid w:val="00FC2BCB"/>
    <w:rsid w:val="00FD7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4021C4"/>
  <w15:docId w15:val="{B720C461-2054-264E-9138-7A124E45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207B"/>
    <w:pPr>
      <w:keepNext/>
      <w:keepLines/>
      <w:spacing w:before="480" w:after="200"/>
      <w:outlineLvl w:val="0"/>
    </w:pPr>
    <w:rPr>
      <w:rFonts w:ascii="Arial" w:eastAsia="Arial" w:hAnsi="Arial" w:cs="Arial"/>
      <w:b/>
      <w:sz w:val="24"/>
      <w:szCs w:val="40"/>
    </w:rPr>
  </w:style>
  <w:style w:type="paragraph" w:styleId="Heading2">
    <w:name w:val="heading 2"/>
    <w:basedOn w:val="Normal"/>
    <w:next w:val="Normal"/>
    <w:link w:val="Heading2Char"/>
    <w:uiPriority w:val="9"/>
    <w:unhideWhenUsed/>
    <w:qFormat/>
    <w:rsid w:val="0092207B"/>
    <w:pPr>
      <w:keepNext/>
      <w:keepLines/>
      <w:spacing w:before="360" w:after="200"/>
      <w:outlineLvl w:val="1"/>
    </w:pPr>
    <w:rPr>
      <w:rFonts w:ascii="Arial" w:eastAsia="Arial" w:hAnsi="Arial" w:cs="Arial"/>
      <w:i/>
      <w:sz w:val="2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207B"/>
    <w:rPr>
      <w:rFonts w:ascii="Arial" w:eastAsia="Arial" w:hAnsi="Arial" w:cs="Arial"/>
      <w:b/>
      <w:sz w:val="24"/>
      <w:szCs w:val="40"/>
    </w:rPr>
  </w:style>
  <w:style w:type="character" w:customStyle="1" w:styleId="Heading2Char">
    <w:name w:val="Heading 2 Char"/>
    <w:basedOn w:val="DefaultParagraphFont"/>
    <w:link w:val="Heading2"/>
    <w:uiPriority w:val="9"/>
    <w:rsid w:val="0092207B"/>
    <w:rPr>
      <w:rFonts w:ascii="Arial" w:eastAsia="Arial" w:hAnsi="Arial" w:cs="Arial"/>
      <w:i/>
      <w:sz w:val="2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FooterChar1">
    <w:name w:val="Footer Char1"/>
    <w:link w:val="Footer"/>
    <w:uiPriority w:val="99"/>
  </w:style>
  <w:style w:type="table" w:customStyle="1" w:styleId="TableGridLight1">
    <w:name w:val="Table Grid Light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1">
    <w:name w:val="Grid Table 2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1">
    <w:name w:val="Grid Table 2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1">
    <w:name w:val="Grid Table 2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1">
    <w:name w:val="Grid Table 2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1">
    <w:name w:val="Grid Table 2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1">
    <w:name w:val="Grid Table 2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1">
    <w:name w:val="Grid Table 3 - Accent 1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1">
    <w:name w:val="Grid Table 3 - Accent 21"/>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1">
    <w:name w:val="Grid Table 3 - Accent 31"/>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1">
    <w:name w:val="Grid Table 3 - Accent 41"/>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1">
    <w:name w:val="Grid Table 3 - Accent 51"/>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1">
    <w:name w:val="Grid Table 3 - Accent 61"/>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1">
    <w:name w:val="Grid Table 4 - Accent 1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1">
    <w:name w:val="Grid Table 4 - Accent 21"/>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1">
    <w:name w:val="Grid Table 4 - Accent 31"/>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1">
    <w:name w:val="Grid Table 4 - Accent 41"/>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1">
    <w:name w:val="Grid Table 4 - Accent 51"/>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1">
    <w:name w:val="Grid Table 4 - Accent 61"/>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1">
    <w:name w:val="Grid Table 5 Dark - Accent 2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1">
    <w:name w:val="Grid Table 5 Dark - Accent 3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1">
    <w:name w:val="Grid Table 5 Dark - Accent 5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1">
    <w:name w:val="Grid Table 5 Dark - Accent 6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1">
    <w:name w:val="List Table 1 Light - Accent 1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1">
    <w:name w:val="List Table 1 Light - Accent 2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1">
    <w:name w:val="List Table 1 Light - Accent 3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1">
    <w:name w:val="List Table 1 Light - Accent 4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1">
    <w:name w:val="List Table 1 Light - Accent 5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1">
    <w:name w:val="List Table 1 Light - Accent 6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1">
    <w:name w:val="List Table 2 - Accent 1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1">
    <w:name w:val="List Table 2 - Accent 21"/>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1">
    <w:name w:val="List Table 2 - Accent 31"/>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1">
    <w:name w:val="List Table 2 - Accent 41"/>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1">
    <w:name w:val="List Table 2 - Accent 51"/>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1">
    <w:name w:val="List Table 2 - Accent 61"/>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1">
    <w:name w:val="List Table 4 - Accent 1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1">
    <w:name w:val="List Table 4 - Accent 21"/>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1">
    <w:name w:val="List Table 4 - Accent 31"/>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1">
    <w:name w:val="List Table 4 - Accent 41"/>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1">
    <w:name w:val="List Table 4 - Accent 51"/>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1">
    <w:name w:val="List Table 4 - Accent 61"/>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1">
    <w:name w:val="List Table 5 Dark - Accent 1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1">
    <w:name w:val="List Table 5 Dark - Accent 21"/>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1">
    <w:name w:val="List Table 5 Dark - Accent 31"/>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1">
    <w:name w:val="List Table 5 Dark - Accent 41"/>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1">
    <w:name w:val="List Table 5 Dark - Accent 51"/>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1">
    <w:name w:val="List Table 5 Dark - Accent 61"/>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rsid w:val="0094012C"/>
    <w:pPr>
      <w:spacing w:after="57"/>
    </w:pPr>
    <w:rPr>
      <w:rFonts w:ascii="Arial" w:hAnsi="Arial"/>
      <w:sz w:val="24"/>
    </w:rPr>
  </w:style>
  <w:style w:type="paragraph" w:styleId="TOC2">
    <w:name w:val="toc 2"/>
    <w:basedOn w:val="Normal"/>
    <w:next w:val="Normal"/>
    <w:uiPriority w:val="39"/>
    <w:unhideWhenUsed/>
    <w:rsid w:val="0094012C"/>
    <w:pPr>
      <w:spacing w:after="57"/>
      <w:ind w:left="283"/>
    </w:pPr>
    <w:rPr>
      <w:rFonts w:ascii="Arial" w:hAnsi="Arial"/>
      <w:sz w:val="24"/>
    </w:r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qFormat/>
  </w:style>
  <w:style w:type="table" w:customStyle="1" w:styleId="Tabellenraster1">
    <w:name w:val="Tabellenraster1"/>
    <w:basedOn w:val="TableNormal"/>
    <w:next w:val="TableGrid"/>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EndNoteBibliographyTitle">
    <w:name w:val="EndNote Bibliography Title"/>
    <w:basedOn w:val="Normal"/>
    <w:link w:val="EndNoteBibliographyTitleZchn"/>
    <w:rsid w:val="00690216"/>
    <w:pPr>
      <w:spacing w:after="0"/>
      <w:jc w:val="center"/>
    </w:pPr>
    <w:rPr>
      <w:noProof/>
      <w:lang w:val="en-US"/>
    </w:rPr>
  </w:style>
  <w:style w:type="character" w:customStyle="1" w:styleId="EndNoteBibliographyTitleZchn">
    <w:name w:val="EndNote Bibliography Title Zchn"/>
    <w:basedOn w:val="DefaultParagraphFont"/>
    <w:link w:val="EndNoteBibliographyTitle"/>
    <w:rsid w:val="00690216"/>
    <w:rPr>
      <w:noProof/>
      <w:lang w:val="en-US"/>
    </w:rPr>
  </w:style>
  <w:style w:type="paragraph" w:customStyle="1" w:styleId="EndNoteBibliography">
    <w:name w:val="EndNote Bibliography"/>
    <w:basedOn w:val="Normal"/>
    <w:link w:val="EndNoteBibliographyZchn"/>
    <w:rsid w:val="00690216"/>
    <w:pPr>
      <w:spacing w:line="240" w:lineRule="auto"/>
    </w:pPr>
    <w:rPr>
      <w:noProof/>
      <w:lang w:val="en-US"/>
    </w:rPr>
  </w:style>
  <w:style w:type="character" w:customStyle="1" w:styleId="EndNoteBibliographyZchn">
    <w:name w:val="EndNote Bibliography Zchn"/>
    <w:basedOn w:val="DefaultParagraphFont"/>
    <w:link w:val="EndNoteBibliography"/>
    <w:rsid w:val="00690216"/>
    <w:rPr>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4038C88F2454BB37E59AFB74977B6" ma:contentTypeVersion="13" ma:contentTypeDescription="Create a new document." ma:contentTypeScope="" ma:versionID="16847d2fc39402b632415977bbdbbfde">
  <xsd:schema xmlns:xsd="http://www.w3.org/2001/XMLSchema" xmlns:xs="http://www.w3.org/2001/XMLSchema" xmlns:p="http://schemas.microsoft.com/office/2006/metadata/properties" xmlns:ns2="521b6ead-e5be-4d3b-9860-b6e03b66e706" xmlns:ns3="3eedaddb-5fc5-4aa6-949a-49b49a2899ba" targetNamespace="http://schemas.microsoft.com/office/2006/metadata/properties" ma:root="true" ma:fieldsID="af1db25777bd292f5ac38fe16a0c6e86" ns2:_="" ns3:_="">
    <xsd:import namespace="521b6ead-e5be-4d3b-9860-b6e03b66e706"/>
    <xsd:import namespace="3eedaddb-5fc5-4aa6-949a-49b49a2899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b6ead-e5be-4d3b-9860-b6e03b66e7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edaddb-5fc5-4aa6-949a-49b49a2899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828616-BF3E-4589-8344-0BF3066E2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b6ead-e5be-4d3b-9860-b6e03b66e706"/>
    <ds:schemaRef ds:uri="3eedaddb-5fc5-4aa6-949a-49b49a28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BA1263-8266-44FB-BE60-52121F1C9D64}">
  <ds:schemaRefs>
    <ds:schemaRef ds:uri="http://schemas.openxmlformats.org/officeDocument/2006/bibliography"/>
  </ds:schemaRefs>
</ds:datastoreItem>
</file>

<file path=customXml/itemProps3.xml><?xml version="1.0" encoding="utf-8"?>
<ds:datastoreItem xmlns:ds="http://schemas.openxmlformats.org/officeDocument/2006/customXml" ds:itemID="{F9A82881-570D-4FAA-B815-4C6A66392E3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DBB3B8C-0080-4D36-AD64-BE06B9D62F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7969</Words>
  <Characters>45428</Characters>
  <Application>Microsoft Office Word</Application>
  <DocSecurity>0</DocSecurity>
  <Lines>378</Lines>
  <Paragraphs>106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Quitt, Oliver</dc:creator>
  <cp:keywords/>
  <dc:description/>
  <cp:lastModifiedBy>Kristina Jajcevic</cp:lastModifiedBy>
  <cp:revision>6</cp:revision>
  <dcterms:created xsi:type="dcterms:W3CDTF">2021-05-23T06:07:00Z</dcterms:created>
  <dcterms:modified xsi:type="dcterms:W3CDTF">2021-06-15T11:43:00Z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0x010100B674038C88F2454BB37E59AFB74977B6</vt:lpwstr>
  </property>
</Properties>
</file>