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Web"/>
        <w:rPr>
          <w:lang w:val="en-US"/>
        </w:rPr>
      </w:pPr>
      <w:bookmarkStart w:id="0" w:name="_GoBack"/>
      <w:bookmarkEnd w:id="0"/>
    </w:p>
    <w:p>
      <w:pPr>
        <w:pStyle w:val="StandardWeb"/>
        <w:rPr>
          <w:sz w:val="22"/>
          <w:szCs w:val="22"/>
          <w:lang w:val="en-US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5762625" cy="1514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Web"/>
        <w:rPr>
          <w:sz w:val="22"/>
          <w:szCs w:val="22"/>
          <w:lang w:val="en-US"/>
        </w:rPr>
      </w:pPr>
    </w:p>
    <w:p>
      <w:pPr>
        <w:pStyle w:val="StandardWeb"/>
        <w:rPr>
          <w:lang w:val="en-US"/>
        </w:rPr>
      </w:pPr>
      <w:r>
        <w:rPr>
          <w:b/>
          <w:lang w:val="en-US"/>
        </w:rPr>
        <w:t>Supplemental Fig. 1.</w:t>
      </w:r>
      <w:r>
        <w:rPr>
          <w:lang w:val="en-US"/>
        </w:rPr>
        <w:t xml:space="preserve"> Typical histograms showing the alterations of Foxp3, CD25, CTLA-4 and IL-10 expressed by Foxp3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Tregs from </w:t>
      </w:r>
      <w:r>
        <w:rPr>
          <w:rFonts w:ascii="Symbol" w:hAnsi="Symbol"/>
          <w:lang w:val="en-US"/>
        </w:rPr>
        <w:t></w:t>
      </w:r>
      <w:r>
        <w:rPr>
          <w:lang w:val="en-US"/>
        </w:rPr>
        <w:t>-Myc late stage tumors (solid lines) compared to cells from wt animals (dotted lines). Shaded curves: isotype control.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CABA30-5B70-427B-8D13-12FBF45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mocikat</dc:creator>
  <cp:lastModifiedBy>Mocikat, Ralph, Prof. Dr.</cp:lastModifiedBy>
  <cp:revision>2</cp:revision>
  <dcterms:created xsi:type="dcterms:W3CDTF">2021-06-25T12:33:00Z</dcterms:created>
  <dcterms:modified xsi:type="dcterms:W3CDTF">2021-06-25T12:33:00Z</dcterms:modified>
</cp:coreProperties>
</file>