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457DB" w14:textId="22F6C3A5" w:rsidR="008E332F" w:rsidRPr="00DE3043" w:rsidRDefault="008E332F" w:rsidP="008E332F">
      <w:pPr>
        <w:jc w:val="center"/>
        <w:rPr>
          <w:sz w:val="36"/>
          <w:szCs w:val="36"/>
        </w:rPr>
      </w:pPr>
      <w:r w:rsidRPr="00DE3043">
        <w:rPr>
          <w:sz w:val="36"/>
          <w:szCs w:val="36"/>
        </w:rPr>
        <w:t xml:space="preserve">Supplementary </w:t>
      </w:r>
      <w:r w:rsidR="00656163" w:rsidRPr="00DE3043">
        <w:rPr>
          <w:sz w:val="36"/>
          <w:szCs w:val="36"/>
        </w:rPr>
        <w:t>file</w:t>
      </w:r>
      <w:r w:rsidRPr="00DE3043">
        <w:rPr>
          <w:sz w:val="36"/>
          <w:szCs w:val="36"/>
        </w:rPr>
        <w:t xml:space="preserve"> for</w:t>
      </w:r>
    </w:p>
    <w:p w14:paraId="671B128C" w14:textId="77777777" w:rsidR="008E332F" w:rsidRPr="00DE3043" w:rsidRDefault="008E332F" w:rsidP="008E332F">
      <w:pPr>
        <w:rPr>
          <w:sz w:val="32"/>
          <w:szCs w:val="32"/>
        </w:rPr>
      </w:pPr>
    </w:p>
    <w:p w14:paraId="71E333A7" w14:textId="34418F5F" w:rsidR="008E332F" w:rsidRPr="00DE3043" w:rsidRDefault="008E332F" w:rsidP="008E332F">
      <w:pPr>
        <w:rPr>
          <w:b/>
          <w:sz w:val="32"/>
          <w:szCs w:val="32"/>
        </w:rPr>
      </w:pPr>
    </w:p>
    <w:p w14:paraId="5225F32C" w14:textId="535DC5E0" w:rsidR="008E332F" w:rsidRPr="00BE441E" w:rsidRDefault="00AD0BA2" w:rsidP="00AD0BA2">
      <w:pPr>
        <w:jc w:val="center"/>
        <w:rPr>
          <w:b/>
          <w:sz w:val="32"/>
          <w:szCs w:val="32"/>
        </w:rPr>
      </w:pPr>
      <w:r w:rsidRPr="00BE441E">
        <w:rPr>
          <w:b/>
          <w:color w:val="000000"/>
          <w:sz w:val="32"/>
          <w:szCs w:val="32"/>
        </w:rPr>
        <w:t>Acute mental stress</w:t>
      </w:r>
      <w:r w:rsidRPr="00BE441E">
        <w:rPr>
          <w:rFonts w:eastAsiaTheme="minorHAnsi"/>
          <w:b/>
          <w:color w:val="000000"/>
          <w:sz w:val="32"/>
          <w:szCs w:val="32"/>
        </w:rPr>
        <w:t xml:space="preserve"> drives vascular inflammation and promotes plaque destabilization</w:t>
      </w:r>
      <w:r w:rsidR="00EB4783" w:rsidRPr="00BE441E">
        <w:rPr>
          <w:rFonts w:eastAsiaTheme="minorHAnsi"/>
          <w:b/>
          <w:color w:val="000000"/>
          <w:sz w:val="32"/>
          <w:szCs w:val="32"/>
        </w:rPr>
        <w:t xml:space="preserve"> in mouse atherosclerosis</w:t>
      </w:r>
    </w:p>
    <w:p w14:paraId="2554E6E7" w14:textId="452AFE57" w:rsidR="008E332F" w:rsidRPr="00BE441E" w:rsidRDefault="008E332F" w:rsidP="008E332F">
      <w:pPr>
        <w:rPr>
          <w:b/>
        </w:rPr>
      </w:pPr>
    </w:p>
    <w:p w14:paraId="1D6C21F4" w14:textId="585F5904" w:rsidR="008E332F" w:rsidRPr="00BE441E" w:rsidRDefault="008E332F" w:rsidP="008E332F">
      <w:pPr>
        <w:rPr>
          <w:b/>
        </w:rPr>
      </w:pPr>
    </w:p>
    <w:p w14:paraId="5CE6E450" w14:textId="77777777" w:rsidR="008E332F" w:rsidRPr="00BE441E" w:rsidRDefault="008E332F" w:rsidP="008E332F">
      <w:pPr>
        <w:rPr>
          <w:b/>
        </w:rPr>
      </w:pPr>
    </w:p>
    <w:p w14:paraId="5C8CBEBA" w14:textId="738FEC82" w:rsidR="008E332F" w:rsidRPr="00BE441E" w:rsidRDefault="008E332F" w:rsidP="008E332F">
      <w:pPr>
        <w:rPr>
          <w:b/>
        </w:rPr>
      </w:pPr>
      <w:r w:rsidRPr="00BE441E">
        <w:rPr>
          <w:b/>
        </w:rPr>
        <w:t>This file includes:</w:t>
      </w:r>
    </w:p>
    <w:p w14:paraId="733751E6" w14:textId="13C1E532" w:rsidR="008E332F" w:rsidRPr="00BE441E" w:rsidRDefault="008E332F" w:rsidP="008E332F">
      <w:pPr>
        <w:ind w:left="720"/>
      </w:pPr>
      <w:r w:rsidRPr="00BE441E">
        <w:t xml:space="preserve">Supplementary </w:t>
      </w:r>
      <w:r w:rsidR="008045D2" w:rsidRPr="00BE441E">
        <w:t>m</w:t>
      </w:r>
      <w:r w:rsidRPr="00BE441E">
        <w:t>ethods</w:t>
      </w:r>
    </w:p>
    <w:p w14:paraId="1E7DC242" w14:textId="6709C68C" w:rsidR="008E332F" w:rsidRPr="00BE441E" w:rsidRDefault="008E332F" w:rsidP="008E332F">
      <w:r w:rsidRPr="00BE441E">
        <w:tab/>
      </w:r>
      <w:r w:rsidR="00CC1168" w:rsidRPr="00BE441E">
        <w:t>Supplementary</w:t>
      </w:r>
      <w:r w:rsidRPr="00BE441E">
        <w:t xml:space="preserve"> references</w:t>
      </w:r>
    </w:p>
    <w:p w14:paraId="57AB1329" w14:textId="08309CEF" w:rsidR="008E332F" w:rsidRPr="00BE441E" w:rsidRDefault="008045D2" w:rsidP="008E332F">
      <w:pPr>
        <w:ind w:left="720"/>
      </w:pPr>
      <w:r w:rsidRPr="00BE441E">
        <w:t>Supplementary f</w:t>
      </w:r>
      <w:r w:rsidR="008E332F" w:rsidRPr="00BE441E">
        <w:t>ig</w:t>
      </w:r>
      <w:r w:rsidRPr="00BE441E">
        <w:t>ures</w:t>
      </w:r>
      <w:r w:rsidR="008E332F" w:rsidRPr="00BE441E">
        <w:t xml:space="preserve"> S1 to S6</w:t>
      </w:r>
    </w:p>
    <w:p w14:paraId="6CD1FF49" w14:textId="3A9B6747" w:rsidR="008E332F" w:rsidRPr="00BE441E" w:rsidRDefault="008045D2" w:rsidP="003E2492">
      <w:pPr>
        <w:ind w:left="720"/>
      </w:pPr>
      <w:r w:rsidRPr="00BE441E">
        <w:t>Supplementary t</w:t>
      </w:r>
      <w:r w:rsidR="008E332F" w:rsidRPr="00BE441E">
        <w:t>ables S1 to S2</w:t>
      </w:r>
      <w:r w:rsidR="008E332F" w:rsidRPr="00BE441E">
        <w:rPr>
          <w:b/>
          <w:bCs/>
          <w:kern w:val="32"/>
          <w:szCs w:val="24"/>
        </w:rPr>
        <w:br w:type="page"/>
      </w:r>
    </w:p>
    <w:p w14:paraId="73924F5D" w14:textId="1DCA928F" w:rsidR="008E332F" w:rsidRPr="00BE441E" w:rsidRDefault="00E16B14" w:rsidP="00434B4B">
      <w:pPr>
        <w:spacing w:line="480" w:lineRule="auto"/>
        <w:rPr>
          <w:b/>
          <w:bCs/>
          <w:kern w:val="32"/>
          <w:szCs w:val="24"/>
          <w:u w:val="single"/>
        </w:rPr>
      </w:pPr>
      <w:r w:rsidRPr="00E16B14">
        <w:rPr>
          <w:b/>
          <w:bCs/>
          <w:kern w:val="32"/>
          <w:szCs w:val="24"/>
          <w:highlight w:val="yellow"/>
          <w:u w:val="single"/>
        </w:rPr>
        <w:lastRenderedPageBreak/>
        <w:t>Methods</w:t>
      </w:r>
    </w:p>
    <w:p w14:paraId="55427269" w14:textId="77777777" w:rsidR="004A3153" w:rsidRPr="00BE441E" w:rsidRDefault="004A3153" w:rsidP="00434B4B">
      <w:pPr>
        <w:spacing w:line="480" w:lineRule="auto"/>
        <w:rPr>
          <w:b/>
          <w:bCs/>
          <w:kern w:val="32"/>
          <w:szCs w:val="24"/>
        </w:rPr>
      </w:pPr>
    </w:p>
    <w:p w14:paraId="563D38B1" w14:textId="77777777" w:rsidR="00E16B14" w:rsidRPr="00455A40" w:rsidRDefault="00E16B14" w:rsidP="00E16B14">
      <w:pPr>
        <w:widowControl w:val="0"/>
        <w:autoSpaceDE w:val="0"/>
        <w:autoSpaceDN w:val="0"/>
        <w:adjustRightInd w:val="0"/>
        <w:spacing w:line="480" w:lineRule="auto"/>
        <w:rPr>
          <w:b/>
          <w:color w:val="000000"/>
          <w:u w:val="single"/>
        </w:rPr>
      </w:pPr>
      <w:r w:rsidRPr="000B6ABB">
        <w:rPr>
          <w:b/>
        </w:rPr>
        <w:t>Clinical study</w:t>
      </w:r>
    </w:p>
    <w:p w14:paraId="05B4AF61" w14:textId="77777777" w:rsidR="00E16B14" w:rsidRPr="000B6ABB" w:rsidRDefault="00E16B14" w:rsidP="00E16B14">
      <w:pPr>
        <w:spacing w:line="480" w:lineRule="auto"/>
        <w:jc w:val="both"/>
        <w:rPr>
          <w:rFonts w:eastAsiaTheme="minorHAnsi"/>
          <w:color w:val="000000"/>
        </w:rPr>
      </w:pPr>
      <w:r w:rsidRPr="000B6ABB">
        <w:t xml:space="preserve">Our clinical study was entitled “Effects of acute psychosocial stress on blood inflammatory leukocyte numbers” and was approved by the local ethics committee of the Technical University Munich (79/16S) and </w:t>
      </w:r>
      <w:r w:rsidRPr="000B6ABB">
        <w:rPr>
          <w:color w:val="2A2A2A"/>
        </w:rPr>
        <w:t>complies with the Declaration of Helsinki</w:t>
      </w:r>
      <w:r w:rsidRPr="000B6ABB">
        <w:t>. Here, 35 healthy volunteers (</w:t>
      </w:r>
      <w:r w:rsidRPr="000B6ABB">
        <w:rPr>
          <w:rFonts w:eastAsiaTheme="minorHAnsi"/>
          <w:color w:val="000000"/>
        </w:rPr>
        <w:t>age 26.1</w:t>
      </w:r>
      <w:r w:rsidRPr="000B6ABB">
        <w:rPr>
          <w:color w:val="000000"/>
        </w:rPr>
        <w:t>±</w:t>
      </w:r>
      <w:r w:rsidRPr="000B6ABB">
        <w:rPr>
          <w:rFonts w:eastAsiaTheme="minorHAnsi"/>
          <w:color w:val="000000"/>
        </w:rPr>
        <w:t xml:space="preserve">1.3, 46% female, German citizens from the local area, with no acute or chronic illness, on no regular medication, 11.4% smokers), all confirmed soccer fans, </w:t>
      </w:r>
      <w:r w:rsidRPr="000B6ABB">
        <w:t xml:space="preserve">were enrolled </w:t>
      </w:r>
      <w:r w:rsidRPr="000B6ABB">
        <w:rPr>
          <w:rFonts w:eastAsiaTheme="minorHAnsi"/>
          <w:color w:val="000000"/>
        </w:rPr>
        <w:t>after providing informed consent</w:t>
      </w:r>
      <w:r w:rsidRPr="000B6ABB">
        <w:t>. Participants watched a key soccer match (round of sixteen during the 2016 European Championship) in which they were emotionally involved because their national team played (the German team played the Slovakia team, final score 3:0 with</w:t>
      </w:r>
      <w:r w:rsidRPr="000B6ABB">
        <w:rPr>
          <w:color w:val="000000" w:themeColor="text1"/>
          <w:shd w:val="clear" w:color="auto" w:fill="FFFFFF"/>
        </w:rPr>
        <w:t xml:space="preserve"> goals scored </w:t>
      </w:r>
      <w:proofErr w:type="spellStart"/>
      <w:r w:rsidRPr="000B6ABB">
        <w:rPr>
          <w:color w:val="000000" w:themeColor="text1"/>
          <w:shd w:val="clear" w:color="auto" w:fill="FFFFFF"/>
        </w:rPr>
        <w:t>at</w:t>
      </w:r>
      <w:proofErr w:type="spellEnd"/>
      <w:r w:rsidRPr="000B6ABB">
        <w:rPr>
          <w:color w:val="000000" w:themeColor="text1"/>
          <w:shd w:val="clear" w:color="auto" w:fill="FFFFFF"/>
        </w:rPr>
        <w:t xml:space="preserve"> game minutes 8, 43, and 63)</w:t>
      </w:r>
      <w:r w:rsidRPr="000B6ABB">
        <w:t xml:space="preserve">. All participants completed a visual </w:t>
      </w:r>
      <w:r w:rsidRPr="000B6ABB">
        <w:rPr>
          <w:color w:val="000000" w:themeColor="text1"/>
        </w:rPr>
        <w:t xml:space="preserve">analog scale test (scale 1-10) to measure short-term stress intensity perception 24 h before (pre-game) and immediately after (post-game) the game ended. Additionally, blood samples and </w:t>
      </w:r>
      <w:proofErr w:type="spellStart"/>
      <w:r w:rsidRPr="000B6ABB">
        <w:rPr>
          <w:color w:val="000000" w:themeColor="text1"/>
        </w:rPr>
        <w:t>oscillometric</w:t>
      </w:r>
      <w:proofErr w:type="spellEnd"/>
      <w:r w:rsidRPr="000B6ABB">
        <w:rPr>
          <w:color w:val="000000" w:themeColor="text1"/>
        </w:rPr>
        <w:t xml:space="preserve"> blood pressure and heart rate measurements were taken at respective time points. Total leukocyte and leukocyte subpopulation counts were assessed by the routine clinical laboratory of the German Heart Centre, Munich, and by flow cytometric staining.</w:t>
      </w:r>
    </w:p>
    <w:p w14:paraId="7FB8BDE1" w14:textId="77777777" w:rsidR="00E16B14" w:rsidRPr="000B6ABB" w:rsidRDefault="00E16B14" w:rsidP="00E16B14">
      <w:pPr>
        <w:spacing w:line="480" w:lineRule="auto"/>
        <w:jc w:val="both"/>
        <w:rPr>
          <w:b/>
        </w:rPr>
      </w:pPr>
    </w:p>
    <w:p w14:paraId="6D594FEE" w14:textId="77777777" w:rsidR="00E16B14" w:rsidRPr="000B6ABB" w:rsidRDefault="00E16B14" w:rsidP="00E16B14">
      <w:pPr>
        <w:spacing w:line="480" w:lineRule="auto"/>
        <w:jc w:val="both"/>
        <w:rPr>
          <w:b/>
        </w:rPr>
      </w:pPr>
      <w:r w:rsidRPr="000B6ABB">
        <w:rPr>
          <w:b/>
        </w:rPr>
        <w:t>Mice</w:t>
      </w:r>
    </w:p>
    <w:p w14:paraId="165C4C95" w14:textId="77777777" w:rsidR="00E16B14" w:rsidRPr="000B6ABB" w:rsidRDefault="00E16B14" w:rsidP="00E16B14">
      <w:pPr>
        <w:pStyle w:val="SMText"/>
        <w:spacing w:line="480" w:lineRule="auto"/>
        <w:ind w:firstLine="0"/>
        <w:jc w:val="both"/>
      </w:pPr>
      <w:r w:rsidRPr="000B6ABB">
        <w:rPr>
          <w:szCs w:val="24"/>
        </w:rPr>
        <w:t>Male and female</w:t>
      </w:r>
      <w:r w:rsidRPr="000B6ABB">
        <w:t xml:space="preserve"> C57BL/6J mice (wild-type), </w:t>
      </w:r>
      <w:proofErr w:type="spellStart"/>
      <w:r w:rsidRPr="000B6ABB">
        <w:rPr>
          <w:i/>
          <w:color w:val="000000"/>
        </w:rPr>
        <w:t>Ubc</w:t>
      </w:r>
      <w:proofErr w:type="spellEnd"/>
      <w:r w:rsidRPr="000B6ABB">
        <w:rPr>
          <w:i/>
          <w:color w:val="000000"/>
        </w:rPr>
        <w:t>-GFP</w:t>
      </w:r>
      <w:r w:rsidRPr="000B6ABB">
        <w:t xml:space="preserve"> mice (C57BL/6-</w:t>
      </w:r>
      <w:proofErr w:type="gramStart"/>
      <w:r w:rsidRPr="000B6ABB">
        <w:t>Tg(</w:t>
      </w:r>
      <w:proofErr w:type="gramEnd"/>
      <w:r w:rsidRPr="000B6ABB">
        <w:t xml:space="preserve">UBC-GFP)30Scha/J), and </w:t>
      </w:r>
      <w:proofErr w:type="spellStart"/>
      <w:r w:rsidRPr="000B6ABB">
        <w:rPr>
          <w:i/>
        </w:rPr>
        <w:t>ApoE</w:t>
      </w:r>
      <w:proofErr w:type="spellEnd"/>
      <w:r w:rsidRPr="000B6ABB">
        <w:rPr>
          <w:i/>
          <w:vertAlign w:val="superscript"/>
        </w:rPr>
        <w:t>-/-</w:t>
      </w:r>
      <w:r w:rsidRPr="000B6ABB">
        <w:t xml:space="preserve"> mice (B6.129P2-Apoetm1Unc/J) were either purchased from Charles River Laboratories or the Jackson Laboratory and used for experiments directly or for further in-house breeding. Starting at 8-12 weeks of age, </w:t>
      </w:r>
      <w:proofErr w:type="spellStart"/>
      <w:r w:rsidRPr="000B6ABB">
        <w:rPr>
          <w:i/>
        </w:rPr>
        <w:t>ApoE</w:t>
      </w:r>
      <w:proofErr w:type="spellEnd"/>
      <w:r w:rsidRPr="000B6ABB">
        <w:rPr>
          <w:i/>
          <w:vertAlign w:val="superscript"/>
        </w:rPr>
        <w:t>-/-</w:t>
      </w:r>
      <w:r w:rsidRPr="000B6ABB">
        <w:rPr>
          <w:vertAlign w:val="superscript"/>
        </w:rPr>
        <w:t xml:space="preserve"> </w:t>
      </w:r>
      <w:r w:rsidRPr="000B6ABB">
        <w:t xml:space="preserve">mice were fed a high-cholesterol diet (HCD, 21.2 </w:t>
      </w:r>
      <w:r w:rsidRPr="000B6ABB">
        <w:lastRenderedPageBreak/>
        <w:t xml:space="preserve">% fat by weight and 0.2 % cholesterol, TD.88137, </w:t>
      </w:r>
      <w:proofErr w:type="spellStart"/>
      <w:r w:rsidRPr="000B6ABB">
        <w:t>Envigo</w:t>
      </w:r>
      <w:proofErr w:type="spellEnd"/>
      <w:r w:rsidRPr="000B6ABB">
        <w:t xml:space="preserve">) for 8 weeks. In all experiments, age-matched littermates from both sexes were randomly allocated to treatment or control groups. For intravital microscopy, both male and female </w:t>
      </w:r>
      <w:r w:rsidRPr="000B6ABB">
        <w:rPr>
          <w:i/>
        </w:rPr>
        <w:t>Cx</w:t>
      </w:r>
      <w:r w:rsidRPr="000B6ABB">
        <w:rPr>
          <w:i/>
          <w:vertAlign w:val="subscript"/>
        </w:rPr>
        <w:t>3</w:t>
      </w:r>
      <w:r w:rsidRPr="000B6ABB">
        <w:rPr>
          <w:i/>
        </w:rPr>
        <w:t>cr1</w:t>
      </w:r>
      <w:r w:rsidRPr="000B6ABB">
        <w:rPr>
          <w:i/>
          <w:vertAlign w:val="superscript"/>
        </w:rPr>
        <w:t>GFP/</w:t>
      </w:r>
      <w:proofErr w:type="spellStart"/>
      <w:r w:rsidRPr="000B6ABB">
        <w:rPr>
          <w:i/>
          <w:vertAlign w:val="superscript"/>
        </w:rPr>
        <w:t>WT</w:t>
      </w:r>
      <w:r w:rsidRPr="000B6ABB">
        <w:rPr>
          <w:i/>
        </w:rPr>
        <w:t>ApoE</w:t>
      </w:r>
      <w:proofErr w:type="spellEnd"/>
      <w:r w:rsidRPr="000B6ABB">
        <w:rPr>
          <w:i/>
          <w:vertAlign w:val="superscript"/>
        </w:rPr>
        <w:t>-/-</w:t>
      </w:r>
      <w:r w:rsidRPr="000B6ABB">
        <w:rPr>
          <w:vertAlign w:val="superscript"/>
        </w:rPr>
        <w:t xml:space="preserve"> </w:t>
      </w:r>
      <w:r w:rsidRPr="000B6ABB">
        <w:t xml:space="preserve">mice (with GFP-labeled monocytes on an </w:t>
      </w:r>
      <w:proofErr w:type="spellStart"/>
      <w:r w:rsidRPr="000B6ABB">
        <w:rPr>
          <w:i/>
        </w:rPr>
        <w:t>ApoE</w:t>
      </w:r>
      <w:proofErr w:type="spellEnd"/>
      <w:r w:rsidRPr="000B6ABB">
        <w:rPr>
          <w:i/>
          <w:vertAlign w:val="superscript"/>
        </w:rPr>
        <w:t>-/-</w:t>
      </w:r>
      <w:r w:rsidRPr="000B6ABB">
        <w:t xml:space="preserve"> background, generated by the Institute for Cardiovascular Prevention (IPEK, Munich)) were fed HCD for 4 weeks. For plaque rupture experiments, male </w:t>
      </w:r>
      <w:proofErr w:type="spellStart"/>
      <w:r w:rsidRPr="000B6ABB">
        <w:rPr>
          <w:i/>
        </w:rPr>
        <w:t>ApoE</w:t>
      </w:r>
      <w:proofErr w:type="spellEnd"/>
      <w:r w:rsidRPr="000B6ABB">
        <w:rPr>
          <w:i/>
          <w:vertAlign w:val="superscript"/>
        </w:rPr>
        <w:t>-/-</w:t>
      </w:r>
      <w:r w:rsidRPr="000B6ABB">
        <w:t xml:space="preserve"> (B6.129P2-Apoetm1Unc/J) mice were purchased from Taconic Biosciences and fed HCD for 4 </w:t>
      </w:r>
      <w:r w:rsidRPr="000B6ABB">
        <w:rPr>
          <w:szCs w:val="24"/>
        </w:rPr>
        <w:t>weeks. All genetically modified mice were on a C57BL/6J background. All procedures were</w:t>
      </w:r>
      <w:r w:rsidRPr="000B6ABB">
        <w:t xml:space="preserve"> approved by respective local committees for animal welfare (Government of Bavaria and Hesse, Germany or Sweden) and experiments were carried out in adherence to NIH Guide for the Care and Use of Laboratory Animals.</w:t>
      </w:r>
    </w:p>
    <w:p w14:paraId="6DF2B1FD" w14:textId="77777777" w:rsidR="00E16B14" w:rsidRPr="000B6ABB" w:rsidRDefault="00E16B14" w:rsidP="00E16B14">
      <w:pPr>
        <w:spacing w:line="480" w:lineRule="auto"/>
        <w:jc w:val="both"/>
      </w:pPr>
    </w:p>
    <w:p w14:paraId="12A32A27" w14:textId="77777777" w:rsidR="00E16B14" w:rsidRPr="000B6ABB" w:rsidRDefault="00E16B14" w:rsidP="00E16B14">
      <w:pPr>
        <w:spacing w:line="480" w:lineRule="auto"/>
        <w:rPr>
          <w:b/>
        </w:rPr>
      </w:pPr>
      <w:r w:rsidRPr="000B6ABB">
        <w:rPr>
          <w:b/>
        </w:rPr>
        <w:t>Stress procedures</w:t>
      </w:r>
    </w:p>
    <w:p w14:paraId="1894DBBC" w14:textId="77777777" w:rsidR="00E16B14" w:rsidRDefault="00E16B14" w:rsidP="00E16B14">
      <w:pPr>
        <w:pStyle w:val="SMText"/>
        <w:spacing w:line="480" w:lineRule="auto"/>
        <w:ind w:firstLine="0"/>
        <w:jc w:val="both"/>
      </w:pPr>
      <w:r w:rsidRPr="000B6ABB">
        <w:t>Acute stress was simulated by placing animals in mouse holders/restrainers (HLD-MM, Kent Scientific), without squeezing or compression, for up to 3 h (as either a single session or once daily for three days). This immobilization procedure is a common method to apply psychological stress due to perceived confinement</w:t>
      </w:r>
      <w:sdt>
        <w:sdtPr>
          <w:rPr>
            <w:color w:val="000000"/>
          </w:rPr>
          <w:alias w:val="SmartCite Citation"/>
          <w:tag w:val="ff3884c7-3c28-43ff-924b-6c20e2d633c0:6bf574c3-eac7-405b-9336-e6af595384a8,ff3884c7-3c28-43ff-924b-6c20e2d633c0:4fe0554d-efeb-4988-9e96-9f90fd1f7021,ff3884c7-3c28-43ff-924b-6c20e2d633c0:c07450eb-f27f-4528-b492-3542e3f004f4+"/>
          <w:id w:val="1894380645"/>
          <w:placeholder>
            <w:docPart w:val="8CF4CA7D9A8E3148AEF5C0ED68CE929F"/>
          </w:placeholder>
        </w:sdtPr>
        <w:sdtEndPr/>
        <w:sdtContent>
          <w:r w:rsidRPr="00455A40">
            <w:rPr>
              <w:color w:val="000000"/>
              <w:vertAlign w:val="superscript"/>
            </w:rPr>
            <w:t>20,40,47</w:t>
          </w:r>
        </w:sdtContent>
      </w:sdt>
      <w:r w:rsidRPr="000B6ABB">
        <w:t xml:space="preserve">. Mice were sacrificed up to 24 h after the final stress episode. Restraint stress procedures were never applied more often than once daily for 3 h on three consecutive days (3x3 h stress). Alternatively, acute stress was achieved by placing animals into cages containing a piece of filter paper on which 1 g of fox odor (2,5-Dihydro-2,4,5-trimethylthiazoline, </w:t>
      </w:r>
      <w:proofErr w:type="spellStart"/>
      <w:r w:rsidRPr="000B6ABB">
        <w:t>PheroTech</w:t>
      </w:r>
      <w:proofErr w:type="spellEnd"/>
      <w:r w:rsidRPr="000B6ABB">
        <w:t xml:space="preserve"> Inc., Delta, Canada) was applied. This method generates acute psychological stress by simulating the presence of a predator</w:t>
      </w:r>
      <w:sdt>
        <w:sdtPr>
          <w:rPr>
            <w:color w:val="000000"/>
          </w:rPr>
          <w:alias w:val="SmartCite Citation"/>
          <w:tag w:val="ff3884c7-3c28-43ff-924b-6c20e2d633c0:b7b59967-5ddc-4615-85f6-16a83b825542+"/>
          <w:id w:val="-771241580"/>
          <w:placeholder>
            <w:docPart w:val="8CF4CA7D9A8E3148AEF5C0ED68CE929F"/>
          </w:placeholder>
        </w:sdtPr>
        <w:sdtEndPr/>
        <w:sdtContent>
          <w:r w:rsidRPr="00455A40">
            <w:rPr>
              <w:color w:val="000000"/>
              <w:vertAlign w:val="superscript"/>
            </w:rPr>
            <w:t>48</w:t>
          </w:r>
        </w:sdtContent>
      </w:sdt>
      <w:r w:rsidRPr="000B6ABB">
        <w:t>. Predator-prey stress procedures were carried out once for 3 h.</w:t>
      </w:r>
    </w:p>
    <w:p w14:paraId="21BE6C4D" w14:textId="77777777" w:rsidR="00E16B14" w:rsidRDefault="00E16B14" w:rsidP="00E16B14">
      <w:pPr>
        <w:pStyle w:val="SMText"/>
        <w:spacing w:line="480" w:lineRule="auto"/>
        <w:ind w:firstLine="0"/>
        <w:jc w:val="both"/>
      </w:pPr>
    </w:p>
    <w:p w14:paraId="214D97DF" w14:textId="77777777" w:rsidR="00E16B14" w:rsidRPr="00BE441E" w:rsidRDefault="00E16B14" w:rsidP="00E16B14">
      <w:pPr>
        <w:spacing w:line="480" w:lineRule="auto"/>
        <w:jc w:val="both"/>
        <w:rPr>
          <w:b/>
        </w:rPr>
      </w:pPr>
      <w:r w:rsidRPr="00BE441E">
        <w:rPr>
          <w:b/>
        </w:rPr>
        <w:lastRenderedPageBreak/>
        <w:t>Intravital microscopy</w:t>
      </w:r>
    </w:p>
    <w:p w14:paraId="38C80DF2" w14:textId="77777777" w:rsidR="00E16B14" w:rsidRPr="00BE441E" w:rsidRDefault="00E16B14" w:rsidP="00E16B14">
      <w:pPr>
        <w:pStyle w:val="SMText"/>
        <w:spacing w:line="480" w:lineRule="auto"/>
        <w:ind w:firstLine="0"/>
        <w:jc w:val="both"/>
      </w:pPr>
      <w:r w:rsidRPr="00BE441E">
        <w:t xml:space="preserve">Intravital microscopy of the right carotid artery was performed in </w:t>
      </w:r>
      <w:proofErr w:type="spellStart"/>
      <w:r w:rsidRPr="00BE441E">
        <w:t>hypercholesterolimic</w:t>
      </w:r>
      <w:proofErr w:type="spellEnd"/>
      <w:r w:rsidRPr="00BE441E">
        <w:t xml:space="preserve"> </w:t>
      </w:r>
      <w:r w:rsidRPr="00BE441E">
        <w:rPr>
          <w:i/>
        </w:rPr>
        <w:t>Cx</w:t>
      </w:r>
      <w:r w:rsidRPr="00BE441E">
        <w:rPr>
          <w:i/>
          <w:vertAlign w:val="subscript"/>
        </w:rPr>
        <w:t>3</w:t>
      </w:r>
      <w:r w:rsidRPr="00BE441E">
        <w:rPr>
          <w:i/>
        </w:rPr>
        <w:t>cr1</w:t>
      </w:r>
      <w:r w:rsidRPr="00BE441E">
        <w:rPr>
          <w:i/>
          <w:vertAlign w:val="superscript"/>
        </w:rPr>
        <w:t>GFP/</w:t>
      </w:r>
      <w:proofErr w:type="spellStart"/>
      <w:r w:rsidRPr="00BE441E">
        <w:rPr>
          <w:i/>
          <w:vertAlign w:val="superscript"/>
        </w:rPr>
        <w:t>WT</w:t>
      </w:r>
      <w:r w:rsidRPr="00BE441E">
        <w:rPr>
          <w:i/>
        </w:rPr>
        <w:t>ApoE</w:t>
      </w:r>
      <w:proofErr w:type="spellEnd"/>
      <w:r w:rsidRPr="00BE441E">
        <w:rPr>
          <w:i/>
          <w:vertAlign w:val="superscript"/>
        </w:rPr>
        <w:t>-/-</w:t>
      </w:r>
      <w:r w:rsidRPr="00BE441E">
        <w:t xml:space="preserve"> mice (with GFP-labeled monocytes) after intravenous injection of Ly6G-PE antibody to label neutrophils (127608, clone 1A8, </w:t>
      </w:r>
      <w:proofErr w:type="spellStart"/>
      <w:r w:rsidRPr="00BE441E">
        <w:t>BioLegend</w:t>
      </w:r>
      <w:proofErr w:type="spellEnd"/>
      <w:r w:rsidRPr="00BE441E">
        <w:t>) as previously described</w:t>
      </w:r>
      <w:sdt>
        <w:sdtPr>
          <w:rPr>
            <w:color w:val="000000"/>
          </w:rPr>
          <w:alias w:val="SmartCite Citation"/>
          <w:tag w:val="ff3884c7-3c28-43ff-924b-6c20e2d633c0:602592a2-f53a-4153-9508-28aeaa5288c6+"/>
          <w:id w:val="-325284563"/>
          <w:placeholder>
            <w:docPart w:val="AD2468CFE6E9034295B112A34388FB34"/>
          </w:placeholder>
        </w:sdtPr>
        <w:sdtEndPr/>
        <w:sdtContent>
          <w:r w:rsidRPr="00455A40">
            <w:rPr>
              <w:color w:val="000000"/>
              <w:vertAlign w:val="superscript"/>
            </w:rPr>
            <w:t>49</w:t>
          </w:r>
        </w:sdtContent>
      </w:sdt>
      <w:r w:rsidRPr="00BE441E">
        <w:t xml:space="preserve">. CD11b-PE antibody to label all myeloid cells (101208, clone M1/70, </w:t>
      </w:r>
      <w:proofErr w:type="spellStart"/>
      <w:r w:rsidRPr="00BE441E">
        <w:t>BioLegend</w:t>
      </w:r>
      <w:proofErr w:type="spellEnd"/>
      <w:r w:rsidRPr="00BE441E">
        <w:t xml:space="preserve">) was also injected 15 min later. For imaging, an Olympus BX51 microscope with a Hamamatsu 9100-02 EMCCD camera and a 10X saline-immersion objective was used. To analyze leukocyte interactions with the endothelium, 30 s movies were acquired. In offline analysis, myeloid cells were considered adherent if they were permanently located at the same place during the recording. Recordings and analyses were performed in a blinded fashion. </w:t>
      </w:r>
    </w:p>
    <w:p w14:paraId="6DCBBEC6" w14:textId="77777777" w:rsidR="00E16B14" w:rsidRPr="00BE441E" w:rsidRDefault="00E16B14" w:rsidP="00E16B14">
      <w:pPr>
        <w:spacing w:line="480" w:lineRule="auto"/>
        <w:jc w:val="both"/>
      </w:pPr>
    </w:p>
    <w:p w14:paraId="3C62A52C" w14:textId="77777777" w:rsidR="00E16B14" w:rsidRPr="00BE441E" w:rsidRDefault="00E16B14" w:rsidP="00E16B14">
      <w:pPr>
        <w:spacing w:line="480" w:lineRule="auto"/>
        <w:rPr>
          <w:b/>
        </w:rPr>
      </w:pPr>
      <w:r w:rsidRPr="00BE441E">
        <w:rPr>
          <w:b/>
        </w:rPr>
        <w:t>Inducible carotid artery plaque rupture</w:t>
      </w:r>
    </w:p>
    <w:p w14:paraId="2F674A8C" w14:textId="77777777" w:rsidR="00E16B14" w:rsidRPr="00BE441E" w:rsidRDefault="00E16B14" w:rsidP="00E16B14">
      <w:pPr>
        <w:pStyle w:val="SMText"/>
        <w:spacing w:line="480" w:lineRule="auto"/>
        <w:ind w:firstLine="0"/>
        <w:jc w:val="both"/>
      </w:pPr>
      <w:r w:rsidRPr="00BE441E">
        <w:t xml:space="preserve">This experiment used 8-week-old male </w:t>
      </w:r>
      <w:proofErr w:type="spellStart"/>
      <w:r w:rsidRPr="00BE441E">
        <w:rPr>
          <w:i/>
        </w:rPr>
        <w:t>ApoE</w:t>
      </w:r>
      <w:proofErr w:type="spellEnd"/>
      <w:r w:rsidRPr="00BE441E">
        <w:rPr>
          <w:i/>
          <w:vertAlign w:val="superscript"/>
        </w:rPr>
        <w:t>-/-</w:t>
      </w:r>
      <w:r w:rsidRPr="00BE441E">
        <w:t xml:space="preserve"> mice. As previously described by </w:t>
      </w:r>
      <w:proofErr w:type="spellStart"/>
      <w:r w:rsidRPr="00BE441E">
        <w:t>Jin</w:t>
      </w:r>
      <w:proofErr w:type="spellEnd"/>
      <w:r w:rsidRPr="00BE441E">
        <w:t xml:space="preserve"> </w:t>
      </w:r>
      <w:r w:rsidRPr="00BE441E">
        <w:rPr>
          <w:i/>
        </w:rPr>
        <w:t>et al</w:t>
      </w:r>
      <w:r w:rsidRPr="00BE441E">
        <w:t>.</w:t>
      </w:r>
      <w:sdt>
        <w:sdtPr>
          <w:rPr>
            <w:color w:val="000000"/>
          </w:rPr>
          <w:alias w:val="SmartCite Citation"/>
          <w:tag w:val="ff3884c7-3c28-43ff-924b-6c20e2d633c0:d826daa5-6831-429d-bd33-e6d2b5704a34+"/>
          <w:id w:val="425305795"/>
          <w:placeholder>
            <w:docPart w:val="2C9351A62B8EEE4CA33479067AA021BC"/>
          </w:placeholder>
        </w:sdtPr>
        <w:sdtEndPr/>
        <w:sdtContent>
          <w:r w:rsidRPr="00455A40">
            <w:rPr>
              <w:color w:val="000000"/>
              <w:vertAlign w:val="superscript"/>
            </w:rPr>
            <w:t>24</w:t>
          </w:r>
        </w:sdtContent>
      </w:sdt>
      <w:r w:rsidRPr="00BE441E">
        <w:t xml:space="preserve">, the right common carotid artery was incompletely ligated proximal to the bifurcation under isoflurane anesthesia. Additionally, mice were fed HCD for 4 weeks to accelerate atherosclerotic lesion formation. Plaque rupture was provoked by placing a 300 and 150 </w:t>
      </w:r>
      <w:r w:rsidRPr="00BE441E">
        <w:rPr>
          <w:bCs/>
          <w:color w:val="050707"/>
        </w:rPr>
        <w:t>µ</w:t>
      </w:r>
      <w:r w:rsidRPr="00BE441E">
        <w:t>m diameter conical polyethylene cuff (</w:t>
      </w:r>
      <w:proofErr w:type="spellStart"/>
      <w:r w:rsidRPr="00BE441E">
        <w:t>Promolding</w:t>
      </w:r>
      <w:proofErr w:type="spellEnd"/>
      <w:r w:rsidRPr="00BE441E">
        <w:t xml:space="preserve">) under isoflurane anesthesia. Buprenorphine (0.1 mg/kg) was injected subcutaneously as an analgesic for both ligation and cuff placement. Control and stressed mice were analyzed on day 3 after cuff placement for carotid artery plaque rupture. Features of ruptured plaques were assessed via histology. </w:t>
      </w:r>
    </w:p>
    <w:p w14:paraId="28A3B43A" w14:textId="77777777" w:rsidR="00E16B14" w:rsidRPr="00BE441E" w:rsidRDefault="00E16B14" w:rsidP="00E16B14">
      <w:pPr>
        <w:pStyle w:val="SMText"/>
        <w:spacing w:line="480" w:lineRule="auto"/>
        <w:ind w:firstLine="0"/>
        <w:jc w:val="both"/>
      </w:pPr>
    </w:p>
    <w:p w14:paraId="2B45E6F8" w14:textId="77777777" w:rsidR="00E16B14" w:rsidRPr="00BE441E" w:rsidRDefault="00E16B14" w:rsidP="00E16B14">
      <w:pPr>
        <w:spacing w:line="480" w:lineRule="auto"/>
        <w:rPr>
          <w:b/>
        </w:rPr>
      </w:pPr>
      <w:r w:rsidRPr="00BE441E">
        <w:rPr>
          <w:b/>
        </w:rPr>
        <w:t>Invasive blood pressure and heart rate measurement</w:t>
      </w:r>
    </w:p>
    <w:p w14:paraId="33BA8007" w14:textId="77777777" w:rsidR="00E16B14" w:rsidRPr="00BE441E" w:rsidRDefault="00E16B14" w:rsidP="00E16B14">
      <w:pPr>
        <w:pStyle w:val="SMText"/>
        <w:spacing w:line="480" w:lineRule="auto"/>
        <w:ind w:firstLine="0"/>
        <w:jc w:val="both"/>
      </w:pPr>
      <w:r w:rsidRPr="00BE441E">
        <w:lastRenderedPageBreak/>
        <w:t>Telemetric transducers (PA-C10, Data Sciences) were implanted into the aortic arch via the left carotid under MMF anesthesia (midazolam 5.0 mg/kg BW; medetomidine 0.5 mg/kg BW; fentanyl 0.05 mg/kg BW). After a one-week recovery period, baseline heart rate and blood pressure measurements were performed for 1 d using the Dataquest ART analysis software. Afterwards, parameters were constantly measured during intermittent stress episodes (once daily for 3 h on three consecutive days) in 5-10 min intervals.</w:t>
      </w:r>
    </w:p>
    <w:p w14:paraId="14CE4E68" w14:textId="77777777" w:rsidR="00E16B14" w:rsidRPr="00BE441E" w:rsidRDefault="00E16B14" w:rsidP="00E16B14">
      <w:pPr>
        <w:spacing w:line="480" w:lineRule="auto"/>
        <w:jc w:val="both"/>
      </w:pPr>
    </w:p>
    <w:p w14:paraId="49A2B8A8" w14:textId="77777777" w:rsidR="00E16B14" w:rsidRPr="00BE441E" w:rsidRDefault="00E16B14" w:rsidP="00E16B14">
      <w:pPr>
        <w:spacing w:line="480" w:lineRule="auto"/>
        <w:rPr>
          <w:b/>
        </w:rPr>
      </w:pPr>
      <w:r w:rsidRPr="00BE441E">
        <w:rPr>
          <w:b/>
        </w:rPr>
        <w:t>Chemical depletion of sympathetic nervous fibers/noradrenaline</w:t>
      </w:r>
    </w:p>
    <w:p w14:paraId="0292ECD0" w14:textId="77777777" w:rsidR="00E16B14" w:rsidRPr="00BE441E" w:rsidRDefault="00E16B14" w:rsidP="00E16B14">
      <w:pPr>
        <w:pStyle w:val="SMText"/>
        <w:spacing w:line="480" w:lineRule="auto"/>
        <w:ind w:firstLine="0"/>
        <w:jc w:val="both"/>
      </w:pPr>
      <w:r w:rsidRPr="00BE441E">
        <w:t>6-hydroxydopamine (6-OHDA, 636-00-0, Sigma-Aldrich) was injected intraperitoneally to deplete sympathetic nervous fibers</w:t>
      </w:r>
      <w:sdt>
        <w:sdtPr>
          <w:alias w:val="SmartCite Citation"/>
          <w:tag w:val="ff3884c7-3c28-43ff-924b-6c20e2d633c0:0226f230-d0fd-4215-a521-4844a5ffc1b9+"/>
          <w:id w:val="-888255423"/>
          <w:placeholder>
            <w:docPart w:val="C2096C7DDF2B754FA698EBC0E727D7F1"/>
          </w:placeholder>
        </w:sdtPr>
        <w:sdtEndPr/>
        <w:sdtContent>
          <w:r w:rsidRPr="00455A40">
            <w:rPr>
              <w:color w:val="000000"/>
              <w:vertAlign w:val="superscript"/>
            </w:rPr>
            <w:t>28</w:t>
          </w:r>
        </w:sdtContent>
      </w:sdt>
      <w:r w:rsidRPr="00BE441E">
        <w:t xml:space="preserve">. Mice received a dose of 100 mg/kg body weight (BW) six days and another dose of 250 mg/kg BW four </w:t>
      </w:r>
      <w:proofErr w:type="gramStart"/>
      <w:r w:rsidRPr="00BE441E">
        <w:t>days</w:t>
      </w:r>
      <w:proofErr w:type="gramEnd"/>
      <w:r w:rsidRPr="00BE441E">
        <w:t xml:space="preserve"> before stress exposure.</w:t>
      </w:r>
    </w:p>
    <w:p w14:paraId="59938AA1" w14:textId="77777777" w:rsidR="00E16B14" w:rsidRPr="00BE441E" w:rsidRDefault="00E16B14" w:rsidP="00E16B14">
      <w:pPr>
        <w:spacing w:line="480" w:lineRule="auto"/>
      </w:pPr>
    </w:p>
    <w:p w14:paraId="0C3A1CA2" w14:textId="77777777" w:rsidR="00E16B14" w:rsidRPr="00BE441E" w:rsidRDefault="00E16B14" w:rsidP="00E16B14">
      <w:pPr>
        <w:spacing w:line="480" w:lineRule="auto"/>
        <w:rPr>
          <w:b/>
        </w:rPr>
      </w:pPr>
      <w:r w:rsidRPr="00BE441E">
        <w:rPr>
          <w:b/>
        </w:rPr>
        <w:t>Surgical depletion of sympathetic nervous fibers</w:t>
      </w:r>
    </w:p>
    <w:p w14:paraId="2C692AAD" w14:textId="77777777" w:rsidR="00E16B14" w:rsidRPr="00BE441E" w:rsidRDefault="00E16B14" w:rsidP="00E16B14">
      <w:pPr>
        <w:pStyle w:val="SMText"/>
        <w:spacing w:line="480" w:lineRule="auto"/>
        <w:ind w:firstLine="0"/>
        <w:jc w:val="both"/>
      </w:pPr>
      <w:r w:rsidRPr="00BE441E">
        <w:t>The cardiac plexus is a network of nerves that innervates the heart and the aortic arch around which it is located</w:t>
      </w:r>
      <w:sdt>
        <w:sdtPr>
          <w:rPr>
            <w:color w:val="000000"/>
          </w:rPr>
          <w:alias w:val="SmartCite Citation"/>
          <w:tag w:val="ff3884c7-3c28-43ff-924b-6c20e2d633c0:1729739c-411f-427b-8bfb-ba934ecd18ba+"/>
          <w:id w:val="-1850704836"/>
          <w:placeholder>
            <w:docPart w:val="469542099F0E3D4B95F85E1DAFA2E080"/>
          </w:placeholder>
        </w:sdtPr>
        <w:sdtEndPr/>
        <w:sdtContent>
          <w:r w:rsidRPr="00455A40">
            <w:rPr>
              <w:color w:val="000000"/>
              <w:vertAlign w:val="superscript"/>
            </w:rPr>
            <w:t>50</w:t>
          </w:r>
        </w:sdtContent>
      </w:sdt>
      <w:r w:rsidRPr="00BE441E">
        <w:t>. Both left and right superior cervical ganglia supply sympathetic input to the cardiac plexus</w:t>
      </w:r>
      <w:sdt>
        <w:sdtPr>
          <w:rPr>
            <w:color w:val="000000"/>
          </w:rPr>
          <w:alias w:val="SmartCite Citation"/>
          <w:tag w:val="ff3884c7-3c28-43ff-924b-6c20e2d633c0:2a2e20b5-14d2-46de-8be9-f27bab56190f+"/>
          <w:id w:val="815927645"/>
          <w:placeholder>
            <w:docPart w:val="469542099F0E3D4B95F85E1DAFA2E080"/>
          </w:placeholder>
        </w:sdtPr>
        <w:sdtEndPr/>
        <w:sdtContent>
          <w:r w:rsidRPr="00455A40">
            <w:rPr>
              <w:color w:val="000000"/>
              <w:vertAlign w:val="superscript"/>
            </w:rPr>
            <w:t>51</w:t>
          </w:r>
        </w:sdtContent>
      </w:sdt>
      <w:r w:rsidRPr="00BE441E">
        <w:t>. Mice were anesthetized using MMF, and a vertical neck incision was made to localize the carotid bifurcation. The superior cervical ganglion (SCG, part of the cervical sympathetic ganglia) was identified beneath the carotid bifurcation and excised bilaterally as previously described</w:t>
      </w:r>
      <w:sdt>
        <w:sdtPr>
          <w:rPr>
            <w:color w:val="000000"/>
          </w:rPr>
          <w:alias w:val="SmartCite Citation"/>
          <w:tag w:val="ff3884c7-3c28-43ff-924b-6c20e2d633c0:6838220d-6042-458e-8cb3-77529d3c9fff+"/>
          <w:id w:val="396870017"/>
          <w:placeholder>
            <w:docPart w:val="469542099F0E3D4B95F85E1DAFA2E080"/>
          </w:placeholder>
        </w:sdtPr>
        <w:sdtEndPr/>
        <w:sdtContent>
          <w:r w:rsidRPr="00455A40">
            <w:rPr>
              <w:color w:val="000000"/>
              <w:vertAlign w:val="superscript"/>
            </w:rPr>
            <w:t>29</w:t>
          </w:r>
        </w:sdtContent>
      </w:sdt>
      <w:r w:rsidRPr="00BE441E">
        <w:t>. Half of the animals underwent sham surgery (without final excision of the SCG). Mice were left to recover for two weeks after surgery.</w:t>
      </w:r>
    </w:p>
    <w:p w14:paraId="5996EEAF" w14:textId="77777777" w:rsidR="00E16B14" w:rsidRPr="00BE441E" w:rsidRDefault="00E16B14" w:rsidP="00E16B14">
      <w:pPr>
        <w:pStyle w:val="SMText"/>
        <w:spacing w:line="480" w:lineRule="auto"/>
        <w:ind w:firstLine="0"/>
        <w:jc w:val="both"/>
      </w:pPr>
    </w:p>
    <w:p w14:paraId="0E4FA67D" w14:textId="77777777" w:rsidR="00E16B14" w:rsidRPr="00BE441E" w:rsidRDefault="00E16B14" w:rsidP="00E16B14">
      <w:pPr>
        <w:spacing w:line="480" w:lineRule="auto"/>
        <w:rPr>
          <w:b/>
        </w:rPr>
      </w:pPr>
      <w:r w:rsidRPr="00BE441E">
        <w:rPr>
          <w:b/>
        </w:rPr>
        <w:t>Surgical adrenalectomy</w:t>
      </w:r>
    </w:p>
    <w:p w14:paraId="20B2C701" w14:textId="77777777" w:rsidR="00E16B14" w:rsidRPr="00BE441E" w:rsidRDefault="00E16B14" w:rsidP="00E16B14">
      <w:pPr>
        <w:pStyle w:val="SMText"/>
        <w:spacing w:line="480" w:lineRule="auto"/>
        <w:ind w:firstLine="0"/>
        <w:jc w:val="both"/>
        <w:rPr>
          <w:color w:val="000000" w:themeColor="text1"/>
        </w:rPr>
      </w:pPr>
      <w:r w:rsidRPr="00BE441E">
        <w:lastRenderedPageBreak/>
        <w:t>Adrenalectomized mice (all C57BL/6J mice, removal of both adrenal glands) were purchased from Charles River and received saline (0.9%) as drinking water. Half of the animals underwent sham surgery. Mice were left to recover for ten days after surgery.</w:t>
      </w:r>
    </w:p>
    <w:p w14:paraId="058930AE" w14:textId="77777777" w:rsidR="00E16B14" w:rsidRPr="00BE441E" w:rsidRDefault="00E16B14" w:rsidP="00E16B14">
      <w:pPr>
        <w:pStyle w:val="SMText"/>
        <w:spacing w:line="480" w:lineRule="auto"/>
        <w:ind w:firstLine="0"/>
        <w:jc w:val="both"/>
      </w:pPr>
    </w:p>
    <w:p w14:paraId="7B1D4957" w14:textId="77777777" w:rsidR="00E16B14" w:rsidRPr="00BE441E" w:rsidRDefault="00E16B14" w:rsidP="00E16B14">
      <w:pPr>
        <w:spacing w:line="480" w:lineRule="auto"/>
        <w:jc w:val="both"/>
        <w:rPr>
          <w:b/>
          <w:color w:val="000000" w:themeColor="text1"/>
        </w:rPr>
      </w:pPr>
      <w:r w:rsidRPr="00BE441E">
        <w:rPr>
          <w:b/>
          <w:color w:val="000000" w:themeColor="text1"/>
        </w:rPr>
        <w:t>Intervention with anti-CXCL1 and anti-CCL7</w:t>
      </w:r>
    </w:p>
    <w:p w14:paraId="2D938F69" w14:textId="77777777" w:rsidR="00E16B14" w:rsidRPr="00BE441E" w:rsidRDefault="00E16B14" w:rsidP="00E16B14">
      <w:pPr>
        <w:pStyle w:val="SMText"/>
        <w:spacing w:line="480" w:lineRule="auto"/>
        <w:ind w:firstLine="0"/>
        <w:jc w:val="both"/>
      </w:pPr>
      <w:r w:rsidRPr="00BE441E">
        <w:t xml:space="preserve">Animals were injected intravenously either with anti-CXCL1 and anti-CCL7 (AF-456-NA and AF-453-NA, 20 </w:t>
      </w:r>
      <w:r w:rsidRPr="00BE441E">
        <w:rPr>
          <w:bCs/>
        </w:rPr>
        <w:t>µg</w:t>
      </w:r>
      <w:r w:rsidRPr="00BE441E">
        <w:t xml:space="preserve"> each, R&amp;D) or an IgG control (AB-108-C, R&amp;D) under isoflurane anesthesia 30 min prior to stress exposure. Tissues were harvested 21 h after stress exposure ended.</w:t>
      </w:r>
    </w:p>
    <w:p w14:paraId="10F16BEA" w14:textId="77777777" w:rsidR="00E16B14" w:rsidRPr="00BE441E" w:rsidRDefault="00E16B14" w:rsidP="00E16B14">
      <w:pPr>
        <w:spacing w:line="480" w:lineRule="auto"/>
        <w:jc w:val="both"/>
        <w:rPr>
          <w:color w:val="000000" w:themeColor="text1"/>
        </w:rPr>
      </w:pPr>
    </w:p>
    <w:p w14:paraId="18C5AF66" w14:textId="77777777" w:rsidR="00E16B14" w:rsidRPr="00BE441E" w:rsidRDefault="00E16B14" w:rsidP="00E16B14">
      <w:pPr>
        <w:spacing w:line="480" w:lineRule="auto"/>
        <w:rPr>
          <w:b/>
        </w:rPr>
      </w:pPr>
      <w:r w:rsidRPr="00BE441E">
        <w:rPr>
          <w:b/>
        </w:rPr>
        <w:t>Tissue processing</w:t>
      </w:r>
    </w:p>
    <w:p w14:paraId="72E6A927" w14:textId="77777777" w:rsidR="00E16B14" w:rsidRPr="00BE441E" w:rsidRDefault="00E16B14" w:rsidP="00E16B14">
      <w:pPr>
        <w:pStyle w:val="SMText"/>
        <w:spacing w:line="480" w:lineRule="auto"/>
        <w:ind w:firstLine="0"/>
        <w:jc w:val="both"/>
      </w:pPr>
      <w:r w:rsidRPr="00BE441E">
        <w:t>Peripheral blood samples underwent red blood cell lysis in 1X RBC lysis buffer (</w:t>
      </w:r>
      <w:proofErr w:type="spellStart"/>
      <w:r w:rsidRPr="00BE441E">
        <w:t>BioLegend</w:t>
      </w:r>
      <w:proofErr w:type="spellEnd"/>
      <w:r w:rsidRPr="00BE441E">
        <w:t>) for 5 min. After the reaction was stopped, the samples were resuspended in FACS buffer (PBS containing 0.5 % bovine serum albumin, Sigma). Flushed bone marrow was triturated and filtered through a 40</w:t>
      </w:r>
      <w:r w:rsidRPr="00BE441E">
        <w:rPr>
          <w:bCs/>
          <w:color w:val="050707"/>
        </w:rPr>
        <w:t xml:space="preserve"> µ</w:t>
      </w:r>
      <w:r w:rsidRPr="00BE441E">
        <w:t>m cell strainer. Excised spleens and inguinal lymph nodes were plunged through a 40</w:t>
      </w:r>
      <w:r w:rsidRPr="00BE441E">
        <w:rPr>
          <w:bCs/>
          <w:color w:val="050707"/>
        </w:rPr>
        <w:t xml:space="preserve"> µ</w:t>
      </w:r>
      <w:r w:rsidRPr="00BE441E">
        <w:t xml:space="preserve">m cell strainer and collected in FACS buffer. For the flow cytometric analysis of aortic leukocytes, aortas were excised while removing perivascular fat and other tissue, minced, and digested in digestion buffer (collagenase I, 450 U/ml; collagenase XI, 125 U/ml; DNase I, 60 U/ml; hyaluronidase, 60 U/ml; all Sigma-Aldrich) at 37 </w:t>
      </w:r>
      <w:r w:rsidRPr="00BE441E">
        <w:sym w:font="Symbol" w:char="F0B0"/>
      </w:r>
      <w:r w:rsidRPr="00BE441E">
        <w:t xml:space="preserve">C at 750 rpm for 1 h on a </w:t>
      </w:r>
      <w:proofErr w:type="spellStart"/>
      <w:r w:rsidRPr="00BE441E">
        <w:t>thermoshaker</w:t>
      </w:r>
      <w:proofErr w:type="spellEnd"/>
      <w:r w:rsidRPr="00BE441E">
        <w:t xml:space="preserve">. The same digestion protocol was used for lung, skin, heart, kidney, and liver. All digested organs were then processed through a 40 </w:t>
      </w:r>
      <w:r w:rsidRPr="00BE441E">
        <w:rPr>
          <w:bCs/>
          <w:color w:val="050707"/>
        </w:rPr>
        <w:t>µ</w:t>
      </w:r>
      <w:r w:rsidRPr="00BE441E">
        <w:t xml:space="preserve">m cell strainer, centrifuged, and resuspended to generate single cell suspensions. For fluorescence-activated sorting of aortic endothelial cells, aortas were excised, minced, and digested in DNase I (250 U/ml) and collagenase IV (10 mg/ml, Worthington Biochemical Corporation) at 37 </w:t>
      </w:r>
      <w:r w:rsidRPr="00BE441E">
        <w:sym w:font="Symbol" w:char="F0B0"/>
      </w:r>
      <w:r w:rsidRPr="00BE441E">
        <w:t xml:space="preserve">C at 750 rpm for 40 min. For fluorescence-activated sorting of </w:t>
      </w:r>
      <w:r w:rsidRPr="00BE441E">
        <w:lastRenderedPageBreak/>
        <w:t xml:space="preserve">different aortic cell populations, atherosclerotic aortas were excised, minced, and digested in DNase I (250 U/ml), collagenase II (280 U/ml, Worthington Biochemical Corporation), collagenase IV (215 U/ml, Worthington Biochemical Corporation) and </w:t>
      </w:r>
      <w:proofErr w:type="spellStart"/>
      <w:r w:rsidRPr="00BE441E">
        <w:t>dispase</w:t>
      </w:r>
      <w:proofErr w:type="spellEnd"/>
      <w:r w:rsidRPr="00BE441E">
        <w:t xml:space="preserve"> (1.2 U/ml, Gibco) at 37 </w:t>
      </w:r>
      <w:r w:rsidRPr="00BE441E">
        <w:sym w:font="Symbol" w:char="F0B0"/>
      </w:r>
      <w:r w:rsidRPr="00BE441E">
        <w:t>C at 750 rpm for 1 h.</w:t>
      </w:r>
    </w:p>
    <w:p w14:paraId="15F439DA" w14:textId="77777777" w:rsidR="00E16B14" w:rsidRPr="00BE441E" w:rsidRDefault="00E16B14" w:rsidP="00E16B14">
      <w:pPr>
        <w:spacing w:line="480" w:lineRule="auto"/>
        <w:jc w:val="both"/>
      </w:pPr>
    </w:p>
    <w:p w14:paraId="555C1D43" w14:textId="77777777" w:rsidR="00E16B14" w:rsidRPr="00BE441E" w:rsidRDefault="00E16B14" w:rsidP="00E16B14">
      <w:pPr>
        <w:spacing w:line="480" w:lineRule="auto"/>
        <w:rPr>
          <w:b/>
        </w:rPr>
      </w:pPr>
      <w:r w:rsidRPr="00BE441E">
        <w:rPr>
          <w:b/>
        </w:rPr>
        <w:t xml:space="preserve">Flow cytometry </w:t>
      </w:r>
    </w:p>
    <w:p w14:paraId="49DB6E9A" w14:textId="77777777" w:rsidR="00E16B14" w:rsidRPr="00BE441E" w:rsidRDefault="00E16B14" w:rsidP="00E16B14">
      <w:pPr>
        <w:pStyle w:val="SMText"/>
        <w:spacing w:line="480" w:lineRule="auto"/>
        <w:ind w:firstLine="0"/>
        <w:jc w:val="both"/>
        <w:rPr>
          <w:szCs w:val="24"/>
        </w:rPr>
      </w:pPr>
      <w:r w:rsidRPr="00BE441E">
        <w:t xml:space="preserve">All staining was conducted at 4 </w:t>
      </w:r>
      <w:r w:rsidRPr="00BE441E">
        <w:sym w:font="Symbol" w:char="F0B0"/>
      </w:r>
      <w:r w:rsidRPr="00BE441E">
        <w:t>C in 300</w:t>
      </w:r>
      <w:r w:rsidRPr="00BE441E">
        <w:rPr>
          <w:bCs/>
          <w:color w:val="050707"/>
        </w:rPr>
        <w:t xml:space="preserve"> µ</w:t>
      </w:r>
      <w:r w:rsidRPr="00BE441E">
        <w:t>l FACS buffer. For myeloid cell analysis, cells were first stained with mouse hematopoietic lineage markers including phycoerythrin (PE) anti-mouse antibodies directed against B220 (103208, clone RA3-6B2), CD90.2 (140308, clone 53-2.1, 1:3000 dilution), CD49b (108908, clone DX5, 1:1200 dilution), NK1.1 (108708, clone PK136), Ter-119 (116208, clone TER-119), and Ly6G-PE (127608, clone 1A8). This was followed by a second staining for CD45.2-PerCP/Cy5.5 (109828, clone 104, 1:300), CD11b-APC/Cy7 (101226, clone M1/70), CD115-BV711 or CD115-biotin (</w:t>
      </w:r>
      <w:r w:rsidRPr="00BE441E">
        <w:rPr>
          <w:szCs w:val="24"/>
        </w:rPr>
        <w:t>135515 or 135508, clone AFS98; streptavidin-BV510 (405234, 1:300) was used for secondary labelling of CD115-biotin),</w:t>
      </w:r>
      <w:r w:rsidRPr="00BE441E">
        <w:t xml:space="preserve"> F4/80-PE/Cy7 (123114, clone BM8), and Ly6C-FITC or Ly6C-BV421 (128006 or 128032, clone HK1.4, 1:600 dilutions unless indicated otherwise, all </w:t>
      </w:r>
      <w:proofErr w:type="spellStart"/>
      <w:r w:rsidRPr="00BE441E">
        <w:t>BioLegend</w:t>
      </w:r>
      <w:proofErr w:type="spellEnd"/>
      <w:r w:rsidRPr="00BE441E">
        <w:t>). In every analysis, cells were gated on viable (FSC-A vs. SSC-A) and single (FSC-A vs. FSC-W and SSC-A vs. SSC-W) cells. Neutrophils were identified as lineage</w:t>
      </w:r>
      <w:r w:rsidRPr="00BE441E">
        <w:rPr>
          <w:vertAlign w:val="superscript"/>
        </w:rPr>
        <w:t>high</w:t>
      </w:r>
      <w:r w:rsidRPr="00BE441E">
        <w:t>CD45.2</w:t>
      </w:r>
      <w:r w:rsidRPr="00BE441E">
        <w:rPr>
          <w:position w:val="4"/>
          <w:vertAlign w:val="superscript"/>
        </w:rPr>
        <w:t>high</w:t>
      </w:r>
      <w:r w:rsidRPr="00BE441E">
        <w:t>CD11b</w:t>
      </w:r>
      <w:r w:rsidRPr="00BE441E">
        <w:rPr>
          <w:position w:val="4"/>
          <w:vertAlign w:val="superscript"/>
        </w:rPr>
        <w:t>high</w:t>
      </w:r>
      <w:r w:rsidRPr="00BE441E">
        <w:t>CD115</w:t>
      </w:r>
      <w:r w:rsidRPr="00BE441E">
        <w:rPr>
          <w:position w:val="4"/>
          <w:vertAlign w:val="superscript"/>
        </w:rPr>
        <w:t>low</w:t>
      </w:r>
      <w:r w:rsidRPr="00BE441E">
        <w:t>Ly6C</w:t>
      </w:r>
      <w:r w:rsidRPr="00BE441E">
        <w:rPr>
          <w:position w:val="4"/>
          <w:vertAlign w:val="superscript"/>
        </w:rPr>
        <w:t>intermediate</w:t>
      </w:r>
      <w:r w:rsidRPr="00BE441E">
        <w:t>. Monocytes were identified as lineage</w:t>
      </w:r>
      <w:r w:rsidRPr="00BE441E">
        <w:rPr>
          <w:vertAlign w:val="superscript"/>
        </w:rPr>
        <w:t>low</w:t>
      </w:r>
      <w:r w:rsidRPr="00BE441E">
        <w:t>CD45.2</w:t>
      </w:r>
      <w:r w:rsidRPr="00BE441E">
        <w:rPr>
          <w:position w:val="4"/>
          <w:vertAlign w:val="superscript"/>
        </w:rPr>
        <w:t>high</w:t>
      </w:r>
      <w:r w:rsidRPr="00BE441E">
        <w:t>CD11b</w:t>
      </w:r>
      <w:r w:rsidRPr="00BE441E">
        <w:rPr>
          <w:position w:val="4"/>
          <w:vertAlign w:val="superscript"/>
        </w:rPr>
        <w:t>high</w:t>
      </w:r>
      <w:r w:rsidRPr="00BE441E">
        <w:t>F4/80</w:t>
      </w:r>
      <w:r w:rsidRPr="00BE441E">
        <w:rPr>
          <w:position w:val="4"/>
          <w:vertAlign w:val="superscript"/>
        </w:rPr>
        <w:t>low</w:t>
      </w:r>
      <w:r w:rsidRPr="00BE441E">
        <w:t>Ly6C</w:t>
      </w:r>
      <w:r w:rsidRPr="00BE441E">
        <w:rPr>
          <w:position w:val="4"/>
          <w:vertAlign w:val="superscript"/>
        </w:rPr>
        <w:t xml:space="preserve">high/low </w:t>
      </w:r>
      <w:r w:rsidRPr="00BE441E">
        <w:t>or lineage</w:t>
      </w:r>
      <w:r w:rsidRPr="00BE441E">
        <w:rPr>
          <w:vertAlign w:val="superscript"/>
        </w:rPr>
        <w:t>low</w:t>
      </w:r>
      <w:r w:rsidRPr="00BE441E">
        <w:t>CD45.2</w:t>
      </w:r>
      <w:r w:rsidRPr="00BE441E">
        <w:rPr>
          <w:position w:val="4"/>
          <w:vertAlign w:val="superscript"/>
        </w:rPr>
        <w:t>high</w:t>
      </w:r>
      <w:r w:rsidRPr="00BE441E">
        <w:t>CD11b</w:t>
      </w:r>
      <w:r w:rsidRPr="00BE441E">
        <w:rPr>
          <w:position w:val="4"/>
          <w:vertAlign w:val="superscript"/>
        </w:rPr>
        <w:t>high</w:t>
      </w:r>
      <w:r w:rsidRPr="00BE441E">
        <w:t>CD115</w:t>
      </w:r>
      <w:r w:rsidRPr="00BE441E">
        <w:rPr>
          <w:position w:val="4"/>
          <w:vertAlign w:val="superscript"/>
        </w:rPr>
        <w:t>high</w:t>
      </w:r>
      <w:r w:rsidRPr="00BE441E">
        <w:t>Ly6C</w:t>
      </w:r>
      <w:r w:rsidRPr="00BE441E">
        <w:rPr>
          <w:position w:val="4"/>
          <w:vertAlign w:val="superscript"/>
        </w:rPr>
        <w:t>high/low</w:t>
      </w:r>
      <w:r w:rsidRPr="00BE441E">
        <w:t>. Macrophages were identified as lineage</w:t>
      </w:r>
      <w:r w:rsidRPr="00BE441E">
        <w:rPr>
          <w:vertAlign w:val="superscript"/>
        </w:rPr>
        <w:t>low</w:t>
      </w:r>
      <w:r w:rsidRPr="00BE441E">
        <w:t>CD45.2</w:t>
      </w:r>
      <w:r w:rsidRPr="00BE441E">
        <w:rPr>
          <w:position w:val="4"/>
          <w:vertAlign w:val="superscript"/>
        </w:rPr>
        <w:t>high</w:t>
      </w:r>
      <w:r w:rsidRPr="00BE441E">
        <w:t>CD11b</w:t>
      </w:r>
      <w:r w:rsidRPr="00BE441E">
        <w:rPr>
          <w:position w:val="4"/>
          <w:vertAlign w:val="superscript"/>
        </w:rPr>
        <w:t>high</w:t>
      </w:r>
      <w:r w:rsidRPr="00BE441E">
        <w:t>Ly6C</w:t>
      </w:r>
      <w:r w:rsidRPr="00BE441E">
        <w:rPr>
          <w:position w:val="4"/>
          <w:vertAlign w:val="superscript"/>
        </w:rPr>
        <w:t>low/intermediate</w:t>
      </w:r>
      <w:r w:rsidRPr="00BE441E">
        <w:t>F4/80</w:t>
      </w:r>
      <w:r w:rsidRPr="00BE441E">
        <w:rPr>
          <w:position w:val="4"/>
          <w:vertAlign w:val="superscript"/>
        </w:rPr>
        <w:t>high</w:t>
      </w:r>
      <w:r w:rsidRPr="00BE441E">
        <w:t xml:space="preserve">. For </w:t>
      </w:r>
      <w:r w:rsidRPr="00BE441E">
        <w:rPr>
          <w:i/>
        </w:rPr>
        <w:t>in vivo</w:t>
      </w:r>
      <w:r w:rsidRPr="00BE441E">
        <w:t xml:space="preserve"> staining of circulating blood leukocytes, we additionally injected an antibody directed against CD45-BV605 (103140, clone </w:t>
      </w:r>
      <w:r w:rsidRPr="00BE441E">
        <w:rPr>
          <w:szCs w:val="24"/>
        </w:rPr>
        <w:t>30-F11, 1:10 in 100</w:t>
      </w:r>
      <w:r w:rsidRPr="00BE441E">
        <w:rPr>
          <w:bCs/>
          <w:color w:val="050707"/>
          <w:szCs w:val="24"/>
        </w:rPr>
        <w:t xml:space="preserve"> µ</w:t>
      </w:r>
      <w:r w:rsidRPr="00BE441E">
        <w:rPr>
          <w:szCs w:val="24"/>
        </w:rPr>
        <w:t xml:space="preserve">l PBS, </w:t>
      </w:r>
      <w:proofErr w:type="spellStart"/>
      <w:r w:rsidRPr="00BE441E">
        <w:rPr>
          <w:szCs w:val="24"/>
        </w:rPr>
        <w:t>BioLegend</w:t>
      </w:r>
      <w:proofErr w:type="spellEnd"/>
      <w:r w:rsidRPr="00BE441E">
        <w:rPr>
          <w:szCs w:val="24"/>
        </w:rPr>
        <w:t xml:space="preserve">) intravenously 5 min before euthanizing the animals. For </w:t>
      </w:r>
      <w:r w:rsidRPr="00BE441E">
        <w:rPr>
          <w:szCs w:val="24"/>
        </w:rPr>
        <w:lastRenderedPageBreak/>
        <w:t xml:space="preserve">blood lymphoid cell analysis, cells were stained for CD3-BV421 (100227, clone 17A2), CD19-BV605 (115539, clone 6D5), Ly6C-FITC (128006, clone HK1.4), and CD115-PerCP/Cy5.5 (135525, clone AFS98, all 1:600 dilutions, all </w:t>
      </w:r>
      <w:proofErr w:type="spellStart"/>
      <w:r w:rsidRPr="00BE441E">
        <w:rPr>
          <w:szCs w:val="24"/>
        </w:rPr>
        <w:t>Biolegend</w:t>
      </w:r>
      <w:proofErr w:type="spellEnd"/>
      <w:r w:rsidRPr="00BE441E">
        <w:rPr>
          <w:szCs w:val="24"/>
        </w:rPr>
        <w:t>). B cells were identified as CD19</w:t>
      </w:r>
      <w:r w:rsidRPr="00BE441E">
        <w:rPr>
          <w:szCs w:val="24"/>
          <w:vertAlign w:val="superscript"/>
        </w:rPr>
        <w:t>high</w:t>
      </w:r>
      <w:r w:rsidRPr="00BE441E">
        <w:rPr>
          <w:szCs w:val="24"/>
        </w:rPr>
        <w:t>CD3</w:t>
      </w:r>
      <w:r w:rsidRPr="00BE441E">
        <w:rPr>
          <w:position w:val="4"/>
          <w:szCs w:val="24"/>
          <w:vertAlign w:val="superscript"/>
        </w:rPr>
        <w:t>low</w:t>
      </w:r>
      <w:r w:rsidRPr="00BE441E">
        <w:rPr>
          <w:szCs w:val="24"/>
        </w:rPr>
        <w:t xml:space="preserve"> and T cells as CD19</w:t>
      </w:r>
      <w:r w:rsidRPr="00BE441E">
        <w:rPr>
          <w:szCs w:val="24"/>
          <w:vertAlign w:val="superscript"/>
        </w:rPr>
        <w:t>low</w:t>
      </w:r>
      <w:r w:rsidRPr="00BE441E">
        <w:rPr>
          <w:szCs w:val="24"/>
        </w:rPr>
        <w:t>CD3</w:t>
      </w:r>
      <w:r w:rsidRPr="00BE441E">
        <w:rPr>
          <w:position w:val="4"/>
          <w:szCs w:val="24"/>
          <w:vertAlign w:val="superscript"/>
        </w:rPr>
        <w:t>high</w:t>
      </w:r>
      <w:r w:rsidRPr="00BE441E">
        <w:rPr>
          <w:szCs w:val="24"/>
        </w:rPr>
        <w:t>.</w:t>
      </w:r>
    </w:p>
    <w:p w14:paraId="022EECEE" w14:textId="77777777" w:rsidR="00E16B14" w:rsidRPr="00BE441E" w:rsidRDefault="00E16B14" w:rsidP="00E16B14">
      <w:pPr>
        <w:pStyle w:val="SMText"/>
        <w:spacing w:line="480" w:lineRule="auto"/>
        <w:ind w:firstLine="0"/>
        <w:jc w:val="both"/>
        <w:rPr>
          <w:szCs w:val="24"/>
        </w:rPr>
      </w:pPr>
      <w:r w:rsidRPr="00BE441E">
        <w:rPr>
          <w:szCs w:val="24"/>
        </w:rPr>
        <w:t>To stain aortic endothelial cells, we used</w:t>
      </w:r>
      <w:r w:rsidRPr="00BE441E">
        <w:t xml:space="preserve"> antibodies against CD54-APC (ICAM1) (116120, clone YN1/1.7.4, 1:600), CD102-biotin (ICAM2) (105604, clone 3C4, 1:600), CD106-PE/Cy7 (VCAM1) (105720, clone 429, 1:300), CD62E-PE (E-Selectin) (553751, clone 10E9.6, 1:300, BD Bioscience), CD62P-FITC (P-Selectin) (553744, clone RB40.34, 1:300, BD Bioscience), CD31-BV421 (102424, clone 390, 1:600), CD107a-APC/Cy7 (LAMP1) (121616, clone 1D4B, 1:300), and CD45.2-PerCP/Cy5.5 (109828, clone 104, 1:300, all </w:t>
      </w:r>
      <w:proofErr w:type="spellStart"/>
      <w:r w:rsidRPr="00BE441E">
        <w:t>BioLegend</w:t>
      </w:r>
      <w:proofErr w:type="spellEnd"/>
      <w:r w:rsidRPr="00BE441E">
        <w:t xml:space="preserve"> unless indicated otherwise). Streptavidin-BV510 (405234, 1:300, </w:t>
      </w:r>
      <w:proofErr w:type="spellStart"/>
      <w:r w:rsidRPr="00BE441E">
        <w:t>BioLegend</w:t>
      </w:r>
      <w:proofErr w:type="spellEnd"/>
      <w:r w:rsidRPr="00BE441E">
        <w:t>) was used to label biotinylated antibodies. Endothelial cells were identified as CD45.2</w:t>
      </w:r>
      <w:r w:rsidRPr="00BE441E">
        <w:rPr>
          <w:position w:val="4"/>
          <w:vertAlign w:val="superscript"/>
        </w:rPr>
        <w:t>low</w:t>
      </w:r>
      <w:r w:rsidRPr="00BE441E">
        <w:t>, CD31</w:t>
      </w:r>
      <w:r w:rsidRPr="00BE441E">
        <w:rPr>
          <w:position w:val="4"/>
          <w:vertAlign w:val="superscript"/>
        </w:rPr>
        <w:t>high</w:t>
      </w:r>
      <w:r w:rsidRPr="00BE441E">
        <w:t>, and CD107a</w:t>
      </w:r>
      <w:r w:rsidRPr="00BE441E">
        <w:rPr>
          <w:position w:val="4"/>
          <w:vertAlign w:val="superscript"/>
        </w:rPr>
        <w:t>intermediate/high</w:t>
      </w:r>
      <w:r w:rsidRPr="00BE441E">
        <w:t xml:space="preserve">. For staining of cultivated murine aortic endothelial cells, we used antibodies mentioned above, except for CD45.2. </w:t>
      </w:r>
      <w:r w:rsidRPr="00BE441E">
        <w:rPr>
          <w:szCs w:val="24"/>
        </w:rPr>
        <w:t xml:space="preserve">For sorting different aortic cell types, we stained for </w:t>
      </w:r>
      <w:r w:rsidRPr="00BE441E">
        <w:t xml:space="preserve">mouse hematopoietic lineage markers including phycoerythrin (PE) anti-mouse antibodies directed against B220 (103208, clone RA3-6B2), CD90.2 (140308, clone 53-2.1, 1:3000 dilution), CD49b (108908, clone DX5, 1:1200 dilution), NK1.1 (108708, clone PK136), Ter-119 (116208, clone TER-119), and Ly6G-PE (127608, clone 1A8), </w:t>
      </w:r>
      <w:r w:rsidRPr="00BE441E">
        <w:rPr>
          <w:szCs w:val="24"/>
        </w:rPr>
        <w:t>and</w:t>
      </w:r>
      <w:r w:rsidRPr="00BE441E">
        <w:t xml:space="preserve"> antibodies against CD31-BV421 (102424, clone 390), CD45-BV605 (103140, clone </w:t>
      </w:r>
      <w:r w:rsidRPr="00BE441E">
        <w:rPr>
          <w:szCs w:val="24"/>
        </w:rPr>
        <w:t xml:space="preserve">30-F11), CD140a-PerCP/Cy5.5 (clone APA5, 135914), and </w:t>
      </w:r>
      <w:r w:rsidRPr="00BE441E">
        <w:t xml:space="preserve">CD11b-APC/Cy7 (101226, clone M1/70, 1:600 dilutions unless indicated otherwise, all </w:t>
      </w:r>
      <w:proofErr w:type="spellStart"/>
      <w:r w:rsidRPr="00BE441E">
        <w:t>BioLegend</w:t>
      </w:r>
      <w:proofErr w:type="spellEnd"/>
      <w:r w:rsidRPr="00BE441E">
        <w:t>).</w:t>
      </w:r>
      <w:r w:rsidRPr="00BE441E">
        <w:rPr>
          <w:szCs w:val="24"/>
        </w:rPr>
        <w:t xml:space="preserve"> Fibroblasts were identified as </w:t>
      </w:r>
      <w:r w:rsidRPr="00BE441E">
        <w:t>CD45</w:t>
      </w:r>
      <w:r w:rsidRPr="00BE441E">
        <w:rPr>
          <w:position w:val="4"/>
          <w:vertAlign w:val="superscript"/>
        </w:rPr>
        <w:t>low</w:t>
      </w:r>
      <w:r w:rsidRPr="00BE441E">
        <w:t>CD140</w:t>
      </w:r>
      <w:r w:rsidRPr="00BE441E">
        <w:rPr>
          <w:position w:val="4"/>
          <w:vertAlign w:val="superscript"/>
        </w:rPr>
        <w:t>high</w:t>
      </w:r>
      <w:r w:rsidRPr="00BE441E">
        <w:t>,</w:t>
      </w:r>
      <w:r w:rsidRPr="00BE441E">
        <w:rPr>
          <w:position w:val="4"/>
        </w:rPr>
        <w:t xml:space="preserve"> </w:t>
      </w:r>
      <w:r w:rsidRPr="00BE441E">
        <w:rPr>
          <w:szCs w:val="24"/>
        </w:rPr>
        <w:t xml:space="preserve">endothelial cells as </w:t>
      </w:r>
      <w:r w:rsidRPr="00BE441E">
        <w:t>CD45</w:t>
      </w:r>
      <w:r w:rsidRPr="00BE441E">
        <w:rPr>
          <w:position w:val="4"/>
          <w:vertAlign w:val="superscript"/>
        </w:rPr>
        <w:t>low</w:t>
      </w:r>
      <w:r w:rsidRPr="00BE441E">
        <w:t>CD31</w:t>
      </w:r>
      <w:r w:rsidRPr="00BE441E">
        <w:rPr>
          <w:position w:val="4"/>
          <w:vertAlign w:val="superscript"/>
        </w:rPr>
        <w:t>high</w:t>
      </w:r>
      <w:r w:rsidRPr="00BE441E">
        <w:t>, macrophages as CD45</w:t>
      </w:r>
      <w:r w:rsidRPr="00BE441E">
        <w:rPr>
          <w:position w:val="4"/>
          <w:vertAlign w:val="superscript"/>
        </w:rPr>
        <w:t>high</w:t>
      </w:r>
      <w:r w:rsidRPr="00BE441E">
        <w:t>CD11b</w:t>
      </w:r>
      <w:r w:rsidRPr="00BE441E">
        <w:rPr>
          <w:position w:val="4"/>
          <w:vertAlign w:val="superscript"/>
        </w:rPr>
        <w:t>high</w:t>
      </w:r>
      <w:r w:rsidRPr="00BE441E">
        <w:t>lineage</w:t>
      </w:r>
      <w:r w:rsidRPr="00BE441E">
        <w:rPr>
          <w:position w:val="4"/>
          <w:vertAlign w:val="superscript"/>
        </w:rPr>
        <w:t>low</w:t>
      </w:r>
      <w:r w:rsidRPr="00BE441E">
        <w:rPr>
          <w:szCs w:val="24"/>
        </w:rPr>
        <w:t xml:space="preserve">, and neutrophils as </w:t>
      </w:r>
      <w:r w:rsidRPr="00BE441E">
        <w:t>CD45</w:t>
      </w:r>
      <w:r w:rsidRPr="00BE441E">
        <w:rPr>
          <w:position w:val="4"/>
          <w:vertAlign w:val="superscript"/>
        </w:rPr>
        <w:t>high</w:t>
      </w:r>
      <w:r w:rsidRPr="00BE441E">
        <w:t>CD11b</w:t>
      </w:r>
      <w:r w:rsidRPr="00BE441E">
        <w:rPr>
          <w:position w:val="4"/>
          <w:vertAlign w:val="superscript"/>
        </w:rPr>
        <w:t>high</w:t>
      </w:r>
      <w:r w:rsidRPr="00BE441E">
        <w:t>lineage</w:t>
      </w:r>
      <w:r w:rsidRPr="00BE441E">
        <w:rPr>
          <w:position w:val="4"/>
          <w:vertAlign w:val="superscript"/>
        </w:rPr>
        <w:t>high</w:t>
      </w:r>
      <w:r w:rsidRPr="00BE441E">
        <w:t>.</w:t>
      </w:r>
    </w:p>
    <w:p w14:paraId="5D4417EA" w14:textId="77777777" w:rsidR="00E16B14" w:rsidRPr="00BE441E" w:rsidRDefault="00E16B14" w:rsidP="00E16B14">
      <w:pPr>
        <w:pStyle w:val="SMText"/>
        <w:spacing w:line="480" w:lineRule="auto"/>
        <w:ind w:firstLine="0"/>
        <w:jc w:val="both"/>
      </w:pPr>
      <w:r w:rsidRPr="00BE441E">
        <w:lastRenderedPageBreak/>
        <w:t xml:space="preserve">For human monocyte subset analysis, cells were first stained with biotin-conjugated antibodies directed against human hematopoietic lineage markers, including CD3 (300404, clone UCHT1), CD19 (302204, clone HIB19), CD20 (302350, clone 2H7), and CD56 (362536, clone 5.1H11, all </w:t>
      </w:r>
      <w:proofErr w:type="spellStart"/>
      <w:r w:rsidRPr="00BE441E">
        <w:t>BioLegend</w:t>
      </w:r>
      <w:proofErr w:type="spellEnd"/>
      <w:r w:rsidRPr="00BE441E">
        <w:t xml:space="preserve">, all 1:600) after red blood cell lysis (RBC Lysis buffer, </w:t>
      </w:r>
      <w:proofErr w:type="spellStart"/>
      <w:r w:rsidRPr="00BE441E">
        <w:t>BioLegend</w:t>
      </w:r>
      <w:proofErr w:type="spellEnd"/>
      <w:r w:rsidRPr="00BE441E">
        <w:t>). A second staining was carried out and cells were stained for CD11b-APC (301310, clone ICRF44, 1:600), CD16-BV711 (302044, clone 3G8, 1:600), CD14-BV421 (325628, clone HCD14, 1:600) and streptavidin-FITC (405202, 1:600). Monocytes were identified using forward and side scatter as well as CD11b. Within this population, numbers of monocyte subsets CD14</w:t>
      </w:r>
      <w:r w:rsidRPr="00BE441E">
        <w:rPr>
          <w:position w:val="4"/>
          <w:vertAlign w:val="superscript"/>
        </w:rPr>
        <w:t>high</w:t>
      </w:r>
      <w:r w:rsidRPr="00BE441E">
        <w:t>CD16</w:t>
      </w:r>
      <w:r w:rsidRPr="00BE441E">
        <w:rPr>
          <w:position w:val="4"/>
          <w:vertAlign w:val="superscript"/>
        </w:rPr>
        <w:t>low</w:t>
      </w:r>
      <w:r w:rsidRPr="00BE441E">
        <w:t>, CD14</w:t>
      </w:r>
      <w:r w:rsidRPr="00BE441E">
        <w:rPr>
          <w:position w:val="4"/>
          <w:vertAlign w:val="superscript"/>
        </w:rPr>
        <w:t>low</w:t>
      </w:r>
      <w:r w:rsidRPr="00BE441E">
        <w:t>CD16</w:t>
      </w:r>
      <w:r w:rsidRPr="00BE441E">
        <w:rPr>
          <w:position w:val="4"/>
          <w:vertAlign w:val="superscript"/>
        </w:rPr>
        <w:t>high</w:t>
      </w:r>
      <w:r w:rsidRPr="00BE441E">
        <w:t>, and CD14</w:t>
      </w:r>
      <w:r w:rsidRPr="00BE441E">
        <w:rPr>
          <w:position w:val="4"/>
          <w:vertAlign w:val="superscript"/>
        </w:rPr>
        <w:t>high</w:t>
      </w:r>
      <w:r w:rsidRPr="00BE441E">
        <w:t>CD16</w:t>
      </w:r>
      <w:r w:rsidRPr="00BE441E">
        <w:rPr>
          <w:position w:val="4"/>
          <w:vertAlign w:val="superscript"/>
        </w:rPr>
        <w:t>high</w:t>
      </w:r>
      <w:r w:rsidRPr="00BE441E">
        <w:rPr>
          <w:position w:val="4"/>
        </w:rPr>
        <w:t xml:space="preserve"> </w:t>
      </w:r>
      <w:r w:rsidRPr="00BE441E">
        <w:t>were quantified. Neutrophils and lymphocytes were identified using forward and side scatter.</w:t>
      </w:r>
    </w:p>
    <w:p w14:paraId="1856415B" w14:textId="77777777" w:rsidR="00E16B14" w:rsidRPr="00BE441E" w:rsidRDefault="00E16B14" w:rsidP="00E16B14">
      <w:pPr>
        <w:pStyle w:val="SMText"/>
        <w:spacing w:line="480" w:lineRule="auto"/>
        <w:ind w:firstLine="0"/>
        <w:jc w:val="both"/>
      </w:pPr>
      <w:r w:rsidRPr="00BE441E">
        <w:t xml:space="preserve">For compensation, the above-mentioned antibodies were conjugated to </w:t>
      </w:r>
      <w:proofErr w:type="spellStart"/>
      <w:r w:rsidRPr="00BE441E">
        <w:t>OneComp</w:t>
      </w:r>
      <w:proofErr w:type="spellEnd"/>
      <w:r w:rsidRPr="00BE441E">
        <w:t xml:space="preserve"> </w:t>
      </w:r>
      <w:proofErr w:type="spellStart"/>
      <w:r w:rsidRPr="00BE441E">
        <w:t>eBeads</w:t>
      </w:r>
      <w:proofErr w:type="spellEnd"/>
      <w:r w:rsidRPr="00BE441E">
        <w:t xml:space="preserve"> (01-1111-42, Thermo Fisher). </w:t>
      </w:r>
      <w:proofErr w:type="spellStart"/>
      <w:r w:rsidRPr="00BE441E">
        <w:t>GFP</w:t>
      </w:r>
      <w:r w:rsidRPr="00BE441E">
        <w:rPr>
          <w:vertAlign w:val="superscript"/>
        </w:rPr>
        <w:t>high</w:t>
      </w:r>
      <w:proofErr w:type="spellEnd"/>
      <w:r w:rsidRPr="00BE441E">
        <w:t xml:space="preserve"> control samples were used to compensate for GFP fluorescence. Flow cytometry data were acquired on an </w:t>
      </w:r>
      <w:proofErr w:type="spellStart"/>
      <w:r w:rsidRPr="00BE441E">
        <w:t>LSRFortessa</w:t>
      </w:r>
      <w:proofErr w:type="spellEnd"/>
      <w:r w:rsidRPr="00BE441E">
        <w:t xml:space="preserve"> (BD Bioscience) and corresponding data were analyzed using </w:t>
      </w:r>
      <w:proofErr w:type="spellStart"/>
      <w:r w:rsidRPr="00BE441E">
        <w:t>FlowJo</w:t>
      </w:r>
      <w:proofErr w:type="spellEnd"/>
      <w:r w:rsidRPr="00BE441E">
        <w:t xml:space="preserve"> software (version 9).</w:t>
      </w:r>
    </w:p>
    <w:p w14:paraId="40160644" w14:textId="77777777" w:rsidR="00E16B14" w:rsidRPr="00BE441E" w:rsidRDefault="00E16B14" w:rsidP="00E16B14">
      <w:pPr>
        <w:spacing w:line="480" w:lineRule="auto"/>
        <w:jc w:val="both"/>
      </w:pPr>
    </w:p>
    <w:p w14:paraId="27FB401D" w14:textId="77777777" w:rsidR="00E16B14" w:rsidRPr="00BE441E" w:rsidRDefault="00E16B14" w:rsidP="00E16B14">
      <w:pPr>
        <w:spacing w:line="480" w:lineRule="auto"/>
        <w:rPr>
          <w:b/>
        </w:rPr>
      </w:pPr>
      <w:r w:rsidRPr="00BE441E">
        <w:rPr>
          <w:b/>
        </w:rPr>
        <w:t>Cell sorting and adoptive transfer</w:t>
      </w:r>
    </w:p>
    <w:p w14:paraId="6CD7511B" w14:textId="77777777" w:rsidR="00E16B14" w:rsidRPr="00BE441E" w:rsidRDefault="00E16B14" w:rsidP="00E16B14">
      <w:pPr>
        <w:pStyle w:val="SMText"/>
        <w:spacing w:line="480" w:lineRule="auto"/>
        <w:ind w:firstLine="0"/>
        <w:jc w:val="both"/>
      </w:pPr>
      <w:r w:rsidRPr="00BE441E">
        <w:t xml:space="preserve">To purify aortic endothelial cells, single-cell suspensions were stained for CD31-BV421 (102424, clone 390, 1:600), CD107a-APC/Cy7 (LAMP1) (121616, clone 1D4B, 1:300), and CD45.2-PerCP/Cy5.5 (109828, clone 104, 1:300, all </w:t>
      </w:r>
      <w:proofErr w:type="spellStart"/>
      <w:r w:rsidRPr="00BE441E">
        <w:t>BioLegend</w:t>
      </w:r>
      <w:proofErr w:type="spellEnd"/>
      <w:r w:rsidRPr="00BE441E">
        <w:t>) after digestion. Aortic endothelial cells were identified as CD45.2</w:t>
      </w:r>
      <w:r w:rsidRPr="00BE441E">
        <w:rPr>
          <w:position w:val="4"/>
          <w:vertAlign w:val="superscript"/>
        </w:rPr>
        <w:t>low</w:t>
      </w:r>
      <w:r w:rsidRPr="00BE441E">
        <w:t>CD31</w:t>
      </w:r>
      <w:r w:rsidRPr="00BE441E">
        <w:rPr>
          <w:position w:val="4"/>
          <w:vertAlign w:val="superscript"/>
        </w:rPr>
        <w:t>high</w:t>
      </w:r>
      <w:r w:rsidRPr="00BE441E">
        <w:t>CD107a</w:t>
      </w:r>
      <w:r w:rsidRPr="00BE441E">
        <w:rPr>
          <w:position w:val="4"/>
          <w:vertAlign w:val="superscript"/>
        </w:rPr>
        <w:t xml:space="preserve">intermediate/high </w:t>
      </w:r>
      <w:r w:rsidRPr="00BE441E">
        <w:t xml:space="preserve">and FACS-sorted using a BD </w:t>
      </w:r>
      <w:proofErr w:type="spellStart"/>
      <w:r w:rsidRPr="00BE441E">
        <w:t>FACSAria</w:t>
      </w:r>
      <w:proofErr w:type="spellEnd"/>
      <w:r w:rsidRPr="00BE441E">
        <w:t xml:space="preserve"> III cell sorter. </w:t>
      </w:r>
    </w:p>
    <w:p w14:paraId="1B4F57F8" w14:textId="77777777" w:rsidR="00E16B14" w:rsidRPr="00BE441E" w:rsidRDefault="00E16B14" w:rsidP="00E16B14">
      <w:pPr>
        <w:pStyle w:val="SMText"/>
        <w:spacing w:line="480" w:lineRule="auto"/>
        <w:ind w:firstLine="0"/>
        <w:jc w:val="both"/>
      </w:pPr>
      <w:r w:rsidRPr="00BE441E">
        <w:t xml:space="preserve">To obtain purified neutrophils and monocytes for adoptive transfer experiments, cells were isolated from the bone marrow of </w:t>
      </w:r>
      <w:proofErr w:type="spellStart"/>
      <w:r w:rsidRPr="00BE441E">
        <w:rPr>
          <w:i/>
        </w:rPr>
        <w:t>Ubc</w:t>
      </w:r>
      <w:proofErr w:type="spellEnd"/>
      <w:r w:rsidRPr="00BE441E">
        <w:rPr>
          <w:i/>
        </w:rPr>
        <w:t xml:space="preserve">-GFP </w:t>
      </w:r>
      <w:r w:rsidRPr="00BE441E">
        <w:t xml:space="preserve">donor animals using Ly6G-PE (127608, clone 1A8) and </w:t>
      </w:r>
      <w:r w:rsidRPr="00BE441E">
        <w:lastRenderedPageBreak/>
        <w:t xml:space="preserve">CD115-biotin (135508, clone AFS98, both </w:t>
      </w:r>
      <w:proofErr w:type="spellStart"/>
      <w:r w:rsidRPr="00BE441E">
        <w:t>BioLegend</w:t>
      </w:r>
      <w:proofErr w:type="spellEnd"/>
      <w:r w:rsidRPr="00BE441E">
        <w:t xml:space="preserve">), which allowed coupling to magnetic beads (anti-PE and streptavidin microbeads, 130-048-801 and 130-048-101, </w:t>
      </w:r>
      <w:proofErr w:type="spellStart"/>
      <w:r w:rsidRPr="00BE441E">
        <w:t>Miltenyi</w:t>
      </w:r>
      <w:proofErr w:type="spellEnd"/>
      <w:r w:rsidRPr="00BE441E">
        <w:t xml:space="preserve"> </w:t>
      </w:r>
      <w:proofErr w:type="spellStart"/>
      <w:r w:rsidRPr="00BE441E">
        <w:t>Biotec</w:t>
      </w:r>
      <w:proofErr w:type="spellEnd"/>
      <w:r w:rsidRPr="00BE441E">
        <w:t xml:space="preserve">) and separation of cells via magnetic-activated cell separation columns (130-042-401, </w:t>
      </w:r>
      <w:proofErr w:type="spellStart"/>
      <w:r w:rsidRPr="00BE441E">
        <w:t>Miltenyi</w:t>
      </w:r>
      <w:proofErr w:type="spellEnd"/>
      <w:r w:rsidRPr="00BE441E">
        <w:t xml:space="preserve"> </w:t>
      </w:r>
      <w:proofErr w:type="spellStart"/>
      <w:r w:rsidRPr="00BE441E">
        <w:t>Biotec</w:t>
      </w:r>
      <w:proofErr w:type="spellEnd"/>
      <w:r w:rsidRPr="00BE441E">
        <w:t xml:space="preserve">). Equal amounts of purified neutrophils and monocytes were injected </w:t>
      </w:r>
      <w:proofErr w:type="spellStart"/>
      <w:r w:rsidRPr="00BE441E">
        <w:t>i.v.</w:t>
      </w:r>
      <w:proofErr w:type="spellEnd"/>
      <w:r w:rsidRPr="00BE441E">
        <w:t xml:space="preserve"> into C57BL/6J or </w:t>
      </w:r>
      <w:proofErr w:type="spellStart"/>
      <w:r w:rsidRPr="00BE441E">
        <w:rPr>
          <w:i/>
          <w:iCs/>
        </w:rPr>
        <w:t>ApoE</w:t>
      </w:r>
      <w:proofErr w:type="spellEnd"/>
      <w:r w:rsidRPr="00BE441E">
        <w:rPr>
          <w:position w:val="4"/>
          <w:vertAlign w:val="superscript"/>
        </w:rPr>
        <w:t xml:space="preserve">−/− </w:t>
      </w:r>
      <w:r w:rsidRPr="00BE441E">
        <w:t>mice and the organs listed above were harvested 24 h later. The number of CD11b</w:t>
      </w:r>
      <w:r w:rsidRPr="00BE441E">
        <w:rPr>
          <w:position w:val="4"/>
          <w:vertAlign w:val="superscript"/>
        </w:rPr>
        <w:t>high</w:t>
      </w:r>
      <w:r w:rsidRPr="00BE441E">
        <w:t>GFP</w:t>
      </w:r>
      <w:r w:rsidRPr="00BE441E">
        <w:rPr>
          <w:position w:val="4"/>
          <w:vertAlign w:val="superscript"/>
        </w:rPr>
        <w:t>high</w:t>
      </w:r>
      <w:r w:rsidRPr="00BE441E">
        <w:rPr>
          <w:position w:val="4"/>
        </w:rPr>
        <w:t xml:space="preserve"> </w:t>
      </w:r>
      <w:r w:rsidRPr="00BE441E">
        <w:t xml:space="preserve">cells within the organs was quantified using flow cytometry. </w:t>
      </w:r>
    </w:p>
    <w:p w14:paraId="4DEE92F2" w14:textId="77777777" w:rsidR="00E16B14" w:rsidRPr="00BE441E" w:rsidRDefault="00E16B14" w:rsidP="00E16B14">
      <w:pPr>
        <w:pStyle w:val="SMText"/>
        <w:spacing w:line="480" w:lineRule="auto"/>
        <w:ind w:firstLine="0"/>
        <w:jc w:val="both"/>
        <w:rPr>
          <w:b/>
        </w:rPr>
      </w:pPr>
    </w:p>
    <w:p w14:paraId="54881D30" w14:textId="77777777" w:rsidR="00E16B14" w:rsidRPr="00BE441E" w:rsidRDefault="00E16B14" w:rsidP="00E16B14">
      <w:pPr>
        <w:pStyle w:val="SMText"/>
        <w:spacing w:line="480" w:lineRule="auto"/>
        <w:ind w:firstLine="0"/>
        <w:jc w:val="both"/>
      </w:pPr>
      <w:r w:rsidRPr="00BE441E">
        <w:rPr>
          <w:b/>
        </w:rPr>
        <w:t>Histology</w:t>
      </w:r>
    </w:p>
    <w:p w14:paraId="04D49B06" w14:textId="77777777" w:rsidR="00E16B14" w:rsidRPr="00BE441E" w:rsidRDefault="00E16B14" w:rsidP="00E16B14">
      <w:pPr>
        <w:pStyle w:val="SMText"/>
        <w:spacing w:line="480" w:lineRule="auto"/>
        <w:ind w:firstLine="0"/>
        <w:jc w:val="both"/>
      </w:pPr>
      <w:r w:rsidRPr="00BE441E">
        <w:t xml:space="preserve">Aortic roots were dissected and embedded in OCT compound (SA62550-01, Tissue Tek, Science Services). Molds were frozen on liquid nitrogen and 5 </w:t>
      </w:r>
      <w:r w:rsidRPr="00BE441E">
        <w:rPr>
          <w:bCs/>
          <w:color w:val="050707"/>
        </w:rPr>
        <w:t>µ</w:t>
      </w:r>
      <w:r w:rsidRPr="00BE441E">
        <w:t>m cross-sections were obtained. Tissue was fixed in ice-cold acetone for 10 min, treated with peroxidase block (</w:t>
      </w:r>
      <w:r w:rsidRPr="00BE441E">
        <w:rPr>
          <w:color w:val="000000" w:themeColor="text1"/>
          <w:shd w:val="clear" w:color="auto" w:fill="FFFFFF"/>
        </w:rPr>
        <w:t>S202386-2</w:t>
      </w:r>
      <w:r w:rsidRPr="00BE441E">
        <w:t xml:space="preserve">, Agilent), and stained using an anti-CD11b antibody (101202, </w:t>
      </w:r>
      <w:proofErr w:type="spellStart"/>
      <w:r w:rsidRPr="00BE441E">
        <w:t>BioLegend</w:t>
      </w:r>
      <w:proofErr w:type="spellEnd"/>
      <w:r w:rsidRPr="00BE441E">
        <w:t xml:space="preserve">), an anti-Ly6G antibody (127602, </w:t>
      </w:r>
      <w:proofErr w:type="spellStart"/>
      <w:r w:rsidRPr="00BE441E">
        <w:t>BioLegend</w:t>
      </w:r>
      <w:proofErr w:type="spellEnd"/>
      <w:r w:rsidRPr="00BE441E">
        <w:t xml:space="preserve">), an anti-CD19 antibody (ab25232, Abcam), and an anti-CD3 antibody (ab16669, Abcam) followed by a biotinylated secondary antibody (BA-4001 or B-1000, Vector Laboratories). For staining visualization, we used the VECTASTAIN ABC kit (PK-4000, Vector Laboratories) together with AEC substrate (K3461, </w:t>
      </w:r>
      <w:proofErr w:type="spellStart"/>
      <w:r w:rsidRPr="00BE441E">
        <w:t>Dako</w:t>
      </w:r>
      <w:proofErr w:type="spellEnd"/>
      <w:r w:rsidRPr="00BE441E">
        <w:t>). Cell nuclei were counterstained with Gill´s hematoxylin solution no. 2 (</w:t>
      </w:r>
      <w:r w:rsidRPr="00BE441E">
        <w:rPr>
          <w:color w:val="000000"/>
        </w:rPr>
        <w:t>1051752500</w:t>
      </w:r>
      <w:r w:rsidRPr="00BE441E">
        <w:t xml:space="preserve">, Merck Millipore). CD11b staining was analyzed by quantifying the CD11b-positive area per total plaque area. CD19 and CD3 staining was analyzed by quantifying the number of cells per plaque area. </w:t>
      </w:r>
    </w:p>
    <w:p w14:paraId="6B4BEDD3" w14:textId="77777777" w:rsidR="00E16B14" w:rsidRPr="00BE441E" w:rsidRDefault="00E16B14" w:rsidP="00E16B14">
      <w:pPr>
        <w:pStyle w:val="SMText"/>
        <w:spacing w:line="480" w:lineRule="auto"/>
        <w:ind w:firstLine="0"/>
        <w:jc w:val="both"/>
      </w:pPr>
      <w:r w:rsidRPr="00BE441E">
        <w:t xml:space="preserve">To analyze plaque rupture, carotid arteries were embedded in OCT compound and sectioned at 6 </w:t>
      </w:r>
      <w:r w:rsidRPr="00BE441E">
        <w:rPr>
          <w:bCs/>
          <w:color w:val="050707"/>
        </w:rPr>
        <w:t>µ</w:t>
      </w:r>
      <w:r w:rsidRPr="00BE441E">
        <w:t xml:space="preserve">m. Standard hematoxylin and eosin (H&amp;E) staining was performed for tissue morphology, and sections were imaged using </w:t>
      </w:r>
      <w:proofErr w:type="spellStart"/>
      <w:r w:rsidRPr="00BE441E">
        <w:t>NanoZoomer</w:t>
      </w:r>
      <w:proofErr w:type="spellEnd"/>
      <w:r w:rsidRPr="00BE441E">
        <w:t xml:space="preserve"> 2.0-HT Digital Slide Scanner (Hamamatsu Photonics). Thrombus formation was regarded as an indicator for plaque rupture. For further characterization </w:t>
      </w:r>
      <w:r w:rsidRPr="00BE441E">
        <w:lastRenderedPageBreak/>
        <w:t xml:space="preserve">of the carotid arteries, tissue was fixed in ice-cold acetone for 10 min and stained using antibodies against CD11b (101202, </w:t>
      </w:r>
      <w:proofErr w:type="spellStart"/>
      <w:r w:rsidRPr="00BE441E">
        <w:t>BioLegend</w:t>
      </w:r>
      <w:proofErr w:type="spellEnd"/>
      <w:r w:rsidRPr="00BE441E">
        <w:t>), Collagen I (ab21286, Abcam), and alpha smooth muscle actin (SMA, ab5694, Abcam) followed by a biotinylated secondary antibody (BA-4001 or B-1000, Vector Laboratories). Antibody detection and cell nuclei counterstaining was performed as described above. Immunohistochemistry staining was analyzed by quantifying the positive area per total plaque area.</w:t>
      </w:r>
    </w:p>
    <w:p w14:paraId="5AEF9DC7" w14:textId="77777777" w:rsidR="00E16B14" w:rsidRPr="00BE441E" w:rsidRDefault="00E16B14" w:rsidP="00E16B14">
      <w:pPr>
        <w:pStyle w:val="SMText"/>
        <w:spacing w:line="480" w:lineRule="auto"/>
        <w:ind w:firstLine="0"/>
        <w:jc w:val="both"/>
      </w:pPr>
    </w:p>
    <w:p w14:paraId="3584CB50" w14:textId="77777777" w:rsidR="00E16B14" w:rsidRPr="00BE441E" w:rsidRDefault="00E16B14" w:rsidP="00E16B14">
      <w:pPr>
        <w:spacing w:line="480" w:lineRule="auto"/>
        <w:rPr>
          <w:b/>
        </w:rPr>
      </w:pPr>
      <w:r w:rsidRPr="00BE441E">
        <w:rPr>
          <w:b/>
        </w:rPr>
        <w:t>RNA sequencing</w:t>
      </w:r>
    </w:p>
    <w:p w14:paraId="427884BE" w14:textId="77777777" w:rsidR="00E16B14" w:rsidRPr="00BE441E" w:rsidRDefault="00E16B14" w:rsidP="00E16B14">
      <w:pPr>
        <w:pStyle w:val="SMText"/>
        <w:spacing w:line="480" w:lineRule="auto"/>
        <w:ind w:firstLine="0"/>
        <w:jc w:val="both"/>
      </w:pPr>
      <w:r w:rsidRPr="00BE441E">
        <w:t xml:space="preserve">Messenger RNA (mRNA) was extracted from FACS-sorted endothelial cells using the Arcturus </w:t>
      </w:r>
      <w:proofErr w:type="spellStart"/>
      <w:r w:rsidRPr="00BE441E">
        <w:t>PicoPure</w:t>
      </w:r>
      <w:proofErr w:type="spellEnd"/>
      <w:r w:rsidRPr="00BE441E">
        <w:t xml:space="preserve"> RNA Isolation Kit (KIT0204, Applied Biosystems) according to the manufacturer’s protocol. Samples were analyzed by IMGM Laboratories (Munich), where RNA quantification and purity were assessed on a </w:t>
      </w:r>
      <w:proofErr w:type="spellStart"/>
      <w:r w:rsidRPr="00BE441E">
        <w:t>NanoDrop</w:t>
      </w:r>
      <w:proofErr w:type="spellEnd"/>
      <w:r w:rsidRPr="00BE441E">
        <w:t xml:space="preserve"> ND-1000 (</w:t>
      </w:r>
      <w:proofErr w:type="spellStart"/>
      <w:r w:rsidRPr="00BE441E">
        <w:t>Peqlab</w:t>
      </w:r>
      <w:proofErr w:type="spellEnd"/>
      <w:r w:rsidRPr="00BE441E">
        <w:t xml:space="preserve">) and RNA integrity control was performed on a 2100 Bioanalyzer (Agilent Technologies). After library preparation with </w:t>
      </w:r>
      <w:proofErr w:type="spellStart"/>
      <w:r w:rsidRPr="00BE441E">
        <w:t>TruSeq</w:t>
      </w:r>
      <w:proofErr w:type="spellEnd"/>
      <w:r w:rsidRPr="00BE441E">
        <w:t xml:space="preserve"> Stranded kit (Illumina) and subsequent quality control and quantification, sequencing was performed on a </w:t>
      </w:r>
      <w:proofErr w:type="spellStart"/>
      <w:r w:rsidRPr="00BE441E">
        <w:t>NextSeq</w:t>
      </w:r>
      <w:proofErr w:type="spellEnd"/>
      <w:r w:rsidRPr="00BE441E">
        <w:t xml:space="preserve"> 500 sequencing system (Illumina). Raw data were generated and processed using the Real Time Analysis 2.4.11 Software (RTA) and Illumina Sequence Analysis Viewer (SVA) 2.4.7.</w:t>
      </w:r>
    </w:p>
    <w:p w14:paraId="24894E35" w14:textId="77777777" w:rsidR="00E16B14" w:rsidRPr="00BE441E" w:rsidRDefault="00E16B14" w:rsidP="00E16B14">
      <w:pPr>
        <w:spacing w:line="480" w:lineRule="auto"/>
        <w:jc w:val="both"/>
        <w:rPr>
          <w:b/>
        </w:rPr>
      </w:pPr>
    </w:p>
    <w:p w14:paraId="428A1149" w14:textId="77777777" w:rsidR="00E16B14" w:rsidRPr="00BE441E" w:rsidRDefault="00E16B14" w:rsidP="00E16B14">
      <w:pPr>
        <w:spacing w:line="480" w:lineRule="auto"/>
        <w:jc w:val="both"/>
        <w:rPr>
          <w:b/>
        </w:rPr>
      </w:pPr>
      <w:proofErr w:type="spellStart"/>
      <w:r w:rsidRPr="00BE441E">
        <w:rPr>
          <w:b/>
        </w:rPr>
        <w:t>RNAseq</w:t>
      </w:r>
      <w:proofErr w:type="spellEnd"/>
      <w:r w:rsidRPr="00BE441E">
        <w:rPr>
          <w:b/>
        </w:rPr>
        <w:t xml:space="preserve"> data analysis</w:t>
      </w:r>
    </w:p>
    <w:p w14:paraId="45C5E2AE" w14:textId="77777777" w:rsidR="00E16B14" w:rsidRPr="00BE441E" w:rsidRDefault="00E16B14" w:rsidP="00E16B14">
      <w:pPr>
        <w:pStyle w:val="SMText"/>
        <w:spacing w:line="480" w:lineRule="auto"/>
        <w:ind w:firstLine="0"/>
        <w:jc w:val="both"/>
      </w:pPr>
      <w:r w:rsidRPr="00BE441E">
        <w:t xml:space="preserve">After standard quality control procedures using </w:t>
      </w:r>
      <w:proofErr w:type="spellStart"/>
      <w:r w:rsidRPr="00BE441E">
        <w:t>FastQC</w:t>
      </w:r>
      <w:proofErr w:type="spellEnd"/>
      <w:r w:rsidRPr="00BE441E">
        <w:t xml:space="preserve"> and read trimming with Trimmomatic</w:t>
      </w:r>
      <w:sdt>
        <w:sdtPr>
          <w:alias w:val="SmartCite Citation"/>
          <w:tag w:val="ff3884c7-3c28-43ff-924b-6c20e2d633c0:1096392e-acda-447a-865b-aaba04a45e89+"/>
          <w:id w:val="-262921427"/>
          <w:placeholder>
            <w:docPart w:val="A172B6519ACEE74CA05294A4A1634B56"/>
          </w:placeholder>
        </w:sdtPr>
        <w:sdtEndPr/>
        <w:sdtContent>
          <w:r w:rsidRPr="00455A40">
            <w:rPr>
              <w:color w:val="000000"/>
              <w:vertAlign w:val="superscript"/>
            </w:rPr>
            <w:t>52</w:t>
          </w:r>
        </w:sdtContent>
      </w:sdt>
      <w:r w:rsidRPr="00BE441E">
        <w:t xml:space="preserve">, we mapped the reads onto the </w:t>
      </w:r>
      <w:r w:rsidRPr="00BE441E">
        <w:rPr>
          <w:i/>
        </w:rPr>
        <w:t>Mus musculus</w:t>
      </w:r>
      <w:r w:rsidRPr="00BE441E">
        <w:t xml:space="preserve"> reference genome using the STAR aligner</w:t>
      </w:r>
      <w:sdt>
        <w:sdtPr>
          <w:rPr>
            <w:color w:val="000000"/>
          </w:rPr>
          <w:alias w:val="SmartCite Citation"/>
          <w:tag w:val="ff3884c7-3c28-43ff-924b-6c20e2d633c0:69111025-922a-4be3-b05c-2567a05dff92+"/>
          <w:id w:val="-988248489"/>
          <w:placeholder>
            <w:docPart w:val="A172B6519ACEE74CA05294A4A1634B56"/>
          </w:placeholder>
        </w:sdtPr>
        <w:sdtEndPr/>
        <w:sdtContent>
          <w:r w:rsidRPr="00455A40">
            <w:rPr>
              <w:color w:val="000000"/>
              <w:vertAlign w:val="superscript"/>
            </w:rPr>
            <w:t>53</w:t>
          </w:r>
        </w:sdtContent>
      </w:sdt>
      <w:r w:rsidRPr="00BE441E">
        <w:t xml:space="preserve"> and performed quality control on the respective alignments with Qualimap</w:t>
      </w:r>
      <w:sdt>
        <w:sdtPr>
          <w:rPr>
            <w:color w:val="000000"/>
          </w:rPr>
          <w:alias w:val="SmartCite Citation"/>
          <w:tag w:val="ff3884c7-3c28-43ff-924b-6c20e2d633c0:f23f2c78-caef-4949-a058-93ff384df251+"/>
          <w:id w:val="-1884550791"/>
          <w:placeholder>
            <w:docPart w:val="A172B6519ACEE74CA05294A4A1634B56"/>
          </w:placeholder>
        </w:sdtPr>
        <w:sdtEndPr/>
        <w:sdtContent>
          <w:r w:rsidRPr="00455A40">
            <w:rPr>
              <w:color w:val="000000"/>
              <w:vertAlign w:val="superscript"/>
            </w:rPr>
            <w:t>54</w:t>
          </w:r>
        </w:sdtContent>
      </w:sdt>
      <w:r w:rsidRPr="00BE441E">
        <w:t>. We further used featureCounts</w:t>
      </w:r>
      <w:sdt>
        <w:sdtPr>
          <w:rPr>
            <w:color w:val="000000"/>
          </w:rPr>
          <w:alias w:val="SmartCite Citation"/>
          <w:tag w:val="ff3884c7-3c28-43ff-924b-6c20e2d633c0:494639a0-61de-4602-a255-caa2e6f159dd+"/>
          <w:id w:val="711617246"/>
          <w:placeholder>
            <w:docPart w:val="A172B6519ACEE74CA05294A4A1634B56"/>
          </w:placeholder>
        </w:sdtPr>
        <w:sdtEndPr/>
        <w:sdtContent>
          <w:r w:rsidRPr="00455A40">
            <w:rPr>
              <w:color w:val="000000"/>
              <w:vertAlign w:val="superscript"/>
            </w:rPr>
            <w:t>55</w:t>
          </w:r>
        </w:sdtContent>
      </w:sdt>
      <w:r w:rsidRPr="00BE441E">
        <w:t xml:space="preserve"> to de-convolute read data into gene abundances. After removing features with </w:t>
      </w:r>
      <w:r w:rsidRPr="00BE441E">
        <w:lastRenderedPageBreak/>
        <w:t>consistently low counts (median &lt; 10), we normalized the raw count data using the trimmed mean of M-values (TMM) normalization method</w:t>
      </w:r>
      <w:sdt>
        <w:sdtPr>
          <w:rPr>
            <w:color w:val="000000"/>
          </w:rPr>
          <w:alias w:val="SmartCite Citation"/>
          <w:tag w:val="ff3884c7-3c28-43ff-924b-6c20e2d633c0:83a08fcb-5385-4591-8643-7c9cf608c377+"/>
          <w:id w:val="575713354"/>
          <w:placeholder>
            <w:docPart w:val="A172B6519ACEE74CA05294A4A1634B56"/>
          </w:placeholder>
        </w:sdtPr>
        <w:sdtEndPr/>
        <w:sdtContent>
          <w:r w:rsidRPr="00455A40">
            <w:rPr>
              <w:color w:val="000000"/>
              <w:vertAlign w:val="superscript"/>
            </w:rPr>
            <w:t>56</w:t>
          </w:r>
        </w:sdtContent>
      </w:sdt>
      <w:r w:rsidRPr="00BE441E">
        <w:t>, as implemented in the edgeR</w:t>
      </w:r>
      <w:sdt>
        <w:sdtPr>
          <w:rPr>
            <w:color w:val="000000"/>
          </w:rPr>
          <w:alias w:val="SmartCite Citation"/>
          <w:tag w:val="ff3884c7-3c28-43ff-924b-6c20e2d633c0:97a76dfb-81d4-4cce-b3c2-390c15043b44+"/>
          <w:id w:val="428015818"/>
          <w:placeholder>
            <w:docPart w:val="A172B6519ACEE74CA05294A4A1634B56"/>
          </w:placeholder>
        </w:sdtPr>
        <w:sdtEndPr/>
        <w:sdtContent>
          <w:r w:rsidRPr="00455A40">
            <w:rPr>
              <w:color w:val="000000"/>
              <w:vertAlign w:val="superscript"/>
            </w:rPr>
            <w:t>57</w:t>
          </w:r>
        </w:sdtContent>
      </w:sdt>
      <w:r w:rsidRPr="00BE441E">
        <w:t xml:space="preserve"> package. LIMMA t-statistic approach with </w:t>
      </w:r>
      <w:proofErr w:type="spellStart"/>
      <w:r w:rsidRPr="00BE441E">
        <w:t>Benjamini</w:t>
      </w:r>
      <w:proofErr w:type="spellEnd"/>
      <w:r w:rsidRPr="00BE441E">
        <w:t>-Hochberg multiple testing correction (BH or the false discovery rate (FDR) or adj. P-value)</w:t>
      </w:r>
      <w:sdt>
        <w:sdtPr>
          <w:rPr>
            <w:color w:val="000000"/>
          </w:rPr>
          <w:alias w:val="SmartCite Citation"/>
          <w:tag w:val="ff3884c7-3c28-43ff-924b-6c20e2d633c0:b381a6ce-87cd-4ac7-9e06-3e8ae0a682f4+"/>
          <w:id w:val="1341425823"/>
          <w:placeholder>
            <w:docPart w:val="A172B6519ACEE74CA05294A4A1634B56"/>
          </w:placeholder>
        </w:sdtPr>
        <w:sdtEndPr/>
        <w:sdtContent>
          <w:r w:rsidRPr="00455A40">
            <w:rPr>
              <w:color w:val="000000"/>
              <w:vertAlign w:val="superscript"/>
            </w:rPr>
            <w:t>58</w:t>
          </w:r>
        </w:sdtContent>
      </w:sdt>
      <w:r w:rsidRPr="00BE441E">
        <w:t xml:space="preserve"> was used to select the differentially expressed genes (DEGs) from the normalized gene expression data. Genes were defined as differentially expressed if they demonstrated a -0.58 </w:t>
      </w:r>
      <w:r w:rsidRPr="00BE441E">
        <w:sym w:font="Symbol" w:char="F0A3"/>
      </w:r>
      <w:r w:rsidRPr="00BE441E">
        <w:t xml:space="preserve"> log</w:t>
      </w:r>
      <w:r w:rsidRPr="00BE441E">
        <w:rPr>
          <w:vertAlign w:val="subscript"/>
        </w:rPr>
        <w:t xml:space="preserve">2 </w:t>
      </w:r>
      <w:r w:rsidRPr="00BE441E">
        <w:t xml:space="preserve">FC </w:t>
      </w:r>
      <w:r w:rsidRPr="00BE441E">
        <w:sym w:font="Symbol" w:char="F0B3"/>
      </w:r>
      <w:r w:rsidRPr="00BE441E">
        <w:t xml:space="preserve"> 0.58 (i.e. fold change of at least 1.5) and an adj. P-value </w:t>
      </w:r>
      <w:r w:rsidRPr="00BE441E">
        <w:sym w:font="Symbol" w:char="F0A3"/>
      </w:r>
      <w:r w:rsidRPr="00BE441E">
        <w:t xml:space="preserve"> 0.05 between the two comparison groups. DEGs were visualized as a Volcano plot using the ggplot2 R package</w:t>
      </w:r>
      <w:sdt>
        <w:sdtPr>
          <w:rPr>
            <w:color w:val="000000"/>
          </w:rPr>
          <w:alias w:val="SmartCite Citation"/>
          <w:tag w:val="ff3884c7-3c28-43ff-924b-6c20e2d633c0:d6b080c7-6f1a-47cb-a633-a605fa938cc3+"/>
          <w:id w:val="320477507"/>
          <w:placeholder>
            <w:docPart w:val="A172B6519ACEE74CA05294A4A1634B56"/>
          </w:placeholder>
        </w:sdtPr>
        <w:sdtEndPr/>
        <w:sdtContent>
          <w:r w:rsidRPr="00455A40">
            <w:rPr>
              <w:color w:val="000000"/>
              <w:vertAlign w:val="superscript"/>
            </w:rPr>
            <w:t>59</w:t>
          </w:r>
        </w:sdtContent>
      </w:sdt>
      <w:r w:rsidRPr="00BE441E">
        <w:t xml:space="preserve"> and the most significant DEGs (FDR or adj. P-value </w:t>
      </w:r>
      <w:r w:rsidRPr="00BE441E">
        <w:sym w:font="Symbol" w:char="F0A3"/>
      </w:r>
      <w:r w:rsidRPr="00BE441E">
        <w:t xml:space="preserve"> 0.25) were labeled. Functional enrichment analysis of the DEGs was performed using </w:t>
      </w:r>
      <w:proofErr w:type="spellStart"/>
      <w:r w:rsidRPr="00BE441E">
        <w:t>ToppFun</w:t>
      </w:r>
      <w:proofErr w:type="spellEnd"/>
      <w:r w:rsidRPr="00BE441E">
        <w:t xml:space="preserve"> from the </w:t>
      </w:r>
      <w:proofErr w:type="spellStart"/>
      <w:r w:rsidRPr="00BE441E">
        <w:t>ToppGene</w:t>
      </w:r>
      <w:proofErr w:type="spellEnd"/>
      <w:r w:rsidRPr="00BE441E">
        <w:t xml:space="preserve"> Suite (https://toppgene.cchmc.org/</w:t>
      </w:r>
      <w:sdt>
        <w:sdtPr>
          <w:rPr>
            <w:color w:val="000000"/>
          </w:rPr>
          <w:alias w:val="SmartCite Citation"/>
          <w:tag w:val="ff3884c7-3c28-43ff-924b-6c20e2d633c0:60847a60-bb4a-446c-b295-e92688925d6e+"/>
          <w:id w:val="2056883831"/>
          <w:placeholder>
            <w:docPart w:val="A172B6519ACEE74CA05294A4A1634B56"/>
          </w:placeholder>
        </w:sdtPr>
        <w:sdtEndPr/>
        <w:sdtContent>
          <w:r w:rsidRPr="00455A40">
            <w:rPr>
              <w:color w:val="000000"/>
              <w:vertAlign w:val="superscript"/>
            </w:rPr>
            <w:t>60</w:t>
          </w:r>
        </w:sdtContent>
      </w:sdt>
      <w:r w:rsidRPr="00BE441E">
        <w:rPr>
          <w:color w:val="000000"/>
        </w:rPr>
        <w:t>)</w:t>
      </w:r>
      <w:r w:rsidRPr="00BE441E">
        <w:t>, which detects functional enrichment in 14 annotation categories.</w:t>
      </w:r>
    </w:p>
    <w:p w14:paraId="5395F9C9" w14:textId="77777777" w:rsidR="00E16B14" w:rsidRPr="00BE441E" w:rsidRDefault="00E16B14" w:rsidP="00E16B14">
      <w:pPr>
        <w:pStyle w:val="SMText"/>
        <w:spacing w:line="480" w:lineRule="auto"/>
        <w:ind w:firstLine="0"/>
        <w:jc w:val="both"/>
        <w:rPr>
          <w:b/>
        </w:rPr>
      </w:pPr>
    </w:p>
    <w:p w14:paraId="3B9C8649" w14:textId="77777777" w:rsidR="00E16B14" w:rsidRPr="00BE441E" w:rsidRDefault="00E16B14" w:rsidP="00E16B14">
      <w:pPr>
        <w:pStyle w:val="SMText"/>
        <w:spacing w:line="480" w:lineRule="auto"/>
        <w:ind w:firstLine="0"/>
        <w:jc w:val="both"/>
      </w:pPr>
      <w:r w:rsidRPr="00BE441E">
        <w:rPr>
          <w:b/>
        </w:rPr>
        <w:t>Real-time quantitative polymerase chain reaction (qPCR)</w:t>
      </w:r>
    </w:p>
    <w:p w14:paraId="7ED8786E" w14:textId="77777777" w:rsidR="00E16B14" w:rsidRPr="00BE441E" w:rsidRDefault="00E16B14" w:rsidP="00E16B14">
      <w:pPr>
        <w:pStyle w:val="SMText"/>
        <w:spacing w:line="480" w:lineRule="auto"/>
        <w:ind w:firstLine="0"/>
        <w:jc w:val="both"/>
      </w:pPr>
      <w:r w:rsidRPr="00BE441E">
        <w:t xml:space="preserve">We extracted total RNA from aortic arches using the RNeasy Mini kit (74104, Qiagen). DNA was removed via a RNase-free DNase set (79254, Qiagen) for DNA digestion. RNA quality was assessed with a </w:t>
      </w:r>
      <w:proofErr w:type="spellStart"/>
      <w:r w:rsidRPr="00BE441E">
        <w:t>NanoQuant</w:t>
      </w:r>
      <w:proofErr w:type="spellEnd"/>
      <w:r w:rsidRPr="00BE441E">
        <w:t xml:space="preserve"> Plate on an Infinite M200 PRO plate reader (both TECAN) and first-strand cDNA was generated with the High-Capacity RNA-to-cDNA kit (4388950, Applied Biosystems). </w:t>
      </w:r>
    </w:p>
    <w:p w14:paraId="519112F7" w14:textId="77777777" w:rsidR="00E16B14" w:rsidRPr="00BE441E" w:rsidRDefault="00E16B14" w:rsidP="00E16B14">
      <w:pPr>
        <w:pStyle w:val="SMText"/>
        <w:spacing w:line="480" w:lineRule="auto"/>
        <w:ind w:firstLine="0"/>
        <w:jc w:val="both"/>
      </w:pPr>
      <w:r w:rsidRPr="00BE441E">
        <w:t>Real-time qPCR was carried out using TaqMan probes (</w:t>
      </w:r>
      <w:r w:rsidRPr="00BE441E">
        <w:rPr>
          <w:i/>
        </w:rPr>
        <w:t>Mmp3</w:t>
      </w:r>
      <w:r w:rsidRPr="00BE441E">
        <w:t>,</w:t>
      </w:r>
      <w:r w:rsidRPr="00BE441E">
        <w:rPr>
          <w:color w:val="000000"/>
        </w:rPr>
        <w:t xml:space="preserve"> Mm00440295_m1</w:t>
      </w:r>
      <w:r w:rsidRPr="00BE441E">
        <w:t xml:space="preserve">; </w:t>
      </w:r>
      <w:r w:rsidRPr="00BE441E">
        <w:rPr>
          <w:i/>
        </w:rPr>
        <w:t>Col1a2</w:t>
      </w:r>
      <w:r w:rsidRPr="00BE441E">
        <w:t>,</w:t>
      </w:r>
      <w:r w:rsidRPr="00BE441E">
        <w:rPr>
          <w:color w:val="000000"/>
        </w:rPr>
        <w:t xml:space="preserve"> Mm00483888_m1; </w:t>
      </w:r>
      <w:r w:rsidRPr="00BE441E">
        <w:rPr>
          <w:i/>
        </w:rPr>
        <w:t>Tgfb1</w:t>
      </w:r>
      <w:r w:rsidRPr="00BE441E">
        <w:t>,</w:t>
      </w:r>
      <w:r w:rsidRPr="00BE441E">
        <w:rPr>
          <w:color w:val="000000"/>
        </w:rPr>
        <w:t xml:space="preserve"> Mm01178820_m1;</w:t>
      </w:r>
      <w:r w:rsidRPr="00BE441E">
        <w:t xml:space="preserve"> </w:t>
      </w:r>
      <w:r w:rsidRPr="00BE441E">
        <w:rPr>
          <w:i/>
        </w:rPr>
        <w:t>Col3a1</w:t>
      </w:r>
      <w:r w:rsidRPr="00BE441E">
        <w:t xml:space="preserve">, </w:t>
      </w:r>
      <w:r w:rsidRPr="00BE441E">
        <w:rPr>
          <w:color w:val="000000"/>
        </w:rPr>
        <w:t xml:space="preserve">Mm01254476_m1; </w:t>
      </w:r>
      <w:r w:rsidRPr="00BE441E">
        <w:rPr>
          <w:i/>
        </w:rPr>
        <w:t>Ccl7</w:t>
      </w:r>
      <w:r w:rsidRPr="00BE441E">
        <w:t xml:space="preserve">, </w:t>
      </w:r>
      <w:r w:rsidRPr="00BE441E">
        <w:rPr>
          <w:color w:val="000000"/>
        </w:rPr>
        <w:t xml:space="preserve">Mm00443113_m1; </w:t>
      </w:r>
      <w:r w:rsidRPr="00BE441E">
        <w:rPr>
          <w:i/>
        </w:rPr>
        <w:t>Cxcl1</w:t>
      </w:r>
      <w:r w:rsidRPr="00BE441E">
        <w:t xml:space="preserve">, </w:t>
      </w:r>
      <w:r w:rsidRPr="00BE441E">
        <w:rPr>
          <w:color w:val="000000"/>
        </w:rPr>
        <w:t>Mm04207460_m1</w:t>
      </w:r>
      <w:r w:rsidRPr="00BE441E">
        <w:t>) and TaqMan Fast Universal Master Mix (all Thermo Fisher). The reactions were performed in a total volume of 10 </w:t>
      </w:r>
      <w:r w:rsidRPr="00BE441E">
        <w:rPr>
          <w:bCs/>
          <w:color w:val="050707"/>
        </w:rPr>
        <w:t xml:space="preserve">µl and over 40 cycles on a </w:t>
      </w:r>
      <w:proofErr w:type="spellStart"/>
      <w:r w:rsidRPr="00BE441E">
        <w:rPr>
          <w:bCs/>
          <w:color w:val="050707"/>
        </w:rPr>
        <w:t>ViiA</w:t>
      </w:r>
      <w:proofErr w:type="spellEnd"/>
      <w:r w:rsidRPr="00BE441E">
        <w:rPr>
          <w:bCs/>
          <w:color w:val="050707"/>
        </w:rPr>
        <w:t xml:space="preserve"> 7 system. </w:t>
      </w:r>
      <w:proofErr w:type="spellStart"/>
      <w:r w:rsidRPr="00BE441E">
        <w:rPr>
          <w:bCs/>
          <w:i/>
          <w:color w:val="050707"/>
        </w:rPr>
        <w:t>Gapdh</w:t>
      </w:r>
      <w:proofErr w:type="spellEnd"/>
      <w:r w:rsidRPr="00BE441E">
        <w:rPr>
          <w:bCs/>
          <w:i/>
          <w:color w:val="050707"/>
        </w:rPr>
        <w:t xml:space="preserve"> </w:t>
      </w:r>
      <w:r w:rsidRPr="00BE441E">
        <w:rPr>
          <w:bCs/>
          <w:color w:val="050707"/>
        </w:rPr>
        <w:t>(</w:t>
      </w:r>
      <w:r w:rsidRPr="00BE441E">
        <w:t>Mm99999915_g1)</w:t>
      </w:r>
      <w:r w:rsidRPr="00BE441E">
        <w:rPr>
          <w:bCs/>
          <w:color w:val="050707"/>
        </w:rPr>
        <w:t xml:space="preserve"> was used as a housekeeping gene. To quantify mRNA levels, 2</w:t>
      </w:r>
      <w:r w:rsidRPr="00BE441E">
        <w:rPr>
          <w:bCs/>
          <w:color w:val="050707"/>
          <w:vertAlign w:val="superscript"/>
        </w:rPr>
        <w:t>-</w:t>
      </w:r>
      <w:r w:rsidRPr="00BE441E">
        <w:rPr>
          <w:bCs/>
          <w:color w:val="050707"/>
          <w:vertAlign w:val="superscript"/>
        </w:rPr>
        <w:sym w:font="Symbol" w:char="F044"/>
      </w:r>
      <w:r w:rsidRPr="00BE441E">
        <w:rPr>
          <w:bCs/>
          <w:color w:val="050707"/>
          <w:vertAlign w:val="superscript"/>
        </w:rPr>
        <w:t>Ct</w:t>
      </w:r>
      <w:r w:rsidRPr="00BE441E">
        <w:rPr>
          <w:bCs/>
          <w:color w:val="050707"/>
        </w:rPr>
        <w:t xml:space="preserve"> values were used.</w:t>
      </w:r>
    </w:p>
    <w:p w14:paraId="45916313" w14:textId="77777777" w:rsidR="00E16B14" w:rsidRPr="00BE441E" w:rsidRDefault="00E16B14" w:rsidP="00E16B14">
      <w:pPr>
        <w:spacing w:line="480" w:lineRule="auto"/>
      </w:pPr>
    </w:p>
    <w:p w14:paraId="7592A578" w14:textId="77777777" w:rsidR="00E16B14" w:rsidRPr="00BE441E" w:rsidRDefault="00E16B14" w:rsidP="00E16B14">
      <w:pPr>
        <w:spacing w:line="480" w:lineRule="auto"/>
        <w:rPr>
          <w:b/>
        </w:rPr>
      </w:pPr>
      <w:r w:rsidRPr="00BE441E">
        <w:rPr>
          <w:b/>
        </w:rPr>
        <w:t>Chemokine &amp; Cytokine Assay</w:t>
      </w:r>
    </w:p>
    <w:p w14:paraId="15E2D712" w14:textId="77777777" w:rsidR="00E16B14" w:rsidRPr="00BE441E" w:rsidRDefault="00E16B14" w:rsidP="00E16B14">
      <w:pPr>
        <w:pStyle w:val="SMText"/>
        <w:spacing w:line="480" w:lineRule="auto"/>
        <w:ind w:firstLine="0"/>
        <w:jc w:val="both"/>
      </w:pPr>
      <w:r w:rsidRPr="00BE441E">
        <w:t xml:space="preserve">Blood samples were obtained by cardiac puncture and collected in EDTA-coated tubes. For plasma extraction, blood was centrifuged at 2000 x g for 15 min at 4 </w:t>
      </w:r>
      <w:r w:rsidRPr="00BE441E">
        <w:sym w:font="Symbol" w:char="F0B0"/>
      </w:r>
      <w:r w:rsidRPr="00BE441E">
        <w:t xml:space="preserve">C. The chemokine &amp; cytokine assay (36-Plex Mouse </w:t>
      </w:r>
      <w:proofErr w:type="spellStart"/>
      <w:r w:rsidRPr="00BE441E">
        <w:t>ProcartaPlex</w:t>
      </w:r>
      <w:proofErr w:type="spellEnd"/>
      <w:r w:rsidRPr="00BE441E">
        <w:t>™ Panel 1A, EPX360-26092-90, Thermo Fisher) was performed according to the manufacturer´s instructions.</w:t>
      </w:r>
    </w:p>
    <w:p w14:paraId="3A61855C" w14:textId="77777777" w:rsidR="00E16B14" w:rsidRPr="00BE441E" w:rsidRDefault="00E16B14" w:rsidP="00E16B14">
      <w:pPr>
        <w:pStyle w:val="SMText"/>
        <w:spacing w:line="480" w:lineRule="auto"/>
        <w:ind w:firstLine="0"/>
        <w:jc w:val="both"/>
      </w:pPr>
    </w:p>
    <w:p w14:paraId="4A4600A0" w14:textId="77777777" w:rsidR="00E16B14" w:rsidRPr="00BE441E" w:rsidRDefault="00E16B14" w:rsidP="00E16B14">
      <w:pPr>
        <w:pStyle w:val="SMText"/>
        <w:spacing w:line="480" w:lineRule="auto"/>
        <w:ind w:firstLine="0"/>
        <w:jc w:val="both"/>
      </w:pPr>
      <w:r w:rsidRPr="00BE441E">
        <w:rPr>
          <w:b/>
        </w:rPr>
        <w:t>ELISA</w:t>
      </w:r>
    </w:p>
    <w:p w14:paraId="7A92CAAB" w14:textId="77777777" w:rsidR="00E16B14" w:rsidRPr="00BE441E" w:rsidRDefault="00E16B14" w:rsidP="00E16B14">
      <w:pPr>
        <w:pStyle w:val="SMText"/>
        <w:spacing w:line="480" w:lineRule="auto"/>
        <w:ind w:firstLine="0"/>
        <w:jc w:val="both"/>
        <w:rPr>
          <w:color w:val="000000"/>
        </w:rPr>
      </w:pPr>
      <w:r w:rsidRPr="00BE441E">
        <w:t xml:space="preserve">Blood samples were obtained as </w:t>
      </w:r>
      <w:r w:rsidRPr="00BE441E">
        <w:rPr>
          <w:color w:val="000000"/>
        </w:rPr>
        <w:t>described above</w:t>
      </w:r>
      <w:r w:rsidRPr="00BE441E">
        <w:t>. Aortic arches were excised, stored in catecholamine stabilizing buffer (0.01 N hydrochloric acid, 0.15 mM ethylenediaminetetraacetic acid, 4mM sodium metabisulfite in H</w:t>
      </w:r>
      <w:r w:rsidRPr="00BE441E">
        <w:rPr>
          <w:vertAlign w:val="subscript"/>
        </w:rPr>
        <w:t>2</w:t>
      </w:r>
      <w:r w:rsidRPr="00BE441E">
        <w:t xml:space="preserve">O </w:t>
      </w:r>
      <w:proofErr w:type="spellStart"/>
      <w:r w:rsidRPr="00BE441E">
        <w:t>dest</w:t>
      </w:r>
      <w:proofErr w:type="spellEnd"/>
      <w:r w:rsidRPr="00BE441E">
        <w:t xml:space="preserve">.; adjusted to pH 7) at -80 </w:t>
      </w:r>
      <w:r w:rsidRPr="00BE441E">
        <w:sym w:font="Symbol" w:char="F0B0"/>
      </w:r>
      <w:r w:rsidRPr="00BE441E">
        <w:t xml:space="preserve">C for up to one week, and minced using a mechanical disruptor (TH220, Omni) with soft-tissue tips (32750, Omni). </w:t>
      </w:r>
      <w:r w:rsidRPr="00BE441E">
        <w:rPr>
          <w:color w:val="000000"/>
        </w:rPr>
        <w:t xml:space="preserve">ab108821 (Abcam), EA633/96 (DLD </w:t>
      </w:r>
      <w:proofErr w:type="spellStart"/>
      <w:r w:rsidRPr="00BE441E">
        <w:rPr>
          <w:color w:val="000000"/>
        </w:rPr>
        <w:t>Diagnostika</w:t>
      </w:r>
      <w:proofErr w:type="spellEnd"/>
      <w:r w:rsidRPr="00BE441E">
        <w:rPr>
          <w:color w:val="000000"/>
        </w:rPr>
        <w:t xml:space="preserve">), and EA632/96 (DLD </w:t>
      </w:r>
      <w:proofErr w:type="spellStart"/>
      <w:r w:rsidRPr="00BE441E">
        <w:rPr>
          <w:color w:val="000000"/>
        </w:rPr>
        <w:t>Diagnostika</w:t>
      </w:r>
      <w:proofErr w:type="spellEnd"/>
      <w:r w:rsidRPr="00BE441E">
        <w:rPr>
          <w:color w:val="000000"/>
        </w:rPr>
        <w:t xml:space="preserve">) were used for corticosterone (1:100 sample dilution), norepinephrine, and epinephrine measurements, respectively. For the measurement of intimal norepinephrine concentrations, human atherosclerotic plaque samples from carotid (approval by the local ethics committee of the Technical University Munich: 2799/10) and coronary (approval by the local ethics committee of </w:t>
      </w:r>
      <w:r w:rsidRPr="00BE441E">
        <w:rPr>
          <w:color w:val="000000"/>
          <w:szCs w:val="24"/>
        </w:rPr>
        <w:t xml:space="preserve">the Technical University Munich: 5943/13, </w:t>
      </w:r>
      <w:r w:rsidRPr="00BE441E">
        <w:rPr>
          <w:bCs/>
          <w:color w:val="000000" w:themeColor="text1"/>
          <w:szCs w:val="24"/>
          <w:shd w:val="clear" w:color="auto" w:fill="FFFFFF"/>
        </w:rPr>
        <w:t xml:space="preserve">performed as an adjunct to </w:t>
      </w:r>
      <w:r w:rsidRPr="00BE441E">
        <w:rPr>
          <w:bCs/>
          <w:color w:val="000000" w:themeColor="text1"/>
          <w:szCs w:val="24"/>
        </w:rPr>
        <w:t>coronary artery bypass grafting</w:t>
      </w:r>
      <w:r w:rsidRPr="00BE441E">
        <w:rPr>
          <w:color w:val="000000"/>
          <w:szCs w:val="24"/>
        </w:rPr>
        <w:t xml:space="preserve">) </w:t>
      </w:r>
      <w:r w:rsidRPr="00BE441E">
        <w:rPr>
          <w:color w:val="000000"/>
        </w:rPr>
        <w:t xml:space="preserve">endarterectomy procedures were used. Samples were directly frozen at </w:t>
      </w:r>
      <w:r w:rsidRPr="00BE441E">
        <w:t>-80 </w:t>
      </w:r>
      <w:r w:rsidRPr="00BE441E">
        <w:sym w:font="Symbol" w:char="F0B0"/>
      </w:r>
      <w:r w:rsidRPr="00BE441E">
        <w:t xml:space="preserve">C after the intervention, and minced using a mechanical disruptor with hard-tissue tips (32750H). Samples were centrifuged at 12,000 g for 15 min at 4 </w:t>
      </w:r>
      <w:r w:rsidRPr="00BE441E">
        <w:sym w:font="Symbol" w:char="F0B0"/>
      </w:r>
      <w:r w:rsidRPr="00BE441E">
        <w:t>C to remove debris and measured using the above-mentioned norepinephrine ELISA.</w:t>
      </w:r>
    </w:p>
    <w:p w14:paraId="6C760C70" w14:textId="77777777" w:rsidR="00E16B14" w:rsidRPr="00BE441E" w:rsidRDefault="00E16B14" w:rsidP="00E16B14">
      <w:pPr>
        <w:pStyle w:val="SMText"/>
        <w:spacing w:line="480" w:lineRule="auto"/>
        <w:ind w:firstLine="0"/>
        <w:jc w:val="both"/>
        <w:rPr>
          <w:color w:val="000000"/>
        </w:rPr>
      </w:pPr>
      <w:r w:rsidRPr="00BE441E">
        <w:rPr>
          <w:color w:val="000000"/>
        </w:rPr>
        <w:lastRenderedPageBreak/>
        <w:t xml:space="preserve">ab216951, ab205571 (both Abcam) and MJE00B (R&amp;D) were used to determine CXCL1, CCL7, and CCL2 plasma levels. ab216951, ab205571, ab100712, ab229440, ab229393 (all Abcam) were used to determine CXCL1, CCL7, IL-6, IL-1ß, and </w:t>
      </w:r>
      <w:proofErr w:type="spellStart"/>
      <w:r w:rsidRPr="00BE441E">
        <w:rPr>
          <w:color w:val="000000"/>
        </w:rPr>
        <w:t>TNFalpha</w:t>
      </w:r>
      <w:proofErr w:type="spellEnd"/>
      <w:r w:rsidRPr="00BE441E">
        <w:rPr>
          <w:color w:val="000000"/>
        </w:rPr>
        <w:t xml:space="preserve"> levels in cell culture supernatants. All measurements were performed according to the manufacturers’ instructions. </w:t>
      </w:r>
    </w:p>
    <w:p w14:paraId="07C80A85" w14:textId="77777777" w:rsidR="00E16B14" w:rsidRPr="00BE441E" w:rsidRDefault="00E16B14" w:rsidP="00E16B14">
      <w:pPr>
        <w:spacing w:line="480" w:lineRule="auto"/>
        <w:jc w:val="both"/>
        <w:rPr>
          <w:color w:val="000000"/>
        </w:rPr>
      </w:pPr>
    </w:p>
    <w:p w14:paraId="20483E1A" w14:textId="77777777" w:rsidR="00E16B14" w:rsidRPr="00BE441E" w:rsidRDefault="00E16B14" w:rsidP="00E16B14">
      <w:pPr>
        <w:spacing w:line="480" w:lineRule="auto"/>
        <w:jc w:val="both"/>
        <w:rPr>
          <w:b/>
          <w:color w:val="000000"/>
        </w:rPr>
      </w:pPr>
      <w:r w:rsidRPr="00BE441E">
        <w:rPr>
          <w:b/>
          <w:color w:val="000000"/>
        </w:rPr>
        <w:t>Cholesterol measurements</w:t>
      </w:r>
    </w:p>
    <w:p w14:paraId="0E831E40" w14:textId="77777777" w:rsidR="00E16B14" w:rsidRPr="00BE441E" w:rsidRDefault="00E16B14" w:rsidP="00E16B14">
      <w:pPr>
        <w:pStyle w:val="SMText"/>
        <w:spacing w:line="480" w:lineRule="auto"/>
        <w:ind w:firstLine="0"/>
        <w:jc w:val="both"/>
        <w:rPr>
          <w:color w:val="000000"/>
          <w:szCs w:val="24"/>
        </w:rPr>
      </w:pPr>
      <w:r w:rsidRPr="00BE441E">
        <w:rPr>
          <w:color w:val="000000"/>
          <w:szCs w:val="24"/>
        </w:rPr>
        <w:t xml:space="preserve">Blood samples were obtained as described above and </w:t>
      </w:r>
      <w:r w:rsidRPr="00BE441E">
        <w:rPr>
          <w:szCs w:val="24"/>
        </w:rPr>
        <w:t xml:space="preserve">assessed on a Cobas photometer (Roche) with the respective analysis kit </w:t>
      </w:r>
      <w:r w:rsidRPr="00BE441E">
        <w:rPr>
          <w:color w:val="000000"/>
          <w:szCs w:val="24"/>
        </w:rPr>
        <w:t>(LDL-c: LDLC3, HDL-c: HDLC4, total cholesterol: CHOL2; all Roche)</w:t>
      </w:r>
      <w:r w:rsidRPr="00BE441E">
        <w:rPr>
          <w:szCs w:val="24"/>
        </w:rPr>
        <w:t xml:space="preserve"> by the routine clinical laboratory of the German Heart Centre, Munich. </w:t>
      </w:r>
    </w:p>
    <w:p w14:paraId="572C3692" w14:textId="77777777" w:rsidR="00E16B14" w:rsidRPr="00BE441E" w:rsidRDefault="00E16B14" w:rsidP="00E16B14">
      <w:pPr>
        <w:spacing w:line="480" w:lineRule="auto"/>
        <w:jc w:val="both"/>
        <w:rPr>
          <w:color w:val="000000"/>
        </w:rPr>
      </w:pPr>
    </w:p>
    <w:p w14:paraId="56365727" w14:textId="77777777" w:rsidR="00E16B14" w:rsidRPr="00BE441E" w:rsidRDefault="00E16B14" w:rsidP="00E16B14">
      <w:pPr>
        <w:spacing w:line="480" w:lineRule="auto"/>
        <w:rPr>
          <w:b/>
          <w:color w:val="000000" w:themeColor="text1"/>
        </w:rPr>
      </w:pPr>
      <w:r w:rsidRPr="00BE441E">
        <w:rPr>
          <w:b/>
          <w:color w:val="000000" w:themeColor="text1"/>
        </w:rPr>
        <w:t>Immunoblotting</w:t>
      </w:r>
    </w:p>
    <w:p w14:paraId="7DBA6462" w14:textId="77777777" w:rsidR="00E16B14" w:rsidRPr="00BE441E" w:rsidRDefault="00E16B14" w:rsidP="00E16B14">
      <w:pPr>
        <w:pStyle w:val="SMText"/>
        <w:spacing w:line="480" w:lineRule="auto"/>
        <w:ind w:firstLine="0"/>
        <w:jc w:val="both"/>
      </w:pPr>
      <w:r w:rsidRPr="00BE441E">
        <w:t xml:space="preserve">Aortic arches were excised, stored at -80 </w:t>
      </w:r>
      <w:r w:rsidRPr="00BE441E">
        <w:sym w:font="Symbol" w:char="F0B0"/>
      </w:r>
      <w:r w:rsidRPr="00BE441E">
        <w:t xml:space="preserve">C, and minced in 200 </w:t>
      </w:r>
      <w:r w:rsidRPr="00BE441E">
        <w:rPr>
          <w:bCs/>
        </w:rPr>
        <w:t>µl</w:t>
      </w:r>
      <w:r w:rsidRPr="00BE441E">
        <w:t xml:space="preserve"> RIPA buffer (Cell Signaling Technology) supplemented with 1 % proteinase (Halt™ Protease Inhibitor Cocktail, Thermo Fisher) and phosphatase inhibitor cocktail (Halt™ Phosphatase Inhibitor Cocktail, Thermo Fisher) using scissors followed by mechanical disruption with soft-tissue tips. To generate cell lysates, cells were sonicated 3 times for 30 s with intermitting 30 s on ice and centrifuged at 21,000 g for 5 min to remove cell debris. Protein concentrations were determined with a </w:t>
      </w:r>
      <w:r w:rsidRPr="00BE441E">
        <w:rPr>
          <w:shd w:val="clear" w:color="auto" w:fill="FFFFFF"/>
        </w:rPr>
        <w:t>bicinchoninic acid (BCA) assay (</w:t>
      </w:r>
      <w:proofErr w:type="spellStart"/>
      <w:r w:rsidRPr="00BE441E">
        <w:rPr>
          <w:shd w:val="clear" w:color="auto" w:fill="FFFFFF"/>
        </w:rPr>
        <w:t>ThermoFisher</w:t>
      </w:r>
      <w:proofErr w:type="spellEnd"/>
      <w:r w:rsidRPr="00BE441E">
        <w:rPr>
          <w:shd w:val="clear" w:color="auto" w:fill="FFFFFF"/>
        </w:rPr>
        <w:t xml:space="preserve">) according to the manufacturer´s protocol. Samples were adjusted to insert 35 </w:t>
      </w:r>
      <w:r w:rsidRPr="00BE441E">
        <w:rPr>
          <w:bCs/>
        </w:rPr>
        <w:t>µg</w:t>
      </w:r>
      <w:r w:rsidRPr="00BE441E">
        <w:rPr>
          <w:shd w:val="clear" w:color="auto" w:fill="FFFFFF"/>
        </w:rPr>
        <w:t xml:space="preserve"> total protein</w:t>
      </w:r>
      <w:r w:rsidRPr="00BE441E">
        <w:rPr>
          <w:bCs/>
        </w:rPr>
        <w:t xml:space="preserve">, supplemented with 4X </w:t>
      </w:r>
      <w:proofErr w:type="spellStart"/>
      <w:r w:rsidRPr="00BE441E">
        <w:rPr>
          <w:bCs/>
        </w:rPr>
        <w:t>Laemmli</w:t>
      </w:r>
      <w:proofErr w:type="spellEnd"/>
      <w:r w:rsidRPr="00BE441E">
        <w:rPr>
          <w:bCs/>
        </w:rPr>
        <w:t xml:space="preserve"> samples buffer, and heated for 5 min at 95 </w:t>
      </w:r>
      <w:r w:rsidRPr="00BE441E">
        <w:sym w:font="Symbol" w:char="F0B0"/>
      </w:r>
      <w:r w:rsidRPr="00BE441E">
        <w:t xml:space="preserve">C. SDS-gel electrophoresis was performed with 4-20 % Mini-PROTEAN® TGX™ precast gradient gels (Bio-Rad) at 300 V for 18 min in 1X Tris/glycine/SDS buffer (Bio-Rad). Wet blotting (25 mM Tris, 192 mM glycine, 20 % v/v methanol, pH 8.3) was carried out at 100 V for 90 min using methanol-activated polyvinylidene difluoride (PVDF) membranes (Merck Millipore). All </w:t>
      </w:r>
      <w:r w:rsidRPr="00BE441E">
        <w:lastRenderedPageBreak/>
        <w:t xml:space="preserve">subsequent buffers were based on TBS-T (20 mM Tris, 150 mM </w:t>
      </w:r>
      <w:proofErr w:type="spellStart"/>
      <w:r w:rsidRPr="00BE441E">
        <w:t>NaCL</w:t>
      </w:r>
      <w:proofErr w:type="spellEnd"/>
      <w:r w:rsidRPr="00BE441E">
        <w:t>, 0.1 % Tween, pH 7.6) and contained 5 % BSA. The membrane was blocked for 1 h at room temperature with the aforementioned buffer. Primary antibodies (anti-</w:t>
      </w:r>
      <w:proofErr w:type="spellStart"/>
      <w:r w:rsidRPr="00BE441E">
        <w:t>pTH</w:t>
      </w:r>
      <w:proofErr w:type="spellEnd"/>
      <w:r w:rsidRPr="00BE441E">
        <w:t xml:space="preserve">, ab5935, 1:500, Merck Millipore; anti-GAPDH, 5174P, 1:50000, Cell Signaling) were incubated overnight at 4 </w:t>
      </w:r>
      <w:r w:rsidRPr="00BE441E">
        <w:sym w:font="Symbol" w:char="F0B0"/>
      </w:r>
      <w:r w:rsidRPr="00BE441E">
        <w:t xml:space="preserve">C and the appropriate HRP-conjugated secondary antibody (anti-rabbit, 7074, 1:100,000, Cell Signaling) was incubated for 1 h at room temperature. For signal detection, membranes were incubated using </w:t>
      </w:r>
      <w:proofErr w:type="spellStart"/>
      <w:r w:rsidRPr="00BE441E">
        <w:t>SuperSignal</w:t>
      </w:r>
      <w:proofErr w:type="spellEnd"/>
      <w:r w:rsidRPr="00BE441E">
        <w:t xml:space="preserve">™ West Dura Extended Duration Substrate (Thermo Fisher) according to </w:t>
      </w:r>
      <w:r w:rsidRPr="00BE441E">
        <w:rPr>
          <w:shd w:val="clear" w:color="auto" w:fill="FFFFFF"/>
        </w:rPr>
        <w:t>the manufacturer´s protocol</w:t>
      </w:r>
      <w:r w:rsidRPr="00BE441E">
        <w:t xml:space="preserve"> and imaged with an </w:t>
      </w:r>
      <w:proofErr w:type="spellStart"/>
      <w:r w:rsidRPr="00BE441E">
        <w:t>ImageQuant</w:t>
      </w:r>
      <w:proofErr w:type="spellEnd"/>
      <w:r w:rsidRPr="00BE441E">
        <w:t xml:space="preserve"> LAS 400 imaging system (GE Healthcare Life Sciences).</w:t>
      </w:r>
    </w:p>
    <w:p w14:paraId="72A9EF0C" w14:textId="77777777" w:rsidR="00E16B14" w:rsidRPr="00BE441E" w:rsidRDefault="00E16B14" w:rsidP="00E16B14">
      <w:pPr>
        <w:spacing w:line="480" w:lineRule="auto"/>
        <w:rPr>
          <w:color w:val="000000" w:themeColor="text1"/>
        </w:rPr>
      </w:pPr>
    </w:p>
    <w:p w14:paraId="7C448B7A" w14:textId="77777777" w:rsidR="00E16B14" w:rsidRPr="00BE441E" w:rsidRDefault="00E16B14" w:rsidP="00E16B14">
      <w:pPr>
        <w:spacing w:line="480" w:lineRule="auto"/>
        <w:rPr>
          <w:b/>
        </w:rPr>
      </w:pPr>
      <w:r w:rsidRPr="00BE441E">
        <w:rPr>
          <w:b/>
        </w:rPr>
        <w:t>Cell culture</w:t>
      </w:r>
    </w:p>
    <w:p w14:paraId="6CA7CBB7" w14:textId="77777777" w:rsidR="00E16B14" w:rsidRPr="00BE441E" w:rsidRDefault="00E16B14" w:rsidP="00E16B14">
      <w:pPr>
        <w:pStyle w:val="SMText"/>
        <w:spacing w:line="480" w:lineRule="auto"/>
        <w:ind w:firstLine="0"/>
        <w:jc w:val="both"/>
        <w:rPr>
          <w:color w:val="000000"/>
        </w:rPr>
      </w:pPr>
      <w:r w:rsidRPr="00BE441E">
        <w:t xml:space="preserve">Primary murine aortic endothelial cells </w:t>
      </w:r>
      <w:r w:rsidRPr="00BE441E">
        <w:rPr>
          <w:color w:val="000000" w:themeColor="text1"/>
        </w:rPr>
        <w:t>(</w:t>
      </w:r>
      <w:r w:rsidRPr="00BE441E">
        <w:rPr>
          <w:bCs/>
          <w:color w:val="000000" w:themeColor="text1"/>
        </w:rPr>
        <w:t>C57-6052</w:t>
      </w:r>
      <w:r w:rsidRPr="00BE441E">
        <w:t xml:space="preserve">, </w:t>
      </w:r>
      <w:proofErr w:type="spellStart"/>
      <w:r w:rsidRPr="00BE441E">
        <w:t>mAoECS</w:t>
      </w:r>
      <w:proofErr w:type="spellEnd"/>
      <w:r w:rsidRPr="00BE441E">
        <w:t xml:space="preserve">), primary murine aortic smooth muscle cells </w:t>
      </w:r>
      <w:r w:rsidRPr="00BE441E">
        <w:rPr>
          <w:color w:val="000000" w:themeColor="text1"/>
        </w:rPr>
        <w:t>(</w:t>
      </w:r>
      <w:r w:rsidRPr="00BE441E">
        <w:rPr>
          <w:bCs/>
          <w:color w:val="000000" w:themeColor="text1"/>
        </w:rPr>
        <w:t>C57-6080),</w:t>
      </w:r>
      <w:r w:rsidRPr="00BE441E">
        <w:t xml:space="preserve"> and primary murine aortic fibroblasts </w:t>
      </w:r>
      <w:r w:rsidRPr="00BE441E">
        <w:rPr>
          <w:color w:val="000000" w:themeColor="text1"/>
        </w:rPr>
        <w:t>(</w:t>
      </w:r>
      <w:r w:rsidRPr="00BE441E">
        <w:rPr>
          <w:bCs/>
          <w:color w:val="000000" w:themeColor="text1"/>
        </w:rPr>
        <w:t>C57-6075</w:t>
      </w:r>
      <w:r w:rsidRPr="00BE441E">
        <w:t xml:space="preserve">, all </w:t>
      </w:r>
      <w:proofErr w:type="spellStart"/>
      <w:r w:rsidRPr="00BE441E">
        <w:t>CellBiologics</w:t>
      </w:r>
      <w:proofErr w:type="spellEnd"/>
      <w:r w:rsidRPr="00BE441E">
        <w:t xml:space="preserve">) were cultured in appropriate cell culture medium (PB-M1168, PB-M2268, PB-M1167, </w:t>
      </w:r>
      <w:proofErr w:type="spellStart"/>
      <w:r w:rsidRPr="00BE441E">
        <w:t>PeloBiotech</w:t>
      </w:r>
      <w:proofErr w:type="spellEnd"/>
      <w:r w:rsidRPr="00BE441E">
        <w:t>) in a humidified incubator with 5 % CO</w:t>
      </w:r>
      <w:r w:rsidRPr="00BE441E">
        <w:rPr>
          <w:vertAlign w:val="subscript"/>
        </w:rPr>
        <w:t>2</w:t>
      </w:r>
      <w:r w:rsidRPr="00BE441E">
        <w:t xml:space="preserve"> at 37 </w:t>
      </w:r>
      <w:r w:rsidRPr="00BE441E">
        <w:sym w:font="Symbol" w:char="F0B0"/>
      </w:r>
      <w:r w:rsidRPr="00BE441E">
        <w:t xml:space="preserve">C. </w:t>
      </w:r>
      <w:r w:rsidRPr="00BE441E">
        <w:rPr>
          <w:color w:val="000000"/>
        </w:rPr>
        <w:t xml:space="preserve">For static experiments, 50,000 </w:t>
      </w:r>
      <w:proofErr w:type="spellStart"/>
      <w:r w:rsidRPr="00BE441E">
        <w:rPr>
          <w:color w:val="000000"/>
        </w:rPr>
        <w:t>mAoECs</w:t>
      </w:r>
      <w:proofErr w:type="spellEnd"/>
      <w:r w:rsidRPr="00BE441E">
        <w:rPr>
          <w:color w:val="000000"/>
        </w:rPr>
        <w:t>, smooth muscle cells or fibroblasts were seeded into a 24-well plate. After cultivation for 24 h, norepinephrine (1</w:t>
      </w:r>
      <w:r w:rsidRPr="00BE441E">
        <w:rPr>
          <w:bCs/>
          <w:color w:val="000000" w:themeColor="text1"/>
        </w:rPr>
        <w:t xml:space="preserve"> µM,</w:t>
      </w:r>
      <w:r w:rsidRPr="00BE441E">
        <w:rPr>
          <w:color w:val="000000"/>
        </w:rPr>
        <w:t xml:space="preserve"> A7257-1G, Sigma</w:t>
      </w:r>
      <w:r w:rsidRPr="00BE441E">
        <w:rPr>
          <w:bCs/>
          <w:color w:val="000000" w:themeColor="text1"/>
        </w:rPr>
        <w:t>)</w:t>
      </w:r>
      <w:r w:rsidRPr="00BE441E">
        <w:rPr>
          <w:color w:val="000000"/>
        </w:rPr>
        <w:t xml:space="preserve"> or HCl vehicle was added repetitively every 8 h for 24 h. Afterwards, the supernatant was collected for chemokine measurements. </w:t>
      </w:r>
      <w:r w:rsidRPr="00BE441E">
        <w:rPr>
          <w:color w:val="000000"/>
          <w:szCs w:val="24"/>
        </w:rPr>
        <w:t xml:space="preserve">Bone marrow-derived macrophages (BMDM) were generated by flushing one femur of each mouse with 20 ml PBS (0.5% BSA). Cells were centrifuged </w:t>
      </w:r>
      <w:r w:rsidRPr="00BE441E">
        <w:rPr>
          <w:szCs w:val="24"/>
        </w:rPr>
        <w:t xml:space="preserve">at 400 g for 5 min at 4 </w:t>
      </w:r>
      <w:r w:rsidRPr="00BE441E">
        <w:rPr>
          <w:szCs w:val="24"/>
        </w:rPr>
        <w:sym w:font="Symbol" w:char="F0B0"/>
      </w:r>
      <w:r w:rsidRPr="00BE441E">
        <w:rPr>
          <w:szCs w:val="24"/>
        </w:rPr>
        <w:t>C, treated with RBC lysis as described above, and 1,000,000 cells were plated in a 6-well plate containing 1 ml of RPMI medium (A1049101, Gibco) containing 10% fetal calve serum, 1%</w:t>
      </w:r>
      <w:r w:rsidRPr="00BE441E">
        <w:t xml:space="preserve"> Pen/Strep, and 100 ng/ml M-CSF (416-ML-050, R&amp;D). An additional 1 ml of medium was added the day after, and following a wash step with PBS, medium was completely replaced at day 3 and 5. From day 5 on, </w:t>
      </w:r>
      <w:r w:rsidRPr="00BE441E">
        <w:rPr>
          <w:color w:val="000000"/>
        </w:rPr>
        <w:lastRenderedPageBreak/>
        <w:t>norepinephrine (1</w:t>
      </w:r>
      <w:r w:rsidRPr="00BE441E">
        <w:rPr>
          <w:bCs/>
          <w:color w:val="000000" w:themeColor="text1"/>
        </w:rPr>
        <w:t xml:space="preserve"> µM)</w:t>
      </w:r>
      <w:r w:rsidRPr="00BE441E">
        <w:rPr>
          <w:color w:val="000000"/>
        </w:rPr>
        <w:t xml:space="preserve"> or 0.5 M HCl vehicle was added repetitively every 8 h for 24 h. Afterwards, the supernatant was collected for chemokine measurements. For flow experiments, 200,000 </w:t>
      </w:r>
      <w:proofErr w:type="spellStart"/>
      <w:r w:rsidRPr="00BE441E">
        <w:rPr>
          <w:color w:val="000000"/>
        </w:rPr>
        <w:t>mAoECs</w:t>
      </w:r>
      <w:proofErr w:type="spellEnd"/>
      <w:r w:rsidRPr="00BE441E">
        <w:rPr>
          <w:color w:val="000000"/>
        </w:rPr>
        <w:t xml:space="preserve"> were seeded into channel slides with 0.2 mm (high shear stress) and 0.8 mm (low shear stress) chamber height (80166 and 80196, </w:t>
      </w:r>
      <w:proofErr w:type="spellStart"/>
      <w:r w:rsidRPr="00BE441E">
        <w:rPr>
          <w:color w:val="000000"/>
        </w:rPr>
        <w:t>Ibidi</w:t>
      </w:r>
      <w:proofErr w:type="spellEnd"/>
      <w:r w:rsidRPr="00BE441E">
        <w:rPr>
          <w:color w:val="000000"/>
        </w:rPr>
        <w:t>) and cultivated under flow conditions (flow profile: 1 </w:t>
      </w:r>
      <w:proofErr w:type="spellStart"/>
      <w:r w:rsidRPr="00BE441E">
        <w:rPr>
          <w:color w:val="000000"/>
        </w:rPr>
        <w:t>h at</w:t>
      </w:r>
      <w:proofErr w:type="spellEnd"/>
      <w:r w:rsidRPr="00BE441E">
        <w:rPr>
          <w:color w:val="000000"/>
        </w:rPr>
        <w:t xml:space="preserve"> 7 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xml:space="preserve"> , 1 h at 10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1 h at 15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and 30 </w:t>
      </w:r>
      <w:proofErr w:type="spellStart"/>
      <w:r w:rsidRPr="00BE441E">
        <w:rPr>
          <w:color w:val="000000"/>
        </w:rPr>
        <w:t>dyn</w:t>
      </w:r>
      <w:proofErr w:type="spellEnd"/>
      <w:r w:rsidRPr="00BE441E">
        <w:rPr>
          <w:color w:val="000000"/>
        </w:rPr>
        <w:t>/cm</w:t>
      </w:r>
      <w:r w:rsidRPr="00BE441E">
        <w:rPr>
          <w:color w:val="000000"/>
          <w:vertAlign w:val="superscript"/>
        </w:rPr>
        <w:t xml:space="preserve">2 </w:t>
      </w:r>
      <w:r w:rsidRPr="00BE441E">
        <w:rPr>
          <w:color w:val="000000"/>
        </w:rPr>
        <w:t>until harvest for 0.2 mm slides; 1 </w:t>
      </w:r>
      <w:proofErr w:type="spellStart"/>
      <w:r w:rsidRPr="00BE441E">
        <w:rPr>
          <w:color w:val="000000"/>
        </w:rPr>
        <w:t>h at</w:t>
      </w:r>
      <w:proofErr w:type="spellEnd"/>
      <w:r w:rsidRPr="00BE441E">
        <w:rPr>
          <w:color w:val="000000"/>
        </w:rPr>
        <w:t xml:space="preserve"> 0.5 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1 </w:t>
      </w:r>
      <w:proofErr w:type="spellStart"/>
      <w:r w:rsidRPr="00BE441E">
        <w:rPr>
          <w:color w:val="000000"/>
        </w:rPr>
        <w:t>h at</w:t>
      </w:r>
      <w:proofErr w:type="spellEnd"/>
      <w:r w:rsidRPr="00BE441E">
        <w:rPr>
          <w:color w:val="000000"/>
        </w:rPr>
        <w:t xml:space="preserve"> 0.7 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1 </w:t>
      </w:r>
      <w:proofErr w:type="spellStart"/>
      <w:r w:rsidRPr="00BE441E">
        <w:rPr>
          <w:color w:val="000000"/>
        </w:rPr>
        <w:t>h at</w:t>
      </w:r>
      <w:proofErr w:type="spellEnd"/>
      <w:r w:rsidRPr="00BE441E">
        <w:rPr>
          <w:color w:val="000000"/>
        </w:rPr>
        <w:t xml:space="preserve"> 1 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and 2 </w:t>
      </w:r>
      <w:proofErr w:type="spellStart"/>
      <w:r w:rsidRPr="00BE441E">
        <w:rPr>
          <w:color w:val="000000"/>
        </w:rPr>
        <w:t>dyn</w:t>
      </w:r>
      <w:proofErr w:type="spellEnd"/>
      <w:r w:rsidRPr="00BE441E">
        <w:rPr>
          <w:color w:val="000000"/>
        </w:rPr>
        <w:t>/cm</w:t>
      </w:r>
      <w:r w:rsidRPr="00BE441E">
        <w:rPr>
          <w:color w:val="000000"/>
          <w:vertAlign w:val="superscript"/>
        </w:rPr>
        <w:t xml:space="preserve">2 </w:t>
      </w:r>
      <w:r w:rsidRPr="00BE441E">
        <w:rPr>
          <w:color w:val="000000"/>
        </w:rPr>
        <w:t xml:space="preserve">until harvest for 0.8 mm slides). After cultivation under flow conditions for 24 h, hormones were added </w:t>
      </w:r>
      <w:r w:rsidRPr="00BE441E">
        <w:t xml:space="preserve">(1 </w:t>
      </w:r>
      <w:r w:rsidRPr="00BE441E">
        <w:rPr>
          <w:bCs/>
          <w:color w:val="000000" w:themeColor="text1"/>
        </w:rPr>
        <w:t xml:space="preserve">µM </w:t>
      </w:r>
      <w:r w:rsidRPr="00BE441E">
        <w:t xml:space="preserve">norepinephrine </w:t>
      </w:r>
      <w:r w:rsidRPr="00BE441E">
        <w:rPr>
          <w:color w:val="000000"/>
        </w:rPr>
        <w:t xml:space="preserve">A7257-1G repetitively every 8 h, </w:t>
      </w:r>
      <w:r w:rsidRPr="00BE441E">
        <w:t xml:space="preserve">1 </w:t>
      </w:r>
      <w:r w:rsidRPr="00BE441E">
        <w:rPr>
          <w:bCs/>
          <w:color w:val="000000" w:themeColor="text1"/>
        </w:rPr>
        <w:t>µM</w:t>
      </w:r>
      <w:r w:rsidRPr="00BE441E">
        <w:rPr>
          <w:color w:val="000000"/>
        </w:rPr>
        <w:t xml:space="preserve"> epinephrine E-4250-1G repetitively every 8 h, </w:t>
      </w:r>
      <w:r w:rsidRPr="00BE441E">
        <w:t xml:space="preserve">1 </w:t>
      </w:r>
      <w:r w:rsidRPr="00BE441E">
        <w:rPr>
          <w:bCs/>
          <w:color w:val="000000" w:themeColor="text1"/>
        </w:rPr>
        <w:t xml:space="preserve">µM </w:t>
      </w:r>
      <w:r w:rsidRPr="00BE441E">
        <w:rPr>
          <w:color w:val="000000"/>
        </w:rPr>
        <w:t xml:space="preserve">corticosterone 27840-100MG once; all Sigma). Cells were harvested using </w:t>
      </w:r>
      <w:proofErr w:type="spellStart"/>
      <w:r w:rsidRPr="00BE441E">
        <w:rPr>
          <w:color w:val="000000"/>
        </w:rPr>
        <w:t>accutase</w:t>
      </w:r>
      <w:proofErr w:type="spellEnd"/>
      <w:r w:rsidRPr="00BE441E">
        <w:rPr>
          <w:color w:val="000000"/>
        </w:rPr>
        <w:t xml:space="preserve"> solution (A6964-100ML, Sigma). For leukocyte adhesion assays, neutrophils and monocytes were isolated and purified from bone marrow using magnetic-activated cell sorting, as described above. Cells were stained with </w:t>
      </w:r>
      <w:proofErr w:type="spellStart"/>
      <w:r w:rsidRPr="00BE441E">
        <w:rPr>
          <w:color w:val="000000"/>
        </w:rPr>
        <w:t>Calcein</w:t>
      </w:r>
      <w:proofErr w:type="spellEnd"/>
      <w:r w:rsidRPr="00BE441E">
        <w:rPr>
          <w:color w:val="000000"/>
        </w:rPr>
        <w:t xml:space="preserve">-AM (C3100MP, Invitrogen) for 1 h and </w:t>
      </w:r>
      <w:proofErr w:type="spellStart"/>
      <w:r w:rsidRPr="00BE441E">
        <w:rPr>
          <w:color w:val="000000"/>
        </w:rPr>
        <w:t>mAoECs</w:t>
      </w:r>
      <w:proofErr w:type="spellEnd"/>
      <w:r w:rsidRPr="00BE441E">
        <w:rPr>
          <w:color w:val="000000"/>
        </w:rPr>
        <w:t xml:space="preserve"> were incubated with the leukocytes under flow conditions for 1 h. For adrenoreceptor-blocker experiments, phentolamine hydrochloride (P7547, 1 </w:t>
      </w:r>
      <w:r w:rsidRPr="00BE441E">
        <w:rPr>
          <w:bCs/>
          <w:color w:val="000000" w:themeColor="text1"/>
        </w:rPr>
        <w:t xml:space="preserve">µM, </w:t>
      </w:r>
      <w:r w:rsidRPr="00BE441E">
        <w:rPr>
          <w:color w:val="000000"/>
        </w:rPr>
        <w:t xml:space="preserve">Sigma), propranolol hydrochloride (P0884, 1 </w:t>
      </w:r>
      <w:r w:rsidRPr="00BE441E">
        <w:rPr>
          <w:bCs/>
          <w:color w:val="000000" w:themeColor="text1"/>
        </w:rPr>
        <w:t xml:space="preserve">µM, </w:t>
      </w:r>
      <w:r w:rsidRPr="00BE441E">
        <w:rPr>
          <w:color w:val="000000"/>
        </w:rPr>
        <w:t xml:space="preserve">Sigma) or respective vehicle </w:t>
      </w:r>
      <w:r w:rsidRPr="00BE441E">
        <w:t xml:space="preserve">were added to the culture medium once a day. </w:t>
      </w:r>
      <w:r w:rsidRPr="00BE441E">
        <w:rPr>
          <w:color w:val="000000"/>
        </w:rPr>
        <w:t xml:space="preserve">For neutralization experiments, anti-CXCL1, anti-CCL7 </w:t>
      </w:r>
      <w:r w:rsidRPr="00BE441E">
        <w:t xml:space="preserve">(AF-456-NA and AF-453-NA, 0.1 </w:t>
      </w:r>
      <w:r w:rsidRPr="00BE441E">
        <w:rPr>
          <w:bCs/>
          <w:color w:val="000000" w:themeColor="text1"/>
        </w:rPr>
        <w:t>µg/ml each</w:t>
      </w:r>
      <w:r w:rsidRPr="00BE441E">
        <w:t xml:space="preserve">, R&amp;D) or an IgG control (AB-108-C, 0.2 </w:t>
      </w:r>
      <w:r w:rsidRPr="00BE441E">
        <w:rPr>
          <w:bCs/>
          <w:color w:val="000000" w:themeColor="text1"/>
        </w:rPr>
        <w:t>µg/ml,</w:t>
      </w:r>
      <w:r w:rsidRPr="00BE441E">
        <w:t xml:space="preserve"> R&amp;D) were added to the culture medium together </w:t>
      </w:r>
      <w:r w:rsidRPr="00BE441E">
        <w:rPr>
          <w:color w:val="000000"/>
        </w:rPr>
        <w:t>with the leukocytes and incubated under high flow conditions (30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xml:space="preserve">) for 1 h. After washing off non-adherent cells, slides were imaged at 10x magnification using a fluorescence microscope with a green filter set (DMRB, Leica). Adherent leukocytes were quantified with ImageJ. For flow experiments in human primary endothelial cells, human umbilical vein endothelial cells (HUVECs, C-12200, </w:t>
      </w:r>
      <w:proofErr w:type="spellStart"/>
      <w:r w:rsidRPr="00BE441E">
        <w:rPr>
          <w:color w:val="000000"/>
        </w:rPr>
        <w:t>PromoCell</w:t>
      </w:r>
      <w:proofErr w:type="spellEnd"/>
      <w:r w:rsidRPr="00BE441E">
        <w:rPr>
          <w:color w:val="000000"/>
        </w:rPr>
        <w:t xml:space="preserve">) were cultured in endothelial cell growth medium (C-22011, </w:t>
      </w:r>
      <w:proofErr w:type="spellStart"/>
      <w:r w:rsidRPr="00BE441E">
        <w:rPr>
          <w:color w:val="000000"/>
        </w:rPr>
        <w:t>PromoCell</w:t>
      </w:r>
      <w:proofErr w:type="spellEnd"/>
      <w:r w:rsidRPr="00BE441E">
        <w:rPr>
          <w:color w:val="000000"/>
        </w:rPr>
        <w:t xml:space="preserve">), seeded into channel slides with 0.8 mm chamber height and cultivated under flow </w:t>
      </w:r>
      <w:r w:rsidRPr="00BE441E">
        <w:rPr>
          <w:color w:val="000000"/>
        </w:rPr>
        <w:lastRenderedPageBreak/>
        <w:t>conditions (flow profile: 1 </w:t>
      </w:r>
      <w:proofErr w:type="spellStart"/>
      <w:r w:rsidRPr="00BE441E">
        <w:rPr>
          <w:color w:val="000000"/>
        </w:rPr>
        <w:t>h at</w:t>
      </w:r>
      <w:proofErr w:type="spellEnd"/>
      <w:r w:rsidRPr="00BE441E">
        <w:rPr>
          <w:color w:val="000000"/>
        </w:rPr>
        <w:t xml:space="preserve"> 1 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1 </w:t>
      </w:r>
      <w:proofErr w:type="spellStart"/>
      <w:r w:rsidRPr="00BE441E">
        <w:rPr>
          <w:color w:val="000000"/>
        </w:rPr>
        <w:t>h at</w:t>
      </w:r>
      <w:proofErr w:type="spellEnd"/>
      <w:r w:rsidRPr="00BE441E">
        <w:rPr>
          <w:color w:val="000000"/>
        </w:rPr>
        <w:t xml:space="preserve"> 3 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1 </w:t>
      </w:r>
      <w:proofErr w:type="spellStart"/>
      <w:r w:rsidRPr="00BE441E">
        <w:rPr>
          <w:color w:val="000000"/>
        </w:rPr>
        <w:t>h at</w:t>
      </w:r>
      <w:proofErr w:type="spellEnd"/>
      <w:r w:rsidRPr="00BE441E">
        <w:rPr>
          <w:color w:val="000000"/>
        </w:rPr>
        <w:t xml:space="preserve"> 5 </w:t>
      </w:r>
      <w:proofErr w:type="spellStart"/>
      <w:r w:rsidRPr="00BE441E">
        <w:rPr>
          <w:color w:val="000000"/>
        </w:rPr>
        <w:t>dyn</w:t>
      </w:r>
      <w:proofErr w:type="spellEnd"/>
      <w:r w:rsidRPr="00BE441E">
        <w:rPr>
          <w:color w:val="000000"/>
        </w:rPr>
        <w:t>/cm</w:t>
      </w:r>
      <w:r w:rsidRPr="00BE441E">
        <w:rPr>
          <w:color w:val="000000"/>
          <w:vertAlign w:val="superscript"/>
        </w:rPr>
        <w:t>2</w:t>
      </w:r>
      <w:r w:rsidRPr="00BE441E">
        <w:rPr>
          <w:color w:val="000000"/>
        </w:rPr>
        <w:t>, and 10 </w:t>
      </w:r>
      <w:proofErr w:type="spellStart"/>
      <w:r w:rsidRPr="00BE441E">
        <w:rPr>
          <w:color w:val="000000"/>
        </w:rPr>
        <w:t>dyn</w:t>
      </w:r>
      <w:proofErr w:type="spellEnd"/>
      <w:r w:rsidRPr="00BE441E">
        <w:rPr>
          <w:color w:val="000000"/>
        </w:rPr>
        <w:t>/cm</w:t>
      </w:r>
      <w:r w:rsidRPr="00BE441E">
        <w:rPr>
          <w:color w:val="000000"/>
          <w:vertAlign w:val="superscript"/>
        </w:rPr>
        <w:t xml:space="preserve">2 </w:t>
      </w:r>
      <w:r w:rsidRPr="00BE441E">
        <w:rPr>
          <w:color w:val="000000"/>
        </w:rPr>
        <w:t>until harvest). After cultivation under flow conditions for 24 h, norepinephrine (1</w:t>
      </w:r>
      <w:r w:rsidRPr="00BE441E">
        <w:rPr>
          <w:bCs/>
          <w:color w:val="000000" w:themeColor="text1"/>
        </w:rPr>
        <w:t xml:space="preserve"> µM)</w:t>
      </w:r>
      <w:r w:rsidRPr="00BE441E">
        <w:rPr>
          <w:color w:val="000000"/>
        </w:rPr>
        <w:t xml:space="preserve"> or HCl vehicle was added repetitively every 8 h for 24 h. For monocyte adhesion assays, THP-1 cells (ATCC TIB-202, ATCC) were stained with </w:t>
      </w:r>
      <w:proofErr w:type="spellStart"/>
      <w:r w:rsidRPr="00BE441E">
        <w:rPr>
          <w:color w:val="000000"/>
        </w:rPr>
        <w:t>Calcein</w:t>
      </w:r>
      <w:proofErr w:type="spellEnd"/>
      <w:r w:rsidRPr="00BE441E">
        <w:rPr>
          <w:color w:val="000000"/>
        </w:rPr>
        <w:t>-AM (C3100MP, Invitrogen) for 1 h, and HUVECs were incubated with THP-1 cells under flow conditions for 1 h. Afterwards, slides were imaged and analyzed as described above.</w:t>
      </w:r>
    </w:p>
    <w:p w14:paraId="7C3F2A2E" w14:textId="77777777" w:rsidR="00E16B14" w:rsidRPr="00BE441E" w:rsidRDefault="00E16B14" w:rsidP="00E16B14">
      <w:pPr>
        <w:spacing w:line="480" w:lineRule="auto"/>
        <w:rPr>
          <w:b/>
        </w:rPr>
      </w:pPr>
    </w:p>
    <w:p w14:paraId="1E422CE9" w14:textId="77777777" w:rsidR="00E16B14" w:rsidRPr="00BE441E" w:rsidRDefault="00E16B14" w:rsidP="00E16B14">
      <w:pPr>
        <w:spacing w:line="480" w:lineRule="auto"/>
        <w:rPr>
          <w:b/>
        </w:rPr>
      </w:pPr>
      <w:r w:rsidRPr="00BE441E">
        <w:rPr>
          <w:b/>
        </w:rPr>
        <w:t>Statistical analysis</w:t>
      </w:r>
    </w:p>
    <w:p w14:paraId="76A49FBB" w14:textId="77777777" w:rsidR="00593726" w:rsidRPr="00593726" w:rsidRDefault="00E16B14" w:rsidP="00593726">
      <w:pPr>
        <w:spacing w:line="480" w:lineRule="auto"/>
        <w:jc w:val="both"/>
        <w:rPr>
          <w:color w:val="000000"/>
          <w:szCs w:val="24"/>
        </w:rPr>
      </w:pPr>
      <w:r w:rsidRPr="00BE441E">
        <w:rPr>
          <w:szCs w:val="24"/>
        </w:rPr>
        <w:t xml:space="preserve">For statistical analysis, GraphPad Prism version 8 was used. </w:t>
      </w:r>
      <w:r w:rsidRPr="00BE441E">
        <w:rPr>
          <w:bCs/>
          <w:szCs w:val="24"/>
        </w:rPr>
        <w:t>If the sample size was large enough (n</w:t>
      </w:r>
      <w:r w:rsidRPr="00BE441E">
        <w:rPr>
          <w:bCs/>
          <w:szCs w:val="24"/>
        </w:rPr>
        <w:sym w:font="Symbol" w:char="F0B3"/>
      </w:r>
      <w:r w:rsidRPr="00BE441E">
        <w:rPr>
          <w:bCs/>
          <w:szCs w:val="24"/>
        </w:rPr>
        <w:t>8), normal distribution of data was assessed using the D’Agostino-Pearson omnibus normality test. Sample sizes with n&lt;8 were analyzed using the Shapiro-Wilk test.</w:t>
      </w:r>
      <w:r w:rsidRPr="00BE441E">
        <w:rPr>
          <w:szCs w:val="24"/>
        </w:rPr>
        <w:t xml:space="preserve"> For single comparisons, data were analyzed using two-tailed Student´s unpaired/Student´s paired (for normally distributed data) or Mann-Whitney/Wilcoxon test (for non-normally distributed data) as appropriate, indicated in the respective figure legends. When comparing more groups, a one-way ANOVA followed by a Holm-</w:t>
      </w:r>
      <w:proofErr w:type="spellStart"/>
      <w:r w:rsidRPr="00BE441E">
        <w:rPr>
          <w:szCs w:val="24"/>
        </w:rPr>
        <w:t>Sidak</w:t>
      </w:r>
      <w:proofErr w:type="spellEnd"/>
      <w:r w:rsidRPr="00BE441E">
        <w:rPr>
          <w:szCs w:val="24"/>
        </w:rPr>
        <w:t xml:space="preserve"> test for multiple comparisons</w:t>
      </w:r>
      <w:r w:rsidRPr="00BE441E">
        <w:t xml:space="preserve"> or a Kruskal-Wallis test followed by a Dunn´s test for multiple comparisons was performed for in vivo data. For paired designs in </w:t>
      </w:r>
      <w:r w:rsidRPr="00BE441E">
        <w:rPr>
          <w:i/>
          <w:iCs/>
        </w:rPr>
        <w:t>in vitro</w:t>
      </w:r>
      <w:r w:rsidRPr="00BE441E">
        <w:t xml:space="preserve"> experiments and repeated blood leukocyte analysis, repeated measures one-way ANOVA or mixed-effects analysis were used to compare more groups. Contingency analysis for plaque rupture experiments was performed using Fisher´s exact test. To determine statistical outliers, the two-sided ROUT´s test was used. Sample sizes are indicated in the figure legends and data are displayed as mean + </w:t>
      </w:r>
      <w:proofErr w:type="spellStart"/>
      <w:r w:rsidRPr="00593726">
        <w:t>s.d.</w:t>
      </w:r>
      <w:proofErr w:type="spellEnd"/>
      <w:r w:rsidRPr="00593726">
        <w:t xml:space="preserve"> P-values &lt; 0.05 were regarded as significant and murine experiments were performed at least </w:t>
      </w:r>
      <w:r w:rsidRPr="00593726">
        <w:rPr>
          <w:szCs w:val="24"/>
        </w:rPr>
        <w:t xml:space="preserve">twice. </w:t>
      </w:r>
      <w:r w:rsidRPr="00593726">
        <w:rPr>
          <w:color w:val="000000"/>
          <w:szCs w:val="24"/>
        </w:rPr>
        <w:t>To adjust for inter-experimental variations, absolute values were normalized to one representative experiment if appropriate.</w:t>
      </w:r>
    </w:p>
    <w:p w14:paraId="297D0527" w14:textId="5A31A484" w:rsidR="00593726" w:rsidRPr="00593726" w:rsidRDefault="00593726" w:rsidP="00593726">
      <w:pPr>
        <w:pStyle w:val="NormalWeb"/>
        <w:spacing w:line="480" w:lineRule="auto"/>
        <w:rPr>
          <w:color w:val="000000" w:themeColor="text1"/>
          <w:highlight w:val="yellow"/>
        </w:rPr>
      </w:pPr>
      <w:r w:rsidRPr="00593726">
        <w:rPr>
          <w:color w:val="000000" w:themeColor="text1"/>
          <w:highlight w:val="yellow"/>
        </w:rPr>
        <w:lastRenderedPageBreak/>
        <w:t>Every experiment was started with the exact same number of mice in each group. However, in some experiments some samples are missing because:</w:t>
      </w:r>
    </w:p>
    <w:p w14:paraId="3C3B7C1D" w14:textId="77777777" w:rsidR="00593726" w:rsidRPr="00593726" w:rsidRDefault="00593726" w:rsidP="00593726">
      <w:pPr>
        <w:pStyle w:val="NormalWeb"/>
        <w:spacing w:line="480" w:lineRule="auto"/>
        <w:rPr>
          <w:color w:val="000000" w:themeColor="text1"/>
          <w:highlight w:val="yellow"/>
        </w:rPr>
      </w:pPr>
      <w:r w:rsidRPr="00593726">
        <w:rPr>
          <w:color w:val="000000" w:themeColor="text1"/>
          <w:highlight w:val="yellow"/>
        </w:rPr>
        <w:t>-mice died or turned severely sick during experiments (particularly when surgery was performed)</w:t>
      </w:r>
    </w:p>
    <w:p w14:paraId="5115414C" w14:textId="77777777" w:rsidR="00593726" w:rsidRPr="00593726" w:rsidRDefault="00593726" w:rsidP="00593726">
      <w:pPr>
        <w:pStyle w:val="NormalWeb"/>
        <w:spacing w:line="480" w:lineRule="auto"/>
        <w:rPr>
          <w:color w:val="000000" w:themeColor="text1"/>
          <w:highlight w:val="yellow"/>
        </w:rPr>
      </w:pPr>
      <w:r w:rsidRPr="00593726">
        <w:rPr>
          <w:color w:val="000000" w:themeColor="text1"/>
          <w:highlight w:val="yellow"/>
        </w:rPr>
        <w:t xml:space="preserve">-some mice needed to be excluded (and euthanized) because they developed severe dermatitis, a known side effect of high cholesterol diet in </w:t>
      </w:r>
      <w:proofErr w:type="spellStart"/>
      <w:r w:rsidRPr="00593726">
        <w:rPr>
          <w:color w:val="000000" w:themeColor="text1"/>
          <w:highlight w:val="yellow"/>
        </w:rPr>
        <w:t>ApoE</w:t>
      </w:r>
      <w:proofErr w:type="spellEnd"/>
      <w:r w:rsidRPr="00593726">
        <w:rPr>
          <w:color w:val="000000" w:themeColor="text1"/>
          <w:highlight w:val="yellow"/>
        </w:rPr>
        <w:t xml:space="preserve"> deficient mice</w:t>
      </w:r>
    </w:p>
    <w:p w14:paraId="64E987FC" w14:textId="502491A8" w:rsidR="00593726" w:rsidRPr="00593726" w:rsidRDefault="00593726" w:rsidP="00593726">
      <w:pPr>
        <w:pStyle w:val="NormalWeb"/>
        <w:spacing w:line="480" w:lineRule="auto"/>
        <w:rPr>
          <w:color w:val="000000" w:themeColor="text1"/>
          <w:highlight w:val="yellow"/>
        </w:rPr>
      </w:pPr>
      <w:r w:rsidRPr="00593726">
        <w:rPr>
          <w:color w:val="000000" w:themeColor="text1"/>
          <w:highlight w:val="yellow"/>
        </w:rPr>
        <w:t>-</w:t>
      </w:r>
      <w:r w:rsidR="00AC41B5">
        <w:rPr>
          <w:color w:val="000000" w:themeColor="text1"/>
          <w:highlight w:val="yellow"/>
        </w:rPr>
        <w:t xml:space="preserve">of </w:t>
      </w:r>
      <w:r w:rsidRPr="00593726">
        <w:rPr>
          <w:color w:val="000000" w:themeColor="text1"/>
          <w:highlight w:val="yellow"/>
        </w:rPr>
        <w:t>technical problems with processing a sample</w:t>
      </w:r>
    </w:p>
    <w:p w14:paraId="7F3963ED" w14:textId="54889657" w:rsidR="008A6299" w:rsidRPr="00593726" w:rsidRDefault="00593726" w:rsidP="00E16B14">
      <w:pPr>
        <w:spacing w:line="480" w:lineRule="auto"/>
        <w:jc w:val="both"/>
        <w:rPr>
          <w:color w:val="202945"/>
          <w:szCs w:val="24"/>
        </w:rPr>
      </w:pPr>
      <w:r w:rsidRPr="00593726">
        <w:rPr>
          <w:color w:val="000000" w:themeColor="text1"/>
          <w:szCs w:val="24"/>
          <w:highlight w:val="yellow"/>
        </w:rPr>
        <w:t xml:space="preserve">However, one has to consider that missing samples/data may result in bias and that </w:t>
      </w:r>
      <w:r w:rsidRPr="00593726">
        <w:rPr>
          <w:color w:val="202945"/>
          <w:szCs w:val="24"/>
          <w:highlight w:val="yellow"/>
        </w:rPr>
        <w:t>findings may be</w:t>
      </w:r>
      <w:r w:rsidRPr="00593726">
        <w:rPr>
          <w:rStyle w:val="apple-converted-space"/>
          <w:color w:val="202945"/>
          <w:szCs w:val="24"/>
          <w:highlight w:val="yellow"/>
        </w:rPr>
        <w:t> </w:t>
      </w:r>
      <w:r w:rsidRPr="00593726">
        <w:rPr>
          <w:color w:val="202945"/>
          <w:szCs w:val="24"/>
          <w:highlight w:val="yellow"/>
        </w:rPr>
        <w:t>influenced</w:t>
      </w:r>
      <w:r w:rsidRPr="00593726">
        <w:rPr>
          <w:rStyle w:val="apple-converted-space"/>
          <w:color w:val="202945"/>
          <w:szCs w:val="24"/>
          <w:highlight w:val="yellow"/>
        </w:rPr>
        <w:t> </w:t>
      </w:r>
      <w:r w:rsidRPr="00593726">
        <w:rPr>
          <w:color w:val="202945"/>
          <w:szCs w:val="24"/>
          <w:highlight w:val="yellow"/>
        </w:rPr>
        <w:t>by</w:t>
      </w:r>
      <w:r w:rsidRPr="00593726">
        <w:rPr>
          <w:rStyle w:val="apple-converted-space"/>
          <w:color w:val="202945"/>
          <w:szCs w:val="24"/>
          <w:highlight w:val="yellow"/>
        </w:rPr>
        <w:t> </w:t>
      </w:r>
      <w:r w:rsidRPr="00593726">
        <w:rPr>
          <w:color w:val="202945"/>
          <w:szCs w:val="24"/>
          <w:highlight w:val="yellow"/>
        </w:rPr>
        <w:t>missing data.</w:t>
      </w:r>
      <w:r w:rsidR="008A6299" w:rsidRPr="00BE441E">
        <w:rPr>
          <w:b/>
          <w:bCs/>
          <w:kern w:val="32"/>
        </w:rPr>
        <w:br w:type="page"/>
      </w:r>
    </w:p>
    <w:p w14:paraId="0563F1FC" w14:textId="51FBE9A6" w:rsidR="00644A42" w:rsidRPr="00BE441E" w:rsidRDefault="00644A42" w:rsidP="004939F5">
      <w:pPr>
        <w:spacing w:line="480" w:lineRule="auto"/>
        <w:jc w:val="both"/>
        <w:rPr>
          <w:b/>
          <w:szCs w:val="24"/>
          <w:u w:val="single"/>
        </w:rPr>
      </w:pPr>
      <w:r w:rsidRPr="00BE441E">
        <w:rPr>
          <w:b/>
          <w:szCs w:val="24"/>
          <w:u w:val="single"/>
        </w:rPr>
        <w:lastRenderedPageBreak/>
        <w:t>References</w:t>
      </w:r>
    </w:p>
    <w:p w14:paraId="11120E85" w14:textId="77777777" w:rsidR="0046113F" w:rsidRPr="00455A40" w:rsidRDefault="0046113F" w:rsidP="0046113F">
      <w:pPr>
        <w:pStyle w:val="csl-entry"/>
        <w:rPr>
          <w:color w:val="000000"/>
          <w:lang w:val="en-US"/>
        </w:rPr>
      </w:pPr>
      <w:r w:rsidRPr="00593726">
        <w:rPr>
          <w:color w:val="000000"/>
        </w:rPr>
        <w:t xml:space="preserve">47. </w:t>
      </w:r>
      <w:proofErr w:type="spellStart"/>
      <w:r w:rsidRPr="00593726">
        <w:rPr>
          <w:color w:val="000000"/>
        </w:rPr>
        <w:t>Dhabhar</w:t>
      </w:r>
      <w:proofErr w:type="spellEnd"/>
      <w:r w:rsidRPr="00593726">
        <w:rPr>
          <w:color w:val="000000"/>
        </w:rPr>
        <w:t xml:space="preserve"> FS, </w:t>
      </w:r>
      <w:proofErr w:type="spellStart"/>
      <w:r w:rsidRPr="00593726">
        <w:rPr>
          <w:color w:val="000000"/>
        </w:rPr>
        <w:t>Satoskar</w:t>
      </w:r>
      <w:proofErr w:type="spellEnd"/>
      <w:r w:rsidRPr="00593726">
        <w:rPr>
          <w:color w:val="000000"/>
        </w:rPr>
        <w:t xml:space="preserve"> AR, </w:t>
      </w:r>
      <w:proofErr w:type="spellStart"/>
      <w:r w:rsidRPr="00593726">
        <w:rPr>
          <w:color w:val="000000"/>
        </w:rPr>
        <w:t>Bluethmann</w:t>
      </w:r>
      <w:proofErr w:type="spellEnd"/>
      <w:r w:rsidRPr="00593726">
        <w:rPr>
          <w:color w:val="000000"/>
        </w:rPr>
        <w:t xml:space="preserve"> H, David JR, McEwen BS. </w:t>
      </w:r>
      <w:r w:rsidRPr="00455A40">
        <w:rPr>
          <w:color w:val="000000"/>
          <w:lang w:val="en-US"/>
        </w:rPr>
        <w:t xml:space="preserve">Stress-induced enhancement of skin immune function: A role for gamma interferon. </w:t>
      </w:r>
      <w:r w:rsidRPr="00455A40">
        <w:rPr>
          <w:i/>
          <w:iCs/>
          <w:color w:val="000000"/>
          <w:lang w:val="en-US"/>
        </w:rPr>
        <w:t xml:space="preserve">Proc National </w:t>
      </w:r>
      <w:proofErr w:type="spellStart"/>
      <w:r w:rsidRPr="00455A40">
        <w:rPr>
          <w:i/>
          <w:iCs/>
          <w:color w:val="000000"/>
          <w:lang w:val="en-US"/>
        </w:rPr>
        <w:t>Acad</w:t>
      </w:r>
      <w:proofErr w:type="spellEnd"/>
      <w:r w:rsidRPr="00455A40">
        <w:rPr>
          <w:i/>
          <w:iCs/>
          <w:color w:val="000000"/>
          <w:lang w:val="en-US"/>
        </w:rPr>
        <w:t xml:space="preserve"> Sci</w:t>
      </w:r>
      <w:r w:rsidRPr="00455A40">
        <w:rPr>
          <w:color w:val="000000"/>
          <w:lang w:val="en-US"/>
        </w:rPr>
        <w:t xml:space="preserve"> </w:t>
      </w:r>
      <w:proofErr w:type="gramStart"/>
      <w:r w:rsidRPr="00455A40">
        <w:rPr>
          <w:color w:val="000000"/>
          <w:lang w:val="en-US"/>
        </w:rPr>
        <w:t>2000;</w:t>
      </w:r>
      <w:r w:rsidRPr="00455A40">
        <w:rPr>
          <w:b/>
          <w:bCs/>
          <w:color w:val="000000"/>
          <w:lang w:val="en-US"/>
        </w:rPr>
        <w:t>97</w:t>
      </w:r>
      <w:r w:rsidRPr="00455A40">
        <w:rPr>
          <w:color w:val="000000"/>
          <w:lang w:val="en-US"/>
        </w:rPr>
        <w:t>:2846</w:t>
      </w:r>
      <w:proofErr w:type="gramEnd"/>
      <w:r w:rsidRPr="00455A40">
        <w:rPr>
          <w:color w:val="000000"/>
          <w:lang w:val="en-US"/>
        </w:rPr>
        <w:t>–2851.</w:t>
      </w:r>
    </w:p>
    <w:p w14:paraId="7CC3BB3C" w14:textId="77777777" w:rsidR="0046113F" w:rsidRPr="00455A40" w:rsidRDefault="0046113F" w:rsidP="0046113F">
      <w:pPr>
        <w:pStyle w:val="csl-entry"/>
        <w:rPr>
          <w:color w:val="000000"/>
          <w:lang w:val="en-US"/>
        </w:rPr>
      </w:pPr>
      <w:r w:rsidRPr="00455A40">
        <w:rPr>
          <w:color w:val="000000"/>
          <w:lang w:val="en-US"/>
        </w:rPr>
        <w:t xml:space="preserve">48. Barnum CJ, Page TWW, F. H, Neigh GN, Tansey MG. Psychological stress in adolescent and adult mice increases neuroinflammation and attenuates the response to LPS challenge. </w:t>
      </w:r>
      <w:r w:rsidRPr="00455A40">
        <w:rPr>
          <w:i/>
          <w:iCs/>
          <w:color w:val="000000"/>
          <w:lang w:val="en-US"/>
        </w:rPr>
        <w:t xml:space="preserve">J </w:t>
      </w:r>
      <w:proofErr w:type="spellStart"/>
      <w:r w:rsidRPr="00455A40">
        <w:rPr>
          <w:i/>
          <w:iCs/>
          <w:color w:val="000000"/>
          <w:lang w:val="en-US"/>
        </w:rPr>
        <w:t>Neuroinflamm</w:t>
      </w:r>
      <w:proofErr w:type="spellEnd"/>
      <w:r w:rsidRPr="00455A40">
        <w:rPr>
          <w:color w:val="000000"/>
          <w:lang w:val="en-US"/>
        </w:rPr>
        <w:t xml:space="preserve"> </w:t>
      </w:r>
      <w:proofErr w:type="gramStart"/>
      <w:r w:rsidRPr="00455A40">
        <w:rPr>
          <w:color w:val="000000"/>
          <w:lang w:val="en-US"/>
        </w:rPr>
        <w:t>2012;</w:t>
      </w:r>
      <w:r w:rsidRPr="00455A40">
        <w:rPr>
          <w:b/>
          <w:bCs/>
          <w:color w:val="000000"/>
          <w:lang w:val="en-US"/>
        </w:rPr>
        <w:t>9</w:t>
      </w:r>
      <w:r w:rsidRPr="00455A40">
        <w:rPr>
          <w:color w:val="000000"/>
          <w:lang w:val="en-US"/>
        </w:rPr>
        <w:t>:15</w:t>
      </w:r>
      <w:proofErr w:type="gramEnd"/>
      <w:r w:rsidRPr="00455A40">
        <w:rPr>
          <w:color w:val="000000"/>
          <w:lang w:val="en-US"/>
        </w:rPr>
        <w:t>.</w:t>
      </w:r>
    </w:p>
    <w:p w14:paraId="7BF2F277" w14:textId="77777777" w:rsidR="0046113F" w:rsidRPr="00455A40" w:rsidRDefault="0046113F" w:rsidP="0046113F">
      <w:pPr>
        <w:pStyle w:val="csl-entry"/>
        <w:rPr>
          <w:color w:val="000000"/>
          <w:lang w:val="en-US"/>
        </w:rPr>
      </w:pPr>
      <w:r w:rsidRPr="00455A40">
        <w:rPr>
          <w:color w:val="000000"/>
          <w:lang w:val="en-US"/>
        </w:rPr>
        <w:t>49. Winter C, Silvestre-</w:t>
      </w:r>
      <w:proofErr w:type="spellStart"/>
      <w:r w:rsidRPr="00455A40">
        <w:rPr>
          <w:color w:val="000000"/>
          <w:lang w:val="en-US"/>
        </w:rPr>
        <w:t>Roig</w:t>
      </w:r>
      <w:proofErr w:type="spellEnd"/>
      <w:r w:rsidRPr="00455A40">
        <w:rPr>
          <w:color w:val="000000"/>
          <w:lang w:val="en-US"/>
        </w:rPr>
        <w:t xml:space="preserve"> C, Ortega-Gomez A, Lemnitzer P, </w:t>
      </w:r>
      <w:proofErr w:type="spellStart"/>
      <w:r w:rsidRPr="00455A40">
        <w:rPr>
          <w:color w:val="000000"/>
          <w:lang w:val="en-US"/>
        </w:rPr>
        <w:t>Poelman</w:t>
      </w:r>
      <w:proofErr w:type="spellEnd"/>
      <w:r w:rsidRPr="00455A40">
        <w:rPr>
          <w:color w:val="000000"/>
          <w:lang w:val="en-US"/>
        </w:rPr>
        <w:t xml:space="preserve"> H, </w:t>
      </w:r>
      <w:proofErr w:type="spellStart"/>
      <w:r w:rsidRPr="00455A40">
        <w:rPr>
          <w:color w:val="000000"/>
          <w:lang w:val="en-US"/>
        </w:rPr>
        <w:t>Schumski</w:t>
      </w:r>
      <w:proofErr w:type="spellEnd"/>
      <w:r w:rsidRPr="00455A40">
        <w:rPr>
          <w:color w:val="000000"/>
          <w:lang w:val="en-US"/>
        </w:rPr>
        <w:t xml:space="preserve"> A, Winter J, Drechsler M, Jong R de, </w:t>
      </w:r>
      <w:proofErr w:type="spellStart"/>
      <w:r w:rsidRPr="00455A40">
        <w:rPr>
          <w:color w:val="000000"/>
          <w:lang w:val="en-US"/>
        </w:rPr>
        <w:t>Immler</w:t>
      </w:r>
      <w:proofErr w:type="spellEnd"/>
      <w:r w:rsidRPr="00455A40">
        <w:rPr>
          <w:color w:val="000000"/>
          <w:lang w:val="en-US"/>
        </w:rPr>
        <w:t xml:space="preserve"> R, </w:t>
      </w:r>
      <w:proofErr w:type="spellStart"/>
      <w:r w:rsidRPr="00455A40">
        <w:rPr>
          <w:color w:val="000000"/>
          <w:lang w:val="en-US"/>
        </w:rPr>
        <w:t>Sperandio</w:t>
      </w:r>
      <w:proofErr w:type="spellEnd"/>
      <w:r w:rsidRPr="00455A40">
        <w:rPr>
          <w:color w:val="000000"/>
          <w:lang w:val="en-US"/>
        </w:rPr>
        <w:t xml:space="preserve"> M, Hristov M, Zeller T, </w:t>
      </w:r>
      <w:proofErr w:type="spellStart"/>
      <w:r w:rsidRPr="00455A40">
        <w:rPr>
          <w:color w:val="000000"/>
          <w:lang w:val="en-US"/>
        </w:rPr>
        <w:t>Nicolaes</w:t>
      </w:r>
      <w:proofErr w:type="spellEnd"/>
      <w:r w:rsidRPr="00455A40">
        <w:rPr>
          <w:color w:val="000000"/>
          <w:lang w:val="en-US"/>
        </w:rPr>
        <w:t xml:space="preserve"> GAF, Weber C, Viola JR, Hidalgo A, </w:t>
      </w:r>
      <w:proofErr w:type="spellStart"/>
      <w:r w:rsidRPr="00455A40">
        <w:rPr>
          <w:color w:val="000000"/>
          <w:lang w:val="en-US"/>
        </w:rPr>
        <w:t>Scheiermann</w:t>
      </w:r>
      <w:proofErr w:type="spellEnd"/>
      <w:r w:rsidRPr="00455A40">
        <w:rPr>
          <w:color w:val="000000"/>
          <w:lang w:val="en-US"/>
        </w:rPr>
        <w:t xml:space="preserve"> C, </w:t>
      </w:r>
      <w:proofErr w:type="spellStart"/>
      <w:r w:rsidRPr="00455A40">
        <w:rPr>
          <w:color w:val="000000"/>
          <w:lang w:val="en-US"/>
        </w:rPr>
        <w:t>Soehnlein</w:t>
      </w:r>
      <w:proofErr w:type="spellEnd"/>
      <w:r w:rsidRPr="00455A40">
        <w:rPr>
          <w:color w:val="000000"/>
          <w:lang w:val="en-US"/>
        </w:rPr>
        <w:t xml:space="preserve"> O. Chrono-pharmacological Targeting of the CCL2-CCR2 Axis Ameliorates Atherosclerosis. </w:t>
      </w:r>
      <w:r w:rsidRPr="00455A40">
        <w:rPr>
          <w:i/>
          <w:iCs/>
          <w:color w:val="000000"/>
          <w:lang w:val="en-US"/>
        </w:rPr>
        <w:t xml:space="preserve">Cell </w:t>
      </w:r>
      <w:proofErr w:type="spellStart"/>
      <w:r w:rsidRPr="00455A40">
        <w:rPr>
          <w:i/>
          <w:iCs/>
          <w:color w:val="000000"/>
          <w:lang w:val="en-US"/>
        </w:rPr>
        <w:t>Metab</w:t>
      </w:r>
      <w:proofErr w:type="spellEnd"/>
      <w:r w:rsidRPr="00455A40">
        <w:rPr>
          <w:color w:val="000000"/>
          <w:lang w:val="en-US"/>
        </w:rPr>
        <w:t xml:space="preserve"> </w:t>
      </w:r>
      <w:proofErr w:type="gramStart"/>
      <w:r w:rsidRPr="00455A40">
        <w:rPr>
          <w:color w:val="000000"/>
          <w:lang w:val="en-US"/>
        </w:rPr>
        <w:t>2018;</w:t>
      </w:r>
      <w:r w:rsidRPr="00455A40">
        <w:rPr>
          <w:b/>
          <w:bCs/>
          <w:color w:val="000000"/>
          <w:lang w:val="en-US"/>
        </w:rPr>
        <w:t>28</w:t>
      </w:r>
      <w:r w:rsidRPr="00455A40">
        <w:rPr>
          <w:color w:val="000000"/>
          <w:lang w:val="en-US"/>
        </w:rPr>
        <w:t>:175</w:t>
      </w:r>
      <w:proofErr w:type="gramEnd"/>
      <w:r w:rsidRPr="00455A40">
        <w:rPr>
          <w:color w:val="000000"/>
          <w:lang w:val="en-US"/>
        </w:rPr>
        <w:t>-182.e5.</w:t>
      </w:r>
    </w:p>
    <w:p w14:paraId="324CC13B" w14:textId="77777777" w:rsidR="0046113F" w:rsidRPr="00455A40" w:rsidRDefault="0046113F" w:rsidP="0046113F">
      <w:pPr>
        <w:pStyle w:val="csl-entry"/>
        <w:rPr>
          <w:color w:val="000000"/>
          <w:lang w:val="en-US"/>
        </w:rPr>
      </w:pPr>
      <w:r w:rsidRPr="00455A40">
        <w:rPr>
          <w:color w:val="000000"/>
          <w:lang w:val="en-US"/>
        </w:rPr>
        <w:t xml:space="preserve">50. Kapa S, DeSimone CV, </w:t>
      </w:r>
      <w:proofErr w:type="spellStart"/>
      <w:r w:rsidRPr="00455A40">
        <w:rPr>
          <w:color w:val="000000"/>
          <w:lang w:val="en-US"/>
        </w:rPr>
        <w:t>Asirvatham</w:t>
      </w:r>
      <w:proofErr w:type="spellEnd"/>
      <w:r w:rsidRPr="00455A40">
        <w:rPr>
          <w:color w:val="000000"/>
          <w:lang w:val="en-US"/>
        </w:rPr>
        <w:t xml:space="preserve"> SJ. Innervation of the heart: An invisible grid within a black box. </w:t>
      </w:r>
      <w:r w:rsidRPr="00455A40">
        <w:rPr>
          <w:i/>
          <w:iCs/>
          <w:color w:val="000000"/>
          <w:lang w:val="en-US"/>
        </w:rPr>
        <w:t xml:space="preserve">Trends </w:t>
      </w:r>
      <w:proofErr w:type="spellStart"/>
      <w:r w:rsidRPr="00455A40">
        <w:rPr>
          <w:i/>
          <w:iCs/>
          <w:color w:val="000000"/>
          <w:lang w:val="en-US"/>
        </w:rPr>
        <w:t>Cardiovas</w:t>
      </w:r>
      <w:proofErr w:type="spellEnd"/>
      <w:r w:rsidRPr="00455A40">
        <w:rPr>
          <w:i/>
          <w:iCs/>
          <w:color w:val="000000"/>
          <w:lang w:val="en-US"/>
        </w:rPr>
        <w:t xml:space="preserve"> Med</w:t>
      </w:r>
      <w:r w:rsidRPr="00455A40">
        <w:rPr>
          <w:color w:val="000000"/>
          <w:lang w:val="en-US"/>
        </w:rPr>
        <w:t xml:space="preserve"> </w:t>
      </w:r>
      <w:proofErr w:type="gramStart"/>
      <w:r w:rsidRPr="00455A40">
        <w:rPr>
          <w:color w:val="000000"/>
          <w:lang w:val="en-US"/>
        </w:rPr>
        <w:t>2015;</w:t>
      </w:r>
      <w:r w:rsidRPr="00455A40">
        <w:rPr>
          <w:b/>
          <w:bCs/>
          <w:color w:val="000000"/>
          <w:lang w:val="en-US"/>
        </w:rPr>
        <w:t>26</w:t>
      </w:r>
      <w:r w:rsidRPr="00455A40">
        <w:rPr>
          <w:color w:val="000000"/>
          <w:lang w:val="en-US"/>
        </w:rPr>
        <w:t>:245</w:t>
      </w:r>
      <w:proofErr w:type="gramEnd"/>
      <w:r w:rsidRPr="00455A40">
        <w:rPr>
          <w:color w:val="000000"/>
          <w:lang w:val="en-US"/>
        </w:rPr>
        <w:t>–257.</w:t>
      </w:r>
    </w:p>
    <w:p w14:paraId="459DD3F8" w14:textId="77777777" w:rsidR="0046113F" w:rsidRPr="00455A40" w:rsidRDefault="0046113F" w:rsidP="0046113F">
      <w:pPr>
        <w:pStyle w:val="csl-entry"/>
        <w:rPr>
          <w:color w:val="000000"/>
          <w:lang w:val="en-US"/>
        </w:rPr>
      </w:pPr>
      <w:r w:rsidRPr="00455A40">
        <w:rPr>
          <w:color w:val="000000"/>
          <w:lang w:val="en-US"/>
        </w:rPr>
        <w:t xml:space="preserve">51. Fukuda K, Kanazawa H, Aizawa Y, Ardell JL, </w:t>
      </w:r>
      <w:proofErr w:type="spellStart"/>
      <w:r w:rsidRPr="00455A40">
        <w:rPr>
          <w:color w:val="000000"/>
          <w:lang w:val="en-US"/>
        </w:rPr>
        <w:t>Shivkumar</w:t>
      </w:r>
      <w:proofErr w:type="spellEnd"/>
      <w:r w:rsidRPr="00455A40">
        <w:rPr>
          <w:color w:val="000000"/>
          <w:lang w:val="en-US"/>
        </w:rPr>
        <w:t xml:space="preserve"> K. Cardiac innervation and sudden cardiac death. </w:t>
      </w:r>
      <w:r w:rsidRPr="00455A40">
        <w:rPr>
          <w:i/>
          <w:iCs/>
          <w:color w:val="000000"/>
          <w:lang w:val="en-US"/>
        </w:rPr>
        <w:t>Circ Res</w:t>
      </w:r>
      <w:r w:rsidRPr="00455A40">
        <w:rPr>
          <w:color w:val="000000"/>
          <w:lang w:val="en-US"/>
        </w:rPr>
        <w:t xml:space="preserve"> </w:t>
      </w:r>
      <w:proofErr w:type="gramStart"/>
      <w:r w:rsidRPr="00455A40">
        <w:rPr>
          <w:color w:val="000000"/>
          <w:lang w:val="en-US"/>
        </w:rPr>
        <w:t>2015;</w:t>
      </w:r>
      <w:r w:rsidRPr="00455A40">
        <w:rPr>
          <w:b/>
          <w:bCs/>
          <w:color w:val="000000"/>
          <w:lang w:val="en-US"/>
        </w:rPr>
        <w:t>116</w:t>
      </w:r>
      <w:r w:rsidRPr="00455A40">
        <w:rPr>
          <w:color w:val="000000"/>
          <w:lang w:val="en-US"/>
        </w:rPr>
        <w:t>:2005</w:t>
      </w:r>
      <w:proofErr w:type="gramEnd"/>
      <w:r w:rsidRPr="00455A40">
        <w:rPr>
          <w:color w:val="000000"/>
          <w:lang w:val="en-US"/>
        </w:rPr>
        <w:t>–2019.</w:t>
      </w:r>
    </w:p>
    <w:p w14:paraId="52D99B46" w14:textId="77777777" w:rsidR="0046113F" w:rsidRPr="00455A40" w:rsidRDefault="0046113F" w:rsidP="0046113F">
      <w:pPr>
        <w:pStyle w:val="csl-entry"/>
        <w:rPr>
          <w:color w:val="000000"/>
          <w:lang w:val="en-US"/>
        </w:rPr>
      </w:pPr>
      <w:r w:rsidRPr="00455A40">
        <w:rPr>
          <w:color w:val="000000"/>
          <w:lang w:val="en-US"/>
        </w:rPr>
        <w:t xml:space="preserve">52. Bolger AM, Lohse M, </w:t>
      </w:r>
      <w:proofErr w:type="spellStart"/>
      <w:r w:rsidRPr="00455A40">
        <w:rPr>
          <w:color w:val="000000"/>
          <w:lang w:val="en-US"/>
        </w:rPr>
        <w:t>Usadel</w:t>
      </w:r>
      <w:proofErr w:type="spellEnd"/>
      <w:r w:rsidRPr="00455A40">
        <w:rPr>
          <w:color w:val="000000"/>
          <w:lang w:val="en-US"/>
        </w:rPr>
        <w:t xml:space="preserve"> B. </w:t>
      </w:r>
      <w:proofErr w:type="spellStart"/>
      <w:r w:rsidRPr="00455A40">
        <w:rPr>
          <w:color w:val="000000"/>
          <w:lang w:val="en-US"/>
        </w:rPr>
        <w:t>Trimmomatic</w:t>
      </w:r>
      <w:proofErr w:type="spellEnd"/>
      <w:r w:rsidRPr="00455A40">
        <w:rPr>
          <w:color w:val="000000"/>
          <w:lang w:val="en-US"/>
        </w:rPr>
        <w:t xml:space="preserve">: a flexible trimmer for Illumina sequence data. </w:t>
      </w:r>
      <w:proofErr w:type="spellStart"/>
      <w:r w:rsidRPr="00455A40">
        <w:rPr>
          <w:i/>
          <w:iCs/>
          <w:color w:val="000000"/>
          <w:lang w:val="en-US"/>
        </w:rPr>
        <w:t>Bioinform</w:t>
      </w:r>
      <w:proofErr w:type="spellEnd"/>
      <w:r w:rsidRPr="00455A40">
        <w:rPr>
          <w:i/>
          <w:iCs/>
          <w:color w:val="000000"/>
          <w:lang w:val="en-US"/>
        </w:rPr>
        <w:t xml:space="preserve"> </w:t>
      </w:r>
      <w:proofErr w:type="spellStart"/>
      <w:r w:rsidRPr="00455A40">
        <w:rPr>
          <w:i/>
          <w:iCs/>
          <w:color w:val="000000"/>
          <w:lang w:val="en-US"/>
        </w:rPr>
        <w:t>Oxf</w:t>
      </w:r>
      <w:proofErr w:type="spellEnd"/>
      <w:r w:rsidRPr="00455A40">
        <w:rPr>
          <w:i/>
          <w:iCs/>
          <w:color w:val="000000"/>
          <w:lang w:val="en-US"/>
        </w:rPr>
        <w:t xml:space="preserve"> </w:t>
      </w:r>
      <w:proofErr w:type="spellStart"/>
      <w:r w:rsidRPr="00455A40">
        <w:rPr>
          <w:i/>
          <w:iCs/>
          <w:color w:val="000000"/>
          <w:lang w:val="en-US"/>
        </w:rPr>
        <w:t>Engl</w:t>
      </w:r>
      <w:proofErr w:type="spellEnd"/>
      <w:r w:rsidRPr="00455A40">
        <w:rPr>
          <w:color w:val="000000"/>
          <w:lang w:val="en-US"/>
        </w:rPr>
        <w:t xml:space="preserve"> </w:t>
      </w:r>
      <w:proofErr w:type="gramStart"/>
      <w:r w:rsidRPr="00455A40">
        <w:rPr>
          <w:color w:val="000000"/>
          <w:lang w:val="en-US"/>
        </w:rPr>
        <w:t>2014;</w:t>
      </w:r>
      <w:r w:rsidRPr="00455A40">
        <w:rPr>
          <w:b/>
          <w:bCs/>
          <w:color w:val="000000"/>
          <w:lang w:val="en-US"/>
        </w:rPr>
        <w:t>30</w:t>
      </w:r>
      <w:r w:rsidRPr="00455A40">
        <w:rPr>
          <w:color w:val="000000"/>
          <w:lang w:val="en-US"/>
        </w:rPr>
        <w:t>:2114</w:t>
      </w:r>
      <w:proofErr w:type="gramEnd"/>
      <w:r w:rsidRPr="00455A40">
        <w:rPr>
          <w:color w:val="000000"/>
          <w:lang w:val="en-US"/>
        </w:rPr>
        <w:t>–2120.</w:t>
      </w:r>
    </w:p>
    <w:p w14:paraId="01269F88" w14:textId="77777777" w:rsidR="0046113F" w:rsidRPr="00455A40" w:rsidRDefault="0046113F" w:rsidP="0046113F">
      <w:pPr>
        <w:pStyle w:val="csl-entry"/>
        <w:rPr>
          <w:color w:val="000000"/>
          <w:lang w:val="en-US"/>
        </w:rPr>
      </w:pPr>
      <w:r w:rsidRPr="00455A40">
        <w:rPr>
          <w:color w:val="000000"/>
          <w:lang w:val="en-US"/>
        </w:rPr>
        <w:t xml:space="preserve">53. </w:t>
      </w:r>
      <w:proofErr w:type="spellStart"/>
      <w:r w:rsidRPr="00455A40">
        <w:rPr>
          <w:color w:val="000000"/>
          <w:lang w:val="en-US"/>
        </w:rPr>
        <w:t>Dobin</w:t>
      </w:r>
      <w:proofErr w:type="spellEnd"/>
      <w:r w:rsidRPr="00455A40">
        <w:rPr>
          <w:color w:val="000000"/>
          <w:lang w:val="en-US"/>
        </w:rPr>
        <w:t xml:space="preserve"> A, Davis CA, Schlesinger F, </w:t>
      </w:r>
      <w:proofErr w:type="spellStart"/>
      <w:r w:rsidRPr="00455A40">
        <w:rPr>
          <w:color w:val="000000"/>
          <w:lang w:val="en-US"/>
        </w:rPr>
        <w:t>Drenkow</w:t>
      </w:r>
      <w:proofErr w:type="spellEnd"/>
      <w:r w:rsidRPr="00455A40">
        <w:rPr>
          <w:color w:val="000000"/>
          <w:lang w:val="en-US"/>
        </w:rPr>
        <w:t xml:space="preserve"> J, Zaleski C, Jha S, </w:t>
      </w:r>
      <w:proofErr w:type="spellStart"/>
      <w:r w:rsidRPr="00455A40">
        <w:rPr>
          <w:color w:val="000000"/>
          <w:lang w:val="en-US"/>
        </w:rPr>
        <w:t>Batut</w:t>
      </w:r>
      <w:proofErr w:type="spellEnd"/>
      <w:r w:rsidRPr="00455A40">
        <w:rPr>
          <w:color w:val="000000"/>
          <w:lang w:val="en-US"/>
        </w:rPr>
        <w:t xml:space="preserve"> P, </w:t>
      </w:r>
      <w:proofErr w:type="spellStart"/>
      <w:r w:rsidRPr="00455A40">
        <w:rPr>
          <w:color w:val="000000"/>
          <w:lang w:val="en-US"/>
        </w:rPr>
        <w:t>Chaisson</w:t>
      </w:r>
      <w:proofErr w:type="spellEnd"/>
      <w:r w:rsidRPr="00455A40">
        <w:rPr>
          <w:color w:val="000000"/>
          <w:lang w:val="en-US"/>
        </w:rPr>
        <w:t xml:space="preserve"> M, </w:t>
      </w:r>
      <w:proofErr w:type="spellStart"/>
      <w:r w:rsidRPr="00455A40">
        <w:rPr>
          <w:color w:val="000000"/>
          <w:lang w:val="en-US"/>
        </w:rPr>
        <w:t>Gingeras</w:t>
      </w:r>
      <w:proofErr w:type="spellEnd"/>
      <w:r w:rsidRPr="00455A40">
        <w:rPr>
          <w:color w:val="000000"/>
          <w:lang w:val="en-US"/>
        </w:rPr>
        <w:t xml:space="preserve"> TR. STAR: ultrafast universal RNA-seq aligner. </w:t>
      </w:r>
      <w:proofErr w:type="spellStart"/>
      <w:r w:rsidRPr="00455A40">
        <w:rPr>
          <w:i/>
          <w:iCs/>
          <w:color w:val="000000"/>
          <w:lang w:val="en-US"/>
        </w:rPr>
        <w:t>Bioinform</w:t>
      </w:r>
      <w:proofErr w:type="spellEnd"/>
      <w:r w:rsidRPr="00455A40">
        <w:rPr>
          <w:i/>
          <w:iCs/>
          <w:color w:val="000000"/>
          <w:lang w:val="en-US"/>
        </w:rPr>
        <w:t xml:space="preserve"> </w:t>
      </w:r>
      <w:proofErr w:type="spellStart"/>
      <w:r w:rsidRPr="00455A40">
        <w:rPr>
          <w:i/>
          <w:iCs/>
          <w:color w:val="000000"/>
          <w:lang w:val="en-US"/>
        </w:rPr>
        <w:t>Oxf</w:t>
      </w:r>
      <w:proofErr w:type="spellEnd"/>
      <w:r w:rsidRPr="00455A40">
        <w:rPr>
          <w:i/>
          <w:iCs/>
          <w:color w:val="000000"/>
          <w:lang w:val="en-US"/>
        </w:rPr>
        <w:t xml:space="preserve"> </w:t>
      </w:r>
      <w:proofErr w:type="spellStart"/>
      <w:r w:rsidRPr="00455A40">
        <w:rPr>
          <w:i/>
          <w:iCs/>
          <w:color w:val="000000"/>
          <w:lang w:val="en-US"/>
        </w:rPr>
        <w:t>Engl</w:t>
      </w:r>
      <w:proofErr w:type="spellEnd"/>
      <w:r w:rsidRPr="00455A40">
        <w:rPr>
          <w:color w:val="000000"/>
          <w:lang w:val="en-US"/>
        </w:rPr>
        <w:t xml:space="preserve"> </w:t>
      </w:r>
      <w:proofErr w:type="gramStart"/>
      <w:r w:rsidRPr="00455A40">
        <w:rPr>
          <w:color w:val="000000"/>
          <w:lang w:val="en-US"/>
        </w:rPr>
        <w:t>2012;</w:t>
      </w:r>
      <w:r w:rsidRPr="00455A40">
        <w:rPr>
          <w:b/>
          <w:bCs/>
          <w:color w:val="000000"/>
          <w:lang w:val="en-US"/>
        </w:rPr>
        <w:t>29</w:t>
      </w:r>
      <w:r w:rsidRPr="00455A40">
        <w:rPr>
          <w:color w:val="000000"/>
          <w:lang w:val="en-US"/>
        </w:rPr>
        <w:t>:15</w:t>
      </w:r>
      <w:proofErr w:type="gramEnd"/>
      <w:r w:rsidRPr="00455A40">
        <w:rPr>
          <w:color w:val="000000"/>
          <w:lang w:val="en-US"/>
        </w:rPr>
        <w:t>–21.</w:t>
      </w:r>
    </w:p>
    <w:p w14:paraId="41C2C261" w14:textId="77777777" w:rsidR="0046113F" w:rsidRPr="00455A40" w:rsidRDefault="0046113F" w:rsidP="0046113F">
      <w:pPr>
        <w:pStyle w:val="csl-entry"/>
        <w:rPr>
          <w:color w:val="000000"/>
          <w:lang w:val="en-US"/>
        </w:rPr>
      </w:pPr>
      <w:r w:rsidRPr="00455A40">
        <w:rPr>
          <w:color w:val="000000"/>
          <w:lang w:val="en-US"/>
        </w:rPr>
        <w:t xml:space="preserve">54. </w:t>
      </w:r>
      <w:proofErr w:type="spellStart"/>
      <w:r w:rsidRPr="00455A40">
        <w:rPr>
          <w:color w:val="000000"/>
          <w:lang w:val="en-US"/>
        </w:rPr>
        <w:t>Okonechnikov</w:t>
      </w:r>
      <w:proofErr w:type="spellEnd"/>
      <w:r w:rsidRPr="00455A40">
        <w:rPr>
          <w:color w:val="000000"/>
          <w:lang w:val="en-US"/>
        </w:rPr>
        <w:t xml:space="preserve"> K, Conesa A, García-Alcalde F. </w:t>
      </w:r>
      <w:proofErr w:type="spellStart"/>
      <w:r w:rsidRPr="00455A40">
        <w:rPr>
          <w:color w:val="000000"/>
          <w:lang w:val="en-US"/>
        </w:rPr>
        <w:t>Qualimap</w:t>
      </w:r>
      <w:proofErr w:type="spellEnd"/>
      <w:r w:rsidRPr="00455A40">
        <w:rPr>
          <w:color w:val="000000"/>
          <w:lang w:val="en-US"/>
        </w:rPr>
        <w:t xml:space="preserve"> 2: advanced multi-sample quality control for high-throughput sequencing data. </w:t>
      </w:r>
      <w:proofErr w:type="spellStart"/>
      <w:r w:rsidRPr="00455A40">
        <w:rPr>
          <w:i/>
          <w:iCs/>
          <w:color w:val="000000"/>
          <w:lang w:val="en-US"/>
        </w:rPr>
        <w:t>Bioinform</w:t>
      </w:r>
      <w:proofErr w:type="spellEnd"/>
      <w:r w:rsidRPr="00455A40">
        <w:rPr>
          <w:i/>
          <w:iCs/>
          <w:color w:val="000000"/>
          <w:lang w:val="en-US"/>
        </w:rPr>
        <w:t xml:space="preserve"> </w:t>
      </w:r>
      <w:proofErr w:type="spellStart"/>
      <w:r w:rsidRPr="00455A40">
        <w:rPr>
          <w:i/>
          <w:iCs/>
          <w:color w:val="000000"/>
          <w:lang w:val="en-US"/>
        </w:rPr>
        <w:t>Oxf</w:t>
      </w:r>
      <w:proofErr w:type="spellEnd"/>
      <w:r w:rsidRPr="00455A40">
        <w:rPr>
          <w:i/>
          <w:iCs/>
          <w:color w:val="000000"/>
          <w:lang w:val="en-US"/>
        </w:rPr>
        <w:t xml:space="preserve"> </w:t>
      </w:r>
      <w:proofErr w:type="spellStart"/>
      <w:r w:rsidRPr="00455A40">
        <w:rPr>
          <w:i/>
          <w:iCs/>
          <w:color w:val="000000"/>
          <w:lang w:val="en-US"/>
        </w:rPr>
        <w:t>Engl</w:t>
      </w:r>
      <w:proofErr w:type="spellEnd"/>
      <w:r w:rsidRPr="00455A40">
        <w:rPr>
          <w:color w:val="000000"/>
          <w:lang w:val="en-US"/>
        </w:rPr>
        <w:t xml:space="preserve"> </w:t>
      </w:r>
      <w:proofErr w:type="gramStart"/>
      <w:r w:rsidRPr="00455A40">
        <w:rPr>
          <w:color w:val="000000"/>
          <w:lang w:val="en-US"/>
        </w:rPr>
        <w:t>2015;</w:t>
      </w:r>
      <w:r w:rsidRPr="00455A40">
        <w:rPr>
          <w:b/>
          <w:bCs/>
          <w:color w:val="000000"/>
          <w:lang w:val="en-US"/>
        </w:rPr>
        <w:t>32</w:t>
      </w:r>
      <w:r w:rsidRPr="00455A40">
        <w:rPr>
          <w:color w:val="000000"/>
          <w:lang w:val="en-US"/>
        </w:rPr>
        <w:t>:292</w:t>
      </w:r>
      <w:proofErr w:type="gramEnd"/>
      <w:r w:rsidRPr="00455A40">
        <w:rPr>
          <w:color w:val="000000"/>
          <w:lang w:val="en-US"/>
        </w:rPr>
        <w:t>–294.</w:t>
      </w:r>
    </w:p>
    <w:p w14:paraId="67A7CFE4" w14:textId="77777777" w:rsidR="0046113F" w:rsidRPr="00455A40" w:rsidRDefault="0046113F" w:rsidP="0046113F">
      <w:pPr>
        <w:pStyle w:val="csl-entry"/>
        <w:rPr>
          <w:color w:val="000000"/>
          <w:lang w:val="en-US"/>
        </w:rPr>
      </w:pPr>
      <w:r w:rsidRPr="00455A40">
        <w:rPr>
          <w:color w:val="000000"/>
          <w:lang w:val="en-US"/>
        </w:rPr>
        <w:t xml:space="preserve">55. Liao Y, Smyth GK, Shi W. </w:t>
      </w:r>
      <w:proofErr w:type="spellStart"/>
      <w:r w:rsidRPr="00455A40">
        <w:rPr>
          <w:color w:val="000000"/>
          <w:lang w:val="en-US"/>
        </w:rPr>
        <w:t>featureCounts</w:t>
      </w:r>
      <w:proofErr w:type="spellEnd"/>
      <w:r w:rsidRPr="00455A40">
        <w:rPr>
          <w:color w:val="000000"/>
          <w:lang w:val="en-US"/>
        </w:rPr>
        <w:t xml:space="preserve">: An efficient general-purpose program for assigning sequence reads to genomic features. </w:t>
      </w:r>
      <w:r w:rsidRPr="00455A40">
        <w:rPr>
          <w:i/>
          <w:iCs/>
          <w:color w:val="000000"/>
          <w:lang w:val="en-US"/>
        </w:rPr>
        <w:t>Bioinformatics</w:t>
      </w:r>
      <w:r w:rsidRPr="00455A40">
        <w:rPr>
          <w:color w:val="000000"/>
          <w:lang w:val="en-US"/>
        </w:rPr>
        <w:t xml:space="preserve"> </w:t>
      </w:r>
      <w:proofErr w:type="gramStart"/>
      <w:r w:rsidRPr="00455A40">
        <w:rPr>
          <w:color w:val="000000"/>
          <w:lang w:val="en-US"/>
        </w:rPr>
        <w:t>2013;</w:t>
      </w:r>
      <w:r w:rsidRPr="00455A40">
        <w:rPr>
          <w:b/>
          <w:bCs/>
          <w:color w:val="000000"/>
          <w:lang w:val="en-US"/>
        </w:rPr>
        <w:t>30</w:t>
      </w:r>
      <w:r w:rsidRPr="00455A40">
        <w:rPr>
          <w:color w:val="000000"/>
          <w:lang w:val="en-US"/>
        </w:rPr>
        <w:t>:923</w:t>
      </w:r>
      <w:proofErr w:type="gramEnd"/>
      <w:r w:rsidRPr="00455A40">
        <w:rPr>
          <w:color w:val="000000"/>
          <w:lang w:val="en-US"/>
        </w:rPr>
        <w:t>–930.</w:t>
      </w:r>
    </w:p>
    <w:p w14:paraId="2BDF3C2A" w14:textId="77777777" w:rsidR="0046113F" w:rsidRPr="00455A40" w:rsidRDefault="0046113F" w:rsidP="0046113F">
      <w:pPr>
        <w:pStyle w:val="csl-entry"/>
        <w:rPr>
          <w:color w:val="000000"/>
          <w:lang w:val="en-US"/>
        </w:rPr>
      </w:pPr>
      <w:r w:rsidRPr="00455A40">
        <w:rPr>
          <w:color w:val="000000"/>
          <w:lang w:val="en-US"/>
        </w:rPr>
        <w:t xml:space="preserve">56. Robinson MD, </w:t>
      </w:r>
      <w:proofErr w:type="spellStart"/>
      <w:r w:rsidRPr="00455A40">
        <w:rPr>
          <w:color w:val="000000"/>
          <w:lang w:val="en-US"/>
        </w:rPr>
        <w:t>Oshlack</w:t>
      </w:r>
      <w:proofErr w:type="spellEnd"/>
      <w:r w:rsidRPr="00455A40">
        <w:rPr>
          <w:color w:val="000000"/>
          <w:lang w:val="en-US"/>
        </w:rPr>
        <w:t xml:space="preserve"> A. A scaling normalization method for differential expression analysis of RNA-seq data. </w:t>
      </w:r>
      <w:r w:rsidRPr="00455A40">
        <w:rPr>
          <w:i/>
          <w:iCs/>
          <w:color w:val="000000"/>
          <w:lang w:val="en-US"/>
        </w:rPr>
        <w:t>Genome Biol</w:t>
      </w:r>
      <w:r w:rsidRPr="00455A40">
        <w:rPr>
          <w:color w:val="000000"/>
          <w:lang w:val="en-US"/>
        </w:rPr>
        <w:t xml:space="preserve"> 2010;</w:t>
      </w:r>
      <w:proofErr w:type="gramStart"/>
      <w:r w:rsidRPr="00455A40">
        <w:rPr>
          <w:b/>
          <w:bCs/>
          <w:color w:val="000000"/>
          <w:lang w:val="en-US"/>
        </w:rPr>
        <w:t>11</w:t>
      </w:r>
      <w:r w:rsidRPr="00455A40">
        <w:rPr>
          <w:color w:val="000000"/>
          <w:lang w:val="en-US"/>
        </w:rPr>
        <w:t>:R</w:t>
      </w:r>
      <w:proofErr w:type="gramEnd"/>
      <w:r w:rsidRPr="00455A40">
        <w:rPr>
          <w:color w:val="000000"/>
          <w:lang w:val="en-US"/>
        </w:rPr>
        <w:t>25.</w:t>
      </w:r>
    </w:p>
    <w:p w14:paraId="2E13E509" w14:textId="77777777" w:rsidR="0046113F" w:rsidRPr="00455A40" w:rsidRDefault="0046113F" w:rsidP="0046113F">
      <w:pPr>
        <w:pStyle w:val="csl-entry"/>
        <w:rPr>
          <w:color w:val="000000"/>
          <w:lang w:val="en-US"/>
        </w:rPr>
      </w:pPr>
      <w:r w:rsidRPr="00455A40">
        <w:rPr>
          <w:color w:val="000000"/>
          <w:lang w:val="en-US"/>
        </w:rPr>
        <w:t xml:space="preserve">57. Robinson MD, McCarthy DJ, Smyth GK. </w:t>
      </w:r>
      <w:proofErr w:type="spellStart"/>
      <w:r w:rsidRPr="00455A40">
        <w:rPr>
          <w:color w:val="000000"/>
          <w:lang w:val="en-US"/>
        </w:rPr>
        <w:t>edgeR</w:t>
      </w:r>
      <w:proofErr w:type="spellEnd"/>
      <w:r w:rsidRPr="00455A40">
        <w:rPr>
          <w:color w:val="000000"/>
          <w:lang w:val="en-US"/>
        </w:rPr>
        <w:t xml:space="preserve">: a Bioconductor package for differential expression analysis of digital gene expression data. </w:t>
      </w:r>
      <w:proofErr w:type="spellStart"/>
      <w:r w:rsidRPr="00455A40">
        <w:rPr>
          <w:i/>
          <w:iCs/>
          <w:color w:val="000000"/>
          <w:lang w:val="en-US"/>
        </w:rPr>
        <w:t>Bioinform</w:t>
      </w:r>
      <w:proofErr w:type="spellEnd"/>
      <w:r w:rsidRPr="00455A40">
        <w:rPr>
          <w:i/>
          <w:iCs/>
          <w:color w:val="000000"/>
          <w:lang w:val="en-US"/>
        </w:rPr>
        <w:t xml:space="preserve"> </w:t>
      </w:r>
      <w:proofErr w:type="spellStart"/>
      <w:r w:rsidRPr="00455A40">
        <w:rPr>
          <w:i/>
          <w:iCs/>
          <w:color w:val="000000"/>
          <w:lang w:val="en-US"/>
        </w:rPr>
        <w:t>Oxf</w:t>
      </w:r>
      <w:proofErr w:type="spellEnd"/>
      <w:r w:rsidRPr="00455A40">
        <w:rPr>
          <w:i/>
          <w:iCs/>
          <w:color w:val="000000"/>
          <w:lang w:val="en-US"/>
        </w:rPr>
        <w:t xml:space="preserve"> </w:t>
      </w:r>
      <w:proofErr w:type="spellStart"/>
      <w:r w:rsidRPr="00455A40">
        <w:rPr>
          <w:i/>
          <w:iCs/>
          <w:color w:val="000000"/>
          <w:lang w:val="en-US"/>
        </w:rPr>
        <w:t>Engl</w:t>
      </w:r>
      <w:proofErr w:type="spellEnd"/>
      <w:r w:rsidRPr="00455A40">
        <w:rPr>
          <w:color w:val="000000"/>
          <w:lang w:val="en-US"/>
        </w:rPr>
        <w:t xml:space="preserve"> </w:t>
      </w:r>
      <w:proofErr w:type="gramStart"/>
      <w:r w:rsidRPr="00455A40">
        <w:rPr>
          <w:color w:val="000000"/>
          <w:lang w:val="en-US"/>
        </w:rPr>
        <w:t>2009;</w:t>
      </w:r>
      <w:r w:rsidRPr="00455A40">
        <w:rPr>
          <w:b/>
          <w:bCs/>
          <w:color w:val="000000"/>
          <w:lang w:val="en-US"/>
        </w:rPr>
        <w:t>26</w:t>
      </w:r>
      <w:r w:rsidRPr="00455A40">
        <w:rPr>
          <w:color w:val="000000"/>
          <w:lang w:val="en-US"/>
        </w:rPr>
        <w:t>:139</w:t>
      </w:r>
      <w:proofErr w:type="gramEnd"/>
      <w:r w:rsidRPr="00455A40">
        <w:rPr>
          <w:color w:val="000000"/>
          <w:lang w:val="en-US"/>
        </w:rPr>
        <w:t>–140.</w:t>
      </w:r>
    </w:p>
    <w:p w14:paraId="4C465293" w14:textId="77777777" w:rsidR="0046113F" w:rsidRPr="00455A40" w:rsidRDefault="0046113F" w:rsidP="0046113F">
      <w:pPr>
        <w:pStyle w:val="csl-entry"/>
        <w:rPr>
          <w:color w:val="000000"/>
          <w:lang w:val="en-US"/>
        </w:rPr>
      </w:pPr>
      <w:r w:rsidRPr="00455A40">
        <w:rPr>
          <w:color w:val="000000"/>
          <w:lang w:val="en-US"/>
        </w:rPr>
        <w:t xml:space="preserve">58. </w:t>
      </w:r>
      <w:proofErr w:type="spellStart"/>
      <w:r w:rsidRPr="00455A40">
        <w:rPr>
          <w:color w:val="000000"/>
          <w:lang w:val="en-US"/>
        </w:rPr>
        <w:t>Benjamini</w:t>
      </w:r>
      <w:proofErr w:type="spellEnd"/>
      <w:r w:rsidRPr="00455A40">
        <w:rPr>
          <w:color w:val="000000"/>
          <w:lang w:val="en-US"/>
        </w:rPr>
        <w:t xml:space="preserve"> Y, Hochberg Y. Controlling the False Discovery Rate: A Practical and Powerful Approach to Multiple Testing. </w:t>
      </w:r>
      <w:r w:rsidRPr="00455A40">
        <w:rPr>
          <w:i/>
          <w:iCs/>
          <w:color w:val="000000"/>
          <w:lang w:val="en-US"/>
        </w:rPr>
        <w:t xml:space="preserve">J Royal Statistical Soc Ser B </w:t>
      </w:r>
      <w:proofErr w:type="spellStart"/>
      <w:r w:rsidRPr="00455A40">
        <w:rPr>
          <w:i/>
          <w:iCs/>
          <w:color w:val="000000"/>
          <w:lang w:val="en-US"/>
        </w:rPr>
        <w:t>Methodol</w:t>
      </w:r>
      <w:proofErr w:type="spellEnd"/>
      <w:r w:rsidRPr="00455A40">
        <w:rPr>
          <w:color w:val="000000"/>
          <w:lang w:val="en-US"/>
        </w:rPr>
        <w:t xml:space="preserve"> </w:t>
      </w:r>
      <w:proofErr w:type="gramStart"/>
      <w:r w:rsidRPr="00455A40">
        <w:rPr>
          <w:color w:val="000000"/>
          <w:lang w:val="en-US"/>
        </w:rPr>
        <w:t>1995;</w:t>
      </w:r>
      <w:r w:rsidRPr="00455A40">
        <w:rPr>
          <w:b/>
          <w:bCs/>
          <w:color w:val="000000"/>
          <w:lang w:val="en-US"/>
        </w:rPr>
        <w:t>57</w:t>
      </w:r>
      <w:r w:rsidRPr="00455A40">
        <w:rPr>
          <w:color w:val="000000"/>
          <w:lang w:val="en-US"/>
        </w:rPr>
        <w:t>:289</w:t>
      </w:r>
      <w:proofErr w:type="gramEnd"/>
      <w:r w:rsidRPr="00455A40">
        <w:rPr>
          <w:color w:val="000000"/>
          <w:lang w:val="en-US"/>
        </w:rPr>
        <w:t>–300.</w:t>
      </w:r>
    </w:p>
    <w:p w14:paraId="40DAB61B" w14:textId="77777777" w:rsidR="0046113F" w:rsidRPr="00455A40" w:rsidRDefault="0046113F" w:rsidP="0046113F">
      <w:pPr>
        <w:pStyle w:val="csl-entry"/>
        <w:rPr>
          <w:color w:val="000000"/>
          <w:lang w:val="en-US"/>
        </w:rPr>
      </w:pPr>
      <w:r w:rsidRPr="00455A40">
        <w:rPr>
          <w:color w:val="000000"/>
          <w:lang w:val="en-US"/>
        </w:rPr>
        <w:t xml:space="preserve">59. Wickham H. ggplot2. </w:t>
      </w:r>
      <w:r w:rsidRPr="00455A40">
        <w:rPr>
          <w:i/>
          <w:iCs/>
          <w:color w:val="000000"/>
          <w:lang w:val="en-US"/>
        </w:rPr>
        <w:t xml:space="preserve">Wiley </w:t>
      </w:r>
      <w:proofErr w:type="spellStart"/>
      <w:r w:rsidRPr="00455A40">
        <w:rPr>
          <w:i/>
          <w:iCs/>
          <w:color w:val="000000"/>
          <w:lang w:val="en-US"/>
        </w:rPr>
        <w:t>Interdiscip</w:t>
      </w:r>
      <w:proofErr w:type="spellEnd"/>
      <w:r w:rsidRPr="00455A40">
        <w:rPr>
          <w:i/>
          <w:iCs/>
          <w:color w:val="000000"/>
          <w:lang w:val="en-US"/>
        </w:rPr>
        <w:t xml:space="preserve"> Rev </w:t>
      </w:r>
      <w:proofErr w:type="spellStart"/>
      <w:r w:rsidRPr="00455A40">
        <w:rPr>
          <w:i/>
          <w:iCs/>
          <w:color w:val="000000"/>
          <w:lang w:val="en-US"/>
        </w:rPr>
        <w:t>Comput</w:t>
      </w:r>
      <w:proofErr w:type="spellEnd"/>
      <w:r w:rsidRPr="00455A40">
        <w:rPr>
          <w:i/>
          <w:iCs/>
          <w:color w:val="000000"/>
          <w:lang w:val="en-US"/>
        </w:rPr>
        <w:t xml:space="preserve"> Statistics</w:t>
      </w:r>
      <w:r w:rsidRPr="00455A40">
        <w:rPr>
          <w:color w:val="000000"/>
          <w:lang w:val="en-US"/>
        </w:rPr>
        <w:t xml:space="preserve"> </w:t>
      </w:r>
      <w:proofErr w:type="gramStart"/>
      <w:r w:rsidRPr="00455A40">
        <w:rPr>
          <w:color w:val="000000"/>
          <w:lang w:val="en-US"/>
        </w:rPr>
        <w:t>2011;</w:t>
      </w:r>
      <w:r w:rsidRPr="00455A40">
        <w:rPr>
          <w:b/>
          <w:bCs/>
          <w:color w:val="000000"/>
          <w:lang w:val="en-US"/>
        </w:rPr>
        <w:t>3</w:t>
      </w:r>
      <w:r w:rsidRPr="00455A40">
        <w:rPr>
          <w:color w:val="000000"/>
          <w:lang w:val="en-US"/>
        </w:rPr>
        <w:t>:180</w:t>
      </w:r>
      <w:proofErr w:type="gramEnd"/>
      <w:r w:rsidRPr="00455A40">
        <w:rPr>
          <w:color w:val="000000"/>
          <w:lang w:val="en-US"/>
        </w:rPr>
        <w:t>–185.</w:t>
      </w:r>
    </w:p>
    <w:p w14:paraId="21890872" w14:textId="77777777" w:rsidR="0046113F" w:rsidRPr="00455A40" w:rsidRDefault="0046113F" w:rsidP="0046113F">
      <w:pPr>
        <w:pStyle w:val="csl-entry"/>
        <w:rPr>
          <w:color w:val="000000"/>
        </w:rPr>
      </w:pPr>
      <w:r w:rsidRPr="00455A40">
        <w:rPr>
          <w:color w:val="000000"/>
          <w:lang w:val="en-US"/>
        </w:rPr>
        <w:t xml:space="preserve">60. Chen J, Bardes EE, </w:t>
      </w:r>
      <w:proofErr w:type="spellStart"/>
      <w:r w:rsidRPr="00455A40">
        <w:rPr>
          <w:color w:val="000000"/>
          <w:lang w:val="en-US"/>
        </w:rPr>
        <w:t>Aronow</w:t>
      </w:r>
      <w:proofErr w:type="spellEnd"/>
      <w:r w:rsidRPr="00455A40">
        <w:rPr>
          <w:color w:val="000000"/>
          <w:lang w:val="en-US"/>
        </w:rPr>
        <w:t xml:space="preserve"> BJ, </w:t>
      </w:r>
      <w:proofErr w:type="spellStart"/>
      <w:r w:rsidRPr="00455A40">
        <w:rPr>
          <w:color w:val="000000"/>
          <w:lang w:val="en-US"/>
        </w:rPr>
        <w:t>Jegga</w:t>
      </w:r>
      <w:proofErr w:type="spellEnd"/>
      <w:r w:rsidRPr="00455A40">
        <w:rPr>
          <w:color w:val="000000"/>
          <w:lang w:val="en-US"/>
        </w:rPr>
        <w:t xml:space="preserve"> AG. </w:t>
      </w:r>
      <w:proofErr w:type="spellStart"/>
      <w:r w:rsidRPr="00455A40">
        <w:rPr>
          <w:color w:val="000000"/>
          <w:lang w:val="en-US"/>
        </w:rPr>
        <w:t>ToppGene</w:t>
      </w:r>
      <w:proofErr w:type="spellEnd"/>
      <w:r w:rsidRPr="00455A40">
        <w:rPr>
          <w:color w:val="000000"/>
          <w:lang w:val="en-US"/>
        </w:rPr>
        <w:t xml:space="preserve"> Suite for gene list enrichment analysis and candidate gene prioritization. </w:t>
      </w:r>
      <w:proofErr w:type="spellStart"/>
      <w:r w:rsidRPr="00455A40">
        <w:rPr>
          <w:i/>
          <w:iCs/>
          <w:color w:val="000000"/>
        </w:rPr>
        <w:t>Nucleic</w:t>
      </w:r>
      <w:proofErr w:type="spellEnd"/>
      <w:r w:rsidRPr="00455A40">
        <w:rPr>
          <w:i/>
          <w:iCs/>
          <w:color w:val="000000"/>
        </w:rPr>
        <w:t xml:space="preserve"> </w:t>
      </w:r>
      <w:proofErr w:type="spellStart"/>
      <w:r w:rsidRPr="00455A40">
        <w:rPr>
          <w:i/>
          <w:iCs/>
          <w:color w:val="000000"/>
        </w:rPr>
        <w:t>Acids</w:t>
      </w:r>
      <w:proofErr w:type="spellEnd"/>
      <w:r w:rsidRPr="00455A40">
        <w:rPr>
          <w:i/>
          <w:iCs/>
          <w:color w:val="000000"/>
        </w:rPr>
        <w:t xml:space="preserve"> Res</w:t>
      </w:r>
      <w:r w:rsidRPr="00455A40">
        <w:rPr>
          <w:color w:val="000000"/>
        </w:rPr>
        <w:t xml:space="preserve"> 2009;</w:t>
      </w:r>
      <w:proofErr w:type="gramStart"/>
      <w:r w:rsidRPr="00455A40">
        <w:rPr>
          <w:b/>
          <w:bCs/>
          <w:color w:val="000000"/>
        </w:rPr>
        <w:t>37</w:t>
      </w:r>
      <w:r w:rsidRPr="00455A40">
        <w:rPr>
          <w:color w:val="000000"/>
        </w:rPr>
        <w:t>:W</w:t>
      </w:r>
      <w:proofErr w:type="gramEnd"/>
      <w:r w:rsidRPr="00455A40">
        <w:rPr>
          <w:color w:val="000000"/>
        </w:rPr>
        <w:t>305-11.</w:t>
      </w:r>
    </w:p>
    <w:p w14:paraId="483F697C" w14:textId="68E93DAE" w:rsidR="00644A42" w:rsidRPr="00BE441E" w:rsidRDefault="00644A42" w:rsidP="009E075F">
      <w:pPr>
        <w:jc w:val="both"/>
        <w:rPr>
          <w:b/>
          <w:szCs w:val="24"/>
        </w:rPr>
      </w:pPr>
      <w:r w:rsidRPr="00BE441E">
        <w:rPr>
          <w:b/>
          <w:szCs w:val="24"/>
        </w:rPr>
        <w:br w:type="page"/>
      </w:r>
    </w:p>
    <w:p w14:paraId="32041F50" w14:textId="46806375" w:rsidR="00A27E0D" w:rsidRPr="00BE441E" w:rsidRDefault="00764F36" w:rsidP="00A27E0D">
      <w:pPr>
        <w:spacing w:line="480" w:lineRule="auto"/>
        <w:jc w:val="both"/>
        <w:rPr>
          <w:b/>
          <w:u w:val="single"/>
        </w:rPr>
      </w:pPr>
      <w:r w:rsidRPr="00BE441E">
        <w:rPr>
          <w:b/>
          <w:u w:val="single"/>
        </w:rPr>
        <w:lastRenderedPageBreak/>
        <w:t>Supplementary figures and supplementary figure legends</w:t>
      </w:r>
    </w:p>
    <w:p w14:paraId="467463C2" w14:textId="77777777" w:rsidR="00DB4FAB" w:rsidRPr="00BE441E" w:rsidRDefault="00DB4FAB" w:rsidP="00A27E0D">
      <w:pPr>
        <w:spacing w:line="480" w:lineRule="auto"/>
        <w:jc w:val="both"/>
        <w:rPr>
          <w:b/>
          <w:u w:val="single"/>
        </w:rPr>
      </w:pPr>
    </w:p>
    <w:p w14:paraId="627E85EB" w14:textId="7730564E" w:rsidR="0066741D" w:rsidRPr="00BE441E" w:rsidRDefault="00413C56" w:rsidP="00F75DE6">
      <w:pPr>
        <w:pStyle w:val="SMcaption"/>
        <w:spacing w:line="480" w:lineRule="auto"/>
        <w:jc w:val="both"/>
        <w:rPr>
          <w:b/>
        </w:rPr>
      </w:pPr>
      <w:r>
        <w:rPr>
          <w:b/>
          <w:noProof/>
        </w:rPr>
        <w:drawing>
          <wp:inline distT="0" distB="0" distL="0" distR="0" wp14:anchorId="146BD7B0" wp14:editId="1103FA3C">
            <wp:extent cx="5943600" cy="4270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43600" cy="4270375"/>
                    </a:xfrm>
                    <a:prstGeom prst="rect">
                      <a:avLst/>
                    </a:prstGeom>
                  </pic:spPr>
                </pic:pic>
              </a:graphicData>
            </a:graphic>
          </wp:inline>
        </w:drawing>
      </w:r>
    </w:p>
    <w:p w14:paraId="37C6ACF6" w14:textId="570EEE6A" w:rsidR="00611BEF" w:rsidRPr="00BE441E" w:rsidRDefault="00413C56" w:rsidP="00F75DE6">
      <w:pPr>
        <w:pStyle w:val="SMcaption"/>
        <w:spacing w:line="480" w:lineRule="auto"/>
        <w:jc w:val="both"/>
        <w:rPr>
          <w:b/>
        </w:rPr>
      </w:pPr>
      <w:r>
        <w:rPr>
          <w:b/>
          <w:noProof/>
        </w:rPr>
        <w:lastRenderedPageBreak/>
        <w:drawing>
          <wp:inline distT="0" distB="0" distL="0" distR="0" wp14:anchorId="72DD485F" wp14:editId="58D3DAF3">
            <wp:extent cx="5943600" cy="38881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
                      <a:extLst>
                        <a:ext uri="{28A0092B-C50C-407E-A947-70E740481C1C}">
                          <a14:useLocalDpi xmlns:a14="http://schemas.microsoft.com/office/drawing/2010/main" val="0"/>
                        </a:ext>
                      </a:extLst>
                    </a:blip>
                    <a:stretch>
                      <a:fillRect/>
                    </a:stretch>
                  </pic:blipFill>
                  <pic:spPr>
                    <a:xfrm>
                      <a:off x="0" y="0"/>
                      <a:ext cx="5943600" cy="3888105"/>
                    </a:xfrm>
                    <a:prstGeom prst="rect">
                      <a:avLst/>
                    </a:prstGeom>
                  </pic:spPr>
                </pic:pic>
              </a:graphicData>
            </a:graphic>
          </wp:inline>
        </w:drawing>
      </w:r>
    </w:p>
    <w:p w14:paraId="0E3CD75D" w14:textId="77777777" w:rsidR="00DB4FAB" w:rsidRPr="00BE441E" w:rsidRDefault="00DB4FAB" w:rsidP="00F75DE6">
      <w:pPr>
        <w:pStyle w:val="SMcaption"/>
        <w:spacing w:line="480" w:lineRule="auto"/>
        <w:jc w:val="both"/>
        <w:rPr>
          <w:b/>
        </w:rPr>
      </w:pPr>
    </w:p>
    <w:p w14:paraId="127127CF" w14:textId="3CA5570A" w:rsidR="001445ED" w:rsidRPr="00BE441E" w:rsidRDefault="001445ED" w:rsidP="00F75DE6">
      <w:pPr>
        <w:pStyle w:val="SMcaption"/>
        <w:spacing w:line="480" w:lineRule="auto"/>
        <w:jc w:val="both"/>
        <w:rPr>
          <w:b/>
        </w:rPr>
      </w:pPr>
      <w:r w:rsidRPr="00BE441E">
        <w:rPr>
          <w:b/>
        </w:rPr>
        <w:t>Fig. S1: Acute mental stress exposure lowers numbers of inflammatory blood leukocytes in humans and mice.</w:t>
      </w:r>
    </w:p>
    <w:p w14:paraId="4EEAA076" w14:textId="245605A0" w:rsidR="002256B5" w:rsidRPr="00BE441E" w:rsidRDefault="00FF3D59" w:rsidP="00E40CC9">
      <w:pPr>
        <w:pStyle w:val="SMcaption"/>
        <w:spacing w:line="480" w:lineRule="auto"/>
        <w:jc w:val="both"/>
        <w:rPr>
          <w:rFonts w:ascii="Times" w:hAnsi="Times" w:cs="Times"/>
          <w:color w:val="000000"/>
          <w:szCs w:val="24"/>
        </w:rPr>
      </w:pPr>
      <w:r w:rsidRPr="00BE441E">
        <w:rPr>
          <w:rFonts w:ascii="Times" w:hAnsi="Times" w:cs="Times"/>
          <w:b/>
          <w:color w:val="000000"/>
          <w:szCs w:val="24"/>
        </w:rPr>
        <w:t>(A)</w:t>
      </w:r>
      <w:r w:rsidRPr="00BE441E">
        <w:rPr>
          <w:rFonts w:ascii="Times" w:hAnsi="Times" w:cs="Times"/>
          <w:color w:val="000000"/>
          <w:szCs w:val="24"/>
        </w:rPr>
        <w:t xml:space="preserve"> </w:t>
      </w:r>
      <w:r w:rsidR="000869CB" w:rsidRPr="00BE441E">
        <w:rPr>
          <w:rFonts w:ascii="Times" w:hAnsi="Times" w:cs="Times"/>
          <w:color w:val="000000"/>
          <w:szCs w:val="24"/>
        </w:rPr>
        <w:t xml:space="preserve">Experimental setup for Fig. 1A-C and </w:t>
      </w:r>
      <w:r w:rsidR="00E460DE" w:rsidRPr="00BE441E">
        <w:rPr>
          <w:rFonts w:ascii="Times" w:hAnsi="Times" w:cs="Times"/>
          <w:color w:val="000000"/>
          <w:szCs w:val="24"/>
        </w:rPr>
        <w:t>panels</w:t>
      </w:r>
      <w:r w:rsidR="000869CB" w:rsidRPr="00BE441E">
        <w:rPr>
          <w:rFonts w:ascii="Times" w:hAnsi="Times" w:cs="Times"/>
          <w:color w:val="000000"/>
          <w:szCs w:val="24"/>
        </w:rPr>
        <w:t xml:space="preserve"> B+C. </w:t>
      </w:r>
      <w:r w:rsidR="000869CB" w:rsidRPr="00BE441E">
        <w:rPr>
          <w:rFonts w:ascii="Times" w:hAnsi="Times" w:cs="Times"/>
          <w:b/>
          <w:bCs/>
          <w:color w:val="000000"/>
          <w:szCs w:val="24"/>
        </w:rPr>
        <w:t>(B</w:t>
      </w:r>
      <w:r w:rsidR="00EC499A" w:rsidRPr="00BE441E">
        <w:rPr>
          <w:rFonts w:ascii="Times" w:hAnsi="Times" w:cs="Times"/>
          <w:b/>
          <w:bCs/>
          <w:color w:val="000000"/>
          <w:szCs w:val="24"/>
        </w:rPr>
        <w:t>, C</w:t>
      </w:r>
      <w:r w:rsidR="000869CB" w:rsidRPr="00BE441E">
        <w:rPr>
          <w:rFonts w:ascii="Times" w:hAnsi="Times" w:cs="Times"/>
          <w:b/>
          <w:bCs/>
          <w:color w:val="000000"/>
          <w:szCs w:val="24"/>
        </w:rPr>
        <w:t>)</w:t>
      </w:r>
      <w:r w:rsidR="000869CB" w:rsidRPr="00BE441E">
        <w:rPr>
          <w:rFonts w:ascii="Times" w:hAnsi="Times" w:cs="Times"/>
          <w:color w:val="000000"/>
          <w:szCs w:val="24"/>
        </w:rPr>
        <w:t xml:space="preserve"> </w:t>
      </w:r>
      <w:r w:rsidR="00EC499A" w:rsidRPr="00BE441E">
        <w:rPr>
          <w:rFonts w:ascii="Times" w:hAnsi="Times" w:cs="Times"/>
          <w:color w:val="000000"/>
          <w:szCs w:val="24"/>
        </w:rPr>
        <w:t>Gating and q</w:t>
      </w:r>
      <w:r w:rsidR="000869CB" w:rsidRPr="00BE441E">
        <w:rPr>
          <w:rFonts w:ascii="Times" w:hAnsi="Times" w:cs="Times"/>
          <w:color w:val="000000"/>
          <w:szCs w:val="24"/>
        </w:rPr>
        <w:t xml:space="preserve">uantification of human blood leukocyte subsets in soccer spectators either 24 h before or immediately after watching a key soccer match (n = 35 healthy individuals, paired </w:t>
      </w:r>
      <w:r w:rsidR="000869CB" w:rsidRPr="00BE441E">
        <w:rPr>
          <w:rFonts w:ascii="Times" w:hAnsi="Times" w:cs="Times"/>
          <w:i/>
          <w:iCs/>
          <w:color w:val="000000"/>
          <w:szCs w:val="24"/>
        </w:rPr>
        <w:t>t</w:t>
      </w:r>
      <w:r w:rsidR="000869CB" w:rsidRPr="00BE441E">
        <w:rPr>
          <w:rFonts w:ascii="Times" w:hAnsi="Times" w:cs="Times"/>
          <w:color w:val="000000"/>
          <w:szCs w:val="24"/>
        </w:rPr>
        <w:t>-test</w:t>
      </w:r>
      <w:r w:rsidR="00F87B1A" w:rsidRPr="00BE441E">
        <w:rPr>
          <w:rFonts w:ascii="Times" w:hAnsi="Times" w:cs="Times"/>
          <w:color w:val="000000"/>
          <w:szCs w:val="24"/>
        </w:rPr>
        <w:t>,</w:t>
      </w:r>
      <w:r w:rsidR="000869CB" w:rsidRPr="00BE441E">
        <w:rPr>
          <w:rFonts w:ascii="Times" w:hAnsi="Times" w:cs="Times"/>
          <w:color w:val="000000"/>
          <w:szCs w:val="24"/>
        </w:rPr>
        <w:t xml:space="preserve"> Wilcoxon matched-pairs test </w:t>
      </w:r>
      <w:r w:rsidR="00F87B1A" w:rsidRPr="00BE441E">
        <w:rPr>
          <w:rFonts w:ascii="Times" w:hAnsi="Times" w:cs="Times"/>
          <w:color w:val="000000"/>
          <w:szCs w:val="24"/>
        </w:rPr>
        <w:t>for CD14</w:t>
      </w:r>
      <w:r w:rsidR="00F87B1A" w:rsidRPr="00BE441E">
        <w:rPr>
          <w:vertAlign w:val="superscript"/>
        </w:rPr>
        <w:t>high</w:t>
      </w:r>
      <w:r w:rsidR="00F87B1A" w:rsidRPr="00BE441E">
        <w:rPr>
          <w:rFonts w:ascii="Times" w:hAnsi="Times" w:cs="Times"/>
          <w:color w:val="000000"/>
          <w:szCs w:val="24"/>
        </w:rPr>
        <w:t>CD16</w:t>
      </w:r>
      <w:r w:rsidR="00F87B1A" w:rsidRPr="00BE441E">
        <w:rPr>
          <w:vertAlign w:val="superscript"/>
        </w:rPr>
        <w:t>high</w:t>
      </w:r>
      <w:r w:rsidR="00F87B1A" w:rsidRPr="00BE441E">
        <w:rPr>
          <w:rFonts w:ascii="Times" w:hAnsi="Times" w:cs="Times"/>
          <w:color w:val="000000"/>
          <w:szCs w:val="24"/>
        </w:rPr>
        <w:t xml:space="preserve"> and CD14</w:t>
      </w:r>
      <w:r w:rsidR="00F87B1A" w:rsidRPr="00BE441E">
        <w:rPr>
          <w:vertAlign w:val="superscript"/>
        </w:rPr>
        <w:t>low</w:t>
      </w:r>
      <w:r w:rsidR="00F87B1A" w:rsidRPr="00BE441E">
        <w:rPr>
          <w:rFonts w:ascii="Times" w:hAnsi="Times" w:cs="Times"/>
          <w:color w:val="000000"/>
          <w:szCs w:val="24"/>
        </w:rPr>
        <w:t xml:space="preserve"> CD16</w:t>
      </w:r>
      <w:r w:rsidR="00F87B1A" w:rsidRPr="00BE441E">
        <w:rPr>
          <w:vertAlign w:val="superscript"/>
        </w:rPr>
        <w:t>high</w:t>
      </w:r>
      <w:r w:rsidR="00F87B1A" w:rsidRPr="00BE441E">
        <w:rPr>
          <w:rFonts w:ascii="Times" w:hAnsi="Times" w:cs="Times"/>
          <w:color w:val="000000"/>
          <w:szCs w:val="24"/>
        </w:rPr>
        <w:t xml:space="preserve"> monocytes</w:t>
      </w:r>
      <w:r w:rsidR="000869CB" w:rsidRPr="00BE441E">
        <w:rPr>
          <w:rFonts w:ascii="Times" w:hAnsi="Times" w:cs="Times"/>
          <w:color w:val="000000"/>
          <w:szCs w:val="24"/>
        </w:rPr>
        <w:t xml:space="preserve">). </w:t>
      </w:r>
      <w:r w:rsidR="000869CB" w:rsidRPr="00BE441E">
        <w:rPr>
          <w:rFonts w:ascii="Times" w:hAnsi="Times" w:cs="Times"/>
          <w:b/>
          <w:bCs/>
          <w:color w:val="000000"/>
          <w:szCs w:val="24"/>
        </w:rPr>
        <w:t>(</w:t>
      </w:r>
      <w:r w:rsidR="00EC499A" w:rsidRPr="00BE441E">
        <w:rPr>
          <w:rFonts w:ascii="Times" w:hAnsi="Times" w:cs="Times"/>
          <w:b/>
          <w:bCs/>
          <w:color w:val="000000"/>
          <w:szCs w:val="24"/>
        </w:rPr>
        <w:t>D</w:t>
      </w:r>
      <w:r w:rsidR="000869CB" w:rsidRPr="00BE441E">
        <w:rPr>
          <w:rFonts w:ascii="Times" w:hAnsi="Times" w:cs="Times"/>
          <w:b/>
          <w:bCs/>
          <w:color w:val="000000"/>
          <w:szCs w:val="24"/>
        </w:rPr>
        <w:t>)</w:t>
      </w:r>
      <w:r w:rsidR="000869CB" w:rsidRPr="00BE441E">
        <w:rPr>
          <w:rFonts w:ascii="Times" w:hAnsi="Times" w:cs="Times"/>
          <w:color w:val="000000"/>
          <w:szCs w:val="24"/>
        </w:rPr>
        <w:t xml:space="preserve"> Hemodynamic parameters in soccer spectators (paired </w:t>
      </w:r>
      <w:r w:rsidR="000869CB" w:rsidRPr="00BE441E">
        <w:rPr>
          <w:rFonts w:ascii="Times" w:hAnsi="Times" w:cs="Times"/>
          <w:i/>
          <w:iCs/>
          <w:color w:val="000000"/>
          <w:szCs w:val="24"/>
        </w:rPr>
        <w:t>t</w:t>
      </w:r>
      <w:r w:rsidR="000869CB" w:rsidRPr="00BE441E">
        <w:rPr>
          <w:rFonts w:ascii="Times" w:hAnsi="Times" w:cs="Times"/>
          <w:color w:val="000000"/>
          <w:szCs w:val="24"/>
        </w:rPr>
        <w:t xml:space="preserve">-test </w:t>
      </w:r>
      <w:r w:rsidR="003A7CFA" w:rsidRPr="00BE441E">
        <w:rPr>
          <w:rFonts w:ascii="Times" w:hAnsi="Times" w:cs="Times"/>
          <w:color w:val="000000"/>
          <w:szCs w:val="24"/>
        </w:rPr>
        <w:t xml:space="preserve">for heart rate, </w:t>
      </w:r>
      <w:r w:rsidR="000869CB" w:rsidRPr="00BE441E">
        <w:rPr>
          <w:rFonts w:ascii="Times" w:hAnsi="Times" w:cs="Times"/>
          <w:color w:val="000000"/>
          <w:szCs w:val="24"/>
        </w:rPr>
        <w:t xml:space="preserve">Wilcoxon matched-pairs test </w:t>
      </w:r>
      <w:r w:rsidR="003A7CFA" w:rsidRPr="00BE441E">
        <w:rPr>
          <w:rFonts w:ascii="Times" w:hAnsi="Times" w:cs="Times"/>
          <w:color w:val="000000"/>
          <w:szCs w:val="24"/>
        </w:rPr>
        <w:t>for systolic and diastolic blood pressure</w:t>
      </w:r>
      <w:r w:rsidR="000869CB" w:rsidRPr="00BE441E">
        <w:rPr>
          <w:rFonts w:ascii="Times" w:hAnsi="Times" w:cs="Times"/>
          <w:color w:val="000000"/>
          <w:szCs w:val="24"/>
        </w:rPr>
        <w:t xml:space="preserve">). </w:t>
      </w:r>
      <w:r w:rsidR="000869CB" w:rsidRPr="00BE441E">
        <w:rPr>
          <w:rFonts w:ascii="Times" w:hAnsi="Times" w:cs="Times"/>
          <w:b/>
          <w:bCs/>
          <w:color w:val="000000"/>
          <w:szCs w:val="24"/>
        </w:rPr>
        <w:t>(</w:t>
      </w:r>
      <w:r w:rsidR="00EC499A" w:rsidRPr="00BE441E">
        <w:rPr>
          <w:rFonts w:ascii="Times" w:hAnsi="Times" w:cs="Times"/>
          <w:b/>
          <w:bCs/>
          <w:color w:val="000000"/>
          <w:szCs w:val="24"/>
        </w:rPr>
        <w:t>E, F</w:t>
      </w:r>
      <w:r w:rsidR="000869CB" w:rsidRPr="00BE441E">
        <w:rPr>
          <w:rFonts w:ascii="Times" w:hAnsi="Times" w:cs="Times"/>
          <w:b/>
          <w:bCs/>
          <w:color w:val="000000"/>
          <w:szCs w:val="24"/>
        </w:rPr>
        <w:t>)</w:t>
      </w:r>
      <w:r w:rsidR="000869CB" w:rsidRPr="00BE441E">
        <w:rPr>
          <w:rFonts w:ascii="Times" w:hAnsi="Times" w:cs="Times"/>
          <w:color w:val="000000"/>
          <w:szCs w:val="24"/>
        </w:rPr>
        <w:t xml:space="preserve"> </w:t>
      </w:r>
      <w:r w:rsidR="004900AA" w:rsidRPr="00BE441E">
        <w:rPr>
          <w:rFonts w:ascii="Times" w:hAnsi="Times" w:cs="Times"/>
          <w:color w:val="000000"/>
          <w:szCs w:val="24"/>
        </w:rPr>
        <w:t>Gating and quantification of murine blood lymphocytes in non-stressed vs. stressed wild-type mice (immediately after a single 3 h episode of restraint stress, n</w:t>
      </w:r>
      <w:r w:rsidR="004900AA" w:rsidRPr="00BE441E">
        <w:rPr>
          <w:rFonts w:ascii="Times" w:hAnsi="Times" w:cs="Times"/>
          <w:i/>
          <w:iCs/>
          <w:color w:val="000000"/>
          <w:szCs w:val="24"/>
        </w:rPr>
        <w:t xml:space="preserve"> </w:t>
      </w:r>
      <w:r w:rsidR="004900AA" w:rsidRPr="00BE441E">
        <w:rPr>
          <w:rFonts w:ascii="Times" w:hAnsi="Times" w:cs="Times"/>
          <w:color w:val="000000"/>
          <w:szCs w:val="24"/>
        </w:rPr>
        <w:t xml:space="preserve">= 12 per group, Student´s </w:t>
      </w:r>
      <w:r w:rsidR="004900AA" w:rsidRPr="00BE441E">
        <w:rPr>
          <w:rFonts w:ascii="Times" w:hAnsi="Times" w:cs="Times"/>
          <w:i/>
          <w:iCs/>
          <w:color w:val="000000"/>
          <w:szCs w:val="24"/>
        </w:rPr>
        <w:t>t</w:t>
      </w:r>
      <w:r w:rsidR="004900AA" w:rsidRPr="00BE441E">
        <w:rPr>
          <w:rFonts w:ascii="Times" w:hAnsi="Times" w:cs="Times"/>
          <w:color w:val="000000"/>
          <w:szCs w:val="24"/>
        </w:rPr>
        <w:t xml:space="preserve">-test). </w:t>
      </w:r>
      <w:r w:rsidR="004900AA" w:rsidRPr="00BE441E">
        <w:rPr>
          <w:rFonts w:ascii="Times" w:hAnsi="Times" w:cs="Times"/>
          <w:b/>
          <w:color w:val="000000"/>
          <w:szCs w:val="24"/>
        </w:rPr>
        <w:t>(</w:t>
      </w:r>
      <w:r w:rsidR="00E417AD" w:rsidRPr="00BE441E">
        <w:rPr>
          <w:rFonts w:ascii="Times" w:hAnsi="Times" w:cs="Times"/>
          <w:b/>
          <w:color w:val="000000"/>
          <w:szCs w:val="24"/>
        </w:rPr>
        <w:t>G</w:t>
      </w:r>
      <w:r w:rsidR="00C82554" w:rsidRPr="00BE441E">
        <w:rPr>
          <w:rFonts w:ascii="Times" w:hAnsi="Times" w:cs="Times"/>
          <w:b/>
          <w:color w:val="000000"/>
          <w:szCs w:val="24"/>
        </w:rPr>
        <w:t xml:space="preserve">, </w:t>
      </w:r>
      <w:r w:rsidR="00E417AD" w:rsidRPr="00BE441E">
        <w:rPr>
          <w:rFonts w:ascii="Times" w:hAnsi="Times" w:cs="Times"/>
          <w:b/>
          <w:color w:val="000000"/>
          <w:szCs w:val="24"/>
        </w:rPr>
        <w:t>H</w:t>
      </w:r>
      <w:r w:rsidR="004900AA" w:rsidRPr="00BE441E">
        <w:rPr>
          <w:rFonts w:ascii="Times" w:hAnsi="Times" w:cs="Times"/>
          <w:b/>
          <w:color w:val="000000"/>
          <w:szCs w:val="24"/>
        </w:rPr>
        <w:t>)</w:t>
      </w:r>
      <w:r w:rsidR="004900AA" w:rsidRPr="00BE441E">
        <w:rPr>
          <w:rFonts w:ascii="Times" w:hAnsi="Times" w:cs="Times"/>
          <w:color w:val="000000"/>
          <w:szCs w:val="24"/>
        </w:rPr>
        <w:t xml:space="preserve"> </w:t>
      </w:r>
      <w:r w:rsidR="000869CB" w:rsidRPr="00BE441E">
        <w:rPr>
          <w:rFonts w:ascii="Times" w:hAnsi="Times" w:cs="Times"/>
          <w:color w:val="000000"/>
          <w:szCs w:val="24"/>
        </w:rPr>
        <w:t xml:space="preserve">Murine blood leukocyte kinetics </w:t>
      </w:r>
      <w:r w:rsidR="00BF07CC" w:rsidRPr="00BE441E">
        <w:rPr>
          <w:rFonts w:ascii="Times" w:hAnsi="Times" w:cs="Times"/>
          <w:b/>
          <w:bCs/>
          <w:color w:val="000000"/>
          <w:szCs w:val="24"/>
        </w:rPr>
        <w:t>(</w:t>
      </w:r>
      <w:r w:rsidR="00E417AD" w:rsidRPr="00BE441E">
        <w:rPr>
          <w:rFonts w:ascii="Times" w:hAnsi="Times" w:cs="Times"/>
          <w:b/>
          <w:bCs/>
          <w:color w:val="000000"/>
          <w:szCs w:val="24"/>
        </w:rPr>
        <w:t>G</w:t>
      </w:r>
      <w:r w:rsidR="00BF07CC" w:rsidRPr="00BE441E">
        <w:rPr>
          <w:rFonts w:ascii="Times" w:hAnsi="Times" w:cs="Times"/>
          <w:b/>
          <w:bCs/>
          <w:color w:val="000000"/>
          <w:szCs w:val="24"/>
        </w:rPr>
        <w:t xml:space="preserve">) </w:t>
      </w:r>
      <w:r w:rsidR="000869CB" w:rsidRPr="00BE441E">
        <w:rPr>
          <w:rFonts w:ascii="Times" w:hAnsi="Times" w:cs="Times"/>
          <w:color w:val="000000"/>
          <w:szCs w:val="24"/>
        </w:rPr>
        <w:t>during (n</w:t>
      </w:r>
      <w:r w:rsidR="000869CB" w:rsidRPr="00BE441E">
        <w:rPr>
          <w:rFonts w:ascii="Times" w:hAnsi="Times" w:cs="Times"/>
          <w:i/>
          <w:iCs/>
          <w:color w:val="000000"/>
          <w:szCs w:val="24"/>
        </w:rPr>
        <w:t xml:space="preserve"> </w:t>
      </w:r>
      <w:r w:rsidR="000869CB" w:rsidRPr="00BE441E">
        <w:rPr>
          <w:rFonts w:ascii="Times" w:hAnsi="Times" w:cs="Times"/>
          <w:color w:val="000000"/>
          <w:szCs w:val="24"/>
        </w:rPr>
        <w:t>= 6-10 per group, one-way ANOVA</w:t>
      </w:r>
      <w:r w:rsidR="00F617A1" w:rsidRPr="00BE441E">
        <w:rPr>
          <w:rFonts w:ascii="Times" w:hAnsi="Times" w:cs="Times"/>
          <w:color w:val="000000"/>
          <w:szCs w:val="24"/>
        </w:rPr>
        <w:t xml:space="preserve">, result of overall testing </w:t>
      </w:r>
      <w:r w:rsidR="00F617A1" w:rsidRPr="00BE441E">
        <w:rPr>
          <w:rFonts w:ascii="Times" w:hAnsi="Times" w:cs="Times"/>
          <w:i/>
          <w:color w:val="000000"/>
          <w:szCs w:val="24"/>
        </w:rPr>
        <w:t>P</w:t>
      </w:r>
      <w:r w:rsidR="00F617A1" w:rsidRPr="00BE441E">
        <w:rPr>
          <w:rFonts w:ascii="Times" w:hAnsi="Times" w:cs="Times"/>
          <w:color w:val="000000"/>
          <w:szCs w:val="24"/>
        </w:rPr>
        <w:t xml:space="preserve"> = 0.0035</w:t>
      </w:r>
      <w:r w:rsidR="00BE441E">
        <w:rPr>
          <w:rFonts w:ascii="Times" w:hAnsi="Times" w:cs="Times"/>
          <w:color w:val="000000"/>
          <w:szCs w:val="24"/>
        </w:rPr>
        <w:t xml:space="preserve">, </w:t>
      </w:r>
      <w:r w:rsidR="00BE441E" w:rsidRPr="007F15AF">
        <w:rPr>
          <w:rFonts w:eastAsiaTheme="minorHAnsi"/>
          <w:color w:val="000000"/>
          <w:highlight w:val="yellow"/>
        </w:rPr>
        <w:t xml:space="preserve">only </w:t>
      </w:r>
      <w:r w:rsidR="00BE441E" w:rsidRPr="007F15AF">
        <w:rPr>
          <w:rFonts w:eastAsiaTheme="minorHAnsi"/>
          <w:i/>
          <w:color w:val="000000"/>
          <w:highlight w:val="yellow"/>
        </w:rPr>
        <w:t>p</w:t>
      </w:r>
      <w:r w:rsidR="00BE441E" w:rsidRPr="007F15AF">
        <w:rPr>
          <w:rFonts w:eastAsiaTheme="minorHAnsi"/>
          <w:color w:val="000000"/>
          <w:highlight w:val="yellow"/>
        </w:rPr>
        <w:t xml:space="preserve">-values for comparisons with </w:t>
      </w:r>
      <w:r w:rsidR="00F6144E">
        <w:rPr>
          <w:rFonts w:eastAsiaTheme="minorHAnsi"/>
          <w:color w:val="000000"/>
          <w:highlight w:val="yellow"/>
        </w:rPr>
        <w:t xml:space="preserve">non-stressed </w:t>
      </w:r>
      <w:r w:rsidR="00BE441E" w:rsidRPr="007F15AF">
        <w:rPr>
          <w:rFonts w:eastAsiaTheme="minorHAnsi"/>
          <w:color w:val="000000"/>
          <w:highlight w:val="yellow"/>
        </w:rPr>
        <w:lastRenderedPageBreak/>
        <w:t>control group are annotated</w:t>
      </w:r>
      <w:r w:rsidR="000869CB" w:rsidRPr="00BE441E">
        <w:rPr>
          <w:rFonts w:ascii="Times" w:hAnsi="Times" w:cs="Times"/>
          <w:color w:val="000000"/>
          <w:szCs w:val="24"/>
        </w:rPr>
        <w:t xml:space="preserve">) and </w:t>
      </w:r>
      <w:r w:rsidR="00BF07CC" w:rsidRPr="00BE441E">
        <w:rPr>
          <w:rFonts w:ascii="Times" w:hAnsi="Times" w:cs="Times"/>
          <w:b/>
          <w:bCs/>
          <w:color w:val="000000"/>
          <w:szCs w:val="24"/>
        </w:rPr>
        <w:t>(</w:t>
      </w:r>
      <w:r w:rsidR="00E417AD" w:rsidRPr="00BE441E">
        <w:rPr>
          <w:rFonts w:ascii="Times" w:hAnsi="Times" w:cs="Times"/>
          <w:b/>
          <w:bCs/>
          <w:color w:val="000000"/>
          <w:szCs w:val="24"/>
        </w:rPr>
        <w:t>H</w:t>
      </w:r>
      <w:r w:rsidR="00BF07CC" w:rsidRPr="00BE441E">
        <w:rPr>
          <w:rFonts w:ascii="Times" w:hAnsi="Times" w:cs="Times"/>
          <w:b/>
          <w:bCs/>
          <w:color w:val="000000"/>
          <w:szCs w:val="24"/>
        </w:rPr>
        <w:t xml:space="preserve">) </w:t>
      </w:r>
      <w:r w:rsidR="000869CB" w:rsidRPr="00BE441E">
        <w:rPr>
          <w:rFonts w:ascii="Times" w:hAnsi="Times" w:cs="Times"/>
          <w:color w:val="000000"/>
          <w:szCs w:val="24"/>
        </w:rPr>
        <w:t>after (n</w:t>
      </w:r>
      <w:r w:rsidR="000869CB" w:rsidRPr="00BE441E">
        <w:rPr>
          <w:rFonts w:ascii="Times" w:hAnsi="Times" w:cs="Times"/>
          <w:i/>
          <w:iCs/>
          <w:color w:val="000000"/>
          <w:szCs w:val="24"/>
        </w:rPr>
        <w:t xml:space="preserve"> </w:t>
      </w:r>
      <w:r w:rsidR="000869CB" w:rsidRPr="00BE441E">
        <w:rPr>
          <w:rFonts w:ascii="Times" w:hAnsi="Times" w:cs="Times"/>
          <w:color w:val="000000"/>
          <w:szCs w:val="24"/>
        </w:rPr>
        <w:t>= 5-2</w:t>
      </w:r>
      <w:r w:rsidR="002C5FDC" w:rsidRPr="00BE441E">
        <w:rPr>
          <w:rFonts w:ascii="Times" w:hAnsi="Times" w:cs="Times"/>
          <w:color w:val="000000"/>
          <w:szCs w:val="24"/>
        </w:rPr>
        <w:t>1</w:t>
      </w:r>
      <w:r w:rsidR="000869CB" w:rsidRPr="00BE441E">
        <w:rPr>
          <w:rFonts w:ascii="Times" w:hAnsi="Times" w:cs="Times"/>
          <w:color w:val="000000"/>
          <w:szCs w:val="24"/>
        </w:rPr>
        <w:t xml:space="preserve"> per group, Mixed-effects analysis</w:t>
      </w:r>
      <w:r w:rsidR="00D769B8" w:rsidRPr="00BE441E">
        <w:rPr>
          <w:rFonts w:ascii="Times" w:hAnsi="Times" w:cs="Times"/>
          <w:color w:val="000000"/>
          <w:szCs w:val="24"/>
        </w:rPr>
        <w:t xml:space="preserve">, result of overall testing </w:t>
      </w:r>
      <w:r w:rsidR="00D769B8" w:rsidRPr="00BE441E">
        <w:rPr>
          <w:rFonts w:ascii="Times" w:hAnsi="Times" w:cs="Times"/>
          <w:i/>
          <w:color w:val="000000"/>
          <w:szCs w:val="24"/>
        </w:rPr>
        <w:t>P</w:t>
      </w:r>
      <w:r w:rsidR="00D769B8" w:rsidRPr="00BE441E">
        <w:rPr>
          <w:rFonts w:ascii="Times" w:hAnsi="Times" w:cs="Times"/>
          <w:color w:val="000000"/>
          <w:szCs w:val="24"/>
        </w:rPr>
        <w:t xml:space="preserve"> &lt; 0.0001</w:t>
      </w:r>
      <w:r w:rsidR="00672CB2">
        <w:rPr>
          <w:rFonts w:ascii="Times" w:hAnsi="Times" w:cs="Times"/>
          <w:color w:val="000000"/>
          <w:szCs w:val="24"/>
        </w:rPr>
        <w:t>,</w:t>
      </w:r>
      <w:r w:rsidR="00672CB2" w:rsidRPr="00672CB2">
        <w:rPr>
          <w:rFonts w:eastAsiaTheme="minorHAnsi"/>
          <w:color w:val="000000"/>
          <w:highlight w:val="yellow"/>
        </w:rPr>
        <w:t xml:space="preserve"> </w:t>
      </w:r>
      <w:r w:rsidR="00462F0A" w:rsidRPr="007F15AF">
        <w:rPr>
          <w:rFonts w:eastAsiaTheme="minorHAnsi"/>
          <w:color w:val="000000"/>
          <w:highlight w:val="yellow"/>
        </w:rPr>
        <w:t xml:space="preserve">only </w:t>
      </w:r>
      <w:r w:rsidR="00462F0A" w:rsidRPr="007F15AF">
        <w:rPr>
          <w:rFonts w:eastAsiaTheme="minorHAnsi"/>
          <w:i/>
          <w:color w:val="000000"/>
          <w:highlight w:val="yellow"/>
        </w:rPr>
        <w:t>p</w:t>
      </w:r>
      <w:r w:rsidR="00462F0A" w:rsidRPr="007F15AF">
        <w:rPr>
          <w:rFonts w:eastAsiaTheme="minorHAnsi"/>
          <w:color w:val="000000"/>
          <w:highlight w:val="yellow"/>
        </w:rPr>
        <w:t xml:space="preserve">-values for comparisons with </w:t>
      </w:r>
      <w:r w:rsidR="00CA057D">
        <w:rPr>
          <w:rFonts w:eastAsiaTheme="minorHAnsi"/>
          <w:color w:val="000000"/>
          <w:highlight w:val="yellow"/>
        </w:rPr>
        <w:t>non-stressed</w:t>
      </w:r>
      <w:r w:rsidR="00462F0A">
        <w:rPr>
          <w:rFonts w:eastAsiaTheme="minorHAnsi"/>
          <w:color w:val="000000"/>
          <w:highlight w:val="yellow"/>
        </w:rPr>
        <w:t xml:space="preserve"> </w:t>
      </w:r>
      <w:r w:rsidR="00462F0A" w:rsidRPr="007F15AF">
        <w:rPr>
          <w:rFonts w:eastAsiaTheme="minorHAnsi"/>
          <w:color w:val="000000"/>
          <w:highlight w:val="yellow"/>
        </w:rPr>
        <w:t>control group are annotated</w:t>
      </w:r>
      <w:r w:rsidR="000869CB" w:rsidRPr="00BE441E">
        <w:rPr>
          <w:rFonts w:ascii="Times" w:hAnsi="Times" w:cs="Times"/>
          <w:color w:val="000000"/>
          <w:szCs w:val="24"/>
        </w:rPr>
        <w:t xml:space="preserve">) a single 3 h stress episode. </w:t>
      </w:r>
      <w:r w:rsidR="0000082A" w:rsidRPr="00BE441E">
        <w:rPr>
          <w:rFonts w:ascii="Times" w:hAnsi="Times" w:cs="Times"/>
          <w:b/>
          <w:bCs/>
          <w:color w:val="000000"/>
          <w:szCs w:val="24"/>
        </w:rPr>
        <w:t>(</w:t>
      </w:r>
      <w:r w:rsidR="00E417AD" w:rsidRPr="00BE441E">
        <w:rPr>
          <w:rFonts w:ascii="Times" w:hAnsi="Times" w:cs="Times"/>
          <w:b/>
          <w:bCs/>
          <w:color w:val="000000"/>
          <w:szCs w:val="24"/>
        </w:rPr>
        <w:t>I</w:t>
      </w:r>
      <w:r w:rsidR="0000082A" w:rsidRPr="00BE441E">
        <w:rPr>
          <w:rFonts w:ascii="Times" w:hAnsi="Times" w:cs="Times"/>
          <w:b/>
          <w:bCs/>
          <w:color w:val="000000"/>
          <w:szCs w:val="24"/>
        </w:rPr>
        <w:t xml:space="preserve">) </w:t>
      </w:r>
      <w:r w:rsidR="0000082A" w:rsidRPr="00BE441E">
        <w:rPr>
          <w:rFonts w:ascii="Times" w:hAnsi="Times" w:cs="Times"/>
          <w:color w:val="000000"/>
          <w:szCs w:val="24"/>
        </w:rPr>
        <w:t>Murine blood leukocyte subset kinetics during a single 3 h stress episode (n</w:t>
      </w:r>
      <w:r w:rsidR="0000082A" w:rsidRPr="00BE441E">
        <w:rPr>
          <w:rFonts w:ascii="Times" w:hAnsi="Times" w:cs="Times"/>
          <w:i/>
          <w:iCs/>
          <w:color w:val="000000"/>
          <w:szCs w:val="24"/>
        </w:rPr>
        <w:t xml:space="preserve"> </w:t>
      </w:r>
      <w:r w:rsidR="0000082A" w:rsidRPr="00BE441E">
        <w:rPr>
          <w:rFonts w:ascii="Times" w:hAnsi="Times" w:cs="Times"/>
          <w:color w:val="000000"/>
          <w:szCs w:val="24"/>
        </w:rPr>
        <w:t>= 6-10 per group, one-way ANOVA</w:t>
      </w:r>
      <w:r w:rsidR="00235152" w:rsidRPr="00BE441E">
        <w:rPr>
          <w:rFonts w:ascii="Times" w:hAnsi="Times" w:cs="Times"/>
          <w:color w:val="000000"/>
          <w:szCs w:val="24"/>
        </w:rPr>
        <w:t xml:space="preserve"> for Ly6C</w:t>
      </w:r>
      <w:r w:rsidR="00235152" w:rsidRPr="00BE441E">
        <w:rPr>
          <w:vertAlign w:val="superscript"/>
        </w:rPr>
        <w:t>high</w:t>
      </w:r>
      <w:r w:rsidR="00235152" w:rsidRPr="00BE441E">
        <w:t xml:space="preserve"> and </w:t>
      </w:r>
      <w:r w:rsidR="00235152" w:rsidRPr="00BE441E">
        <w:rPr>
          <w:rFonts w:ascii="Times" w:hAnsi="Times" w:cs="Times"/>
          <w:color w:val="000000"/>
          <w:szCs w:val="24"/>
        </w:rPr>
        <w:t>Ly6C</w:t>
      </w:r>
      <w:r w:rsidR="00235152" w:rsidRPr="00BE441E">
        <w:rPr>
          <w:vertAlign w:val="superscript"/>
        </w:rPr>
        <w:t>low</w:t>
      </w:r>
      <w:r w:rsidR="00235152" w:rsidRPr="00BE441E">
        <w:t xml:space="preserve"> monocytes,</w:t>
      </w:r>
      <w:r w:rsidR="00D769B8" w:rsidRPr="00BE441E">
        <w:rPr>
          <w:rFonts w:ascii="Times" w:hAnsi="Times" w:cs="Times"/>
          <w:color w:val="000000"/>
          <w:szCs w:val="24"/>
        </w:rPr>
        <w:t xml:space="preserve"> result of overall testing </w:t>
      </w:r>
      <w:r w:rsidR="00D769B8" w:rsidRPr="00BE441E">
        <w:rPr>
          <w:rFonts w:ascii="Times" w:hAnsi="Times" w:cs="Times"/>
          <w:i/>
          <w:color w:val="000000"/>
          <w:szCs w:val="24"/>
        </w:rPr>
        <w:t>P</w:t>
      </w:r>
      <w:r w:rsidR="00D769B8" w:rsidRPr="00BE441E">
        <w:rPr>
          <w:rFonts w:ascii="Times" w:hAnsi="Times" w:cs="Times"/>
          <w:color w:val="000000"/>
          <w:szCs w:val="24"/>
        </w:rPr>
        <w:t xml:space="preserve"> </w:t>
      </w:r>
      <w:r w:rsidR="00235152" w:rsidRPr="00BE441E">
        <w:rPr>
          <w:rFonts w:ascii="Times" w:hAnsi="Times" w:cs="Times"/>
          <w:color w:val="000000"/>
          <w:szCs w:val="24"/>
        </w:rPr>
        <w:t>=</w:t>
      </w:r>
      <w:r w:rsidR="00D769B8" w:rsidRPr="00BE441E">
        <w:rPr>
          <w:rFonts w:ascii="Times" w:hAnsi="Times" w:cs="Times"/>
          <w:color w:val="000000"/>
          <w:szCs w:val="24"/>
        </w:rPr>
        <w:t xml:space="preserve"> 0.0027</w:t>
      </w:r>
      <w:r w:rsidR="002A7B0D" w:rsidRPr="00BE441E">
        <w:rPr>
          <w:rFonts w:ascii="Times" w:hAnsi="Times" w:cs="Times"/>
          <w:color w:val="000000"/>
          <w:szCs w:val="24"/>
        </w:rPr>
        <w:t xml:space="preserve"> for Ly6C</w:t>
      </w:r>
      <w:r w:rsidR="002A7B0D" w:rsidRPr="00BE441E">
        <w:rPr>
          <w:vertAlign w:val="superscript"/>
        </w:rPr>
        <w:t>high</w:t>
      </w:r>
      <w:r w:rsidR="002A7B0D" w:rsidRPr="00BE441E">
        <w:t xml:space="preserve"> monocytes</w:t>
      </w:r>
      <w:r w:rsidR="00235152" w:rsidRPr="00BE441E">
        <w:t xml:space="preserve"> and </w:t>
      </w:r>
      <w:r w:rsidR="00235152" w:rsidRPr="00BE441E">
        <w:rPr>
          <w:rFonts w:ascii="Times" w:hAnsi="Times" w:cs="Times"/>
          <w:i/>
          <w:color w:val="000000"/>
          <w:szCs w:val="24"/>
        </w:rPr>
        <w:t>P</w:t>
      </w:r>
      <w:r w:rsidR="00235152" w:rsidRPr="00BE441E">
        <w:rPr>
          <w:rFonts w:ascii="Times" w:hAnsi="Times" w:cs="Times"/>
          <w:color w:val="000000"/>
          <w:szCs w:val="24"/>
        </w:rPr>
        <w:t xml:space="preserve"> = 0.1361 for Ly6C</w:t>
      </w:r>
      <w:r w:rsidR="00235152" w:rsidRPr="00BE441E">
        <w:rPr>
          <w:vertAlign w:val="superscript"/>
        </w:rPr>
        <w:t>low</w:t>
      </w:r>
      <w:r w:rsidR="00235152" w:rsidRPr="00BE441E">
        <w:t xml:space="preserve"> monocytes; Kruskal-Wallis test for neutrophils, </w:t>
      </w:r>
      <w:r w:rsidR="00235152" w:rsidRPr="00BE441E">
        <w:rPr>
          <w:rFonts w:ascii="Times" w:hAnsi="Times" w:cs="Times"/>
          <w:color w:val="000000"/>
          <w:szCs w:val="24"/>
        </w:rPr>
        <w:t xml:space="preserve">result of overall testing </w:t>
      </w:r>
      <w:r w:rsidR="00235152" w:rsidRPr="00BE441E">
        <w:rPr>
          <w:rFonts w:ascii="Times" w:hAnsi="Times" w:cs="Times"/>
          <w:i/>
          <w:color w:val="000000"/>
          <w:szCs w:val="24"/>
        </w:rPr>
        <w:t>P</w:t>
      </w:r>
      <w:r w:rsidR="00235152" w:rsidRPr="00BE441E">
        <w:rPr>
          <w:rFonts w:ascii="Times" w:hAnsi="Times" w:cs="Times"/>
          <w:color w:val="000000"/>
          <w:szCs w:val="24"/>
        </w:rPr>
        <w:t xml:space="preserve"> &lt; 0.0036</w:t>
      </w:r>
      <w:r w:rsidR="00400CE4">
        <w:rPr>
          <w:rFonts w:ascii="Times" w:hAnsi="Times" w:cs="Times"/>
          <w:color w:val="000000"/>
          <w:szCs w:val="24"/>
        </w:rPr>
        <w:t xml:space="preserve">; </w:t>
      </w:r>
      <w:r w:rsidR="00400CE4" w:rsidRPr="007F15AF">
        <w:rPr>
          <w:rFonts w:eastAsiaTheme="minorHAnsi"/>
          <w:color w:val="000000"/>
          <w:highlight w:val="yellow"/>
        </w:rPr>
        <w:t xml:space="preserve">only </w:t>
      </w:r>
      <w:r w:rsidR="00400CE4" w:rsidRPr="007F15AF">
        <w:rPr>
          <w:rFonts w:eastAsiaTheme="minorHAnsi"/>
          <w:i/>
          <w:color w:val="000000"/>
          <w:highlight w:val="yellow"/>
        </w:rPr>
        <w:t>p</w:t>
      </w:r>
      <w:r w:rsidR="00400CE4" w:rsidRPr="007F15AF">
        <w:rPr>
          <w:rFonts w:eastAsiaTheme="minorHAnsi"/>
          <w:color w:val="000000"/>
          <w:highlight w:val="yellow"/>
        </w:rPr>
        <w:t xml:space="preserve">-values for comparisons with </w:t>
      </w:r>
      <w:r w:rsidR="00F6144E">
        <w:rPr>
          <w:rFonts w:eastAsiaTheme="minorHAnsi"/>
          <w:color w:val="000000"/>
          <w:highlight w:val="yellow"/>
        </w:rPr>
        <w:t xml:space="preserve">non-stressed </w:t>
      </w:r>
      <w:r w:rsidR="00400CE4" w:rsidRPr="007F15AF">
        <w:rPr>
          <w:rFonts w:eastAsiaTheme="minorHAnsi"/>
          <w:color w:val="000000"/>
          <w:highlight w:val="yellow"/>
        </w:rPr>
        <w:t>control group are annotated</w:t>
      </w:r>
      <w:r w:rsidR="0000082A" w:rsidRPr="00BE441E">
        <w:rPr>
          <w:rFonts w:ascii="Times" w:hAnsi="Times" w:cs="Times"/>
          <w:color w:val="000000"/>
          <w:szCs w:val="24"/>
        </w:rPr>
        <w:t xml:space="preserve">). </w:t>
      </w:r>
      <w:r w:rsidR="000869CB" w:rsidRPr="00BE441E">
        <w:rPr>
          <w:rFonts w:ascii="Times" w:hAnsi="Times" w:cs="Times"/>
          <w:color w:val="000000"/>
          <w:szCs w:val="24"/>
        </w:rPr>
        <w:t xml:space="preserve">Data are presented as mean + </w:t>
      </w:r>
      <w:proofErr w:type="spellStart"/>
      <w:r w:rsidR="000869CB" w:rsidRPr="00BE441E">
        <w:rPr>
          <w:rFonts w:ascii="Times" w:hAnsi="Times" w:cs="Times"/>
          <w:color w:val="000000"/>
          <w:szCs w:val="24"/>
        </w:rPr>
        <w:t>s.</w:t>
      </w:r>
      <w:r w:rsidR="00F91012" w:rsidRPr="00BE441E">
        <w:rPr>
          <w:rFonts w:ascii="Times" w:hAnsi="Times" w:cs="Times"/>
          <w:color w:val="000000"/>
          <w:szCs w:val="24"/>
        </w:rPr>
        <w:t>d</w:t>
      </w:r>
      <w:r w:rsidR="000869CB" w:rsidRPr="00BE441E">
        <w:rPr>
          <w:rFonts w:ascii="Times" w:hAnsi="Times" w:cs="Times"/>
          <w:color w:val="000000"/>
          <w:szCs w:val="24"/>
        </w:rPr>
        <w:t>.</w:t>
      </w:r>
      <w:proofErr w:type="spellEnd"/>
      <w:r w:rsidR="007C0F29" w:rsidRPr="00BE441E">
        <w:rPr>
          <w:rFonts w:ascii="Times" w:hAnsi="Times" w:cs="Times"/>
          <w:color w:val="000000"/>
          <w:szCs w:val="24"/>
        </w:rPr>
        <w:t xml:space="preserve"> BP = blood pressure, HR = heart rate</w:t>
      </w:r>
      <w:r w:rsidR="00391154" w:rsidRPr="00BE441E">
        <w:rPr>
          <w:rFonts w:ascii="Times" w:hAnsi="Times" w:cs="Times"/>
          <w:color w:val="000000"/>
          <w:szCs w:val="24"/>
        </w:rPr>
        <w:t>, VAS = visual analog scale</w:t>
      </w:r>
      <w:r w:rsidR="007C0F29" w:rsidRPr="00BE441E">
        <w:rPr>
          <w:rFonts w:ascii="Times" w:hAnsi="Times" w:cs="Times"/>
          <w:color w:val="000000"/>
          <w:szCs w:val="24"/>
        </w:rPr>
        <w:t>.</w:t>
      </w:r>
      <w:r w:rsidR="001445ED" w:rsidRPr="00BE441E">
        <w:rPr>
          <w:rFonts w:cs="Arial"/>
          <w:color w:val="000000"/>
          <w:sz w:val="22"/>
          <w:szCs w:val="22"/>
        </w:rPr>
        <w:br w:type="page"/>
      </w:r>
    </w:p>
    <w:p w14:paraId="0E51606A" w14:textId="07D57391" w:rsidR="00BE2F05" w:rsidRPr="00BE441E" w:rsidRDefault="00337A11" w:rsidP="00F75DE6">
      <w:pPr>
        <w:pStyle w:val="SMcaption"/>
        <w:spacing w:line="480" w:lineRule="auto"/>
        <w:jc w:val="both"/>
        <w:rPr>
          <w:b/>
        </w:rPr>
      </w:pPr>
      <w:r>
        <w:rPr>
          <w:b/>
          <w:noProof/>
        </w:rPr>
        <w:lastRenderedPageBreak/>
        <w:drawing>
          <wp:inline distT="0" distB="0" distL="0" distR="0" wp14:anchorId="22BF27E4" wp14:editId="40D14979">
            <wp:extent cx="5943600" cy="44475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extLst>
                        <a:ext uri="{28A0092B-C50C-407E-A947-70E740481C1C}">
                          <a14:useLocalDpi xmlns:a14="http://schemas.microsoft.com/office/drawing/2010/main" val="0"/>
                        </a:ext>
                      </a:extLst>
                    </a:blip>
                    <a:stretch>
                      <a:fillRect/>
                    </a:stretch>
                  </pic:blipFill>
                  <pic:spPr>
                    <a:xfrm>
                      <a:off x="0" y="0"/>
                      <a:ext cx="5943600" cy="4447540"/>
                    </a:xfrm>
                    <a:prstGeom prst="rect">
                      <a:avLst/>
                    </a:prstGeom>
                  </pic:spPr>
                </pic:pic>
              </a:graphicData>
            </a:graphic>
          </wp:inline>
        </w:drawing>
      </w:r>
    </w:p>
    <w:p w14:paraId="30C0E6E0" w14:textId="7AAFB342" w:rsidR="0042023F" w:rsidRPr="00BE441E" w:rsidRDefault="00337A11" w:rsidP="00F75DE6">
      <w:pPr>
        <w:pStyle w:val="SMcaption"/>
        <w:spacing w:line="480" w:lineRule="auto"/>
        <w:jc w:val="both"/>
        <w:rPr>
          <w:b/>
        </w:rPr>
      </w:pPr>
      <w:r>
        <w:rPr>
          <w:b/>
          <w:noProof/>
        </w:rPr>
        <w:drawing>
          <wp:inline distT="0" distB="0" distL="0" distR="0" wp14:anchorId="417CD453" wp14:editId="22E50997">
            <wp:extent cx="5943600" cy="31521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a:extLst>
                        <a:ext uri="{28A0092B-C50C-407E-A947-70E740481C1C}">
                          <a14:useLocalDpi xmlns:a14="http://schemas.microsoft.com/office/drawing/2010/main" val="0"/>
                        </a:ext>
                      </a:extLst>
                    </a:blip>
                    <a:stretch>
                      <a:fillRect/>
                    </a:stretch>
                  </pic:blipFill>
                  <pic:spPr>
                    <a:xfrm>
                      <a:off x="0" y="0"/>
                      <a:ext cx="5943600" cy="3152140"/>
                    </a:xfrm>
                    <a:prstGeom prst="rect">
                      <a:avLst/>
                    </a:prstGeom>
                  </pic:spPr>
                </pic:pic>
              </a:graphicData>
            </a:graphic>
          </wp:inline>
        </w:drawing>
      </w:r>
    </w:p>
    <w:p w14:paraId="0091B83F" w14:textId="2B41E39C" w:rsidR="0042023F" w:rsidRPr="00BE441E" w:rsidRDefault="00337A11" w:rsidP="00F75DE6">
      <w:pPr>
        <w:pStyle w:val="SMcaption"/>
        <w:spacing w:line="480" w:lineRule="auto"/>
        <w:jc w:val="both"/>
        <w:rPr>
          <w:b/>
        </w:rPr>
      </w:pPr>
      <w:r>
        <w:rPr>
          <w:b/>
          <w:noProof/>
        </w:rPr>
        <w:lastRenderedPageBreak/>
        <w:drawing>
          <wp:inline distT="0" distB="0" distL="0" distR="0" wp14:anchorId="19C592F1" wp14:editId="7B11386D">
            <wp:extent cx="5943600" cy="32016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2">
                      <a:extLst>
                        <a:ext uri="{28A0092B-C50C-407E-A947-70E740481C1C}">
                          <a14:useLocalDpi xmlns:a14="http://schemas.microsoft.com/office/drawing/2010/main" val="0"/>
                        </a:ext>
                      </a:extLst>
                    </a:blip>
                    <a:stretch>
                      <a:fillRect/>
                    </a:stretch>
                  </pic:blipFill>
                  <pic:spPr>
                    <a:xfrm>
                      <a:off x="0" y="0"/>
                      <a:ext cx="5943600" cy="3201670"/>
                    </a:xfrm>
                    <a:prstGeom prst="rect">
                      <a:avLst/>
                    </a:prstGeom>
                  </pic:spPr>
                </pic:pic>
              </a:graphicData>
            </a:graphic>
          </wp:inline>
        </w:drawing>
      </w:r>
    </w:p>
    <w:p w14:paraId="550581DB" w14:textId="38368785" w:rsidR="0042023F" w:rsidRPr="00BE441E" w:rsidRDefault="00337A11" w:rsidP="00F75DE6">
      <w:pPr>
        <w:pStyle w:val="SMcaption"/>
        <w:spacing w:line="480" w:lineRule="auto"/>
        <w:jc w:val="both"/>
        <w:rPr>
          <w:b/>
        </w:rPr>
      </w:pPr>
      <w:r>
        <w:rPr>
          <w:b/>
          <w:noProof/>
        </w:rPr>
        <w:drawing>
          <wp:inline distT="0" distB="0" distL="0" distR="0" wp14:anchorId="1EF9D362" wp14:editId="11E28BFE">
            <wp:extent cx="5943600" cy="3188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3">
                      <a:extLst>
                        <a:ext uri="{28A0092B-C50C-407E-A947-70E740481C1C}">
                          <a14:useLocalDpi xmlns:a14="http://schemas.microsoft.com/office/drawing/2010/main" val="0"/>
                        </a:ext>
                      </a:extLst>
                    </a:blip>
                    <a:stretch>
                      <a:fillRect/>
                    </a:stretch>
                  </pic:blipFill>
                  <pic:spPr>
                    <a:xfrm>
                      <a:off x="0" y="0"/>
                      <a:ext cx="5943600" cy="3188970"/>
                    </a:xfrm>
                    <a:prstGeom prst="rect">
                      <a:avLst/>
                    </a:prstGeom>
                  </pic:spPr>
                </pic:pic>
              </a:graphicData>
            </a:graphic>
          </wp:inline>
        </w:drawing>
      </w:r>
    </w:p>
    <w:p w14:paraId="27FEB2E6" w14:textId="628019E3" w:rsidR="0042023F" w:rsidRPr="00BE441E" w:rsidRDefault="00337A11" w:rsidP="00F75DE6">
      <w:pPr>
        <w:pStyle w:val="SMcaption"/>
        <w:spacing w:line="480" w:lineRule="auto"/>
        <w:jc w:val="both"/>
        <w:rPr>
          <w:b/>
        </w:rPr>
      </w:pPr>
      <w:r>
        <w:rPr>
          <w:b/>
          <w:noProof/>
        </w:rPr>
        <w:lastRenderedPageBreak/>
        <w:drawing>
          <wp:inline distT="0" distB="0" distL="0" distR="0" wp14:anchorId="676E01FD" wp14:editId="791F53DD">
            <wp:extent cx="5943600" cy="4216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4">
                      <a:extLst>
                        <a:ext uri="{28A0092B-C50C-407E-A947-70E740481C1C}">
                          <a14:useLocalDpi xmlns:a14="http://schemas.microsoft.com/office/drawing/2010/main" val="0"/>
                        </a:ext>
                      </a:extLst>
                    </a:blip>
                    <a:stretch>
                      <a:fillRect/>
                    </a:stretch>
                  </pic:blipFill>
                  <pic:spPr>
                    <a:xfrm>
                      <a:off x="0" y="0"/>
                      <a:ext cx="5943600" cy="4216400"/>
                    </a:xfrm>
                    <a:prstGeom prst="rect">
                      <a:avLst/>
                    </a:prstGeom>
                  </pic:spPr>
                </pic:pic>
              </a:graphicData>
            </a:graphic>
          </wp:inline>
        </w:drawing>
      </w:r>
    </w:p>
    <w:p w14:paraId="5AFA3A1E" w14:textId="4D5A1344" w:rsidR="005106F4" w:rsidRPr="00BE441E" w:rsidRDefault="00337A11" w:rsidP="00F75DE6">
      <w:pPr>
        <w:pStyle w:val="SMcaption"/>
        <w:spacing w:line="480" w:lineRule="auto"/>
        <w:jc w:val="both"/>
        <w:rPr>
          <w:b/>
        </w:rPr>
      </w:pPr>
      <w:r>
        <w:rPr>
          <w:b/>
          <w:noProof/>
        </w:rPr>
        <w:drawing>
          <wp:inline distT="0" distB="0" distL="0" distR="0" wp14:anchorId="13A1F1B2" wp14:editId="5D352BB8">
            <wp:extent cx="5943600" cy="9817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5943600" cy="981710"/>
                    </a:xfrm>
                    <a:prstGeom prst="rect">
                      <a:avLst/>
                    </a:prstGeom>
                  </pic:spPr>
                </pic:pic>
              </a:graphicData>
            </a:graphic>
          </wp:inline>
        </w:drawing>
      </w:r>
    </w:p>
    <w:p w14:paraId="7071EE01" w14:textId="77777777" w:rsidR="00142429" w:rsidRPr="00BE441E" w:rsidRDefault="00142429" w:rsidP="00F75DE6">
      <w:pPr>
        <w:pStyle w:val="SMcaption"/>
        <w:spacing w:line="480" w:lineRule="auto"/>
        <w:jc w:val="both"/>
        <w:rPr>
          <w:b/>
        </w:rPr>
      </w:pPr>
    </w:p>
    <w:p w14:paraId="503766EB" w14:textId="1FE35CF5" w:rsidR="001445ED" w:rsidRPr="00BE441E" w:rsidRDefault="001445ED" w:rsidP="00F75DE6">
      <w:pPr>
        <w:pStyle w:val="SMcaption"/>
        <w:spacing w:line="480" w:lineRule="auto"/>
        <w:jc w:val="both"/>
        <w:rPr>
          <w:b/>
        </w:rPr>
      </w:pPr>
      <w:r w:rsidRPr="00BE441E">
        <w:rPr>
          <w:b/>
        </w:rPr>
        <w:t xml:space="preserve">Fig. S2: Acute mental stress promotes recruitment of inflammatory blood leukocytes into distinct organs. </w:t>
      </w:r>
    </w:p>
    <w:p w14:paraId="461CB78E" w14:textId="4F3D4986" w:rsidR="002256B5" w:rsidRPr="00BE441E" w:rsidRDefault="001445ED" w:rsidP="00E40CC9">
      <w:pPr>
        <w:pStyle w:val="SMcaption"/>
        <w:spacing w:line="480" w:lineRule="auto"/>
        <w:jc w:val="both"/>
      </w:pPr>
      <w:r w:rsidRPr="00BE441E">
        <w:rPr>
          <w:b/>
          <w:bCs/>
        </w:rPr>
        <w:t>(A)</w:t>
      </w:r>
      <w:r w:rsidRPr="00BE441E">
        <w:t xml:space="preserve"> Experimental setup for Fig. 1F+G and </w:t>
      </w:r>
      <w:r w:rsidR="00E460DE" w:rsidRPr="00BE441E">
        <w:t xml:space="preserve">panels </w:t>
      </w:r>
      <w:r w:rsidRPr="00BE441E">
        <w:t>B-</w:t>
      </w:r>
      <w:r w:rsidR="00C14E60" w:rsidRPr="00BE441E">
        <w:t>D</w:t>
      </w:r>
      <w:r w:rsidRPr="00BE441E">
        <w:t xml:space="preserve">. Recruited </w:t>
      </w:r>
      <w:proofErr w:type="spellStart"/>
      <w:r w:rsidRPr="00BE441E">
        <w:t>GFP</w:t>
      </w:r>
      <w:r w:rsidRPr="00BE441E">
        <w:rPr>
          <w:vertAlign w:val="superscript"/>
        </w:rPr>
        <w:t>high</w:t>
      </w:r>
      <w:proofErr w:type="spellEnd"/>
      <w:r w:rsidRPr="00BE441E">
        <w:t xml:space="preserve"> myeloid cells and total numbers of inflammatory leukocytes were analyzed across various organs from non-stressed vs. stressed wild-type mice (21 h after a single 3 h episode of restraint stress). </w:t>
      </w:r>
      <w:r w:rsidRPr="00BE441E">
        <w:rPr>
          <w:b/>
          <w:bCs/>
        </w:rPr>
        <w:t>(B)</w:t>
      </w:r>
      <w:r w:rsidRPr="00BE441E">
        <w:t xml:space="preserve"> Gating of </w:t>
      </w:r>
      <w:proofErr w:type="spellStart"/>
      <w:r w:rsidRPr="00BE441E">
        <w:t>GFP</w:t>
      </w:r>
      <w:r w:rsidRPr="00BE441E">
        <w:rPr>
          <w:vertAlign w:val="superscript"/>
        </w:rPr>
        <w:t>high</w:t>
      </w:r>
      <w:proofErr w:type="spellEnd"/>
      <w:r w:rsidRPr="00BE441E">
        <w:t xml:space="preserve"> myeloid cells and leukocyte subsets across distinct organs from non-stressed vs. stressed mice. </w:t>
      </w:r>
      <w:r w:rsidRPr="00BE441E">
        <w:rPr>
          <w:b/>
          <w:bCs/>
        </w:rPr>
        <w:t>(C)</w:t>
      </w:r>
      <w:r w:rsidRPr="00BE441E">
        <w:t xml:space="preserve"> Quantification of </w:t>
      </w:r>
      <w:proofErr w:type="spellStart"/>
      <w:r w:rsidRPr="00BE441E">
        <w:t>GFP</w:t>
      </w:r>
      <w:r w:rsidRPr="00BE441E">
        <w:rPr>
          <w:vertAlign w:val="superscript"/>
        </w:rPr>
        <w:t>high</w:t>
      </w:r>
      <w:proofErr w:type="spellEnd"/>
      <w:r w:rsidRPr="00BE441E">
        <w:t xml:space="preserve"> myeloid cells in various organs after adoptive transfer of </w:t>
      </w:r>
      <w:proofErr w:type="spellStart"/>
      <w:r w:rsidRPr="00BE441E">
        <w:t>GFP</w:t>
      </w:r>
      <w:r w:rsidRPr="00BE441E">
        <w:rPr>
          <w:vertAlign w:val="superscript"/>
        </w:rPr>
        <w:t>high</w:t>
      </w:r>
      <w:proofErr w:type="spellEnd"/>
      <w:r w:rsidRPr="00BE441E">
        <w:t xml:space="preserve"> </w:t>
      </w:r>
      <w:r w:rsidRPr="00BE441E">
        <w:lastRenderedPageBreak/>
        <w:t>monocytes and neutrophils in non-stressed vs. stressed mice (</w:t>
      </w:r>
      <w:r w:rsidRPr="00BE441E">
        <w:rPr>
          <w:iCs/>
        </w:rPr>
        <w:t>n</w:t>
      </w:r>
      <w:r w:rsidRPr="00BE441E">
        <w:t xml:space="preserve"> = 12 to 18 per group, </w:t>
      </w:r>
      <w:r w:rsidR="007E47EA" w:rsidRPr="00BE441E">
        <w:rPr>
          <w:rFonts w:eastAsiaTheme="minorHAnsi"/>
          <w:color w:val="000000"/>
        </w:rPr>
        <w:t xml:space="preserve">Student´s </w:t>
      </w:r>
      <w:r w:rsidR="007E47EA" w:rsidRPr="00BE441E">
        <w:rPr>
          <w:rFonts w:eastAsiaTheme="minorHAnsi"/>
          <w:i/>
          <w:iCs/>
          <w:color w:val="000000"/>
        </w:rPr>
        <w:t>t</w:t>
      </w:r>
      <w:r w:rsidR="007E47EA" w:rsidRPr="00BE441E">
        <w:rPr>
          <w:rFonts w:eastAsiaTheme="minorHAnsi"/>
          <w:color w:val="000000"/>
        </w:rPr>
        <w:t xml:space="preserve">-test for lung, bone marrow and blood; Mann-Whitney </w:t>
      </w:r>
      <w:r w:rsidR="007E47EA" w:rsidRPr="00BE441E">
        <w:rPr>
          <w:rFonts w:eastAsiaTheme="minorHAnsi"/>
          <w:i/>
          <w:iCs/>
          <w:color w:val="000000"/>
        </w:rPr>
        <w:t>U</w:t>
      </w:r>
      <w:r w:rsidR="007E47EA" w:rsidRPr="00BE441E">
        <w:rPr>
          <w:rFonts w:eastAsiaTheme="minorHAnsi"/>
          <w:color w:val="000000"/>
        </w:rPr>
        <w:t>-test for skin, heart, spleen, liver, kid</w:t>
      </w:r>
      <w:r w:rsidR="009737AE" w:rsidRPr="00BE441E">
        <w:rPr>
          <w:rFonts w:eastAsiaTheme="minorHAnsi"/>
          <w:color w:val="000000"/>
        </w:rPr>
        <w:t>n</w:t>
      </w:r>
      <w:r w:rsidR="007E47EA" w:rsidRPr="00BE441E">
        <w:rPr>
          <w:rFonts w:eastAsiaTheme="minorHAnsi"/>
          <w:color w:val="000000"/>
        </w:rPr>
        <w:t>ey and lymph node</w:t>
      </w:r>
      <w:r w:rsidRPr="00BE441E">
        <w:t xml:space="preserve">). </w:t>
      </w:r>
      <w:r w:rsidRPr="00BE441E">
        <w:rPr>
          <w:b/>
          <w:bCs/>
        </w:rPr>
        <w:t>(D)</w:t>
      </w:r>
      <w:r w:rsidRPr="00BE441E">
        <w:t xml:space="preserve"> Quantification of leukocyte subsets across distinct organs from non-stressed vs. stressed mice (</w:t>
      </w:r>
      <w:r w:rsidRPr="00BE441E">
        <w:rPr>
          <w:iCs/>
        </w:rPr>
        <w:t>n</w:t>
      </w:r>
      <w:r w:rsidRPr="00BE441E">
        <w:t xml:space="preserve"> = 11 to 18 per group, Student</w:t>
      </w:r>
      <w:r w:rsidR="00204A89" w:rsidRPr="00BE441E">
        <w:t>´</w:t>
      </w:r>
      <w:r w:rsidRPr="00BE441E">
        <w:t xml:space="preserve">s </w:t>
      </w:r>
      <w:r w:rsidRPr="00BE441E">
        <w:rPr>
          <w:i/>
          <w:iCs/>
        </w:rPr>
        <w:t>t</w:t>
      </w:r>
      <w:r w:rsidRPr="00BE441E">
        <w:t xml:space="preserve">-test or Mann-Whitney </w:t>
      </w:r>
      <w:r w:rsidRPr="00BE441E">
        <w:rPr>
          <w:i/>
          <w:iCs/>
        </w:rPr>
        <w:t>U-</w:t>
      </w:r>
      <w:r w:rsidRPr="00BE441E">
        <w:t xml:space="preserve">test as appropriate). </w:t>
      </w:r>
      <w:r w:rsidRPr="00BE441E">
        <w:rPr>
          <w:b/>
          <w:bCs/>
        </w:rPr>
        <w:t>(E)</w:t>
      </w:r>
      <w:r w:rsidRPr="00BE441E">
        <w:t xml:space="preserve"> Efficiency of blood leukocyte labelling 5 min after intravenous application of a fluorescently-labeled anti-CD45 antibody (</w:t>
      </w:r>
      <w:r w:rsidRPr="00BE441E">
        <w:rPr>
          <w:iCs/>
        </w:rPr>
        <w:t>n</w:t>
      </w:r>
      <w:r w:rsidRPr="00BE441E">
        <w:t xml:space="preserve"> = 10). Numbers next to gates indicate frequencies (%). Data are presented as mean + </w:t>
      </w:r>
      <w:proofErr w:type="spellStart"/>
      <w:r w:rsidRPr="00BE441E">
        <w:t>s.</w:t>
      </w:r>
      <w:r w:rsidR="008E3227" w:rsidRPr="00BE441E">
        <w:t>d</w:t>
      </w:r>
      <w:r w:rsidRPr="00BE441E">
        <w:t>.</w:t>
      </w:r>
      <w:proofErr w:type="spellEnd"/>
      <w:r w:rsidRPr="00BE441E">
        <w:br w:type="page"/>
      </w:r>
    </w:p>
    <w:p w14:paraId="2ACABF13" w14:textId="71A79762" w:rsidR="00A239F8" w:rsidRPr="00BE441E" w:rsidRDefault="00D630BD" w:rsidP="00E40CC9">
      <w:pPr>
        <w:pStyle w:val="SMcaption"/>
        <w:spacing w:line="480" w:lineRule="auto"/>
        <w:jc w:val="both"/>
        <w:rPr>
          <w:b/>
        </w:rPr>
      </w:pPr>
      <w:r>
        <w:rPr>
          <w:b/>
          <w:noProof/>
        </w:rPr>
        <w:lastRenderedPageBreak/>
        <w:drawing>
          <wp:inline distT="0" distB="0" distL="0" distR="0" wp14:anchorId="4567857C" wp14:editId="2CD9C7AE">
            <wp:extent cx="5943600" cy="37274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a:extLst>
                        <a:ext uri="{28A0092B-C50C-407E-A947-70E740481C1C}">
                          <a14:useLocalDpi xmlns:a14="http://schemas.microsoft.com/office/drawing/2010/main" val="0"/>
                        </a:ext>
                      </a:extLst>
                    </a:blip>
                    <a:stretch>
                      <a:fillRect/>
                    </a:stretch>
                  </pic:blipFill>
                  <pic:spPr>
                    <a:xfrm>
                      <a:off x="0" y="0"/>
                      <a:ext cx="5943600" cy="3727450"/>
                    </a:xfrm>
                    <a:prstGeom prst="rect">
                      <a:avLst/>
                    </a:prstGeom>
                  </pic:spPr>
                </pic:pic>
              </a:graphicData>
            </a:graphic>
          </wp:inline>
        </w:drawing>
      </w:r>
    </w:p>
    <w:p w14:paraId="3D46FBE2" w14:textId="0656F8D4" w:rsidR="00973CF0" w:rsidRPr="00BE441E" w:rsidRDefault="00D630BD" w:rsidP="00E40CC9">
      <w:pPr>
        <w:pStyle w:val="SMcaption"/>
        <w:spacing w:line="480" w:lineRule="auto"/>
        <w:jc w:val="both"/>
        <w:rPr>
          <w:b/>
        </w:rPr>
      </w:pPr>
      <w:r>
        <w:rPr>
          <w:b/>
          <w:noProof/>
        </w:rPr>
        <w:drawing>
          <wp:inline distT="0" distB="0" distL="0" distR="0" wp14:anchorId="5194A073" wp14:editId="3D4F3940">
            <wp:extent cx="5943600" cy="4142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7">
                      <a:extLst>
                        <a:ext uri="{28A0092B-C50C-407E-A947-70E740481C1C}">
                          <a14:useLocalDpi xmlns:a14="http://schemas.microsoft.com/office/drawing/2010/main" val="0"/>
                        </a:ext>
                      </a:extLst>
                    </a:blip>
                    <a:stretch>
                      <a:fillRect/>
                    </a:stretch>
                  </pic:blipFill>
                  <pic:spPr>
                    <a:xfrm>
                      <a:off x="0" y="0"/>
                      <a:ext cx="5943600" cy="4142105"/>
                    </a:xfrm>
                    <a:prstGeom prst="rect">
                      <a:avLst/>
                    </a:prstGeom>
                  </pic:spPr>
                </pic:pic>
              </a:graphicData>
            </a:graphic>
          </wp:inline>
        </w:drawing>
      </w:r>
    </w:p>
    <w:p w14:paraId="13A9E3E9" w14:textId="77777777" w:rsidR="00142429" w:rsidRPr="00BE441E" w:rsidRDefault="00142429" w:rsidP="00E40CC9">
      <w:pPr>
        <w:pStyle w:val="SMcaption"/>
        <w:spacing w:line="480" w:lineRule="auto"/>
        <w:jc w:val="both"/>
        <w:rPr>
          <w:b/>
        </w:rPr>
      </w:pPr>
    </w:p>
    <w:p w14:paraId="739AAFA0" w14:textId="4DA37AC6" w:rsidR="001445ED" w:rsidRPr="00BE441E" w:rsidRDefault="001445ED" w:rsidP="00E40CC9">
      <w:pPr>
        <w:pStyle w:val="SMcaption"/>
        <w:spacing w:line="480" w:lineRule="auto"/>
        <w:jc w:val="both"/>
        <w:rPr>
          <w:b/>
        </w:rPr>
      </w:pPr>
      <w:r w:rsidRPr="00BE441E">
        <w:rPr>
          <w:b/>
        </w:rPr>
        <w:t xml:space="preserve">Fig. S3: Acute mental stress exposure promotes migration of inflammatory blood </w:t>
      </w:r>
      <w:r w:rsidR="00BD16ED" w:rsidRPr="00BE441E">
        <w:rPr>
          <w:b/>
        </w:rPr>
        <w:t>myeloid cells</w:t>
      </w:r>
      <w:r w:rsidRPr="00BE441E">
        <w:rPr>
          <w:b/>
        </w:rPr>
        <w:t xml:space="preserve"> into atherosclerotic plaques. </w:t>
      </w:r>
    </w:p>
    <w:p w14:paraId="58333410" w14:textId="54C45378" w:rsidR="002256B5" w:rsidRPr="00BE441E" w:rsidRDefault="0034070B" w:rsidP="00E40CC9">
      <w:pPr>
        <w:pStyle w:val="SMcaption"/>
        <w:spacing w:line="480" w:lineRule="auto"/>
        <w:jc w:val="both"/>
        <w:rPr>
          <w:rFonts w:ascii="Times" w:hAnsi="Times" w:cs="Times"/>
          <w:color w:val="000000"/>
          <w:szCs w:val="24"/>
        </w:rPr>
      </w:pPr>
      <w:r w:rsidRPr="00BE441E">
        <w:rPr>
          <w:rFonts w:ascii="Times" w:hAnsi="Times" w:cs="Times"/>
          <w:b/>
          <w:bCs/>
          <w:color w:val="000000"/>
          <w:szCs w:val="24"/>
        </w:rPr>
        <w:t>(A)</w:t>
      </w:r>
      <w:r w:rsidRPr="00BE441E">
        <w:rPr>
          <w:rFonts w:ascii="Times" w:hAnsi="Times" w:cs="Times"/>
          <w:color w:val="000000"/>
          <w:szCs w:val="24"/>
        </w:rPr>
        <w:t xml:space="preserve"> Experimental setup for Fig. 2A. Recruited </w:t>
      </w:r>
      <w:proofErr w:type="spellStart"/>
      <w:r w:rsidR="003D5D81" w:rsidRPr="00BE441E">
        <w:t>GFP</w:t>
      </w:r>
      <w:r w:rsidR="003D5D81" w:rsidRPr="00BE441E">
        <w:rPr>
          <w:vertAlign w:val="superscript"/>
        </w:rPr>
        <w:t>high</w:t>
      </w:r>
      <w:proofErr w:type="spellEnd"/>
      <w:r w:rsidR="003D5D81" w:rsidRPr="00BE441E">
        <w:rPr>
          <w:rFonts w:ascii="Times" w:hAnsi="Times" w:cs="Times"/>
          <w:color w:val="000000"/>
          <w:szCs w:val="24"/>
        </w:rPr>
        <w:t xml:space="preserve"> </w:t>
      </w:r>
      <w:r w:rsidRPr="00BE441E">
        <w:rPr>
          <w:rFonts w:ascii="Times" w:hAnsi="Times" w:cs="Times"/>
          <w:color w:val="000000"/>
          <w:szCs w:val="24"/>
        </w:rPr>
        <w:t xml:space="preserve">myeloid cells and total numbers of inflammatory leukocytes were analyzed in atherosclerotic </w:t>
      </w:r>
      <w:r w:rsidR="0020204F" w:rsidRPr="00BE441E">
        <w:rPr>
          <w:rFonts w:ascii="Times" w:hAnsi="Times" w:cs="Times"/>
          <w:color w:val="000000"/>
          <w:szCs w:val="24"/>
        </w:rPr>
        <w:t>aortas</w:t>
      </w:r>
      <w:r w:rsidRPr="00BE441E">
        <w:rPr>
          <w:rFonts w:ascii="Times" w:hAnsi="Times" w:cs="Times"/>
          <w:color w:val="000000"/>
          <w:szCs w:val="24"/>
        </w:rPr>
        <w:t xml:space="preserve"> from non-stressed vs. stressed </w:t>
      </w:r>
      <w:proofErr w:type="spellStart"/>
      <w:r w:rsidR="0053671A" w:rsidRPr="00BE441E">
        <w:rPr>
          <w:i/>
          <w:iCs/>
        </w:rPr>
        <w:t>ApoE</w:t>
      </w:r>
      <w:proofErr w:type="spellEnd"/>
      <w:r w:rsidR="0053671A" w:rsidRPr="00BE441E">
        <w:rPr>
          <w:i/>
          <w:iCs/>
          <w:vertAlign w:val="superscript"/>
        </w:rPr>
        <w:t>-/-</w:t>
      </w:r>
      <w:r w:rsidR="0053671A" w:rsidRPr="00BE441E">
        <w:t xml:space="preserve"> </w:t>
      </w:r>
      <w:r w:rsidRPr="00BE441E">
        <w:rPr>
          <w:rFonts w:ascii="Times" w:hAnsi="Times" w:cs="Times"/>
          <w:color w:val="000000"/>
          <w:szCs w:val="24"/>
        </w:rPr>
        <w:t xml:space="preserve">mice (21 h after a single 3 h episode of restraint stress). </w:t>
      </w:r>
      <w:r w:rsidR="005140E2" w:rsidRPr="00BE441E">
        <w:rPr>
          <w:rFonts w:ascii="Times" w:hAnsi="Times" w:cs="Times"/>
          <w:b/>
          <w:color w:val="000000"/>
          <w:szCs w:val="24"/>
        </w:rPr>
        <w:t>(B+C)</w:t>
      </w:r>
      <w:r w:rsidR="005140E2" w:rsidRPr="00BE441E">
        <w:rPr>
          <w:rFonts w:ascii="Times" w:hAnsi="Times" w:cs="Times"/>
          <w:color w:val="000000"/>
          <w:szCs w:val="24"/>
        </w:rPr>
        <w:t xml:space="preserve"> Representative immunohistochemical staining of aortic roots from non-stressed vs. stressed </w:t>
      </w:r>
      <w:proofErr w:type="spellStart"/>
      <w:r w:rsidR="005140E2" w:rsidRPr="00BE441E">
        <w:rPr>
          <w:i/>
          <w:iCs/>
        </w:rPr>
        <w:t>ApoE</w:t>
      </w:r>
      <w:proofErr w:type="spellEnd"/>
      <w:r w:rsidR="005140E2" w:rsidRPr="00BE441E">
        <w:rPr>
          <w:i/>
          <w:iCs/>
          <w:vertAlign w:val="superscript"/>
        </w:rPr>
        <w:t>-/-</w:t>
      </w:r>
      <w:r w:rsidR="005140E2" w:rsidRPr="00BE441E">
        <w:rPr>
          <w:rFonts w:ascii="Times" w:hAnsi="Times" w:cs="Times"/>
          <w:i/>
          <w:iCs/>
          <w:color w:val="000000"/>
          <w:szCs w:val="24"/>
        </w:rPr>
        <w:t xml:space="preserve"> </w:t>
      </w:r>
      <w:r w:rsidR="005140E2" w:rsidRPr="00BE441E">
        <w:rPr>
          <w:rFonts w:ascii="Times" w:hAnsi="Times" w:cs="Times"/>
          <w:color w:val="000000"/>
          <w:szCs w:val="24"/>
        </w:rPr>
        <w:t>mice (after three episodes of 3 h restraint stress once daily) for</w:t>
      </w:r>
      <w:r w:rsidR="0004714A" w:rsidRPr="00BE441E">
        <w:rPr>
          <w:rFonts w:ascii="Times" w:hAnsi="Times" w:cs="Times"/>
          <w:color w:val="000000"/>
          <w:szCs w:val="24"/>
        </w:rPr>
        <w:t xml:space="preserve"> neutrophils (Ly6G). Scale bars represent 200 </w:t>
      </w:r>
      <w:r w:rsidR="0004714A" w:rsidRPr="00BE441E">
        <w:rPr>
          <w:color w:val="000000"/>
          <w:szCs w:val="24"/>
        </w:rPr>
        <w:t xml:space="preserve">µm. Bar graphs show percentage of positive are per plaque area (n = 10-11 per group, </w:t>
      </w:r>
      <w:r w:rsidR="0004714A" w:rsidRPr="00BE441E">
        <w:rPr>
          <w:rFonts w:ascii="Times" w:hAnsi="Times" w:cs="Times"/>
          <w:color w:val="000000"/>
          <w:szCs w:val="24"/>
        </w:rPr>
        <w:t xml:space="preserve">Students </w:t>
      </w:r>
      <w:r w:rsidR="0004714A" w:rsidRPr="00BE441E">
        <w:rPr>
          <w:rFonts w:ascii="Times" w:hAnsi="Times" w:cs="Times"/>
          <w:i/>
          <w:iCs/>
          <w:color w:val="000000"/>
          <w:szCs w:val="24"/>
        </w:rPr>
        <w:t>t</w:t>
      </w:r>
      <w:r w:rsidR="0004714A" w:rsidRPr="00BE441E">
        <w:rPr>
          <w:rFonts w:ascii="Times" w:hAnsi="Times" w:cs="Times"/>
          <w:color w:val="000000"/>
          <w:szCs w:val="24"/>
        </w:rPr>
        <w:t xml:space="preserve">-test). </w:t>
      </w:r>
      <w:r w:rsidR="005979C8" w:rsidRPr="00BE441E">
        <w:rPr>
          <w:rFonts w:ascii="Times" w:hAnsi="Times" w:cs="Times"/>
          <w:color w:val="000000"/>
          <w:szCs w:val="24"/>
        </w:rPr>
        <w:t>(</w:t>
      </w:r>
      <w:r w:rsidR="005140E2" w:rsidRPr="00BE441E">
        <w:rPr>
          <w:rFonts w:ascii="Times" w:hAnsi="Times" w:cs="Times"/>
          <w:b/>
          <w:bCs/>
          <w:color w:val="000000"/>
          <w:szCs w:val="24"/>
        </w:rPr>
        <w:t>D-G</w:t>
      </w:r>
      <w:r w:rsidR="005979C8" w:rsidRPr="00BE441E">
        <w:rPr>
          <w:rFonts w:ascii="Times" w:hAnsi="Times" w:cs="Times"/>
          <w:b/>
          <w:bCs/>
          <w:color w:val="000000"/>
          <w:szCs w:val="24"/>
        </w:rPr>
        <w:t>)</w:t>
      </w:r>
      <w:r w:rsidR="005979C8" w:rsidRPr="00BE441E">
        <w:rPr>
          <w:rFonts w:ascii="Times" w:hAnsi="Times" w:cs="Times"/>
          <w:color w:val="000000"/>
          <w:szCs w:val="24"/>
        </w:rPr>
        <w:t xml:space="preserve"> Representative immunohistochemical staining of aortic roots from non-stressed vs. stressed </w:t>
      </w:r>
      <w:proofErr w:type="spellStart"/>
      <w:r w:rsidR="008609E4" w:rsidRPr="00BE441E">
        <w:rPr>
          <w:i/>
          <w:iCs/>
        </w:rPr>
        <w:t>ApoE</w:t>
      </w:r>
      <w:proofErr w:type="spellEnd"/>
      <w:r w:rsidR="008609E4" w:rsidRPr="00BE441E">
        <w:rPr>
          <w:i/>
          <w:iCs/>
          <w:vertAlign w:val="superscript"/>
        </w:rPr>
        <w:t>-/-</w:t>
      </w:r>
      <w:r w:rsidR="005979C8" w:rsidRPr="00BE441E">
        <w:rPr>
          <w:rFonts w:ascii="Times" w:hAnsi="Times" w:cs="Times"/>
          <w:i/>
          <w:iCs/>
          <w:color w:val="000000"/>
          <w:szCs w:val="24"/>
        </w:rPr>
        <w:t xml:space="preserve"> </w:t>
      </w:r>
      <w:r w:rsidR="005979C8" w:rsidRPr="00BE441E">
        <w:rPr>
          <w:rFonts w:ascii="Times" w:hAnsi="Times" w:cs="Times"/>
          <w:color w:val="000000"/>
          <w:szCs w:val="24"/>
        </w:rPr>
        <w:t xml:space="preserve">mice (after three episodes of 3 h restraint stress once daily) for </w:t>
      </w:r>
      <w:r w:rsidR="005979C8" w:rsidRPr="00BE441E">
        <w:rPr>
          <w:rFonts w:ascii="Times" w:hAnsi="Times" w:cs="Times"/>
          <w:b/>
          <w:color w:val="000000"/>
          <w:szCs w:val="24"/>
        </w:rPr>
        <w:t>(</w:t>
      </w:r>
      <w:r w:rsidR="005140E2" w:rsidRPr="00BE441E">
        <w:rPr>
          <w:rFonts w:ascii="Times" w:hAnsi="Times" w:cs="Times"/>
          <w:b/>
          <w:color w:val="000000"/>
          <w:szCs w:val="24"/>
        </w:rPr>
        <w:t>D+E</w:t>
      </w:r>
      <w:r w:rsidR="005979C8" w:rsidRPr="00BE441E">
        <w:rPr>
          <w:rFonts w:ascii="Times" w:hAnsi="Times" w:cs="Times"/>
          <w:b/>
          <w:color w:val="000000"/>
          <w:szCs w:val="24"/>
        </w:rPr>
        <w:t>)</w:t>
      </w:r>
      <w:r w:rsidR="005979C8" w:rsidRPr="00BE441E">
        <w:rPr>
          <w:rFonts w:ascii="Times" w:hAnsi="Times" w:cs="Times"/>
          <w:color w:val="000000"/>
          <w:szCs w:val="24"/>
        </w:rPr>
        <w:t xml:space="preserve"> B lymphocytes (CD19) and </w:t>
      </w:r>
      <w:r w:rsidR="005979C8" w:rsidRPr="00BE441E">
        <w:rPr>
          <w:rFonts w:ascii="Times" w:hAnsi="Times" w:cs="Times"/>
          <w:b/>
          <w:color w:val="000000"/>
          <w:szCs w:val="24"/>
        </w:rPr>
        <w:t>(</w:t>
      </w:r>
      <w:r w:rsidR="005140E2" w:rsidRPr="00BE441E">
        <w:rPr>
          <w:rFonts w:ascii="Times" w:hAnsi="Times" w:cs="Times"/>
          <w:b/>
          <w:color w:val="000000"/>
          <w:szCs w:val="24"/>
        </w:rPr>
        <w:t>F+G</w:t>
      </w:r>
      <w:r w:rsidR="005979C8" w:rsidRPr="00BE441E">
        <w:rPr>
          <w:rFonts w:ascii="Times" w:hAnsi="Times" w:cs="Times"/>
          <w:b/>
          <w:color w:val="000000"/>
          <w:szCs w:val="24"/>
        </w:rPr>
        <w:t>)</w:t>
      </w:r>
      <w:r w:rsidR="005979C8" w:rsidRPr="00BE441E">
        <w:rPr>
          <w:rFonts w:ascii="Times" w:hAnsi="Times" w:cs="Times"/>
          <w:color w:val="000000"/>
          <w:szCs w:val="24"/>
        </w:rPr>
        <w:t xml:space="preserve"> T lymphocytes (CD3). </w:t>
      </w:r>
      <w:r w:rsidR="0004714A" w:rsidRPr="00BE441E">
        <w:rPr>
          <w:rFonts w:ascii="Times" w:hAnsi="Times" w:cs="Times"/>
          <w:color w:val="000000"/>
          <w:szCs w:val="24"/>
        </w:rPr>
        <w:t>Scale bars represent 200 </w:t>
      </w:r>
      <w:r w:rsidR="0004714A" w:rsidRPr="00BE441E">
        <w:rPr>
          <w:color w:val="000000"/>
          <w:szCs w:val="24"/>
        </w:rPr>
        <w:t xml:space="preserve">µm. </w:t>
      </w:r>
      <w:r w:rsidR="005979C8" w:rsidRPr="00BE441E">
        <w:rPr>
          <w:rFonts w:ascii="Times" w:hAnsi="Times" w:cs="Times"/>
          <w:color w:val="000000"/>
          <w:szCs w:val="24"/>
        </w:rPr>
        <w:t xml:space="preserve">Bar graphs show number of positive cells per evaluated plaque area (n = 9-12 per group, Students </w:t>
      </w:r>
      <w:r w:rsidR="005979C8" w:rsidRPr="00BE441E">
        <w:rPr>
          <w:rFonts w:ascii="Times" w:hAnsi="Times" w:cs="Times"/>
          <w:i/>
          <w:iCs/>
          <w:color w:val="000000"/>
          <w:szCs w:val="24"/>
        </w:rPr>
        <w:t>t</w:t>
      </w:r>
      <w:r w:rsidR="005979C8" w:rsidRPr="00BE441E">
        <w:rPr>
          <w:rFonts w:ascii="Times" w:hAnsi="Times" w:cs="Times"/>
          <w:color w:val="000000"/>
          <w:szCs w:val="24"/>
        </w:rPr>
        <w:t xml:space="preserve">-test). </w:t>
      </w:r>
      <w:r w:rsidRPr="00BE441E">
        <w:rPr>
          <w:b/>
          <w:bCs/>
          <w:color w:val="000000"/>
          <w:szCs w:val="24"/>
        </w:rPr>
        <w:t>(</w:t>
      </w:r>
      <w:r w:rsidR="005140E2" w:rsidRPr="00BE441E">
        <w:rPr>
          <w:b/>
          <w:bCs/>
          <w:color w:val="000000"/>
          <w:szCs w:val="24"/>
        </w:rPr>
        <w:t>H</w:t>
      </w:r>
      <w:r w:rsidRPr="00BE441E">
        <w:rPr>
          <w:b/>
          <w:bCs/>
          <w:color w:val="000000"/>
          <w:szCs w:val="24"/>
        </w:rPr>
        <w:t>)</w:t>
      </w:r>
      <w:r w:rsidRPr="00BE441E">
        <w:rPr>
          <w:color w:val="000000"/>
          <w:szCs w:val="24"/>
        </w:rPr>
        <w:t xml:space="preserve"> Quantitative real-time PCR for fibrotic gene messenger RNAs in aortas of non-stressed vs. stressed </w:t>
      </w:r>
      <w:proofErr w:type="spellStart"/>
      <w:r w:rsidR="003D5D81" w:rsidRPr="00BE441E">
        <w:rPr>
          <w:i/>
          <w:iCs/>
          <w:szCs w:val="24"/>
        </w:rPr>
        <w:t>ApoE</w:t>
      </w:r>
      <w:proofErr w:type="spellEnd"/>
      <w:r w:rsidR="003D5D81" w:rsidRPr="00BE441E">
        <w:rPr>
          <w:i/>
          <w:iCs/>
          <w:szCs w:val="24"/>
          <w:vertAlign w:val="superscript"/>
        </w:rPr>
        <w:t>-/-</w:t>
      </w:r>
      <w:r w:rsidR="003D5D81" w:rsidRPr="00BE441E">
        <w:rPr>
          <w:szCs w:val="24"/>
        </w:rPr>
        <w:t xml:space="preserve"> </w:t>
      </w:r>
      <w:r w:rsidRPr="00BE441E">
        <w:rPr>
          <w:color w:val="000000"/>
          <w:szCs w:val="24"/>
        </w:rPr>
        <w:t xml:space="preserve">(21 h after a single 3 h episode of restraint stress, n = 5-7 per group, Mann-Whitney </w:t>
      </w:r>
      <w:r w:rsidRPr="00BE441E">
        <w:rPr>
          <w:i/>
          <w:iCs/>
          <w:color w:val="000000"/>
          <w:szCs w:val="24"/>
        </w:rPr>
        <w:t>U-</w:t>
      </w:r>
      <w:r w:rsidRPr="00BE441E">
        <w:rPr>
          <w:color w:val="000000"/>
          <w:szCs w:val="24"/>
        </w:rPr>
        <w:t xml:space="preserve">test). </w:t>
      </w:r>
      <w:r w:rsidRPr="00BE441E">
        <w:rPr>
          <w:b/>
          <w:bCs/>
          <w:color w:val="000000"/>
          <w:szCs w:val="24"/>
        </w:rPr>
        <w:t>(</w:t>
      </w:r>
      <w:r w:rsidR="005140E2" w:rsidRPr="00BE441E">
        <w:rPr>
          <w:b/>
          <w:bCs/>
          <w:color w:val="000000"/>
          <w:szCs w:val="24"/>
        </w:rPr>
        <w:t>I</w:t>
      </w:r>
      <w:r w:rsidRPr="00BE441E">
        <w:rPr>
          <w:b/>
          <w:bCs/>
          <w:color w:val="000000"/>
          <w:szCs w:val="24"/>
        </w:rPr>
        <w:t>)</w:t>
      </w:r>
      <w:r w:rsidRPr="00BE441E">
        <w:rPr>
          <w:color w:val="000000"/>
          <w:szCs w:val="24"/>
        </w:rPr>
        <w:t xml:space="preserve"> Experimental setup for Fig. 2</w:t>
      </w:r>
      <w:r w:rsidR="00C806D4" w:rsidRPr="00BE441E">
        <w:rPr>
          <w:color w:val="000000"/>
          <w:szCs w:val="24"/>
        </w:rPr>
        <w:t>K+L</w:t>
      </w:r>
      <w:r w:rsidR="00E460DE" w:rsidRPr="00BE441E">
        <w:rPr>
          <w:color w:val="000000"/>
          <w:szCs w:val="24"/>
        </w:rPr>
        <w:t xml:space="preserve"> and panels </w:t>
      </w:r>
      <w:r w:rsidR="005140E2" w:rsidRPr="00BE441E">
        <w:rPr>
          <w:color w:val="000000"/>
          <w:szCs w:val="24"/>
        </w:rPr>
        <w:t>J-O</w:t>
      </w:r>
      <w:r w:rsidRPr="00BE441E">
        <w:rPr>
          <w:color w:val="000000"/>
          <w:szCs w:val="24"/>
        </w:rPr>
        <w:t xml:space="preserve">. </w:t>
      </w:r>
      <w:r w:rsidRPr="00BE441E">
        <w:rPr>
          <w:b/>
          <w:bCs/>
          <w:color w:val="000000"/>
          <w:szCs w:val="24"/>
        </w:rPr>
        <w:t>(</w:t>
      </w:r>
      <w:r w:rsidR="005140E2" w:rsidRPr="00BE441E">
        <w:rPr>
          <w:b/>
          <w:bCs/>
          <w:color w:val="000000"/>
          <w:szCs w:val="24"/>
        </w:rPr>
        <w:t>J-O</w:t>
      </w:r>
      <w:r w:rsidRPr="00BE441E">
        <w:rPr>
          <w:b/>
          <w:bCs/>
          <w:color w:val="000000"/>
          <w:szCs w:val="24"/>
        </w:rPr>
        <w:t>)</w:t>
      </w:r>
      <w:r w:rsidR="00713C5E" w:rsidRPr="00BE441E">
        <w:rPr>
          <w:color w:val="000000"/>
          <w:szCs w:val="24"/>
        </w:rPr>
        <w:t xml:space="preserve"> Representative immunohistochemical staining of carotid arteries from non-stressed vs. stressed </w:t>
      </w:r>
      <w:proofErr w:type="spellStart"/>
      <w:r w:rsidR="00713C5E" w:rsidRPr="00BE441E">
        <w:rPr>
          <w:i/>
          <w:iCs/>
          <w:color w:val="000000"/>
          <w:szCs w:val="24"/>
        </w:rPr>
        <w:t>ApoE</w:t>
      </w:r>
      <w:proofErr w:type="spellEnd"/>
      <w:r w:rsidR="00713C5E" w:rsidRPr="00BE441E">
        <w:rPr>
          <w:i/>
          <w:iCs/>
          <w:color w:val="000000"/>
          <w:szCs w:val="24"/>
          <w:vertAlign w:val="superscript"/>
        </w:rPr>
        <w:t>-/-</w:t>
      </w:r>
      <w:r w:rsidR="00713C5E" w:rsidRPr="00BE441E">
        <w:rPr>
          <w:color w:val="000000"/>
          <w:szCs w:val="24"/>
        </w:rPr>
        <w:t xml:space="preserve"> mice (after three episodes of 3 h restraint stress once daily, both groups underwent prior carotid artery ligation and cuff placement to induce plaque rupture) for (</w:t>
      </w:r>
      <w:r w:rsidR="005140E2" w:rsidRPr="00BE441E">
        <w:rPr>
          <w:b/>
          <w:bCs/>
          <w:color w:val="000000"/>
          <w:szCs w:val="24"/>
        </w:rPr>
        <w:t>J</w:t>
      </w:r>
      <w:r w:rsidR="00B351A1" w:rsidRPr="00BE441E">
        <w:rPr>
          <w:b/>
          <w:bCs/>
          <w:color w:val="000000"/>
          <w:szCs w:val="24"/>
        </w:rPr>
        <w:t xml:space="preserve">, </w:t>
      </w:r>
      <w:r w:rsidR="005140E2" w:rsidRPr="00BE441E">
        <w:rPr>
          <w:b/>
          <w:bCs/>
          <w:color w:val="000000"/>
          <w:szCs w:val="24"/>
        </w:rPr>
        <w:t>K</w:t>
      </w:r>
      <w:r w:rsidR="00713C5E" w:rsidRPr="00BE441E">
        <w:rPr>
          <w:color w:val="000000"/>
          <w:szCs w:val="24"/>
        </w:rPr>
        <w:t xml:space="preserve">) myeloid cells (CD11b, n = 11 per group, Students </w:t>
      </w:r>
      <w:r w:rsidR="00713C5E" w:rsidRPr="00BE441E">
        <w:rPr>
          <w:i/>
          <w:iCs/>
          <w:color w:val="000000"/>
          <w:szCs w:val="24"/>
        </w:rPr>
        <w:t>t</w:t>
      </w:r>
      <w:r w:rsidR="00713C5E" w:rsidRPr="00BE441E">
        <w:rPr>
          <w:color w:val="000000"/>
          <w:szCs w:val="24"/>
        </w:rPr>
        <w:t>-test), (</w:t>
      </w:r>
      <w:r w:rsidR="005140E2" w:rsidRPr="00BE441E">
        <w:rPr>
          <w:b/>
          <w:bCs/>
          <w:color w:val="000000"/>
          <w:szCs w:val="24"/>
        </w:rPr>
        <w:t>L</w:t>
      </w:r>
      <w:r w:rsidR="00B351A1" w:rsidRPr="00BE441E">
        <w:rPr>
          <w:b/>
          <w:bCs/>
          <w:color w:val="000000"/>
          <w:szCs w:val="24"/>
        </w:rPr>
        <w:t xml:space="preserve">, </w:t>
      </w:r>
      <w:r w:rsidR="005140E2" w:rsidRPr="00BE441E">
        <w:rPr>
          <w:b/>
          <w:bCs/>
          <w:color w:val="000000"/>
          <w:szCs w:val="24"/>
        </w:rPr>
        <w:t>M</w:t>
      </w:r>
      <w:r w:rsidR="00713C5E" w:rsidRPr="00BE441E">
        <w:rPr>
          <w:color w:val="000000"/>
          <w:szCs w:val="24"/>
        </w:rPr>
        <w:t>) collagen content (Collagen I, n</w:t>
      </w:r>
      <w:r w:rsidR="005140E2" w:rsidRPr="00BE441E">
        <w:rPr>
          <w:color w:val="000000"/>
          <w:szCs w:val="24"/>
        </w:rPr>
        <w:t> </w:t>
      </w:r>
      <w:r w:rsidR="00713C5E" w:rsidRPr="00BE441E">
        <w:rPr>
          <w:color w:val="000000"/>
          <w:szCs w:val="24"/>
        </w:rPr>
        <w:t xml:space="preserve">= 9-10 per group, Students </w:t>
      </w:r>
      <w:r w:rsidR="00713C5E" w:rsidRPr="00BE441E">
        <w:rPr>
          <w:i/>
          <w:iCs/>
          <w:color w:val="000000"/>
          <w:szCs w:val="24"/>
        </w:rPr>
        <w:t>t</w:t>
      </w:r>
      <w:r w:rsidR="00713C5E" w:rsidRPr="00BE441E">
        <w:rPr>
          <w:color w:val="000000"/>
          <w:szCs w:val="24"/>
        </w:rPr>
        <w:t>-test)</w:t>
      </w:r>
      <w:r w:rsidR="00347BE5" w:rsidRPr="00BE441E">
        <w:rPr>
          <w:color w:val="000000"/>
          <w:szCs w:val="24"/>
        </w:rPr>
        <w:t>,</w:t>
      </w:r>
      <w:r w:rsidR="00713C5E" w:rsidRPr="00BE441E">
        <w:rPr>
          <w:color w:val="000000"/>
          <w:szCs w:val="24"/>
        </w:rPr>
        <w:t xml:space="preserve"> and (</w:t>
      </w:r>
      <w:r w:rsidR="005140E2" w:rsidRPr="00BE441E">
        <w:rPr>
          <w:b/>
          <w:bCs/>
          <w:color w:val="000000"/>
          <w:szCs w:val="24"/>
        </w:rPr>
        <w:t>N</w:t>
      </w:r>
      <w:r w:rsidR="00B351A1" w:rsidRPr="00BE441E">
        <w:rPr>
          <w:b/>
          <w:bCs/>
          <w:color w:val="000000"/>
          <w:szCs w:val="24"/>
        </w:rPr>
        <w:t xml:space="preserve">, </w:t>
      </w:r>
      <w:r w:rsidR="005140E2" w:rsidRPr="00BE441E">
        <w:rPr>
          <w:b/>
          <w:bCs/>
          <w:color w:val="000000"/>
          <w:szCs w:val="24"/>
        </w:rPr>
        <w:t>O</w:t>
      </w:r>
      <w:r w:rsidR="00713C5E" w:rsidRPr="00BE441E">
        <w:rPr>
          <w:color w:val="000000"/>
          <w:szCs w:val="24"/>
        </w:rPr>
        <w:t>) smooth muscle cells (smooth muscle actin, SMA, n</w:t>
      </w:r>
      <w:r w:rsidR="005140E2" w:rsidRPr="00BE441E">
        <w:rPr>
          <w:color w:val="000000"/>
          <w:szCs w:val="24"/>
        </w:rPr>
        <w:t> </w:t>
      </w:r>
      <w:r w:rsidR="00713C5E" w:rsidRPr="00BE441E">
        <w:rPr>
          <w:color w:val="000000"/>
          <w:szCs w:val="24"/>
        </w:rPr>
        <w:t xml:space="preserve">= 6 per group, Students </w:t>
      </w:r>
      <w:r w:rsidR="00713C5E" w:rsidRPr="00BE441E">
        <w:rPr>
          <w:i/>
          <w:iCs/>
          <w:color w:val="000000"/>
          <w:szCs w:val="24"/>
        </w:rPr>
        <w:t>t</w:t>
      </w:r>
      <w:r w:rsidR="00713C5E" w:rsidRPr="00BE441E">
        <w:rPr>
          <w:color w:val="000000"/>
          <w:szCs w:val="24"/>
        </w:rPr>
        <w:t xml:space="preserve">-test). Scale bars represent 50 µm. Bar graphs show percentage of positive area per plaque area. </w:t>
      </w:r>
      <w:r w:rsidRPr="00BE441E">
        <w:rPr>
          <w:b/>
          <w:bCs/>
          <w:color w:val="000000"/>
          <w:szCs w:val="24"/>
        </w:rPr>
        <w:t>(</w:t>
      </w:r>
      <w:r w:rsidR="005140E2" w:rsidRPr="00BE441E">
        <w:rPr>
          <w:b/>
          <w:bCs/>
          <w:color w:val="000000"/>
          <w:szCs w:val="24"/>
        </w:rPr>
        <w:t>P</w:t>
      </w:r>
      <w:r w:rsidRPr="00BE441E">
        <w:rPr>
          <w:b/>
          <w:bCs/>
          <w:color w:val="000000"/>
          <w:szCs w:val="24"/>
        </w:rPr>
        <w:t>)</w:t>
      </w:r>
      <w:r w:rsidRPr="00BE441E">
        <w:rPr>
          <w:color w:val="000000"/>
          <w:szCs w:val="24"/>
        </w:rPr>
        <w:t xml:space="preserve"> Quantification of blood and </w:t>
      </w:r>
      <w:r w:rsidR="00310EF5" w:rsidRPr="00BE441E">
        <w:rPr>
          <w:color w:val="000000"/>
          <w:szCs w:val="24"/>
        </w:rPr>
        <w:t>aortic</w:t>
      </w:r>
      <w:r w:rsidRPr="00BE441E">
        <w:rPr>
          <w:color w:val="000000"/>
          <w:szCs w:val="24"/>
        </w:rPr>
        <w:t xml:space="preserve"> myeloid cells from non-stressed vs. stressed </w:t>
      </w:r>
      <w:proofErr w:type="spellStart"/>
      <w:r w:rsidR="00DD5838" w:rsidRPr="00BE441E">
        <w:rPr>
          <w:i/>
          <w:iCs/>
          <w:szCs w:val="24"/>
        </w:rPr>
        <w:t>ApoE</w:t>
      </w:r>
      <w:proofErr w:type="spellEnd"/>
      <w:r w:rsidR="00DD5838" w:rsidRPr="00BE441E">
        <w:rPr>
          <w:i/>
          <w:iCs/>
          <w:szCs w:val="24"/>
          <w:vertAlign w:val="superscript"/>
        </w:rPr>
        <w:t>-/-</w:t>
      </w:r>
      <w:r w:rsidR="00DD5838" w:rsidRPr="00BE441E">
        <w:rPr>
          <w:szCs w:val="24"/>
        </w:rPr>
        <w:t xml:space="preserve"> </w:t>
      </w:r>
      <w:r w:rsidRPr="00BE441E">
        <w:rPr>
          <w:color w:val="000000"/>
          <w:szCs w:val="24"/>
        </w:rPr>
        <w:t xml:space="preserve">mice (21 h after a single 3 </w:t>
      </w:r>
      <w:r w:rsidRPr="00BE441E">
        <w:rPr>
          <w:color w:val="000000"/>
          <w:szCs w:val="24"/>
        </w:rPr>
        <w:lastRenderedPageBreak/>
        <w:t>h episode of predator/prey stress using fox odor exposure (</w:t>
      </w:r>
      <w:proofErr w:type="spellStart"/>
      <w:r w:rsidRPr="00BE441E">
        <w:rPr>
          <w:color w:val="000000"/>
          <w:szCs w:val="24"/>
        </w:rPr>
        <w:t>trimethylthiazoline</w:t>
      </w:r>
      <w:proofErr w:type="spellEnd"/>
      <w:r w:rsidRPr="00BE441E">
        <w:rPr>
          <w:color w:val="000000"/>
          <w:szCs w:val="24"/>
        </w:rPr>
        <w:t xml:space="preserve">, TMT, a component of fox feces/urine, n = 6 per group, </w:t>
      </w:r>
      <w:r w:rsidR="00DE3043" w:rsidRPr="00BE441E">
        <w:rPr>
          <w:color w:val="000000"/>
          <w:szCs w:val="24"/>
        </w:rPr>
        <w:t xml:space="preserve">Students </w:t>
      </w:r>
      <w:r w:rsidR="00DE3043" w:rsidRPr="00BE441E">
        <w:rPr>
          <w:i/>
          <w:iCs/>
          <w:color w:val="000000"/>
          <w:szCs w:val="24"/>
        </w:rPr>
        <w:t>t</w:t>
      </w:r>
      <w:r w:rsidR="00DE3043" w:rsidRPr="00BE441E">
        <w:rPr>
          <w:color w:val="000000"/>
          <w:szCs w:val="24"/>
        </w:rPr>
        <w:t>-test</w:t>
      </w:r>
      <w:r w:rsidRPr="00BE441E">
        <w:rPr>
          <w:rFonts w:ascii="Times" w:hAnsi="Times" w:cs="Times"/>
          <w:color w:val="000000"/>
          <w:szCs w:val="24"/>
        </w:rPr>
        <w:t xml:space="preserve">). </w:t>
      </w:r>
      <w:r w:rsidRPr="00BE441E">
        <w:rPr>
          <w:rFonts w:ascii="Times" w:hAnsi="Times" w:cs="Times"/>
          <w:b/>
          <w:bCs/>
          <w:color w:val="000000"/>
          <w:szCs w:val="24"/>
        </w:rPr>
        <w:t>(</w:t>
      </w:r>
      <w:r w:rsidR="005140E2" w:rsidRPr="00BE441E">
        <w:rPr>
          <w:rFonts w:ascii="Times" w:hAnsi="Times" w:cs="Times"/>
          <w:b/>
          <w:bCs/>
          <w:color w:val="000000"/>
          <w:szCs w:val="24"/>
        </w:rPr>
        <w:t>Q</w:t>
      </w:r>
      <w:r w:rsidRPr="00BE441E">
        <w:rPr>
          <w:rFonts w:ascii="Times" w:hAnsi="Times" w:cs="Times"/>
          <w:b/>
          <w:bCs/>
          <w:color w:val="000000"/>
          <w:szCs w:val="24"/>
        </w:rPr>
        <w:t>)</w:t>
      </w:r>
      <w:r w:rsidRPr="00BE441E">
        <w:rPr>
          <w:rFonts w:ascii="Times" w:hAnsi="Times" w:cs="Times"/>
          <w:color w:val="000000"/>
          <w:szCs w:val="24"/>
        </w:rPr>
        <w:t xml:space="preserve"> Blood lipid profiles of non-stressed vs. stressed </w:t>
      </w:r>
      <w:proofErr w:type="spellStart"/>
      <w:r w:rsidR="00022B5D" w:rsidRPr="00BE441E">
        <w:rPr>
          <w:i/>
          <w:iCs/>
        </w:rPr>
        <w:t>ApoE</w:t>
      </w:r>
      <w:proofErr w:type="spellEnd"/>
      <w:r w:rsidR="00022B5D" w:rsidRPr="00BE441E">
        <w:rPr>
          <w:i/>
          <w:iCs/>
          <w:vertAlign w:val="superscript"/>
        </w:rPr>
        <w:t>-/-</w:t>
      </w:r>
      <w:r w:rsidR="00022B5D" w:rsidRPr="00BE441E">
        <w:t xml:space="preserve"> </w:t>
      </w:r>
      <w:r w:rsidRPr="00BE441E">
        <w:rPr>
          <w:rFonts w:ascii="Times" w:hAnsi="Times" w:cs="Times"/>
          <w:color w:val="000000"/>
          <w:szCs w:val="24"/>
        </w:rPr>
        <w:t>mice (after three episodes of 3 h restraint stress once daily, n = 12, Student</w:t>
      </w:r>
      <w:r w:rsidR="00204A89" w:rsidRPr="00BE441E">
        <w:rPr>
          <w:rFonts w:ascii="Times" w:hAnsi="Times" w:cs="Times"/>
          <w:color w:val="000000"/>
          <w:szCs w:val="24"/>
        </w:rPr>
        <w:t>´</w:t>
      </w:r>
      <w:r w:rsidRPr="00BE441E">
        <w:rPr>
          <w:rFonts w:ascii="Times" w:hAnsi="Times" w:cs="Times"/>
          <w:color w:val="000000"/>
          <w:szCs w:val="24"/>
        </w:rPr>
        <w:t xml:space="preserve">s </w:t>
      </w:r>
      <w:r w:rsidRPr="00BE441E">
        <w:rPr>
          <w:rFonts w:ascii="Times" w:hAnsi="Times" w:cs="Times"/>
          <w:i/>
          <w:iCs/>
          <w:color w:val="000000"/>
          <w:szCs w:val="24"/>
        </w:rPr>
        <w:t>t</w:t>
      </w:r>
      <w:r w:rsidRPr="00BE441E">
        <w:rPr>
          <w:rFonts w:ascii="Times" w:hAnsi="Times" w:cs="Times"/>
          <w:color w:val="000000"/>
          <w:szCs w:val="24"/>
        </w:rPr>
        <w:t xml:space="preserve">-test). Data are presented as mean + </w:t>
      </w:r>
      <w:proofErr w:type="spellStart"/>
      <w:r w:rsidRPr="00BE441E">
        <w:rPr>
          <w:rFonts w:ascii="Times" w:hAnsi="Times" w:cs="Times"/>
          <w:color w:val="000000"/>
          <w:szCs w:val="24"/>
        </w:rPr>
        <w:t>s.</w:t>
      </w:r>
      <w:r w:rsidR="00766A3A" w:rsidRPr="00BE441E">
        <w:rPr>
          <w:rFonts w:ascii="Times" w:hAnsi="Times" w:cs="Times"/>
          <w:color w:val="000000"/>
          <w:szCs w:val="24"/>
        </w:rPr>
        <w:t>d</w:t>
      </w:r>
      <w:r w:rsidR="00084974" w:rsidRPr="00BE441E">
        <w:rPr>
          <w:rFonts w:ascii="Times" w:hAnsi="Times" w:cs="Times"/>
          <w:color w:val="000000"/>
          <w:szCs w:val="24"/>
        </w:rPr>
        <w:t>.</w:t>
      </w:r>
      <w:proofErr w:type="spellEnd"/>
      <w:r w:rsidR="001445ED" w:rsidRPr="00BE441E">
        <w:br w:type="page"/>
      </w:r>
    </w:p>
    <w:p w14:paraId="27A8830F" w14:textId="095AE6D8" w:rsidR="00E40CC9" w:rsidRPr="00BE441E" w:rsidRDefault="00D630BD" w:rsidP="00E40CC9">
      <w:pPr>
        <w:pStyle w:val="SMcaption"/>
        <w:spacing w:line="480" w:lineRule="auto"/>
        <w:jc w:val="both"/>
        <w:rPr>
          <w:b/>
        </w:rPr>
      </w:pPr>
      <w:r>
        <w:rPr>
          <w:b/>
          <w:noProof/>
        </w:rPr>
        <w:lastRenderedPageBreak/>
        <w:drawing>
          <wp:inline distT="0" distB="0" distL="0" distR="0" wp14:anchorId="7F56A99B" wp14:editId="55C0B55A">
            <wp:extent cx="5943600" cy="40265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5943600" cy="4026535"/>
                    </a:xfrm>
                    <a:prstGeom prst="rect">
                      <a:avLst/>
                    </a:prstGeom>
                  </pic:spPr>
                </pic:pic>
              </a:graphicData>
            </a:graphic>
          </wp:inline>
        </w:drawing>
      </w:r>
    </w:p>
    <w:p w14:paraId="335DFA49" w14:textId="05687E12" w:rsidR="00963392" w:rsidRPr="00BE441E" w:rsidRDefault="00D630BD" w:rsidP="00E40CC9">
      <w:pPr>
        <w:pStyle w:val="SMcaption"/>
        <w:spacing w:line="480" w:lineRule="auto"/>
        <w:jc w:val="both"/>
        <w:rPr>
          <w:b/>
        </w:rPr>
      </w:pPr>
      <w:r>
        <w:rPr>
          <w:b/>
          <w:noProof/>
        </w:rPr>
        <w:drawing>
          <wp:inline distT="0" distB="0" distL="0" distR="0" wp14:anchorId="14B91C35" wp14:editId="27941CE5">
            <wp:extent cx="5943600" cy="34575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5943600" cy="3457575"/>
                    </a:xfrm>
                    <a:prstGeom prst="rect">
                      <a:avLst/>
                    </a:prstGeom>
                  </pic:spPr>
                </pic:pic>
              </a:graphicData>
            </a:graphic>
          </wp:inline>
        </w:drawing>
      </w:r>
    </w:p>
    <w:p w14:paraId="0B3E1124" w14:textId="77777777" w:rsidR="00142429" w:rsidRPr="00BE441E" w:rsidRDefault="00142429" w:rsidP="00E40CC9">
      <w:pPr>
        <w:pStyle w:val="SMcaption"/>
        <w:spacing w:line="480" w:lineRule="auto"/>
        <w:jc w:val="both"/>
        <w:rPr>
          <w:b/>
        </w:rPr>
      </w:pPr>
    </w:p>
    <w:p w14:paraId="0C0125AE" w14:textId="626657AA" w:rsidR="001445ED" w:rsidRPr="00BE441E" w:rsidRDefault="001445ED" w:rsidP="00E40CC9">
      <w:pPr>
        <w:pStyle w:val="SMcaption"/>
        <w:spacing w:line="480" w:lineRule="auto"/>
        <w:jc w:val="both"/>
        <w:rPr>
          <w:b/>
        </w:rPr>
      </w:pPr>
      <w:r w:rsidRPr="00BE441E">
        <w:rPr>
          <w:b/>
        </w:rPr>
        <w:lastRenderedPageBreak/>
        <w:t>Fig. S4: Acute mental stress induces phenotypic changes in endothelial cells.</w:t>
      </w:r>
    </w:p>
    <w:p w14:paraId="02B14FD9" w14:textId="5787A77F" w:rsidR="00E40CC9" w:rsidRPr="00BE441E" w:rsidRDefault="001445ED" w:rsidP="00365F0A">
      <w:pPr>
        <w:spacing w:line="480" w:lineRule="auto"/>
        <w:jc w:val="both"/>
      </w:pPr>
      <w:r w:rsidRPr="00BE441E">
        <w:rPr>
          <w:b/>
          <w:bCs/>
          <w:szCs w:val="24"/>
        </w:rPr>
        <w:t>(A)</w:t>
      </w:r>
      <w:r w:rsidRPr="00BE441E">
        <w:rPr>
          <w:szCs w:val="24"/>
        </w:rPr>
        <w:t xml:space="preserve"> Gating strategy and histograms of leukocyte adhesion molecules on aortic endothelial cells. </w:t>
      </w:r>
      <w:r w:rsidRPr="00BE441E">
        <w:rPr>
          <w:b/>
          <w:bCs/>
          <w:szCs w:val="24"/>
        </w:rPr>
        <w:t>(B)</w:t>
      </w:r>
      <w:r w:rsidRPr="00BE441E">
        <w:rPr>
          <w:szCs w:val="24"/>
        </w:rPr>
        <w:t xml:space="preserve"> Volcano plot displaying differentially expressed genes (DEGs) as assessed by RNA sequencing from FACS-isolated aortic endothelial cells from non-stressed vs. stressed</w:t>
      </w:r>
      <w:r w:rsidR="0066741D" w:rsidRPr="00BE441E">
        <w:rPr>
          <w:szCs w:val="24"/>
        </w:rPr>
        <w:t xml:space="preserve"> </w:t>
      </w:r>
      <w:proofErr w:type="spellStart"/>
      <w:r w:rsidRPr="00BE441E">
        <w:rPr>
          <w:i/>
          <w:iCs/>
          <w:szCs w:val="24"/>
        </w:rPr>
        <w:t>ApoE</w:t>
      </w:r>
      <w:proofErr w:type="spellEnd"/>
      <w:r w:rsidRPr="00BE441E">
        <w:rPr>
          <w:i/>
          <w:iCs/>
          <w:szCs w:val="24"/>
          <w:vertAlign w:val="superscript"/>
        </w:rPr>
        <w:t>-/-</w:t>
      </w:r>
      <w:r w:rsidRPr="00BE441E">
        <w:rPr>
          <w:szCs w:val="24"/>
        </w:rPr>
        <w:t xml:space="preserve"> mice (after three episodes of 3 h restraint stress once daily, </w:t>
      </w:r>
      <w:r w:rsidRPr="00BE441E">
        <w:rPr>
          <w:iCs/>
          <w:szCs w:val="24"/>
        </w:rPr>
        <w:t>n</w:t>
      </w:r>
      <w:r w:rsidRPr="00BE441E">
        <w:rPr>
          <w:szCs w:val="24"/>
        </w:rPr>
        <w:t xml:space="preserve"> = 3 per group, LIMMA t-statistic approach with </w:t>
      </w:r>
      <w:proofErr w:type="spellStart"/>
      <w:r w:rsidRPr="00BE441E">
        <w:rPr>
          <w:szCs w:val="24"/>
        </w:rPr>
        <w:t>Benjamini</w:t>
      </w:r>
      <w:proofErr w:type="spellEnd"/>
      <w:r w:rsidRPr="00BE441E">
        <w:rPr>
          <w:szCs w:val="24"/>
        </w:rPr>
        <w:t xml:space="preserve">-Hochberg multiple testing correction). </w:t>
      </w:r>
      <w:r w:rsidRPr="00BE441E">
        <w:rPr>
          <w:b/>
          <w:bCs/>
          <w:szCs w:val="24"/>
        </w:rPr>
        <w:t>(C)</w:t>
      </w:r>
      <w:r w:rsidRPr="00BE441E">
        <w:rPr>
          <w:szCs w:val="24"/>
        </w:rPr>
        <w:t xml:space="preserve"> Pathway analysis of down-regulated genes as assessed by RNA sequencing from FACS-isolated aortic endothelial cells from non-stressed vs. stressed </w:t>
      </w:r>
      <w:proofErr w:type="spellStart"/>
      <w:r w:rsidRPr="00BE441E">
        <w:rPr>
          <w:i/>
          <w:iCs/>
          <w:szCs w:val="24"/>
        </w:rPr>
        <w:t>ApoE</w:t>
      </w:r>
      <w:proofErr w:type="spellEnd"/>
      <w:r w:rsidRPr="00BE441E">
        <w:rPr>
          <w:i/>
          <w:iCs/>
          <w:szCs w:val="24"/>
          <w:vertAlign w:val="superscript"/>
        </w:rPr>
        <w:t>-/-</w:t>
      </w:r>
      <w:r w:rsidRPr="00BE441E">
        <w:rPr>
          <w:szCs w:val="24"/>
        </w:rPr>
        <w:t xml:space="preserve"> mice (after three episodes of 3 h restraint stress once daily, </w:t>
      </w:r>
      <w:r w:rsidRPr="00BE441E">
        <w:rPr>
          <w:iCs/>
          <w:szCs w:val="24"/>
        </w:rPr>
        <w:t>n</w:t>
      </w:r>
      <w:r w:rsidRPr="00BE441E">
        <w:rPr>
          <w:szCs w:val="24"/>
        </w:rPr>
        <w:t xml:space="preserve"> = 3 per group). Percentage of down-regulated genes per respective pathway and </w:t>
      </w:r>
      <w:r w:rsidRPr="00BE441E">
        <w:rPr>
          <w:i/>
          <w:iCs/>
          <w:szCs w:val="24"/>
        </w:rPr>
        <w:t>q</w:t>
      </w:r>
      <w:r w:rsidRPr="00BE441E">
        <w:rPr>
          <w:szCs w:val="24"/>
        </w:rPr>
        <w:t xml:space="preserve">-values as assessed by </w:t>
      </w:r>
      <w:proofErr w:type="spellStart"/>
      <w:r w:rsidRPr="00BE441E">
        <w:rPr>
          <w:szCs w:val="24"/>
        </w:rPr>
        <w:t>Benjamini</w:t>
      </w:r>
      <w:proofErr w:type="spellEnd"/>
      <w:r w:rsidRPr="00BE441E">
        <w:rPr>
          <w:szCs w:val="24"/>
        </w:rPr>
        <w:t>-Hochberg correction are shown for significant pathways (</w:t>
      </w:r>
      <w:r w:rsidRPr="00BE441E">
        <w:rPr>
          <w:i/>
          <w:iCs/>
          <w:szCs w:val="24"/>
        </w:rPr>
        <w:t>P</w:t>
      </w:r>
      <w:r w:rsidRPr="00BE441E">
        <w:rPr>
          <w:szCs w:val="24"/>
        </w:rPr>
        <w:t xml:space="preserve"> &lt; 0.05). </w:t>
      </w:r>
      <w:r w:rsidR="004D3418" w:rsidRPr="00BE441E">
        <w:rPr>
          <w:b/>
          <w:bCs/>
          <w:color w:val="000000"/>
          <w:szCs w:val="24"/>
        </w:rPr>
        <w:t xml:space="preserve">(D) </w:t>
      </w:r>
      <w:r w:rsidR="004D3418" w:rsidRPr="00BE441E">
        <w:rPr>
          <w:bCs/>
          <w:szCs w:val="24"/>
        </w:rPr>
        <w:t xml:space="preserve">Heat map showing relative cytokine and chemokine levels </w:t>
      </w:r>
      <w:r w:rsidR="004D3418" w:rsidRPr="00BE441E">
        <w:rPr>
          <w:rFonts w:eastAsiaTheme="minorHAnsi"/>
          <w:bCs/>
          <w:color w:val="000000"/>
          <w:szCs w:val="24"/>
        </w:rPr>
        <w:t>measured by a cytokine/chemokine array</w:t>
      </w:r>
      <w:r w:rsidR="004D3418" w:rsidRPr="00BE441E">
        <w:rPr>
          <w:bCs/>
          <w:szCs w:val="24"/>
        </w:rPr>
        <w:t xml:space="preserve"> in plasma from non-stressed vs. stressed wild-type</w:t>
      </w:r>
      <w:r w:rsidR="004D3418" w:rsidRPr="00BE441E">
        <w:rPr>
          <w:bCs/>
          <w:i/>
          <w:iCs/>
          <w:szCs w:val="24"/>
        </w:rPr>
        <w:t xml:space="preserve"> </w:t>
      </w:r>
      <w:r w:rsidR="004D3418" w:rsidRPr="00BE441E">
        <w:rPr>
          <w:bCs/>
          <w:szCs w:val="24"/>
        </w:rPr>
        <w:t xml:space="preserve">mice (immediately after 3 h of restraint stress, </w:t>
      </w:r>
      <w:r w:rsidR="004D3418" w:rsidRPr="00BE441E">
        <w:rPr>
          <w:bCs/>
          <w:iCs/>
          <w:szCs w:val="24"/>
        </w:rPr>
        <w:t>n</w:t>
      </w:r>
      <w:r w:rsidR="004D3418" w:rsidRPr="00BE441E">
        <w:rPr>
          <w:bCs/>
          <w:szCs w:val="24"/>
        </w:rPr>
        <w:t xml:space="preserve"> = 8-12 per group). Out of 36 </w:t>
      </w:r>
      <w:r w:rsidR="004D3418" w:rsidRPr="00BE441E">
        <w:rPr>
          <w:rFonts w:eastAsiaTheme="minorHAnsi"/>
          <w:bCs/>
          <w:color w:val="000000"/>
          <w:szCs w:val="24"/>
        </w:rPr>
        <w:t>cytokines/chemokines</w:t>
      </w:r>
      <w:r w:rsidR="004D3418" w:rsidRPr="00BE441E">
        <w:rPr>
          <w:bCs/>
          <w:szCs w:val="24"/>
        </w:rPr>
        <w:t xml:space="preserve"> measured, only proteins with a detectable signal are visualized.</w:t>
      </w:r>
      <w:r w:rsidR="00D46A6C" w:rsidRPr="00BE441E">
        <w:rPr>
          <w:szCs w:val="24"/>
        </w:rPr>
        <w:t xml:space="preserve"> </w:t>
      </w:r>
      <w:r w:rsidRPr="00BE441E">
        <w:rPr>
          <w:b/>
          <w:bCs/>
          <w:szCs w:val="24"/>
        </w:rPr>
        <w:t>(E)</w:t>
      </w:r>
      <w:r w:rsidR="00D00683" w:rsidRPr="00BE441E">
        <w:rPr>
          <w:b/>
          <w:bCs/>
          <w:color w:val="000000"/>
          <w:szCs w:val="24"/>
        </w:rPr>
        <w:t xml:space="preserve"> </w:t>
      </w:r>
      <w:r w:rsidR="00D00683" w:rsidRPr="00BE441E">
        <w:rPr>
          <w:color w:val="000000"/>
          <w:szCs w:val="24"/>
        </w:rPr>
        <w:t>Quantification of plasma CCL2 levels measured by ELISA in non-stressed vs. stressed wild-type</w:t>
      </w:r>
      <w:r w:rsidR="00D00683" w:rsidRPr="00BE441E">
        <w:rPr>
          <w:i/>
          <w:iCs/>
          <w:color w:val="000000"/>
          <w:szCs w:val="24"/>
        </w:rPr>
        <w:t xml:space="preserve"> </w:t>
      </w:r>
      <w:r w:rsidR="00D00683" w:rsidRPr="00BE441E">
        <w:rPr>
          <w:color w:val="000000"/>
          <w:szCs w:val="24"/>
        </w:rPr>
        <w:t>mice (before, during, and immediately after 3 h of restraint stress, n = 6-18 per group, Kruskal</w:t>
      </w:r>
      <w:r w:rsidR="00AD0E0E" w:rsidRPr="00BE441E">
        <w:rPr>
          <w:color w:val="000000"/>
          <w:szCs w:val="24"/>
        </w:rPr>
        <w:t>-</w:t>
      </w:r>
      <w:r w:rsidR="00D00683" w:rsidRPr="00BE441E">
        <w:rPr>
          <w:color w:val="000000"/>
          <w:szCs w:val="24"/>
        </w:rPr>
        <w:t>Wallis tes</w:t>
      </w:r>
      <w:r w:rsidR="00AD0E0E" w:rsidRPr="00BE441E">
        <w:rPr>
          <w:color w:val="000000"/>
          <w:szCs w:val="24"/>
        </w:rPr>
        <w:t>t</w:t>
      </w:r>
      <w:r w:rsidR="00D00683" w:rsidRPr="00BE441E">
        <w:rPr>
          <w:color w:val="000000"/>
          <w:szCs w:val="24"/>
        </w:rPr>
        <w:t xml:space="preserve">). </w:t>
      </w:r>
      <w:r w:rsidR="00365F0A" w:rsidRPr="00BE441E">
        <w:rPr>
          <w:rFonts w:eastAsiaTheme="minorHAnsi"/>
          <w:b/>
          <w:bCs/>
          <w:color w:val="000000"/>
          <w:szCs w:val="24"/>
        </w:rPr>
        <w:t xml:space="preserve">(F) </w:t>
      </w:r>
      <w:r w:rsidR="00365F0A" w:rsidRPr="00BE441E">
        <w:rPr>
          <w:rFonts w:eastAsiaTheme="minorHAnsi"/>
          <w:color w:val="000000"/>
          <w:szCs w:val="24"/>
        </w:rPr>
        <w:t xml:space="preserve">Gating strategy for FACS-sorting monocytes/macrophages, neutrophils, endothelial cells, and fibroblasts from atherosclerotic aortas. </w:t>
      </w:r>
      <w:r w:rsidR="00365F0A" w:rsidRPr="00BE441E">
        <w:rPr>
          <w:rFonts w:eastAsiaTheme="minorHAnsi"/>
          <w:b/>
          <w:bCs/>
          <w:color w:val="000000"/>
          <w:szCs w:val="24"/>
        </w:rPr>
        <w:t xml:space="preserve">(G, H) </w:t>
      </w:r>
      <w:r w:rsidR="00365F0A" w:rsidRPr="00BE441E">
        <w:rPr>
          <w:rFonts w:eastAsiaTheme="minorHAnsi"/>
          <w:color w:val="000000"/>
          <w:szCs w:val="24"/>
        </w:rPr>
        <w:t xml:space="preserve">Quantitative real-time PCR for </w:t>
      </w:r>
      <w:r w:rsidR="00365F0A" w:rsidRPr="00BE441E">
        <w:rPr>
          <w:rFonts w:eastAsiaTheme="minorHAnsi"/>
          <w:i/>
          <w:iCs/>
          <w:color w:val="000000"/>
          <w:szCs w:val="24"/>
        </w:rPr>
        <w:t xml:space="preserve">Ccl7 </w:t>
      </w:r>
      <w:r w:rsidR="00365F0A" w:rsidRPr="00BE441E">
        <w:rPr>
          <w:rFonts w:eastAsiaTheme="minorHAnsi"/>
          <w:color w:val="000000"/>
          <w:szCs w:val="24"/>
        </w:rPr>
        <w:t>and</w:t>
      </w:r>
      <w:r w:rsidR="00365F0A" w:rsidRPr="00BE441E">
        <w:rPr>
          <w:rFonts w:eastAsiaTheme="minorHAnsi"/>
          <w:i/>
          <w:iCs/>
          <w:color w:val="000000"/>
          <w:szCs w:val="24"/>
        </w:rPr>
        <w:t xml:space="preserve"> Cxcl1 </w:t>
      </w:r>
      <w:r w:rsidR="00365F0A" w:rsidRPr="00BE441E">
        <w:rPr>
          <w:rFonts w:eastAsiaTheme="minorHAnsi"/>
          <w:color w:val="000000"/>
          <w:szCs w:val="24"/>
        </w:rPr>
        <w:t xml:space="preserve">gene messenger RNAs in FACS-isolated aortic cell populations from </w:t>
      </w:r>
      <w:proofErr w:type="spellStart"/>
      <w:r w:rsidR="00365F0A" w:rsidRPr="00BE441E">
        <w:rPr>
          <w:rFonts w:eastAsiaTheme="minorHAnsi"/>
          <w:i/>
          <w:iCs/>
          <w:color w:val="000000"/>
          <w:szCs w:val="24"/>
        </w:rPr>
        <w:t>ApoE</w:t>
      </w:r>
      <w:proofErr w:type="spellEnd"/>
      <w:r w:rsidR="00365F0A" w:rsidRPr="00BE441E">
        <w:rPr>
          <w:rFonts w:eastAsiaTheme="minorHAnsi"/>
          <w:i/>
          <w:iCs/>
          <w:color w:val="000000"/>
          <w:szCs w:val="24"/>
          <w:vertAlign w:val="superscript"/>
        </w:rPr>
        <w:t>-/-</w:t>
      </w:r>
      <w:r w:rsidR="00365F0A" w:rsidRPr="00BE441E">
        <w:rPr>
          <w:rFonts w:eastAsiaTheme="minorHAnsi"/>
          <w:color w:val="000000"/>
          <w:szCs w:val="24"/>
        </w:rPr>
        <w:t xml:space="preserve"> mice (n</w:t>
      </w:r>
      <w:r w:rsidR="00D04A96" w:rsidRPr="00BE441E">
        <w:rPr>
          <w:rFonts w:eastAsiaTheme="minorHAnsi"/>
          <w:color w:val="000000"/>
          <w:szCs w:val="24"/>
        </w:rPr>
        <w:t xml:space="preserve"> </w:t>
      </w:r>
      <w:r w:rsidR="00365F0A" w:rsidRPr="00BE441E">
        <w:rPr>
          <w:rFonts w:eastAsiaTheme="minorHAnsi"/>
          <w:color w:val="000000"/>
          <w:szCs w:val="24"/>
        </w:rPr>
        <w:t>=</w:t>
      </w:r>
      <w:r w:rsidR="00D04A96" w:rsidRPr="00BE441E">
        <w:rPr>
          <w:rFonts w:eastAsiaTheme="minorHAnsi"/>
          <w:color w:val="000000"/>
          <w:szCs w:val="24"/>
        </w:rPr>
        <w:t xml:space="preserve"> </w:t>
      </w:r>
      <w:r w:rsidR="00365F0A" w:rsidRPr="00BE441E">
        <w:rPr>
          <w:rFonts w:eastAsiaTheme="minorHAnsi"/>
          <w:color w:val="000000"/>
          <w:szCs w:val="24"/>
        </w:rPr>
        <w:t>8, one-way ANOVA</w:t>
      </w:r>
      <w:r w:rsidR="00C7543B">
        <w:rPr>
          <w:rFonts w:eastAsiaTheme="minorHAnsi"/>
          <w:color w:val="000000"/>
          <w:szCs w:val="24"/>
        </w:rPr>
        <w:t>,</w:t>
      </w:r>
      <w:r w:rsidR="00C7543B" w:rsidRPr="00C7543B">
        <w:rPr>
          <w:rFonts w:eastAsiaTheme="minorHAnsi"/>
          <w:color w:val="000000"/>
          <w:highlight w:val="yellow"/>
        </w:rPr>
        <w:t xml:space="preserve"> </w:t>
      </w:r>
      <w:r w:rsidR="00C7543B" w:rsidRPr="007F15AF">
        <w:rPr>
          <w:rFonts w:eastAsiaTheme="minorHAnsi"/>
          <w:color w:val="000000"/>
          <w:highlight w:val="yellow"/>
        </w:rPr>
        <w:t xml:space="preserve">only </w:t>
      </w:r>
      <w:r w:rsidR="00C7543B" w:rsidRPr="007F15AF">
        <w:rPr>
          <w:rFonts w:eastAsiaTheme="minorHAnsi"/>
          <w:i/>
          <w:color w:val="000000"/>
          <w:highlight w:val="yellow"/>
        </w:rPr>
        <w:t>p</w:t>
      </w:r>
      <w:r w:rsidR="00C7543B" w:rsidRPr="007F15AF">
        <w:rPr>
          <w:rFonts w:eastAsiaTheme="minorHAnsi"/>
          <w:color w:val="000000"/>
          <w:highlight w:val="yellow"/>
        </w:rPr>
        <w:t xml:space="preserve">-values </w:t>
      </w:r>
      <w:r w:rsidR="00E5580F">
        <w:rPr>
          <w:rFonts w:eastAsiaTheme="minorHAnsi"/>
          <w:color w:val="000000"/>
          <w:highlight w:val="yellow"/>
        </w:rPr>
        <w:t>from significant (</w:t>
      </w:r>
      <w:r w:rsidR="00E5580F" w:rsidRPr="00E5580F">
        <w:rPr>
          <w:rFonts w:eastAsiaTheme="minorHAnsi"/>
          <w:i/>
          <w:color w:val="000000"/>
          <w:highlight w:val="yellow"/>
        </w:rPr>
        <w:t>p</w:t>
      </w:r>
      <w:r w:rsidR="00E5580F">
        <w:rPr>
          <w:rFonts w:eastAsiaTheme="minorHAnsi"/>
          <w:color w:val="000000"/>
          <w:highlight w:val="yellow"/>
        </w:rPr>
        <w:t xml:space="preserve"> &lt; 0.05) </w:t>
      </w:r>
      <w:r w:rsidR="00C7543B" w:rsidRPr="007F15AF">
        <w:rPr>
          <w:rFonts w:eastAsiaTheme="minorHAnsi"/>
          <w:color w:val="000000"/>
          <w:highlight w:val="yellow"/>
        </w:rPr>
        <w:t>comparisons are annotated</w:t>
      </w:r>
      <w:r w:rsidR="00CE218D">
        <w:rPr>
          <w:rFonts w:eastAsiaTheme="minorHAnsi"/>
          <w:color w:val="000000"/>
          <w:highlight w:val="yellow"/>
        </w:rPr>
        <w:t xml:space="preserve"> for reasons of clarity</w:t>
      </w:r>
      <w:r w:rsidR="00365F0A" w:rsidRPr="00BE441E">
        <w:rPr>
          <w:rFonts w:eastAsiaTheme="minorHAnsi"/>
          <w:color w:val="000000"/>
          <w:szCs w:val="24"/>
        </w:rPr>
        <w:t xml:space="preserve">). </w:t>
      </w:r>
      <w:r w:rsidR="00365F0A" w:rsidRPr="00BE441E">
        <w:rPr>
          <w:rFonts w:eastAsiaTheme="minorHAnsi"/>
          <w:b/>
          <w:color w:val="000000"/>
          <w:szCs w:val="24"/>
        </w:rPr>
        <w:t xml:space="preserve">(I) </w:t>
      </w:r>
      <w:r w:rsidR="00365F0A" w:rsidRPr="00BE441E">
        <w:rPr>
          <w:rFonts w:eastAsiaTheme="minorHAnsi"/>
          <w:color w:val="000000"/>
          <w:szCs w:val="24"/>
        </w:rPr>
        <w:t>Quantification of chemokine levels measured by ELISA in supernatant from cultured bone marrow-derived macrophages (BMDM, 400,000 in 2 ml medium, n</w:t>
      </w:r>
      <w:r w:rsidR="00D04A96" w:rsidRPr="00BE441E">
        <w:rPr>
          <w:rFonts w:eastAsiaTheme="minorHAnsi"/>
          <w:color w:val="000000"/>
          <w:szCs w:val="24"/>
        </w:rPr>
        <w:t xml:space="preserve"> </w:t>
      </w:r>
      <w:r w:rsidR="00365F0A" w:rsidRPr="00BE441E">
        <w:rPr>
          <w:rFonts w:eastAsiaTheme="minorHAnsi"/>
          <w:color w:val="000000"/>
          <w:szCs w:val="24"/>
        </w:rPr>
        <w:t>=</w:t>
      </w:r>
      <w:r w:rsidR="00D04A96" w:rsidRPr="00BE441E">
        <w:rPr>
          <w:rFonts w:eastAsiaTheme="minorHAnsi"/>
          <w:color w:val="000000"/>
          <w:szCs w:val="24"/>
        </w:rPr>
        <w:t xml:space="preserve"> </w:t>
      </w:r>
      <w:r w:rsidR="00365F0A" w:rsidRPr="00BE441E">
        <w:rPr>
          <w:rFonts w:eastAsiaTheme="minorHAnsi"/>
          <w:color w:val="000000"/>
          <w:szCs w:val="24"/>
        </w:rPr>
        <w:t xml:space="preserve">6, paired </w:t>
      </w:r>
      <w:r w:rsidR="00365F0A" w:rsidRPr="00BE441E">
        <w:rPr>
          <w:rFonts w:eastAsiaTheme="minorHAnsi"/>
          <w:i/>
          <w:iCs/>
          <w:color w:val="000000"/>
          <w:szCs w:val="24"/>
        </w:rPr>
        <w:t>t</w:t>
      </w:r>
      <w:r w:rsidR="00365F0A" w:rsidRPr="00BE441E">
        <w:rPr>
          <w:rFonts w:eastAsiaTheme="minorHAnsi"/>
          <w:color w:val="000000"/>
          <w:szCs w:val="24"/>
        </w:rPr>
        <w:t>-test), primary murine aortic endothelial cells (EC), primary murine aortic fibroblasts (</w:t>
      </w:r>
      <w:proofErr w:type="spellStart"/>
      <w:r w:rsidR="00365F0A" w:rsidRPr="00BE441E">
        <w:rPr>
          <w:rFonts w:eastAsiaTheme="minorHAnsi"/>
          <w:color w:val="000000"/>
          <w:szCs w:val="24"/>
        </w:rPr>
        <w:t>Fbr</w:t>
      </w:r>
      <w:proofErr w:type="spellEnd"/>
      <w:r w:rsidR="00365F0A" w:rsidRPr="00BE441E">
        <w:rPr>
          <w:rFonts w:eastAsiaTheme="minorHAnsi"/>
          <w:color w:val="000000"/>
          <w:szCs w:val="24"/>
        </w:rPr>
        <w:t>)</w:t>
      </w:r>
      <w:r w:rsidR="001721CE" w:rsidRPr="00BE441E">
        <w:rPr>
          <w:rFonts w:eastAsiaTheme="minorHAnsi"/>
          <w:color w:val="000000"/>
          <w:szCs w:val="24"/>
        </w:rPr>
        <w:t>,</w:t>
      </w:r>
      <w:r w:rsidR="00365F0A" w:rsidRPr="00BE441E">
        <w:rPr>
          <w:rFonts w:eastAsiaTheme="minorHAnsi"/>
          <w:color w:val="000000"/>
          <w:szCs w:val="24"/>
        </w:rPr>
        <w:t xml:space="preserve"> and primary murine aortic smooth </w:t>
      </w:r>
      <w:r w:rsidR="00365F0A" w:rsidRPr="00BE441E">
        <w:rPr>
          <w:rFonts w:eastAsiaTheme="minorHAnsi"/>
          <w:color w:val="000000"/>
          <w:szCs w:val="24"/>
        </w:rPr>
        <w:lastRenderedPageBreak/>
        <w:t>muscle cells (SMC, all 50,000 cells in 0.5 ml medium; n</w:t>
      </w:r>
      <w:r w:rsidR="00D04A96" w:rsidRPr="00BE441E">
        <w:rPr>
          <w:rFonts w:eastAsiaTheme="minorHAnsi"/>
          <w:color w:val="000000"/>
          <w:szCs w:val="24"/>
        </w:rPr>
        <w:t xml:space="preserve"> </w:t>
      </w:r>
      <w:r w:rsidR="00365F0A" w:rsidRPr="00BE441E">
        <w:rPr>
          <w:rFonts w:eastAsiaTheme="minorHAnsi"/>
          <w:color w:val="000000"/>
          <w:szCs w:val="24"/>
        </w:rPr>
        <w:t>=</w:t>
      </w:r>
      <w:r w:rsidR="00D04A96" w:rsidRPr="00BE441E">
        <w:rPr>
          <w:rFonts w:eastAsiaTheme="minorHAnsi"/>
          <w:color w:val="000000"/>
          <w:szCs w:val="24"/>
        </w:rPr>
        <w:t xml:space="preserve"> </w:t>
      </w:r>
      <w:r w:rsidR="00365F0A" w:rsidRPr="00BE441E">
        <w:rPr>
          <w:rFonts w:eastAsiaTheme="minorHAnsi"/>
          <w:color w:val="000000"/>
          <w:szCs w:val="24"/>
        </w:rPr>
        <w:t xml:space="preserve">7/10, paired </w:t>
      </w:r>
      <w:r w:rsidR="00365F0A" w:rsidRPr="00BE441E">
        <w:rPr>
          <w:rFonts w:eastAsiaTheme="minorHAnsi"/>
          <w:i/>
          <w:iCs/>
          <w:color w:val="000000"/>
          <w:szCs w:val="24"/>
        </w:rPr>
        <w:t>t</w:t>
      </w:r>
      <w:r w:rsidR="00365F0A" w:rsidRPr="00BE441E">
        <w:rPr>
          <w:rFonts w:eastAsiaTheme="minorHAnsi"/>
          <w:color w:val="000000"/>
          <w:szCs w:val="24"/>
        </w:rPr>
        <w:t>-test).</w:t>
      </w:r>
      <w:r w:rsidR="00365F0A" w:rsidRPr="00BE441E">
        <w:rPr>
          <w:szCs w:val="24"/>
        </w:rPr>
        <w:t xml:space="preserve"> </w:t>
      </w:r>
      <w:r w:rsidR="00D00683" w:rsidRPr="00BE441E">
        <w:rPr>
          <w:b/>
          <w:color w:val="000000"/>
          <w:szCs w:val="24"/>
        </w:rPr>
        <w:t>(</w:t>
      </w:r>
      <w:r w:rsidR="00365F0A" w:rsidRPr="00BE441E">
        <w:rPr>
          <w:b/>
          <w:color w:val="000000"/>
          <w:szCs w:val="24"/>
        </w:rPr>
        <w:t>J</w:t>
      </w:r>
      <w:r w:rsidR="00D00683" w:rsidRPr="00BE441E">
        <w:rPr>
          <w:b/>
          <w:color w:val="000000"/>
          <w:szCs w:val="24"/>
        </w:rPr>
        <w:t>)</w:t>
      </w:r>
      <w:r w:rsidRPr="00BE441E">
        <w:rPr>
          <w:szCs w:val="24"/>
        </w:rPr>
        <w:t xml:space="preserve"> Quantification of phospho-tyrosine hydroxylase levels (</w:t>
      </w:r>
      <w:proofErr w:type="spellStart"/>
      <w:r w:rsidRPr="00BE441E">
        <w:rPr>
          <w:szCs w:val="24"/>
        </w:rPr>
        <w:t>pTH</w:t>
      </w:r>
      <w:proofErr w:type="spellEnd"/>
      <w:r w:rsidRPr="00BE441E">
        <w:rPr>
          <w:szCs w:val="24"/>
        </w:rPr>
        <w:t>) in aortic arches from non-stressed vs. stressed wild-type mice (after three episodes of 3 h restraint stress once daily) using Western Blotting (</w:t>
      </w:r>
      <w:r w:rsidRPr="00BE441E">
        <w:rPr>
          <w:iCs/>
          <w:szCs w:val="24"/>
        </w:rPr>
        <w:t>n</w:t>
      </w:r>
      <w:r w:rsidRPr="00BE441E">
        <w:rPr>
          <w:i/>
          <w:szCs w:val="24"/>
        </w:rPr>
        <w:t xml:space="preserve"> </w:t>
      </w:r>
      <w:r w:rsidRPr="00BE441E">
        <w:rPr>
          <w:szCs w:val="24"/>
        </w:rPr>
        <w:t>= 4</w:t>
      </w:r>
      <w:r w:rsidRPr="00BE441E">
        <w:t xml:space="preserve"> per group, Mann-Whitney </w:t>
      </w:r>
      <w:r w:rsidRPr="00BE441E">
        <w:rPr>
          <w:i/>
          <w:iCs/>
        </w:rPr>
        <w:t>U-</w:t>
      </w:r>
      <w:r w:rsidRPr="00BE441E">
        <w:t xml:space="preserve">test). </w:t>
      </w:r>
      <w:r w:rsidRPr="00BE441E">
        <w:rPr>
          <w:b/>
          <w:bCs/>
        </w:rPr>
        <w:t>(</w:t>
      </w:r>
      <w:r w:rsidR="00365F0A" w:rsidRPr="00BE441E">
        <w:rPr>
          <w:b/>
          <w:bCs/>
        </w:rPr>
        <w:t>K</w:t>
      </w:r>
      <w:r w:rsidRPr="00BE441E">
        <w:rPr>
          <w:b/>
          <w:bCs/>
        </w:rPr>
        <w:t>)</w:t>
      </w:r>
      <w:r w:rsidRPr="00BE441E">
        <w:t xml:space="preserve"> Hemodynamic alterations in response to 3 h episodes of restraint stress (n = 6). Numbers next to gates indicate frequencies (%). Data are presented as mean + </w:t>
      </w:r>
      <w:proofErr w:type="spellStart"/>
      <w:r w:rsidRPr="00BE441E">
        <w:t>s.</w:t>
      </w:r>
      <w:r w:rsidR="00766A3A" w:rsidRPr="00BE441E">
        <w:t>d</w:t>
      </w:r>
      <w:r w:rsidRPr="00BE441E">
        <w:t>.</w:t>
      </w:r>
      <w:proofErr w:type="spellEnd"/>
      <w:r w:rsidR="0066741D" w:rsidRPr="00BE441E">
        <w:br w:type="page"/>
      </w:r>
    </w:p>
    <w:p w14:paraId="34BCA7B7" w14:textId="1A2E8A1E" w:rsidR="00D05C40" w:rsidRPr="00BE441E" w:rsidRDefault="00763828" w:rsidP="00F75DE6">
      <w:pPr>
        <w:pStyle w:val="SMcaption"/>
        <w:spacing w:line="480" w:lineRule="auto"/>
        <w:jc w:val="both"/>
        <w:rPr>
          <w:b/>
        </w:rPr>
      </w:pPr>
      <w:r>
        <w:rPr>
          <w:b/>
          <w:noProof/>
        </w:rPr>
        <w:lastRenderedPageBreak/>
        <w:drawing>
          <wp:inline distT="0" distB="0" distL="0" distR="0" wp14:anchorId="06755CC5" wp14:editId="1CE5F830">
            <wp:extent cx="5943600" cy="3521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943600" cy="3521075"/>
                    </a:xfrm>
                    <a:prstGeom prst="rect">
                      <a:avLst/>
                    </a:prstGeom>
                  </pic:spPr>
                </pic:pic>
              </a:graphicData>
            </a:graphic>
          </wp:inline>
        </w:drawing>
      </w:r>
    </w:p>
    <w:p w14:paraId="61806E85" w14:textId="4E468BF9" w:rsidR="00A81093" w:rsidRPr="00BE441E" w:rsidRDefault="000B2C60" w:rsidP="00F75DE6">
      <w:pPr>
        <w:pStyle w:val="SMcaption"/>
        <w:spacing w:line="480" w:lineRule="auto"/>
        <w:jc w:val="both"/>
        <w:rPr>
          <w:b/>
        </w:rPr>
      </w:pPr>
      <w:r>
        <w:rPr>
          <w:b/>
          <w:noProof/>
        </w:rPr>
        <w:drawing>
          <wp:inline distT="0" distB="0" distL="0" distR="0" wp14:anchorId="0374B417" wp14:editId="00490749">
            <wp:extent cx="5943600" cy="39903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extLst>
                        <a:ext uri="{28A0092B-C50C-407E-A947-70E740481C1C}">
                          <a14:useLocalDpi xmlns:a14="http://schemas.microsoft.com/office/drawing/2010/main" val="0"/>
                        </a:ext>
                      </a:extLst>
                    </a:blip>
                    <a:stretch>
                      <a:fillRect/>
                    </a:stretch>
                  </pic:blipFill>
                  <pic:spPr>
                    <a:xfrm>
                      <a:off x="0" y="0"/>
                      <a:ext cx="5943600" cy="3990340"/>
                    </a:xfrm>
                    <a:prstGeom prst="rect">
                      <a:avLst/>
                    </a:prstGeom>
                  </pic:spPr>
                </pic:pic>
              </a:graphicData>
            </a:graphic>
          </wp:inline>
        </w:drawing>
      </w:r>
    </w:p>
    <w:p w14:paraId="138BA7BB" w14:textId="487D49E8" w:rsidR="00C45516" w:rsidRPr="00BE441E" w:rsidRDefault="000B2C60" w:rsidP="00F75DE6">
      <w:pPr>
        <w:pStyle w:val="SMcaption"/>
        <w:spacing w:line="480" w:lineRule="auto"/>
        <w:jc w:val="both"/>
        <w:rPr>
          <w:b/>
        </w:rPr>
      </w:pPr>
      <w:r>
        <w:rPr>
          <w:b/>
          <w:noProof/>
        </w:rPr>
        <w:lastRenderedPageBreak/>
        <w:drawing>
          <wp:inline distT="0" distB="0" distL="0" distR="0" wp14:anchorId="0989266C" wp14:editId="1573581E">
            <wp:extent cx="5943600" cy="40220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
                      <a:extLst>
                        <a:ext uri="{28A0092B-C50C-407E-A947-70E740481C1C}">
                          <a14:useLocalDpi xmlns:a14="http://schemas.microsoft.com/office/drawing/2010/main" val="0"/>
                        </a:ext>
                      </a:extLst>
                    </a:blip>
                    <a:stretch>
                      <a:fillRect/>
                    </a:stretch>
                  </pic:blipFill>
                  <pic:spPr>
                    <a:xfrm>
                      <a:off x="0" y="0"/>
                      <a:ext cx="5943600" cy="4022090"/>
                    </a:xfrm>
                    <a:prstGeom prst="rect">
                      <a:avLst/>
                    </a:prstGeom>
                  </pic:spPr>
                </pic:pic>
              </a:graphicData>
            </a:graphic>
          </wp:inline>
        </w:drawing>
      </w:r>
    </w:p>
    <w:p w14:paraId="68CE1581" w14:textId="77777777" w:rsidR="00142429" w:rsidRPr="00BE441E" w:rsidRDefault="00142429" w:rsidP="00F75DE6">
      <w:pPr>
        <w:pStyle w:val="SMcaption"/>
        <w:spacing w:line="480" w:lineRule="auto"/>
        <w:jc w:val="both"/>
        <w:rPr>
          <w:b/>
        </w:rPr>
      </w:pPr>
    </w:p>
    <w:p w14:paraId="16253CB8" w14:textId="419E1666" w:rsidR="001445ED" w:rsidRPr="00BE441E" w:rsidRDefault="001445ED" w:rsidP="00F75DE6">
      <w:pPr>
        <w:pStyle w:val="SMcaption"/>
        <w:spacing w:line="480" w:lineRule="auto"/>
        <w:jc w:val="both"/>
        <w:rPr>
          <w:b/>
        </w:rPr>
      </w:pPr>
      <w:r w:rsidRPr="00BE441E">
        <w:rPr>
          <w:b/>
        </w:rPr>
        <w:t>Fig. S5: Acute mental stress modulates cultured endothelial cells.</w:t>
      </w:r>
    </w:p>
    <w:p w14:paraId="4AAC0360" w14:textId="42C2BD87" w:rsidR="001445ED" w:rsidRPr="00763828" w:rsidRDefault="001445ED" w:rsidP="002E7D4C">
      <w:pPr>
        <w:spacing w:line="480" w:lineRule="auto"/>
        <w:jc w:val="both"/>
        <w:rPr>
          <w:rFonts w:ascii="Times" w:hAnsi="Times" w:cs="Times"/>
          <w:color w:val="000000"/>
          <w:szCs w:val="24"/>
        </w:rPr>
      </w:pPr>
      <w:r w:rsidRPr="00BE441E">
        <w:rPr>
          <w:b/>
          <w:bCs/>
          <w:szCs w:val="24"/>
        </w:rPr>
        <w:t>(A)</w:t>
      </w:r>
      <w:r w:rsidRPr="00BE441E">
        <w:rPr>
          <w:szCs w:val="24"/>
        </w:rPr>
        <w:t xml:space="preserve"> Gating strategy and histograms of leukocyte adhesion molecules on cultured primary murine aortic endothelial cells. </w:t>
      </w:r>
      <w:r w:rsidRPr="00BE441E">
        <w:rPr>
          <w:b/>
          <w:bCs/>
          <w:szCs w:val="24"/>
        </w:rPr>
        <w:t>(B)</w:t>
      </w:r>
      <w:r w:rsidRPr="00BE441E">
        <w:rPr>
          <w:szCs w:val="24"/>
        </w:rPr>
        <w:t xml:space="preserve"> Experimental setup for Fig. 3E-G. </w:t>
      </w:r>
      <w:r w:rsidRPr="00BE441E">
        <w:rPr>
          <w:b/>
          <w:bCs/>
          <w:szCs w:val="24"/>
        </w:rPr>
        <w:t>(C)</w:t>
      </w:r>
      <w:r w:rsidRPr="00BE441E">
        <w:rPr>
          <w:szCs w:val="24"/>
        </w:rPr>
        <w:t xml:space="preserve"> Experimental setup for Fig. 3H-</w:t>
      </w:r>
      <w:r w:rsidR="00D04A96" w:rsidRPr="00BE441E">
        <w:rPr>
          <w:szCs w:val="24"/>
        </w:rPr>
        <w:t>M</w:t>
      </w:r>
      <w:r w:rsidRPr="00BE441E">
        <w:rPr>
          <w:szCs w:val="24"/>
        </w:rPr>
        <w:t xml:space="preserve">. </w:t>
      </w:r>
      <w:r w:rsidR="002026CE" w:rsidRPr="00BE441E">
        <w:rPr>
          <w:b/>
          <w:szCs w:val="24"/>
        </w:rPr>
        <w:t>(D)</w:t>
      </w:r>
      <w:r w:rsidR="002026CE" w:rsidRPr="00BE441E">
        <w:rPr>
          <w:szCs w:val="24"/>
        </w:rPr>
        <w:t xml:space="preserve"> </w:t>
      </w:r>
      <w:r w:rsidR="002026CE" w:rsidRPr="00BE441E">
        <w:rPr>
          <w:rFonts w:eastAsiaTheme="minorHAnsi"/>
          <w:color w:val="000000"/>
          <w:szCs w:val="24"/>
        </w:rPr>
        <w:t xml:space="preserve">Quantification of monocyte and neutrophil adherence to primary murine aortic endothelial cells cultured under high flow conditions (high shear stress, 30 </w:t>
      </w:r>
      <w:proofErr w:type="spellStart"/>
      <w:r w:rsidR="002026CE" w:rsidRPr="00BE441E">
        <w:rPr>
          <w:rFonts w:eastAsiaTheme="minorHAnsi"/>
          <w:color w:val="000000"/>
          <w:szCs w:val="24"/>
        </w:rPr>
        <w:t>dyn</w:t>
      </w:r>
      <w:proofErr w:type="spellEnd"/>
      <w:r w:rsidR="002026CE" w:rsidRPr="00BE441E">
        <w:rPr>
          <w:rFonts w:eastAsiaTheme="minorHAnsi"/>
          <w:color w:val="000000"/>
          <w:szCs w:val="24"/>
        </w:rPr>
        <w:t>/cm</w:t>
      </w:r>
      <w:r w:rsidR="002026CE" w:rsidRPr="00BE441E">
        <w:rPr>
          <w:rFonts w:eastAsiaTheme="minorHAnsi"/>
          <w:color w:val="000000"/>
          <w:szCs w:val="24"/>
          <w:vertAlign w:val="superscript"/>
        </w:rPr>
        <w:t>2</w:t>
      </w:r>
      <w:r w:rsidR="002026CE" w:rsidRPr="00BE441E">
        <w:rPr>
          <w:rFonts w:eastAsiaTheme="minorHAnsi"/>
          <w:color w:val="000000"/>
          <w:szCs w:val="24"/>
        </w:rPr>
        <w:t xml:space="preserve">) and primed with either norepinephrine (0.1 </w:t>
      </w:r>
      <w:proofErr w:type="spellStart"/>
      <w:r w:rsidR="002026CE" w:rsidRPr="00BE441E">
        <w:rPr>
          <w:rFonts w:eastAsiaTheme="minorHAnsi"/>
          <w:color w:val="000000"/>
          <w:szCs w:val="24"/>
        </w:rPr>
        <w:t>nM</w:t>
      </w:r>
      <w:proofErr w:type="spellEnd"/>
      <w:r w:rsidR="002026CE" w:rsidRPr="00BE441E">
        <w:rPr>
          <w:rFonts w:eastAsiaTheme="minorHAnsi"/>
          <w:color w:val="000000"/>
          <w:szCs w:val="24"/>
        </w:rPr>
        <w:t xml:space="preserve"> or 1 µM) or vehicle (n</w:t>
      </w:r>
      <w:r w:rsidR="00D04A96" w:rsidRPr="00BE441E">
        <w:rPr>
          <w:rFonts w:eastAsiaTheme="minorHAnsi"/>
          <w:color w:val="000000"/>
          <w:szCs w:val="24"/>
        </w:rPr>
        <w:t xml:space="preserve"> </w:t>
      </w:r>
      <w:r w:rsidR="002026CE" w:rsidRPr="00BE441E">
        <w:rPr>
          <w:rFonts w:eastAsiaTheme="minorHAnsi"/>
          <w:color w:val="000000"/>
          <w:szCs w:val="24"/>
        </w:rPr>
        <w:t>=</w:t>
      </w:r>
      <w:r w:rsidR="00D04A96" w:rsidRPr="00BE441E">
        <w:rPr>
          <w:rFonts w:eastAsiaTheme="minorHAnsi"/>
          <w:color w:val="000000"/>
          <w:szCs w:val="24"/>
        </w:rPr>
        <w:t xml:space="preserve"> </w:t>
      </w:r>
      <w:r w:rsidR="002026CE" w:rsidRPr="00BE441E">
        <w:rPr>
          <w:rFonts w:eastAsiaTheme="minorHAnsi"/>
          <w:color w:val="000000"/>
          <w:szCs w:val="24"/>
        </w:rPr>
        <w:t xml:space="preserve">4, repeated measures one-way ANOVA). </w:t>
      </w:r>
      <w:r w:rsidR="002026CE" w:rsidRPr="00BE441E">
        <w:rPr>
          <w:rFonts w:eastAsiaTheme="minorHAnsi"/>
          <w:b/>
          <w:color w:val="000000"/>
          <w:szCs w:val="24"/>
        </w:rPr>
        <w:t>(E</w:t>
      </w:r>
      <w:r w:rsidR="00C12753" w:rsidRPr="00BE441E">
        <w:rPr>
          <w:rFonts w:eastAsiaTheme="minorHAnsi"/>
          <w:b/>
          <w:color w:val="000000"/>
          <w:szCs w:val="24"/>
        </w:rPr>
        <w:t xml:space="preserve">, </w:t>
      </w:r>
      <w:r w:rsidR="00E55A8C" w:rsidRPr="00BE441E">
        <w:rPr>
          <w:rFonts w:eastAsiaTheme="minorHAnsi"/>
          <w:b/>
          <w:color w:val="000000"/>
          <w:szCs w:val="24"/>
        </w:rPr>
        <w:t>F</w:t>
      </w:r>
      <w:r w:rsidR="002026CE" w:rsidRPr="00BE441E">
        <w:rPr>
          <w:rFonts w:eastAsiaTheme="minorHAnsi"/>
          <w:b/>
          <w:color w:val="000000"/>
          <w:szCs w:val="24"/>
        </w:rPr>
        <w:t xml:space="preserve">) </w:t>
      </w:r>
      <w:r w:rsidR="00E55A8C" w:rsidRPr="00BE441E">
        <w:rPr>
          <w:rFonts w:eastAsiaTheme="minorHAnsi"/>
          <w:color w:val="000000"/>
          <w:szCs w:val="24"/>
        </w:rPr>
        <w:t xml:space="preserve">Representative images and quantification of monocyte </w:t>
      </w:r>
      <w:r w:rsidR="00C12753" w:rsidRPr="00BE441E">
        <w:rPr>
          <w:rFonts w:eastAsiaTheme="minorHAnsi"/>
          <w:color w:val="000000"/>
          <w:szCs w:val="24"/>
        </w:rPr>
        <w:t xml:space="preserve">(THP-1 cells) </w:t>
      </w:r>
      <w:r w:rsidR="00E55A8C" w:rsidRPr="00BE441E">
        <w:rPr>
          <w:rFonts w:eastAsiaTheme="minorHAnsi"/>
          <w:color w:val="000000"/>
          <w:szCs w:val="24"/>
        </w:rPr>
        <w:t xml:space="preserve">adherence to primary human umbilical vein endothelial cells cultured under flow conditions (10 </w:t>
      </w:r>
      <w:proofErr w:type="spellStart"/>
      <w:r w:rsidR="00E55A8C" w:rsidRPr="00BE441E">
        <w:rPr>
          <w:rFonts w:eastAsiaTheme="minorHAnsi"/>
          <w:color w:val="000000"/>
          <w:szCs w:val="24"/>
        </w:rPr>
        <w:t>dyn</w:t>
      </w:r>
      <w:proofErr w:type="spellEnd"/>
      <w:r w:rsidR="00E55A8C" w:rsidRPr="00BE441E">
        <w:rPr>
          <w:rFonts w:eastAsiaTheme="minorHAnsi"/>
          <w:color w:val="000000"/>
          <w:szCs w:val="24"/>
        </w:rPr>
        <w:t>/cm</w:t>
      </w:r>
      <w:r w:rsidR="00E55A8C" w:rsidRPr="00BE441E">
        <w:rPr>
          <w:rFonts w:eastAsiaTheme="minorHAnsi"/>
          <w:color w:val="000000"/>
          <w:szCs w:val="24"/>
          <w:vertAlign w:val="superscript"/>
        </w:rPr>
        <w:t>2</w:t>
      </w:r>
      <w:r w:rsidR="00E55A8C" w:rsidRPr="00BE441E">
        <w:rPr>
          <w:rFonts w:eastAsiaTheme="minorHAnsi"/>
          <w:color w:val="000000"/>
          <w:szCs w:val="24"/>
        </w:rPr>
        <w:t>) and primed with either norepinephrine or respective vehicle (n</w:t>
      </w:r>
      <w:r w:rsidR="00D04A96" w:rsidRPr="00BE441E">
        <w:rPr>
          <w:rFonts w:eastAsiaTheme="minorHAnsi"/>
          <w:color w:val="000000"/>
          <w:szCs w:val="24"/>
        </w:rPr>
        <w:t xml:space="preserve"> </w:t>
      </w:r>
      <w:r w:rsidR="00E55A8C" w:rsidRPr="00BE441E">
        <w:rPr>
          <w:rFonts w:eastAsiaTheme="minorHAnsi"/>
          <w:color w:val="000000"/>
          <w:szCs w:val="24"/>
        </w:rPr>
        <w:t>=</w:t>
      </w:r>
      <w:r w:rsidR="00D04A96" w:rsidRPr="00BE441E">
        <w:rPr>
          <w:rFonts w:eastAsiaTheme="minorHAnsi"/>
          <w:color w:val="000000"/>
          <w:szCs w:val="24"/>
        </w:rPr>
        <w:t xml:space="preserve"> </w:t>
      </w:r>
      <w:r w:rsidR="00E55A8C" w:rsidRPr="00BE441E">
        <w:rPr>
          <w:rFonts w:eastAsiaTheme="minorHAnsi"/>
          <w:color w:val="000000"/>
          <w:szCs w:val="24"/>
        </w:rPr>
        <w:t>8 per group, Wilcoxon test).</w:t>
      </w:r>
      <w:r w:rsidR="008B5AE2" w:rsidRPr="00BE441E">
        <w:rPr>
          <w:rFonts w:eastAsiaTheme="minorHAnsi"/>
          <w:color w:val="000000"/>
          <w:szCs w:val="24"/>
        </w:rPr>
        <w:t xml:space="preserve"> </w:t>
      </w:r>
      <w:r w:rsidRPr="00BE441E">
        <w:rPr>
          <w:b/>
          <w:bCs/>
          <w:szCs w:val="24"/>
        </w:rPr>
        <w:t>(</w:t>
      </w:r>
      <w:r w:rsidR="00334297" w:rsidRPr="00BE441E">
        <w:rPr>
          <w:b/>
          <w:bCs/>
          <w:szCs w:val="24"/>
        </w:rPr>
        <w:t>G</w:t>
      </w:r>
      <w:r w:rsidRPr="00BE441E">
        <w:rPr>
          <w:b/>
          <w:bCs/>
          <w:szCs w:val="24"/>
        </w:rPr>
        <w:t>)</w:t>
      </w:r>
      <w:r w:rsidRPr="00BE441E">
        <w:rPr>
          <w:szCs w:val="24"/>
        </w:rPr>
        <w:t xml:space="preserve"> Experimental setup for </w:t>
      </w:r>
      <w:r w:rsidR="005E4476" w:rsidRPr="00BE441E">
        <w:rPr>
          <w:szCs w:val="24"/>
        </w:rPr>
        <w:t xml:space="preserve">panel </w:t>
      </w:r>
      <w:r w:rsidR="00D04A96" w:rsidRPr="00BE441E">
        <w:rPr>
          <w:szCs w:val="24"/>
        </w:rPr>
        <w:t>H</w:t>
      </w:r>
      <w:r w:rsidRPr="00BE441E">
        <w:rPr>
          <w:szCs w:val="24"/>
        </w:rPr>
        <w:t xml:space="preserve">. </w:t>
      </w:r>
      <w:r w:rsidRPr="00BE441E">
        <w:rPr>
          <w:b/>
          <w:bCs/>
          <w:szCs w:val="24"/>
        </w:rPr>
        <w:t>(</w:t>
      </w:r>
      <w:r w:rsidR="00334297" w:rsidRPr="00BE441E">
        <w:rPr>
          <w:b/>
          <w:bCs/>
          <w:szCs w:val="24"/>
        </w:rPr>
        <w:t>H</w:t>
      </w:r>
      <w:r w:rsidRPr="00BE441E">
        <w:rPr>
          <w:b/>
          <w:bCs/>
          <w:szCs w:val="24"/>
        </w:rPr>
        <w:t>)</w:t>
      </w:r>
      <w:r w:rsidRPr="00BE441E">
        <w:rPr>
          <w:szCs w:val="24"/>
        </w:rPr>
        <w:t xml:space="preserve"> Quantification of adherent monocytes and neutrophils on primary murine </w:t>
      </w:r>
      <w:r w:rsidRPr="00BE441E">
        <w:rPr>
          <w:szCs w:val="24"/>
        </w:rPr>
        <w:lastRenderedPageBreak/>
        <w:t xml:space="preserve">aortic endothelial cells cultured under high flow/shear stress conditions (30 </w:t>
      </w:r>
      <w:proofErr w:type="spellStart"/>
      <w:r w:rsidRPr="00BE441E">
        <w:rPr>
          <w:szCs w:val="24"/>
        </w:rPr>
        <w:t>dyn</w:t>
      </w:r>
      <w:proofErr w:type="spellEnd"/>
      <w:r w:rsidRPr="00BE441E">
        <w:rPr>
          <w:szCs w:val="24"/>
        </w:rPr>
        <w:t>/cm</w:t>
      </w:r>
      <w:r w:rsidRPr="00BE441E">
        <w:rPr>
          <w:szCs w:val="24"/>
          <w:vertAlign w:val="superscript"/>
        </w:rPr>
        <w:t>2</w:t>
      </w:r>
      <w:r w:rsidRPr="00BE441E">
        <w:rPr>
          <w:szCs w:val="24"/>
        </w:rPr>
        <w:t>) where either endothelial</w:t>
      </w:r>
      <w:r w:rsidRPr="00BE441E">
        <w:t xml:space="preserve"> </w:t>
      </w:r>
      <w:proofErr w:type="gramStart"/>
      <w:r w:rsidRPr="00BE441E">
        <w:t>cells</w:t>
      </w:r>
      <w:proofErr w:type="gramEnd"/>
      <w:r w:rsidRPr="00BE441E">
        <w:t xml:space="preserve"> only or both endothelial cells and leukocytes were exposed to norepinephrine (</w:t>
      </w:r>
      <w:r w:rsidRPr="00BE441E">
        <w:rPr>
          <w:iCs/>
        </w:rPr>
        <w:t>n</w:t>
      </w:r>
      <w:r w:rsidR="00D04A96" w:rsidRPr="00BE441E">
        <w:t> </w:t>
      </w:r>
      <w:r w:rsidRPr="00BE441E">
        <w:t>=</w:t>
      </w:r>
      <w:r w:rsidR="00D04A96" w:rsidRPr="00BE441E">
        <w:t> </w:t>
      </w:r>
      <w:r w:rsidRPr="00BE441E">
        <w:t xml:space="preserve">4, Student´s </w:t>
      </w:r>
      <w:r w:rsidRPr="00BE441E">
        <w:rPr>
          <w:i/>
          <w:iCs/>
        </w:rPr>
        <w:t>t</w:t>
      </w:r>
      <w:r w:rsidRPr="00BE441E">
        <w:t xml:space="preserve">-test). </w:t>
      </w:r>
      <w:r w:rsidR="004C16E6" w:rsidRPr="00BE441E">
        <w:rPr>
          <w:rFonts w:ascii="Times" w:hAnsi="Times" w:cs="Times"/>
          <w:b/>
          <w:bCs/>
          <w:color w:val="000000"/>
          <w:szCs w:val="24"/>
        </w:rPr>
        <w:t>(</w:t>
      </w:r>
      <w:r w:rsidR="00334297" w:rsidRPr="00BE441E">
        <w:rPr>
          <w:rFonts w:ascii="Times" w:hAnsi="Times" w:cs="Times"/>
          <w:b/>
          <w:bCs/>
          <w:color w:val="000000"/>
          <w:szCs w:val="24"/>
        </w:rPr>
        <w:t>I</w:t>
      </w:r>
      <w:r w:rsidR="004C16E6" w:rsidRPr="00BE441E">
        <w:rPr>
          <w:rFonts w:ascii="Times" w:hAnsi="Times" w:cs="Times"/>
          <w:b/>
          <w:bCs/>
          <w:color w:val="000000"/>
          <w:szCs w:val="24"/>
        </w:rPr>
        <w:t>)</w:t>
      </w:r>
      <w:r w:rsidR="004C16E6" w:rsidRPr="00BE441E">
        <w:rPr>
          <w:rFonts w:ascii="Times" w:hAnsi="Times" w:cs="Times"/>
          <w:color w:val="000000"/>
          <w:szCs w:val="24"/>
        </w:rPr>
        <w:t xml:space="preserve"> Experimental setup for </w:t>
      </w:r>
      <w:r w:rsidR="005E4476" w:rsidRPr="00BE441E">
        <w:rPr>
          <w:rFonts w:ascii="Times" w:hAnsi="Times" w:cs="Times"/>
          <w:color w:val="000000"/>
          <w:szCs w:val="24"/>
        </w:rPr>
        <w:t xml:space="preserve">panel </w:t>
      </w:r>
      <w:r w:rsidR="00D04A96" w:rsidRPr="00BE441E">
        <w:rPr>
          <w:rFonts w:ascii="Times" w:hAnsi="Times" w:cs="Times"/>
          <w:color w:val="000000"/>
          <w:szCs w:val="24"/>
        </w:rPr>
        <w:t>J</w:t>
      </w:r>
      <w:r w:rsidR="004C16E6" w:rsidRPr="00BE441E">
        <w:rPr>
          <w:rFonts w:ascii="Times" w:hAnsi="Times" w:cs="Times"/>
          <w:color w:val="000000"/>
          <w:szCs w:val="24"/>
        </w:rPr>
        <w:t xml:space="preserve">. </w:t>
      </w:r>
      <w:r w:rsidR="004C16E6" w:rsidRPr="00BE441E">
        <w:rPr>
          <w:rFonts w:ascii="Times" w:hAnsi="Times" w:cs="Times"/>
          <w:b/>
          <w:bCs/>
          <w:color w:val="000000"/>
          <w:szCs w:val="24"/>
        </w:rPr>
        <w:t>(</w:t>
      </w:r>
      <w:r w:rsidR="00334297" w:rsidRPr="00BE441E">
        <w:rPr>
          <w:rFonts w:ascii="Times" w:hAnsi="Times" w:cs="Times"/>
          <w:b/>
          <w:bCs/>
          <w:color w:val="000000"/>
          <w:szCs w:val="24"/>
        </w:rPr>
        <w:t>J</w:t>
      </w:r>
      <w:r w:rsidR="004C16E6" w:rsidRPr="00BE441E">
        <w:rPr>
          <w:rFonts w:ascii="Times" w:hAnsi="Times" w:cs="Times"/>
          <w:b/>
          <w:bCs/>
          <w:color w:val="000000"/>
          <w:szCs w:val="24"/>
        </w:rPr>
        <w:t>)</w:t>
      </w:r>
      <w:r w:rsidR="004C16E6" w:rsidRPr="00BE441E">
        <w:rPr>
          <w:rFonts w:ascii="Times" w:hAnsi="Times" w:cs="Times"/>
          <w:color w:val="000000"/>
          <w:szCs w:val="24"/>
        </w:rPr>
        <w:t xml:space="preserve"> Quantification of monocyte and neutrophil adherence to primary murine aortic endothelial cells cultured under high flow conditions (high shear stress, 30 </w:t>
      </w:r>
      <w:proofErr w:type="spellStart"/>
      <w:r w:rsidR="004C16E6" w:rsidRPr="00BE441E">
        <w:rPr>
          <w:rFonts w:ascii="Times" w:hAnsi="Times" w:cs="Times"/>
          <w:color w:val="000000"/>
          <w:szCs w:val="24"/>
        </w:rPr>
        <w:t>dyn</w:t>
      </w:r>
      <w:proofErr w:type="spellEnd"/>
      <w:r w:rsidR="004C16E6" w:rsidRPr="00BE441E">
        <w:rPr>
          <w:rFonts w:ascii="Times" w:hAnsi="Times" w:cs="Times"/>
          <w:color w:val="000000"/>
          <w:szCs w:val="24"/>
        </w:rPr>
        <w:t>/cm</w:t>
      </w:r>
      <w:r w:rsidR="00CB15B2" w:rsidRPr="00BE441E">
        <w:rPr>
          <w:vertAlign w:val="superscript"/>
        </w:rPr>
        <w:t>2</w:t>
      </w:r>
      <w:r w:rsidR="004C16E6" w:rsidRPr="00BE441E">
        <w:rPr>
          <w:rFonts w:ascii="Times" w:hAnsi="Times" w:cs="Times"/>
          <w:color w:val="000000"/>
          <w:szCs w:val="24"/>
        </w:rPr>
        <w:t xml:space="preserve">). Endothelial cells were primed with either norepinephrine or vehicle and incubated with either </w:t>
      </w:r>
      <w:proofErr w:type="spellStart"/>
      <w:r w:rsidR="004C16E6" w:rsidRPr="00BE441E">
        <w:rPr>
          <w:rFonts w:ascii="Times" w:hAnsi="Times" w:cs="Times"/>
          <w:color w:val="000000"/>
          <w:szCs w:val="24"/>
        </w:rPr>
        <w:t>adrenoblockers</w:t>
      </w:r>
      <w:proofErr w:type="spellEnd"/>
      <w:r w:rsidR="004C16E6" w:rsidRPr="00BE441E">
        <w:rPr>
          <w:rFonts w:ascii="Times" w:hAnsi="Times" w:cs="Times"/>
          <w:color w:val="000000"/>
          <w:szCs w:val="24"/>
        </w:rPr>
        <w:t xml:space="preserve"> (phentolamine or propranolol) or vehicle (n = 4-6 per group, repeated measures one-way ANOVA</w:t>
      </w:r>
      <w:r w:rsidR="005D1AAB">
        <w:rPr>
          <w:rFonts w:ascii="Times" w:hAnsi="Times" w:cs="Times"/>
          <w:color w:val="000000"/>
          <w:szCs w:val="24"/>
        </w:rPr>
        <w:t>,</w:t>
      </w:r>
      <w:r w:rsidR="005D1AAB" w:rsidRPr="005D1AAB">
        <w:rPr>
          <w:rFonts w:eastAsiaTheme="minorHAnsi"/>
          <w:color w:val="000000"/>
          <w:highlight w:val="yellow"/>
        </w:rPr>
        <w:t xml:space="preserve"> </w:t>
      </w:r>
      <w:r w:rsidR="005D1AAB" w:rsidRPr="007F15AF">
        <w:rPr>
          <w:rFonts w:eastAsiaTheme="minorHAnsi"/>
          <w:color w:val="000000"/>
          <w:highlight w:val="yellow"/>
        </w:rPr>
        <w:t xml:space="preserve">only </w:t>
      </w:r>
      <w:r w:rsidR="005D1AAB" w:rsidRPr="007F15AF">
        <w:rPr>
          <w:rFonts w:eastAsiaTheme="minorHAnsi"/>
          <w:i/>
          <w:color w:val="000000"/>
          <w:highlight w:val="yellow"/>
        </w:rPr>
        <w:t>p</w:t>
      </w:r>
      <w:r w:rsidR="005D1AAB" w:rsidRPr="007F15AF">
        <w:rPr>
          <w:rFonts w:eastAsiaTheme="minorHAnsi"/>
          <w:color w:val="000000"/>
          <w:highlight w:val="yellow"/>
        </w:rPr>
        <w:t xml:space="preserve">-values </w:t>
      </w:r>
      <w:r w:rsidR="005D1AAB">
        <w:rPr>
          <w:rFonts w:eastAsiaTheme="minorHAnsi"/>
          <w:color w:val="000000"/>
          <w:highlight w:val="yellow"/>
        </w:rPr>
        <w:t xml:space="preserve">from planned </w:t>
      </w:r>
      <w:r w:rsidR="005D1AAB" w:rsidRPr="007F15AF">
        <w:rPr>
          <w:rFonts w:eastAsiaTheme="minorHAnsi"/>
          <w:color w:val="000000"/>
          <w:highlight w:val="yellow"/>
        </w:rPr>
        <w:t>comparisons are annotated</w:t>
      </w:r>
      <w:r w:rsidR="005D1AAB">
        <w:rPr>
          <w:rFonts w:eastAsiaTheme="minorHAnsi"/>
          <w:color w:val="000000"/>
          <w:highlight w:val="yellow"/>
        </w:rPr>
        <w:t xml:space="preserve"> for reasons of clarity</w:t>
      </w:r>
      <w:r w:rsidR="004C16E6" w:rsidRPr="00BE441E">
        <w:rPr>
          <w:rFonts w:ascii="Times" w:hAnsi="Times" w:cs="Times"/>
          <w:color w:val="000000"/>
          <w:szCs w:val="24"/>
        </w:rPr>
        <w:t xml:space="preserve">). </w:t>
      </w:r>
      <w:r w:rsidRPr="00BE441E">
        <w:rPr>
          <w:b/>
          <w:bCs/>
        </w:rPr>
        <w:t>(</w:t>
      </w:r>
      <w:r w:rsidR="00334297" w:rsidRPr="00BE441E">
        <w:rPr>
          <w:b/>
          <w:bCs/>
        </w:rPr>
        <w:t>K-M</w:t>
      </w:r>
      <w:r w:rsidRPr="00BE441E">
        <w:rPr>
          <w:b/>
          <w:bCs/>
        </w:rPr>
        <w:t>)</w:t>
      </w:r>
      <w:r w:rsidRPr="00BE441E">
        <w:t xml:space="preserve"> Protein levels as mean fluorescent intensities (MFI) of adhesion molecules expressed by primary murine aortic endothelial cells cultured under low flow/shear stress conditions (2 </w:t>
      </w:r>
      <w:proofErr w:type="spellStart"/>
      <w:r w:rsidRPr="00BE441E">
        <w:t>dyn</w:t>
      </w:r>
      <w:proofErr w:type="spellEnd"/>
      <w:r w:rsidRPr="00BE441E">
        <w:t>/cm</w:t>
      </w:r>
      <w:r w:rsidRPr="00BE441E">
        <w:rPr>
          <w:vertAlign w:val="superscript"/>
        </w:rPr>
        <w:t>2</w:t>
      </w:r>
      <w:r w:rsidRPr="00BE441E">
        <w:t xml:space="preserve">) incubated with either </w:t>
      </w:r>
      <w:r w:rsidR="009A557B" w:rsidRPr="00BE441E">
        <w:rPr>
          <w:rFonts w:ascii="Times" w:hAnsi="Times" w:cs="Times"/>
          <w:color w:val="000000"/>
          <w:szCs w:val="24"/>
        </w:rPr>
        <w:t>a stress hormone or respective vehicle</w:t>
      </w:r>
      <w:r w:rsidRPr="00BE441E">
        <w:t xml:space="preserve"> (</w:t>
      </w:r>
      <w:r w:rsidRPr="00BE441E">
        <w:rPr>
          <w:iCs/>
        </w:rPr>
        <w:t>n</w:t>
      </w:r>
      <w:r w:rsidRPr="00BE441E">
        <w:t xml:space="preserve"> = </w:t>
      </w:r>
      <w:r w:rsidR="009A557B" w:rsidRPr="00BE441E">
        <w:t>6-</w:t>
      </w:r>
      <w:r w:rsidR="00BE2E68" w:rsidRPr="00BE441E">
        <w:t>8</w:t>
      </w:r>
      <w:r w:rsidRPr="00BE441E">
        <w:t xml:space="preserve"> per group, </w:t>
      </w:r>
      <w:r w:rsidR="00BE2E68" w:rsidRPr="00BE441E">
        <w:t>paired</w:t>
      </w:r>
      <w:r w:rsidRPr="00BE441E">
        <w:t xml:space="preserve"> </w:t>
      </w:r>
      <w:r w:rsidRPr="00BE441E">
        <w:rPr>
          <w:i/>
          <w:iCs/>
        </w:rPr>
        <w:t>t</w:t>
      </w:r>
      <w:r w:rsidRPr="00BE441E">
        <w:t xml:space="preserve">-test). </w:t>
      </w:r>
      <w:r w:rsidRPr="00BE441E">
        <w:rPr>
          <w:b/>
          <w:bCs/>
        </w:rPr>
        <w:t>(</w:t>
      </w:r>
      <w:r w:rsidR="00334297" w:rsidRPr="00BE441E">
        <w:rPr>
          <w:b/>
          <w:bCs/>
        </w:rPr>
        <w:t>N-P</w:t>
      </w:r>
      <w:r w:rsidRPr="00BE441E">
        <w:rPr>
          <w:b/>
          <w:bCs/>
        </w:rPr>
        <w:t>)</w:t>
      </w:r>
      <w:r w:rsidRPr="00BE441E">
        <w:t xml:space="preserve"> Quantification of adherent monocytes and neutrophils on primary murine aortic endothelial cells cultured under low flow/shear stress conditions (2 </w:t>
      </w:r>
      <w:proofErr w:type="spellStart"/>
      <w:r w:rsidRPr="00BE441E">
        <w:t>dyn</w:t>
      </w:r>
      <w:proofErr w:type="spellEnd"/>
      <w:r w:rsidRPr="00BE441E">
        <w:t>/cm</w:t>
      </w:r>
      <w:r w:rsidRPr="00BE441E">
        <w:rPr>
          <w:vertAlign w:val="superscript"/>
        </w:rPr>
        <w:t>2</w:t>
      </w:r>
      <w:r w:rsidRPr="00BE441E">
        <w:t xml:space="preserve">) which were primed with either </w:t>
      </w:r>
      <w:r w:rsidR="009A557B" w:rsidRPr="00BE441E">
        <w:rPr>
          <w:rFonts w:ascii="Times" w:hAnsi="Times" w:cs="Times"/>
          <w:color w:val="000000"/>
          <w:szCs w:val="24"/>
        </w:rPr>
        <w:t xml:space="preserve">a stress hormone or </w:t>
      </w:r>
      <w:r w:rsidR="009A557B" w:rsidRPr="00BE441E">
        <w:rPr>
          <w:color w:val="000000"/>
          <w:szCs w:val="24"/>
        </w:rPr>
        <w:t xml:space="preserve">respective vehicle </w:t>
      </w:r>
      <w:r w:rsidRPr="00BE441E">
        <w:rPr>
          <w:szCs w:val="24"/>
        </w:rPr>
        <w:t>(</w:t>
      </w:r>
      <w:r w:rsidRPr="00BE441E">
        <w:rPr>
          <w:iCs/>
          <w:szCs w:val="24"/>
        </w:rPr>
        <w:t>n</w:t>
      </w:r>
      <w:r w:rsidRPr="00BE441E">
        <w:rPr>
          <w:szCs w:val="24"/>
        </w:rPr>
        <w:t xml:space="preserve"> = 4 per group, </w:t>
      </w:r>
      <w:r w:rsidR="008B658E" w:rsidRPr="00BE441E">
        <w:rPr>
          <w:szCs w:val="24"/>
        </w:rPr>
        <w:t>paired</w:t>
      </w:r>
      <w:r w:rsidRPr="00BE441E">
        <w:rPr>
          <w:szCs w:val="24"/>
        </w:rPr>
        <w:t xml:space="preserve"> t-test).</w:t>
      </w:r>
      <w:r w:rsidR="003F0841" w:rsidRPr="00BE441E">
        <w:rPr>
          <w:b/>
          <w:bCs/>
          <w:color w:val="000000"/>
          <w:szCs w:val="24"/>
        </w:rPr>
        <w:t xml:space="preserve"> (Q)</w:t>
      </w:r>
      <w:r w:rsidR="003F0841" w:rsidRPr="00BE441E">
        <w:rPr>
          <w:color w:val="000000"/>
          <w:szCs w:val="24"/>
        </w:rPr>
        <w:t xml:space="preserve"> </w:t>
      </w:r>
      <w:r w:rsidR="003F0841" w:rsidRPr="00BE441E">
        <w:rPr>
          <w:szCs w:val="24"/>
        </w:rPr>
        <w:t xml:space="preserve">Experimental </w:t>
      </w:r>
      <w:r w:rsidR="003F0841" w:rsidRPr="00BE441E">
        <w:t>setup for panel R.</w:t>
      </w:r>
      <w:r w:rsidRPr="00BE441E">
        <w:rPr>
          <w:szCs w:val="24"/>
        </w:rPr>
        <w:t xml:space="preserve"> </w:t>
      </w:r>
      <w:r w:rsidR="00AE3CC9" w:rsidRPr="00BE441E">
        <w:rPr>
          <w:rFonts w:eastAsiaTheme="minorHAnsi"/>
          <w:b/>
          <w:color w:val="000000"/>
        </w:rPr>
        <w:t>(R)</w:t>
      </w:r>
      <w:r w:rsidR="00AE3CC9" w:rsidRPr="00BE441E">
        <w:rPr>
          <w:rFonts w:eastAsiaTheme="minorHAnsi"/>
          <w:color w:val="000000"/>
        </w:rPr>
        <w:t xml:space="preserve"> Quantification of monocyte and neutrophil adherence to primary murine aortic endothelial cells cultured under high flow conditions (high shear stress, 30 </w:t>
      </w:r>
      <w:proofErr w:type="spellStart"/>
      <w:r w:rsidR="00AE3CC9" w:rsidRPr="00BE441E">
        <w:rPr>
          <w:rFonts w:eastAsiaTheme="minorHAnsi"/>
          <w:color w:val="000000"/>
        </w:rPr>
        <w:t>dyn</w:t>
      </w:r>
      <w:proofErr w:type="spellEnd"/>
      <w:r w:rsidR="00AE3CC9" w:rsidRPr="00BE441E">
        <w:rPr>
          <w:rFonts w:eastAsiaTheme="minorHAnsi"/>
          <w:color w:val="000000"/>
        </w:rPr>
        <w:t>/cm</w:t>
      </w:r>
      <w:r w:rsidR="00AE3CC9" w:rsidRPr="00BE441E">
        <w:rPr>
          <w:rFonts w:eastAsiaTheme="minorHAnsi"/>
          <w:color w:val="000000"/>
          <w:vertAlign w:val="superscript"/>
        </w:rPr>
        <w:t>2</w:t>
      </w:r>
      <w:r w:rsidR="00AE3CC9" w:rsidRPr="00BE441E">
        <w:rPr>
          <w:rFonts w:eastAsiaTheme="minorHAnsi"/>
          <w:color w:val="000000"/>
        </w:rPr>
        <w:t>). Endothelial cells were primed with norepinephrine and incubated with either anti-CXCL1, anti-CCL7</w:t>
      </w:r>
      <w:r w:rsidR="00A878C5" w:rsidRPr="00BE441E">
        <w:rPr>
          <w:rFonts w:eastAsiaTheme="minorHAnsi"/>
          <w:color w:val="000000"/>
        </w:rPr>
        <w:t>,</w:t>
      </w:r>
      <w:r w:rsidR="00AE3CC9" w:rsidRPr="00BE441E">
        <w:rPr>
          <w:rFonts w:eastAsiaTheme="minorHAnsi"/>
          <w:color w:val="000000"/>
        </w:rPr>
        <w:t xml:space="preserve"> or IgG control (n = 4-6 per group, </w:t>
      </w:r>
      <w:r w:rsidR="00B86945" w:rsidRPr="00BE441E">
        <w:rPr>
          <w:rFonts w:eastAsiaTheme="minorHAnsi"/>
          <w:color w:val="000000"/>
        </w:rPr>
        <w:t>mixed-effects analysis</w:t>
      </w:r>
      <w:r w:rsidR="00AE3CC9" w:rsidRPr="00BE441E">
        <w:rPr>
          <w:rFonts w:eastAsiaTheme="minorHAnsi"/>
          <w:color w:val="000000"/>
        </w:rPr>
        <w:t xml:space="preserve">). </w:t>
      </w:r>
      <w:r w:rsidR="002E7D4C" w:rsidRPr="00BE441E">
        <w:rPr>
          <w:b/>
          <w:bCs/>
          <w:szCs w:val="24"/>
        </w:rPr>
        <w:t>(</w:t>
      </w:r>
      <w:r w:rsidR="00AE3CC9" w:rsidRPr="00BE441E">
        <w:rPr>
          <w:b/>
          <w:bCs/>
          <w:szCs w:val="24"/>
        </w:rPr>
        <w:t>S-U</w:t>
      </w:r>
      <w:r w:rsidR="002E7D4C" w:rsidRPr="00BE441E">
        <w:rPr>
          <w:b/>
          <w:bCs/>
          <w:szCs w:val="24"/>
        </w:rPr>
        <w:t>)</w:t>
      </w:r>
      <w:r w:rsidR="002E7D4C" w:rsidRPr="00BE441E">
        <w:rPr>
          <w:szCs w:val="24"/>
        </w:rPr>
        <w:t xml:space="preserve"> </w:t>
      </w:r>
      <w:r w:rsidR="002E7D4C" w:rsidRPr="00BE441E">
        <w:rPr>
          <w:rFonts w:eastAsiaTheme="minorHAnsi"/>
          <w:color w:val="000000"/>
          <w:szCs w:val="24"/>
        </w:rPr>
        <w:t xml:space="preserve">Quantification of pro-inflammatory cytokine levels measured by ELISA in supernatant from cultured bone marrow-derived macrophages (BMDM, 400,000 in 2 ml medium, n = </w:t>
      </w:r>
      <w:r w:rsidR="00A878C5" w:rsidRPr="00BE441E">
        <w:rPr>
          <w:rFonts w:eastAsiaTheme="minorHAnsi"/>
          <w:color w:val="000000"/>
          <w:szCs w:val="24"/>
        </w:rPr>
        <w:t>6</w:t>
      </w:r>
      <w:r w:rsidR="002E7D4C" w:rsidRPr="00BE441E">
        <w:rPr>
          <w:rFonts w:eastAsiaTheme="minorHAnsi"/>
          <w:color w:val="000000"/>
          <w:szCs w:val="24"/>
        </w:rPr>
        <w:t xml:space="preserve">, paired </w:t>
      </w:r>
      <w:r w:rsidR="002E7D4C" w:rsidRPr="00BE441E">
        <w:rPr>
          <w:rFonts w:eastAsiaTheme="minorHAnsi"/>
          <w:i/>
          <w:iCs/>
          <w:color w:val="000000"/>
          <w:szCs w:val="24"/>
        </w:rPr>
        <w:t>t</w:t>
      </w:r>
      <w:r w:rsidR="002E7D4C" w:rsidRPr="00BE441E">
        <w:rPr>
          <w:rFonts w:eastAsiaTheme="minorHAnsi"/>
          <w:color w:val="000000"/>
          <w:szCs w:val="24"/>
        </w:rPr>
        <w:t>-test), primary murine aortic fibroblasts (</w:t>
      </w:r>
      <w:proofErr w:type="spellStart"/>
      <w:r w:rsidR="002E7D4C" w:rsidRPr="00BE441E">
        <w:rPr>
          <w:rFonts w:eastAsiaTheme="minorHAnsi"/>
          <w:color w:val="000000"/>
          <w:szCs w:val="24"/>
        </w:rPr>
        <w:t>Fbr</w:t>
      </w:r>
      <w:proofErr w:type="spellEnd"/>
      <w:r w:rsidR="002E7D4C" w:rsidRPr="00BE441E">
        <w:rPr>
          <w:rFonts w:eastAsiaTheme="minorHAnsi"/>
          <w:color w:val="000000"/>
          <w:szCs w:val="24"/>
        </w:rPr>
        <w:t>)</w:t>
      </w:r>
      <w:r w:rsidR="00A878C5" w:rsidRPr="00BE441E">
        <w:rPr>
          <w:rFonts w:eastAsiaTheme="minorHAnsi"/>
          <w:color w:val="000000"/>
          <w:szCs w:val="24"/>
        </w:rPr>
        <w:t>,</w:t>
      </w:r>
      <w:r w:rsidR="002E7D4C" w:rsidRPr="00BE441E">
        <w:rPr>
          <w:rFonts w:eastAsiaTheme="minorHAnsi"/>
          <w:color w:val="000000"/>
          <w:szCs w:val="24"/>
        </w:rPr>
        <w:t xml:space="preserve"> and primary murine aortic smooth muscle cells (SMC, all 50,000 cells in 0.5 ml medium; n</w:t>
      </w:r>
      <w:r w:rsidR="00D04A96" w:rsidRPr="00BE441E">
        <w:rPr>
          <w:rFonts w:eastAsiaTheme="minorHAnsi"/>
          <w:color w:val="000000"/>
          <w:szCs w:val="24"/>
        </w:rPr>
        <w:t xml:space="preserve"> </w:t>
      </w:r>
      <w:r w:rsidR="002E7D4C" w:rsidRPr="00BE441E">
        <w:rPr>
          <w:rFonts w:eastAsiaTheme="minorHAnsi"/>
          <w:color w:val="000000"/>
          <w:szCs w:val="24"/>
        </w:rPr>
        <w:t>=</w:t>
      </w:r>
      <w:r w:rsidR="00D04A96" w:rsidRPr="00BE441E">
        <w:rPr>
          <w:rFonts w:eastAsiaTheme="minorHAnsi"/>
          <w:color w:val="000000"/>
          <w:szCs w:val="24"/>
        </w:rPr>
        <w:t xml:space="preserve"> </w:t>
      </w:r>
      <w:r w:rsidR="002E7D4C" w:rsidRPr="00BE441E">
        <w:rPr>
          <w:rFonts w:eastAsiaTheme="minorHAnsi"/>
          <w:color w:val="000000"/>
          <w:szCs w:val="24"/>
        </w:rPr>
        <w:t xml:space="preserve">7/10, paired </w:t>
      </w:r>
      <w:r w:rsidR="002E7D4C" w:rsidRPr="00BE441E">
        <w:rPr>
          <w:rFonts w:eastAsiaTheme="minorHAnsi"/>
          <w:i/>
          <w:iCs/>
          <w:color w:val="000000"/>
          <w:szCs w:val="24"/>
        </w:rPr>
        <w:t>t</w:t>
      </w:r>
      <w:r w:rsidR="002E7D4C" w:rsidRPr="00BE441E">
        <w:rPr>
          <w:rFonts w:eastAsiaTheme="minorHAnsi"/>
          <w:color w:val="000000"/>
          <w:szCs w:val="24"/>
        </w:rPr>
        <w:t>-test). N.d. = not detectable.</w:t>
      </w:r>
      <w:r w:rsidR="002E7D4C" w:rsidRPr="00BE441E">
        <w:rPr>
          <w:szCs w:val="24"/>
        </w:rPr>
        <w:t xml:space="preserve"> </w:t>
      </w:r>
      <w:r w:rsidRPr="00BE441E">
        <w:t xml:space="preserve">Numbers next to gates indicate frequencies (%). </w:t>
      </w:r>
      <w:r w:rsidR="00084974" w:rsidRPr="00BE441E">
        <w:rPr>
          <w:rFonts w:eastAsiaTheme="minorHAnsi"/>
          <w:color w:val="000000"/>
        </w:rPr>
        <w:t xml:space="preserve">Scale bars represent 100 µm. </w:t>
      </w:r>
      <w:r w:rsidRPr="00BE441E">
        <w:t xml:space="preserve">Data are presented as mean + </w:t>
      </w:r>
      <w:proofErr w:type="spellStart"/>
      <w:r w:rsidRPr="00BE441E">
        <w:t>s.</w:t>
      </w:r>
      <w:r w:rsidR="00766A3A" w:rsidRPr="00BE441E">
        <w:t>d</w:t>
      </w:r>
      <w:r w:rsidRPr="00BE441E">
        <w:t>.</w:t>
      </w:r>
      <w:proofErr w:type="spellEnd"/>
      <w:r w:rsidR="00931280" w:rsidRPr="00BE441E">
        <w:rPr>
          <w:rFonts w:ascii="Times" w:hAnsi="Times" w:cs="Times"/>
          <w:color w:val="000000"/>
          <w:szCs w:val="24"/>
        </w:rPr>
        <w:t xml:space="preserve"> EC = endothelial cells, NE = norepinephrine.</w:t>
      </w:r>
      <w:r w:rsidRPr="00BE441E">
        <w:br w:type="page"/>
      </w:r>
    </w:p>
    <w:p w14:paraId="510DC416" w14:textId="6261354E" w:rsidR="00E40CC9" w:rsidRPr="00BE441E" w:rsidRDefault="00DB67D2" w:rsidP="00F75DE6">
      <w:pPr>
        <w:pStyle w:val="SMcaption"/>
        <w:spacing w:line="480" w:lineRule="auto"/>
        <w:jc w:val="both"/>
        <w:rPr>
          <w:b/>
        </w:rPr>
      </w:pPr>
      <w:r>
        <w:rPr>
          <w:b/>
          <w:noProof/>
        </w:rPr>
        <w:lastRenderedPageBreak/>
        <w:drawing>
          <wp:inline distT="0" distB="0" distL="0" distR="0" wp14:anchorId="4646CFD2" wp14:editId="4AF37277">
            <wp:extent cx="5943600" cy="3733165"/>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extLst>
                        <a:ext uri="{28A0092B-C50C-407E-A947-70E740481C1C}">
                          <a14:useLocalDpi xmlns:a14="http://schemas.microsoft.com/office/drawing/2010/main" val="0"/>
                        </a:ext>
                      </a:extLst>
                    </a:blip>
                    <a:stretch>
                      <a:fillRect/>
                    </a:stretch>
                  </pic:blipFill>
                  <pic:spPr>
                    <a:xfrm>
                      <a:off x="0" y="0"/>
                      <a:ext cx="5943600" cy="3733165"/>
                    </a:xfrm>
                    <a:prstGeom prst="rect">
                      <a:avLst/>
                    </a:prstGeom>
                  </pic:spPr>
                </pic:pic>
              </a:graphicData>
            </a:graphic>
          </wp:inline>
        </w:drawing>
      </w:r>
    </w:p>
    <w:p w14:paraId="1B9CE691" w14:textId="750FF1ED" w:rsidR="00C45516" w:rsidRPr="00BE441E" w:rsidRDefault="00DB67D2" w:rsidP="00F75DE6">
      <w:pPr>
        <w:pStyle w:val="SMcaption"/>
        <w:spacing w:line="480" w:lineRule="auto"/>
        <w:jc w:val="both"/>
        <w:rPr>
          <w:b/>
        </w:rPr>
      </w:pPr>
      <w:r>
        <w:rPr>
          <w:b/>
          <w:noProof/>
        </w:rPr>
        <w:drawing>
          <wp:inline distT="0" distB="0" distL="0" distR="0" wp14:anchorId="7FC107DB" wp14:editId="51722329">
            <wp:extent cx="5943600" cy="219583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5943600" cy="2195830"/>
                    </a:xfrm>
                    <a:prstGeom prst="rect">
                      <a:avLst/>
                    </a:prstGeom>
                  </pic:spPr>
                </pic:pic>
              </a:graphicData>
            </a:graphic>
          </wp:inline>
        </w:drawing>
      </w:r>
    </w:p>
    <w:p w14:paraId="72898627" w14:textId="77777777" w:rsidR="00142429" w:rsidRPr="00BE441E" w:rsidRDefault="00142429" w:rsidP="00F75DE6">
      <w:pPr>
        <w:pStyle w:val="SMcaption"/>
        <w:spacing w:line="480" w:lineRule="auto"/>
        <w:jc w:val="both"/>
        <w:rPr>
          <w:b/>
        </w:rPr>
      </w:pPr>
    </w:p>
    <w:p w14:paraId="36872682" w14:textId="7D8F0396" w:rsidR="001445ED" w:rsidRPr="00BE441E" w:rsidRDefault="001445ED" w:rsidP="00F75DE6">
      <w:pPr>
        <w:pStyle w:val="SMcaption"/>
        <w:spacing w:line="480" w:lineRule="auto"/>
        <w:jc w:val="both"/>
        <w:rPr>
          <w:b/>
        </w:rPr>
      </w:pPr>
      <w:r w:rsidRPr="00BE441E">
        <w:rPr>
          <w:b/>
        </w:rPr>
        <w:t>Fig. S6: Depletion of norepinephrine signaling reverts stress-induced leukocyte recruitment.</w:t>
      </w:r>
    </w:p>
    <w:p w14:paraId="34D3469F" w14:textId="1CC9179F" w:rsidR="001445ED" w:rsidRPr="00BE441E" w:rsidRDefault="001445ED" w:rsidP="00C8612A">
      <w:pPr>
        <w:spacing w:line="480" w:lineRule="auto"/>
        <w:jc w:val="both"/>
        <w:rPr>
          <w:szCs w:val="24"/>
        </w:rPr>
      </w:pPr>
      <w:r w:rsidRPr="00BE441E">
        <w:rPr>
          <w:b/>
          <w:bCs/>
          <w:szCs w:val="24"/>
        </w:rPr>
        <w:t>(A)</w:t>
      </w:r>
      <w:r w:rsidRPr="00BE441E">
        <w:rPr>
          <w:szCs w:val="24"/>
        </w:rPr>
        <w:t xml:space="preserve"> Experimental setup for Fig. 4A. 6-OHDA = 6-Hydroxydopamine. </w:t>
      </w:r>
      <w:r w:rsidR="003A21BF" w:rsidRPr="00BE441E">
        <w:rPr>
          <w:b/>
          <w:bCs/>
          <w:szCs w:val="24"/>
        </w:rPr>
        <w:t>(B)</w:t>
      </w:r>
      <w:r w:rsidR="003A21BF" w:rsidRPr="00BE441E">
        <w:rPr>
          <w:szCs w:val="24"/>
        </w:rPr>
        <w:t xml:space="preserve"> </w:t>
      </w:r>
      <w:r w:rsidR="003A21BF" w:rsidRPr="00BE441E">
        <w:rPr>
          <w:rFonts w:eastAsiaTheme="minorHAnsi"/>
          <w:color w:val="000000"/>
          <w:szCs w:val="24"/>
        </w:rPr>
        <w:t>Quantification of plasma chemokine levels measured by ELISA in non-stressed vs. stressed 6-OHDA-treated wild-type</w:t>
      </w:r>
      <w:r w:rsidR="003A21BF" w:rsidRPr="00BE441E">
        <w:rPr>
          <w:rFonts w:eastAsiaTheme="minorHAnsi"/>
          <w:i/>
          <w:iCs/>
          <w:color w:val="000000"/>
          <w:szCs w:val="24"/>
        </w:rPr>
        <w:t xml:space="preserve"> </w:t>
      </w:r>
      <w:r w:rsidR="003A21BF" w:rsidRPr="00BE441E">
        <w:rPr>
          <w:rFonts w:eastAsiaTheme="minorHAnsi"/>
          <w:color w:val="000000"/>
          <w:szCs w:val="24"/>
        </w:rPr>
        <w:t>mice (</w:t>
      </w:r>
      <w:r w:rsidR="003A21BF" w:rsidRPr="00BE441E">
        <w:rPr>
          <w:rFonts w:eastAsiaTheme="minorHAnsi"/>
          <w:iCs/>
          <w:color w:val="000000"/>
          <w:szCs w:val="24"/>
        </w:rPr>
        <w:t>n</w:t>
      </w:r>
      <w:r w:rsidR="003A21BF" w:rsidRPr="00BE441E">
        <w:rPr>
          <w:rFonts w:eastAsiaTheme="minorHAnsi"/>
          <w:color w:val="000000"/>
          <w:szCs w:val="24"/>
        </w:rPr>
        <w:t xml:space="preserve"> = 7-8 per group, Student</w:t>
      </w:r>
      <w:r w:rsidR="00204A89" w:rsidRPr="00BE441E">
        <w:rPr>
          <w:rFonts w:eastAsiaTheme="minorHAnsi"/>
          <w:color w:val="000000"/>
          <w:szCs w:val="24"/>
        </w:rPr>
        <w:t>´</w:t>
      </w:r>
      <w:r w:rsidR="003A21BF" w:rsidRPr="00BE441E">
        <w:rPr>
          <w:rFonts w:eastAsiaTheme="minorHAnsi"/>
          <w:color w:val="000000"/>
          <w:szCs w:val="24"/>
        </w:rPr>
        <w:t xml:space="preserve">s </w:t>
      </w:r>
      <w:r w:rsidR="003A21BF" w:rsidRPr="00BE441E">
        <w:rPr>
          <w:rFonts w:eastAsiaTheme="minorHAnsi"/>
          <w:i/>
          <w:iCs/>
          <w:color w:val="000000"/>
          <w:szCs w:val="24"/>
        </w:rPr>
        <w:t>t</w:t>
      </w:r>
      <w:r w:rsidR="003A21BF" w:rsidRPr="00BE441E">
        <w:rPr>
          <w:rFonts w:eastAsiaTheme="minorHAnsi"/>
          <w:color w:val="000000"/>
          <w:szCs w:val="24"/>
        </w:rPr>
        <w:t>-test).</w:t>
      </w:r>
      <w:r w:rsidR="003A21BF" w:rsidRPr="00BE441E">
        <w:rPr>
          <w:szCs w:val="24"/>
        </w:rPr>
        <w:t xml:space="preserve"> </w:t>
      </w:r>
      <w:r w:rsidRPr="00BE441E">
        <w:rPr>
          <w:b/>
          <w:bCs/>
          <w:szCs w:val="24"/>
        </w:rPr>
        <w:t>(</w:t>
      </w:r>
      <w:r w:rsidR="003A21BF" w:rsidRPr="00BE441E">
        <w:rPr>
          <w:b/>
          <w:bCs/>
          <w:szCs w:val="24"/>
        </w:rPr>
        <w:t>C</w:t>
      </w:r>
      <w:r w:rsidRPr="00BE441E">
        <w:rPr>
          <w:b/>
          <w:bCs/>
          <w:szCs w:val="24"/>
        </w:rPr>
        <w:t>)</w:t>
      </w:r>
      <w:r w:rsidRPr="00BE441E">
        <w:rPr>
          <w:szCs w:val="24"/>
        </w:rPr>
        <w:t xml:space="preserve"> Experimental setup for Fig. </w:t>
      </w:r>
      <w:r w:rsidR="00A45B47" w:rsidRPr="00BE441E">
        <w:rPr>
          <w:szCs w:val="24"/>
        </w:rPr>
        <w:t>4B</w:t>
      </w:r>
      <w:r w:rsidR="008D7FDD" w:rsidRPr="00BE441E">
        <w:rPr>
          <w:szCs w:val="24"/>
        </w:rPr>
        <w:t>+C</w:t>
      </w:r>
      <w:r w:rsidR="00E460DE" w:rsidRPr="00BE441E">
        <w:rPr>
          <w:szCs w:val="24"/>
        </w:rPr>
        <w:t xml:space="preserve"> and panel D</w:t>
      </w:r>
      <w:r w:rsidRPr="00BE441E">
        <w:rPr>
          <w:szCs w:val="24"/>
        </w:rPr>
        <w:t xml:space="preserve">. </w:t>
      </w:r>
      <w:r w:rsidRPr="00BE441E">
        <w:rPr>
          <w:b/>
          <w:bCs/>
          <w:szCs w:val="24"/>
        </w:rPr>
        <w:t>(</w:t>
      </w:r>
      <w:r w:rsidR="003A21BF" w:rsidRPr="00BE441E">
        <w:rPr>
          <w:b/>
          <w:bCs/>
          <w:szCs w:val="24"/>
        </w:rPr>
        <w:t>D</w:t>
      </w:r>
      <w:r w:rsidRPr="00BE441E">
        <w:rPr>
          <w:b/>
          <w:bCs/>
          <w:szCs w:val="24"/>
        </w:rPr>
        <w:t>)</w:t>
      </w:r>
      <w:r w:rsidRPr="00BE441E">
        <w:rPr>
          <w:szCs w:val="24"/>
        </w:rPr>
        <w:t xml:space="preserve"> Norepinephrine levels measured by ELISA in plasma and aortic arch from stressed </w:t>
      </w:r>
      <w:proofErr w:type="spellStart"/>
      <w:r w:rsidRPr="00BE441E">
        <w:rPr>
          <w:i/>
          <w:iCs/>
          <w:szCs w:val="24"/>
        </w:rPr>
        <w:t>ApoE</w:t>
      </w:r>
      <w:proofErr w:type="spellEnd"/>
      <w:r w:rsidRPr="00BE441E">
        <w:rPr>
          <w:i/>
          <w:iCs/>
          <w:szCs w:val="24"/>
          <w:vertAlign w:val="superscript"/>
        </w:rPr>
        <w:t>-/-</w:t>
      </w:r>
      <w:r w:rsidRPr="00BE441E">
        <w:rPr>
          <w:szCs w:val="24"/>
        </w:rPr>
        <w:t xml:space="preserve"> mice </w:t>
      </w:r>
      <w:r w:rsidRPr="00BE441E">
        <w:rPr>
          <w:szCs w:val="24"/>
        </w:rPr>
        <w:lastRenderedPageBreak/>
        <w:t xml:space="preserve">with or without prior surgical norepinephrine depletion (21 h after a single 3 h episode of restraint stress, n = 7-8 for plasma per group, </w:t>
      </w:r>
      <w:r w:rsidRPr="00BE441E">
        <w:rPr>
          <w:iCs/>
          <w:szCs w:val="24"/>
        </w:rPr>
        <w:t>n</w:t>
      </w:r>
      <w:r w:rsidRPr="00BE441E">
        <w:rPr>
          <w:szCs w:val="24"/>
        </w:rPr>
        <w:t xml:space="preserve"> = 11 for aortic arch per group, Mann-Whitney </w:t>
      </w:r>
      <w:r w:rsidRPr="00BE441E">
        <w:rPr>
          <w:i/>
          <w:iCs/>
          <w:szCs w:val="24"/>
        </w:rPr>
        <w:t>U</w:t>
      </w:r>
      <w:r w:rsidRPr="00BE441E">
        <w:rPr>
          <w:szCs w:val="24"/>
        </w:rPr>
        <w:t>-test).</w:t>
      </w:r>
      <w:r w:rsidR="003A21BF" w:rsidRPr="00BE441E">
        <w:rPr>
          <w:szCs w:val="24"/>
        </w:rPr>
        <w:t xml:space="preserve"> </w:t>
      </w:r>
      <w:r w:rsidR="00C8612A" w:rsidRPr="00BE441E">
        <w:rPr>
          <w:b/>
          <w:szCs w:val="24"/>
        </w:rPr>
        <w:t>(E)</w:t>
      </w:r>
      <w:r w:rsidR="00C8612A" w:rsidRPr="00BE441E">
        <w:rPr>
          <w:szCs w:val="24"/>
        </w:rPr>
        <w:t xml:space="preserve"> </w:t>
      </w:r>
      <w:r w:rsidR="00C8612A" w:rsidRPr="00BE441E">
        <w:rPr>
          <w:rFonts w:eastAsiaTheme="minorHAnsi"/>
          <w:color w:val="000000"/>
          <w:szCs w:val="24"/>
        </w:rPr>
        <w:t xml:space="preserve">Protein levels as mean fluorescent intensities (MFI) of adhesion molecules expressed by aortic endothelial cells from stressed wild-type mice with or without prior surgical </w:t>
      </w:r>
      <w:r w:rsidR="000F31E4" w:rsidRPr="00BE441E">
        <w:rPr>
          <w:rFonts w:eastAsiaTheme="minorHAnsi"/>
          <w:color w:val="000000"/>
          <w:szCs w:val="24"/>
        </w:rPr>
        <w:t xml:space="preserve">bilateral </w:t>
      </w:r>
      <w:r w:rsidR="00C8612A" w:rsidRPr="00BE441E">
        <w:rPr>
          <w:rFonts w:eastAsiaTheme="minorHAnsi"/>
          <w:color w:val="000000"/>
          <w:szCs w:val="24"/>
        </w:rPr>
        <w:t>adrenalectomy (immediately after 30 min of restraint stress, n =</w:t>
      </w:r>
      <w:r w:rsidR="008D4868" w:rsidRPr="00BE441E">
        <w:rPr>
          <w:rFonts w:eastAsiaTheme="minorHAnsi"/>
          <w:color w:val="000000"/>
          <w:szCs w:val="24"/>
        </w:rPr>
        <w:t xml:space="preserve"> </w:t>
      </w:r>
      <w:r w:rsidR="00C8612A" w:rsidRPr="00BE441E">
        <w:rPr>
          <w:rFonts w:eastAsiaTheme="minorHAnsi"/>
          <w:color w:val="000000"/>
          <w:szCs w:val="24"/>
        </w:rPr>
        <w:t xml:space="preserve">7-8 per group, Student´s </w:t>
      </w:r>
      <w:r w:rsidR="00C8612A" w:rsidRPr="00BE441E">
        <w:rPr>
          <w:rFonts w:eastAsiaTheme="minorHAnsi"/>
          <w:i/>
          <w:iCs/>
          <w:color w:val="000000"/>
          <w:szCs w:val="24"/>
        </w:rPr>
        <w:t>t</w:t>
      </w:r>
      <w:r w:rsidR="00C8612A" w:rsidRPr="00BE441E">
        <w:rPr>
          <w:rFonts w:eastAsiaTheme="minorHAnsi"/>
          <w:color w:val="000000"/>
          <w:szCs w:val="24"/>
        </w:rPr>
        <w:t xml:space="preserve">-test). </w:t>
      </w:r>
      <w:r w:rsidR="00C8612A" w:rsidRPr="00BE441E">
        <w:rPr>
          <w:rFonts w:eastAsiaTheme="minorHAnsi"/>
          <w:b/>
          <w:bCs/>
          <w:color w:val="000000"/>
          <w:szCs w:val="24"/>
        </w:rPr>
        <w:t>(F)</w:t>
      </w:r>
      <w:r w:rsidR="00C8612A" w:rsidRPr="00BE441E">
        <w:rPr>
          <w:rFonts w:eastAsiaTheme="minorHAnsi"/>
          <w:color w:val="000000"/>
          <w:szCs w:val="24"/>
        </w:rPr>
        <w:t xml:space="preserve"> Quantification of murine blood leukocyte</w:t>
      </w:r>
      <w:r w:rsidR="000F31E4" w:rsidRPr="00BE441E">
        <w:rPr>
          <w:rFonts w:eastAsiaTheme="minorHAnsi"/>
          <w:color w:val="000000"/>
          <w:szCs w:val="24"/>
        </w:rPr>
        <w:t xml:space="preserve"> </w:t>
      </w:r>
      <w:r w:rsidR="00C8612A" w:rsidRPr="00BE441E">
        <w:rPr>
          <w:rFonts w:eastAsiaTheme="minorHAnsi"/>
          <w:color w:val="000000"/>
          <w:szCs w:val="24"/>
        </w:rPr>
        <w:t xml:space="preserve">subsets in non-stressed vs. stressed wild-type mice with or without prior surgical </w:t>
      </w:r>
      <w:r w:rsidR="000F31E4" w:rsidRPr="00BE441E">
        <w:rPr>
          <w:rFonts w:eastAsiaTheme="minorHAnsi"/>
          <w:color w:val="000000"/>
          <w:szCs w:val="24"/>
        </w:rPr>
        <w:t xml:space="preserve">bilateral </w:t>
      </w:r>
      <w:r w:rsidR="00C8612A" w:rsidRPr="00BE441E">
        <w:rPr>
          <w:rFonts w:eastAsiaTheme="minorHAnsi"/>
          <w:color w:val="000000"/>
          <w:szCs w:val="24"/>
        </w:rPr>
        <w:t>adrenalectomy (immediately after 30 min of restraint stress, n</w:t>
      </w:r>
      <w:r w:rsidR="00C8612A" w:rsidRPr="00BE441E">
        <w:rPr>
          <w:rFonts w:eastAsiaTheme="minorHAnsi"/>
          <w:i/>
          <w:iCs/>
          <w:color w:val="000000"/>
          <w:szCs w:val="24"/>
        </w:rPr>
        <w:t xml:space="preserve"> </w:t>
      </w:r>
      <w:r w:rsidR="00C8612A" w:rsidRPr="00BE441E">
        <w:rPr>
          <w:rFonts w:eastAsiaTheme="minorHAnsi"/>
          <w:color w:val="000000"/>
          <w:szCs w:val="24"/>
        </w:rPr>
        <w:t>=</w:t>
      </w:r>
      <w:r w:rsidR="008D4868" w:rsidRPr="00BE441E">
        <w:rPr>
          <w:rFonts w:eastAsiaTheme="minorHAnsi"/>
          <w:color w:val="000000"/>
          <w:szCs w:val="24"/>
        </w:rPr>
        <w:t xml:space="preserve"> </w:t>
      </w:r>
      <w:r w:rsidR="00C8612A" w:rsidRPr="00BE441E">
        <w:rPr>
          <w:rFonts w:eastAsiaTheme="minorHAnsi"/>
          <w:color w:val="000000"/>
          <w:szCs w:val="24"/>
        </w:rPr>
        <w:t xml:space="preserve">7-8 per group, Student´s </w:t>
      </w:r>
      <w:r w:rsidR="00C8612A" w:rsidRPr="00BE441E">
        <w:rPr>
          <w:rFonts w:eastAsiaTheme="minorHAnsi"/>
          <w:i/>
          <w:iCs/>
          <w:color w:val="000000"/>
          <w:szCs w:val="24"/>
        </w:rPr>
        <w:t>t</w:t>
      </w:r>
      <w:r w:rsidR="00C8612A" w:rsidRPr="00BE441E">
        <w:rPr>
          <w:rFonts w:eastAsiaTheme="minorHAnsi"/>
          <w:color w:val="000000"/>
          <w:szCs w:val="24"/>
        </w:rPr>
        <w:t>-test).</w:t>
      </w:r>
      <w:r w:rsidR="00C8612A" w:rsidRPr="00BE441E">
        <w:rPr>
          <w:szCs w:val="24"/>
        </w:rPr>
        <w:t xml:space="preserve"> </w:t>
      </w:r>
      <w:r w:rsidRPr="00BE441E">
        <w:t xml:space="preserve">Data are presented as mean + </w:t>
      </w:r>
      <w:proofErr w:type="spellStart"/>
      <w:r w:rsidR="00424CC8" w:rsidRPr="00BE441E">
        <w:rPr>
          <w:rFonts w:ascii="Times" w:hAnsi="Times" w:cs="Times"/>
          <w:color w:val="000000"/>
          <w:szCs w:val="24"/>
        </w:rPr>
        <w:t>s.d.</w:t>
      </w:r>
      <w:proofErr w:type="spellEnd"/>
      <w:r w:rsidRPr="00BE441E">
        <w:rPr>
          <w:rFonts w:cs="Arial"/>
          <w:color w:val="000000"/>
          <w:sz w:val="22"/>
          <w:szCs w:val="22"/>
        </w:rPr>
        <w:br w:type="page"/>
      </w:r>
    </w:p>
    <w:p w14:paraId="3D17AD1C" w14:textId="5CDC8C66" w:rsidR="00DE2B0B" w:rsidRPr="00BE441E" w:rsidRDefault="00764F36" w:rsidP="00764F36">
      <w:pPr>
        <w:spacing w:line="480" w:lineRule="auto"/>
        <w:jc w:val="both"/>
        <w:rPr>
          <w:b/>
          <w:u w:val="single"/>
        </w:rPr>
      </w:pPr>
      <w:r w:rsidRPr="00BE441E">
        <w:rPr>
          <w:b/>
          <w:u w:val="single"/>
        </w:rPr>
        <w:lastRenderedPageBreak/>
        <w:t>Supplementary tables</w:t>
      </w:r>
    </w:p>
    <w:tbl>
      <w:tblPr>
        <w:tblW w:w="0" w:type="auto"/>
        <w:tblCellMar>
          <w:left w:w="0" w:type="dxa"/>
          <w:right w:w="0" w:type="dxa"/>
        </w:tblCellMar>
        <w:tblLook w:val="04A0" w:firstRow="1" w:lastRow="0" w:firstColumn="1" w:lastColumn="0" w:noHBand="0" w:noVBand="1"/>
      </w:tblPr>
      <w:tblGrid>
        <w:gridCol w:w="1009"/>
        <w:gridCol w:w="1179"/>
        <w:gridCol w:w="3558"/>
        <w:gridCol w:w="845"/>
        <w:gridCol w:w="1093"/>
        <w:gridCol w:w="1366"/>
      </w:tblGrid>
      <w:tr w:rsidR="00DE2B0B" w:rsidRPr="00BE441E" w14:paraId="6037DAC0"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CCCCCC"/>
            <w:tcMar>
              <w:top w:w="0" w:type="dxa"/>
              <w:left w:w="75" w:type="dxa"/>
              <w:bottom w:w="0" w:type="dxa"/>
              <w:right w:w="75" w:type="dxa"/>
            </w:tcMar>
            <w:vAlign w:val="center"/>
            <w:hideMark/>
          </w:tcPr>
          <w:p w14:paraId="7A5DFC8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ID</w:t>
            </w:r>
          </w:p>
        </w:tc>
        <w:tc>
          <w:tcPr>
            <w:tcW w:w="1179" w:type="dxa"/>
            <w:tcBorders>
              <w:top w:val="single" w:sz="6" w:space="0" w:color="BFBFBF"/>
              <w:left w:val="single" w:sz="6" w:space="0" w:color="BFBFBF"/>
              <w:bottom w:val="single" w:sz="6" w:space="0" w:color="BFBFBF"/>
              <w:right w:val="single" w:sz="6" w:space="0" w:color="BFBFBF"/>
            </w:tcBorders>
            <w:shd w:val="clear" w:color="auto" w:fill="CCCCCC"/>
            <w:tcMar>
              <w:top w:w="0" w:type="dxa"/>
              <w:left w:w="75" w:type="dxa"/>
              <w:bottom w:w="0" w:type="dxa"/>
              <w:right w:w="75" w:type="dxa"/>
            </w:tcMar>
            <w:vAlign w:val="center"/>
            <w:hideMark/>
          </w:tcPr>
          <w:p w14:paraId="02AE118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Category</w:t>
            </w:r>
          </w:p>
        </w:tc>
        <w:tc>
          <w:tcPr>
            <w:tcW w:w="3558" w:type="dxa"/>
            <w:tcBorders>
              <w:top w:val="single" w:sz="6" w:space="0" w:color="BFBFBF"/>
              <w:left w:val="single" w:sz="6" w:space="0" w:color="BFBFBF"/>
              <w:bottom w:val="single" w:sz="6" w:space="0" w:color="BFBFBF"/>
              <w:right w:val="single" w:sz="6" w:space="0" w:color="BFBFBF"/>
            </w:tcBorders>
            <w:shd w:val="clear" w:color="auto" w:fill="CCCCCC"/>
            <w:tcMar>
              <w:top w:w="0" w:type="dxa"/>
              <w:left w:w="75" w:type="dxa"/>
              <w:bottom w:w="0" w:type="dxa"/>
              <w:right w:w="75" w:type="dxa"/>
            </w:tcMar>
            <w:vAlign w:val="center"/>
            <w:hideMark/>
          </w:tcPr>
          <w:p w14:paraId="6AE22D8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Name</w:t>
            </w:r>
          </w:p>
        </w:tc>
        <w:tc>
          <w:tcPr>
            <w:tcW w:w="845" w:type="dxa"/>
            <w:tcBorders>
              <w:top w:val="single" w:sz="6" w:space="0" w:color="BFBFBF"/>
              <w:left w:val="single" w:sz="6" w:space="0" w:color="BFBFBF"/>
              <w:bottom w:val="single" w:sz="6" w:space="0" w:color="BFBFBF"/>
              <w:right w:val="single" w:sz="6" w:space="0" w:color="BFBFBF"/>
            </w:tcBorders>
            <w:shd w:val="clear" w:color="auto" w:fill="CCCCCC"/>
            <w:tcMar>
              <w:top w:w="0" w:type="dxa"/>
              <w:left w:w="75" w:type="dxa"/>
              <w:bottom w:w="0" w:type="dxa"/>
              <w:right w:w="75" w:type="dxa"/>
            </w:tcMar>
            <w:vAlign w:val="center"/>
            <w:hideMark/>
          </w:tcPr>
          <w:p w14:paraId="01FA29B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p-value</w:t>
            </w:r>
          </w:p>
        </w:tc>
        <w:tc>
          <w:tcPr>
            <w:tcW w:w="1093" w:type="dxa"/>
            <w:tcBorders>
              <w:top w:val="single" w:sz="6" w:space="0" w:color="BFBFBF"/>
              <w:left w:val="single" w:sz="6" w:space="0" w:color="BFBFBF"/>
              <w:bottom w:val="single" w:sz="6" w:space="0" w:color="BFBFBF"/>
              <w:right w:val="single" w:sz="6" w:space="0" w:color="BFBFBF"/>
            </w:tcBorders>
            <w:shd w:val="clear" w:color="auto" w:fill="CCCCCC"/>
            <w:tcMar>
              <w:top w:w="0" w:type="dxa"/>
              <w:left w:w="75" w:type="dxa"/>
              <w:bottom w:w="0" w:type="dxa"/>
              <w:right w:w="75" w:type="dxa"/>
            </w:tcMar>
            <w:vAlign w:val="center"/>
            <w:hideMark/>
          </w:tcPr>
          <w:p w14:paraId="751FBBA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q-value FDR B&amp;H</w:t>
            </w:r>
          </w:p>
        </w:tc>
        <w:tc>
          <w:tcPr>
            <w:tcW w:w="1366" w:type="dxa"/>
            <w:tcBorders>
              <w:top w:val="single" w:sz="6" w:space="0" w:color="BFBFBF"/>
              <w:left w:val="single" w:sz="6" w:space="0" w:color="BFBFBF"/>
              <w:bottom w:val="single" w:sz="6" w:space="0" w:color="BFBFBF"/>
              <w:right w:val="single" w:sz="6" w:space="0" w:color="BFBFBF"/>
            </w:tcBorders>
            <w:shd w:val="clear" w:color="auto" w:fill="CCCCCC"/>
            <w:tcMar>
              <w:top w:w="0" w:type="dxa"/>
              <w:left w:w="75" w:type="dxa"/>
              <w:bottom w:w="0" w:type="dxa"/>
              <w:right w:w="75" w:type="dxa"/>
            </w:tcMar>
            <w:vAlign w:val="center"/>
            <w:hideMark/>
          </w:tcPr>
          <w:p w14:paraId="5D6E016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Hit Count in Query List</w:t>
            </w:r>
          </w:p>
        </w:tc>
      </w:tr>
      <w:tr w:rsidR="00DE2B0B" w:rsidRPr="00BE441E" w14:paraId="129593AD"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9CFE2E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GO:2000026</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74061A8"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BEF242E"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Regulation of multicellular organismal development</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04BAA6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6.64E-09</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1D4823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1.43E-05</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0944130"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61</w:t>
            </w:r>
          </w:p>
        </w:tc>
      </w:tr>
      <w:tr w:rsidR="00DE2B0B" w:rsidRPr="00BE441E" w14:paraId="6FCE2260"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F4F0108"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GO:0007155</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4E757B0"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A1BD53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Cell adhesion</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8CFE73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7.4E-09</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AE5037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1.43E-05</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EC2BCB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53</w:t>
            </w:r>
          </w:p>
        </w:tc>
      </w:tr>
      <w:tr w:rsidR="00DE2B0B" w:rsidRPr="00BE441E" w14:paraId="028E5105"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209A6A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GO:0022610</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74C009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9C0184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adhesion</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96FE05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9.65E-09</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3FF2CB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1.43E-05</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F628B7E"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53</w:t>
            </w:r>
          </w:p>
        </w:tc>
      </w:tr>
      <w:tr w:rsidR="00DE2B0B" w:rsidRPr="00BE441E" w14:paraId="7B8C2DE1"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8C6E43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GO:0045595</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12CE83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2D4A01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Regulation of cell differentiation</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20DF7E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1.48E-08</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CEC548D"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1.64E-05</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17473D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56</w:t>
            </w:r>
          </w:p>
        </w:tc>
      </w:tr>
      <w:tr w:rsidR="00DE2B0B" w:rsidRPr="00BE441E" w14:paraId="18A46B34"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BC914D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GO:0040011</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C31389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754294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Locomotion</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2C08CE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1.87E-07</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FE9E99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1.67E-04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BB2E26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54</w:t>
            </w:r>
          </w:p>
        </w:tc>
      </w:tr>
      <w:tr w:rsidR="00DE2B0B" w:rsidRPr="00BE441E" w14:paraId="392CDD9B"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6B15F0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GO:0016477</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D96EDFA"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2345B4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Cell migration</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D9E62E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3.31E-07</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044DCB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2.45E-04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CD3ECB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44</w:t>
            </w:r>
          </w:p>
        </w:tc>
      </w:tr>
      <w:tr w:rsidR="00DE2B0B" w:rsidRPr="00BE441E" w14:paraId="0D57AFD1"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93E54D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GO:0006928</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7493AD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F62D3D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Movement of cell or subcellular component</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D65F6D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4.62E-07</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BBB42C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2.93E-04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9FD169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56</w:t>
            </w:r>
          </w:p>
        </w:tc>
      </w:tr>
      <w:tr w:rsidR="00DE2B0B" w:rsidRPr="00BE441E" w14:paraId="5FD3DEF2"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800910E"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GO:0048870</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8C9C5C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FB4B77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Cell motility</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2EEF9BD"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6.97E-07</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4EFB9C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3.44E-04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BB6D34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46</w:t>
            </w:r>
          </w:p>
        </w:tc>
      </w:tr>
      <w:tr w:rsidR="00DE2B0B" w:rsidRPr="00BE441E" w14:paraId="3CC7BA5D"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E1CE4D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GO:0051674</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5851BA0"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E81901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Localization of cell</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B814FFE"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6.97E-07</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AE69F5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3.44E-04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C7C6F5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46</w:t>
            </w:r>
          </w:p>
        </w:tc>
      </w:tr>
      <w:tr w:rsidR="00DE2B0B" w:rsidRPr="00BE441E" w14:paraId="0CC33A1A"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5455B40"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GO:0006954</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0CA7B7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2EE8C0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Inflammatory response</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47F74B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1.16E-06</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8AD477A"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5.07E-04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A9BF99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29</w:t>
            </w:r>
          </w:p>
        </w:tc>
      </w:tr>
      <w:tr w:rsidR="00DE2B0B" w:rsidRPr="00BE441E" w14:paraId="10B385A7"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898B0E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GO:0051094</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4C7E70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3F8136D"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Positive regulation of developmental process</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F0E026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1.35E-06</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7801AE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5.07E-04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8946A0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43</w:t>
            </w:r>
          </w:p>
        </w:tc>
      </w:tr>
      <w:tr w:rsidR="00DE2B0B" w:rsidRPr="00BE441E" w14:paraId="0F475A49"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21B109D"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GO:0009611</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35932A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FF9CFF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Response to wounding</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DAB3A4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1.37E-06</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CE7749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5.07E-04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6705A5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35</w:t>
            </w:r>
          </w:p>
        </w:tc>
      </w:tr>
      <w:tr w:rsidR="00DE2B0B" w:rsidRPr="00BE441E" w14:paraId="1FB41AC1"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F5F545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GO:0098742</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733AC2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4603B7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Cell-cell adhesion via plasma-membrane adhesion molecules</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AD73D1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2.22E-06</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E509AC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7.59E-04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54E162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15</w:t>
            </w:r>
          </w:p>
        </w:tc>
      </w:tr>
      <w:tr w:rsidR="00DE2B0B" w:rsidRPr="00BE441E" w14:paraId="7719ACBF"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B73100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GO:0034097</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83A423E"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E0C27B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Response to cytokine</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35CF74A"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2.70E-06</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087C13A"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8.00E-04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30CA4C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31</w:t>
            </w:r>
          </w:p>
        </w:tc>
      </w:tr>
      <w:tr w:rsidR="00DE2B0B" w:rsidRPr="00BE441E" w14:paraId="4D6F25C3"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F05086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GO:0030334</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F2062B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877AD4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Regulation of cell migration</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23FF3A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2.70E-06</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A74477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8.00E-04</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9E626E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29</w:t>
            </w:r>
          </w:p>
        </w:tc>
      </w:tr>
      <w:tr w:rsidR="00DE2B0B" w:rsidRPr="00BE441E" w14:paraId="4A725628" w14:textId="77777777" w:rsidTr="0012517D">
        <w:trPr>
          <w:trHeight w:val="180"/>
        </w:trPr>
        <w:tc>
          <w:tcPr>
            <w:tcW w:w="1009" w:type="dxa"/>
            <w:tcBorders>
              <w:top w:val="single" w:sz="6" w:space="0" w:color="BFBFBF"/>
              <w:left w:val="single" w:sz="6" w:space="0" w:color="BFBFBF"/>
              <w:bottom w:val="single" w:sz="6" w:space="0" w:color="000000"/>
              <w:right w:val="single" w:sz="6" w:space="0" w:color="BFBFBF"/>
            </w:tcBorders>
            <w:shd w:val="clear" w:color="auto" w:fill="FFFFFF"/>
            <w:tcMar>
              <w:top w:w="0" w:type="dxa"/>
              <w:left w:w="75" w:type="dxa"/>
              <w:bottom w:w="0" w:type="dxa"/>
              <w:right w:w="75" w:type="dxa"/>
            </w:tcMar>
            <w:vAlign w:val="center"/>
            <w:hideMark/>
          </w:tcPr>
          <w:p w14:paraId="3C088C5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lastRenderedPageBreak/>
              <w:t>GO:0048667</w:t>
            </w:r>
          </w:p>
        </w:tc>
        <w:tc>
          <w:tcPr>
            <w:tcW w:w="1179" w:type="dxa"/>
            <w:tcBorders>
              <w:top w:val="single" w:sz="6" w:space="0" w:color="BFBFBF"/>
              <w:left w:val="single" w:sz="6" w:space="0" w:color="BFBFBF"/>
              <w:bottom w:val="single" w:sz="6" w:space="0" w:color="000000"/>
              <w:right w:val="single" w:sz="6" w:space="0" w:color="BFBFBF"/>
            </w:tcBorders>
            <w:shd w:val="clear" w:color="auto" w:fill="FFFFFF"/>
            <w:tcMar>
              <w:top w:w="0" w:type="dxa"/>
              <w:left w:w="75" w:type="dxa"/>
              <w:bottom w:w="0" w:type="dxa"/>
              <w:right w:w="75" w:type="dxa"/>
            </w:tcMar>
            <w:vAlign w:val="center"/>
            <w:hideMark/>
          </w:tcPr>
          <w:p w14:paraId="2EFDECE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Biological process</w:t>
            </w:r>
          </w:p>
        </w:tc>
        <w:tc>
          <w:tcPr>
            <w:tcW w:w="3558" w:type="dxa"/>
            <w:tcBorders>
              <w:top w:val="single" w:sz="6" w:space="0" w:color="BFBFBF"/>
              <w:left w:val="single" w:sz="6" w:space="0" w:color="BFBFBF"/>
              <w:bottom w:val="single" w:sz="6" w:space="0" w:color="000000"/>
              <w:right w:val="single" w:sz="6" w:space="0" w:color="BFBFBF"/>
            </w:tcBorders>
            <w:shd w:val="clear" w:color="auto" w:fill="FFFFFF"/>
            <w:tcMar>
              <w:top w:w="0" w:type="dxa"/>
              <w:left w:w="75" w:type="dxa"/>
              <w:bottom w:w="0" w:type="dxa"/>
              <w:right w:w="75" w:type="dxa"/>
            </w:tcMar>
            <w:vAlign w:val="center"/>
            <w:hideMark/>
          </w:tcPr>
          <w:p w14:paraId="5E7561CE"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Cell morphogenesis involved in neuron differentiation</w:t>
            </w:r>
          </w:p>
        </w:tc>
        <w:tc>
          <w:tcPr>
            <w:tcW w:w="845" w:type="dxa"/>
            <w:tcBorders>
              <w:top w:val="single" w:sz="6" w:space="0" w:color="BFBFBF"/>
              <w:left w:val="single" w:sz="6" w:space="0" w:color="BFBFBF"/>
              <w:bottom w:val="single" w:sz="6" w:space="0" w:color="000000"/>
              <w:right w:val="single" w:sz="6" w:space="0" w:color="BFBFBF"/>
            </w:tcBorders>
            <w:shd w:val="clear" w:color="auto" w:fill="FFFFFF"/>
            <w:tcMar>
              <w:top w:w="0" w:type="dxa"/>
              <w:left w:w="75" w:type="dxa"/>
              <w:bottom w:w="0" w:type="dxa"/>
              <w:right w:w="75" w:type="dxa"/>
            </w:tcMar>
            <w:vAlign w:val="center"/>
            <w:hideMark/>
          </w:tcPr>
          <w:p w14:paraId="5836158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3.39E-06</w:t>
            </w:r>
          </w:p>
        </w:tc>
        <w:tc>
          <w:tcPr>
            <w:tcW w:w="1093" w:type="dxa"/>
            <w:tcBorders>
              <w:top w:val="single" w:sz="6" w:space="0" w:color="BFBFBF"/>
              <w:left w:val="single" w:sz="6" w:space="0" w:color="BFBFBF"/>
              <w:bottom w:val="single" w:sz="6" w:space="0" w:color="000000"/>
              <w:right w:val="single" w:sz="6" w:space="0" w:color="BFBFBF"/>
            </w:tcBorders>
            <w:shd w:val="clear" w:color="auto" w:fill="FFFFFF"/>
            <w:tcMar>
              <w:top w:w="0" w:type="dxa"/>
              <w:left w:w="75" w:type="dxa"/>
              <w:bottom w:w="0" w:type="dxa"/>
              <w:right w:w="75" w:type="dxa"/>
            </w:tcMar>
            <w:vAlign w:val="center"/>
            <w:hideMark/>
          </w:tcPr>
          <w:p w14:paraId="2DE4688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8.56E-04</w:t>
            </w:r>
          </w:p>
        </w:tc>
        <w:tc>
          <w:tcPr>
            <w:tcW w:w="1366" w:type="dxa"/>
            <w:tcBorders>
              <w:top w:val="single" w:sz="6" w:space="0" w:color="BFBFBF"/>
              <w:left w:val="single" w:sz="6" w:space="0" w:color="BFBFBF"/>
              <w:bottom w:val="single" w:sz="6" w:space="0" w:color="000000"/>
              <w:right w:val="single" w:sz="6" w:space="0" w:color="BFBFBF"/>
            </w:tcBorders>
            <w:shd w:val="clear" w:color="auto" w:fill="FFFFFF"/>
            <w:tcMar>
              <w:top w:w="0" w:type="dxa"/>
              <w:left w:w="75" w:type="dxa"/>
              <w:bottom w:w="0" w:type="dxa"/>
              <w:right w:w="75" w:type="dxa"/>
            </w:tcMar>
            <w:vAlign w:val="center"/>
            <w:hideMark/>
          </w:tcPr>
          <w:p w14:paraId="2E8BF63D"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25</w:t>
            </w:r>
          </w:p>
        </w:tc>
      </w:tr>
      <w:tr w:rsidR="00DE2B0B" w:rsidRPr="00BE441E" w14:paraId="4F35734B" w14:textId="77777777" w:rsidTr="0012517D">
        <w:trPr>
          <w:trHeight w:val="180"/>
        </w:trPr>
        <w:tc>
          <w:tcPr>
            <w:tcW w:w="1009" w:type="dxa"/>
            <w:tcBorders>
              <w:top w:val="single" w:sz="6" w:space="0" w:color="000000"/>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F6007C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GO:0009931</w:t>
            </w:r>
          </w:p>
        </w:tc>
        <w:tc>
          <w:tcPr>
            <w:tcW w:w="1179" w:type="dxa"/>
            <w:tcBorders>
              <w:top w:val="single" w:sz="6" w:space="0" w:color="000000"/>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216856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Molecular function</w:t>
            </w:r>
          </w:p>
        </w:tc>
        <w:tc>
          <w:tcPr>
            <w:tcW w:w="3558" w:type="dxa"/>
            <w:tcBorders>
              <w:top w:val="single" w:sz="6" w:space="0" w:color="000000"/>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50897C8"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Calcium-dependent protein serine/threonine kinase activity</w:t>
            </w:r>
          </w:p>
        </w:tc>
        <w:tc>
          <w:tcPr>
            <w:tcW w:w="845" w:type="dxa"/>
            <w:tcBorders>
              <w:top w:val="single" w:sz="6" w:space="0" w:color="000000"/>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5B3CBEA"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1.30E-04</w:t>
            </w:r>
          </w:p>
        </w:tc>
        <w:tc>
          <w:tcPr>
            <w:tcW w:w="1093" w:type="dxa"/>
            <w:tcBorders>
              <w:top w:val="single" w:sz="6" w:space="0" w:color="000000"/>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DA2BE6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4.31E-02</w:t>
            </w:r>
          </w:p>
        </w:tc>
        <w:tc>
          <w:tcPr>
            <w:tcW w:w="1366" w:type="dxa"/>
            <w:tcBorders>
              <w:top w:val="single" w:sz="6" w:space="0" w:color="000000"/>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76E581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w:t>
            </w:r>
          </w:p>
        </w:tc>
      </w:tr>
      <w:tr w:rsidR="00DE2B0B" w:rsidRPr="00BE441E" w14:paraId="3CB7F5E5"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094EC6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GO:0009931</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C3DCAF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Molecular function</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9A02B4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Calcium-dependent protein serine/threonine kinase activity</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0A898C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1.30E-04</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EF9282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4.31E-02</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785A280"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w:t>
            </w:r>
          </w:p>
        </w:tc>
      </w:tr>
      <w:tr w:rsidR="00DE2B0B" w:rsidRPr="00BE441E" w14:paraId="429B9336" w14:textId="77777777" w:rsidTr="0012517D">
        <w:trPr>
          <w:trHeight w:val="180"/>
        </w:trPr>
        <w:tc>
          <w:tcPr>
            <w:tcW w:w="100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861338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GO:0010857</w:t>
            </w:r>
          </w:p>
        </w:tc>
        <w:tc>
          <w:tcPr>
            <w:tcW w:w="1179"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40273A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Molecular function</w:t>
            </w:r>
          </w:p>
        </w:tc>
        <w:tc>
          <w:tcPr>
            <w:tcW w:w="3558"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D1B645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Calcium-dependent protein kinase activity</w:t>
            </w:r>
          </w:p>
        </w:tc>
        <w:tc>
          <w:tcPr>
            <w:tcW w:w="84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EE66BC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1.63E-04</w:t>
            </w:r>
          </w:p>
        </w:tc>
        <w:tc>
          <w:tcPr>
            <w:tcW w:w="1093"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8C16DE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4.31E-02</w:t>
            </w:r>
          </w:p>
        </w:tc>
        <w:tc>
          <w:tcPr>
            <w:tcW w:w="1366"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FA25B75"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w:t>
            </w:r>
          </w:p>
        </w:tc>
      </w:tr>
      <w:tr w:rsidR="00DE2B0B" w:rsidRPr="00BE441E" w14:paraId="0F6CB32D" w14:textId="77777777" w:rsidTr="0012517D">
        <w:trPr>
          <w:trHeight w:val="195"/>
        </w:trPr>
        <w:tc>
          <w:tcPr>
            <w:tcW w:w="1009" w:type="dxa"/>
            <w:tcBorders>
              <w:top w:val="single" w:sz="6" w:space="0" w:color="BFBFBF"/>
              <w:left w:val="single" w:sz="6" w:space="0" w:color="BFBFBF"/>
              <w:bottom w:val="single" w:sz="4" w:space="0" w:color="BFBFBF" w:themeColor="background1" w:themeShade="BF"/>
              <w:right w:val="single" w:sz="6" w:space="0" w:color="BFBFBF"/>
            </w:tcBorders>
            <w:shd w:val="clear" w:color="auto" w:fill="FFFFFF"/>
            <w:tcMar>
              <w:top w:w="0" w:type="dxa"/>
              <w:left w:w="75" w:type="dxa"/>
              <w:bottom w:w="0" w:type="dxa"/>
              <w:right w:w="75" w:type="dxa"/>
            </w:tcMar>
            <w:vAlign w:val="center"/>
            <w:hideMark/>
          </w:tcPr>
          <w:p w14:paraId="656B544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GO:0070888</w:t>
            </w:r>
          </w:p>
        </w:tc>
        <w:tc>
          <w:tcPr>
            <w:tcW w:w="1179" w:type="dxa"/>
            <w:tcBorders>
              <w:top w:val="single" w:sz="6" w:space="0" w:color="BFBFBF"/>
              <w:left w:val="single" w:sz="6" w:space="0" w:color="BFBFBF"/>
              <w:bottom w:val="single" w:sz="4" w:space="0" w:color="BFBFBF" w:themeColor="background1" w:themeShade="BF"/>
              <w:right w:val="single" w:sz="6" w:space="0" w:color="BFBFBF"/>
            </w:tcBorders>
            <w:shd w:val="clear" w:color="auto" w:fill="FFFFFF"/>
            <w:tcMar>
              <w:top w:w="0" w:type="dxa"/>
              <w:left w:w="75" w:type="dxa"/>
              <w:bottom w:w="0" w:type="dxa"/>
              <w:right w:w="75" w:type="dxa"/>
            </w:tcMar>
            <w:vAlign w:val="center"/>
            <w:hideMark/>
          </w:tcPr>
          <w:p w14:paraId="618C596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Molecular function</w:t>
            </w:r>
          </w:p>
        </w:tc>
        <w:tc>
          <w:tcPr>
            <w:tcW w:w="3558" w:type="dxa"/>
            <w:tcBorders>
              <w:top w:val="single" w:sz="6" w:space="0" w:color="BFBFBF"/>
              <w:left w:val="single" w:sz="6" w:space="0" w:color="BFBFBF"/>
              <w:bottom w:val="single" w:sz="4" w:space="0" w:color="BFBFBF" w:themeColor="background1" w:themeShade="BF"/>
              <w:right w:val="single" w:sz="6" w:space="0" w:color="BFBFBF"/>
            </w:tcBorders>
            <w:shd w:val="clear" w:color="auto" w:fill="FFFFFF"/>
            <w:tcMar>
              <w:top w:w="0" w:type="dxa"/>
              <w:left w:w="75" w:type="dxa"/>
              <w:bottom w:w="0" w:type="dxa"/>
              <w:right w:w="75" w:type="dxa"/>
            </w:tcMar>
            <w:vAlign w:val="center"/>
            <w:hideMark/>
          </w:tcPr>
          <w:p w14:paraId="604F37D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E-box binding</w:t>
            </w:r>
          </w:p>
        </w:tc>
        <w:tc>
          <w:tcPr>
            <w:tcW w:w="845" w:type="dxa"/>
            <w:tcBorders>
              <w:top w:val="single" w:sz="6" w:space="0" w:color="BFBFBF"/>
              <w:left w:val="single" w:sz="6" w:space="0" w:color="BFBFBF"/>
              <w:bottom w:val="single" w:sz="4" w:space="0" w:color="BFBFBF" w:themeColor="background1" w:themeShade="BF"/>
              <w:right w:val="single" w:sz="6" w:space="0" w:color="BFBFBF"/>
            </w:tcBorders>
            <w:shd w:val="clear" w:color="auto" w:fill="FFFFFF"/>
            <w:tcMar>
              <w:top w:w="0" w:type="dxa"/>
              <w:left w:w="75" w:type="dxa"/>
              <w:bottom w:w="0" w:type="dxa"/>
              <w:right w:w="75" w:type="dxa"/>
            </w:tcMar>
            <w:vAlign w:val="center"/>
            <w:hideMark/>
          </w:tcPr>
          <w:p w14:paraId="5A1ED28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1.68E-04</w:t>
            </w:r>
          </w:p>
        </w:tc>
        <w:tc>
          <w:tcPr>
            <w:tcW w:w="1093" w:type="dxa"/>
            <w:tcBorders>
              <w:top w:val="single" w:sz="6" w:space="0" w:color="BFBFBF"/>
              <w:left w:val="single" w:sz="6" w:space="0" w:color="BFBFBF"/>
              <w:bottom w:val="single" w:sz="4" w:space="0" w:color="BFBFBF" w:themeColor="background1" w:themeShade="BF"/>
              <w:right w:val="single" w:sz="6" w:space="0" w:color="BFBFBF"/>
            </w:tcBorders>
            <w:shd w:val="clear" w:color="auto" w:fill="FFFFFF"/>
            <w:tcMar>
              <w:top w:w="0" w:type="dxa"/>
              <w:left w:w="75" w:type="dxa"/>
              <w:bottom w:w="0" w:type="dxa"/>
              <w:right w:w="75" w:type="dxa"/>
            </w:tcMar>
            <w:vAlign w:val="center"/>
            <w:hideMark/>
          </w:tcPr>
          <w:p w14:paraId="6B7F7C8D"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4.31E-02</w:t>
            </w:r>
          </w:p>
        </w:tc>
        <w:tc>
          <w:tcPr>
            <w:tcW w:w="1366" w:type="dxa"/>
            <w:tcBorders>
              <w:top w:val="single" w:sz="6" w:space="0" w:color="BFBFBF"/>
              <w:left w:val="single" w:sz="6" w:space="0" w:color="BFBFBF"/>
              <w:bottom w:val="single" w:sz="4" w:space="0" w:color="BFBFBF" w:themeColor="background1" w:themeShade="BF"/>
              <w:right w:val="single" w:sz="6" w:space="0" w:color="BFBFBF"/>
            </w:tcBorders>
            <w:shd w:val="clear" w:color="auto" w:fill="FFFFFF"/>
            <w:tcMar>
              <w:top w:w="0" w:type="dxa"/>
              <w:left w:w="75" w:type="dxa"/>
              <w:bottom w:w="0" w:type="dxa"/>
              <w:right w:w="75" w:type="dxa"/>
            </w:tcMar>
            <w:vAlign w:val="center"/>
            <w:hideMark/>
          </w:tcPr>
          <w:p w14:paraId="14DA2290"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5</w:t>
            </w:r>
          </w:p>
        </w:tc>
      </w:tr>
    </w:tbl>
    <w:p w14:paraId="175523DA" w14:textId="0E242096" w:rsidR="00DE2B0B" w:rsidRPr="00BE441E" w:rsidRDefault="00DE2B0B" w:rsidP="00764F36">
      <w:pPr>
        <w:pStyle w:val="SMcaption"/>
        <w:rPr>
          <w:b/>
        </w:rPr>
      </w:pPr>
      <w:r w:rsidRPr="00BE441E">
        <w:rPr>
          <w:b/>
        </w:rPr>
        <w:t>Table S1: Up-regulated pathways after 3x3 h stress</w:t>
      </w:r>
      <w:r w:rsidRPr="00BE441E">
        <w:rPr>
          <w:b/>
        </w:rPr>
        <w:br w:type="page"/>
      </w:r>
    </w:p>
    <w:tbl>
      <w:tblPr>
        <w:tblW w:w="0" w:type="auto"/>
        <w:tblCellMar>
          <w:left w:w="0" w:type="dxa"/>
          <w:right w:w="0" w:type="dxa"/>
        </w:tblCellMar>
        <w:tblLook w:val="04A0" w:firstRow="1" w:lastRow="0" w:firstColumn="1" w:lastColumn="0" w:noHBand="0" w:noVBand="1"/>
      </w:tblPr>
      <w:tblGrid>
        <w:gridCol w:w="1009"/>
        <w:gridCol w:w="1206"/>
        <w:gridCol w:w="3727"/>
        <w:gridCol w:w="864"/>
        <w:gridCol w:w="1129"/>
        <w:gridCol w:w="1425"/>
      </w:tblGrid>
      <w:tr w:rsidR="00DE2B0B" w:rsidRPr="00BE441E" w14:paraId="09E38719" w14:textId="77777777" w:rsidTr="0012517D">
        <w:trPr>
          <w:trHeight w:val="195"/>
        </w:trPr>
        <w:tc>
          <w:tcPr>
            <w:tcW w:w="930" w:type="dxa"/>
            <w:shd w:val="clear" w:color="auto" w:fill="CCCCCC"/>
            <w:tcMar>
              <w:top w:w="0" w:type="dxa"/>
              <w:left w:w="75" w:type="dxa"/>
              <w:bottom w:w="0" w:type="dxa"/>
              <w:right w:w="75" w:type="dxa"/>
            </w:tcMar>
            <w:vAlign w:val="center"/>
            <w:hideMark/>
          </w:tcPr>
          <w:p w14:paraId="2CA9AD8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lastRenderedPageBreak/>
              <w:t>ID</w:t>
            </w:r>
          </w:p>
        </w:tc>
        <w:tc>
          <w:tcPr>
            <w:tcW w:w="1305" w:type="dxa"/>
            <w:shd w:val="clear" w:color="auto" w:fill="CCCCCC"/>
            <w:tcMar>
              <w:top w:w="0" w:type="dxa"/>
              <w:left w:w="75" w:type="dxa"/>
              <w:bottom w:w="0" w:type="dxa"/>
              <w:right w:w="75" w:type="dxa"/>
            </w:tcMar>
            <w:vAlign w:val="center"/>
            <w:hideMark/>
          </w:tcPr>
          <w:p w14:paraId="0474096A"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Category</w:t>
            </w:r>
          </w:p>
        </w:tc>
        <w:tc>
          <w:tcPr>
            <w:tcW w:w="4335" w:type="dxa"/>
            <w:shd w:val="clear" w:color="auto" w:fill="CCCCCC"/>
            <w:tcMar>
              <w:top w:w="0" w:type="dxa"/>
              <w:left w:w="75" w:type="dxa"/>
              <w:bottom w:w="0" w:type="dxa"/>
              <w:right w:w="75" w:type="dxa"/>
            </w:tcMar>
            <w:vAlign w:val="center"/>
            <w:hideMark/>
          </w:tcPr>
          <w:p w14:paraId="7299DF6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Name</w:t>
            </w:r>
          </w:p>
        </w:tc>
        <w:tc>
          <w:tcPr>
            <w:tcW w:w="930" w:type="dxa"/>
            <w:shd w:val="clear" w:color="auto" w:fill="CCCCCC"/>
            <w:tcMar>
              <w:top w:w="0" w:type="dxa"/>
              <w:left w:w="75" w:type="dxa"/>
              <w:bottom w:w="0" w:type="dxa"/>
              <w:right w:w="75" w:type="dxa"/>
            </w:tcMar>
            <w:vAlign w:val="center"/>
            <w:hideMark/>
          </w:tcPr>
          <w:p w14:paraId="141C5F97"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p-value</w:t>
            </w:r>
          </w:p>
        </w:tc>
        <w:tc>
          <w:tcPr>
            <w:tcW w:w="1260" w:type="dxa"/>
            <w:shd w:val="clear" w:color="auto" w:fill="CCCCCC"/>
            <w:tcMar>
              <w:top w:w="0" w:type="dxa"/>
              <w:left w:w="75" w:type="dxa"/>
              <w:bottom w:w="0" w:type="dxa"/>
              <w:right w:w="75" w:type="dxa"/>
            </w:tcMar>
            <w:vAlign w:val="center"/>
            <w:hideMark/>
          </w:tcPr>
          <w:p w14:paraId="1F8BF05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q-value FDR B&amp;H</w:t>
            </w:r>
          </w:p>
        </w:tc>
        <w:tc>
          <w:tcPr>
            <w:tcW w:w="1635" w:type="dxa"/>
            <w:shd w:val="clear" w:color="auto" w:fill="CCCCCC"/>
            <w:tcMar>
              <w:top w:w="0" w:type="dxa"/>
              <w:left w:w="75" w:type="dxa"/>
              <w:bottom w:w="0" w:type="dxa"/>
              <w:right w:w="75" w:type="dxa"/>
            </w:tcMar>
            <w:vAlign w:val="center"/>
            <w:hideMark/>
          </w:tcPr>
          <w:p w14:paraId="5690BE5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Hit Count in Query List</w:t>
            </w:r>
          </w:p>
        </w:tc>
      </w:tr>
      <w:tr w:rsidR="00DE2B0B" w:rsidRPr="00BE441E" w14:paraId="1A0D8F57" w14:textId="77777777" w:rsidTr="0012517D">
        <w:trPr>
          <w:trHeight w:val="180"/>
        </w:trPr>
        <w:tc>
          <w:tcPr>
            <w:tcW w:w="915" w:type="dxa"/>
            <w:tcBorders>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8C27BFB"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GO:0030291</w:t>
            </w:r>
          </w:p>
        </w:tc>
        <w:tc>
          <w:tcPr>
            <w:tcW w:w="1305" w:type="dxa"/>
            <w:tcBorders>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581B4B5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Molecular function</w:t>
            </w:r>
          </w:p>
        </w:tc>
        <w:tc>
          <w:tcPr>
            <w:tcW w:w="4335" w:type="dxa"/>
            <w:tcBorders>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A26058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Protein serine/threonine kinase inhibitor activity</w:t>
            </w:r>
          </w:p>
        </w:tc>
        <w:tc>
          <w:tcPr>
            <w:tcW w:w="930" w:type="dxa"/>
            <w:tcBorders>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FAEB30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1.06E-04</w:t>
            </w:r>
          </w:p>
        </w:tc>
        <w:tc>
          <w:tcPr>
            <w:tcW w:w="1260" w:type="dxa"/>
            <w:tcBorders>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C161896"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4.22E-02</w:t>
            </w:r>
          </w:p>
        </w:tc>
        <w:tc>
          <w:tcPr>
            <w:tcW w:w="1605" w:type="dxa"/>
            <w:tcBorders>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6BA098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w:t>
            </w:r>
          </w:p>
        </w:tc>
      </w:tr>
      <w:tr w:rsidR="00DE2B0B" w:rsidRPr="00BE441E" w14:paraId="692CA7C4" w14:textId="77777777" w:rsidTr="0012517D">
        <w:trPr>
          <w:trHeight w:val="180"/>
        </w:trPr>
        <w:tc>
          <w:tcPr>
            <w:tcW w:w="91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540AEA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GO:0004861</w:t>
            </w:r>
          </w:p>
        </w:tc>
        <w:tc>
          <w:tcPr>
            <w:tcW w:w="130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D7949C1"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Molecular function</w:t>
            </w:r>
          </w:p>
        </w:tc>
        <w:tc>
          <w:tcPr>
            <w:tcW w:w="433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10F7270"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Cyclin-dependent protein serine/threonine kinase inhibitor activity</w:t>
            </w:r>
          </w:p>
        </w:tc>
        <w:tc>
          <w:tcPr>
            <w:tcW w:w="930"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28A6204F"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1.17E-04</w:t>
            </w:r>
          </w:p>
        </w:tc>
        <w:tc>
          <w:tcPr>
            <w:tcW w:w="1260"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8324694"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4.22E-02</w:t>
            </w:r>
          </w:p>
        </w:tc>
        <w:tc>
          <w:tcPr>
            <w:tcW w:w="160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0BCA4102"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w:t>
            </w:r>
          </w:p>
        </w:tc>
      </w:tr>
      <w:tr w:rsidR="00DE2B0B" w:rsidRPr="00BE441E" w14:paraId="12000B92" w14:textId="77777777" w:rsidTr="0012517D">
        <w:trPr>
          <w:trHeight w:val="180"/>
        </w:trPr>
        <w:tc>
          <w:tcPr>
            <w:tcW w:w="91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712CF35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GO:0004089</w:t>
            </w:r>
          </w:p>
        </w:tc>
        <w:tc>
          <w:tcPr>
            <w:tcW w:w="130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647FB149"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Molecular function</w:t>
            </w:r>
          </w:p>
        </w:tc>
        <w:tc>
          <w:tcPr>
            <w:tcW w:w="433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1C11A5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Carbonate dehydratase activity</w:t>
            </w:r>
          </w:p>
        </w:tc>
        <w:tc>
          <w:tcPr>
            <w:tcW w:w="930"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381CF0E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1.91E-04</w:t>
            </w:r>
          </w:p>
        </w:tc>
        <w:tc>
          <w:tcPr>
            <w:tcW w:w="1260"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49535BBC"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4.60E-02</w:t>
            </w:r>
          </w:p>
        </w:tc>
        <w:tc>
          <w:tcPr>
            <w:tcW w:w="1605" w:type="dxa"/>
            <w:tcBorders>
              <w:top w:val="single" w:sz="6" w:space="0" w:color="BFBFBF"/>
              <w:left w:val="single" w:sz="6" w:space="0" w:color="BFBFBF"/>
              <w:bottom w:val="single" w:sz="6" w:space="0" w:color="BFBFBF"/>
              <w:right w:val="single" w:sz="6" w:space="0" w:color="BFBFBF"/>
            </w:tcBorders>
            <w:shd w:val="clear" w:color="auto" w:fill="FFFFFF"/>
            <w:tcMar>
              <w:top w:w="0" w:type="dxa"/>
              <w:left w:w="75" w:type="dxa"/>
              <w:bottom w:w="0" w:type="dxa"/>
              <w:right w:w="75" w:type="dxa"/>
            </w:tcMar>
            <w:vAlign w:val="center"/>
            <w:hideMark/>
          </w:tcPr>
          <w:p w14:paraId="1DF31883" w14:textId="77777777" w:rsidR="00DE2B0B" w:rsidRPr="00BE441E" w:rsidRDefault="00DE2B0B" w:rsidP="00656163">
            <w:pPr>
              <w:spacing w:line="480" w:lineRule="auto"/>
              <w:rPr>
                <w:lang w:eastAsia="de-DE"/>
              </w:rPr>
            </w:pPr>
            <w:r w:rsidRPr="00BE441E">
              <w:rPr>
                <w:rFonts w:ascii="Helvetica" w:hAnsi="Helvetica"/>
                <w:color w:val="000000"/>
                <w:sz w:val="15"/>
                <w:szCs w:val="15"/>
                <w:lang w:eastAsia="de-DE"/>
              </w:rPr>
              <w:t>3</w:t>
            </w:r>
          </w:p>
        </w:tc>
      </w:tr>
    </w:tbl>
    <w:p w14:paraId="5FC443DD" w14:textId="2C1A25F5" w:rsidR="00AF3870" w:rsidRPr="004535AE" w:rsidRDefault="00DE2B0B">
      <w:pPr>
        <w:pStyle w:val="SMcaption"/>
        <w:rPr>
          <w:b/>
        </w:rPr>
      </w:pPr>
      <w:r w:rsidRPr="00BE441E">
        <w:rPr>
          <w:b/>
        </w:rPr>
        <w:t>Table S2: Down-regulated pathways after 3x3 h stress</w:t>
      </w:r>
    </w:p>
    <w:sectPr w:rsidR="00AF3870" w:rsidRPr="004535AE" w:rsidSect="004535AE">
      <w:headerReference w:type="default" r:id="rId25"/>
      <w:footerReference w:type="default" r:id="rId26"/>
      <w:pgSz w:w="12240" w:h="15840"/>
      <w:pgMar w:top="1440" w:right="1440" w:bottom="1440" w:left="1440" w:header="720" w:footer="720" w:gutter="0"/>
      <w:lnNumType w:countBy="1"/>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93276" w14:textId="77777777" w:rsidR="00FD58C8" w:rsidRDefault="00FD58C8">
      <w:r>
        <w:separator/>
      </w:r>
    </w:p>
  </w:endnote>
  <w:endnote w:type="continuationSeparator" w:id="0">
    <w:p w14:paraId="557F88CD" w14:textId="77777777" w:rsidR="00FD58C8" w:rsidRDefault="00FD5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Ɖ"/>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12517D" w:rsidRDefault="0012517D">
    <w:pPr>
      <w:pStyle w:val="Footer"/>
      <w:jc w:val="right"/>
    </w:pPr>
    <w:r>
      <w:fldChar w:fldCharType="begin"/>
    </w:r>
    <w:r>
      <w:instrText xml:space="preserve"> PAGE   \* MERGEFORMAT </w:instrText>
    </w:r>
    <w:r>
      <w:fldChar w:fldCharType="separate"/>
    </w:r>
    <w:r>
      <w:rPr>
        <w:noProof/>
      </w:rPr>
      <w:t>3</w:t>
    </w:r>
    <w:r>
      <w:fldChar w:fldCharType="end"/>
    </w:r>
  </w:p>
  <w:p w14:paraId="211F3547" w14:textId="77777777" w:rsidR="0012517D" w:rsidRDefault="00125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EE9AE" w14:textId="77777777" w:rsidR="00FD58C8" w:rsidRDefault="00FD58C8">
      <w:r>
        <w:separator/>
      </w:r>
    </w:p>
  </w:footnote>
  <w:footnote w:type="continuationSeparator" w:id="0">
    <w:p w14:paraId="1893AA13" w14:textId="77777777" w:rsidR="00FD58C8" w:rsidRDefault="00FD5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12517D" w:rsidRPr="005001AC" w:rsidRDefault="0012517D" w:rsidP="005001AC">
    <w:pPr>
      <w:jc w:val="right"/>
      <w:rPr>
        <w:sz w:val="20"/>
      </w:rPr>
    </w:pPr>
  </w:p>
  <w:p w14:paraId="3CD866EE" w14:textId="77777777" w:rsidR="0012517D" w:rsidRDefault="001251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6322A"/>
    <w:multiLevelType w:val="hybridMultilevel"/>
    <w:tmpl w:val="B20275D0"/>
    <w:lvl w:ilvl="0" w:tplc="D1066930">
      <w:start w:val="1"/>
      <w:numFmt w:val="upperLetter"/>
      <w:lvlText w:val="(%1)"/>
      <w:lvlJc w:val="left"/>
      <w:pPr>
        <w:ind w:left="800" w:hanging="44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82A"/>
    <w:rsid w:val="00000F7C"/>
    <w:rsid w:val="000017D1"/>
    <w:rsid w:val="000031D8"/>
    <w:rsid w:val="00011BF1"/>
    <w:rsid w:val="00011EC9"/>
    <w:rsid w:val="00015F74"/>
    <w:rsid w:val="00016008"/>
    <w:rsid w:val="000210F9"/>
    <w:rsid w:val="000211FD"/>
    <w:rsid w:val="00022B5D"/>
    <w:rsid w:val="000316AE"/>
    <w:rsid w:val="00040964"/>
    <w:rsid w:val="00041B4E"/>
    <w:rsid w:val="0004714A"/>
    <w:rsid w:val="00050EEB"/>
    <w:rsid w:val="00052836"/>
    <w:rsid w:val="00056AF7"/>
    <w:rsid w:val="00065EBD"/>
    <w:rsid w:val="0007542C"/>
    <w:rsid w:val="00080478"/>
    <w:rsid w:val="00083B44"/>
    <w:rsid w:val="00084974"/>
    <w:rsid w:val="000850DC"/>
    <w:rsid w:val="0008658A"/>
    <w:rsid w:val="000869CB"/>
    <w:rsid w:val="00090931"/>
    <w:rsid w:val="000B2C60"/>
    <w:rsid w:val="000C2771"/>
    <w:rsid w:val="000C3B52"/>
    <w:rsid w:val="000C5981"/>
    <w:rsid w:val="000D3330"/>
    <w:rsid w:val="000D46F4"/>
    <w:rsid w:val="000E36FA"/>
    <w:rsid w:val="000F0DCE"/>
    <w:rsid w:val="000F2BEF"/>
    <w:rsid w:val="000F31E4"/>
    <w:rsid w:val="000F6BE3"/>
    <w:rsid w:val="00112704"/>
    <w:rsid w:val="00112C5B"/>
    <w:rsid w:val="00114193"/>
    <w:rsid w:val="00115A38"/>
    <w:rsid w:val="0011687B"/>
    <w:rsid w:val="00117EB6"/>
    <w:rsid w:val="00124F82"/>
    <w:rsid w:val="0012517D"/>
    <w:rsid w:val="001313A1"/>
    <w:rsid w:val="00134987"/>
    <w:rsid w:val="00142429"/>
    <w:rsid w:val="001443BA"/>
    <w:rsid w:val="001445ED"/>
    <w:rsid w:val="0016337A"/>
    <w:rsid w:val="00164269"/>
    <w:rsid w:val="00164F1C"/>
    <w:rsid w:val="001721CE"/>
    <w:rsid w:val="00180F5D"/>
    <w:rsid w:val="00185CFA"/>
    <w:rsid w:val="00191837"/>
    <w:rsid w:val="001936BC"/>
    <w:rsid w:val="001A1BDE"/>
    <w:rsid w:val="001B5D03"/>
    <w:rsid w:val="001B7153"/>
    <w:rsid w:val="001B7C3D"/>
    <w:rsid w:val="001D274F"/>
    <w:rsid w:val="001D5AEF"/>
    <w:rsid w:val="001E0282"/>
    <w:rsid w:val="001E0A13"/>
    <w:rsid w:val="001E1C52"/>
    <w:rsid w:val="001E6D45"/>
    <w:rsid w:val="001F03BF"/>
    <w:rsid w:val="001F0876"/>
    <w:rsid w:val="001F167C"/>
    <w:rsid w:val="001F4370"/>
    <w:rsid w:val="001F5E91"/>
    <w:rsid w:val="0020204F"/>
    <w:rsid w:val="002026CE"/>
    <w:rsid w:val="00202A4F"/>
    <w:rsid w:val="00204A89"/>
    <w:rsid w:val="002077B9"/>
    <w:rsid w:val="00211B32"/>
    <w:rsid w:val="00220BB1"/>
    <w:rsid w:val="00221519"/>
    <w:rsid w:val="002256B5"/>
    <w:rsid w:val="00235152"/>
    <w:rsid w:val="002524C2"/>
    <w:rsid w:val="002546B4"/>
    <w:rsid w:val="00262D72"/>
    <w:rsid w:val="0027168E"/>
    <w:rsid w:val="00275286"/>
    <w:rsid w:val="0028083C"/>
    <w:rsid w:val="00284520"/>
    <w:rsid w:val="00294FBB"/>
    <w:rsid w:val="002A5DE1"/>
    <w:rsid w:val="002A7B0D"/>
    <w:rsid w:val="002C030F"/>
    <w:rsid w:val="002C2ACC"/>
    <w:rsid w:val="002C5FDC"/>
    <w:rsid w:val="002E5F7C"/>
    <w:rsid w:val="002E7D4C"/>
    <w:rsid w:val="002F6EDB"/>
    <w:rsid w:val="003046CC"/>
    <w:rsid w:val="00310EF5"/>
    <w:rsid w:val="0031162E"/>
    <w:rsid w:val="00331D75"/>
    <w:rsid w:val="0033390B"/>
    <w:rsid w:val="00334297"/>
    <w:rsid w:val="00337A11"/>
    <w:rsid w:val="0034070B"/>
    <w:rsid w:val="00341629"/>
    <w:rsid w:val="0034677D"/>
    <w:rsid w:val="00347BE5"/>
    <w:rsid w:val="003518BC"/>
    <w:rsid w:val="003534CB"/>
    <w:rsid w:val="00355362"/>
    <w:rsid w:val="0035656C"/>
    <w:rsid w:val="00361612"/>
    <w:rsid w:val="00362BE2"/>
    <w:rsid w:val="00363E44"/>
    <w:rsid w:val="00365F0A"/>
    <w:rsid w:val="00367E5F"/>
    <w:rsid w:val="00377FCD"/>
    <w:rsid w:val="00387F54"/>
    <w:rsid w:val="00391154"/>
    <w:rsid w:val="00395E86"/>
    <w:rsid w:val="00397F36"/>
    <w:rsid w:val="003A21BF"/>
    <w:rsid w:val="003A2FD8"/>
    <w:rsid w:val="003A6E7B"/>
    <w:rsid w:val="003A7CFA"/>
    <w:rsid w:val="003B1470"/>
    <w:rsid w:val="003B40E6"/>
    <w:rsid w:val="003C247A"/>
    <w:rsid w:val="003C32FB"/>
    <w:rsid w:val="003D503D"/>
    <w:rsid w:val="003D5D81"/>
    <w:rsid w:val="003D7DC9"/>
    <w:rsid w:val="003E2492"/>
    <w:rsid w:val="003E74FB"/>
    <w:rsid w:val="003F0841"/>
    <w:rsid w:val="003F126B"/>
    <w:rsid w:val="003F2C01"/>
    <w:rsid w:val="003F6E14"/>
    <w:rsid w:val="004009FD"/>
    <w:rsid w:val="00400CE4"/>
    <w:rsid w:val="00401AD8"/>
    <w:rsid w:val="00402F4F"/>
    <w:rsid w:val="00405336"/>
    <w:rsid w:val="004058AF"/>
    <w:rsid w:val="004064EB"/>
    <w:rsid w:val="00413C56"/>
    <w:rsid w:val="0042023F"/>
    <w:rsid w:val="00424CC8"/>
    <w:rsid w:val="00425AE3"/>
    <w:rsid w:val="00434472"/>
    <w:rsid w:val="00434B4B"/>
    <w:rsid w:val="004358B2"/>
    <w:rsid w:val="00442C88"/>
    <w:rsid w:val="004535AE"/>
    <w:rsid w:val="004571D5"/>
    <w:rsid w:val="00460B48"/>
    <w:rsid w:val="0046113F"/>
    <w:rsid w:val="00461D81"/>
    <w:rsid w:val="00462F0A"/>
    <w:rsid w:val="0046356B"/>
    <w:rsid w:val="00477182"/>
    <w:rsid w:val="004779CB"/>
    <w:rsid w:val="00480CB4"/>
    <w:rsid w:val="00484163"/>
    <w:rsid w:val="004900AA"/>
    <w:rsid w:val="00491B52"/>
    <w:rsid w:val="004939F5"/>
    <w:rsid w:val="004979F4"/>
    <w:rsid w:val="004A2DAF"/>
    <w:rsid w:val="004A3153"/>
    <w:rsid w:val="004A6414"/>
    <w:rsid w:val="004A7ABC"/>
    <w:rsid w:val="004B275F"/>
    <w:rsid w:val="004C16E6"/>
    <w:rsid w:val="004C3708"/>
    <w:rsid w:val="004D3418"/>
    <w:rsid w:val="004D63E3"/>
    <w:rsid w:val="004E42D8"/>
    <w:rsid w:val="004E7790"/>
    <w:rsid w:val="004E7BA2"/>
    <w:rsid w:val="004F7EDF"/>
    <w:rsid w:val="005001AC"/>
    <w:rsid w:val="005106F4"/>
    <w:rsid w:val="005140E2"/>
    <w:rsid w:val="00524EC8"/>
    <w:rsid w:val="005255F8"/>
    <w:rsid w:val="00526E5D"/>
    <w:rsid w:val="00527D71"/>
    <w:rsid w:val="005331E7"/>
    <w:rsid w:val="005366C0"/>
    <w:rsid w:val="0053671A"/>
    <w:rsid w:val="00537EFF"/>
    <w:rsid w:val="00537F87"/>
    <w:rsid w:val="00541C76"/>
    <w:rsid w:val="005468DA"/>
    <w:rsid w:val="005504A6"/>
    <w:rsid w:val="005520A8"/>
    <w:rsid w:val="00554C06"/>
    <w:rsid w:val="005607DD"/>
    <w:rsid w:val="00577739"/>
    <w:rsid w:val="00584BCF"/>
    <w:rsid w:val="00585952"/>
    <w:rsid w:val="0059072C"/>
    <w:rsid w:val="005910DB"/>
    <w:rsid w:val="00592C53"/>
    <w:rsid w:val="00593726"/>
    <w:rsid w:val="00596217"/>
    <w:rsid w:val="00597617"/>
    <w:rsid w:val="005979C8"/>
    <w:rsid w:val="005A558C"/>
    <w:rsid w:val="005B4AA1"/>
    <w:rsid w:val="005B532A"/>
    <w:rsid w:val="005B5636"/>
    <w:rsid w:val="005C4CDD"/>
    <w:rsid w:val="005C5C09"/>
    <w:rsid w:val="005C5DEA"/>
    <w:rsid w:val="005C65A3"/>
    <w:rsid w:val="005C7632"/>
    <w:rsid w:val="005D1AAB"/>
    <w:rsid w:val="005D3CFA"/>
    <w:rsid w:val="005E28F8"/>
    <w:rsid w:val="005E2B41"/>
    <w:rsid w:val="005E4476"/>
    <w:rsid w:val="005E6513"/>
    <w:rsid w:val="00604889"/>
    <w:rsid w:val="00604A8D"/>
    <w:rsid w:val="00611BEF"/>
    <w:rsid w:val="0063185C"/>
    <w:rsid w:val="00644A42"/>
    <w:rsid w:val="00646FF2"/>
    <w:rsid w:val="00651114"/>
    <w:rsid w:val="00656163"/>
    <w:rsid w:val="00662FF9"/>
    <w:rsid w:val="00664560"/>
    <w:rsid w:val="0066741D"/>
    <w:rsid w:val="00670299"/>
    <w:rsid w:val="00672CB2"/>
    <w:rsid w:val="00684E77"/>
    <w:rsid w:val="00691985"/>
    <w:rsid w:val="00694015"/>
    <w:rsid w:val="006A1B64"/>
    <w:rsid w:val="006A1D8E"/>
    <w:rsid w:val="006C06A8"/>
    <w:rsid w:val="006E34B3"/>
    <w:rsid w:val="006E5D2D"/>
    <w:rsid w:val="006F3A53"/>
    <w:rsid w:val="00706864"/>
    <w:rsid w:val="007108F5"/>
    <w:rsid w:val="00711333"/>
    <w:rsid w:val="007134BC"/>
    <w:rsid w:val="00713C5E"/>
    <w:rsid w:val="00713E5B"/>
    <w:rsid w:val="007160DB"/>
    <w:rsid w:val="00720F69"/>
    <w:rsid w:val="00723749"/>
    <w:rsid w:val="007252AB"/>
    <w:rsid w:val="007307AB"/>
    <w:rsid w:val="00730872"/>
    <w:rsid w:val="00735726"/>
    <w:rsid w:val="0073754B"/>
    <w:rsid w:val="007402FC"/>
    <w:rsid w:val="007411A1"/>
    <w:rsid w:val="007469BD"/>
    <w:rsid w:val="0074767C"/>
    <w:rsid w:val="007615B0"/>
    <w:rsid w:val="00763828"/>
    <w:rsid w:val="00763A38"/>
    <w:rsid w:val="00764F36"/>
    <w:rsid w:val="00766A3A"/>
    <w:rsid w:val="00766E9F"/>
    <w:rsid w:val="007751E1"/>
    <w:rsid w:val="007900D0"/>
    <w:rsid w:val="00793072"/>
    <w:rsid w:val="00795C78"/>
    <w:rsid w:val="007A5D47"/>
    <w:rsid w:val="007B1F5A"/>
    <w:rsid w:val="007B3361"/>
    <w:rsid w:val="007C0F29"/>
    <w:rsid w:val="007C2324"/>
    <w:rsid w:val="007D1EFA"/>
    <w:rsid w:val="007D58F1"/>
    <w:rsid w:val="007D6ADE"/>
    <w:rsid w:val="007E47EA"/>
    <w:rsid w:val="007F28E4"/>
    <w:rsid w:val="00800AF1"/>
    <w:rsid w:val="008045D2"/>
    <w:rsid w:val="00807D35"/>
    <w:rsid w:val="00811236"/>
    <w:rsid w:val="008218C4"/>
    <w:rsid w:val="00822E35"/>
    <w:rsid w:val="008259B8"/>
    <w:rsid w:val="008339D8"/>
    <w:rsid w:val="00834B7A"/>
    <w:rsid w:val="00834D6B"/>
    <w:rsid w:val="00840C78"/>
    <w:rsid w:val="00852418"/>
    <w:rsid w:val="00856661"/>
    <w:rsid w:val="008609E4"/>
    <w:rsid w:val="00867A98"/>
    <w:rsid w:val="00870867"/>
    <w:rsid w:val="00885C9B"/>
    <w:rsid w:val="008A6299"/>
    <w:rsid w:val="008B5AE2"/>
    <w:rsid w:val="008B658E"/>
    <w:rsid w:val="008D4868"/>
    <w:rsid w:val="008D5D2A"/>
    <w:rsid w:val="008D7FDD"/>
    <w:rsid w:val="008E3227"/>
    <w:rsid w:val="008E332F"/>
    <w:rsid w:val="008E4059"/>
    <w:rsid w:val="008E55D3"/>
    <w:rsid w:val="008E7840"/>
    <w:rsid w:val="008F6A96"/>
    <w:rsid w:val="008F7EF6"/>
    <w:rsid w:val="00902A01"/>
    <w:rsid w:val="00905BC9"/>
    <w:rsid w:val="009130A7"/>
    <w:rsid w:val="00914B63"/>
    <w:rsid w:val="00920E43"/>
    <w:rsid w:val="00931280"/>
    <w:rsid w:val="00932EF3"/>
    <w:rsid w:val="00934577"/>
    <w:rsid w:val="009354F3"/>
    <w:rsid w:val="009447DC"/>
    <w:rsid w:val="00946F2B"/>
    <w:rsid w:val="00961BA5"/>
    <w:rsid w:val="00963392"/>
    <w:rsid w:val="009737AE"/>
    <w:rsid w:val="00973CF0"/>
    <w:rsid w:val="009743A9"/>
    <w:rsid w:val="00980AA7"/>
    <w:rsid w:val="009A19A6"/>
    <w:rsid w:val="009A5287"/>
    <w:rsid w:val="009A557B"/>
    <w:rsid w:val="009A56FC"/>
    <w:rsid w:val="009B2AC5"/>
    <w:rsid w:val="009B5CC7"/>
    <w:rsid w:val="009B7984"/>
    <w:rsid w:val="009B7E49"/>
    <w:rsid w:val="009C04FB"/>
    <w:rsid w:val="009C4E07"/>
    <w:rsid w:val="009D2277"/>
    <w:rsid w:val="009D3070"/>
    <w:rsid w:val="009D706B"/>
    <w:rsid w:val="009E075F"/>
    <w:rsid w:val="009E393B"/>
    <w:rsid w:val="009E64D9"/>
    <w:rsid w:val="009F3424"/>
    <w:rsid w:val="009F4914"/>
    <w:rsid w:val="009F4BED"/>
    <w:rsid w:val="009F7D93"/>
    <w:rsid w:val="00A01831"/>
    <w:rsid w:val="00A01E6C"/>
    <w:rsid w:val="00A03A5F"/>
    <w:rsid w:val="00A05A58"/>
    <w:rsid w:val="00A10E49"/>
    <w:rsid w:val="00A15CE9"/>
    <w:rsid w:val="00A161EF"/>
    <w:rsid w:val="00A239F8"/>
    <w:rsid w:val="00A27BD6"/>
    <w:rsid w:val="00A27E0D"/>
    <w:rsid w:val="00A3403B"/>
    <w:rsid w:val="00A428B0"/>
    <w:rsid w:val="00A45B47"/>
    <w:rsid w:val="00A51A12"/>
    <w:rsid w:val="00A54D51"/>
    <w:rsid w:val="00A60BD7"/>
    <w:rsid w:val="00A623B7"/>
    <w:rsid w:val="00A627D4"/>
    <w:rsid w:val="00A70265"/>
    <w:rsid w:val="00A74DA2"/>
    <w:rsid w:val="00A81093"/>
    <w:rsid w:val="00A8242D"/>
    <w:rsid w:val="00A87170"/>
    <w:rsid w:val="00A878C5"/>
    <w:rsid w:val="00A90E4E"/>
    <w:rsid w:val="00A94666"/>
    <w:rsid w:val="00A9659C"/>
    <w:rsid w:val="00AA439A"/>
    <w:rsid w:val="00AB13CA"/>
    <w:rsid w:val="00AB399E"/>
    <w:rsid w:val="00AC41B5"/>
    <w:rsid w:val="00AC553D"/>
    <w:rsid w:val="00AC59D0"/>
    <w:rsid w:val="00AD0BA2"/>
    <w:rsid w:val="00AD0E0E"/>
    <w:rsid w:val="00AD16B1"/>
    <w:rsid w:val="00AD499C"/>
    <w:rsid w:val="00AE3CC9"/>
    <w:rsid w:val="00AE6EC1"/>
    <w:rsid w:val="00AF3870"/>
    <w:rsid w:val="00B1571F"/>
    <w:rsid w:val="00B351A1"/>
    <w:rsid w:val="00B36869"/>
    <w:rsid w:val="00B36879"/>
    <w:rsid w:val="00B43B31"/>
    <w:rsid w:val="00B47CFA"/>
    <w:rsid w:val="00B54CE5"/>
    <w:rsid w:val="00B57F00"/>
    <w:rsid w:val="00B6645B"/>
    <w:rsid w:val="00B72C7A"/>
    <w:rsid w:val="00B77B2A"/>
    <w:rsid w:val="00B82C22"/>
    <w:rsid w:val="00B8444B"/>
    <w:rsid w:val="00B8488D"/>
    <w:rsid w:val="00B86945"/>
    <w:rsid w:val="00B93DBA"/>
    <w:rsid w:val="00B9440A"/>
    <w:rsid w:val="00BA6779"/>
    <w:rsid w:val="00BB2D2A"/>
    <w:rsid w:val="00BB5D7D"/>
    <w:rsid w:val="00BC3E04"/>
    <w:rsid w:val="00BD10AE"/>
    <w:rsid w:val="00BD16ED"/>
    <w:rsid w:val="00BD439D"/>
    <w:rsid w:val="00BD58CF"/>
    <w:rsid w:val="00BE2E68"/>
    <w:rsid w:val="00BE2F05"/>
    <w:rsid w:val="00BE3C88"/>
    <w:rsid w:val="00BE441E"/>
    <w:rsid w:val="00BE67E7"/>
    <w:rsid w:val="00BF07CC"/>
    <w:rsid w:val="00BF0C92"/>
    <w:rsid w:val="00BF4C6C"/>
    <w:rsid w:val="00BF4CDA"/>
    <w:rsid w:val="00C02957"/>
    <w:rsid w:val="00C04CC1"/>
    <w:rsid w:val="00C12753"/>
    <w:rsid w:val="00C14E60"/>
    <w:rsid w:val="00C21DE5"/>
    <w:rsid w:val="00C3146F"/>
    <w:rsid w:val="00C36486"/>
    <w:rsid w:val="00C4096C"/>
    <w:rsid w:val="00C4285A"/>
    <w:rsid w:val="00C4407E"/>
    <w:rsid w:val="00C45516"/>
    <w:rsid w:val="00C50C6D"/>
    <w:rsid w:val="00C553E3"/>
    <w:rsid w:val="00C600D9"/>
    <w:rsid w:val="00C74CA9"/>
    <w:rsid w:val="00C7543B"/>
    <w:rsid w:val="00C806D4"/>
    <w:rsid w:val="00C82554"/>
    <w:rsid w:val="00C84ED8"/>
    <w:rsid w:val="00C85AD3"/>
    <w:rsid w:val="00C8612A"/>
    <w:rsid w:val="00C92B22"/>
    <w:rsid w:val="00CA057D"/>
    <w:rsid w:val="00CA5CB8"/>
    <w:rsid w:val="00CB15B2"/>
    <w:rsid w:val="00CB5CD5"/>
    <w:rsid w:val="00CC1168"/>
    <w:rsid w:val="00CC1384"/>
    <w:rsid w:val="00CC6BCE"/>
    <w:rsid w:val="00CD2DF3"/>
    <w:rsid w:val="00CD3720"/>
    <w:rsid w:val="00CD3DF5"/>
    <w:rsid w:val="00CD7E49"/>
    <w:rsid w:val="00CE218D"/>
    <w:rsid w:val="00CE4762"/>
    <w:rsid w:val="00CE5CCF"/>
    <w:rsid w:val="00CE5EA8"/>
    <w:rsid w:val="00CF1848"/>
    <w:rsid w:val="00CF3DA0"/>
    <w:rsid w:val="00CF5C2F"/>
    <w:rsid w:val="00CF5E1A"/>
    <w:rsid w:val="00D00683"/>
    <w:rsid w:val="00D049F5"/>
    <w:rsid w:val="00D04A96"/>
    <w:rsid w:val="00D04AFD"/>
    <w:rsid w:val="00D04BCF"/>
    <w:rsid w:val="00D05C40"/>
    <w:rsid w:val="00D10707"/>
    <w:rsid w:val="00D143D9"/>
    <w:rsid w:val="00D3059B"/>
    <w:rsid w:val="00D46A6C"/>
    <w:rsid w:val="00D5511B"/>
    <w:rsid w:val="00D630BD"/>
    <w:rsid w:val="00D76449"/>
    <w:rsid w:val="00D766F1"/>
    <w:rsid w:val="00D769B8"/>
    <w:rsid w:val="00DA258C"/>
    <w:rsid w:val="00DB4FAB"/>
    <w:rsid w:val="00DB67D2"/>
    <w:rsid w:val="00DC1D16"/>
    <w:rsid w:val="00DC7B59"/>
    <w:rsid w:val="00DD081B"/>
    <w:rsid w:val="00DD2808"/>
    <w:rsid w:val="00DD5838"/>
    <w:rsid w:val="00DE0FE9"/>
    <w:rsid w:val="00DE2B0B"/>
    <w:rsid w:val="00DE2F2F"/>
    <w:rsid w:val="00DE3043"/>
    <w:rsid w:val="00DE4CCE"/>
    <w:rsid w:val="00DF03DD"/>
    <w:rsid w:val="00DF204C"/>
    <w:rsid w:val="00DF56C9"/>
    <w:rsid w:val="00DF7C74"/>
    <w:rsid w:val="00E10F6E"/>
    <w:rsid w:val="00E16674"/>
    <w:rsid w:val="00E16B14"/>
    <w:rsid w:val="00E17D6F"/>
    <w:rsid w:val="00E210B3"/>
    <w:rsid w:val="00E257C8"/>
    <w:rsid w:val="00E31C0A"/>
    <w:rsid w:val="00E3400D"/>
    <w:rsid w:val="00E40CC9"/>
    <w:rsid w:val="00E41512"/>
    <w:rsid w:val="00E417AD"/>
    <w:rsid w:val="00E427A4"/>
    <w:rsid w:val="00E4519A"/>
    <w:rsid w:val="00E460DE"/>
    <w:rsid w:val="00E464B2"/>
    <w:rsid w:val="00E5580F"/>
    <w:rsid w:val="00E55A8C"/>
    <w:rsid w:val="00E61D8B"/>
    <w:rsid w:val="00E713CD"/>
    <w:rsid w:val="00E72F22"/>
    <w:rsid w:val="00E75CF2"/>
    <w:rsid w:val="00E76DA7"/>
    <w:rsid w:val="00E77768"/>
    <w:rsid w:val="00E81171"/>
    <w:rsid w:val="00E825FD"/>
    <w:rsid w:val="00E84D83"/>
    <w:rsid w:val="00E853D5"/>
    <w:rsid w:val="00E9773B"/>
    <w:rsid w:val="00EA034A"/>
    <w:rsid w:val="00EA6B13"/>
    <w:rsid w:val="00EA6F42"/>
    <w:rsid w:val="00EB4783"/>
    <w:rsid w:val="00EC13A3"/>
    <w:rsid w:val="00EC499A"/>
    <w:rsid w:val="00EC5440"/>
    <w:rsid w:val="00EC5F75"/>
    <w:rsid w:val="00EC73F3"/>
    <w:rsid w:val="00EC76CB"/>
    <w:rsid w:val="00EC7C85"/>
    <w:rsid w:val="00ED4B9B"/>
    <w:rsid w:val="00EE0005"/>
    <w:rsid w:val="00EF5768"/>
    <w:rsid w:val="00EF5BC4"/>
    <w:rsid w:val="00F125EE"/>
    <w:rsid w:val="00F12E98"/>
    <w:rsid w:val="00F20407"/>
    <w:rsid w:val="00F22029"/>
    <w:rsid w:val="00F405C1"/>
    <w:rsid w:val="00F515FB"/>
    <w:rsid w:val="00F6144E"/>
    <w:rsid w:val="00F614E6"/>
    <w:rsid w:val="00F617A1"/>
    <w:rsid w:val="00F630EA"/>
    <w:rsid w:val="00F7007E"/>
    <w:rsid w:val="00F73193"/>
    <w:rsid w:val="00F74F95"/>
    <w:rsid w:val="00F75DE6"/>
    <w:rsid w:val="00F80705"/>
    <w:rsid w:val="00F81CD4"/>
    <w:rsid w:val="00F87B1A"/>
    <w:rsid w:val="00F9062B"/>
    <w:rsid w:val="00F91012"/>
    <w:rsid w:val="00FA1481"/>
    <w:rsid w:val="00FA3EDF"/>
    <w:rsid w:val="00FB6C3E"/>
    <w:rsid w:val="00FC48C3"/>
    <w:rsid w:val="00FD58C8"/>
    <w:rsid w:val="00FE020E"/>
    <w:rsid w:val="00FE6A89"/>
    <w:rsid w:val="00FF04E3"/>
    <w:rsid w:val="00FF3D59"/>
    <w:rsid w:val="00FF5797"/>
    <w:rsid w:val="00FF5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csl-entry">
    <w:name w:val="csl-entry"/>
    <w:basedOn w:val="Normal"/>
    <w:rsid w:val="004A3153"/>
    <w:pPr>
      <w:spacing w:before="100" w:beforeAutospacing="1" w:after="100" w:afterAutospacing="1"/>
    </w:pPr>
    <w:rPr>
      <w:rFonts w:eastAsiaTheme="minorEastAsia"/>
      <w:szCs w:val="24"/>
      <w:lang w:val="de-DE" w:eastAsia="de-DE"/>
    </w:rPr>
  </w:style>
  <w:style w:type="character" w:styleId="LineNumber">
    <w:name w:val="line number"/>
    <w:basedOn w:val="DefaultParagraphFont"/>
    <w:semiHidden/>
    <w:unhideWhenUsed/>
    <w:rsid w:val="004535AE"/>
  </w:style>
  <w:style w:type="character" w:styleId="PlaceholderText">
    <w:name w:val="Placeholder Text"/>
    <w:basedOn w:val="DefaultParagraphFont"/>
    <w:uiPriority w:val="99"/>
    <w:semiHidden/>
    <w:rsid w:val="00A01E6C"/>
    <w:rPr>
      <w:color w:val="808080"/>
    </w:rPr>
  </w:style>
  <w:style w:type="character" w:customStyle="1" w:styleId="apple-converted-space">
    <w:name w:val="apple-converted-space"/>
    <w:basedOn w:val="DefaultParagraphFont"/>
    <w:rsid w:val="00593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12656">
      <w:bodyDiv w:val="1"/>
      <w:marLeft w:val="0"/>
      <w:marRight w:val="0"/>
      <w:marTop w:val="0"/>
      <w:marBottom w:val="0"/>
      <w:divBdr>
        <w:top w:val="none" w:sz="0" w:space="0" w:color="auto"/>
        <w:left w:val="none" w:sz="0" w:space="0" w:color="auto"/>
        <w:bottom w:val="none" w:sz="0" w:space="0" w:color="auto"/>
        <w:right w:val="none" w:sz="0" w:space="0" w:color="auto"/>
      </w:divBdr>
    </w:div>
    <w:div w:id="225605463">
      <w:bodyDiv w:val="1"/>
      <w:marLeft w:val="0"/>
      <w:marRight w:val="0"/>
      <w:marTop w:val="0"/>
      <w:marBottom w:val="0"/>
      <w:divBdr>
        <w:top w:val="none" w:sz="0" w:space="0" w:color="auto"/>
        <w:left w:val="none" w:sz="0" w:space="0" w:color="auto"/>
        <w:bottom w:val="none" w:sz="0" w:space="0" w:color="auto"/>
        <w:right w:val="none" w:sz="0" w:space="0" w:color="auto"/>
      </w:divBdr>
      <w:divsChild>
        <w:div w:id="943613684">
          <w:marLeft w:val="0"/>
          <w:marRight w:val="0"/>
          <w:marTop w:val="0"/>
          <w:marBottom w:val="0"/>
          <w:divBdr>
            <w:top w:val="none" w:sz="0" w:space="0" w:color="auto"/>
            <w:left w:val="none" w:sz="0" w:space="0" w:color="auto"/>
            <w:bottom w:val="none" w:sz="0" w:space="0" w:color="auto"/>
            <w:right w:val="none" w:sz="0" w:space="0" w:color="auto"/>
          </w:divBdr>
        </w:div>
        <w:div w:id="875391290">
          <w:marLeft w:val="0"/>
          <w:marRight w:val="0"/>
          <w:marTop w:val="0"/>
          <w:marBottom w:val="0"/>
          <w:divBdr>
            <w:top w:val="none" w:sz="0" w:space="0" w:color="auto"/>
            <w:left w:val="none" w:sz="0" w:space="0" w:color="auto"/>
            <w:bottom w:val="none" w:sz="0" w:space="0" w:color="auto"/>
            <w:right w:val="none" w:sz="0" w:space="0" w:color="auto"/>
          </w:divBdr>
        </w:div>
        <w:div w:id="1975940965">
          <w:marLeft w:val="0"/>
          <w:marRight w:val="0"/>
          <w:marTop w:val="0"/>
          <w:marBottom w:val="0"/>
          <w:divBdr>
            <w:top w:val="none" w:sz="0" w:space="0" w:color="auto"/>
            <w:left w:val="none" w:sz="0" w:space="0" w:color="auto"/>
            <w:bottom w:val="none" w:sz="0" w:space="0" w:color="auto"/>
            <w:right w:val="none" w:sz="0" w:space="0" w:color="auto"/>
          </w:divBdr>
        </w:div>
        <w:div w:id="1989749957">
          <w:marLeft w:val="0"/>
          <w:marRight w:val="0"/>
          <w:marTop w:val="0"/>
          <w:marBottom w:val="0"/>
          <w:divBdr>
            <w:top w:val="none" w:sz="0" w:space="0" w:color="auto"/>
            <w:left w:val="none" w:sz="0" w:space="0" w:color="auto"/>
            <w:bottom w:val="none" w:sz="0" w:space="0" w:color="auto"/>
            <w:right w:val="none" w:sz="0" w:space="0" w:color="auto"/>
          </w:divBdr>
        </w:div>
        <w:div w:id="337930863">
          <w:marLeft w:val="0"/>
          <w:marRight w:val="0"/>
          <w:marTop w:val="0"/>
          <w:marBottom w:val="0"/>
          <w:divBdr>
            <w:top w:val="none" w:sz="0" w:space="0" w:color="auto"/>
            <w:left w:val="none" w:sz="0" w:space="0" w:color="auto"/>
            <w:bottom w:val="none" w:sz="0" w:space="0" w:color="auto"/>
            <w:right w:val="none" w:sz="0" w:space="0" w:color="auto"/>
          </w:divBdr>
        </w:div>
        <w:div w:id="1094977322">
          <w:marLeft w:val="0"/>
          <w:marRight w:val="0"/>
          <w:marTop w:val="0"/>
          <w:marBottom w:val="0"/>
          <w:divBdr>
            <w:top w:val="none" w:sz="0" w:space="0" w:color="auto"/>
            <w:left w:val="none" w:sz="0" w:space="0" w:color="auto"/>
            <w:bottom w:val="none" w:sz="0" w:space="0" w:color="auto"/>
            <w:right w:val="none" w:sz="0" w:space="0" w:color="auto"/>
          </w:divBdr>
        </w:div>
        <w:div w:id="1491018504">
          <w:marLeft w:val="0"/>
          <w:marRight w:val="0"/>
          <w:marTop w:val="0"/>
          <w:marBottom w:val="0"/>
          <w:divBdr>
            <w:top w:val="none" w:sz="0" w:space="0" w:color="auto"/>
            <w:left w:val="none" w:sz="0" w:space="0" w:color="auto"/>
            <w:bottom w:val="none" w:sz="0" w:space="0" w:color="auto"/>
            <w:right w:val="none" w:sz="0" w:space="0" w:color="auto"/>
          </w:divBdr>
        </w:div>
        <w:div w:id="100075437">
          <w:marLeft w:val="0"/>
          <w:marRight w:val="0"/>
          <w:marTop w:val="0"/>
          <w:marBottom w:val="0"/>
          <w:divBdr>
            <w:top w:val="none" w:sz="0" w:space="0" w:color="auto"/>
            <w:left w:val="none" w:sz="0" w:space="0" w:color="auto"/>
            <w:bottom w:val="none" w:sz="0" w:space="0" w:color="auto"/>
            <w:right w:val="none" w:sz="0" w:space="0" w:color="auto"/>
          </w:divBdr>
        </w:div>
        <w:div w:id="1969628278">
          <w:marLeft w:val="0"/>
          <w:marRight w:val="0"/>
          <w:marTop w:val="0"/>
          <w:marBottom w:val="0"/>
          <w:divBdr>
            <w:top w:val="none" w:sz="0" w:space="0" w:color="auto"/>
            <w:left w:val="none" w:sz="0" w:space="0" w:color="auto"/>
            <w:bottom w:val="none" w:sz="0" w:space="0" w:color="auto"/>
            <w:right w:val="none" w:sz="0" w:space="0" w:color="auto"/>
          </w:divBdr>
        </w:div>
        <w:div w:id="1723022417">
          <w:marLeft w:val="0"/>
          <w:marRight w:val="0"/>
          <w:marTop w:val="0"/>
          <w:marBottom w:val="0"/>
          <w:divBdr>
            <w:top w:val="none" w:sz="0" w:space="0" w:color="auto"/>
            <w:left w:val="none" w:sz="0" w:space="0" w:color="auto"/>
            <w:bottom w:val="none" w:sz="0" w:space="0" w:color="auto"/>
            <w:right w:val="none" w:sz="0" w:space="0" w:color="auto"/>
          </w:divBdr>
        </w:div>
        <w:div w:id="294988926">
          <w:marLeft w:val="0"/>
          <w:marRight w:val="0"/>
          <w:marTop w:val="0"/>
          <w:marBottom w:val="0"/>
          <w:divBdr>
            <w:top w:val="none" w:sz="0" w:space="0" w:color="auto"/>
            <w:left w:val="none" w:sz="0" w:space="0" w:color="auto"/>
            <w:bottom w:val="none" w:sz="0" w:space="0" w:color="auto"/>
            <w:right w:val="none" w:sz="0" w:space="0" w:color="auto"/>
          </w:divBdr>
        </w:div>
        <w:div w:id="1733236489">
          <w:marLeft w:val="0"/>
          <w:marRight w:val="0"/>
          <w:marTop w:val="0"/>
          <w:marBottom w:val="0"/>
          <w:divBdr>
            <w:top w:val="none" w:sz="0" w:space="0" w:color="auto"/>
            <w:left w:val="none" w:sz="0" w:space="0" w:color="auto"/>
            <w:bottom w:val="none" w:sz="0" w:space="0" w:color="auto"/>
            <w:right w:val="none" w:sz="0" w:space="0" w:color="auto"/>
          </w:divBdr>
        </w:div>
        <w:div w:id="914779020">
          <w:marLeft w:val="0"/>
          <w:marRight w:val="0"/>
          <w:marTop w:val="0"/>
          <w:marBottom w:val="0"/>
          <w:divBdr>
            <w:top w:val="none" w:sz="0" w:space="0" w:color="auto"/>
            <w:left w:val="none" w:sz="0" w:space="0" w:color="auto"/>
            <w:bottom w:val="none" w:sz="0" w:space="0" w:color="auto"/>
            <w:right w:val="none" w:sz="0" w:space="0" w:color="auto"/>
          </w:divBdr>
        </w:div>
      </w:divsChild>
    </w:div>
    <w:div w:id="277565547">
      <w:bodyDiv w:val="1"/>
      <w:marLeft w:val="0"/>
      <w:marRight w:val="0"/>
      <w:marTop w:val="0"/>
      <w:marBottom w:val="0"/>
      <w:divBdr>
        <w:top w:val="none" w:sz="0" w:space="0" w:color="auto"/>
        <w:left w:val="none" w:sz="0" w:space="0" w:color="auto"/>
        <w:bottom w:val="none" w:sz="0" w:space="0" w:color="auto"/>
        <w:right w:val="none" w:sz="0" w:space="0" w:color="auto"/>
      </w:divBdr>
    </w:div>
    <w:div w:id="351494929">
      <w:bodyDiv w:val="1"/>
      <w:marLeft w:val="0"/>
      <w:marRight w:val="0"/>
      <w:marTop w:val="0"/>
      <w:marBottom w:val="0"/>
      <w:divBdr>
        <w:top w:val="none" w:sz="0" w:space="0" w:color="auto"/>
        <w:left w:val="none" w:sz="0" w:space="0" w:color="auto"/>
        <w:bottom w:val="none" w:sz="0" w:space="0" w:color="auto"/>
        <w:right w:val="none" w:sz="0" w:space="0" w:color="auto"/>
      </w:divBdr>
    </w:div>
    <w:div w:id="395668738">
      <w:bodyDiv w:val="1"/>
      <w:marLeft w:val="0"/>
      <w:marRight w:val="0"/>
      <w:marTop w:val="0"/>
      <w:marBottom w:val="0"/>
      <w:divBdr>
        <w:top w:val="none" w:sz="0" w:space="0" w:color="auto"/>
        <w:left w:val="none" w:sz="0" w:space="0" w:color="auto"/>
        <w:bottom w:val="none" w:sz="0" w:space="0" w:color="auto"/>
        <w:right w:val="none" w:sz="0" w:space="0" w:color="auto"/>
      </w:divBdr>
    </w:div>
    <w:div w:id="733506592">
      <w:bodyDiv w:val="1"/>
      <w:marLeft w:val="0"/>
      <w:marRight w:val="0"/>
      <w:marTop w:val="0"/>
      <w:marBottom w:val="0"/>
      <w:divBdr>
        <w:top w:val="none" w:sz="0" w:space="0" w:color="auto"/>
        <w:left w:val="none" w:sz="0" w:space="0" w:color="auto"/>
        <w:bottom w:val="none" w:sz="0" w:space="0" w:color="auto"/>
        <w:right w:val="none" w:sz="0" w:space="0" w:color="auto"/>
      </w:divBdr>
    </w:div>
    <w:div w:id="789667642">
      <w:bodyDiv w:val="1"/>
      <w:marLeft w:val="0"/>
      <w:marRight w:val="0"/>
      <w:marTop w:val="0"/>
      <w:marBottom w:val="0"/>
      <w:divBdr>
        <w:top w:val="none" w:sz="0" w:space="0" w:color="auto"/>
        <w:left w:val="none" w:sz="0" w:space="0" w:color="auto"/>
        <w:bottom w:val="none" w:sz="0" w:space="0" w:color="auto"/>
        <w:right w:val="none" w:sz="0" w:space="0" w:color="auto"/>
      </w:divBdr>
    </w:div>
    <w:div w:id="794444193">
      <w:bodyDiv w:val="1"/>
      <w:marLeft w:val="0"/>
      <w:marRight w:val="0"/>
      <w:marTop w:val="0"/>
      <w:marBottom w:val="0"/>
      <w:divBdr>
        <w:top w:val="none" w:sz="0" w:space="0" w:color="auto"/>
        <w:left w:val="none" w:sz="0" w:space="0" w:color="auto"/>
        <w:bottom w:val="none" w:sz="0" w:space="0" w:color="auto"/>
        <w:right w:val="none" w:sz="0" w:space="0" w:color="auto"/>
      </w:divBdr>
    </w:div>
    <w:div w:id="816341329">
      <w:bodyDiv w:val="1"/>
      <w:marLeft w:val="0"/>
      <w:marRight w:val="0"/>
      <w:marTop w:val="0"/>
      <w:marBottom w:val="0"/>
      <w:divBdr>
        <w:top w:val="none" w:sz="0" w:space="0" w:color="auto"/>
        <w:left w:val="none" w:sz="0" w:space="0" w:color="auto"/>
        <w:bottom w:val="none" w:sz="0" w:space="0" w:color="auto"/>
        <w:right w:val="none" w:sz="0" w:space="0" w:color="auto"/>
      </w:divBdr>
    </w:div>
    <w:div w:id="849491847">
      <w:bodyDiv w:val="1"/>
      <w:marLeft w:val="0"/>
      <w:marRight w:val="0"/>
      <w:marTop w:val="0"/>
      <w:marBottom w:val="0"/>
      <w:divBdr>
        <w:top w:val="none" w:sz="0" w:space="0" w:color="auto"/>
        <w:left w:val="none" w:sz="0" w:space="0" w:color="auto"/>
        <w:bottom w:val="none" w:sz="0" w:space="0" w:color="auto"/>
        <w:right w:val="none" w:sz="0" w:space="0" w:color="auto"/>
      </w:divBdr>
    </w:div>
    <w:div w:id="873691586">
      <w:bodyDiv w:val="1"/>
      <w:marLeft w:val="0"/>
      <w:marRight w:val="0"/>
      <w:marTop w:val="0"/>
      <w:marBottom w:val="0"/>
      <w:divBdr>
        <w:top w:val="none" w:sz="0" w:space="0" w:color="auto"/>
        <w:left w:val="none" w:sz="0" w:space="0" w:color="auto"/>
        <w:bottom w:val="none" w:sz="0" w:space="0" w:color="auto"/>
        <w:right w:val="none" w:sz="0" w:space="0" w:color="auto"/>
      </w:divBdr>
    </w:div>
    <w:div w:id="945382466">
      <w:bodyDiv w:val="1"/>
      <w:marLeft w:val="0"/>
      <w:marRight w:val="0"/>
      <w:marTop w:val="0"/>
      <w:marBottom w:val="0"/>
      <w:divBdr>
        <w:top w:val="none" w:sz="0" w:space="0" w:color="auto"/>
        <w:left w:val="none" w:sz="0" w:space="0" w:color="auto"/>
        <w:bottom w:val="none" w:sz="0" w:space="0" w:color="auto"/>
        <w:right w:val="none" w:sz="0" w:space="0" w:color="auto"/>
      </w:divBdr>
    </w:div>
    <w:div w:id="960960729">
      <w:bodyDiv w:val="1"/>
      <w:marLeft w:val="0"/>
      <w:marRight w:val="0"/>
      <w:marTop w:val="0"/>
      <w:marBottom w:val="0"/>
      <w:divBdr>
        <w:top w:val="none" w:sz="0" w:space="0" w:color="auto"/>
        <w:left w:val="none" w:sz="0" w:space="0" w:color="auto"/>
        <w:bottom w:val="none" w:sz="0" w:space="0" w:color="auto"/>
        <w:right w:val="none" w:sz="0" w:space="0" w:color="auto"/>
      </w:divBdr>
    </w:div>
    <w:div w:id="1020742592">
      <w:bodyDiv w:val="1"/>
      <w:marLeft w:val="0"/>
      <w:marRight w:val="0"/>
      <w:marTop w:val="0"/>
      <w:marBottom w:val="0"/>
      <w:divBdr>
        <w:top w:val="none" w:sz="0" w:space="0" w:color="auto"/>
        <w:left w:val="none" w:sz="0" w:space="0" w:color="auto"/>
        <w:bottom w:val="none" w:sz="0" w:space="0" w:color="auto"/>
        <w:right w:val="none" w:sz="0" w:space="0" w:color="auto"/>
      </w:divBdr>
    </w:div>
    <w:div w:id="1095786019">
      <w:bodyDiv w:val="1"/>
      <w:marLeft w:val="0"/>
      <w:marRight w:val="0"/>
      <w:marTop w:val="0"/>
      <w:marBottom w:val="0"/>
      <w:divBdr>
        <w:top w:val="none" w:sz="0" w:space="0" w:color="auto"/>
        <w:left w:val="none" w:sz="0" w:space="0" w:color="auto"/>
        <w:bottom w:val="none" w:sz="0" w:space="0" w:color="auto"/>
        <w:right w:val="none" w:sz="0" w:space="0" w:color="auto"/>
      </w:divBdr>
    </w:div>
    <w:div w:id="1126509960">
      <w:bodyDiv w:val="1"/>
      <w:marLeft w:val="0"/>
      <w:marRight w:val="0"/>
      <w:marTop w:val="0"/>
      <w:marBottom w:val="0"/>
      <w:divBdr>
        <w:top w:val="none" w:sz="0" w:space="0" w:color="auto"/>
        <w:left w:val="none" w:sz="0" w:space="0" w:color="auto"/>
        <w:bottom w:val="none" w:sz="0" w:space="0" w:color="auto"/>
        <w:right w:val="none" w:sz="0" w:space="0" w:color="auto"/>
      </w:divBdr>
    </w:div>
    <w:div w:id="1135752615">
      <w:bodyDiv w:val="1"/>
      <w:marLeft w:val="0"/>
      <w:marRight w:val="0"/>
      <w:marTop w:val="0"/>
      <w:marBottom w:val="0"/>
      <w:divBdr>
        <w:top w:val="none" w:sz="0" w:space="0" w:color="auto"/>
        <w:left w:val="none" w:sz="0" w:space="0" w:color="auto"/>
        <w:bottom w:val="none" w:sz="0" w:space="0" w:color="auto"/>
        <w:right w:val="none" w:sz="0" w:space="0" w:color="auto"/>
      </w:divBdr>
    </w:div>
    <w:div w:id="1164395878">
      <w:bodyDiv w:val="1"/>
      <w:marLeft w:val="0"/>
      <w:marRight w:val="0"/>
      <w:marTop w:val="0"/>
      <w:marBottom w:val="0"/>
      <w:divBdr>
        <w:top w:val="none" w:sz="0" w:space="0" w:color="auto"/>
        <w:left w:val="none" w:sz="0" w:space="0" w:color="auto"/>
        <w:bottom w:val="none" w:sz="0" w:space="0" w:color="auto"/>
        <w:right w:val="none" w:sz="0" w:space="0" w:color="auto"/>
      </w:divBdr>
    </w:div>
    <w:div w:id="1228414437">
      <w:bodyDiv w:val="1"/>
      <w:marLeft w:val="0"/>
      <w:marRight w:val="0"/>
      <w:marTop w:val="0"/>
      <w:marBottom w:val="0"/>
      <w:divBdr>
        <w:top w:val="none" w:sz="0" w:space="0" w:color="auto"/>
        <w:left w:val="none" w:sz="0" w:space="0" w:color="auto"/>
        <w:bottom w:val="none" w:sz="0" w:space="0" w:color="auto"/>
        <w:right w:val="none" w:sz="0" w:space="0" w:color="auto"/>
      </w:divBdr>
    </w:div>
    <w:div w:id="1274629412">
      <w:bodyDiv w:val="1"/>
      <w:marLeft w:val="0"/>
      <w:marRight w:val="0"/>
      <w:marTop w:val="0"/>
      <w:marBottom w:val="0"/>
      <w:divBdr>
        <w:top w:val="none" w:sz="0" w:space="0" w:color="auto"/>
        <w:left w:val="none" w:sz="0" w:space="0" w:color="auto"/>
        <w:bottom w:val="none" w:sz="0" w:space="0" w:color="auto"/>
        <w:right w:val="none" w:sz="0" w:space="0" w:color="auto"/>
      </w:divBdr>
    </w:div>
    <w:div w:id="1286351352">
      <w:bodyDiv w:val="1"/>
      <w:marLeft w:val="0"/>
      <w:marRight w:val="0"/>
      <w:marTop w:val="0"/>
      <w:marBottom w:val="0"/>
      <w:divBdr>
        <w:top w:val="none" w:sz="0" w:space="0" w:color="auto"/>
        <w:left w:val="none" w:sz="0" w:space="0" w:color="auto"/>
        <w:bottom w:val="none" w:sz="0" w:space="0" w:color="auto"/>
        <w:right w:val="none" w:sz="0" w:space="0" w:color="auto"/>
      </w:divBdr>
    </w:div>
    <w:div w:id="1290551124">
      <w:bodyDiv w:val="1"/>
      <w:marLeft w:val="0"/>
      <w:marRight w:val="0"/>
      <w:marTop w:val="0"/>
      <w:marBottom w:val="0"/>
      <w:divBdr>
        <w:top w:val="none" w:sz="0" w:space="0" w:color="auto"/>
        <w:left w:val="none" w:sz="0" w:space="0" w:color="auto"/>
        <w:bottom w:val="none" w:sz="0" w:space="0" w:color="auto"/>
        <w:right w:val="none" w:sz="0" w:space="0" w:color="auto"/>
      </w:divBdr>
    </w:div>
    <w:div w:id="1345746338">
      <w:bodyDiv w:val="1"/>
      <w:marLeft w:val="0"/>
      <w:marRight w:val="0"/>
      <w:marTop w:val="0"/>
      <w:marBottom w:val="0"/>
      <w:divBdr>
        <w:top w:val="none" w:sz="0" w:space="0" w:color="auto"/>
        <w:left w:val="none" w:sz="0" w:space="0" w:color="auto"/>
        <w:bottom w:val="none" w:sz="0" w:space="0" w:color="auto"/>
        <w:right w:val="none" w:sz="0" w:space="0" w:color="auto"/>
      </w:divBdr>
    </w:div>
    <w:div w:id="1470778808">
      <w:bodyDiv w:val="1"/>
      <w:marLeft w:val="0"/>
      <w:marRight w:val="0"/>
      <w:marTop w:val="0"/>
      <w:marBottom w:val="0"/>
      <w:divBdr>
        <w:top w:val="none" w:sz="0" w:space="0" w:color="auto"/>
        <w:left w:val="none" w:sz="0" w:space="0" w:color="auto"/>
        <w:bottom w:val="none" w:sz="0" w:space="0" w:color="auto"/>
        <w:right w:val="none" w:sz="0" w:space="0" w:color="auto"/>
      </w:divBdr>
    </w:div>
    <w:div w:id="1565751681">
      <w:bodyDiv w:val="1"/>
      <w:marLeft w:val="0"/>
      <w:marRight w:val="0"/>
      <w:marTop w:val="0"/>
      <w:marBottom w:val="0"/>
      <w:divBdr>
        <w:top w:val="none" w:sz="0" w:space="0" w:color="auto"/>
        <w:left w:val="none" w:sz="0" w:space="0" w:color="auto"/>
        <w:bottom w:val="none" w:sz="0" w:space="0" w:color="auto"/>
        <w:right w:val="none" w:sz="0" w:space="0" w:color="auto"/>
      </w:divBdr>
    </w:div>
    <w:div w:id="1617717989">
      <w:bodyDiv w:val="1"/>
      <w:marLeft w:val="0"/>
      <w:marRight w:val="0"/>
      <w:marTop w:val="0"/>
      <w:marBottom w:val="0"/>
      <w:divBdr>
        <w:top w:val="none" w:sz="0" w:space="0" w:color="auto"/>
        <w:left w:val="none" w:sz="0" w:space="0" w:color="auto"/>
        <w:bottom w:val="none" w:sz="0" w:space="0" w:color="auto"/>
        <w:right w:val="none" w:sz="0" w:space="0" w:color="auto"/>
      </w:divBdr>
    </w:div>
    <w:div w:id="1617910208">
      <w:bodyDiv w:val="1"/>
      <w:marLeft w:val="0"/>
      <w:marRight w:val="0"/>
      <w:marTop w:val="0"/>
      <w:marBottom w:val="0"/>
      <w:divBdr>
        <w:top w:val="none" w:sz="0" w:space="0" w:color="auto"/>
        <w:left w:val="none" w:sz="0" w:space="0" w:color="auto"/>
        <w:bottom w:val="none" w:sz="0" w:space="0" w:color="auto"/>
        <w:right w:val="none" w:sz="0" w:space="0" w:color="auto"/>
      </w:divBdr>
    </w:div>
    <w:div w:id="1665820054">
      <w:bodyDiv w:val="1"/>
      <w:marLeft w:val="0"/>
      <w:marRight w:val="0"/>
      <w:marTop w:val="0"/>
      <w:marBottom w:val="0"/>
      <w:divBdr>
        <w:top w:val="none" w:sz="0" w:space="0" w:color="auto"/>
        <w:left w:val="none" w:sz="0" w:space="0" w:color="auto"/>
        <w:bottom w:val="none" w:sz="0" w:space="0" w:color="auto"/>
        <w:right w:val="none" w:sz="0" w:space="0" w:color="auto"/>
      </w:divBdr>
    </w:div>
    <w:div w:id="1706252791">
      <w:bodyDiv w:val="1"/>
      <w:marLeft w:val="0"/>
      <w:marRight w:val="0"/>
      <w:marTop w:val="0"/>
      <w:marBottom w:val="0"/>
      <w:divBdr>
        <w:top w:val="none" w:sz="0" w:space="0" w:color="auto"/>
        <w:left w:val="none" w:sz="0" w:space="0" w:color="auto"/>
        <w:bottom w:val="none" w:sz="0" w:space="0" w:color="auto"/>
        <w:right w:val="none" w:sz="0" w:space="0" w:color="auto"/>
      </w:divBdr>
    </w:div>
    <w:div w:id="1820917803">
      <w:bodyDiv w:val="1"/>
      <w:marLeft w:val="0"/>
      <w:marRight w:val="0"/>
      <w:marTop w:val="0"/>
      <w:marBottom w:val="0"/>
      <w:divBdr>
        <w:top w:val="none" w:sz="0" w:space="0" w:color="auto"/>
        <w:left w:val="none" w:sz="0" w:space="0" w:color="auto"/>
        <w:bottom w:val="none" w:sz="0" w:space="0" w:color="auto"/>
        <w:right w:val="none" w:sz="0" w:space="0" w:color="auto"/>
      </w:divBdr>
    </w:div>
    <w:div w:id="1862817114">
      <w:bodyDiv w:val="1"/>
      <w:marLeft w:val="0"/>
      <w:marRight w:val="0"/>
      <w:marTop w:val="0"/>
      <w:marBottom w:val="0"/>
      <w:divBdr>
        <w:top w:val="none" w:sz="0" w:space="0" w:color="auto"/>
        <w:left w:val="none" w:sz="0" w:space="0" w:color="auto"/>
        <w:bottom w:val="none" w:sz="0" w:space="0" w:color="auto"/>
        <w:right w:val="none" w:sz="0" w:space="0" w:color="auto"/>
      </w:divBdr>
    </w:div>
    <w:div w:id="1865290194">
      <w:bodyDiv w:val="1"/>
      <w:marLeft w:val="0"/>
      <w:marRight w:val="0"/>
      <w:marTop w:val="0"/>
      <w:marBottom w:val="0"/>
      <w:divBdr>
        <w:top w:val="none" w:sz="0" w:space="0" w:color="auto"/>
        <w:left w:val="none" w:sz="0" w:space="0" w:color="auto"/>
        <w:bottom w:val="none" w:sz="0" w:space="0" w:color="auto"/>
        <w:right w:val="none" w:sz="0" w:space="0" w:color="auto"/>
      </w:divBdr>
    </w:div>
    <w:div w:id="1939830836">
      <w:bodyDiv w:val="1"/>
      <w:marLeft w:val="0"/>
      <w:marRight w:val="0"/>
      <w:marTop w:val="0"/>
      <w:marBottom w:val="0"/>
      <w:divBdr>
        <w:top w:val="none" w:sz="0" w:space="0" w:color="auto"/>
        <w:left w:val="none" w:sz="0" w:space="0" w:color="auto"/>
        <w:bottom w:val="none" w:sz="0" w:space="0" w:color="auto"/>
        <w:right w:val="none" w:sz="0" w:space="0" w:color="auto"/>
      </w:divBdr>
    </w:div>
    <w:div w:id="2050297721">
      <w:bodyDiv w:val="1"/>
      <w:marLeft w:val="0"/>
      <w:marRight w:val="0"/>
      <w:marTop w:val="0"/>
      <w:marBottom w:val="0"/>
      <w:divBdr>
        <w:top w:val="none" w:sz="0" w:space="0" w:color="auto"/>
        <w:left w:val="none" w:sz="0" w:space="0" w:color="auto"/>
        <w:bottom w:val="none" w:sz="0" w:space="0" w:color="auto"/>
        <w:right w:val="none" w:sz="0" w:space="0" w:color="auto"/>
      </w:divBdr>
    </w:div>
    <w:div w:id="205843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F4CA7D9A8E3148AEF5C0ED68CE929F"/>
        <w:category>
          <w:name w:val="Allgemein"/>
          <w:gallery w:val="placeholder"/>
        </w:category>
        <w:types>
          <w:type w:val="bbPlcHdr"/>
        </w:types>
        <w:behaviors>
          <w:behavior w:val="content"/>
        </w:behaviors>
        <w:guid w:val="{AEB007FC-D608-6F4F-BF7A-02C15FC02BBD}"/>
      </w:docPartPr>
      <w:docPartBody>
        <w:p w:rsidR="008878E9" w:rsidRDefault="00E72359" w:rsidP="00E72359">
          <w:pPr>
            <w:pStyle w:val="8CF4CA7D9A8E3148AEF5C0ED68CE929F"/>
          </w:pPr>
          <w:r w:rsidRPr="00A37A98">
            <w:rPr>
              <w:rStyle w:val="PlaceholderText"/>
            </w:rPr>
            <w:t>Klicken oder tippen Sie hier, um Text einzugeben.</w:t>
          </w:r>
        </w:p>
      </w:docPartBody>
    </w:docPart>
    <w:docPart>
      <w:docPartPr>
        <w:name w:val="AD2468CFE6E9034295B112A34388FB34"/>
        <w:category>
          <w:name w:val="Allgemein"/>
          <w:gallery w:val="placeholder"/>
        </w:category>
        <w:types>
          <w:type w:val="bbPlcHdr"/>
        </w:types>
        <w:behaviors>
          <w:behavior w:val="content"/>
        </w:behaviors>
        <w:guid w:val="{9CF4994B-1B1A-0549-9478-CB25166D1553}"/>
      </w:docPartPr>
      <w:docPartBody>
        <w:p w:rsidR="008878E9" w:rsidRDefault="00E72359" w:rsidP="00E72359">
          <w:pPr>
            <w:pStyle w:val="AD2468CFE6E9034295B112A34388FB34"/>
          </w:pPr>
          <w:r w:rsidRPr="00A37A98">
            <w:rPr>
              <w:rStyle w:val="PlaceholderText"/>
            </w:rPr>
            <w:t>Klicken oder tippen Sie hier, um Text einzugeben.</w:t>
          </w:r>
        </w:p>
      </w:docPartBody>
    </w:docPart>
    <w:docPart>
      <w:docPartPr>
        <w:name w:val="2C9351A62B8EEE4CA33479067AA021BC"/>
        <w:category>
          <w:name w:val="Allgemein"/>
          <w:gallery w:val="placeholder"/>
        </w:category>
        <w:types>
          <w:type w:val="bbPlcHdr"/>
        </w:types>
        <w:behaviors>
          <w:behavior w:val="content"/>
        </w:behaviors>
        <w:guid w:val="{463D0843-ECE0-B94A-831F-1FAE22F6A63B}"/>
      </w:docPartPr>
      <w:docPartBody>
        <w:p w:rsidR="008878E9" w:rsidRDefault="00E72359" w:rsidP="00E72359">
          <w:pPr>
            <w:pStyle w:val="2C9351A62B8EEE4CA33479067AA021BC"/>
          </w:pPr>
          <w:r w:rsidRPr="00A37A98">
            <w:rPr>
              <w:rStyle w:val="PlaceholderText"/>
            </w:rPr>
            <w:t>Klicken oder tippen Sie hier, um Text einzugeben.</w:t>
          </w:r>
        </w:p>
      </w:docPartBody>
    </w:docPart>
    <w:docPart>
      <w:docPartPr>
        <w:name w:val="C2096C7DDF2B754FA698EBC0E727D7F1"/>
        <w:category>
          <w:name w:val="Allgemein"/>
          <w:gallery w:val="placeholder"/>
        </w:category>
        <w:types>
          <w:type w:val="bbPlcHdr"/>
        </w:types>
        <w:behaviors>
          <w:behavior w:val="content"/>
        </w:behaviors>
        <w:guid w:val="{743D5C3B-74DD-644F-A18A-CA68FA0D92BB}"/>
      </w:docPartPr>
      <w:docPartBody>
        <w:p w:rsidR="008878E9" w:rsidRDefault="00E72359" w:rsidP="00E72359">
          <w:pPr>
            <w:pStyle w:val="C2096C7DDF2B754FA698EBC0E727D7F1"/>
          </w:pPr>
          <w:r w:rsidRPr="00A37A98">
            <w:rPr>
              <w:rStyle w:val="PlaceholderText"/>
            </w:rPr>
            <w:t>Klicken oder tippen Sie hier, um Text einzugeben.</w:t>
          </w:r>
        </w:p>
      </w:docPartBody>
    </w:docPart>
    <w:docPart>
      <w:docPartPr>
        <w:name w:val="469542099F0E3D4B95F85E1DAFA2E080"/>
        <w:category>
          <w:name w:val="Allgemein"/>
          <w:gallery w:val="placeholder"/>
        </w:category>
        <w:types>
          <w:type w:val="bbPlcHdr"/>
        </w:types>
        <w:behaviors>
          <w:behavior w:val="content"/>
        </w:behaviors>
        <w:guid w:val="{98E0D994-0E55-A34E-88CA-9F52437E0CA9}"/>
      </w:docPartPr>
      <w:docPartBody>
        <w:p w:rsidR="008878E9" w:rsidRDefault="00E72359" w:rsidP="00E72359">
          <w:pPr>
            <w:pStyle w:val="469542099F0E3D4B95F85E1DAFA2E080"/>
          </w:pPr>
          <w:r w:rsidRPr="00A37A98">
            <w:rPr>
              <w:rStyle w:val="PlaceholderText"/>
            </w:rPr>
            <w:t>Klicken oder tippen Sie hier, um Text einzugeben.</w:t>
          </w:r>
        </w:p>
      </w:docPartBody>
    </w:docPart>
    <w:docPart>
      <w:docPartPr>
        <w:name w:val="A172B6519ACEE74CA05294A4A1634B56"/>
        <w:category>
          <w:name w:val="Allgemein"/>
          <w:gallery w:val="placeholder"/>
        </w:category>
        <w:types>
          <w:type w:val="bbPlcHdr"/>
        </w:types>
        <w:behaviors>
          <w:behavior w:val="content"/>
        </w:behaviors>
        <w:guid w:val="{92D72FBC-FF55-AF46-8E2E-4D8A42D2C81C}"/>
      </w:docPartPr>
      <w:docPartBody>
        <w:p w:rsidR="008878E9" w:rsidRDefault="00E72359" w:rsidP="00E72359">
          <w:pPr>
            <w:pStyle w:val="A172B6519ACEE74CA05294A4A1634B56"/>
          </w:pPr>
          <w:r w:rsidRPr="00A37A98">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Ɖ"/>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A3"/>
    <w:rsid w:val="00017A00"/>
    <w:rsid w:val="000379C6"/>
    <w:rsid w:val="000E3E2D"/>
    <w:rsid w:val="001005E6"/>
    <w:rsid w:val="00144D7E"/>
    <w:rsid w:val="00146A3F"/>
    <w:rsid w:val="00184912"/>
    <w:rsid w:val="001936EE"/>
    <w:rsid w:val="001A13C9"/>
    <w:rsid w:val="001C1D19"/>
    <w:rsid w:val="001C487A"/>
    <w:rsid w:val="001C48E5"/>
    <w:rsid w:val="001C4D25"/>
    <w:rsid w:val="00260E54"/>
    <w:rsid w:val="00290504"/>
    <w:rsid w:val="002968B6"/>
    <w:rsid w:val="002A1757"/>
    <w:rsid w:val="002A4F1D"/>
    <w:rsid w:val="002C3639"/>
    <w:rsid w:val="002F6E1D"/>
    <w:rsid w:val="00306592"/>
    <w:rsid w:val="00313735"/>
    <w:rsid w:val="00321316"/>
    <w:rsid w:val="00343106"/>
    <w:rsid w:val="003566F9"/>
    <w:rsid w:val="003641B6"/>
    <w:rsid w:val="003B63BD"/>
    <w:rsid w:val="003C46A1"/>
    <w:rsid w:val="003E0CE9"/>
    <w:rsid w:val="003F1252"/>
    <w:rsid w:val="00411F4B"/>
    <w:rsid w:val="0043679D"/>
    <w:rsid w:val="00445251"/>
    <w:rsid w:val="00495EB6"/>
    <w:rsid w:val="004B6280"/>
    <w:rsid w:val="004C16DA"/>
    <w:rsid w:val="004E3ABC"/>
    <w:rsid w:val="004F23D0"/>
    <w:rsid w:val="005044B4"/>
    <w:rsid w:val="00510103"/>
    <w:rsid w:val="005265D4"/>
    <w:rsid w:val="00530F30"/>
    <w:rsid w:val="005700D8"/>
    <w:rsid w:val="00580FFD"/>
    <w:rsid w:val="00584565"/>
    <w:rsid w:val="005967DC"/>
    <w:rsid w:val="00596E83"/>
    <w:rsid w:val="005972DB"/>
    <w:rsid w:val="005A746E"/>
    <w:rsid w:val="005A76AF"/>
    <w:rsid w:val="005B656A"/>
    <w:rsid w:val="005C6643"/>
    <w:rsid w:val="005D61D4"/>
    <w:rsid w:val="005F408A"/>
    <w:rsid w:val="005F7B2D"/>
    <w:rsid w:val="00606524"/>
    <w:rsid w:val="006145B4"/>
    <w:rsid w:val="006261A6"/>
    <w:rsid w:val="00675C14"/>
    <w:rsid w:val="006803C6"/>
    <w:rsid w:val="00682C59"/>
    <w:rsid w:val="006863E5"/>
    <w:rsid w:val="006A46F3"/>
    <w:rsid w:val="006B2B19"/>
    <w:rsid w:val="006C0213"/>
    <w:rsid w:val="006C1A54"/>
    <w:rsid w:val="006C6E67"/>
    <w:rsid w:val="006F5C74"/>
    <w:rsid w:val="00761D95"/>
    <w:rsid w:val="00762193"/>
    <w:rsid w:val="0078476E"/>
    <w:rsid w:val="007B43CD"/>
    <w:rsid w:val="007E1040"/>
    <w:rsid w:val="007F7E38"/>
    <w:rsid w:val="008143C7"/>
    <w:rsid w:val="00865A74"/>
    <w:rsid w:val="00875AA6"/>
    <w:rsid w:val="00882380"/>
    <w:rsid w:val="008878E9"/>
    <w:rsid w:val="008B3776"/>
    <w:rsid w:val="008B7A09"/>
    <w:rsid w:val="008B7C8C"/>
    <w:rsid w:val="008C1D05"/>
    <w:rsid w:val="0090032B"/>
    <w:rsid w:val="00926FB3"/>
    <w:rsid w:val="00932BF6"/>
    <w:rsid w:val="009702A6"/>
    <w:rsid w:val="00984182"/>
    <w:rsid w:val="009C0602"/>
    <w:rsid w:val="00A66D94"/>
    <w:rsid w:val="00A73242"/>
    <w:rsid w:val="00AB0BED"/>
    <w:rsid w:val="00AD6A1D"/>
    <w:rsid w:val="00AF3524"/>
    <w:rsid w:val="00B218B0"/>
    <w:rsid w:val="00B74E7F"/>
    <w:rsid w:val="00BB39A9"/>
    <w:rsid w:val="00BB4E90"/>
    <w:rsid w:val="00BC4C8B"/>
    <w:rsid w:val="00C15B77"/>
    <w:rsid w:val="00C4207A"/>
    <w:rsid w:val="00C4795D"/>
    <w:rsid w:val="00CB74F2"/>
    <w:rsid w:val="00CC5919"/>
    <w:rsid w:val="00CD0EEF"/>
    <w:rsid w:val="00CE08FB"/>
    <w:rsid w:val="00CE2CA8"/>
    <w:rsid w:val="00CE6899"/>
    <w:rsid w:val="00D00F4E"/>
    <w:rsid w:val="00D11E09"/>
    <w:rsid w:val="00D63661"/>
    <w:rsid w:val="00DD4549"/>
    <w:rsid w:val="00E35587"/>
    <w:rsid w:val="00E412FA"/>
    <w:rsid w:val="00E460AD"/>
    <w:rsid w:val="00E5498C"/>
    <w:rsid w:val="00E72359"/>
    <w:rsid w:val="00E87A00"/>
    <w:rsid w:val="00EC534C"/>
    <w:rsid w:val="00EE7F65"/>
    <w:rsid w:val="00EF4829"/>
    <w:rsid w:val="00F56673"/>
    <w:rsid w:val="00F635A3"/>
    <w:rsid w:val="00F975EB"/>
    <w:rsid w:val="00FB02E6"/>
    <w:rsid w:val="00FD2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359"/>
    <w:rPr>
      <w:color w:val="808080"/>
    </w:rPr>
  </w:style>
  <w:style w:type="paragraph" w:customStyle="1" w:styleId="8CF4CA7D9A8E3148AEF5C0ED68CE929F">
    <w:name w:val="8CF4CA7D9A8E3148AEF5C0ED68CE929F"/>
    <w:rsid w:val="00E72359"/>
  </w:style>
  <w:style w:type="paragraph" w:customStyle="1" w:styleId="AD2468CFE6E9034295B112A34388FB34">
    <w:name w:val="AD2468CFE6E9034295B112A34388FB34"/>
    <w:rsid w:val="00E72359"/>
  </w:style>
  <w:style w:type="paragraph" w:customStyle="1" w:styleId="2C9351A62B8EEE4CA33479067AA021BC">
    <w:name w:val="2C9351A62B8EEE4CA33479067AA021BC"/>
    <w:rsid w:val="00E72359"/>
  </w:style>
  <w:style w:type="paragraph" w:customStyle="1" w:styleId="C2096C7DDF2B754FA698EBC0E727D7F1">
    <w:name w:val="C2096C7DDF2B754FA698EBC0E727D7F1"/>
    <w:rsid w:val="00E72359"/>
  </w:style>
  <w:style w:type="paragraph" w:customStyle="1" w:styleId="469542099F0E3D4B95F85E1DAFA2E080">
    <w:name w:val="469542099F0E3D4B95F85E1DAFA2E080"/>
    <w:rsid w:val="00E72359"/>
  </w:style>
  <w:style w:type="paragraph" w:customStyle="1" w:styleId="A172B6519ACEE74CA05294A4A1634B56">
    <w:name w:val="A172B6519ACEE74CA05294A4A1634B56"/>
    <w:rsid w:val="00E72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078473-7A8A-2E46-91B7-C52EFA4E47F2}">
  <we:reference id="wa104380917" version="1.0.1.0" store="de-DE"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59EF0-4116-944A-88CC-9540B879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40</Pages>
  <Words>6908</Words>
  <Characters>39382</Characters>
  <Application>Microsoft Office Word</Application>
  <DocSecurity>0</DocSecurity>
  <Lines>328</Lines>
  <Paragraphs>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46198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Microsoft Office User</cp:lastModifiedBy>
  <cp:revision>299</cp:revision>
  <cp:lastPrinted>2018-01-11T19:53:00Z</cp:lastPrinted>
  <dcterms:created xsi:type="dcterms:W3CDTF">2020-04-09T09:08:00Z</dcterms:created>
  <dcterms:modified xsi:type="dcterms:W3CDTF">2021-05-11T08:26:00Z</dcterms:modified>
</cp:coreProperties>
</file>