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upplementaryMaterial"/>
        <w:rPr>
          <w:b w:val="0"/>
        </w:rPr>
      </w:pPr>
      <w:r>
        <w:t>Supplementary Material</w:t>
      </w:r>
    </w:p>
    <w:p>
      <w:pPr>
        <w:pStyle w:val="Heading1"/>
      </w:pPr>
      <w:r>
        <w:t>Supplementary Figures</w:t>
      </w:r>
    </w:p>
    <w:p>
      <w:pPr>
        <w:keepNext/>
        <w:rPr>
          <w:rFonts w:cs="Times New Roman"/>
          <w:szCs w:val="24"/>
        </w:rPr>
      </w:pPr>
    </w:p>
    <w:p>
      <w:pPr>
        <w:keepNext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1. </w:t>
      </w:r>
      <w:r>
        <w:rPr>
          <w:rFonts w:cs="Times New Roman"/>
          <w:szCs w:val="24"/>
        </w:rPr>
        <w:t>Beijing Municipal Map</w:t>
      </w:r>
      <w:r>
        <w:rPr>
          <w:szCs w:val="24"/>
        </w:rPr>
        <w:t xml:space="preserve"> showing </w:t>
      </w:r>
      <w:r>
        <w:rPr>
          <w:rFonts w:cs="Times New Roman"/>
          <w:szCs w:val="24"/>
        </w:rPr>
        <w:t>Peking University, the PM</w:t>
      </w:r>
      <w:r>
        <w:rPr>
          <w:rFonts w:cs="Times New Roman"/>
          <w:szCs w:val="24"/>
          <w:vertAlign w:val="subscript"/>
        </w:rPr>
        <w:t>2.5</w:t>
      </w:r>
      <w:r>
        <w:rPr>
          <w:rFonts w:cs="Times New Roman"/>
          <w:szCs w:val="24"/>
        </w:rPr>
        <w:t xml:space="preserve"> monitoring station and the eight fixed monitoring sites for PM</w:t>
      </w:r>
      <w:r>
        <w:rPr>
          <w:rFonts w:cs="Times New Roman"/>
          <w:szCs w:val="24"/>
          <w:vertAlign w:val="subscript"/>
        </w:rPr>
        <w:t>10</w:t>
      </w:r>
      <w:r>
        <w:rPr>
          <w:rFonts w:cs="Times New Roman"/>
          <w:szCs w:val="24"/>
        </w:rPr>
        <w:t xml:space="preserve"> and NO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.</w:t>
      </w:r>
    </w:p>
    <w:p>
      <w:pPr>
        <w:keepNext/>
        <w:rPr>
          <w:rFonts w:eastAsia="Times New Roman" w:cs="Times New Roman"/>
          <w:bCs/>
          <w:color w:val="000000"/>
          <w:sz w:val="20"/>
          <w:szCs w:val="20"/>
          <w:lang w:eastAsia="de-DE"/>
        </w:rPr>
        <w:sectPr>
          <w:headerReference w:type="even" r:id="rId8"/>
          <w:footerReference w:type="even" r:id="rId9"/>
          <w:footerReference w:type="default" r:id="rId10"/>
          <w:headerReference w:type="first" r:id="rId11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  <w:r>
        <w:rPr>
          <w:rFonts w:cs="Times New Roman"/>
          <w:noProof/>
          <w:szCs w:val="24"/>
        </w:rPr>
        <w:drawing>
          <wp:inline distT="0" distB="0" distL="0" distR="0">
            <wp:extent cx="5448300" cy="3951719"/>
            <wp:effectExtent l="0" t="0" r="0" b="0"/>
            <wp:docPr id="2" name="Picture 2" descr="Beijing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ijing ma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524" cy="396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Supplementary Figure </w:t>
      </w:r>
      <w:r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Percent change of respiratory mortality case</w:t>
      </w:r>
      <w:bookmarkStart w:id="0" w:name="_GoBack"/>
      <w:bookmarkEnd w:id="0"/>
      <w:r>
        <w:rPr>
          <w:rFonts w:cs="Times New Roman"/>
          <w:szCs w:val="24"/>
        </w:rPr>
        <w:t>s pre/post the Olympic Game</w:t>
      </w:r>
      <w:r>
        <w:rPr>
          <w:rFonts w:cs="Times New Roman"/>
          <w:szCs w:val="24"/>
        </w:rPr>
        <w:t xml:space="preserve">s in comparison with the period </w:t>
      </w:r>
      <w:r>
        <w:rPr>
          <w:rFonts w:cs="Times New Roman"/>
          <w:szCs w:val="24"/>
        </w:rPr>
        <w:t>during the Games.</w:t>
      </w:r>
      <w:r>
        <w:rPr>
          <w:rFonts w:cs="Times New Roman"/>
          <w:b/>
          <w:szCs w:val="24"/>
        </w:rPr>
        <w:t xml:space="preserve"> </w:t>
      </w:r>
    </w:p>
    <w:p>
      <w:pPr>
        <w:keepNext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>
            <wp:extent cx="5760720" cy="3770147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20" cy="3776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/>
        <w:rPr>
          <w:rFonts w:cs="Times New Roman"/>
          <w:b/>
          <w:szCs w:val="24"/>
        </w:rPr>
      </w:pPr>
    </w:p>
    <w:p>
      <w:pPr>
        <w:keepNext/>
        <w:rPr>
          <w:rFonts w:cs="Times New Roman"/>
          <w:b/>
          <w:szCs w:val="24"/>
        </w:rPr>
        <w:sectPr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>
      <w:pPr>
        <w:keepNext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Supplementary Figure 3. </w:t>
      </w:r>
      <w:r>
        <w:rPr>
          <w:rFonts w:cs="Times New Roman"/>
          <w:szCs w:val="24"/>
        </w:rPr>
        <w:t>Percent change (95%-confidence interval) in subgroups of respiratory mortality per an interquartile range increase in PM mass (lag4), NO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 xml:space="preserve"> (lag4) and PNC (lag7) in the Beijing urban area for the period May 20 to December 1, 2008.</w:t>
      </w:r>
      <w:r>
        <w:rPr>
          <w:rFonts w:cs="Times New Roman"/>
          <w:b/>
          <w:szCs w:val="24"/>
        </w:rPr>
        <w:t xml:space="preserve"> </w:t>
      </w:r>
    </w:p>
    <w:p>
      <w:pPr>
        <w:spacing w:after="0"/>
        <w:rPr>
          <w:b/>
        </w:rPr>
      </w:pPr>
      <w:r>
        <w:object w:dxaOrig="16362" w:dyaOrig="19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95pt;height:517.25pt" o:ole="">
            <v:imagedata r:id="rId14" o:title=""/>
          </v:shape>
          <o:OLEObject Type="Embed" ProgID="SigmaPlotGraphicObject.10" ShapeID="_x0000_i1025" DrawAspect="Content" ObjectID="_1675278432" r:id="rId15"/>
        </w:object>
      </w:r>
    </w:p>
    <w:p>
      <w:pPr>
        <w:spacing w:after="0"/>
        <w:jc w:val="both"/>
        <w:rPr>
          <w:rFonts w:eastAsia="Times New Roman" w:cs="Times New Roman"/>
          <w:bCs/>
          <w:color w:val="000000"/>
          <w:sz w:val="20"/>
          <w:szCs w:val="20"/>
          <w:lang w:eastAsia="de-DE"/>
        </w:rPr>
      </w:pP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>PM: particulate matter; PM</w:t>
      </w:r>
      <w:r>
        <w:rPr>
          <w:rFonts w:eastAsia="Times New Roman" w:cs="Times New Roman"/>
          <w:bCs/>
          <w:color w:val="000000"/>
          <w:sz w:val="20"/>
          <w:szCs w:val="20"/>
          <w:vertAlign w:val="subscript"/>
          <w:lang w:eastAsia="de-DE"/>
        </w:rPr>
        <w:t>10</w:t>
      </w: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>: PM&lt;10µm in diameter; PM</w:t>
      </w:r>
      <w:r>
        <w:rPr>
          <w:rFonts w:eastAsia="Times New Roman" w:cs="Times New Roman"/>
          <w:bCs/>
          <w:color w:val="000000"/>
          <w:sz w:val="20"/>
          <w:szCs w:val="20"/>
          <w:vertAlign w:val="subscript"/>
          <w:lang w:eastAsia="de-DE"/>
        </w:rPr>
        <w:t>2.5</w:t>
      </w: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>: PM&lt;2.5µm in diameter; NO</w:t>
      </w:r>
      <w:r>
        <w:rPr>
          <w:rFonts w:eastAsia="Times New Roman" w:cs="Times New Roman"/>
          <w:bCs/>
          <w:color w:val="000000"/>
          <w:sz w:val="20"/>
          <w:szCs w:val="20"/>
          <w:vertAlign w:val="subscript"/>
          <w:lang w:eastAsia="de-DE"/>
        </w:rPr>
        <w:t>2</w:t>
      </w: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 xml:space="preserve">: nitrogen oxide; PNC: particle number concentration. </w:t>
      </w:r>
    </w:p>
    <w:p>
      <w:pPr>
        <w:spacing w:after="0"/>
        <w:rPr>
          <w:rFonts w:cs="Times New Roman"/>
          <w:sz w:val="20"/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  <w:vertAlign w:val="superscript"/>
        </w:rPr>
        <w:t>a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All models were adjusted for air temperature, relative humidity, day of week, public holiday, category of period and heating period. </w:t>
      </w:r>
    </w:p>
    <w:p>
      <w:pPr>
        <w:rPr>
          <w:rFonts w:eastAsia="Times New Roman" w:cs="Times New Roman"/>
          <w:bCs/>
          <w:color w:val="000000"/>
          <w:sz w:val="20"/>
          <w:szCs w:val="20"/>
          <w:lang w:eastAsia="de-DE"/>
        </w:rPr>
      </w:pP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>Significant effect modifications are marked with *</w:t>
      </w:r>
    </w:p>
    <w:p>
      <w:pPr>
        <w:rPr>
          <w:rFonts w:eastAsia="Times New Roman" w:cs="Times New Roman"/>
          <w:bCs/>
          <w:color w:val="000000"/>
          <w:sz w:val="20"/>
          <w:szCs w:val="20"/>
          <w:lang w:eastAsia="de-DE"/>
        </w:rPr>
      </w:pPr>
    </w:p>
    <w:p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Supplementary Figure 4. </w:t>
      </w:r>
      <w:r>
        <w:rPr>
          <w:rFonts w:cs="Times New Roman"/>
          <w:szCs w:val="24"/>
        </w:rPr>
        <w:t xml:space="preserve">Percent change (95%-confidence interval) in respiratory mortality per an interquartile range increase in PM mass (lag4), NO2 (lag4) and PNC (lag7). Effect modification by clusters on overall respiratory mortality. </w:t>
      </w:r>
      <w:proofErr w:type="gramStart"/>
      <w:r>
        <w:rPr>
          <w:rFonts w:cs="Times New Roman"/>
          <w:szCs w:val="24"/>
          <w:vertAlign w:val="superscript"/>
        </w:rPr>
        <w:t>a</w:t>
      </w:r>
      <w:proofErr w:type="gramEnd"/>
    </w:p>
    <w:p>
      <w:pPr>
        <w:rPr>
          <w:b/>
        </w:rPr>
      </w:pPr>
      <w:r>
        <w:rPr>
          <w:noProof/>
        </w:rPr>
        <w:drawing>
          <wp:inline distT="0" distB="0" distL="0" distR="0">
            <wp:extent cx="5760720" cy="3174820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612" r="6012" b="4200"/>
                    <a:stretch/>
                  </pic:blipFill>
                  <pic:spPr bwMode="auto">
                    <a:xfrm>
                      <a:off x="0" y="0"/>
                      <a:ext cx="5806575" cy="3200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spacing w:after="0"/>
        <w:jc w:val="both"/>
        <w:rPr>
          <w:rFonts w:eastAsia="Times New Roman" w:cs="Times New Roman"/>
          <w:bCs/>
          <w:color w:val="000000"/>
          <w:sz w:val="20"/>
          <w:szCs w:val="20"/>
          <w:lang w:eastAsia="de-DE"/>
        </w:rPr>
      </w:pP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>PM: particulate matter; PM</w:t>
      </w:r>
      <w:r>
        <w:rPr>
          <w:rFonts w:eastAsia="Times New Roman" w:cs="Times New Roman"/>
          <w:bCs/>
          <w:color w:val="000000"/>
          <w:sz w:val="20"/>
          <w:szCs w:val="20"/>
          <w:vertAlign w:val="subscript"/>
          <w:lang w:eastAsia="de-DE"/>
        </w:rPr>
        <w:t>10</w:t>
      </w: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>: PM&lt;10µm in diameter; PM</w:t>
      </w:r>
      <w:r>
        <w:rPr>
          <w:rFonts w:eastAsia="Times New Roman" w:cs="Times New Roman"/>
          <w:bCs/>
          <w:color w:val="000000"/>
          <w:sz w:val="20"/>
          <w:szCs w:val="20"/>
          <w:vertAlign w:val="subscript"/>
          <w:lang w:eastAsia="de-DE"/>
        </w:rPr>
        <w:t>2.5</w:t>
      </w: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>: PM&lt;2.5µm in diameter; NO</w:t>
      </w:r>
      <w:r>
        <w:rPr>
          <w:rFonts w:eastAsia="Times New Roman" w:cs="Times New Roman"/>
          <w:bCs/>
          <w:color w:val="000000"/>
          <w:sz w:val="20"/>
          <w:szCs w:val="20"/>
          <w:vertAlign w:val="subscript"/>
          <w:lang w:eastAsia="de-DE"/>
        </w:rPr>
        <w:t>2</w:t>
      </w: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 xml:space="preserve">: nitrogen oxide; PNC: particle number concentration. </w:t>
      </w:r>
    </w:p>
    <w:p>
      <w:pPr>
        <w:spacing w:after="0"/>
        <w:rPr>
          <w:rFonts w:cs="Times New Roman"/>
          <w:sz w:val="20"/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  <w:vertAlign w:val="superscript"/>
        </w:rPr>
        <w:t>a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All models were adjusted for air temperature, relative humidity, day of week, public holiday, category of period and heating period. </w:t>
      </w:r>
    </w:p>
    <w:p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Cluster 1 represents air masses coming from the areas surrounding Beijing with low wind speed;</w:t>
      </w:r>
    </w:p>
    <w:p>
      <w:pPr>
        <w:rPr>
          <w:rFonts w:eastAsia="Times New Roman" w:cs="Times New Roman"/>
          <w:bCs/>
          <w:color w:val="000000"/>
          <w:sz w:val="20"/>
          <w:szCs w:val="20"/>
          <w:lang w:eastAsia="de-DE"/>
        </w:rPr>
      </w:pPr>
      <w:r>
        <w:rPr>
          <w:rFonts w:cs="Times New Roman"/>
          <w:sz w:val="20"/>
          <w:szCs w:val="20"/>
        </w:rPr>
        <w:t>Cluster 2 consists air masses arriving from northwestern direction with average to high wind speed.</w:t>
      </w:r>
      <w:r>
        <w:rPr>
          <w:rFonts w:eastAsia="Times New Roman" w:cs="Times New Roman"/>
          <w:bCs/>
          <w:color w:val="000000"/>
          <w:sz w:val="20"/>
          <w:szCs w:val="20"/>
          <w:lang w:eastAsia="de-DE"/>
        </w:rPr>
        <w:t xml:space="preserve"> </w:t>
      </w:r>
    </w:p>
    <w:p>
      <w:pPr>
        <w:spacing w:after="0"/>
      </w:pPr>
    </w:p>
    <w:sectPr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>
      <w:rPr>
        <w:b/>
        <w:noProof/>
        <w:color w:val="A6A6A6" w:themeColor="background1" w:themeShade="A6"/>
      </w:rPr>
      <w:drawing>
        <wp:inline distT="0" distB="0" distL="0" distR="0">
          <wp:extent cx="1382534" cy="497091"/>
          <wp:effectExtent l="0" t="0" r="0" b="0"/>
          <wp:docPr id="3" name="Picture 3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83157B-B156-4455-BBF8-98454AF9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5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 Media SA</dc:creator>
  <cp:lastModifiedBy>Breitner, Susanne, Dr.</cp:lastModifiedBy>
  <cp:revision>4</cp:revision>
  <cp:lastPrinted>2013-10-03T12:51:00Z</cp:lastPrinted>
  <dcterms:created xsi:type="dcterms:W3CDTF">2020-10-29T15:46:00Z</dcterms:created>
  <dcterms:modified xsi:type="dcterms:W3CDTF">2021-02-19T21:21:00Z</dcterms:modified>
</cp:coreProperties>
</file>