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29781" w14:textId="77777777" w:rsidR="006D7DCF" w:rsidRDefault="00A155C2">
      <w:pP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Supplemental file</w:t>
      </w:r>
    </w:p>
    <w:p w14:paraId="046B0669" w14:textId="77777777" w:rsidR="006D7DCF" w:rsidRDefault="00A155C2">
      <w:pPr>
        <w:spacing w:after="120" w:line="256" w:lineRule="auto"/>
        <w:jc w:val="both"/>
        <w:rPr>
          <w:rFonts w:ascii="Times New Roman" w:eastAsia="Calibri" w:hAnsi="Times New Roman" w:cs="Times New Roman"/>
          <w:b/>
          <w:bCs/>
          <w:lang w:val="en-GB"/>
        </w:rPr>
      </w:pPr>
      <w:bookmarkStart w:id="0" w:name="_Hlk54692284"/>
      <w:bookmarkStart w:id="1" w:name="_Hlk64371391"/>
      <w:r>
        <w:rPr>
          <w:rFonts w:ascii="Times New Roman" w:eastAsia="Calibri" w:hAnsi="Times New Roman" w:cs="Times New Roman"/>
          <w:b/>
          <w:bCs/>
          <w:i/>
          <w:iCs/>
          <w:lang w:val="en-US"/>
        </w:rPr>
        <w:t>In vitro</w:t>
      </w:r>
      <w:r>
        <w:rPr>
          <w:rFonts w:ascii="Times New Roman" w:eastAsia="Calibri" w:hAnsi="Times New Roman" w:cs="Times New Roman"/>
          <w:b/>
          <w:bCs/>
          <w:lang w:val="en-US"/>
        </w:rPr>
        <w:t xml:space="preserve"> genotoxicity of dibutyl phthalate on A549 lung cells at air-liquid interface in exposure concentrations relevant at workplaces </w:t>
      </w:r>
    </w:p>
    <w:bookmarkEnd w:id="0"/>
    <w:p w14:paraId="18E195C1" w14:textId="77777777" w:rsidR="006D7DCF" w:rsidRDefault="00A155C2">
      <w:pPr>
        <w:spacing w:after="120" w:line="256" w:lineRule="auto"/>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Stephanie Binder</w:t>
      </w:r>
      <w:r>
        <w:rPr>
          <w:rFonts w:ascii="Times New Roman" w:eastAsia="Calibri" w:hAnsi="Times New Roman" w:cs="Times New Roman"/>
          <w:sz w:val="20"/>
          <w:szCs w:val="20"/>
          <w:vertAlign w:val="superscript"/>
          <w:lang w:val="en-GB"/>
        </w:rPr>
        <w:t>1,2</w:t>
      </w:r>
      <w:r>
        <w:rPr>
          <w:rFonts w:ascii="Times New Roman" w:eastAsia="Calibri" w:hAnsi="Times New Roman" w:cs="Times New Roman"/>
          <w:sz w:val="20"/>
          <w:szCs w:val="20"/>
          <w:lang w:val="en-GB"/>
        </w:rPr>
        <w:t>, Xin Cao</w:t>
      </w:r>
      <w:r>
        <w:rPr>
          <w:rFonts w:ascii="Times New Roman" w:eastAsia="Calibri" w:hAnsi="Times New Roman" w:cs="Times New Roman"/>
          <w:sz w:val="20"/>
          <w:szCs w:val="20"/>
          <w:vertAlign w:val="superscript"/>
          <w:lang w:val="en-GB"/>
        </w:rPr>
        <w:t>1,2</w:t>
      </w:r>
      <w:r>
        <w:rPr>
          <w:rFonts w:ascii="Times New Roman" w:eastAsia="Calibri" w:hAnsi="Times New Roman" w:cs="Times New Roman"/>
          <w:sz w:val="20"/>
          <w:szCs w:val="20"/>
          <w:lang w:val="en-GB"/>
        </w:rPr>
        <w:t>, Stefanie Bauer</w:t>
      </w:r>
      <w:r>
        <w:rPr>
          <w:rFonts w:ascii="Times New Roman" w:eastAsia="Calibri" w:hAnsi="Times New Roman" w:cs="Times New Roman"/>
          <w:sz w:val="20"/>
          <w:szCs w:val="20"/>
          <w:vertAlign w:val="superscript"/>
          <w:lang w:val="en-GB"/>
        </w:rPr>
        <w:t>1</w:t>
      </w:r>
      <w:r>
        <w:rPr>
          <w:rFonts w:ascii="Times New Roman" w:eastAsia="Calibri" w:hAnsi="Times New Roman" w:cs="Times New Roman"/>
          <w:sz w:val="20"/>
          <w:szCs w:val="20"/>
          <w:lang w:val="en-GB"/>
        </w:rPr>
        <w:t xml:space="preserve">, </w:t>
      </w:r>
      <w:proofErr w:type="spellStart"/>
      <w:r>
        <w:rPr>
          <w:rFonts w:ascii="Times New Roman" w:eastAsia="Calibri" w:hAnsi="Times New Roman" w:cs="Times New Roman"/>
          <w:sz w:val="20"/>
          <w:szCs w:val="20"/>
          <w:lang w:val="en-GB"/>
        </w:rPr>
        <w:t>Narges</w:t>
      </w:r>
      <w:proofErr w:type="spellEnd"/>
      <w:r>
        <w:rPr>
          <w:rFonts w:ascii="Times New Roman" w:eastAsia="Calibri" w:hAnsi="Times New Roman" w:cs="Times New Roman"/>
          <w:sz w:val="20"/>
          <w:szCs w:val="20"/>
          <w:lang w:val="en-GB"/>
        </w:rPr>
        <w:t xml:space="preserve"> Rastak</w:t>
      </w:r>
      <w:r>
        <w:rPr>
          <w:rFonts w:ascii="Times New Roman" w:eastAsia="Calibri" w:hAnsi="Times New Roman" w:cs="Times New Roman"/>
          <w:sz w:val="20"/>
          <w:szCs w:val="20"/>
          <w:vertAlign w:val="superscript"/>
          <w:lang w:val="en-GB"/>
        </w:rPr>
        <w:t>1</w:t>
      </w:r>
      <w:r>
        <w:rPr>
          <w:rFonts w:ascii="Times New Roman" w:eastAsia="Calibri" w:hAnsi="Times New Roman" w:cs="Times New Roman"/>
          <w:sz w:val="20"/>
          <w:szCs w:val="20"/>
          <w:lang w:val="en-GB"/>
        </w:rPr>
        <w:t>, Evelyn Kuhn</w:t>
      </w:r>
      <w:r>
        <w:rPr>
          <w:rFonts w:ascii="Times New Roman" w:eastAsia="Calibri" w:hAnsi="Times New Roman" w:cs="Times New Roman"/>
          <w:sz w:val="20"/>
          <w:szCs w:val="20"/>
          <w:vertAlign w:val="superscript"/>
          <w:lang w:val="en-GB"/>
        </w:rPr>
        <w:t>1</w:t>
      </w:r>
      <w:r>
        <w:rPr>
          <w:rFonts w:ascii="Times New Roman" w:eastAsia="Calibri" w:hAnsi="Times New Roman" w:cs="Times New Roman"/>
          <w:sz w:val="20"/>
          <w:szCs w:val="20"/>
          <w:lang w:val="en-GB"/>
        </w:rPr>
        <w:t>, George C. Dragan</w:t>
      </w:r>
      <w:r>
        <w:rPr>
          <w:rFonts w:ascii="Times New Roman" w:eastAsia="Calibri" w:hAnsi="Times New Roman" w:cs="Times New Roman"/>
          <w:sz w:val="20"/>
          <w:szCs w:val="20"/>
          <w:vertAlign w:val="superscript"/>
          <w:lang w:val="en-GB"/>
        </w:rPr>
        <w:t>3</w:t>
      </w:r>
      <w:r>
        <w:rPr>
          <w:rFonts w:ascii="Times New Roman" w:eastAsia="Calibri" w:hAnsi="Times New Roman" w:cs="Times New Roman"/>
          <w:sz w:val="20"/>
          <w:szCs w:val="20"/>
          <w:lang w:val="en-GB"/>
        </w:rPr>
        <w:t>, Christian Monsé</w:t>
      </w:r>
      <w:r>
        <w:rPr>
          <w:rFonts w:ascii="Times New Roman" w:eastAsia="Calibri" w:hAnsi="Times New Roman" w:cs="Times New Roman"/>
          <w:sz w:val="20"/>
          <w:szCs w:val="20"/>
          <w:vertAlign w:val="superscript"/>
          <w:lang w:val="en-GB"/>
        </w:rPr>
        <w:t>4</w:t>
      </w:r>
      <w:r>
        <w:rPr>
          <w:rFonts w:ascii="Times New Roman" w:eastAsia="Calibri" w:hAnsi="Times New Roman" w:cs="Times New Roman"/>
          <w:sz w:val="20"/>
          <w:szCs w:val="20"/>
          <w:lang w:val="en-GB"/>
        </w:rPr>
        <w:t xml:space="preserve">, </w:t>
      </w:r>
      <w:r>
        <w:rPr>
          <w:rFonts w:ascii="Times New Roman" w:hAnsi="Times New Roman" w:cs="Times New Roman"/>
          <w:sz w:val="20"/>
          <w:szCs w:val="20"/>
          <w:lang w:val="en-GB"/>
        </w:rPr>
        <w:t>George Ferron</w:t>
      </w:r>
      <w:r>
        <w:rPr>
          <w:rFonts w:ascii="Times New Roman" w:hAnsi="Times New Roman" w:cs="Times New Roman"/>
          <w:sz w:val="20"/>
          <w:szCs w:val="20"/>
          <w:vertAlign w:val="superscript"/>
          <w:lang w:val="en-GB"/>
        </w:rPr>
        <w:t>1</w:t>
      </w:r>
      <w:r>
        <w:rPr>
          <w:rFonts w:ascii="Times New Roman" w:hAnsi="Times New Roman" w:cs="Times New Roman"/>
          <w:sz w:val="20"/>
          <w:szCs w:val="20"/>
          <w:lang w:val="en-GB"/>
        </w:rPr>
        <w:t xml:space="preserve">, </w:t>
      </w:r>
      <w:r>
        <w:rPr>
          <w:rFonts w:ascii="Times New Roman" w:eastAsia="Calibri" w:hAnsi="Times New Roman" w:cs="Times New Roman"/>
          <w:sz w:val="20"/>
          <w:szCs w:val="20"/>
          <w:lang w:val="en-GB"/>
        </w:rPr>
        <w:t>Dietmar Breuer</w:t>
      </w:r>
      <w:r>
        <w:rPr>
          <w:rFonts w:ascii="Times New Roman" w:eastAsia="Calibri" w:hAnsi="Times New Roman" w:cs="Times New Roman"/>
          <w:sz w:val="20"/>
          <w:szCs w:val="20"/>
          <w:vertAlign w:val="superscript"/>
          <w:lang w:val="en-GB"/>
        </w:rPr>
        <w:t>5</w:t>
      </w:r>
      <w:r>
        <w:rPr>
          <w:rFonts w:ascii="Times New Roman" w:eastAsia="Calibri" w:hAnsi="Times New Roman" w:cs="Times New Roman"/>
          <w:sz w:val="20"/>
          <w:szCs w:val="20"/>
          <w:lang w:val="en-GB"/>
        </w:rPr>
        <w:t>, Sebastian Oeder</w:t>
      </w:r>
      <w:r>
        <w:rPr>
          <w:rFonts w:ascii="Times New Roman" w:eastAsia="Calibri" w:hAnsi="Times New Roman" w:cs="Times New Roman"/>
          <w:sz w:val="20"/>
          <w:szCs w:val="20"/>
          <w:vertAlign w:val="superscript"/>
          <w:lang w:val="en-GB"/>
        </w:rPr>
        <w:t>1</w:t>
      </w:r>
      <w:r>
        <w:rPr>
          <w:rFonts w:ascii="Times New Roman" w:eastAsia="Calibri" w:hAnsi="Times New Roman" w:cs="Times New Roman"/>
          <w:sz w:val="20"/>
          <w:szCs w:val="20"/>
          <w:lang w:val="en-GB"/>
        </w:rPr>
        <w:t>, Erwin Karg</w:t>
      </w:r>
      <w:r>
        <w:rPr>
          <w:rFonts w:ascii="Times New Roman" w:eastAsia="Calibri" w:hAnsi="Times New Roman" w:cs="Times New Roman"/>
          <w:sz w:val="20"/>
          <w:szCs w:val="20"/>
          <w:vertAlign w:val="superscript"/>
          <w:lang w:val="en-GB"/>
        </w:rPr>
        <w:t>1</w:t>
      </w:r>
      <w:r>
        <w:rPr>
          <w:rFonts w:ascii="Times New Roman" w:eastAsia="Calibri" w:hAnsi="Times New Roman" w:cs="Times New Roman"/>
          <w:sz w:val="20"/>
          <w:szCs w:val="20"/>
          <w:lang w:val="en-GB"/>
        </w:rPr>
        <w:t>, Martin Sklorz</w:t>
      </w:r>
      <w:r>
        <w:rPr>
          <w:rFonts w:ascii="Times New Roman" w:eastAsia="Calibri" w:hAnsi="Times New Roman" w:cs="Times New Roman"/>
          <w:sz w:val="20"/>
          <w:szCs w:val="20"/>
          <w:vertAlign w:val="superscript"/>
          <w:lang w:val="en-GB"/>
        </w:rPr>
        <w:t>1</w:t>
      </w:r>
      <w:r>
        <w:rPr>
          <w:rFonts w:ascii="Times New Roman" w:eastAsia="Calibri" w:hAnsi="Times New Roman" w:cs="Times New Roman"/>
          <w:sz w:val="20"/>
          <w:szCs w:val="20"/>
          <w:lang w:val="en-GB"/>
        </w:rPr>
        <w:t>, Sebastiano Di Bucchianico</w:t>
      </w:r>
      <w:proofErr w:type="gramStart"/>
      <w:r>
        <w:rPr>
          <w:rFonts w:ascii="Times New Roman" w:eastAsia="Calibri" w:hAnsi="Times New Roman" w:cs="Times New Roman"/>
          <w:sz w:val="20"/>
          <w:szCs w:val="20"/>
          <w:vertAlign w:val="superscript"/>
          <w:lang w:val="en-GB"/>
        </w:rPr>
        <w:t>1,</w:t>
      </w:r>
      <w:r>
        <w:rPr>
          <w:rFonts w:ascii="Times New Roman" w:eastAsia="Calibri" w:hAnsi="Times New Roman" w:cs="Times New Roman"/>
          <w:sz w:val="20"/>
          <w:szCs w:val="20"/>
          <w:lang w:val="en-GB"/>
        </w:rPr>
        <w:t>*</w:t>
      </w:r>
      <w:proofErr w:type="gramEnd"/>
      <w:r>
        <w:rPr>
          <w:rFonts w:ascii="Times New Roman" w:eastAsia="Calibri" w:hAnsi="Times New Roman" w:cs="Times New Roman"/>
          <w:sz w:val="20"/>
          <w:szCs w:val="20"/>
          <w:lang w:val="en-GB"/>
        </w:rPr>
        <w:t>, Ralf Zimmermann</w:t>
      </w:r>
      <w:r>
        <w:rPr>
          <w:rFonts w:ascii="Times New Roman" w:eastAsia="Calibri" w:hAnsi="Times New Roman" w:cs="Times New Roman"/>
          <w:sz w:val="20"/>
          <w:szCs w:val="20"/>
          <w:vertAlign w:val="superscript"/>
          <w:lang w:val="en-GB"/>
        </w:rPr>
        <w:t>1,2</w:t>
      </w:r>
    </w:p>
    <w:p w14:paraId="213ADC04" w14:textId="77777777" w:rsidR="006D7DCF" w:rsidRDefault="00A155C2">
      <w:pPr>
        <w:spacing w:line="256"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vertAlign w:val="superscript"/>
          <w:lang w:val="en-US"/>
        </w:rPr>
        <w:t xml:space="preserve">1 </w:t>
      </w:r>
      <w:r>
        <w:rPr>
          <w:rFonts w:ascii="Times New Roman" w:eastAsia="Calibri" w:hAnsi="Times New Roman" w:cs="Times New Roman"/>
          <w:sz w:val="20"/>
          <w:szCs w:val="20"/>
          <w:lang w:val="en-US"/>
        </w:rPr>
        <w:t xml:space="preserve">Joint Mass Spectrometry Center at Comprehensive Molecular Analytics, Helmholtz </w:t>
      </w:r>
      <w:proofErr w:type="spellStart"/>
      <w:r>
        <w:rPr>
          <w:rFonts w:ascii="Times New Roman" w:eastAsia="Calibri" w:hAnsi="Times New Roman" w:cs="Times New Roman"/>
          <w:sz w:val="20"/>
          <w:szCs w:val="20"/>
          <w:lang w:val="en-US"/>
        </w:rPr>
        <w:t>Zentrum</w:t>
      </w:r>
      <w:proofErr w:type="spellEnd"/>
      <w:r>
        <w:rPr>
          <w:rFonts w:ascii="Times New Roman" w:eastAsia="Calibri" w:hAnsi="Times New Roman" w:cs="Times New Roman"/>
          <w:sz w:val="20"/>
          <w:szCs w:val="20"/>
          <w:lang w:val="en-US"/>
        </w:rPr>
        <w:t xml:space="preserve"> München, </w:t>
      </w:r>
      <w:proofErr w:type="spellStart"/>
      <w:r>
        <w:rPr>
          <w:rFonts w:ascii="Times New Roman" w:eastAsia="Calibri" w:hAnsi="Times New Roman" w:cs="Times New Roman"/>
          <w:sz w:val="20"/>
          <w:szCs w:val="20"/>
          <w:lang w:val="en-US"/>
        </w:rPr>
        <w:t>Neuherberg</w:t>
      </w:r>
      <w:proofErr w:type="spellEnd"/>
      <w:r>
        <w:rPr>
          <w:rFonts w:ascii="Times New Roman" w:eastAsia="Calibri" w:hAnsi="Times New Roman" w:cs="Times New Roman"/>
          <w:sz w:val="20"/>
          <w:szCs w:val="20"/>
          <w:lang w:val="en-US"/>
        </w:rPr>
        <w:t xml:space="preserve">, Germany </w:t>
      </w:r>
    </w:p>
    <w:p w14:paraId="6A174331" w14:textId="77777777" w:rsidR="006D7DCF" w:rsidRDefault="00A155C2">
      <w:pPr>
        <w:spacing w:line="256"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vertAlign w:val="superscript"/>
          <w:lang w:val="en-US"/>
        </w:rPr>
        <w:t>2</w:t>
      </w:r>
      <w:r>
        <w:rPr>
          <w:rFonts w:ascii="Times New Roman" w:eastAsia="Calibri" w:hAnsi="Times New Roman" w:cs="Times New Roman"/>
          <w:sz w:val="20"/>
          <w:szCs w:val="20"/>
          <w:lang w:val="en-US"/>
        </w:rPr>
        <w:t xml:space="preserve"> Joint Mass Spectrometry Center at Analytical Chemistry, Institute of Chemistry, University of Rostock, Rostock, Germany</w:t>
      </w:r>
    </w:p>
    <w:p w14:paraId="1979A26B" w14:textId="77777777" w:rsidR="006D7DCF" w:rsidRDefault="00A155C2">
      <w:pPr>
        <w:spacing w:line="256"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vertAlign w:val="superscript"/>
          <w:lang w:val="en-US"/>
        </w:rPr>
        <w:t>3</w:t>
      </w:r>
      <w:r>
        <w:rPr>
          <w:rFonts w:ascii="Times New Roman" w:eastAsia="Calibri" w:hAnsi="Times New Roman" w:cs="Times New Roman"/>
          <w:sz w:val="20"/>
          <w:szCs w:val="20"/>
          <w:lang w:val="en-US"/>
        </w:rPr>
        <w:t xml:space="preserve"> Federal Institute for Occupational Safety and Health (</w:t>
      </w:r>
      <w:proofErr w:type="spellStart"/>
      <w:r>
        <w:rPr>
          <w:rFonts w:ascii="Times New Roman" w:eastAsia="Calibri" w:hAnsi="Times New Roman" w:cs="Times New Roman"/>
          <w:sz w:val="20"/>
          <w:szCs w:val="20"/>
          <w:lang w:val="en-US"/>
        </w:rPr>
        <w:t>BAuA</w:t>
      </w:r>
      <w:proofErr w:type="spellEnd"/>
      <w:r>
        <w:rPr>
          <w:rFonts w:ascii="Times New Roman" w:eastAsia="Calibri" w:hAnsi="Times New Roman" w:cs="Times New Roman"/>
          <w:sz w:val="20"/>
          <w:szCs w:val="20"/>
          <w:lang w:val="en-US"/>
        </w:rPr>
        <w:t>) – Measurement of Hazardous Substances, Dortmund, Germany</w:t>
      </w:r>
    </w:p>
    <w:p w14:paraId="6A58A0C2" w14:textId="77777777" w:rsidR="006D7DCF" w:rsidRDefault="00A155C2">
      <w:pPr>
        <w:spacing w:line="256"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vertAlign w:val="superscript"/>
          <w:lang w:val="en-US"/>
        </w:rPr>
        <w:t>4</w:t>
      </w:r>
      <w:r>
        <w:rPr>
          <w:rFonts w:ascii="Times New Roman" w:eastAsia="Calibri" w:hAnsi="Times New Roman" w:cs="Times New Roman"/>
          <w:sz w:val="20"/>
          <w:szCs w:val="20"/>
          <w:lang w:val="en-US"/>
        </w:rPr>
        <w:t xml:space="preserve"> Institute for Prevention and Occupational Medicine of the German Social Accident Insurance (IFA), Institute of the Ruhr-Universität Bochum (IPA), Bochum, Germany</w:t>
      </w:r>
    </w:p>
    <w:p w14:paraId="651C3407" w14:textId="77777777" w:rsidR="006D7DCF" w:rsidRDefault="00A155C2">
      <w:pPr>
        <w:spacing w:line="256"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vertAlign w:val="superscript"/>
          <w:lang w:val="en-US"/>
        </w:rPr>
        <w:t>5</w:t>
      </w:r>
      <w:r>
        <w:rPr>
          <w:rFonts w:ascii="Times New Roman" w:eastAsia="Calibri" w:hAnsi="Times New Roman" w:cs="Times New Roman"/>
          <w:sz w:val="20"/>
          <w:szCs w:val="20"/>
          <w:lang w:val="en-US"/>
        </w:rPr>
        <w:t xml:space="preserve"> Institute of Occupational Safety of the German Social Accident Insurance (IFA), Sankt Augustin, Germany</w:t>
      </w:r>
      <w:bookmarkEnd w:id="1"/>
    </w:p>
    <w:p w14:paraId="0604CC8F" w14:textId="77777777" w:rsidR="006D7DCF" w:rsidRDefault="00A155C2">
      <w:pPr>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 Corresponding author E-mail address: dibucchianico@helmholtz-muenchen.de (Sebastiano Di </w:t>
      </w:r>
      <w:proofErr w:type="spellStart"/>
      <w:r>
        <w:rPr>
          <w:rFonts w:ascii="Times New Roman" w:hAnsi="Times New Roman" w:cs="Times New Roman"/>
          <w:color w:val="000000" w:themeColor="text1"/>
          <w:sz w:val="20"/>
          <w:szCs w:val="20"/>
          <w:lang w:val="en-US"/>
        </w:rPr>
        <w:t>Bucchianico</w:t>
      </w:r>
      <w:proofErr w:type="spellEnd"/>
      <w:r>
        <w:rPr>
          <w:rFonts w:ascii="Times New Roman" w:hAnsi="Times New Roman" w:cs="Times New Roman"/>
          <w:color w:val="000000" w:themeColor="text1"/>
          <w:sz w:val="20"/>
          <w:szCs w:val="20"/>
          <w:lang w:val="en-US"/>
        </w:rPr>
        <w:t xml:space="preserve">) </w:t>
      </w:r>
    </w:p>
    <w:p w14:paraId="01283F87" w14:textId="77777777" w:rsidR="006D7DCF" w:rsidRDefault="00A155C2">
      <w:pPr>
        <w:rPr>
          <w:rStyle w:val="Hyperlink"/>
          <w:rFonts w:ascii="Times New Roman" w:hAnsi="Times New Roman" w:cs="Times New Roman"/>
          <w:color w:val="000000" w:themeColor="text1"/>
          <w:sz w:val="20"/>
          <w:szCs w:val="20"/>
          <w:u w:val="none"/>
          <w:lang w:val="en-US"/>
        </w:rPr>
      </w:pPr>
      <w:r>
        <w:rPr>
          <w:rFonts w:ascii="Times New Roman" w:hAnsi="Times New Roman" w:cs="Times New Roman"/>
          <w:color w:val="000000" w:themeColor="text1"/>
          <w:sz w:val="20"/>
          <w:szCs w:val="20"/>
          <w:lang w:val="en-US"/>
        </w:rPr>
        <w:t xml:space="preserve">Sebastiano Di </w:t>
      </w:r>
      <w:proofErr w:type="spellStart"/>
      <w:r>
        <w:rPr>
          <w:rFonts w:ascii="Times New Roman" w:hAnsi="Times New Roman" w:cs="Times New Roman"/>
          <w:color w:val="000000" w:themeColor="text1"/>
          <w:sz w:val="20"/>
          <w:szCs w:val="20"/>
          <w:lang w:val="en-US"/>
        </w:rPr>
        <w:t>Bucchianico</w:t>
      </w:r>
      <w:proofErr w:type="spellEnd"/>
      <w:r>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vertAlign w:val="superscript"/>
          <w:lang w:val="en-US"/>
        </w:rPr>
        <w:t>1</w:t>
      </w:r>
      <w:r>
        <w:rPr>
          <w:rFonts w:ascii="Times New Roman" w:hAnsi="Times New Roman" w:cs="Times New Roman"/>
          <w:color w:val="000000" w:themeColor="text1"/>
          <w:sz w:val="20"/>
          <w:szCs w:val="20"/>
          <w:lang w:val="en-US"/>
        </w:rPr>
        <w:t xml:space="preserve">Comprehensive Molecular Analytics, Helmholtz </w:t>
      </w:r>
      <w:proofErr w:type="spellStart"/>
      <w:r>
        <w:rPr>
          <w:rFonts w:ascii="Times New Roman" w:hAnsi="Times New Roman" w:cs="Times New Roman"/>
          <w:color w:val="000000" w:themeColor="text1"/>
          <w:sz w:val="20"/>
          <w:szCs w:val="20"/>
          <w:lang w:val="en-US"/>
        </w:rPr>
        <w:t>Zentrum</w:t>
      </w:r>
      <w:proofErr w:type="spellEnd"/>
      <w:r>
        <w:rPr>
          <w:rFonts w:ascii="Times New Roman" w:hAnsi="Times New Roman" w:cs="Times New Roman"/>
          <w:color w:val="000000" w:themeColor="text1"/>
          <w:sz w:val="20"/>
          <w:szCs w:val="20"/>
          <w:lang w:val="en-US"/>
        </w:rPr>
        <w:t xml:space="preserve"> München, </w:t>
      </w:r>
      <w:proofErr w:type="spellStart"/>
      <w:r>
        <w:rPr>
          <w:rFonts w:ascii="Times New Roman" w:hAnsi="Times New Roman" w:cs="Times New Roman"/>
          <w:color w:val="000000" w:themeColor="text1"/>
          <w:sz w:val="20"/>
          <w:szCs w:val="20"/>
          <w:lang w:val="en-US"/>
        </w:rPr>
        <w:t>Gmunder</w:t>
      </w:r>
      <w:proofErr w:type="spellEnd"/>
      <w:r>
        <w:rPr>
          <w:rFonts w:ascii="Times New Roman" w:hAnsi="Times New Roman" w:cs="Times New Roman"/>
          <w:color w:val="000000" w:themeColor="text1"/>
          <w:sz w:val="20"/>
          <w:szCs w:val="20"/>
          <w:lang w:val="en-US"/>
        </w:rPr>
        <w:t xml:space="preserve"> Str. 37, 81379 Munich, Germany, </w:t>
      </w:r>
      <w:hyperlink r:id="rId7" w:history="1">
        <w:r>
          <w:rPr>
            <w:rStyle w:val="Hyperlink"/>
            <w:rFonts w:ascii="Times New Roman" w:hAnsi="Times New Roman" w:cs="Times New Roman"/>
            <w:color w:val="000000" w:themeColor="text1"/>
            <w:sz w:val="20"/>
            <w:szCs w:val="20"/>
            <w:u w:val="none"/>
            <w:lang w:val="en-US"/>
          </w:rPr>
          <w:t>dibucchianico@helmholtz-muenchen.de</w:t>
        </w:r>
      </w:hyperlink>
      <w:r>
        <w:rPr>
          <w:rStyle w:val="Hyperlink"/>
          <w:rFonts w:ascii="Times New Roman" w:hAnsi="Times New Roman" w:cs="Times New Roman"/>
          <w:color w:val="000000" w:themeColor="text1"/>
          <w:sz w:val="20"/>
          <w:szCs w:val="20"/>
          <w:u w:val="none"/>
          <w:lang w:val="en-US"/>
        </w:rPr>
        <w:br w:type="textWrapping" w:clear="all"/>
      </w:r>
      <w:hyperlink r:id="rId8" w:history="1">
        <w:r>
          <w:rPr>
            <w:rStyle w:val="Hyperlink"/>
            <w:rFonts w:ascii="Times New Roman" w:hAnsi="Times New Roman" w:cs="Times New Roman"/>
            <w:color w:val="000000" w:themeColor="text1"/>
            <w:sz w:val="20"/>
            <w:szCs w:val="20"/>
            <w:u w:val="none"/>
            <w:lang w:val="en-US"/>
          </w:rPr>
          <w:t>https://orcid.org/0000-0002-6396-892X</w:t>
        </w:r>
      </w:hyperlink>
      <w:r>
        <w:rPr>
          <w:rStyle w:val="Hyperlink"/>
          <w:rFonts w:ascii="Times New Roman" w:hAnsi="Times New Roman" w:cs="Times New Roman"/>
          <w:color w:val="000000" w:themeColor="text1"/>
          <w:sz w:val="20"/>
          <w:szCs w:val="20"/>
          <w:u w:val="none"/>
          <w:lang w:val="en-US"/>
        </w:rPr>
        <w:br w:type="textWrapping" w:clear="all"/>
      </w:r>
      <w:r>
        <w:rPr>
          <w:rFonts w:ascii="Times New Roman" w:hAnsi="Times New Roman" w:cs="Times New Roman"/>
          <w:color w:val="000000" w:themeColor="text1"/>
          <w:sz w:val="20"/>
          <w:szCs w:val="20"/>
          <w:lang w:val="en-US"/>
        </w:rPr>
        <w:t>* Corresponding author</w:t>
      </w:r>
    </w:p>
    <w:p w14:paraId="0019CCA7" w14:textId="77777777" w:rsidR="006D7DCF" w:rsidRDefault="00A155C2">
      <w:pPr>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br w:type="page"/>
      </w:r>
    </w:p>
    <w:p w14:paraId="78CCD564" w14:textId="77777777" w:rsidR="006D7DCF" w:rsidRDefault="00A155C2">
      <w:pPr>
        <w:pStyle w:val="Textkrper"/>
        <w:tabs>
          <w:tab w:val="left" w:pos="567"/>
        </w:tabs>
        <w:spacing w:line="480" w:lineRule="auto"/>
        <w:rPr>
          <w:b/>
          <w:sz w:val="20"/>
          <w:lang w:val="en-GB"/>
        </w:rPr>
      </w:pPr>
      <w:r>
        <w:rPr>
          <w:b/>
          <w:sz w:val="20"/>
          <w:lang w:val="en-GB"/>
        </w:rPr>
        <w:lastRenderedPageBreak/>
        <w:t>Detailed information on the calculation of DBP particle deposition in the alveoli of the human lung</w:t>
      </w:r>
    </w:p>
    <w:p w14:paraId="652367E7" w14:textId="61680C11" w:rsidR="006D7DCF" w:rsidRDefault="00A155C2">
      <w:pPr>
        <w:spacing w:line="24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Both regional deposition and deposited mass are modeled for the human lung using the hygroscopic particle lung deposition (HPLD) model of </w:t>
      </w:r>
      <w:r>
        <w:rPr>
          <w:rFonts w:ascii="Times New Roman" w:hAnsi="Times New Roman" w:cs="Times New Roman"/>
          <w:color w:val="000000" w:themeColor="text1"/>
          <w:sz w:val="20"/>
          <w:szCs w:val="20"/>
          <w:lang w:val="en-US"/>
        </w:rPr>
        <w:fldChar w:fldCharType="begin"/>
      </w:r>
      <w:r>
        <w:rPr>
          <w:rFonts w:ascii="Times New Roman" w:hAnsi="Times New Roman" w:cs="Times New Roman"/>
          <w:color w:val="000000" w:themeColor="text1"/>
          <w:sz w:val="20"/>
          <w:szCs w:val="20"/>
          <w:lang w:val="en-US"/>
        </w:rPr>
        <w:instrText xml:space="preserve"> ADDIN EN.CITE &lt;EndNote&gt;&lt;Cite&gt;&lt;Author&gt;Ferron&lt;/Author&gt;&lt;Year&gt;2013&lt;/Year&gt;&lt;RecNum&gt;194&lt;/RecNum&gt;&lt;DisplayText&gt;(Ferron et al. 2013)&lt;/DisplayText&gt;&lt;record&gt;&lt;rec-number&gt;194&lt;/rec-number&gt;&lt;foreign-keys&gt;&lt;key app="EN" db-id="ssdfaxzspta50dez9fm5r92tdrff299s9wa5" timestamp="1607094824"&gt;194&lt;/key&gt;&lt;/foreign-keys&gt;&lt;ref-type name="Journal Article"&gt;17&lt;/ref-type&gt;&lt;contributors&gt;&lt;authors&gt;&lt;author&gt;Ferron, G. A.&lt;/author&gt;&lt;author&gt;Upadhyay, S.&lt;/author&gt;&lt;author&gt;Zimmermann, R.&lt;/author&gt;&lt;author&gt;Karg, E.&lt;/author&gt;&lt;/authors&gt;&lt;/contributors&gt;&lt;auth-address&gt;Helmholtz Center Munich, German Research Center for Environmental Health (GmbH), Institute for Inhalation Biology, D-85758 Neuherberg/Munich, Germany.&lt;/auth-address&gt;&lt;titles&gt;&lt;title&gt;Model of the deposition of aerosol particles in the respiratory tract of the rat. II. Hygroscopic particle deposition&lt;/title&gt;&lt;secondary-title&gt;J Aerosol Med Pulm Drug Deliv&lt;/secondary-title&gt;&lt;/titles&gt;&lt;periodical&gt;&lt;full-title&gt;J Aerosol Med Pulm Drug Deliv&lt;/full-title&gt;&lt;/periodical&gt;&lt;pages&gt;101-19&lt;/pages&gt;&lt;volume&gt;26&lt;/volume&gt;&lt;number&gt;2&lt;/number&gt;&lt;edition&gt;2013/04/05&lt;/edition&gt;&lt;keywords&gt;&lt;keyword&gt;Aerosols&lt;/keyword&gt;&lt;keyword&gt;Animals&lt;/keyword&gt;&lt;keyword&gt;Body Temperature&lt;/keyword&gt;&lt;keyword&gt;*Drug Delivery Systems&lt;/keyword&gt;&lt;keyword&gt;Humans&lt;/keyword&gt;&lt;keyword&gt;Humidity&lt;/keyword&gt;&lt;keyword&gt;Lung/*metabolism&lt;/keyword&gt;&lt;keyword&gt;Male&lt;/keyword&gt;&lt;keyword&gt;*Models, Biological&lt;/keyword&gt;&lt;keyword&gt;Particle Size&lt;/keyword&gt;&lt;keyword&gt;Pharmaceutical Preparations/*administration &amp;amp; dosage/chemistry/metabolism&lt;/keyword&gt;&lt;keyword&gt;Rats&lt;/keyword&gt;&lt;keyword&gt;Rats, Inbred WKY&lt;/keyword&gt;&lt;keyword&gt;Species Specificity&lt;/keyword&gt;&lt;keyword&gt;Tissue Distribution&lt;/keyword&gt;&lt;keyword&gt;Wettability&lt;/keyword&gt;&lt;/keywords&gt;&lt;dates&gt;&lt;year&gt;2013&lt;/year&gt;&lt;pub-dates&gt;&lt;date&gt;Apr&lt;/date&gt;&lt;/pub-dates&gt;&lt;/dates&gt;&lt;isbn&gt;1941-2703 (Electronic)&amp;#xD;1941-2711 (Linking)&lt;/isbn&gt;&lt;accession-num&gt;23550602&lt;/accession-num&gt;&lt;urls&gt;&lt;related-urls&gt;&lt;url&gt;https://www.ncbi.nlm.nih.gov/pubmed/23550602&lt;/url&gt;&lt;/related-urls&gt;&lt;/urls&gt;&lt;electronic-resource-num&gt;10.1089/jamp.2011.0965&lt;/electronic-resource-num&gt;&lt;/record&gt;&lt;/Cite&gt;&lt;/EndNote&gt;</w:instrText>
      </w:r>
      <w:r>
        <w:rPr>
          <w:rFonts w:ascii="Times New Roman" w:hAnsi="Times New Roman" w:cs="Times New Roman"/>
          <w:color w:val="000000" w:themeColor="text1"/>
          <w:sz w:val="20"/>
          <w:szCs w:val="20"/>
          <w:lang w:val="en-US"/>
        </w:rPr>
        <w:fldChar w:fldCharType="separate"/>
      </w:r>
      <w:r>
        <w:rPr>
          <w:rFonts w:ascii="Times New Roman" w:hAnsi="Times New Roman" w:cs="Times New Roman"/>
          <w:noProof/>
          <w:color w:val="000000" w:themeColor="text1"/>
          <w:sz w:val="20"/>
          <w:szCs w:val="20"/>
          <w:lang w:val="en-US"/>
        </w:rPr>
        <w:t>(Ferron et al. 2013)</w:t>
      </w:r>
      <w:r>
        <w:rPr>
          <w:rFonts w:ascii="Times New Roman" w:hAnsi="Times New Roman" w:cs="Times New Roman"/>
          <w:color w:val="000000" w:themeColor="text1"/>
          <w:sz w:val="20"/>
          <w:szCs w:val="20"/>
          <w:lang w:val="en-US"/>
        </w:rPr>
        <w:fldChar w:fldCharType="end"/>
      </w:r>
      <w:r>
        <w:rPr>
          <w:rFonts w:ascii="Times New Roman" w:hAnsi="Times New Roman" w:cs="Times New Roman"/>
          <w:color w:val="000000" w:themeColor="text1"/>
          <w:sz w:val="20"/>
          <w:szCs w:val="20"/>
          <w:lang w:val="en-US"/>
        </w:rPr>
        <w:t xml:space="preserve"> in the “human-lung mode” and the deposited-mass-modeling equations of </w:t>
      </w:r>
      <w:r>
        <w:rPr>
          <w:rFonts w:ascii="Times New Roman" w:hAnsi="Times New Roman" w:cs="Times New Roman"/>
          <w:color w:val="000000" w:themeColor="text1"/>
          <w:sz w:val="20"/>
          <w:szCs w:val="20"/>
          <w:lang w:val="en-US"/>
        </w:rPr>
        <w:fldChar w:fldCharType="begin"/>
      </w:r>
      <w:r>
        <w:rPr>
          <w:rFonts w:ascii="Times New Roman" w:hAnsi="Times New Roman" w:cs="Times New Roman"/>
          <w:color w:val="000000" w:themeColor="text1"/>
          <w:sz w:val="20"/>
          <w:szCs w:val="20"/>
          <w:lang w:val="en-US"/>
        </w:rPr>
        <w:instrText xml:space="preserve"> ADDIN EN.CITE &lt;EndNote&gt;&lt;Cite&gt;&lt;Author&gt;Karg&lt;/Author&gt;&lt;Year&gt;2020&lt;/Year&gt;&lt;RecNum&gt;189&lt;/RecNum&gt;&lt;DisplayText&gt;(Karg et al. 2020)&lt;/DisplayText&gt;&lt;record&gt;&lt;rec-number&gt;189&lt;/rec-number&gt;&lt;foreign-keys&gt;&lt;key app="EN" db-id="ssdfaxzspta50dez9fm5r92tdrff299s9wa5" timestamp="1606225125"&gt;189&lt;/key&gt;&lt;/foreign-keys&gt;&lt;ref-type name="Journal Article"&gt;17&lt;/ref-type&gt;&lt;contributors&gt;&lt;authors&gt;&lt;author&gt;Karg, E. W.,&lt;/author&gt;&lt;author&gt;Ferron, G. A. &lt;/author&gt;&lt;author&gt;Bauer, S.,&lt;/author&gt;&lt;author&gt;Di Bucchianico, S.,&lt;/author&gt;&lt;author&gt;Zimmermann, R.&lt;/author&gt;&lt;/authors&gt;&lt;/contributors&gt;&lt;titles&gt;&lt;title&gt;Is the particle deposition in a cell exposure facility comparable to the lungs? A computer model approach&lt;/title&gt;&lt;secondary-title&gt;Aerosol Science and Technology&lt;/secondary-title&gt;&lt;/titles&gt;&lt;periodical&gt;&lt;full-title&gt;Aerosol Science and Technology&lt;/full-title&gt;&lt;/periodical&gt;&lt;pages&gt;668-684 &lt;/pages&gt;&lt;volume&gt;54&lt;/volume&gt;&lt;number&gt;6&lt;/number&gt;&lt;dates&gt;&lt;year&gt;2020&lt;/year&gt;&lt;pub-dates&gt;&lt;date&gt;2020/02/28&lt;/date&gt;&lt;/pub-dates&gt;&lt;/dates&gt;&lt;isbn&gt;0278-6826 (Print) &amp;#xD;1521-7388 (Online)&lt;/isbn&gt;&lt;urls&gt;&lt;/urls&gt;&lt;electronic-resource-num&gt;10.1080/02786826.2020.1724868&lt;/electronic-resource-num&gt;&lt;/record&gt;&lt;/Cite&gt;&lt;/EndNote&gt;</w:instrText>
      </w:r>
      <w:r>
        <w:rPr>
          <w:rFonts w:ascii="Times New Roman" w:hAnsi="Times New Roman" w:cs="Times New Roman"/>
          <w:color w:val="000000" w:themeColor="text1"/>
          <w:sz w:val="20"/>
          <w:szCs w:val="20"/>
          <w:lang w:val="en-US"/>
        </w:rPr>
        <w:fldChar w:fldCharType="separate"/>
      </w:r>
      <w:r>
        <w:rPr>
          <w:rFonts w:ascii="Times New Roman" w:hAnsi="Times New Roman" w:cs="Times New Roman"/>
          <w:noProof/>
          <w:color w:val="000000" w:themeColor="text1"/>
          <w:sz w:val="20"/>
          <w:szCs w:val="20"/>
          <w:lang w:val="en-US"/>
        </w:rPr>
        <w:t>(Karg et al. 2020)</w:t>
      </w:r>
      <w:r>
        <w:rPr>
          <w:rFonts w:ascii="Times New Roman" w:hAnsi="Times New Roman" w:cs="Times New Roman"/>
          <w:color w:val="000000" w:themeColor="text1"/>
          <w:sz w:val="20"/>
          <w:szCs w:val="20"/>
          <w:lang w:val="en-US"/>
        </w:rPr>
        <w:fldChar w:fldCharType="end"/>
      </w:r>
      <w:r>
        <w:rPr>
          <w:rFonts w:ascii="Times New Roman" w:hAnsi="Times New Roman" w:cs="Times New Roman"/>
          <w:color w:val="000000" w:themeColor="text1"/>
          <w:sz w:val="20"/>
          <w:szCs w:val="20"/>
          <w:lang w:val="en-US"/>
        </w:rPr>
        <w:t xml:space="preserve">. The lung structure of Weibel (1963) is used to calculate the inner surface area of the airways in the lung. Table SI and SII list the surface area of the lung regions and the breathing conditions used for deposition modeling, respectively. </w:t>
      </w:r>
    </w:p>
    <w:p w14:paraId="1A560560" w14:textId="77777777" w:rsidR="006D7DCF" w:rsidRDefault="00A155C2">
      <w:pPr>
        <w:spacing w:line="24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Figure S0 holds both the deposition probability as the output of the HPLD model, and the particle mass distribution for the three occupational exposure scenarios. It visualizes the convolution of deposition and size distribution which results in the mass deposited in the lung regions. </w:t>
      </w:r>
    </w:p>
    <w:p w14:paraId="71190266" w14:textId="77777777" w:rsidR="006D7DCF" w:rsidRDefault="00A155C2">
      <w:pPr>
        <w:spacing w:line="240" w:lineRule="auto"/>
        <w:jc w:val="both"/>
        <w:rPr>
          <w:rFonts w:ascii="Times New Roman" w:hAnsi="Times New Roman" w:cs="Times New Roman"/>
          <w:color w:val="000000" w:themeColor="text1"/>
          <w:sz w:val="20"/>
          <w:szCs w:val="20"/>
          <w:lang w:val="en-US"/>
        </w:rPr>
      </w:pPr>
      <w:r w:rsidRPr="008534FE">
        <w:rPr>
          <w:rFonts w:ascii="Times New Roman" w:hAnsi="Times New Roman" w:cs="Times New Roman"/>
          <w:b/>
          <w:bCs/>
          <w:color w:val="000000" w:themeColor="text1"/>
          <w:sz w:val="20"/>
          <w:szCs w:val="20"/>
          <w:lang w:val="en-US"/>
        </w:rPr>
        <w:t>Table SI.</w:t>
      </w:r>
      <w:r>
        <w:rPr>
          <w:rFonts w:ascii="Times New Roman" w:hAnsi="Times New Roman" w:cs="Times New Roman"/>
          <w:color w:val="000000" w:themeColor="text1"/>
          <w:sz w:val="20"/>
          <w:szCs w:val="20"/>
          <w:lang w:val="en-US"/>
        </w:rPr>
        <w:t xml:space="preserve"> Inner surface area of the model airways in the lung regions.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1418"/>
        <w:gridCol w:w="1150"/>
        <w:gridCol w:w="5526"/>
      </w:tblGrid>
      <w:tr w:rsidR="006D7DCF" w14:paraId="0FFCE4C2" w14:textId="77777777">
        <w:tc>
          <w:tcPr>
            <w:tcW w:w="982" w:type="dxa"/>
            <w:tcBorders>
              <w:bottom w:val="single" w:sz="4" w:space="0" w:color="auto"/>
            </w:tcBorders>
          </w:tcPr>
          <w:p w14:paraId="677DEAAE" w14:textId="77777777" w:rsidR="006D7DCF" w:rsidRDefault="00A155C2">
            <w:pPr>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Lung region</w:t>
            </w:r>
          </w:p>
        </w:tc>
        <w:tc>
          <w:tcPr>
            <w:tcW w:w="1428" w:type="dxa"/>
            <w:tcBorders>
              <w:bottom w:val="single" w:sz="4" w:space="0" w:color="auto"/>
            </w:tcBorders>
          </w:tcPr>
          <w:p w14:paraId="64A0F724" w14:textId="77777777" w:rsidR="006D7DCF" w:rsidRDefault="00A155C2">
            <w:pPr>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Surface area [m²]</w:t>
            </w:r>
          </w:p>
        </w:tc>
        <w:tc>
          <w:tcPr>
            <w:tcW w:w="1054" w:type="dxa"/>
            <w:tcBorders>
              <w:bottom w:val="single" w:sz="4" w:space="0" w:color="auto"/>
            </w:tcBorders>
          </w:tcPr>
          <w:p w14:paraId="0E36096E" w14:textId="77777777" w:rsidR="006D7DCF" w:rsidRDefault="00A155C2">
            <w:pPr>
              <w:jc w:val="cente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Generation number</w:t>
            </w:r>
          </w:p>
        </w:tc>
        <w:tc>
          <w:tcPr>
            <w:tcW w:w="5608" w:type="dxa"/>
            <w:tcBorders>
              <w:bottom w:val="single" w:sz="4" w:space="0" w:color="auto"/>
            </w:tcBorders>
          </w:tcPr>
          <w:p w14:paraId="4A148346" w14:textId="77777777" w:rsidR="006D7DCF" w:rsidRDefault="00A155C2">
            <w:pPr>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Meaning</w:t>
            </w:r>
          </w:p>
        </w:tc>
      </w:tr>
      <w:tr w:rsidR="006D7DCF" w14:paraId="5336D98C" w14:textId="77777777">
        <w:tc>
          <w:tcPr>
            <w:tcW w:w="982" w:type="dxa"/>
            <w:tcBorders>
              <w:top w:val="single" w:sz="4" w:space="0" w:color="auto"/>
            </w:tcBorders>
          </w:tcPr>
          <w:p w14:paraId="73E08F29"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et</w:t>
            </w:r>
          </w:p>
        </w:tc>
        <w:tc>
          <w:tcPr>
            <w:tcW w:w="1428" w:type="dxa"/>
            <w:tcBorders>
              <w:top w:val="single" w:sz="4" w:space="0" w:color="auto"/>
            </w:tcBorders>
          </w:tcPr>
          <w:p w14:paraId="08E109F0"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0.0118</w:t>
            </w:r>
          </w:p>
        </w:tc>
        <w:tc>
          <w:tcPr>
            <w:tcW w:w="1054" w:type="dxa"/>
            <w:tcBorders>
              <w:top w:val="single" w:sz="4" w:space="0" w:color="auto"/>
            </w:tcBorders>
          </w:tcPr>
          <w:p w14:paraId="3C470159"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5608" w:type="dxa"/>
            <w:tcBorders>
              <w:top w:val="single" w:sz="4" w:space="0" w:color="auto"/>
            </w:tcBorders>
          </w:tcPr>
          <w:p w14:paraId="0B0B7FEA"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Extra thoracic (mouth and throat)</w:t>
            </w:r>
          </w:p>
        </w:tc>
      </w:tr>
      <w:tr w:rsidR="006D7DCF" w14:paraId="5F712018" w14:textId="77777777">
        <w:tc>
          <w:tcPr>
            <w:tcW w:w="982" w:type="dxa"/>
          </w:tcPr>
          <w:p w14:paraId="7A44A9C5"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tb</w:t>
            </w:r>
          </w:p>
        </w:tc>
        <w:tc>
          <w:tcPr>
            <w:tcW w:w="1428" w:type="dxa"/>
          </w:tcPr>
          <w:p w14:paraId="3731E992"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0.326</w:t>
            </w:r>
          </w:p>
        </w:tc>
        <w:tc>
          <w:tcPr>
            <w:tcW w:w="1054" w:type="dxa"/>
          </w:tcPr>
          <w:p w14:paraId="10DA5B63"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3-19</w:t>
            </w:r>
          </w:p>
        </w:tc>
        <w:tc>
          <w:tcPr>
            <w:tcW w:w="5608" w:type="dxa"/>
          </w:tcPr>
          <w:p w14:paraId="23F0942C"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 xml:space="preserve">Ducts of the </w:t>
            </w:r>
            <w:proofErr w:type="spellStart"/>
            <w:r>
              <w:rPr>
                <w:rFonts w:ascii="Times New Roman" w:hAnsi="Times New Roman" w:cs="Times New Roman"/>
                <w:sz w:val="20"/>
                <w:szCs w:val="20"/>
                <w:lang w:val="en-US"/>
              </w:rPr>
              <w:t>tracheo</w:t>
            </w:r>
            <w:proofErr w:type="spellEnd"/>
            <w:r>
              <w:rPr>
                <w:rFonts w:ascii="Times New Roman" w:hAnsi="Times New Roman" w:cs="Times New Roman"/>
                <w:sz w:val="20"/>
                <w:szCs w:val="20"/>
                <w:lang w:val="en-US"/>
              </w:rPr>
              <w:t>-bronchial tree</w:t>
            </w:r>
          </w:p>
        </w:tc>
      </w:tr>
      <w:tr w:rsidR="006D7DCF" w14:paraId="0143F27B" w14:textId="77777777">
        <w:tc>
          <w:tcPr>
            <w:tcW w:w="982" w:type="dxa"/>
          </w:tcPr>
          <w:p w14:paraId="11E916D5"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al</w:t>
            </w:r>
          </w:p>
        </w:tc>
        <w:tc>
          <w:tcPr>
            <w:tcW w:w="1428" w:type="dxa"/>
          </w:tcPr>
          <w:p w14:paraId="361DA240"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74.7</w:t>
            </w:r>
          </w:p>
        </w:tc>
        <w:tc>
          <w:tcPr>
            <w:tcW w:w="1054" w:type="dxa"/>
          </w:tcPr>
          <w:p w14:paraId="29E645EC"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20-26</w:t>
            </w:r>
          </w:p>
        </w:tc>
        <w:tc>
          <w:tcPr>
            <w:tcW w:w="5608" w:type="dxa"/>
          </w:tcPr>
          <w:p w14:paraId="02152BF4"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Alveolar ducts and alveoli</w:t>
            </w:r>
          </w:p>
        </w:tc>
      </w:tr>
      <w:tr w:rsidR="006D7DCF" w14:paraId="32B1FAB3" w14:textId="77777777">
        <w:tc>
          <w:tcPr>
            <w:tcW w:w="982" w:type="dxa"/>
            <w:tcBorders>
              <w:bottom w:val="single" w:sz="4" w:space="0" w:color="auto"/>
            </w:tcBorders>
          </w:tcPr>
          <w:p w14:paraId="26BA0D10" w14:textId="77777777" w:rsidR="006D7DCF" w:rsidRDefault="00A155C2">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tl</w:t>
            </w:r>
            <w:proofErr w:type="spellEnd"/>
          </w:p>
        </w:tc>
        <w:tc>
          <w:tcPr>
            <w:tcW w:w="1428" w:type="dxa"/>
            <w:tcBorders>
              <w:bottom w:val="single" w:sz="4" w:space="0" w:color="auto"/>
            </w:tcBorders>
          </w:tcPr>
          <w:p w14:paraId="4A93E803"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1054" w:type="dxa"/>
            <w:tcBorders>
              <w:bottom w:val="single" w:sz="4" w:space="0" w:color="auto"/>
            </w:tcBorders>
          </w:tcPr>
          <w:p w14:paraId="2738938B"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1-26</w:t>
            </w:r>
          </w:p>
        </w:tc>
        <w:tc>
          <w:tcPr>
            <w:tcW w:w="5608" w:type="dxa"/>
            <w:tcBorders>
              <w:bottom w:val="single" w:sz="4" w:space="0" w:color="auto"/>
            </w:tcBorders>
          </w:tcPr>
          <w:p w14:paraId="40811290"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Total lung (ICRP, 1975)</w:t>
            </w:r>
          </w:p>
        </w:tc>
      </w:tr>
    </w:tbl>
    <w:p w14:paraId="70EB7D71" w14:textId="77777777" w:rsidR="006D7DCF" w:rsidRDefault="006D7DCF">
      <w:pPr>
        <w:spacing w:line="240" w:lineRule="auto"/>
        <w:jc w:val="both"/>
        <w:rPr>
          <w:rFonts w:ascii="Times New Roman" w:hAnsi="Times New Roman" w:cs="Times New Roman"/>
          <w:color w:val="000000" w:themeColor="text1"/>
          <w:sz w:val="20"/>
          <w:szCs w:val="20"/>
          <w:lang w:val="en-US"/>
        </w:rPr>
      </w:pPr>
    </w:p>
    <w:p w14:paraId="15383EC8" w14:textId="77777777" w:rsidR="006D7DCF" w:rsidRDefault="00A155C2">
      <w:pPr>
        <w:spacing w:line="24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Table SII. Breathing conditions used in the model mimicking a person breathing orally at rest.</w:t>
      </w:r>
    </w:p>
    <w:tbl>
      <w:tblPr>
        <w:tblStyle w:val="Tabellenraster"/>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859"/>
        <w:gridCol w:w="1556"/>
      </w:tblGrid>
      <w:tr w:rsidR="006D7DCF" w14:paraId="1524C983" w14:textId="77777777">
        <w:tc>
          <w:tcPr>
            <w:tcW w:w="3822" w:type="dxa"/>
            <w:tcBorders>
              <w:bottom w:val="single" w:sz="4" w:space="0" w:color="auto"/>
            </w:tcBorders>
          </w:tcPr>
          <w:p w14:paraId="29CD3355" w14:textId="77777777" w:rsidR="006D7DCF" w:rsidRDefault="00A155C2">
            <w:pPr>
              <w:jc w:val="right"/>
              <w:rPr>
                <w:rFonts w:ascii="Times New Roman" w:hAnsi="Times New Roman" w:cs="Times New Roman"/>
                <w:b/>
                <w:i/>
                <w:sz w:val="20"/>
                <w:szCs w:val="20"/>
                <w:lang w:val="en-US"/>
              </w:rPr>
            </w:pPr>
            <w:r>
              <w:rPr>
                <w:rFonts w:ascii="Times New Roman" w:hAnsi="Times New Roman" w:cs="Times New Roman"/>
                <w:b/>
                <w:i/>
                <w:sz w:val="20"/>
                <w:szCs w:val="20"/>
                <w:lang w:val="en-US"/>
              </w:rPr>
              <w:t>Meaning</w:t>
            </w:r>
          </w:p>
        </w:tc>
        <w:tc>
          <w:tcPr>
            <w:tcW w:w="859" w:type="dxa"/>
            <w:tcBorders>
              <w:bottom w:val="single" w:sz="4" w:space="0" w:color="auto"/>
            </w:tcBorders>
          </w:tcPr>
          <w:p w14:paraId="403711F4" w14:textId="77777777" w:rsidR="006D7DCF" w:rsidRDefault="00A155C2">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Value</w:t>
            </w:r>
          </w:p>
        </w:tc>
        <w:tc>
          <w:tcPr>
            <w:tcW w:w="1556" w:type="dxa"/>
            <w:tcBorders>
              <w:bottom w:val="single" w:sz="4" w:space="0" w:color="auto"/>
            </w:tcBorders>
          </w:tcPr>
          <w:p w14:paraId="1BB8A1D3" w14:textId="77777777" w:rsidR="006D7DCF" w:rsidRDefault="00A155C2">
            <w:pPr>
              <w:rPr>
                <w:rFonts w:ascii="Times New Roman" w:hAnsi="Times New Roman" w:cs="Times New Roman"/>
                <w:b/>
                <w:i/>
                <w:sz w:val="20"/>
                <w:szCs w:val="20"/>
                <w:lang w:val="en-US"/>
              </w:rPr>
            </w:pPr>
            <w:r>
              <w:rPr>
                <w:rFonts w:ascii="Times New Roman" w:hAnsi="Times New Roman" w:cs="Times New Roman"/>
                <w:b/>
                <w:i/>
                <w:sz w:val="20"/>
                <w:szCs w:val="20"/>
                <w:lang w:val="en-US"/>
              </w:rPr>
              <w:t>unit</w:t>
            </w:r>
          </w:p>
        </w:tc>
      </w:tr>
      <w:tr w:rsidR="006D7DCF" w14:paraId="4E38970A" w14:textId="77777777">
        <w:tc>
          <w:tcPr>
            <w:tcW w:w="3822" w:type="dxa"/>
            <w:tcBorders>
              <w:top w:val="single" w:sz="4" w:space="0" w:color="auto"/>
            </w:tcBorders>
          </w:tcPr>
          <w:p w14:paraId="3F53605C" w14:textId="77777777" w:rsidR="006D7DCF" w:rsidRDefault="00A155C2">
            <w:pPr>
              <w:jc w:val="right"/>
              <w:rPr>
                <w:rFonts w:ascii="Times New Roman" w:hAnsi="Times New Roman" w:cs="Times New Roman"/>
                <w:i/>
                <w:sz w:val="20"/>
                <w:szCs w:val="20"/>
                <w:lang w:val="en-US"/>
              </w:rPr>
            </w:pPr>
            <w:r>
              <w:rPr>
                <w:rFonts w:ascii="Times New Roman" w:hAnsi="Times New Roman" w:cs="Times New Roman"/>
                <w:sz w:val="20"/>
                <w:szCs w:val="20"/>
                <w:lang w:val="en-US"/>
              </w:rPr>
              <w:t>Tidal volume</w:t>
            </w:r>
          </w:p>
        </w:tc>
        <w:tc>
          <w:tcPr>
            <w:tcW w:w="859" w:type="dxa"/>
            <w:tcBorders>
              <w:top w:val="single" w:sz="4" w:space="0" w:color="auto"/>
            </w:tcBorders>
          </w:tcPr>
          <w:p w14:paraId="7CA484FB"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750</w:t>
            </w:r>
          </w:p>
        </w:tc>
        <w:tc>
          <w:tcPr>
            <w:tcW w:w="1556" w:type="dxa"/>
            <w:tcBorders>
              <w:top w:val="single" w:sz="4" w:space="0" w:color="auto"/>
            </w:tcBorders>
          </w:tcPr>
          <w:p w14:paraId="4E8E9009"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cm³</w:t>
            </w:r>
          </w:p>
        </w:tc>
      </w:tr>
      <w:tr w:rsidR="006D7DCF" w14:paraId="2DDA44A8" w14:textId="77777777">
        <w:tc>
          <w:tcPr>
            <w:tcW w:w="3822" w:type="dxa"/>
          </w:tcPr>
          <w:p w14:paraId="6C073871" w14:textId="77777777" w:rsidR="006D7DCF" w:rsidRDefault="00A155C2">
            <w:pPr>
              <w:jc w:val="right"/>
              <w:rPr>
                <w:rFonts w:ascii="Times New Roman" w:hAnsi="Times New Roman" w:cs="Times New Roman"/>
                <w:i/>
                <w:sz w:val="20"/>
                <w:szCs w:val="20"/>
                <w:lang w:val="en-US"/>
              </w:rPr>
            </w:pPr>
            <w:r>
              <w:rPr>
                <w:rFonts w:ascii="Times New Roman" w:hAnsi="Times New Roman" w:cs="Times New Roman"/>
                <w:sz w:val="20"/>
                <w:szCs w:val="20"/>
                <w:lang w:val="en-US"/>
              </w:rPr>
              <w:t xml:space="preserve">Breathing frequency </w:t>
            </w:r>
          </w:p>
        </w:tc>
        <w:tc>
          <w:tcPr>
            <w:tcW w:w="859" w:type="dxa"/>
          </w:tcPr>
          <w:p w14:paraId="6C0D30C6"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556" w:type="dxa"/>
          </w:tcPr>
          <w:p w14:paraId="51150128"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breaths / min</w:t>
            </w:r>
          </w:p>
        </w:tc>
      </w:tr>
      <w:tr w:rsidR="006D7DCF" w14:paraId="667EB988" w14:textId="77777777">
        <w:tc>
          <w:tcPr>
            <w:tcW w:w="3822" w:type="dxa"/>
          </w:tcPr>
          <w:p w14:paraId="2988B4CE" w14:textId="77777777" w:rsidR="006D7DCF" w:rsidRDefault="00A155C2">
            <w:pPr>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Time for in- / exhalation </w:t>
            </w:r>
          </w:p>
        </w:tc>
        <w:tc>
          <w:tcPr>
            <w:tcW w:w="859" w:type="dxa"/>
          </w:tcPr>
          <w:p w14:paraId="7C8CF928"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2.5/2.5</w:t>
            </w:r>
          </w:p>
        </w:tc>
        <w:tc>
          <w:tcPr>
            <w:tcW w:w="1556" w:type="dxa"/>
          </w:tcPr>
          <w:p w14:paraId="473F67D2"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s</w:t>
            </w:r>
          </w:p>
        </w:tc>
      </w:tr>
      <w:tr w:rsidR="006D7DCF" w14:paraId="5A5C9BED" w14:textId="77777777">
        <w:tc>
          <w:tcPr>
            <w:tcW w:w="3822" w:type="dxa"/>
          </w:tcPr>
          <w:p w14:paraId="26A072DF" w14:textId="77777777" w:rsidR="006D7DCF" w:rsidRDefault="00A155C2">
            <w:pPr>
              <w:jc w:val="right"/>
              <w:rPr>
                <w:rFonts w:ascii="Times New Roman" w:hAnsi="Times New Roman" w:cs="Times New Roman"/>
                <w:sz w:val="20"/>
                <w:szCs w:val="20"/>
                <w:lang w:val="en-US"/>
              </w:rPr>
            </w:pPr>
            <w:r>
              <w:rPr>
                <w:rFonts w:ascii="Times New Roman" w:hAnsi="Times New Roman" w:cs="Times New Roman"/>
                <w:sz w:val="20"/>
                <w:szCs w:val="20"/>
                <w:lang w:val="en-US"/>
              </w:rPr>
              <w:t>Breath holding between in- and exhalation</w:t>
            </w:r>
          </w:p>
        </w:tc>
        <w:tc>
          <w:tcPr>
            <w:tcW w:w="859" w:type="dxa"/>
          </w:tcPr>
          <w:p w14:paraId="74638E07"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none</w:t>
            </w:r>
          </w:p>
        </w:tc>
        <w:tc>
          <w:tcPr>
            <w:tcW w:w="1556" w:type="dxa"/>
          </w:tcPr>
          <w:p w14:paraId="2A4CAB83"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D7DCF" w14:paraId="016177E3" w14:textId="77777777">
        <w:tc>
          <w:tcPr>
            <w:tcW w:w="3822" w:type="dxa"/>
          </w:tcPr>
          <w:p w14:paraId="2DD6BD0C" w14:textId="77777777" w:rsidR="006D7DCF" w:rsidRDefault="00A155C2">
            <w:pPr>
              <w:jc w:val="right"/>
              <w:rPr>
                <w:rFonts w:ascii="Times New Roman" w:hAnsi="Times New Roman" w:cs="Times New Roman"/>
                <w:i/>
                <w:sz w:val="20"/>
                <w:szCs w:val="20"/>
                <w:lang w:val="en-US"/>
              </w:rPr>
            </w:pPr>
            <w:r>
              <w:rPr>
                <w:rFonts w:ascii="Times New Roman" w:hAnsi="Times New Roman" w:cs="Times New Roman"/>
                <w:sz w:val="20"/>
                <w:szCs w:val="20"/>
                <w:lang w:val="en-US"/>
              </w:rPr>
              <w:t>Respiratory minute volume</w:t>
            </w:r>
          </w:p>
        </w:tc>
        <w:tc>
          <w:tcPr>
            <w:tcW w:w="859" w:type="dxa"/>
          </w:tcPr>
          <w:p w14:paraId="221F490E"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9 000</w:t>
            </w:r>
          </w:p>
        </w:tc>
        <w:tc>
          <w:tcPr>
            <w:tcW w:w="1556" w:type="dxa"/>
          </w:tcPr>
          <w:p w14:paraId="254273CE"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ml / min</w:t>
            </w:r>
          </w:p>
        </w:tc>
      </w:tr>
      <w:tr w:rsidR="006D7DCF" w14:paraId="4FCDE3AC" w14:textId="77777777">
        <w:tc>
          <w:tcPr>
            <w:tcW w:w="3822" w:type="dxa"/>
            <w:tcBorders>
              <w:bottom w:val="single" w:sz="4" w:space="0" w:color="auto"/>
            </w:tcBorders>
          </w:tcPr>
          <w:p w14:paraId="1340EEF9" w14:textId="77777777" w:rsidR="006D7DCF" w:rsidRDefault="00A155C2">
            <w:pPr>
              <w:jc w:val="right"/>
              <w:rPr>
                <w:rFonts w:ascii="Times New Roman" w:hAnsi="Times New Roman" w:cs="Times New Roman"/>
                <w:i/>
                <w:sz w:val="20"/>
                <w:szCs w:val="20"/>
                <w:lang w:val="en-US"/>
              </w:rPr>
            </w:pPr>
            <w:r>
              <w:rPr>
                <w:rFonts w:ascii="Times New Roman" w:hAnsi="Times New Roman" w:cs="Times New Roman"/>
                <w:sz w:val="20"/>
                <w:szCs w:val="20"/>
                <w:lang w:val="en-US"/>
              </w:rPr>
              <w:t>Lung volume</w:t>
            </w:r>
          </w:p>
        </w:tc>
        <w:tc>
          <w:tcPr>
            <w:tcW w:w="859" w:type="dxa"/>
            <w:tcBorders>
              <w:bottom w:val="single" w:sz="4" w:space="0" w:color="auto"/>
            </w:tcBorders>
          </w:tcPr>
          <w:p w14:paraId="3D1C8014" w14:textId="77777777" w:rsidR="006D7DCF" w:rsidRDefault="00A155C2">
            <w:pPr>
              <w:jc w:val="center"/>
              <w:rPr>
                <w:rFonts w:ascii="Times New Roman" w:hAnsi="Times New Roman" w:cs="Times New Roman"/>
                <w:sz w:val="20"/>
                <w:szCs w:val="20"/>
                <w:lang w:val="en-US"/>
              </w:rPr>
            </w:pPr>
            <w:r>
              <w:rPr>
                <w:rFonts w:ascii="Times New Roman" w:hAnsi="Times New Roman" w:cs="Times New Roman"/>
                <w:sz w:val="20"/>
                <w:szCs w:val="20"/>
                <w:lang w:val="en-US"/>
              </w:rPr>
              <w:t>3 675</w:t>
            </w:r>
          </w:p>
        </w:tc>
        <w:tc>
          <w:tcPr>
            <w:tcW w:w="1556" w:type="dxa"/>
            <w:tcBorders>
              <w:bottom w:val="single" w:sz="4" w:space="0" w:color="auto"/>
            </w:tcBorders>
          </w:tcPr>
          <w:p w14:paraId="096A5865" w14:textId="77777777" w:rsidR="006D7DCF" w:rsidRDefault="00A155C2">
            <w:pPr>
              <w:rPr>
                <w:rFonts w:ascii="Times New Roman" w:hAnsi="Times New Roman" w:cs="Times New Roman"/>
                <w:sz w:val="20"/>
                <w:szCs w:val="20"/>
                <w:lang w:val="en-US"/>
              </w:rPr>
            </w:pPr>
            <w:r>
              <w:rPr>
                <w:rFonts w:ascii="Times New Roman" w:hAnsi="Times New Roman" w:cs="Times New Roman"/>
                <w:sz w:val="20"/>
                <w:szCs w:val="20"/>
                <w:lang w:val="en-US"/>
              </w:rPr>
              <w:t>cm³</w:t>
            </w:r>
          </w:p>
        </w:tc>
      </w:tr>
    </w:tbl>
    <w:p w14:paraId="28A4142E" w14:textId="77777777" w:rsidR="006D7DCF" w:rsidRDefault="006D7DCF">
      <w:pPr>
        <w:rPr>
          <w:rFonts w:ascii="Times New Roman" w:hAnsi="Times New Roman" w:cs="Times New Roman"/>
          <w:b/>
          <w:bCs/>
          <w:color w:val="000000" w:themeColor="text1"/>
          <w:sz w:val="20"/>
          <w:szCs w:val="20"/>
          <w:lang w:val="en-US"/>
        </w:rPr>
      </w:pPr>
    </w:p>
    <w:p w14:paraId="39A6E242" w14:textId="595654E1" w:rsidR="006D7DCF" w:rsidRDefault="00A155C2">
      <w:pPr>
        <w:spacing w:line="240" w:lineRule="auto"/>
        <w:jc w:val="both"/>
        <w:rPr>
          <w:rFonts w:ascii="Times New Roman" w:hAnsi="Times New Roman" w:cs="Times New Roman"/>
          <w:b/>
          <w:bCs/>
          <w:color w:val="000000" w:themeColor="text1"/>
          <w:sz w:val="20"/>
          <w:szCs w:val="20"/>
          <w:lang w:val="en-US"/>
        </w:rPr>
      </w:pPr>
      <w:r>
        <w:rPr>
          <w:rFonts w:ascii="Times New Roman" w:hAnsi="Times New Roman" w:cs="Times New Roman"/>
          <w:b/>
          <w:sz w:val="20"/>
          <w:szCs w:val="20"/>
          <w:lang w:val="en-GB"/>
        </w:rPr>
        <w:t>Detailed information on the LC-MS/MS settings and the parameters for DBP-d4 deposition measurements</w:t>
      </w:r>
    </w:p>
    <w:p w14:paraId="5242C4A2" w14:textId="77777777" w:rsidR="006D7DCF" w:rsidRDefault="00A155C2">
      <w:pPr>
        <w:spacing w:line="240" w:lineRule="auto"/>
        <w:jc w:val="both"/>
        <w:rPr>
          <w:rFonts w:ascii="Times New Roman" w:hAnsi="Times New Roman" w:cs="Times New Roman"/>
          <w:sz w:val="20"/>
          <w:lang w:val="en-US" w:eastAsia="zh-CN"/>
        </w:rPr>
      </w:pPr>
      <w:r>
        <w:rPr>
          <w:rFonts w:ascii="Times New Roman" w:hAnsi="Times New Roman" w:cs="Times New Roman"/>
          <w:color w:val="000000" w:themeColor="text1"/>
          <w:sz w:val="20"/>
          <w:szCs w:val="20"/>
          <w:lang w:val="en-US"/>
        </w:rPr>
        <w:t xml:space="preserve">The amount of deposited DBP-d4 was measured in supernatant (stored at -80 °C) after one nebulization for 2 replicate inserts and analyzed with a capillary voltage of 5 kV, source temperature 350 °C, nebulizer gas 2.76 bar (40 psi), heater gas 3.48 bar (50 psi), curtain gas 1.38 bar (20 psi), and collision gas 0.76 bar (11 psi). A </w:t>
      </w:r>
      <w:proofErr w:type="spellStart"/>
      <w:r>
        <w:rPr>
          <w:rFonts w:ascii="Times New Roman" w:hAnsi="Times New Roman" w:cs="Times New Roman"/>
          <w:color w:val="000000" w:themeColor="text1"/>
          <w:sz w:val="20"/>
          <w:szCs w:val="20"/>
          <w:lang w:val="en-US"/>
        </w:rPr>
        <w:t>Kinetex</w:t>
      </w:r>
      <w:proofErr w:type="spellEnd"/>
      <w:r>
        <w:rPr>
          <w:rFonts w:ascii="Times New Roman" w:hAnsi="Times New Roman" w:cs="Times New Roman"/>
          <w:color w:val="000000" w:themeColor="text1"/>
          <w:sz w:val="20"/>
          <w:szCs w:val="20"/>
          <w:lang w:val="en-US"/>
        </w:rPr>
        <w:t xml:space="preserve"> C18 column (2.6 </w:t>
      </w:r>
      <w:r>
        <w:rPr>
          <w:rFonts w:ascii="Times New Roman" w:hAnsi="Times New Roman" w:cs="Times New Roman"/>
          <w:color w:val="000000" w:themeColor="text1"/>
          <w:sz w:val="20"/>
          <w:szCs w:val="20"/>
        </w:rPr>
        <w:t>μ</w:t>
      </w:r>
      <w:r>
        <w:rPr>
          <w:rFonts w:ascii="Times New Roman" w:hAnsi="Times New Roman" w:cs="Times New Roman"/>
          <w:color w:val="000000" w:themeColor="text1"/>
          <w:sz w:val="20"/>
          <w:szCs w:val="20"/>
          <w:lang w:val="en-US"/>
        </w:rPr>
        <w:t xml:space="preserve">m, 100×3 mm i.d., Phenomenex, UK) was used for separation and the column compartment was set at 20 °C. </w:t>
      </w:r>
      <w:r>
        <w:rPr>
          <w:rFonts w:ascii="Times New Roman" w:hAnsi="Times New Roman" w:cs="Times New Roman"/>
          <w:bCs/>
          <w:sz w:val="20"/>
          <w:lang w:val="en-GB"/>
        </w:rPr>
        <w:t xml:space="preserve">The autosampler injected a volume of 10 µL and was set at 20 °C. The measurement was performed in multiple reaction monitoring in positive ion mode using a gradient separation starting with 50% 0.1% acetic acid (mobile phase A) and 50% methanol (mobile phase B) with a constant flow of 300 µL/min going up to 100% methanol in 15 minutes. </w:t>
      </w:r>
      <w:r>
        <w:rPr>
          <w:rFonts w:ascii="Times New Roman" w:hAnsi="Times New Roman" w:cs="Times New Roman"/>
          <w:sz w:val="20"/>
          <w:lang w:val="en-US" w:eastAsia="zh-CN"/>
        </w:rPr>
        <w:t>DBP-d4 m/z 283.3</w:t>
      </w:r>
      <w:r>
        <w:rPr>
          <w:rFonts w:ascii="Times New Roman" w:hAnsi="Times New Roman" w:cs="Times New Roman"/>
          <w:sz w:val="20"/>
          <w:lang w:eastAsia="zh-CN"/>
        </w:rPr>
        <w:sym w:font="Wingdings" w:char="F0E0"/>
      </w:r>
      <w:r>
        <w:rPr>
          <w:rFonts w:ascii="Times New Roman" w:hAnsi="Times New Roman" w:cs="Times New Roman"/>
          <w:sz w:val="20"/>
          <w:lang w:val="en-US" w:eastAsia="zh-CN"/>
        </w:rPr>
        <w:t>153 transition was used for quantification and DBP-d4 m/z 283.3</w:t>
      </w:r>
      <w:r>
        <w:rPr>
          <w:rFonts w:ascii="Times New Roman" w:hAnsi="Times New Roman" w:cs="Times New Roman"/>
          <w:sz w:val="20"/>
          <w:lang w:eastAsia="zh-CN"/>
        </w:rPr>
        <w:sym w:font="Wingdings" w:char="F0E0"/>
      </w:r>
      <w:r>
        <w:rPr>
          <w:rFonts w:ascii="Times New Roman" w:hAnsi="Times New Roman" w:cs="Times New Roman"/>
          <w:sz w:val="20"/>
          <w:lang w:val="en-US" w:eastAsia="zh-CN"/>
        </w:rPr>
        <w:t>209.2 transition ions served as qualifier ions. For quantification, an external calibration curve with DBP-d4 from 0.1 to 20 ng/mL was established and a blank (exposure to pure solvent without DBP-d4) was subtracted.</w:t>
      </w:r>
    </w:p>
    <w:p w14:paraId="5FEC0CBB" w14:textId="77777777" w:rsidR="008534FE" w:rsidRDefault="00A155C2">
      <w:pPr>
        <w:jc w:val="both"/>
        <w:rPr>
          <w:rFonts w:ascii="Times New Roman" w:hAnsi="Times New Roman" w:cs="Times New Roman"/>
          <w:color w:val="000000" w:themeColor="text1"/>
          <w:sz w:val="20"/>
          <w:szCs w:val="20"/>
          <w:lang w:val="en-US"/>
        </w:rPr>
      </w:pPr>
      <w:bookmarkStart w:id="2" w:name="_Hlk80096754"/>
      <w:r>
        <w:rPr>
          <w:rFonts w:ascii="Times New Roman" w:hAnsi="Times New Roman" w:cs="Times New Roman"/>
          <w:b/>
          <w:sz w:val="20"/>
          <w:szCs w:val="20"/>
          <w:lang w:val="en-GB"/>
        </w:rPr>
        <w:t>Detailed information on the sample preparation process and the LC-MS/MS parameters for measurements of malondialdehyde (MDA) content in supernatant</w:t>
      </w:r>
      <w:r>
        <w:rPr>
          <w:rFonts w:ascii="Times New Roman" w:hAnsi="Times New Roman" w:cs="Times New Roman"/>
          <w:b/>
          <w:bCs/>
          <w:color w:val="000000" w:themeColor="text1"/>
          <w:sz w:val="20"/>
          <w:szCs w:val="20"/>
          <w:lang w:val="en-US"/>
        </w:rPr>
        <w:t xml:space="preserve"> </w:t>
      </w:r>
      <w:bookmarkEnd w:id="2"/>
    </w:p>
    <w:p w14:paraId="192A68F7" w14:textId="31E95845" w:rsidR="006D7DCF" w:rsidRPr="008534FE" w:rsidRDefault="00A155C2">
      <w:pPr>
        <w:jc w:val="both"/>
        <w:rPr>
          <w:rFonts w:ascii="Times New Roman" w:hAnsi="Times New Roman" w:cs="Times New Roman"/>
          <w:color w:val="000000" w:themeColor="text1"/>
          <w:sz w:val="20"/>
          <w:szCs w:val="20"/>
          <w:lang w:val="en-US"/>
        </w:rPr>
      </w:pPr>
      <w:r>
        <w:rPr>
          <w:rFonts w:ascii="Times New Roman" w:hAnsi="Times New Roman" w:cs="Times New Roman"/>
          <w:sz w:val="20"/>
          <w:szCs w:val="20"/>
          <w:lang w:val="en-US" w:eastAsia="zh-CN"/>
        </w:rPr>
        <w:t>Sample medium was mixed with 25 µL of 33 ng/mL internal standard</w:t>
      </w:r>
      <w:r>
        <w:rPr>
          <w:rFonts w:ascii="Times New Roman" w:hAnsi="Times New Roman" w:cs="Times New Roman"/>
          <w:lang w:val="en-GB"/>
        </w:rPr>
        <w:t xml:space="preserve"> </w:t>
      </w:r>
      <w:r>
        <w:rPr>
          <w:rFonts w:ascii="Times New Roman" w:hAnsi="Times New Roman" w:cs="Times New Roman"/>
          <w:sz w:val="20"/>
          <w:szCs w:val="20"/>
          <w:lang w:val="en-US" w:eastAsia="zh-CN"/>
        </w:rPr>
        <w:t xml:space="preserve">Malondialdehyde tetra butylammonium salt (d2-MDA), and a solution of 0.5 mM DNPH in 1% FA was added. The mixture was incubated at 37 </w:t>
      </w:r>
      <w:proofErr w:type="spellStart"/>
      <w:r>
        <w:rPr>
          <w:rFonts w:ascii="Times New Roman" w:hAnsi="Times New Roman" w:cs="Times New Roman"/>
          <w:sz w:val="20"/>
          <w:szCs w:val="20"/>
          <w:vertAlign w:val="superscript"/>
          <w:lang w:val="en-US" w:eastAsia="zh-CN"/>
        </w:rPr>
        <w:t>o</w:t>
      </w:r>
      <w:r>
        <w:rPr>
          <w:rFonts w:ascii="Times New Roman" w:hAnsi="Times New Roman" w:cs="Times New Roman"/>
          <w:sz w:val="20"/>
          <w:szCs w:val="20"/>
          <w:lang w:val="en-US" w:eastAsia="zh-CN"/>
        </w:rPr>
        <w:t>C</w:t>
      </w:r>
      <w:proofErr w:type="spellEnd"/>
      <w:r>
        <w:rPr>
          <w:rFonts w:ascii="Times New Roman" w:hAnsi="Times New Roman" w:cs="Times New Roman"/>
          <w:sz w:val="20"/>
          <w:szCs w:val="20"/>
          <w:lang w:val="en-US" w:eastAsia="zh-CN"/>
        </w:rPr>
        <w:t xml:space="preserve"> under 300 rpm for 70 min in a Thermomixer C </w:t>
      </w:r>
      <w:r>
        <w:rPr>
          <w:rFonts w:ascii="Times New Roman" w:hAnsi="Times New Roman" w:cs="Times New Roman"/>
          <w:sz w:val="20"/>
          <w:szCs w:val="20"/>
          <w:lang w:val="en-US"/>
        </w:rPr>
        <w:t>(Eppendorf, Germany) for derivatization</w:t>
      </w:r>
      <w:r>
        <w:rPr>
          <w:rFonts w:ascii="Times New Roman" w:hAnsi="Times New Roman" w:cs="Times New Roman"/>
          <w:sz w:val="20"/>
          <w:szCs w:val="20"/>
          <w:lang w:val="en-US" w:eastAsia="zh-CN"/>
        </w:rPr>
        <w:t xml:space="preserve">. Afterwards, liquid-liquid extraction of MDA adduct (MDA-DNPH) was performed by addition of n-hexane, shaking for 30 sec, and subsequent </w:t>
      </w:r>
      <w:proofErr w:type="gramStart"/>
      <w:r>
        <w:rPr>
          <w:rFonts w:ascii="Times New Roman" w:hAnsi="Times New Roman" w:cs="Times New Roman"/>
          <w:sz w:val="20"/>
          <w:szCs w:val="20"/>
          <w:lang w:val="en-US" w:eastAsia="zh-CN"/>
        </w:rPr>
        <w:t>centrifugation</w:t>
      </w:r>
      <w:proofErr w:type="gramEnd"/>
      <w:r>
        <w:rPr>
          <w:rFonts w:ascii="Times New Roman" w:hAnsi="Times New Roman" w:cs="Times New Roman"/>
          <w:sz w:val="20"/>
          <w:szCs w:val="20"/>
          <w:lang w:val="en-US" w:eastAsia="zh-CN"/>
        </w:rPr>
        <w:t xml:space="preserve"> at 9390 x g for 5 min. The collected n-hexane supernatant was dried by nitrogen gas in a </w:t>
      </w:r>
      <w:proofErr w:type="spellStart"/>
      <w:r>
        <w:rPr>
          <w:rFonts w:ascii="Times New Roman" w:hAnsi="Times New Roman" w:cs="Times New Roman"/>
          <w:sz w:val="20"/>
          <w:szCs w:val="20"/>
          <w:lang w:val="en-US"/>
        </w:rPr>
        <w:t>Vapotherm</w:t>
      </w:r>
      <w:proofErr w:type="spellEnd"/>
      <w:r>
        <w:rPr>
          <w:rFonts w:ascii="Times New Roman" w:hAnsi="Times New Roman" w:cs="Times New Roman"/>
          <w:sz w:val="20"/>
          <w:szCs w:val="20"/>
          <w:lang w:val="en-US"/>
        </w:rPr>
        <w:t xml:space="preserve"> basis </w:t>
      </w:r>
      <w:proofErr w:type="spellStart"/>
      <w:r>
        <w:rPr>
          <w:rFonts w:ascii="Times New Roman" w:hAnsi="Times New Roman" w:cs="Times New Roman"/>
          <w:sz w:val="20"/>
          <w:szCs w:val="20"/>
          <w:lang w:val="en-US"/>
        </w:rPr>
        <w:t>mobil</w:t>
      </w:r>
      <w:proofErr w:type="spellEnd"/>
      <w:r>
        <w:rPr>
          <w:rFonts w:ascii="Times New Roman" w:hAnsi="Times New Roman" w:cs="Times New Roman"/>
          <w:sz w:val="20"/>
          <w:szCs w:val="20"/>
          <w:lang w:val="en-US"/>
        </w:rPr>
        <w:t xml:space="preserve"> I (</w:t>
      </w:r>
      <w:proofErr w:type="spellStart"/>
      <w:r>
        <w:rPr>
          <w:rFonts w:ascii="Times New Roman" w:hAnsi="Times New Roman" w:cs="Times New Roman"/>
          <w:sz w:val="20"/>
          <w:szCs w:val="20"/>
          <w:lang w:val="en-US"/>
        </w:rPr>
        <w:t>Barkey</w:t>
      </w:r>
      <w:proofErr w:type="spellEnd"/>
      <w:r>
        <w:rPr>
          <w:rFonts w:ascii="Times New Roman" w:hAnsi="Times New Roman" w:cs="Times New Roman"/>
          <w:sz w:val="20"/>
          <w:szCs w:val="20"/>
          <w:lang w:val="en-US"/>
        </w:rPr>
        <w:t>, Germany) at room temperature</w:t>
      </w:r>
      <w:r>
        <w:rPr>
          <w:rFonts w:ascii="Times New Roman" w:hAnsi="Times New Roman" w:cs="Times New Roman"/>
          <w:sz w:val="20"/>
          <w:szCs w:val="20"/>
          <w:lang w:val="en-US" w:eastAsia="zh-CN"/>
        </w:rPr>
        <w:t xml:space="preserve">. The dried residue was re-dissolved in mobile phase consisting of 80% methanol and 20 % ultrapure water with 0,1 % formic acid (methanol:0.1% formic acid, 80:20, v/v) and sonicated. </w:t>
      </w:r>
      <w:r>
        <w:rPr>
          <w:rFonts w:ascii="Times New Roman" w:hAnsi="Times New Roman" w:cs="Times New Roman"/>
          <w:sz w:val="20"/>
          <w:szCs w:val="20"/>
          <w:lang w:val="en-US"/>
        </w:rPr>
        <w:t xml:space="preserve">The </w:t>
      </w:r>
      <w:r>
        <w:rPr>
          <w:rFonts w:ascii="Times New Roman" w:hAnsi="Times New Roman" w:cs="Times New Roman"/>
          <w:sz w:val="20"/>
          <w:szCs w:val="20"/>
          <w:lang w:val="en-US" w:eastAsia="zh-CN"/>
        </w:rPr>
        <w:t xml:space="preserve">MDA adduct was analyzed by LC-MS/MS (capillary voltage 4.5 kV, source temperature 350 </w:t>
      </w:r>
      <w:proofErr w:type="spellStart"/>
      <w:r>
        <w:rPr>
          <w:rFonts w:ascii="Times New Roman" w:hAnsi="Times New Roman" w:cs="Times New Roman"/>
          <w:sz w:val="20"/>
          <w:szCs w:val="20"/>
          <w:vertAlign w:val="superscript"/>
          <w:lang w:val="en-US" w:eastAsia="zh-CN"/>
        </w:rPr>
        <w:t>o</w:t>
      </w:r>
      <w:r>
        <w:rPr>
          <w:rFonts w:ascii="Times New Roman" w:hAnsi="Times New Roman" w:cs="Times New Roman"/>
          <w:sz w:val="20"/>
          <w:szCs w:val="20"/>
          <w:lang w:val="en-US" w:eastAsia="zh-CN"/>
        </w:rPr>
        <w:t>C</w:t>
      </w:r>
      <w:proofErr w:type="spellEnd"/>
      <w:r>
        <w:rPr>
          <w:rFonts w:ascii="Times New Roman" w:hAnsi="Times New Roman" w:cs="Times New Roman"/>
          <w:sz w:val="20"/>
          <w:szCs w:val="20"/>
          <w:lang w:val="en-US" w:eastAsia="zh-CN"/>
        </w:rPr>
        <w:t xml:space="preserve">, column compartment set at 20 </w:t>
      </w:r>
      <w:proofErr w:type="spellStart"/>
      <w:r>
        <w:rPr>
          <w:rFonts w:ascii="Times New Roman" w:hAnsi="Times New Roman" w:cs="Times New Roman"/>
          <w:sz w:val="20"/>
          <w:szCs w:val="20"/>
          <w:vertAlign w:val="superscript"/>
          <w:lang w:val="en-US" w:eastAsia="zh-CN"/>
        </w:rPr>
        <w:t>o</w:t>
      </w:r>
      <w:r>
        <w:rPr>
          <w:rFonts w:ascii="Times New Roman" w:hAnsi="Times New Roman" w:cs="Times New Roman"/>
          <w:sz w:val="20"/>
          <w:szCs w:val="20"/>
          <w:lang w:val="en-US" w:eastAsia="zh-CN"/>
        </w:rPr>
        <w:t>C</w:t>
      </w:r>
      <w:proofErr w:type="spellEnd"/>
      <w:r>
        <w:rPr>
          <w:rFonts w:ascii="Times New Roman" w:hAnsi="Times New Roman" w:cs="Times New Roman"/>
          <w:sz w:val="20"/>
          <w:szCs w:val="20"/>
          <w:lang w:val="en-US" w:eastAsia="zh-CN"/>
        </w:rPr>
        <w:t>). The measurement was performed in multiple reaction monitoring in positive ion mode. MDA-DNPH m/z 235</w:t>
      </w:r>
      <w:r>
        <w:rPr>
          <w:rFonts w:ascii="Times New Roman" w:hAnsi="Times New Roman" w:cs="Times New Roman"/>
          <w:sz w:val="20"/>
          <w:szCs w:val="20"/>
          <w:lang w:val="en-US" w:eastAsia="zh-CN"/>
        </w:rPr>
        <w:sym w:font="Wingdings" w:char="F0E0"/>
      </w:r>
      <w:r>
        <w:rPr>
          <w:rFonts w:ascii="Times New Roman" w:hAnsi="Times New Roman" w:cs="Times New Roman"/>
          <w:sz w:val="20"/>
          <w:szCs w:val="20"/>
          <w:lang w:val="en-US" w:eastAsia="zh-CN"/>
        </w:rPr>
        <w:t>159 and d2-MDA-DNPH m/z 237</w:t>
      </w:r>
      <w:r>
        <w:rPr>
          <w:rFonts w:ascii="Times New Roman" w:hAnsi="Times New Roman" w:cs="Times New Roman"/>
          <w:sz w:val="20"/>
          <w:szCs w:val="20"/>
          <w:lang w:val="en-US" w:eastAsia="zh-CN"/>
        </w:rPr>
        <w:sym w:font="Wingdings" w:char="F0E0"/>
      </w:r>
      <w:r>
        <w:rPr>
          <w:rFonts w:ascii="Times New Roman" w:hAnsi="Times New Roman" w:cs="Times New Roman"/>
          <w:sz w:val="20"/>
          <w:szCs w:val="20"/>
          <w:lang w:val="en-US" w:eastAsia="zh-CN"/>
        </w:rPr>
        <w:t>161 transition ions were used for quantification and MDA-DNPH m/z 235</w:t>
      </w:r>
      <w:r>
        <w:rPr>
          <w:rFonts w:ascii="Times New Roman" w:hAnsi="Times New Roman" w:cs="Times New Roman"/>
          <w:sz w:val="20"/>
          <w:szCs w:val="20"/>
          <w:lang w:val="en-US" w:eastAsia="zh-CN"/>
        </w:rPr>
        <w:sym w:font="Wingdings" w:char="F0E0"/>
      </w:r>
      <w:r>
        <w:rPr>
          <w:rFonts w:ascii="Times New Roman" w:hAnsi="Times New Roman" w:cs="Times New Roman"/>
          <w:sz w:val="20"/>
          <w:szCs w:val="20"/>
          <w:lang w:val="en-US" w:eastAsia="zh-CN"/>
        </w:rPr>
        <w:t>189 and d2-MDA-DNPH 237</w:t>
      </w:r>
      <w:r>
        <w:rPr>
          <w:rFonts w:ascii="Times New Roman" w:hAnsi="Times New Roman" w:cs="Times New Roman"/>
          <w:sz w:val="20"/>
          <w:szCs w:val="20"/>
          <w:lang w:val="en-US" w:eastAsia="zh-CN"/>
        </w:rPr>
        <w:sym w:font="Wingdings" w:char="F0E0"/>
      </w:r>
      <w:r>
        <w:rPr>
          <w:rFonts w:ascii="Times New Roman" w:hAnsi="Times New Roman" w:cs="Times New Roman"/>
          <w:sz w:val="20"/>
          <w:szCs w:val="20"/>
          <w:lang w:val="en-US" w:eastAsia="zh-CN"/>
        </w:rPr>
        <w:t xml:space="preserve">191 transition ions were used as qualifier ions. Isocratic separation was conducted with a constant flow of 200 </w:t>
      </w:r>
      <w:proofErr w:type="spellStart"/>
      <w:r>
        <w:rPr>
          <w:rFonts w:ascii="Times New Roman" w:hAnsi="Times New Roman" w:cs="Times New Roman"/>
          <w:sz w:val="20"/>
          <w:szCs w:val="20"/>
          <w:lang w:val="en-US" w:eastAsia="zh-CN"/>
        </w:rPr>
        <w:t>μL</w:t>
      </w:r>
      <w:proofErr w:type="spellEnd"/>
      <w:r>
        <w:rPr>
          <w:rFonts w:ascii="Times New Roman" w:hAnsi="Times New Roman" w:cs="Times New Roman"/>
          <w:sz w:val="20"/>
          <w:szCs w:val="20"/>
          <w:lang w:val="en-US" w:eastAsia="zh-CN"/>
        </w:rPr>
        <w:t xml:space="preserve">/min of mobile phase. Each sample was injected twice with 10 </w:t>
      </w:r>
      <w:proofErr w:type="spellStart"/>
      <w:r>
        <w:rPr>
          <w:rFonts w:ascii="Times New Roman" w:hAnsi="Times New Roman" w:cs="Times New Roman"/>
          <w:sz w:val="20"/>
          <w:szCs w:val="20"/>
          <w:lang w:val="en-US" w:eastAsia="zh-CN"/>
        </w:rPr>
        <w:t>μL</w:t>
      </w:r>
      <w:proofErr w:type="spellEnd"/>
      <w:r>
        <w:rPr>
          <w:rFonts w:ascii="Times New Roman" w:hAnsi="Times New Roman" w:cs="Times New Roman"/>
          <w:sz w:val="20"/>
          <w:szCs w:val="20"/>
          <w:lang w:val="en-US" w:eastAsia="zh-CN"/>
        </w:rPr>
        <w:t xml:space="preserve"> of injection volume for each measurement. The elution from 1.5 to 3.5 min </w:t>
      </w:r>
      <w:r>
        <w:rPr>
          <w:rFonts w:ascii="Times New Roman" w:hAnsi="Times New Roman" w:cs="Times New Roman"/>
          <w:sz w:val="20"/>
          <w:szCs w:val="20"/>
          <w:lang w:val="en-US" w:eastAsia="zh-CN"/>
        </w:rPr>
        <w:lastRenderedPageBreak/>
        <w:t>was infused into the MS for measurement. A standard calibration curve with standard concentrations of MDA ranging from 0.5 to 20 ng/mL was set up for quantification.</w:t>
      </w:r>
    </w:p>
    <w:p w14:paraId="0B0986C7" w14:textId="4F3A5647" w:rsidR="006D7DCF" w:rsidRDefault="00A155C2">
      <w:pPr>
        <w:jc w:val="both"/>
        <w:rPr>
          <w:rFonts w:ascii="Times New Roman" w:hAnsi="Times New Roman" w:cs="Times New Roman"/>
          <w:sz w:val="20"/>
          <w:szCs w:val="20"/>
          <w:lang w:val="en-US" w:eastAsia="zh-CN"/>
        </w:rPr>
      </w:pPr>
      <w:bookmarkStart w:id="3" w:name="_Hlk80096766"/>
      <w:r>
        <w:rPr>
          <w:rFonts w:ascii="Times New Roman" w:hAnsi="Times New Roman" w:cs="Times New Roman"/>
          <w:b/>
          <w:bCs/>
          <w:sz w:val="20"/>
          <w:szCs w:val="20"/>
          <w:lang w:val="en-US" w:eastAsia="zh-CN"/>
        </w:rPr>
        <w:t>Detailed information on single-cell gel electrophoresis (comet assay) workflow and buffers</w:t>
      </w:r>
      <w:r>
        <w:rPr>
          <w:rFonts w:ascii="Times New Roman" w:hAnsi="Times New Roman" w:cs="Times New Roman"/>
          <w:sz w:val="20"/>
          <w:szCs w:val="20"/>
          <w:lang w:val="en-US" w:eastAsia="zh-CN"/>
        </w:rPr>
        <w:t xml:space="preserve"> </w:t>
      </w:r>
      <w:bookmarkEnd w:id="3"/>
    </w:p>
    <w:p w14:paraId="078438DE" w14:textId="77777777" w:rsidR="006D7DCF" w:rsidRDefault="00A155C2">
      <w:pPr>
        <w:jc w:val="both"/>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The chemicals for conducting the Comet assay were purchased from Sigma-Aldrich (St. Louis, MO) if not stated otherwise. </w:t>
      </w:r>
      <w:r>
        <w:rPr>
          <w:rFonts w:ascii="Times New Roman" w:hAnsi="Times New Roman" w:cs="Times New Roman"/>
          <w:sz w:val="20"/>
          <w:szCs w:val="20"/>
          <w:lang w:val="en-US"/>
        </w:rPr>
        <w:t xml:space="preserve">20 µL of the cell suspension were added to 140 </w:t>
      </w:r>
      <w:r>
        <w:rPr>
          <w:rFonts w:ascii="Times New Roman" w:hAnsi="Times New Roman" w:cs="Times New Roman"/>
          <w:sz w:val="20"/>
          <w:szCs w:val="20"/>
        </w:rPr>
        <w:t>μ</w:t>
      </w:r>
      <w:r>
        <w:rPr>
          <w:rFonts w:ascii="Times New Roman" w:hAnsi="Times New Roman" w:cs="Times New Roman"/>
          <w:sz w:val="20"/>
          <w:szCs w:val="20"/>
          <w:lang w:val="en-US"/>
        </w:rPr>
        <w:t xml:space="preserve">l of 1% low-melting-point agarose, and 20 </w:t>
      </w:r>
      <w:r>
        <w:rPr>
          <w:rFonts w:ascii="Times New Roman" w:hAnsi="Times New Roman" w:cs="Times New Roman"/>
          <w:sz w:val="20"/>
          <w:szCs w:val="20"/>
        </w:rPr>
        <w:t>μ</w:t>
      </w:r>
      <w:r>
        <w:rPr>
          <w:rFonts w:ascii="Times New Roman" w:hAnsi="Times New Roman" w:cs="Times New Roman"/>
          <w:sz w:val="20"/>
          <w:szCs w:val="20"/>
          <w:lang w:val="en-US"/>
        </w:rPr>
        <w:t>l of this mixture were pipetted as drops onto a microscopy slide pre-coated with 0.5% normal-melting point agarose. The mini-gel containing slides were immersed in a cold freshly prepared 1 % Triton X-100 lysis buffer (2.5 M NaCl, 0.1 M EDTA, 10 mM Tris, pH 10) and the alkaline unwinding of the DNA was performed in pre-cooled alkaline solution (0.3 M NaOH, 1 mM EDTA, pH &gt; 13) for 40 min. Both steps were conducted in the dark and on ice. Following an electrophoretic separation of 25 min (300 mA, 1.2 V/cm) in an electrophoretic chamber (</w:t>
      </w:r>
      <w:proofErr w:type="spellStart"/>
      <w:r>
        <w:rPr>
          <w:rFonts w:ascii="Times New Roman" w:hAnsi="Times New Roman" w:cs="Times New Roman"/>
          <w:sz w:val="20"/>
          <w:szCs w:val="20"/>
          <w:lang w:val="en-US"/>
        </w:rPr>
        <w:t>BioRad</w:t>
      </w:r>
      <w:proofErr w:type="spellEnd"/>
      <w:r>
        <w:rPr>
          <w:rFonts w:ascii="Times New Roman" w:hAnsi="Times New Roman" w:cs="Times New Roman"/>
          <w:sz w:val="20"/>
          <w:szCs w:val="20"/>
          <w:lang w:val="en-US"/>
        </w:rPr>
        <w:t>, UK) surrounded by cooling pads in the dark, the slides were neutralized twice for 3 to 5 min with 0.4 M Tris, and afterwards washed twice with ultrapure water. Tris was purchased from Roth (Karlsruhe, Germany). 1x TE buffer solution (</w:t>
      </w:r>
      <w:proofErr w:type="spellStart"/>
      <w:r>
        <w:rPr>
          <w:rFonts w:ascii="Times New Roman" w:hAnsi="Times New Roman" w:cs="Times New Roman"/>
          <w:sz w:val="20"/>
          <w:szCs w:val="20"/>
          <w:lang w:val="en-US"/>
        </w:rPr>
        <w:t>ChemCruz</w:t>
      </w:r>
      <w:proofErr w:type="spellEnd"/>
      <w:r>
        <w:rPr>
          <w:rFonts w:ascii="Times New Roman" w:hAnsi="Times New Roman" w:cs="Times New Roman"/>
          <w:sz w:val="20"/>
          <w:szCs w:val="20"/>
          <w:lang w:val="en-US"/>
        </w:rPr>
        <w:t xml:space="preserve">, Dallas, TX) containing SYBR GOLD consisted of 10 mM Tris-HCl and 1 </w:t>
      </w:r>
      <w:proofErr w:type="spellStart"/>
      <w:r>
        <w:rPr>
          <w:rFonts w:ascii="Times New Roman" w:hAnsi="Times New Roman" w:cs="Times New Roman"/>
          <w:sz w:val="20"/>
          <w:szCs w:val="20"/>
          <w:lang w:val="en-US"/>
        </w:rPr>
        <w:t>mwM</w:t>
      </w:r>
      <w:proofErr w:type="spellEnd"/>
      <w:r>
        <w:rPr>
          <w:rFonts w:ascii="Times New Roman" w:hAnsi="Times New Roman" w:cs="Times New Roman"/>
          <w:sz w:val="20"/>
          <w:szCs w:val="20"/>
          <w:lang w:val="en-US"/>
        </w:rPr>
        <w:t xml:space="preserve"> EDTA (pH 7.5).</w:t>
      </w:r>
    </w:p>
    <w:p w14:paraId="542DD274" w14:textId="77777777" w:rsidR="008534FE" w:rsidRDefault="00A155C2">
      <w:pPr>
        <w:jc w:val="both"/>
        <w:rPr>
          <w:rFonts w:ascii="Times New Roman" w:hAnsi="Times New Roman" w:cs="Times New Roman"/>
          <w:b/>
          <w:bCs/>
          <w:sz w:val="20"/>
          <w:szCs w:val="20"/>
          <w:lang w:val="en-US" w:eastAsia="zh-CN"/>
        </w:rPr>
      </w:pPr>
      <w:bookmarkStart w:id="4" w:name="_Hlk80096784"/>
      <w:bookmarkStart w:id="5" w:name="_Hlk82431083"/>
      <w:r>
        <w:rPr>
          <w:rFonts w:ascii="Times New Roman" w:hAnsi="Times New Roman" w:cs="Times New Roman"/>
          <w:b/>
          <w:bCs/>
          <w:sz w:val="20"/>
          <w:szCs w:val="20"/>
          <w:lang w:val="en-US" w:eastAsia="zh-CN"/>
        </w:rPr>
        <w:t xml:space="preserve">Detailed description of the experimental procedure of the </w:t>
      </w:r>
      <w:r w:rsidR="002C460D">
        <w:rPr>
          <w:rFonts w:ascii="Times New Roman" w:hAnsi="Times New Roman" w:cs="Times New Roman"/>
          <w:b/>
          <w:bCs/>
          <w:sz w:val="20"/>
          <w:szCs w:val="20"/>
          <w:lang w:val="en-US" w:eastAsia="zh-CN"/>
        </w:rPr>
        <w:t>c</w:t>
      </w:r>
      <w:r>
        <w:rPr>
          <w:rFonts w:ascii="Times New Roman" w:hAnsi="Times New Roman" w:cs="Times New Roman"/>
          <w:b/>
          <w:bCs/>
          <w:sz w:val="20"/>
          <w:szCs w:val="20"/>
          <w:lang w:val="en-US" w:eastAsia="zh-CN"/>
        </w:rPr>
        <w:t xml:space="preserve">ytokinesis-block micronucleus </w:t>
      </w:r>
      <w:proofErr w:type="spellStart"/>
      <w:r>
        <w:rPr>
          <w:rFonts w:ascii="Times New Roman" w:hAnsi="Times New Roman" w:cs="Times New Roman"/>
          <w:b/>
          <w:bCs/>
          <w:sz w:val="20"/>
          <w:szCs w:val="20"/>
          <w:lang w:val="en-US" w:eastAsia="zh-CN"/>
        </w:rPr>
        <w:t>c</w:t>
      </w:r>
      <w:r w:rsidR="002C460D">
        <w:rPr>
          <w:rFonts w:ascii="Times New Roman" w:hAnsi="Times New Roman" w:cs="Times New Roman"/>
          <w:b/>
          <w:bCs/>
          <w:sz w:val="20"/>
          <w:szCs w:val="20"/>
          <w:lang w:val="en-US" w:eastAsia="zh-CN"/>
        </w:rPr>
        <w:t>y</w:t>
      </w:r>
      <w:r>
        <w:rPr>
          <w:rFonts w:ascii="Times New Roman" w:hAnsi="Times New Roman" w:cs="Times New Roman"/>
          <w:b/>
          <w:bCs/>
          <w:sz w:val="20"/>
          <w:szCs w:val="20"/>
          <w:lang w:val="en-US" w:eastAsia="zh-CN"/>
        </w:rPr>
        <w:t>tome</w:t>
      </w:r>
      <w:proofErr w:type="spellEnd"/>
      <w:r>
        <w:rPr>
          <w:rFonts w:ascii="Times New Roman" w:hAnsi="Times New Roman" w:cs="Times New Roman"/>
          <w:b/>
          <w:bCs/>
          <w:sz w:val="20"/>
          <w:szCs w:val="20"/>
          <w:lang w:val="en-US" w:eastAsia="zh-CN"/>
        </w:rPr>
        <w:t xml:space="preserve"> assay (CBMN-</w:t>
      </w:r>
      <w:proofErr w:type="spellStart"/>
      <w:r>
        <w:rPr>
          <w:rFonts w:ascii="Times New Roman" w:hAnsi="Times New Roman" w:cs="Times New Roman"/>
          <w:b/>
          <w:bCs/>
          <w:sz w:val="20"/>
          <w:szCs w:val="20"/>
          <w:lang w:val="en-US" w:eastAsia="zh-CN"/>
        </w:rPr>
        <w:t>Cyt</w:t>
      </w:r>
      <w:proofErr w:type="spellEnd"/>
      <w:r>
        <w:rPr>
          <w:rFonts w:ascii="Times New Roman" w:hAnsi="Times New Roman" w:cs="Times New Roman"/>
          <w:b/>
          <w:bCs/>
          <w:sz w:val="20"/>
          <w:szCs w:val="20"/>
          <w:lang w:val="en-US" w:eastAsia="zh-CN"/>
        </w:rPr>
        <w:t xml:space="preserve"> assay)</w:t>
      </w:r>
      <w:bookmarkEnd w:id="4"/>
    </w:p>
    <w:bookmarkEnd w:id="5"/>
    <w:p w14:paraId="1A88C41E" w14:textId="7CEF8DFE" w:rsidR="006D7DCF" w:rsidRDefault="00A155C2">
      <w:pPr>
        <w:jc w:val="both"/>
        <w:rPr>
          <w:rFonts w:ascii="Times New Roman" w:hAnsi="Times New Roman" w:cs="Times New Roman"/>
          <w:sz w:val="20"/>
          <w:szCs w:val="20"/>
          <w:lang w:val="en-US" w:eastAsia="zh-CN"/>
        </w:rPr>
      </w:pPr>
      <w:r>
        <w:rPr>
          <w:rFonts w:ascii="Times New Roman" w:hAnsi="Times New Roman" w:cs="Times New Roman"/>
          <w:sz w:val="20"/>
          <w:szCs w:val="20"/>
          <w:lang w:val="en-US"/>
        </w:rPr>
        <w:t xml:space="preserve">After harvesting, cells were subjected to hypotonic treatment (5 min, 0.075 M </w:t>
      </w:r>
      <w:proofErr w:type="spellStart"/>
      <w:r>
        <w:rPr>
          <w:rFonts w:ascii="Times New Roman" w:hAnsi="Times New Roman" w:cs="Times New Roman"/>
          <w:sz w:val="20"/>
          <w:szCs w:val="20"/>
          <w:lang w:val="en-US"/>
        </w:rPr>
        <w:t>KCl</w:t>
      </w:r>
      <w:proofErr w:type="spellEnd"/>
      <w:r>
        <w:rPr>
          <w:rFonts w:ascii="Times New Roman" w:hAnsi="Times New Roman" w:cs="Times New Roman"/>
          <w:sz w:val="20"/>
          <w:szCs w:val="20"/>
          <w:lang w:val="en-US"/>
        </w:rPr>
        <w:t xml:space="preserve">), centrifuged at 146x g for 6 min, resuspended in ice cold methanol, and stored at -20 °C overnight. The next day, cells were suspended in 5:1 </w:t>
      </w:r>
      <w:proofErr w:type="spellStart"/>
      <w:proofErr w:type="gramStart"/>
      <w:r>
        <w:rPr>
          <w:rFonts w:ascii="Times New Roman" w:hAnsi="Times New Roman" w:cs="Times New Roman"/>
          <w:sz w:val="20"/>
          <w:szCs w:val="20"/>
          <w:lang w:val="en-US"/>
        </w:rPr>
        <w:t>methanol:glacial</w:t>
      </w:r>
      <w:proofErr w:type="spellEnd"/>
      <w:proofErr w:type="gramEnd"/>
      <w:r>
        <w:rPr>
          <w:rFonts w:ascii="Times New Roman" w:hAnsi="Times New Roman" w:cs="Times New Roman"/>
          <w:sz w:val="20"/>
          <w:szCs w:val="20"/>
          <w:lang w:val="en-US"/>
        </w:rPr>
        <w:t xml:space="preserve"> acetic acid (fixing solution</w:t>
      </w:r>
      <w:r w:rsidR="008534FE">
        <w:rPr>
          <w:rFonts w:ascii="Times New Roman" w:hAnsi="Times New Roman" w:cs="Times New Roman"/>
          <w:sz w:val="20"/>
          <w:szCs w:val="20"/>
          <w:lang w:val="en-US"/>
        </w:rPr>
        <w:t>)</w:t>
      </w:r>
      <w:r>
        <w:rPr>
          <w:rFonts w:ascii="Times New Roman" w:hAnsi="Times New Roman" w:cs="Times New Roman"/>
          <w:sz w:val="20"/>
          <w:szCs w:val="20"/>
          <w:lang w:val="en-US"/>
        </w:rPr>
        <w:t xml:space="preserve"> and finally fixed on microscopy slides. The slides were stained with filtered 2% (v/v) Giemsa solution and air-dried at least overnight before scoring with a light microscope (400x magnification, Zeiss, Germany). Potassium chloride was purchased from Roth (Karlsruhe, Germany), methanol from Merck (Darmstadt, Germany), and glacial acetic acid and Giemsa solution were purchased from AppliChem (Darmstadt, Germany).</w:t>
      </w:r>
    </w:p>
    <w:p w14:paraId="0BD87450" w14:textId="503B0C5C" w:rsidR="006D7DCF" w:rsidRDefault="00A155C2">
      <w:pPr>
        <w:jc w:val="both"/>
        <w:rPr>
          <w:rFonts w:ascii="Times New Roman" w:hAnsi="Times New Roman" w:cs="Times New Roman"/>
          <w:sz w:val="20"/>
          <w:szCs w:val="20"/>
          <w:lang w:val="en-US"/>
        </w:rPr>
      </w:pPr>
      <w:bookmarkStart w:id="6" w:name="_Hlk80096802"/>
      <w:bookmarkStart w:id="7" w:name="_Hlk80095877"/>
      <w:r>
        <w:rPr>
          <w:rFonts w:ascii="Times New Roman" w:hAnsi="Times New Roman" w:cs="Times New Roman"/>
          <w:b/>
          <w:bCs/>
          <w:sz w:val="20"/>
          <w:szCs w:val="20"/>
          <w:lang w:val="en-US"/>
        </w:rPr>
        <w:t>Solvent treatment neither affected cell viability nor cytotoxicity</w:t>
      </w:r>
      <w:bookmarkEnd w:id="6"/>
    </w:p>
    <w:p w14:paraId="09F2EA7F" w14:textId="77777777" w:rsidR="006D7DCF" w:rsidRDefault="00A155C2">
      <w:pPr>
        <w:jc w:val="both"/>
        <w:rPr>
          <w:rFonts w:ascii="Times New Roman" w:hAnsi="Times New Roman" w:cs="Times New Roman"/>
          <w:sz w:val="20"/>
          <w:szCs w:val="20"/>
          <w:lang w:val="en-US"/>
        </w:rPr>
      </w:pPr>
      <w:r>
        <w:rPr>
          <w:rFonts w:ascii="Times New Roman" w:hAnsi="Times New Roman" w:cs="Times New Roman"/>
          <w:sz w:val="20"/>
          <w:szCs w:val="20"/>
          <w:lang w:val="en-US"/>
        </w:rPr>
        <w:t>Resazurin assay data showed that solvent treatment did not cause any loss of cell viability compared to the incubator control (100±0.3%, p=0.6253, 4 hours PE; 100±0.3%, p=0.5979, 24 hours PE). In accordance, solvent treatment did not increase cytotoxicity compared to the incubator control (3.9±0.7%, p=0.6852, 4 hours PE; 19.5±0.5%, p=0.9219, 24 hours PE) as measured by LDH release.</w:t>
      </w:r>
      <w:bookmarkEnd w:id="7"/>
    </w:p>
    <w:p w14:paraId="471ABDE9" w14:textId="77777777" w:rsidR="006D7DCF" w:rsidRDefault="00A155C2">
      <w:pPr>
        <w:jc w:val="both"/>
        <w:rPr>
          <w:rFonts w:ascii="Times New Roman" w:hAnsi="Times New Roman" w:cs="Times New Roman"/>
          <w:sz w:val="20"/>
          <w:szCs w:val="20"/>
          <w:lang w:val="en-US"/>
        </w:rPr>
      </w:pPr>
      <w:r>
        <w:rPr>
          <w:rFonts w:ascii="Times New Roman" w:hAnsi="Times New Roman" w:cs="Times New Roman"/>
          <w:noProof/>
          <w:sz w:val="20"/>
          <w:szCs w:val="20"/>
          <w:lang w:val="en-GB" w:eastAsia="en-GB"/>
        </w:rPr>
        <w:lastRenderedPageBreak/>
        <w:drawing>
          <wp:inline distT="0" distB="0" distL="0" distR="0" wp14:anchorId="52EF64B7" wp14:editId="44F7936D">
            <wp:extent cx="5849391" cy="4602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4000" cy="4613975"/>
                    </a:xfrm>
                    <a:prstGeom prst="rect">
                      <a:avLst/>
                    </a:prstGeom>
                    <a:noFill/>
                  </pic:spPr>
                </pic:pic>
              </a:graphicData>
            </a:graphic>
          </wp:inline>
        </w:drawing>
      </w:r>
    </w:p>
    <w:p w14:paraId="67F48130" w14:textId="77777777" w:rsidR="006D7DCF" w:rsidRDefault="00A155C2">
      <w:pPr>
        <w:jc w:val="both"/>
        <w:rPr>
          <w:rFonts w:ascii="Times New Roman" w:hAnsi="Times New Roman" w:cs="Times New Roman"/>
          <w:sz w:val="20"/>
          <w:szCs w:val="20"/>
          <w:lang w:val="en-US"/>
        </w:rPr>
      </w:pPr>
      <w:r>
        <w:rPr>
          <w:rFonts w:ascii="Times New Roman" w:hAnsi="Times New Roman" w:cs="Times New Roman"/>
          <w:b/>
          <w:bCs/>
          <w:sz w:val="20"/>
          <w:szCs w:val="20"/>
          <w:lang w:val="en-US"/>
        </w:rPr>
        <w:t>Figure S0.</w:t>
      </w:r>
      <w:r>
        <w:rPr>
          <w:rFonts w:ascii="Times New Roman" w:hAnsi="Times New Roman" w:cs="Times New Roman"/>
          <w:sz w:val="20"/>
          <w:szCs w:val="20"/>
          <w:lang w:val="en-US"/>
        </w:rPr>
        <w:t xml:space="preserve"> Composite graph showing lung deposition and particle mass distribution. Particle deposition is calculated by the HPLD computer model for a person breathing calmly via the mouth. Lung generation means the number of airway bifurcations from the mouth (generation 1) down to the terminal bronchi (generation 26). Deposition values are color coded from 0 to 1 and depend on both the lung generation and the aerodynamic particle diameter. Exposure particle mass concentration are calculated for the three exposure scenarios with a count median diameter of 30 nm (dotted), 100 nm (line) and 1000 nm (dashed). The modal diameters of the mass distributions are given in the main text (Table I). Total and modal mass concentrations are adjusted for the same SCOEL of 580 and 830 µg/m3, respectively, and a geometric standard deviation of </w:t>
      </w:r>
      <w:r>
        <w:rPr>
          <w:rFonts w:ascii="Cambria Math" w:hAnsi="Cambria Math" w:cs="Cambria Math"/>
          <w:sz w:val="20"/>
          <w:szCs w:val="20"/>
          <w:lang w:val="en-US"/>
        </w:rPr>
        <w:t>𝞼</w:t>
      </w:r>
      <w:r>
        <w:rPr>
          <w:rFonts w:ascii="Times New Roman" w:hAnsi="Times New Roman" w:cs="Times New Roman"/>
          <w:sz w:val="20"/>
          <w:szCs w:val="20"/>
          <w:lang w:val="en-US"/>
        </w:rPr>
        <w:t>g=1.9. The corresponding mass deposited per lung tissue surface area is listed in Table I of the main text.</w:t>
      </w:r>
    </w:p>
    <w:p w14:paraId="2A0CFDB5" w14:textId="77777777" w:rsidR="006D7DCF" w:rsidRDefault="006D7DCF">
      <w:pPr>
        <w:jc w:val="both"/>
        <w:rPr>
          <w:rFonts w:ascii="Times New Roman" w:hAnsi="Times New Roman" w:cs="Times New Roman"/>
          <w:sz w:val="20"/>
          <w:szCs w:val="20"/>
          <w:lang w:val="en-US"/>
        </w:rPr>
      </w:pPr>
    </w:p>
    <w:p w14:paraId="4F6DD87A" w14:textId="77777777" w:rsidR="006D7DCF" w:rsidRDefault="00A155C2">
      <w:pPr>
        <w:jc w:val="both"/>
        <w:rPr>
          <w:rFonts w:ascii="Times New Roman" w:hAnsi="Times New Roman" w:cs="Times New Roman"/>
          <w:b/>
          <w:bCs/>
          <w:color w:val="000000" w:themeColor="text1"/>
          <w:sz w:val="20"/>
          <w:szCs w:val="20"/>
          <w:lang w:val="en-US"/>
        </w:rPr>
      </w:pPr>
      <w:r>
        <w:rPr>
          <w:rFonts w:ascii="Times New Roman" w:hAnsi="Times New Roman" w:cs="Times New Roman"/>
          <w:color w:val="000000" w:themeColor="text1"/>
          <w:sz w:val="20"/>
          <w:szCs w:val="20"/>
        </w:rPr>
        <w:object w:dxaOrig="6271" w:dyaOrig="4795" w14:anchorId="68DF9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8pt;height:180pt" o:ole="" filled="t">
            <v:imagedata r:id="rId10" o:title=""/>
          </v:shape>
          <o:OLEObject Type="Embed" ProgID="Prism9.Document" ShapeID="_x0000_i1025" DrawAspect="Content" ObjectID="_1693044021" r:id="rId11"/>
        </w:object>
      </w:r>
    </w:p>
    <w:p w14:paraId="4416A45A" w14:textId="77777777" w:rsidR="006D7DCF" w:rsidRDefault="00A155C2">
      <w:pPr>
        <w:pStyle w:val="Beschriftung"/>
        <w:jc w:val="both"/>
        <w:rPr>
          <w:rFonts w:ascii="Times New Roman" w:hAnsi="Times New Roman" w:cs="Times New Roman"/>
          <w:i w:val="0"/>
          <w:iCs w:val="0"/>
          <w:color w:val="000000" w:themeColor="text1"/>
          <w:sz w:val="20"/>
          <w:szCs w:val="20"/>
        </w:rPr>
      </w:pPr>
      <w:r>
        <w:rPr>
          <w:rFonts w:ascii="Times New Roman" w:hAnsi="Times New Roman" w:cs="Times New Roman"/>
          <w:b/>
          <w:bCs/>
          <w:i w:val="0"/>
          <w:iCs w:val="0"/>
          <w:color w:val="000000" w:themeColor="text1"/>
          <w:sz w:val="20"/>
          <w:szCs w:val="20"/>
          <w:lang w:val="en-US"/>
        </w:rPr>
        <w:lastRenderedPageBreak/>
        <w:t>Fig. S1.</w:t>
      </w:r>
      <w:r>
        <w:rPr>
          <w:rFonts w:ascii="Times New Roman" w:hAnsi="Times New Roman" w:cs="Times New Roman"/>
          <w:i w:val="0"/>
          <w:iCs w:val="0"/>
          <w:color w:val="000000" w:themeColor="text1"/>
          <w:sz w:val="20"/>
          <w:szCs w:val="20"/>
          <w:lang w:val="en-US"/>
        </w:rPr>
        <w:t xml:space="preserve"> % Cytotoxicity measured by LDH release upon 4 hours and 24 hours post exposure (PE) of A549 cells to DBP [ng/cm</w:t>
      </w:r>
      <w:r>
        <w:rPr>
          <w:rFonts w:ascii="Times New Roman" w:hAnsi="Times New Roman" w:cs="Times New Roman"/>
          <w:i w:val="0"/>
          <w:iCs w:val="0"/>
          <w:color w:val="000000" w:themeColor="text1"/>
          <w:sz w:val="20"/>
          <w:szCs w:val="20"/>
          <w:vertAlign w:val="superscript"/>
          <w:lang w:val="en-US"/>
        </w:rPr>
        <w:t>2</w:t>
      </w:r>
      <w:r>
        <w:rPr>
          <w:rFonts w:ascii="Times New Roman" w:hAnsi="Times New Roman" w:cs="Times New Roman"/>
          <w:i w:val="0"/>
          <w:iCs w:val="0"/>
          <w:color w:val="000000" w:themeColor="text1"/>
          <w:sz w:val="20"/>
          <w:szCs w:val="20"/>
          <w:lang w:val="en-US"/>
        </w:rPr>
        <w:t xml:space="preserve">]. </w:t>
      </w:r>
      <w:r>
        <w:rPr>
          <w:rFonts w:ascii="Times New Roman" w:hAnsi="Times New Roman" w:cs="Times New Roman"/>
          <w:i w:val="0"/>
          <w:iCs w:val="0"/>
          <w:color w:val="000000" w:themeColor="text1"/>
          <w:sz w:val="20"/>
          <w:szCs w:val="20"/>
        </w:rPr>
        <w:t xml:space="preserve">Data </w:t>
      </w:r>
      <w:proofErr w:type="spellStart"/>
      <w:r>
        <w:rPr>
          <w:rFonts w:ascii="Times New Roman" w:hAnsi="Times New Roman" w:cs="Times New Roman"/>
          <w:i w:val="0"/>
          <w:iCs w:val="0"/>
          <w:color w:val="000000" w:themeColor="text1"/>
          <w:sz w:val="20"/>
          <w:szCs w:val="20"/>
        </w:rPr>
        <w:t>shown</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as</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mean±SEM</w:t>
      </w:r>
      <w:proofErr w:type="spellEnd"/>
      <w:r>
        <w:rPr>
          <w:rFonts w:ascii="Times New Roman" w:hAnsi="Times New Roman" w:cs="Times New Roman"/>
          <w:i w:val="0"/>
          <w:iCs w:val="0"/>
          <w:color w:val="000000" w:themeColor="text1"/>
          <w:sz w:val="20"/>
          <w:szCs w:val="20"/>
        </w:rPr>
        <w:t xml:space="preserve"> (n=</w:t>
      </w:r>
      <w:r>
        <w:rPr>
          <w:rFonts w:ascii="Times New Roman" w:hAnsi="Times New Roman" w:cs="Times New Roman"/>
          <w:i w:val="0"/>
          <w:iCs w:val="0"/>
          <w:color w:val="000000" w:themeColor="text1"/>
          <w:sz w:val="20"/>
          <w:szCs w:val="20"/>
          <w:lang w:val="en-US"/>
        </w:rPr>
        <w:t>4</w:t>
      </w:r>
      <w:r>
        <w:rPr>
          <w:rFonts w:ascii="Times New Roman" w:hAnsi="Times New Roman" w:cs="Times New Roman"/>
          <w:i w:val="0"/>
          <w:iCs w:val="0"/>
          <w:color w:val="000000" w:themeColor="text1"/>
          <w:sz w:val="20"/>
          <w:szCs w:val="20"/>
        </w:rPr>
        <w:t>).</w:t>
      </w:r>
    </w:p>
    <w:p w14:paraId="33ABD6FB" w14:textId="77777777" w:rsidR="006D7DCF" w:rsidRDefault="00A155C2">
      <w:pPr>
        <w:keepNext/>
        <w:rPr>
          <w:rFonts w:ascii="Times New Roman" w:hAnsi="Times New Roman" w:cs="Times New Roman"/>
        </w:rPr>
      </w:pPr>
      <w:r>
        <w:rPr>
          <w:rFonts w:ascii="Times New Roman" w:hAnsi="Times New Roman" w:cs="Times New Roman"/>
          <w:i/>
          <w:iCs/>
          <w:color w:val="000000" w:themeColor="text1"/>
          <w:sz w:val="20"/>
          <w:szCs w:val="20"/>
        </w:rPr>
        <w:object w:dxaOrig="11530" w:dyaOrig="5186" w14:anchorId="650B3350">
          <v:shape id="_x0000_i1026" type="#_x0000_t75" style="width:444.6pt;height:201pt" o:ole="" filled="t">
            <v:imagedata r:id="rId12" o:title=""/>
          </v:shape>
          <o:OLEObject Type="Embed" ProgID="Prism9.Document" ShapeID="_x0000_i1026" DrawAspect="Content" ObjectID="_1693044022" r:id="rId13"/>
        </w:object>
      </w:r>
    </w:p>
    <w:p w14:paraId="62631D32" w14:textId="04560C01" w:rsidR="006D7DCF" w:rsidRDefault="00A155C2">
      <w:pPr>
        <w:jc w:val="both"/>
        <w:rPr>
          <w:rFonts w:ascii="Times New Roman" w:hAnsi="Times New Roman" w:cs="Times New Roman"/>
          <w:sz w:val="20"/>
          <w:szCs w:val="20"/>
          <w:lang w:val="en-US"/>
        </w:rPr>
      </w:pPr>
      <w:r>
        <w:rPr>
          <w:rFonts w:ascii="Times New Roman" w:hAnsi="Times New Roman" w:cs="Times New Roman"/>
          <w:b/>
          <w:bCs/>
          <w:sz w:val="20"/>
          <w:szCs w:val="20"/>
          <w:lang w:val="en-US"/>
        </w:rPr>
        <w:t>Fig. S2.</w:t>
      </w:r>
      <w:r>
        <w:rPr>
          <w:rFonts w:ascii="Times New Roman" w:hAnsi="Times New Roman" w:cs="Times New Roman"/>
          <w:sz w:val="20"/>
          <w:szCs w:val="20"/>
          <w:lang w:val="en-US"/>
        </w:rPr>
        <w:t xml:space="preserve"> CBMN-</w:t>
      </w:r>
      <w:proofErr w:type="spellStart"/>
      <w:r>
        <w:rPr>
          <w:rFonts w:ascii="Times New Roman" w:hAnsi="Times New Roman" w:cs="Times New Roman"/>
          <w:sz w:val="20"/>
          <w:szCs w:val="20"/>
          <w:lang w:val="en-US"/>
        </w:rPr>
        <w:t>Cyt</w:t>
      </w:r>
      <w:proofErr w:type="spellEnd"/>
      <w:r>
        <w:rPr>
          <w:rFonts w:ascii="Times New Roman" w:hAnsi="Times New Roman" w:cs="Times New Roman"/>
          <w:sz w:val="20"/>
          <w:szCs w:val="20"/>
          <w:lang w:val="en-US"/>
        </w:rPr>
        <w:t xml:space="preserve"> data of A549 cells depicting the comparison of the control groups in terms of </w:t>
      </w:r>
      <w:bookmarkStart w:id="8" w:name="_Hlk82424303"/>
      <w:r>
        <w:rPr>
          <w:rFonts w:ascii="Times New Roman" w:hAnsi="Times New Roman" w:cs="Times New Roman"/>
          <w:sz w:val="20"/>
          <w:szCs w:val="20"/>
          <w:lang w:val="en-US"/>
        </w:rPr>
        <w:t xml:space="preserve">cytokinesis-bock proliferation index (CBPI) </w:t>
      </w:r>
      <w:bookmarkEnd w:id="8"/>
      <w:r>
        <w:rPr>
          <w:rFonts w:ascii="Times New Roman" w:hAnsi="Times New Roman" w:cs="Times New Roman"/>
          <w:sz w:val="20"/>
          <w:szCs w:val="20"/>
          <w:lang w:val="en-US"/>
        </w:rPr>
        <w:t xml:space="preserve">(a), mitotic index (%) (b) and cytotoxicity measured in % necrosis (c) and % apoptosis (d) 48 hours PE. From left to righ in each graph: Incubator, Solvent and 0.15 µg/mL mitomycin C (MMC) positive control. Data shown as </w:t>
      </w:r>
      <w:proofErr w:type="spellStart"/>
      <w:r>
        <w:rPr>
          <w:rFonts w:ascii="Times New Roman" w:hAnsi="Times New Roman" w:cs="Times New Roman"/>
          <w:sz w:val="20"/>
          <w:szCs w:val="20"/>
          <w:lang w:val="en-US"/>
        </w:rPr>
        <w:t>mean±SEM</w:t>
      </w:r>
      <w:proofErr w:type="spellEnd"/>
      <w:r>
        <w:rPr>
          <w:rFonts w:ascii="Times New Roman" w:hAnsi="Times New Roman" w:cs="Times New Roman"/>
          <w:sz w:val="20"/>
          <w:szCs w:val="20"/>
          <w:lang w:val="en-US"/>
        </w:rPr>
        <w:t xml:space="preserve">. Statistical analysis via Tukey one-way ANOVA, *p≤0.05. </w:t>
      </w:r>
    </w:p>
    <w:p w14:paraId="0F63E1FB" w14:textId="77777777" w:rsidR="006D7DCF" w:rsidRDefault="00A155C2">
      <w:pPr>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References</w:t>
      </w:r>
    </w:p>
    <w:p w14:paraId="05E1135C" w14:textId="77777777" w:rsidR="006D7DCF" w:rsidRDefault="00A155C2">
      <w:pPr>
        <w:pStyle w:val="EndNoteBibliography"/>
        <w:spacing w:after="0"/>
        <w:ind w:left="720" w:hanging="720"/>
        <w:rPr>
          <w:rFonts w:ascii="Times New Roman" w:hAnsi="Times New Roman" w:cs="Times New Roman"/>
          <w:sz w:val="20"/>
          <w:szCs w:val="20"/>
        </w:rPr>
      </w:pPr>
      <w:r>
        <w:rPr>
          <w:rFonts w:ascii="Times New Roman" w:hAnsi="Times New Roman" w:cs="Times New Roman"/>
          <w:color w:val="000000" w:themeColor="text1"/>
          <w:szCs w:val="18"/>
        </w:rPr>
        <w:fldChar w:fldCharType="begin"/>
      </w:r>
      <w:r>
        <w:rPr>
          <w:rFonts w:ascii="Times New Roman" w:hAnsi="Times New Roman" w:cs="Times New Roman"/>
          <w:color w:val="000000" w:themeColor="text1"/>
          <w:szCs w:val="18"/>
        </w:rPr>
        <w:instrText xml:space="preserve"> ADDIN EN.REFLIST </w:instrText>
      </w:r>
      <w:r>
        <w:rPr>
          <w:rFonts w:ascii="Times New Roman" w:hAnsi="Times New Roman" w:cs="Times New Roman"/>
          <w:color w:val="000000" w:themeColor="text1"/>
          <w:szCs w:val="18"/>
        </w:rPr>
        <w:fldChar w:fldCharType="separate"/>
      </w:r>
      <w:r>
        <w:rPr>
          <w:rFonts w:ascii="Times New Roman" w:hAnsi="Times New Roman" w:cs="Times New Roman"/>
          <w:sz w:val="20"/>
          <w:szCs w:val="20"/>
        </w:rPr>
        <w:t>Ferron GA, Upadhyay S, Zimmermann R, Karg E (2013) Model of the deposition of aerosol particles in the respiratory tract of the rat. II. Hygroscopic particle deposition. J Aerosol Med Pulm Drug Deliv 26(2):101-19 doi:10.1089/jamp.2011.0965</w:t>
      </w:r>
    </w:p>
    <w:p w14:paraId="26B0543D" w14:textId="77777777" w:rsidR="006D7DCF" w:rsidRDefault="00A155C2">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ICRP. 1975. Anatomical, Physiological and Metabolic Characteristics. Report of the Task Group on Reference Man. ICRP Publication 23. Oxford, UK: Pergamon Press.</w:t>
      </w:r>
    </w:p>
    <w:p w14:paraId="559C7B41" w14:textId="77777777" w:rsidR="006D7DCF" w:rsidRDefault="00A155C2">
      <w:pPr>
        <w:pStyle w:val="EndNoteBibliography"/>
        <w:spacing w:after="0"/>
        <w:ind w:left="720" w:hanging="720"/>
        <w:rPr>
          <w:rFonts w:ascii="Times New Roman" w:hAnsi="Times New Roman" w:cs="Times New Roman"/>
          <w:sz w:val="20"/>
          <w:szCs w:val="20"/>
        </w:rPr>
      </w:pPr>
      <w:r>
        <w:rPr>
          <w:rFonts w:ascii="Times New Roman" w:hAnsi="Times New Roman" w:cs="Times New Roman"/>
          <w:sz w:val="20"/>
          <w:szCs w:val="20"/>
        </w:rPr>
        <w:t>Karg EW, Ferron GA, Bauer S, Di Bucchianico S, Zimmermann R (2020) Is the particle deposition in a cell exposure facility comparable to the lungs? A computer model approach. Aerosol Science and Technology 54(6):668-684 doi:10.1080/02786826.2020.1724868</w:t>
      </w:r>
    </w:p>
    <w:p w14:paraId="6F31574F" w14:textId="23D44667" w:rsidR="006D7DCF" w:rsidRDefault="00A155C2">
      <w:pPr>
        <w:pStyle w:val="EndNoteBibliography"/>
        <w:ind w:left="720" w:hanging="720"/>
        <w:rPr>
          <w:rFonts w:ascii="Times New Roman" w:hAnsi="Times New Roman" w:cs="Times New Roman"/>
          <w:sz w:val="20"/>
          <w:szCs w:val="20"/>
        </w:rPr>
      </w:pPr>
      <w:r>
        <w:rPr>
          <w:rFonts w:ascii="Times New Roman" w:hAnsi="Times New Roman" w:cs="Times New Roman"/>
          <w:color w:val="000000" w:themeColor="text1"/>
          <w:sz w:val="20"/>
          <w:szCs w:val="20"/>
        </w:rPr>
        <w:t>Weibel, E. R. 1963. Morphometry of the Human Lung. Berlin: Springer Verlag</w:t>
      </w:r>
      <w:r>
        <w:rPr>
          <w:rFonts w:ascii="Times New Roman" w:hAnsi="Times New Roman" w:cs="Times New Roman"/>
          <w:color w:val="000000" w:themeColor="text1"/>
          <w:szCs w:val="18"/>
        </w:rPr>
        <w:fldChar w:fldCharType="end"/>
      </w:r>
    </w:p>
    <w:sectPr w:rsidR="006D7DCF">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EB63" w14:textId="77777777" w:rsidR="00CB4879" w:rsidRDefault="00CB4879">
      <w:pPr>
        <w:spacing w:after="0" w:line="240" w:lineRule="auto"/>
      </w:pPr>
      <w:r>
        <w:separator/>
      </w:r>
    </w:p>
  </w:endnote>
  <w:endnote w:type="continuationSeparator" w:id="0">
    <w:p w14:paraId="7222A44E" w14:textId="77777777" w:rsidR="00CB4879" w:rsidRDefault="00CB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FCB7" w14:textId="77777777" w:rsidR="00CB4879" w:rsidRDefault="00CB4879">
      <w:pPr>
        <w:spacing w:after="0" w:line="240" w:lineRule="auto"/>
      </w:pPr>
      <w:r>
        <w:separator/>
      </w:r>
    </w:p>
  </w:footnote>
  <w:footnote w:type="continuationSeparator" w:id="0">
    <w:p w14:paraId="24F07B5C" w14:textId="77777777" w:rsidR="00CB4879" w:rsidRDefault="00CB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9E2A" w14:textId="77777777" w:rsidR="006D7DCF" w:rsidRDefault="006D7DCF">
    <w:pPr>
      <w:pStyle w:val="Kopfzeile"/>
      <w:rPr>
        <w:sz w:val="22"/>
      </w:rPr>
    </w:pPr>
  </w:p>
  <w:p w14:paraId="713FB1D5" w14:textId="77777777" w:rsidR="006D7DCF" w:rsidRDefault="006D7DCF">
    <w:pPr>
      <w:pStyle w:val="Kopfzeile"/>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ives Toxicology&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dfaxzspta50dez9fm5r92tdrff299s9wa5&quot;&gt;My EndNote Library&lt;record-ids&gt;&lt;item&gt;189&lt;/item&gt;&lt;item&gt;194&lt;/item&gt;&lt;/record-ids&gt;&lt;/item&gt;&lt;/Libraries&gt;"/>
  </w:docVars>
  <w:rsids>
    <w:rsidRoot w:val="006D7DCF"/>
    <w:rsid w:val="000B58B8"/>
    <w:rsid w:val="001510DE"/>
    <w:rsid w:val="00216C0C"/>
    <w:rsid w:val="002C460D"/>
    <w:rsid w:val="006D7DCF"/>
    <w:rsid w:val="007B07A5"/>
    <w:rsid w:val="00823A89"/>
    <w:rsid w:val="008534FE"/>
    <w:rsid w:val="00A155C2"/>
    <w:rsid w:val="00CB48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E548C5"/>
  <w15:chartTrackingRefBased/>
  <w15:docId w15:val="{A4D7DA24-6E98-47E0-9532-4AE57F63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after="0" w:line="240" w:lineRule="auto"/>
    </w:pPr>
    <w:rPr>
      <w:rFonts w:ascii="Times New Roman" w:eastAsia="Times New Roman" w:hAnsi="Times New Roman" w:cs="Times New Roman"/>
      <w:szCs w:val="20"/>
      <w:lang w:val="en-US" w:eastAsia="es-ES"/>
    </w:rPr>
  </w:style>
  <w:style w:type="character" w:customStyle="1" w:styleId="TextkrperZchn">
    <w:name w:val="Textkörper Zchn"/>
    <w:basedOn w:val="Absatz-Standardschriftart"/>
    <w:link w:val="Textkrper"/>
    <w:rPr>
      <w:rFonts w:ascii="Times New Roman" w:eastAsia="Times New Roman" w:hAnsi="Times New Roman" w:cs="Times New Roman"/>
      <w:szCs w:val="20"/>
      <w:lang w:val="en-US" w:eastAsia="es-ES"/>
    </w:rPr>
  </w:style>
  <w:style w:type="paragraph" w:styleId="Kopfzeile">
    <w:name w:val="header"/>
    <w:basedOn w:val="Standard"/>
    <w:link w:val="KopfzeileZchn"/>
    <w:pPr>
      <w:tabs>
        <w:tab w:val="center" w:pos="4320"/>
        <w:tab w:val="right" w:pos="8640"/>
      </w:tabs>
      <w:spacing w:after="0" w:line="240" w:lineRule="auto"/>
    </w:pPr>
    <w:rPr>
      <w:rFonts w:ascii="Times New Roman" w:eastAsia="Times New Roman" w:hAnsi="Times New Roman" w:cs="Times New Roman"/>
      <w:sz w:val="20"/>
      <w:szCs w:val="20"/>
      <w:lang w:val="en-US" w:eastAsia="es-ES"/>
    </w:rPr>
  </w:style>
  <w:style w:type="character" w:customStyle="1" w:styleId="KopfzeileZchn">
    <w:name w:val="Kopfzeile Zchn"/>
    <w:basedOn w:val="Absatz-Standardschriftart"/>
    <w:link w:val="Kopfzeile"/>
    <w:rPr>
      <w:rFonts w:ascii="Times New Roman" w:eastAsia="Times New Roman" w:hAnsi="Times New Roman" w:cs="Times New Roman"/>
      <w:sz w:val="20"/>
      <w:szCs w:val="20"/>
      <w:lang w:val="en-US" w:eastAsia="es-ES"/>
    </w:rPr>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customStyle="1" w:styleId="EndNoteBibliographyTitle">
    <w:name w:val="EndNote Bibliography Title"/>
    <w:basedOn w:val="Standard"/>
    <w:link w:val="EndNoteBibliographyTitleZchn"/>
    <w:pPr>
      <w:spacing w:after="0"/>
      <w:jc w:val="center"/>
    </w:pPr>
    <w:rPr>
      <w:rFonts w:ascii="Calibri" w:hAnsi="Calibri" w:cs="Calibri"/>
      <w:noProof/>
      <w:sz w:val="18"/>
      <w:lang w:val="en-US"/>
    </w:rPr>
  </w:style>
  <w:style w:type="character" w:customStyle="1" w:styleId="EndNoteBibliographyTitleZchn">
    <w:name w:val="EndNote Bibliography Title Zchn"/>
    <w:basedOn w:val="Absatz-Standardschriftart"/>
    <w:link w:val="EndNoteBibliographyTitle"/>
    <w:rPr>
      <w:rFonts w:ascii="Calibri" w:hAnsi="Calibri" w:cs="Calibri"/>
      <w:noProof/>
      <w:sz w:val="18"/>
      <w:lang w:val="en-US"/>
    </w:rPr>
  </w:style>
  <w:style w:type="paragraph" w:customStyle="1" w:styleId="EndNoteBibliography">
    <w:name w:val="EndNote Bibliography"/>
    <w:basedOn w:val="Standard"/>
    <w:link w:val="EndNoteBibliographyZchn"/>
    <w:pPr>
      <w:spacing w:line="240" w:lineRule="auto"/>
      <w:jc w:val="both"/>
    </w:pPr>
    <w:rPr>
      <w:rFonts w:ascii="Calibri" w:hAnsi="Calibri" w:cs="Calibri"/>
      <w:noProof/>
      <w:sz w:val="18"/>
      <w:lang w:val="en-US"/>
    </w:rPr>
  </w:style>
  <w:style w:type="character" w:customStyle="1" w:styleId="EndNoteBibliographyZchn">
    <w:name w:val="EndNote Bibliography Zchn"/>
    <w:basedOn w:val="Absatz-Standardschriftart"/>
    <w:link w:val="EndNoteBibliography"/>
    <w:rPr>
      <w:rFonts w:ascii="Calibri" w:hAnsi="Calibri" w:cs="Calibri"/>
      <w:noProof/>
      <w:sz w:val="18"/>
      <w:lang w:val="en-US"/>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526">
      <w:bodyDiv w:val="1"/>
      <w:marLeft w:val="0"/>
      <w:marRight w:val="0"/>
      <w:marTop w:val="0"/>
      <w:marBottom w:val="0"/>
      <w:divBdr>
        <w:top w:val="none" w:sz="0" w:space="0" w:color="auto"/>
        <w:left w:val="none" w:sz="0" w:space="0" w:color="auto"/>
        <w:bottom w:val="none" w:sz="0" w:space="0" w:color="auto"/>
        <w:right w:val="none" w:sz="0" w:space="0" w:color="auto"/>
      </w:divBdr>
    </w:div>
    <w:div w:id="598025344">
      <w:bodyDiv w:val="1"/>
      <w:marLeft w:val="0"/>
      <w:marRight w:val="0"/>
      <w:marTop w:val="0"/>
      <w:marBottom w:val="0"/>
      <w:divBdr>
        <w:top w:val="none" w:sz="0" w:space="0" w:color="auto"/>
        <w:left w:val="none" w:sz="0" w:space="0" w:color="auto"/>
        <w:bottom w:val="none" w:sz="0" w:space="0" w:color="auto"/>
        <w:right w:val="none" w:sz="0" w:space="0" w:color="auto"/>
      </w:divBdr>
    </w:div>
    <w:div w:id="1152602400">
      <w:bodyDiv w:val="1"/>
      <w:marLeft w:val="0"/>
      <w:marRight w:val="0"/>
      <w:marTop w:val="0"/>
      <w:marBottom w:val="0"/>
      <w:divBdr>
        <w:top w:val="none" w:sz="0" w:space="0" w:color="auto"/>
        <w:left w:val="none" w:sz="0" w:space="0" w:color="auto"/>
        <w:bottom w:val="none" w:sz="0" w:space="0" w:color="auto"/>
        <w:right w:val="none" w:sz="0" w:space="0" w:color="auto"/>
      </w:divBdr>
    </w:div>
    <w:div w:id="20043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396-892X"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mailto:dibucchianico@helmholtz-muenchen.de" TargetMode="External"/><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69485-F88C-4D6E-885D-51F71048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11926</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Binder</dc:creator>
  <cp:keywords/>
  <dc:description/>
  <cp:lastModifiedBy>Stephanie Binder</cp:lastModifiedBy>
  <cp:revision>3</cp:revision>
  <dcterms:created xsi:type="dcterms:W3CDTF">2021-09-13T11:05:00Z</dcterms:created>
  <dcterms:modified xsi:type="dcterms:W3CDTF">2021-09-13T11:14:00Z</dcterms:modified>
</cp:coreProperties>
</file>