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38C196" w14:textId="77777777" w:rsidR="007A0652" w:rsidRPr="005001D6" w:rsidRDefault="007A0652" w:rsidP="00173FAF">
      <w:pPr>
        <w:spacing w:line="360" w:lineRule="auto"/>
        <w:jc w:val="both"/>
        <w:rPr>
          <w:rFonts w:cstheme="minorHAnsi"/>
          <w:b/>
          <w:bCs/>
          <w:iCs/>
          <w:sz w:val="28"/>
          <w:szCs w:val="28"/>
        </w:rPr>
      </w:pPr>
      <w:r w:rsidRPr="005001D6">
        <w:rPr>
          <w:rFonts w:cstheme="minorHAnsi"/>
          <w:b/>
          <w:bCs/>
          <w:iCs/>
          <w:sz w:val="28"/>
          <w:szCs w:val="28"/>
        </w:rPr>
        <w:t>Shrub expansion modulates belowground impacts of changing snow conditions in alpine grasslands</w:t>
      </w:r>
    </w:p>
    <w:p w14:paraId="0AF4EF0F" w14:textId="4A30006F" w:rsidR="005D59DE" w:rsidRPr="005001D6" w:rsidRDefault="009C0314" w:rsidP="00173FAF">
      <w:pPr>
        <w:spacing w:line="360" w:lineRule="auto"/>
        <w:jc w:val="both"/>
        <w:rPr>
          <w:sz w:val="24"/>
          <w:szCs w:val="24"/>
        </w:rPr>
      </w:pPr>
      <w:r w:rsidRPr="005001D6">
        <w:rPr>
          <w:sz w:val="24"/>
          <w:szCs w:val="24"/>
        </w:rPr>
        <w:t>Supplementary Information</w:t>
      </w:r>
      <w:r w:rsidR="00786089" w:rsidRPr="005001D6">
        <w:rPr>
          <w:sz w:val="24"/>
          <w:szCs w:val="24"/>
        </w:rPr>
        <w:t xml:space="preserve">. </w:t>
      </w:r>
      <w:r w:rsidR="005D59DE" w:rsidRPr="005001D6">
        <w:rPr>
          <w:sz w:val="24"/>
          <w:szCs w:val="24"/>
        </w:rPr>
        <w:t>Broadbent et al.</w:t>
      </w:r>
    </w:p>
    <w:p w14:paraId="5AC2EECE" w14:textId="77777777" w:rsidR="00BB7710" w:rsidRPr="005001D6" w:rsidRDefault="00BB7710" w:rsidP="00173FAF">
      <w:pPr>
        <w:spacing w:line="480" w:lineRule="auto"/>
        <w:jc w:val="both"/>
        <w:rPr>
          <w:b/>
          <w:bCs/>
          <w:sz w:val="24"/>
          <w:szCs w:val="24"/>
        </w:rPr>
      </w:pPr>
    </w:p>
    <w:p w14:paraId="0BDAE8E2" w14:textId="663357FA" w:rsidR="00713C44" w:rsidRPr="005001D6" w:rsidRDefault="00713C44" w:rsidP="00173FAF">
      <w:pPr>
        <w:spacing w:line="480" w:lineRule="auto"/>
        <w:jc w:val="both"/>
        <w:rPr>
          <w:b/>
          <w:bCs/>
          <w:sz w:val="24"/>
          <w:szCs w:val="24"/>
        </w:rPr>
      </w:pPr>
      <w:r w:rsidRPr="005001D6">
        <w:rPr>
          <w:b/>
          <w:bCs/>
          <w:sz w:val="24"/>
          <w:szCs w:val="24"/>
        </w:rPr>
        <w:t>METHODS</w:t>
      </w:r>
    </w:p>
    <w:p w14:paraId="7AF95CBA" w14:textId="74704D20" w:rsidR="007660D2" w:rsidRPr="005001D6" w:rsidRDefault="007660D2" w:rsidP="00173FAF">
      <w:pPr>
        <w:spacing w:line="480" w:lineRule="auto"/>
        <w:jc w:val="both"/>
        <w:rPr>
          <w:i/>
          <w:iCs/>
        </w:rPr>
      </w:pPr>
      <w:r w:rsidRPr="005001D6">
        <w:rPr>
          <w:i/>
          <w:iCs/>
        </w:rPr>
        <w:t>Snowmelt timing</w:t>
      </w:r>
      <w:r w:rsidR="007342DE" w:rsidRPr="005001D6">
        <w:rPr>
          <w:i/>
          <w:iCs/>
        </w:rPr>
        <w:t xml:space="preserve"> </w:t>
      </w:r>
    </w:p>
    <w:p w14:paraId="7566C47C" w14:textId="412CE222" w:rsidR="00326A9E" w:rsidRPr="005001D6" w:rsidRDefault="007660D2" w:rsidP="00173FAF">
      <w:pPr>
        <w:spacing w:line="480" w:lineRule="auto"/>
        <w:jc w:val="both"/>
      </w:pPr>
      <w:r w:rsidRPr="005001D6">
        <w:t>Soil temperature</w:t>
      </w:r>
      <w:r w:rsidR="00C40D16" w:rsidRPr="005001D6">
        <w:t xml:space="preserve"> </w:t>
      </w:r>
      <w:r w:rsidRPr="005001D6">
        <w:t xml:space="preserve">sensors </w:t>
      </w:r>
      <w:r w:rsidR="00071BE5" w:rsidRPr="005001D6">
        <w:t>(</w:t>
      </w:r>
      <w:proofErr w:type="spellStart"/>
      <w:r w:rsidRPr="005001D6">
        <w:t>iButtons</w:t>
      </w:r>
      <w:proofErr w:type="spellEnd"/>
      <w:r w:rsidR="00071BE5" w:rsidRPr="005001D6">
        <w:t xml:space="preserve"> [Maximum Integrated, San Jose, CA, USA] </w:t>
      </w:r>
      <w:r w:rsidRPr="005001D6">
        <w:t>in all plots and Hobo loggers</w:t>
      </w:r>
      <w:r w:rsidR="00071BE5" w:rsidRPr="005001D6">
        <w:t xml:space="preserve"> [Onset Computer Corporation, Bourne, MA, USA]</w:t>
      </w:r>
      <w:r w:rsidRPr="005001D6">
        <w:t xml:space="preserve"> in a subset of 27 plots) were installed</w:t>
      </w:r>
      <w:r w:rsidR="00CA0C64" w:rsidRPr="005001D6">
        <w:t xml:space="preserve"> at a depth of ca. 5 cm in August 2017</w:t>
      </w:r>
      <w:r w:rsidR="00E77D5F" w:rsidRPr="005001D6">
        <w:t>. S</w:t>
      </w:r>
      <w:r w:rsidR="00CA0C64" w:rsidRPr="005001D6">
        <w:t>oil temperature was measured</w:t>
      </w:r>
      <w:r w:rsidR="00E77D5F" w:rsidRPr="005001D6">
        <w:t xml:space="preserve"> continuously at 4 h</w:t>
      </w:r>
      <w:r w:rsidR="00744513" w:rsidRPr="005001D6">
        <w:t>our (h)</w:t>
      </w:r>
      <w:r w:rsidR="00E77D5F" w:rsidRPr="005001D6">
        <w:t xml:space="preserve"> or 15 min</w:t>
      </w:r>
      <w:r w:rsidR="002148CB" w:rsidRPr="005001D6">
        <w:t>ute</w:t>
      </w:r>
      <w:r w:rsidR="00E77D5F" w:rsidRPr="005001D6">
        <w:t xml:space="preserve"> intervals (</w:t>
      </w:r>
      <w:proofErr w:type="spellStart"/>
      <w:r w:rsidR="00E77D5F" w:rsidRPr="005001D6">
        <w:t>iButtons</w:t>
      </w:r>
      <w:proofErr w:type="spellEnd"/>
      <w:r w:rsidR="00E77D5F" w:rsidRPr="005001D6">
        <w:t>/ Hobo loggers respectively) until</w:t>
      </w:r>
      <w:r w:rsidR="00CA0C64" w:rsidRPr="005001D6">
        <w:t xml:space="preserve"> sampling occurred in July 2019</w:t>
      </w:r>
      <w:r w:rsidR="00FF75E0" w:rsidRPr="005001D6">
        <w:t xml:space="preserve">. </w:t>
      </w:r>
      <w:r w:rsidR="00CA0C64" w:rsidRPr="005001D6">
        <w:t xml:space="preserve">The snowmelt dates estimated by </w:t>
      </w:r>
      <w:proofErr w:type="spellStart"/>
      <w:r w:rsidR="00CA0C64" w:rsidRPr="005001D6">
        <w:t>iButtons</w:t>
      </w:r>
      <w:proofErr w:type="spellEnd"/>
      <w:r w:rsidR="00CA0C64" w:rsidRPr="005001D6">
        <w:t xml:space="preserve"> and loggers installed in the same plots closely corresponded. The only discrepancy occurred in four plots where snowmelt dates estimated by loggers were one day earlier than </w:t>
      </w:r>
      <w:proofErr w:type="spellStart"/>
      <w:r w:rsidR="00CA0C64" w:rsidRPr="005001D6">
        <w:t>iButtons</w:t>
      </w:r>
      <w:proofErr w:type="spellEnd"/>
      <w:r w:rsidR="00CA0C64" w:rsidRPr="005001D6">
        <w:t xml:space="preserve"> (</w:t>
      </w:r>
      <w:proofErr w:type="spellStart"/>
      <w:r w:rsidR="00CA0C64" w:rsidRPr="005001D6">
        <w:t>iButton</w:t>
      </w:r>
      <w:proofErr w:type="spellEnd"/>
      <w:r w:rsidR="00CA0C64" w:rsidRPr="005001D6">
        <w:t xml:space="preserve"> dates on these plots were used for consistency). Snowmelt dates were standardised each year using the date that the first plot melted in that year, which was given the value 0.</w:t>
      </w:r>
      <w:r w:rsidR="00960FDD" w:rsidRPr="005001D6">
        <w:t xml:space="preserve"> </w:t>
      </w:r>
      <w:r w:rsidR="00CA0C64" w:rsidRPr="005001D6">
        <w:t xml:space="preserve"> </w:t>
      </w:r>
      <w:r w:rsidR="00C615F6" w:rsidRPr="005001D6">
        <w:t>S</w:t>
      </w:r>
      <w:r w:rsidR="00CA0C64" w:rsidRPr="005001D6">
        <w:t xml:space="preserve">nowmelt dates of other plots were allocated numbers relative to the date that the first plot melted, such that a plot which melted 10 days after the first plot received the number 10, and so forth. Snowmelt occurred about a month later, on average, in 2019 than 2018, but standardised snowmelt dates correlated closely between individual plots. During the 2018/19 winter, 28 </w:t>
      </w:r>
      <w:proofErr w:type="spellStart"/>
      <w:r w:rsidR="00CA0C64" w:rsidRPr="005001D6">
        <w:t>iButtons</w:t>
      </w:r>
      <w:proofErr w:type="spellEnd"/>
      <w:r w:rsidR="00CA0C64" w:rsidRPr="005001D6">
        <w:t xml:space="preserve"> and 10 loggers failed, which meant we only recorded snowmelt dates for 44 plots in 2019. However, we were able to accurately estimate </w:t>
      </w:r>
      <w:r w:rsidR="00FC1E93" w:rsidRPr="005001D6">
        <w:t xml:space="preserve">2019 </w:t>
      </w:r>
      <w:r w:rsidR="00CA0C64" w:rsidRPr="005001D6">
        <w:t>snowmelt dates for an additional 24 plots</w:t>
      </w:r>
      <w:r w:rsidR="00FC1E93" w:rsidRPr="005001D6">
        <w:t xml:space="preserve"> using the 2018 snowmelt dates</w:t>
      </w:r>
      <w:r w:rsidR="00FB30AE" w:rsidRPr="005001D6">
        <w:t xml:space="preserve">. To do this, we </w:t>
      </w:r>
      <w:r w:rsidR="00C615F6" w:rsidRPr="005001D6">
        <w:t>used</w:t>
      </w:r>
      <w:r w:rsidR="00FB30AE" w:rsidRPr="005001D6">
        <w:t xml:space="preserve"> a linear mixed effects model (LMM) that predicted the measured 2019 snowmelt dates, </w:t>
      </w:r>
      <w:r w:rsidR="00CA0C64" w:rsidRPr="005001D6">
        <w:t>using</w:t>
      </w:r>
      <w:r w:rsidR="00FB30AE" w:rsidRPr="005001D6">
        <w:t xml:space="preserve"> t</w:t>
      </w:r>
      <w:r w:rsidR="00CA0C64" w:rsidRPr="005001D6">
        <w:t xml:space="preserve">he 2018 snowmelt dates and plot aspect (on an 8-point compass scale) as fixed effects, and block nested in site as random effects. We used </w:t>
      </w:r>
      <w:proofErr w:type="spellStart"/>
      <w:r w:rsidR="004537EF" w:rsidRPr="005001D6">
        <w:t>Akaike</w:t>
      </w:r>
      <w:proofErr w:type="spellEnd"/>
      <w:r w:rsidR="004537EF" w:rsidRPr="005001D6">
        <w:t xml:space="preserve"> information criterion (</w:t>
      </w:r>
      <w:r w:rsidR="00CA0C64" w:rsidRPr="005001D6">
        <w:t>AIC</w:t>
      </w:r>
      <w:r w:rsidR="004537EF" w:rsidRPr="005001D6">
        <w:t>)</w:t>
      </w:r>
      <w:r w:rsidR="00CA0C64" w:rsidRPr="005001D6">
        <w:t xml:space="preserve"> model selection to test whether vegetation treatment, elevation and slope improved our model, but</w:t>
      </w:r>
      <w:r w:rsidR="009C71AA" w:rsidRPr="005001D6">
        <w:t xml:space="preserve"> including them </w:t>
      </w:r>
      <w:r w:rsidR="00CA0C64" w:rsidRPr="005001D6">
        <w:t xml:space="preserve">increased the AIC and </w:t>
      </w:r>
      <w:r w:rsidR="009C71AA" w:rsidRPr="005001D6">
        <w:t xml:space="preserve">they </w:t>
      </w:r>
      <w:r w:rsidR="00CA0C64" w:rsidRPr="005001D6">
        <w:t xml:space="preserve">were therefore not included. </w:t>
      </w:r>
      <w:r w:rsidR="00FB30AE" w:rsidRPr="005001D6">
        <w:t>Our model</w:t>
      </w:r>
      <w:r w:rsidR="00CA0C64" w:rsidRPr="005001D6">
        <w:t xml:space="preserve"> predicted</w:t>
      </w:r>
      <w:r w:rsidR="00FB30AE" w:rsidRPr="005001D6">
        <w:t xml:space="preserve"> </w:t>
      </w:r>
      <w:r w:rsidR="00644043" w:rsidRPr="005001D6">
        <w:t xml:space="preserve">the </w:t>
      </w:r>
      <w:r w:rsidR="00644043" w:rsidRPr="005001D6">
        <w:lastRenderedPageBreak/>
        <w:t xml:space="preserve">actual </w:t>
      </w:r>
      <w:r w:rsidR="00FB30AE" w:rsidRPr="005001D6">
        <w:t>2019 snowmelt dates</w:t>
      </w:r>
      <w:r w:rsidR="00EC73EE" w:rsidRPr="005001D6">
        <w:t xml:space="preserve"> on the measured plots</w:t>
      </w:r>
      <w:r w:rsidR="00CA0C64" w:rsidRPr="005001D6">
        <w:t xml:space="preserve"> to high degree of accuracy (conditional r</w:t>
      </w:r>
      <w:r w:rsidR="00CA0C64" w:rsidRPr="005001D6">
        <w:rPr>
          <w:vertAlign w:val="superscript"/>
        </w:rPr>
        <w:t>2</w:t>
      </w:r>
      <w:r w:rsidR="00CA0C64" w:rsidRPr="005001D6">
        <w:t xml:space="preserve"> = 0.94</w:t>
      </w:r>
      <w:r w:rsidR="00C63FF8" w:rsidRPr="005001D6">
        <w:t>, fig. S</w:t>
      </w:r>
      <w:r w:rsidR="00326A9E" w:rsidRPr="005001D6">
        <w:t>5</w:t>
      </w:r>
      <w:r w:rsidR="00CA0C64" w:rsidRPr="005001D6">
        <w:t>). We therefore used this model to</w:t>
      </w:r>
      <w:r w:rsidR="00FB30AE" w:rsidRPr="005001D6">
        <w:t xml:space="preserve"> predict</w:t>
      </w:r>
      <w:r w:rsidR="00CA0C64" w:rsidRPr="005001D6">
        <w:t xml:space="preserve"> the </w:t>
      </w:r>
      <w:r w:rsidR="00FB30AE" w:rsidRPr="005001D6">
        <w:t xml:space="preserve">unmeasured </w:t>
      </w:r>
      <w:r w:rsidR="00CA0C64" w:rsidRPr="005001D6">
        <w:t>2019 snowmelt dates</w:t>
      </w:r>
      <w:r w:rsidR="00FB30AE" w:rsidRPr="005001D6">
        <w:t xml:space="preserve"> on plots for which we had 2018 snowmelt dates</w:t>
      </w:r>
      <w:r w:rsidR="00CA0C64" w:rsidRPr="005001D6">
        <w:t xml:space="preserve">. </w:t>
      </w:r>
    </w:p>
    <w:p w14:paraId="5DAE3007" w14:textId="77777777" w:rsidR="00874512" w:rsidRPr="005001D6" w:rsidRDefault="00874512" w:rsidP="00173FAF">
      <w:pPr>
        <w:spacing w:line="480" w:lineRule="auto"/>
        <w:jc w:val="both"/>
        <w:rPr>
          <w:i/>
          <w:iCs/>
        </w:rPr>
      </w:pPr>
    </w:p>
    <w:p w14:paraId="32471E26" w14:textId="24F171F9" w:rsidR="0015002A" w:rsidRPr="005001D6" w:rsidRDefault="0015002A" w:rsidP="00173FAF">
      <w:pPr>
        <w:spacing w:line="480" w:lineRule="auto"/>
        <w:jc w:val="both"/>
      </w:pPr>
      <w:r w:rsidRPr="005001D6">
        <w:rPr>
          <w:i/>
          <w:iCs/>
        </w:rPr>
        <w:t xml:space="preserve">Molecular </w:t>
      </w:r>
      <w:r w:rsidR="00212D5B" w:rsidRPr="005001D6">
        <w:rPr>
          <w:i/>
          <w:iCs/>
        </w:rPr>
        <w:t>soil sub-</w:t>
      </w:r>
      <w:r w:rsidRPr="005001D6">
        <w:rPr>
          <w:i/>
          <w:iCs/>
        </w:rPr>
        <w:t>sampling</w:t>
      </w:r>
    </w:p>
    <w:p w14:paraId="2726915E" w14:textId="7BA517D0" w:rsidR="0015002A" w:rsidRPr="005001D6" w:rsidRDefault="0015002A" w:rsidP="00173FAF">
      <w:pPr>
        <w:spacing w:line="480" w:lineRule="auto"/>
        <w:jc w:val="both"/>
        <w:rPr>
          <w:rFonts w:cstheme="minorHAnsi"/>
        </w:rPr>
      </w:pPr>
      <w:r w:rsidRPr="005001D6">
        <w:rPr>
          <w:rFonts w:cstheme="minorHAnsi"/>
        </w:rPr>
        <w:t xml:space="preserve">Five soil subsamples were taken from each soil sample, pooled and added to sterile MP Bio lysing matrix E tubes containing DNA/RNA shield </w:t>
      </w:r>
      <w:proofErr w:type="spellStart"/>
      <w:r w:rsidRPr="005001D6">
        <w:rPr>
          <w:rFonts w:cstheme="minorHAnsi"/>
        </w:rPr>
        <w:t>solution</w:t>
      </w:r>
      <w:r w:rsidRPr="005001D6">
        <w:rPr>
          <w:rFonts w:cstheme="minorHAnsi"/>
          <w:vertAlign w:val="superscript"/>
        </w:rPr>
        <w:t>TM</w:t>
      </w:r>
      <w:proofErr w:type="spellEnd"/>
      <w:r w:rsidRPr="005001D6">
        <w:rPr>
          <w:rFonts w:cstheme="minorHAnsi"/>
        </w:rPr>
        <w:t xml:space="preserve"> (</w:t>
      </w:r>
      <w:proofErr w:type="spellStart"/>
      <w:r w:rsidRPr="005001D6">
        <w:rPr>
          <w:rFonts w:cstheme="minorHAnsi"/>
        </w:rPr>
        <w:t>Zymo</w:t>
      </w:r>
      <w:proofErr w:type="spellEnd"/>
      <w:r w:rsidRPr="005001D6">
        <w:rPr>
          <w:rFonts w:cstheme="minorHAnsi"/>
        </w:rPr>
        <w:t xml:space="preserve"> Research Corp, Irvine, CA, USA) to achieve 10</w:t>
      </w:r>
      <w:r w:rsidR="00EC73EE" w:rsidRPr="005001D6">
        <w:rPr>
          <w:rFonts w:cstheme="minorHAnsi"/>
        </w:rPr>
        <w:t xml:space="preserve"> </w:t>
      </w:r>
      <w:r w:rsidRPr="005001D6">
        <w:rPr>
          <w:rFonts w:cstheme="minorHAnsi"/>
        </w:rPr>
        <w:t xml:space="preserve">% w/v sample to preservation buffer. Lysis was immediately performed in the field using an MP Bio SuperFastPrep1 and Homogenizer (MP </w:t>
      </w:r>
      <w:proofErr w:type="spellStart"/>
      <w:r w:rsidRPr="005001D6">
        <w:rPr>
          <w:rFonts w:cstheme="minorHAnsi"/>
        </w:rPr>
        <w:t>Biomedicals</w:t>
      </w:r>
      <w:proofErr w:type="spellEnd"/>
      <w:r w:rsidRPr="005001D6">
        <w:rPr>
          <w:rFonts w:cstheme="minorHAnsi"/>
        </w:rPr>
        <w:t>, Santa Ana, CA, USA) for 30 Secs at full speed. Lysed soil was</w:t>
      </w:r>
      <w:r w:rsidR="00EC73EE" w:rsidRPr="005001D6">
        <w:rPr>
          <w:rFonts w:cstheme="minorHAnsi"/>
        </w:rPr>
        <w:t xml:space="preserve"> immediately</w:t>
      </w:r>
      <w:r w:rsidRPr="005001D6">
        <w:rPr>
          <w:rFonts w:cstheme="minorHAnsi"/>
        </w:rPr>
        <w:t xml:space="preserve"> stored at -80</w:t>
      </w:r>
      <w:r w:rsidR="00EC73EE" w:rsidRPr="005001D6">
        <w:rPr>
          <w:rFonts w:cstheme="minorHAnsi"/>
        </w:rPr>
        <w:t xml:space="preserve"> </w:t>
      </w:r>
      <w:r w:rsidR="007E264B" w:rsidRPr="005001D6">
        <w:rPr>
          <w:rFonts w:cstheme="minorHAnsi"/>
        </w:rPr>
        <w:t>°</w:t>
      </w:r>
      <w:r w:rsidRPr="005001D6">
        <w:rPr>
          <w:rFonts w:cstheme="minorHAnsi"/>
        </w:rPr>
        <w:t>C and shipped to the UK Centre for Ecology and Hydrology, Wallingford, UK for molecular analyses.</w:t>
      </w:r>
    </w:p>
    <w:p w14:paraId="7776F426" w14:textId="77777777" w:rsidR="00874512" w:rsidRPr="005001D6" w:rsidRDefault="00874512" w:rsidP="00173FAF">
      <w:pPr>
        <w:spacing w:line="480" w:lineRule="auto"/>
        <w:jc w:val="both"/>
        <w:rPr>
          <w:i/>
          <w:iCs/>
        </w:rPr>
      </w:pPr>
    </w:p>
    <w:p w14:paraId="2E933906" w14:textId="7E755CD3" w:rsidR="00212D5B" w:rsidRPr="005001D6" w:rsidRDefault="00212D5B" w:rsidP="00173FAF">
      <w:pPr>
        <w:spacing w:line="480" w:lineRule="auto"/>
        <w:jc w:val="both"/>
        <w:rPr>
          <w:i/>
          <w:iCs/>
        </w:rPr>
      </w:pPr>
      <w:r w:rsidRPr="005001D6">
        <w:rPr>
          <w:i/>
          <w:iCs/>
        </w:rPr>
        <w:t>Vegetation surveys</w:t>
      </w:r>
    </w:p>
    <w:p w14:paraId="60FF5D1D" w14:textId="57687382" w:rsidR="00212D5B" w:rsidRPr="005001D6" w:rsidRDefault="00212D5B" w:rsidP="00173FAF">
      <w:pPr>
        <w:spacing w:line="480" w:lineRule="auto"/>
        <w:jc w:val="both"/>
      </w:pPr>
      <w:r w:rsidRPr="005001D6">
        <w:rPr>
          <w:rFonts w:cstheme="minorHAnsi"/>
        </w:rPr>
        <w:t xml:space="preserve">Plant species relative cover (%) was visually estimated to the nearest 1% within a </w:t>
      </w:r>
      <w:bookmarkStart w:id="0" w:name="_Hlk47772850"/>
      <w:r w:rsidRPr="005001D6">
        <w:rPr>
          <w:rFonts w:cstheme="minorHAnsi"/>
        </w:rPr>
        <w:t xml:space="preserve">60 x 60 cm subplot </w:t>
      </w:r>
      <w:r w:rsidRPr="005001D6">
        <w:t>using a modified Daubenmire method</w:t>
      </w:r>
      <w:r w:rsidR="001E5429" w:rsidRPr="005001D6">
        <w:t xml:space="preserve"> </w:t>
      </w:r>
      <w:r w:rsidRPr="005001D6">
        <w:fldChar w:fldCharType="begin" w:fldLock="1"/>
      </w:r>
      <w:r w:rsidR="00361CE6" w:rsidRPr="005001D6">
        <w:instrText>ADDIN CSL_CITATION {"citationItems":[{"id":"ITEM-1","itemData":{"author":[{"dropping-particle":"","family":"Daubenmire","given":"R.F.","non-dropping-particle":"","parse-names":false,"suffix":""}],"container-title":"Northwest Science","id":"ITEM-1","issue":"1","issued":{"date-parts":[["1959"]]},"page":"43:64","title":"Canopy coverage method of vegetation analysis","type":"article-journal","volume":"33"},"uris":["http://www.mendeley.com/documents/?uuid=9329a8e0-914b-4105-b3e8-f2062de512f4"]}],"mendeley":{"formattedCitation":"(Daubenmire 1959)","plainTextFormattedCitation":"(Daubenmire 1959)","previouslyFormattedCitation":"(Daubenmire 1959)"},"properties":{"noteIndex":0},"schema":"https://github.com/citation-style-language/schema/raw/master/csl-citation.json"}</w:instrText>
      </w:r>
      <w:r w:rsidRPr="005001D6">
        <w:fldChar w:fldCharType="separate"/>
      </w:r>
      <w:r w:rsidR="00627DCC" w:rsidRPr="005001D6">
        <w:rPr>
          <w:noProof/>
        </w:rPr>
        <w:t>(Daubenmire 1959)</w:t>
      </w:r>
      <w:r w:rsidRPr="005001D6">
        <w:fldChar w:fldCharType="end"/>
      </w:r>
      <w:bookmarkEnd w:id="0"/>
      <w:r w:rsidRPr="005001D6">
        <w:rPr>
          <w:rFonts w:cstheme="minorHAnsi"/>
        </w:rPr>
        <w:t xml:space="preserve">. </w:t>
      </w:r>
      <w:r w:rsidRPr="005001D6">
        <w:t>Plant community composition on shrub removal plots was more similar to grass control plots than shrub invaded plots (</w:t>
      </w:r>
      <w:r w:rsidR="005810E6" w:rsidRPr="005001D6">
        <w:t>PERMANOVA</w:t>
      </w:r>
      <w:r w:rsidRPr="005001D6">
        <w:t xml:space="preserve">, F = 26.7, p &lt; 0.01; </w:t>
      </w:r>
      <w:r w:rsidR="005810E6" w:rsidRPr="005001D6">
        <w:t>fig. S</w:t>
      </w:r>
      <w:r w:rsidR="00103DB6" w:rsidRPr="005001D6">
        <w:t>1</w:t>
      </w:r>
      <w:r w:rsidRPr="005001D6">
        <w:t xml:space="preserve">). </w:t>
      </w:r>
    </w:p>
    <w:p w14:paraId="605D6D07" w14:textId="77777777" w:rsidR="00874512" w:rsidRPr="005001D6" w:rsidRDefault="00874512" w:rsidP="00173FAF">
      <w:pPr>
        <w:spacing w:line="480" w:lineRule="auto"/>
        <w:jc w:val="both"/>
        <w:rPr>
          <w:rFonts w:cstheme="minorHAnsi"/>
          <w:i/>
        </w:rPr>
      </w:pPr>
    </w:p>
    <w:p w14:paraId="36423D76" w14:textId="29814C6B" w:rsidR="00392E6B" w:rsidRPr="005001D6" w:rsidRDefault="00DE6F0F" w:rsidP="00173FAF">
      <w:pPr>
        <w:spacing w:line="480" w:lineRule="auto"/>
        <w:jc w:val="both"/>
        <w:rPr>
          <w:rFonts w:cstheme="minorHAnsi"/>
          <w:i/>
        </w:rPr>
      </w:pPr>
      <w:r w:rsidRPr="005001D6">
        <w:rPr>
          <w:rFonts w:cstheme="minorHAnsi"/>
          <w:i/>
        </w:rPr>
        <w:t>Extractions for b</w:t>
      </w:r>
      <w:r w:rsidR="00392E6B" w:rsidRPr="005001D6">
        <w:rPr>
          <w:rFonts w:cstheme="minorHAnsi"/>
          <w:i/>
        </w:rPr>
        <w:t xml:space="preserve">iogeochemical cycling </w:t>
      </w:r>
      <w:r w:rsidR="003C3859" w:rsidRPr="005001D6">
        <w:rPr>
          <w:rFonts w:cstheme="minorHAnsi"/>
          <w:i/>
        </w:rPr>
        <w:t>and microbial biomass</w:t>
      </w:r>
    </w:p>
    <w:p w14:paraId="0268D3B2" w14:textId="054F910E" w:rsidR="00392E6B" w:rsidRPr="005001D6" w:rsidRDefault="00392E6B" w:rsidP="00173FAF">
      <w:pPr>
        <w:spacing w:line="480" w:lineRule="auto"/>
        <w:jc w:val="both"/>
        <w:rPr>
          <w:rFonts w:cstheme="minorHAnsi"/>
        </w:rPr>
      </w:pPr>
      <w:r w:rsidRPr="005001D6">
        <w:rPr>
          <w:rFonts w:cstheme="minorHAnsi"/>
        </w:rPr>
        <w:t xml:space="preserve">To measure plant available </w:t>
      </w:r>
      <w:r w:rsidR="00101136" w:rsidRPr="005001D6">
        <w:rPr>
          <w:rFonts w:cstheme="minorHAnsi"/>
        </w:rPr>
        <w:t>inorganic N</w:t>
      </w:r>
      <w:r w:rsidRPr="005001D6">
        <w:rPr>
          <w:rFonts w:cstheme="minorHAnsi"/>
        </w:rPr>
        <w:t>, and dissolved organic nitrogen (DON), 5</w:t>
      </w:r>
      <w:r w:rsidR="00B96C94" w:rsidRPr="005001D6">
        <w:rPr>
          <w:rFonts w:cstheme="minorHAnsi"/>
        </w:rPr>
        <w:t xml:space="preserve"> </w:t>
      </w:r>
      <w:r w:rsidRPr="005001D6">
        <w:rPr>
          <w:rFonts w:cstheme="minorHAnsi"/>
        </w:rPr>
        <w:t>g (fresh weight) of soil was extracted with 25</w:t>
      </w:r>
      <w:r w:rsidR="00B96C94" w:rsidRPr="005001D6">
        <w:rPr>
          <w:rFonts w:cstheme="minorHAnsi"/>
        </w:rPr>
        <w:t xml:space="preserve"> </w:t>
      </w:r>
      <w:r w:rsidRPr="005001D6">
        <w:rPr>
          <w:rFonts w:cstheme="minorHAnsi"/>
        </w:rPr>
        <w:t>ml of 1</w:t>
      </w:r>
      <w:r w:rsidR="00B96C94" w:rsidRPr="005001D6">
        <w:rPr>
          <w:rFonts w:cstheme="minorHAnsi"/>
        </w:rPr>
        <w:t xml:space="preserve"> </w:t>
      </w:r>
      <w:r w:rsidRPr="005001D6">
        <w:rPr>
          <w:rFonts w:cstheme="minorHAnsi"/>
        </w:rPr>
        <w:t xml:space="preserve">M </w:t>
      </w:r>
      <w:proofErr w:type="spellStart"/>
      <w:r w:rsidRPr="005001D6">
        <w:rPr>
          <w:rFonts w:cstheme="minorHAnsi"/>
        </w:rPr>
        <w:t>KCl</w:t>
      </w:r>
      <w:proofErr w:type="spellEnd"/>
      <w:r w:rsidRPr="005001D6">
        <w:rPr>
          <w:rFonts w:cstheme="minorHAnsi"/>
        </w:rPr>
        <w:t>, or 35</w:t>
      </w:r>
      <w:r w:rsidR="00B96C94" w:rsidRPr="005001D6">
        <w:rPr>
          <w:rFonts w:cstheme="minorHAnsi"/>
        </w:rPr>
        <w:t xml:space="preserve"> </w:t>
      </w:r>
      <w:r w:rsidRPr="005001D6">
        <w:rPr>
          <w:rFonts w:cstheme="minorHAnsi"/>
        </w:rPr>
        <w:t>ml ultrapure</w:t>
      </w:r>
      <w:r w:rsidR="00094B5B" w:rsidRPr="005001D6">
        <w:rPr>
          <w:rFonts w:cstheme="minorHAnsi"/>
        </w:rPr>
        <w:t xml:space="preserve"> (</w:t>
      </w:r>
      <w:proofErr w:type="spellStart"/>
      <w:r w:rsidR="00094B5B" w:rsidRPr="005001D6">
        <w:rPr>
          <w:rFonts w:cstheme="minorHAnsi"/>
        </w:rPr>
        <w:t>Milli</w:t>
      </w:r>
      <w:proofErr w:type="spellEnd"/>
      <w:r w:rsidR="00094B5B" w:rsidRPr="005001D6">
        <w:rPr>
          <w:rFonts w:cstheme="minorHAnsi"/>
        </w:rPr>
        <w:t>-Q</w:t>
      </w:r>
      <w:r w:rsidR="00094B5B" w:rsidRPr="005001D6">
        <w:rPr>
          <w:rFonts w:cstheme="minorHAnsi"/>
          <w:i/>
          <w:iCs/>
        </w:rPr>
        <w:t>®</w:t>
      </w:r>
      <w:r w:rsidR="00094B5B" w:rsidRPr="005001D6">
        <w:rPr>
          <w:rFonts w:cstheme="minorHAnsi"/>
        </w:rPr>
        <w:t>)</w:t>
      </w:r>
      <w:r w:rsidRPr="005001D6">
        <w:rPr>
          <w:rFonts w:cstheme="minorHAnsi"/>
        </w:rPr>
        <w:t xml:space="preserve"> H</w:t>
      </w:r>
      <w:r w:rsidRPr="005001D6">
        <w:rPr>
          <w:rFonts w:cstheme="minorHAnsi"/>
          <w:vertAlign w:val="subscript"/>
        </w:rPr>
        <w:t>2</w:t>
      </w:r>
      <w:r w:rsidRPr="005001D6">
        <w:rPr>
          <w:rFonts w:cstheme="minorHAnsi"/>
        </w:rPr>
        <w:t xml:space="preserve">O for DON, shaken for 1 h or 10 min for DON, and then extracts were analysed on a </w:t>
      </w:r>
      <w:bookmarkStart w:id="1" w:name="_Hlk47791076"/>
      <w:r w:rsidRPr="005001D6">
        <w:rPr>
          <w:rFonts w:cstheme="minorHAnsi"/>
        </w:rPr>
        <w:t>Seal AA3 Segmented Flow Multi-chemistry analyser (Mequon, WI, USA)</w:t>
      </w:r>
      <w:bookmarkEnd w:id="1"/>
      <w:r w:rsidRPr="005001D6">
        <w:rPr>
          <w:rFonts w:cstheme="minorHAnsi"/>
        </w:rPr>
        <w:t>.</w:t>
      </w:r>
      <w:r w:rsidR="006F0C45" w:rsidRPr="005001D6">
        <w:rPr>
          <w:rFonts w:cstheme="minorHAnsi"/>
        </w:rPr>
        <w:t xml:space="preserve"> </w:t>
      </w:r>
      <w:bookmarkStart w:id="2" w:name="_Hlk55984088"/>
      <w:r w:rsidR="006F0C45" w:rsidRPr="005001D6">
        <w:rPr>
          <w:rFonts w:cstheme="minorHAnsi"/>
        </w:rPr>
        <w:t xml:space="preserve">To calculate DON we measured total dissolved N and total dissolved </w:t>
      </w:r>
      <w:r w:rsidR="006F0C45" w:rsidRPr="005001D6">
        <w:rPr>
          <w:rFonts w:cstheme="minorHAnsi"/>
        </w:rPr>
        <w:lastRenderedPageBreak/>
        <w:t>inorganic N (NH</w:t>
      </w:r>
      <w:r w:rsidR="006F0C45" w:rsidRPr="005001D6">
        <w:rPr>
          <w:rFonts w:cstheme="minorHAnsi"/>
          <w:vertAlign w:val="subscript"/>
        </w:rPr>
        <w:t>4</w:t>
      </w:r>
      <w:r w:rsidR="006F0C45" w:rsidRPr="005001D6">
        <w:rPr>
          <w:rFonts w:cstheme="minorHAnsi"/>
          <w:vertAlign w:val="superscript"/>
        </w:rPr>
        <w:t>+</w:t>
      </w:r>
      <w:r w:rsidR="006F0C45" w:rsidRPr="005001D6">
        <w:rPr>
          <w:rFonts w:cstheme="minorHAnsi"/>
        </w:rPr>
        <w:t>-N and NO</w:t>
      </w:r>
      <w:r w:rsidR="006F0C45" w:rsidRPr="005001D6">
        <w:rPr>
          <w:rFonts w:cstheme="minorHAnsi"/>
          <w:vertAlign w:val="subscript"/>
        </w:rPr>
        <w:t>3</w:t>
      </w:r>
      <w:r w:rsidR="006F0C45" w:rsidRPr="005001D6">
        <w:rPr>
          <w:rFonts w:cstheme="minorHAnsi"/>
          <w:vertAlign w:val="superscript"/>
        </w:rPr>
        <w:t>-</w:t>
      </w:r>
      <w:r w:rsidR="006F0C45" w:rsidRPr="005001D6">
        <w:rPr>
          <w:rFonts w:cstheme="minorHAnsi"/>
        </w:rPr>
        <w:t>-N) simultaneously in each extract, and then subtracted total dissolved inorganic N from total dissolved N</w:t>
      </w:r>
      <w:r w:rsidR="001E5429" w:rsidRPr="005001D6">
        <w:rPr>
          <w:rFonts w:cstheme="minorHAnsi"/>
        </w:rPr>
        <w:t xml:space="preserve"> </w:t>
      </w:r>
      <w:r w:rsidR="006F0C45" w:rsidRPr="005001D6">
        <w:rPr>
          <w:rFonts w:cstheme="minorHAnsi"/>
        </w:rPr>
        <w:fldChar w:fldCharType="begin" w:fldLock="1"/>
      </w:r>
      <w:r w:rsidR="00361CE6" w:rsidRPr="005001D6">
        <w:rPr>
          <w:rFonts w:cstheme="minorHAnsi"/>
        </w:rPr>
        <w:instrText>ADDIN CSL_CITATION {"citationItems":[{"id":"ITEM-1","itemData":{"DOI":"10.1016/j.soilbio.2005.08.012","ISSN":"00380717","abstract":"A significant proportion of the total nutrient in soil solution can be bound to organic molecules and these often constitute a major loss from soil to freshwater. Our purpose was to determine whether chemical extractants used for measuring inorganic N could also be used to quantify dissolved organic nitrogen (DON) and carbon (DOC) in soil. In a range of soils, DOC and DON were extracted with either distilled water or 2 M KCl and the amount recovered compared with that present in soil solution recovered by centrifugal-drainage. The recovery of DON and DOC from soil was highly dependent upon the method of extraction. Factors such as soil sampling strategy (number of samples over space and time), sample preparation (sieving and drying), soil storage, extraction temperature, shaking time, and soil-to-extractant volume ratio all significantly affected the amount of DOC and DON extracted from soil. To allow direct comparison between independent studies we therefore propose the introduction of a standardized extraction procedure: Replicate samples of unsieved, field-moist soil extracted as soon as possible after collection with distilled water, 0.5 M K2SO4 or 2 M KCl at a 1:5 w/v ratio for 1 h at 20 °C. © 2005 Elsevier Ltd. All rights reserved.","author":[{"dropping-particle":"","family":"Jones","given":"D. L.","non-dropping-particle":"","parse-names":false,"suffix":""},{"dropping-particle":"","family":"Willett","given":"V. B.","non-dropping-particle":"","parse-names":false,"suffix":""}],"container-title":"Soil Biology and Biochemistry","id":"ITEM-1","issue":"5","issued":{"date-parts":[["2006"]]},"page":"991-999","title":"Experimental evaluation of methods to quantify dissolved organic nitrogen (DON) and dissolved organic carbon (DOC) in soil","type":"article-journal","volume":"38"},"uris":["http://www.mendeley.com/documents/?uuid=f08e0f48-fe64-4edb-8151-e23538184bd5"]}],"mendeley":{"formattedCitation":"(Jones &amp; Willett 2006)","plainTextFormattedCitation":"(Jones &amp; Willett 2006)","previouslyFormattedCitation":"(Jones &amp; Willett 2006)"},"properties":{"noteIndex":0},"schema":"https://github.com/citation-style-language/schema/raw/master/csl-citation.json"}</w:instrText>
      </w:r>
      <w:r w:rsidR="006F0C45" w:rsidRPr="005001D6">
        <w:rPr>
          <w:rFonts w:cstheme="minorHAnsi"/>
        </w:rPr>
        <w:fldChar w:fldCharType="separate"/>
      </w:r>
      <w:r w:rsidR="00627DCC" w:rsidRPr="005001D6">
        <w:rPr>
          <w:rFonts w:cstheme="minorHAnsi"/>
          <w:noProof/>
        </w:rPr>
        <w:t>(Jones &amp; Willett 2006)</w:t>
      </w:r>
      <w:r w:rsidR="006F0C45" w:rsidRPr="005001D6">
        <w:rPr>
          <w:rFonts w:cstheme="minorHAnsi"/>
        </w:rPr>
        <w:fldChar w:fldCharType="end"/>
      </w:r>
      <w:bookmarkEnd w:id="2"/>
      <w:r w:rsidR="006F0C45" w:rsidRPr="005001D6">
        <w:rPr>
          <w:rFonts w:cstheme="minorHAnsi"/>
        </w:rPr>
        <w:t xml:space="preserve">. </w:t>
      </w:r>
      <w:r w:rsidRPr="005001D6">
        <w:rPr>
          <w:rFonts w:cstheme="minorHAnsi"/>
        </w:rPr>
        <w:t>Net NH</w:t>
      </w:r>
      <w:r w:rsidRPr="005001D6">
        <w:rPr>
          <w:rFonts w:cstheme="minorHAnsi"/>
          <w:vertAlign w:val="subscript"/>
        </w:rPr>
        <w:t>4</w:t>
      </w:r>
      <w:r w:rsidRPr="005001D6">
        <w:rPr>
          <w:rFonts w:cstheme="minorHAnsi"/>
          <w:vertAlign w:val="superscript"/>
        </w:rPr>
        <w:t>+</w:t>
      </w:r>
      <w:r w:rsidRPr="005001D6">
        <w:rPr>
          <w:rFonts w:cstheme="minorHAnsi"/>
        </w:rPr>
        <w:t>-N and NO</w:t>
      </w:r>
      <w:r w:rsidRPr="005001D6">
        <w:rPr>
          <w:rFonts w:cstheme="minorHAnsi"/>
          <w:vertAlign w:val="subscript"/>
        </w:rPr>
        <w:t>3</w:t>
      </w:r>
      <w:r w:rsidRPr="005001D6">
        <w:rPr>
          <w:rFonts w:cstheme="minorHAnsi"/>
          <w:vertAlign w:val="superscript"/>
        </w:rPr>
        <w:t>-</w:t>
      </w:r>
      <w:r w:rsidRPr="005001D6">
        <w:rPr>
          <w:rFonts w:cstheme="minorHAnsi"/>
        </w:rPr>
        <w:t>-N mineralisation rate was measured as the release of NH</w:t>
      </w:r>
      <w:r w:rsidRPr="005001D6">
        <w:rPr>
          <w:rFonts w:cstheme="minorHAnsi"/>
          <w:vertAlign w:val="subscript"/>
        </w:rPr>
        <w:t>4</w:t>
      </w:r>
      <w:r w:rsidRPr="005001D6">
        <w:rPr>
          <w:rFonts w:cstheme="minorHAnsi"/>
          <w:vertAlign w:val="superscript"/>
        </w:rPr>
        <w:t>+</w:t>
      </w:r>
      <w:r w:rsidRPr="005001D6">
        <w:rPr>
          <w:rFonts w:cstheme="minorHAnsi"/>
        </w:rPr>
        <w:t>-N and NO</w:t>
      </w:r>
      <w:r w:rsidRPr="005001D6">
        <w:rPr>
          <w:rFonts w:cstheme="minorHAnsi"/>
          <w:vertAlign w:val="subscript"/>
        </w:rPr>
        <w:t>3</w:t>
      </w:r>
      <w:r w:rsidRPr="005001D6">
        <w:rPr>
          <w:rFonts w:cstheme="minorHAnsi"/>
          <w:vertAlign w:val="superscript"/>
        </w:rPr>
        <w:t>-</w:t>
      </w:r>
      <w:r w:rsidRPr="005001D6">
        <w:rPr>
          <w:rFonts w:cstheme="minorHAnsi"/>
        </w:rPr>
        <w:t>-N after incubation of soil samples (5</w:t>
      </w:r>
      <w:r w:rsidR="00B96C94" w:rsidRPr="005001D6">
        <w:rPr>
          <w:rFonts w:cstheme="minorHAnsi"/>
        </w:rPr>
        <w:t xml:space="preserve"> </w:t>
      </w:r>
      <w:r w:rsidRPr="005001D6">
        <w:rPr>
          <w:rFonts w:cstheme="minorHAnsi"/>
        </w:rPr>
        <w:t>g) for 14 days at 25</w:t>
      </w:r>
      <w:r w:rsidR="00B96C94" w:rsidRPr="005001D6">
        <w:rPr>
          <w:rFonts w:cstheme="minorHAnsi"/>
        </w:rPr>
        <w:t xml:space="preserve"> </w:t>
      </w:r>
      <w:r w:rsidR="006F0C45" w:rsidRPr="005001D6">
        <w:rPr>
          <w:rFonts w:cstheme="minorHAnsi"/>
        </w:rPr>
        <w:t>°</w:t>
      </w:r>
      <w:r w:rsidRPr="005001D6">
        <w:rPr>
          <w:rFonts w:cstheme="minorHAnsi"/>
        </w:rPr>
        <w:t>C</w:t>
      </w:r>
      <w:r w:rsidR="00340EE9" w:rsidRPr="005001D6">
        <w:rPr>
          <w:rFonts w:cstheme="minorHAnsi"/>
        </w:rPr>
        <w:t xml:space="preserve"> </w:t>
      </w:r>
      <w:r w:rsidRPr="005001D6">
        <w:rPr>
          <w:rFonts w:cstheme="minorHAnsi"/>
        </w:rPr>
        <w:fldChar w:fldCharType="begin" w:fldLock="1"/>
      </w:r>
      <w:r w:rsidR="00361CE6" w:rsidRPr="005001D6">
        <w:rPr>
          <w:rFonts w:cstheme="minorHAnsi"/>
        </w:rPr>
        <w:instrText>ADDIN CSL_CITATION {"citationItems":[{"id":"ITEM-1","itemData":{"DOI":"10.1016/0038-0717(92)90194-3","ISBN":"0038-0717","ISSN":"00380717","abstract":"Measurements were made with five soils from perennial, grazed pastures of the influence of sequential sieving through a 5.6 and 2 mm mesh on estimates of (a) extractable C and N, (b) flushes of C and N, determined by fumigation-extraction methods, and (c) mineral-N flush determined by a fumigation-incubation procedure. Wet winter samples, partially dried winter samples, and drier summer samples were used. Levels of extractable C and N were highest in smeared and compacted, &lt;2 mm winter samples, largely because of a sieving artefact. In the summer samples, levels were mainly unaffected by sieve mesh size. Flushes of extractable C and N were generally lower in &lt; 2 mm soil than in &lt; 5.6 mm soil; they were highest in root residues remaining on the 2 mm mesh. Estimates of mineral-N flush were, however, influenced little by sieve mesh size. Partial drying of the winter samples had no effect on flushes of extractable C, but slightly lowered some extractable-N flush values. In contrast, mineral-N flush values of three of the soils were higher after partial drying. Implications of these results for the assessment of KEC- and KEN-factors, to convert flushes of extractable C and N to microbial C and N, respectively, are discussed. Sieving effects did occur, but they appeared, overall, less marked than other variables influencing these factors. ?? 1992.","author":[{"dropping-particle":"","family":"Ross","given":"D J","non-dropping-particle":"","parse-names":false,"suffix":""}],"container-title":"Soil Biology and Biochemistry","id":"ITEM-1","issue":"4","issued":{"date-parts":[["1992"]]},"page":"343-350","title":"Influence of sieve mesh size on estimates of microbial carbon and nitrogen by fumigation-extraction procedures in soils under pasture","type":"article-journal","volume":"24"},"uris":["http://www.mendeley.com/documents/?uuid=ec076621-72fb-4eb6-8dd9-a418fc01644b"]}],"mendeley":{"formattedCitation":"(Ross 1992)","plainTextFormattedCitation":"(Ross 1992)","previouslyFormattedCitation":"(Ross 1992)"},"properties":{"noteIndex":0},"schema":"https://github.com/citation-style-language/schema/raw/master/csl-citation.json"}</w:instrText>
      </w:r>
      <w:r w:rsidRPr="005001D6">
        <w:rPr>
          <w:rFonts w:cstheme="minorHAnsi"/>
        </w:rPr>
        <w:fldChar w:fldCharType="separate"/>
      </w:r>
      <w:r w:rsidR="00627DCC" w:rsidRPr="005001D6">
        <w:rPr>
          <w:rFonts w:cstheme="minorHAnsi"/>
          <w:noProof/>
        </w:rPr>
        <w:t>(Ross 1992)</w:t>
      </w:r>
      <w:r w:rsidRPr="005001D6">
        <w:rPr>
          <w:rFonts w:cstheme="minorHAnsi"/>
        </w:rPr>
        <w:fldChar w:fldCharType="end"/>
      </w:r>
      <w:r w:rsidRPr="005001D6">
        <w:rPr>
          <w:rFonts w:cstheme="minorHAnsi"/>
        </w:rPr>
        <w:t xml:space="preserve">. Dissolved </w:t>
      </w:r>
      <w:r w:rsidR="006F0C45" w:rsidRPr="005001D6">
        <w:rPr>
          <w:rFonts w:cstheme="minorHAnsi"/>
        </w:rPr>
        <w:t xml:space="preserve">(water-extractable) </w:t>
      </w:r>
      <w:r w:rsidRPr="005001D6">
        <w:rPr>
          <w:rFonts w:cstheme="minorHAnsi"/>
        </w:rPr>
        <w:t>organic carbon was determined by extracting 5</w:t>
      </w:r>
      <w:r w:rsidR="00B96C94" w:rsidRPr="005001D6">
        <w:rPr>
          <w:rFonts w:cstheme="minorHAnsi"/>
        </w:rPr>
        <w:t xml:space="preserve"> </w:t>
      </w:r>
      <w:r w:rsidRPr="005001D6">
        <w:rPr>
          <w:rFonts w:cstheme="minorHAnsi"/>
        </w:rPr>
        <w:t>g (fresh weight) of soil in 35</w:t>
      </w:r>
      <w:r w:rsidR="00B96C94" w:rsidRPr="005001D6">
        <w:rPr>
          <w:rFonts w:cstheme="minorHAnsi"/>
        </w:rPr>
        <w:t xml:space="preserve"> </w:t>
      </w:r>
      <w:r w:rsidRPr="005001D6">
        <w:rPr>
          <w:rFonts w:cstheme="minorHAnsi"/>
        </w:rPr>
        <w:t>ml ultrapure (</w:t>
      </w:r>
      <w:proofErr w:type="spellStart"/>
      <w:r w:rsidRPr="005001D6">
        <w:rPr>
          <w:rFonts w:cstheme="minorHAnsi"/>
        </w:rPr>
        <w:t>Milli</w:t>
      </w:r>
      <w:proofErr w:type="spellEnd"/>
      <w:r w:rsidRPr="005001D6">
        <w:rPr>
          <w:rFonts w:cstheme="minorHAnsi"/>
        </w:rPr>
        <w:t xml:space="preserve">-Q) water and analysed using a </w:t>
      </w:r>
      <w:bookmarkStart w:id="3" w:name="_Hlk47791054"/>
      <w:r w:rsidRPr="005001D6">
        <w:rPr>
          <w:rFonts w:cstheme="minorHAnsi"/>
        </w:rPr>
        <w:t>5000A TOC analyser (Shimadzu, Japan)</w:t>
      </w:r>
      <w:bookmarkEnd w:id="3"/>
      <w:r w:rsidRPr="005001D6">
        <w:rPr>
          <w:rFonts w:cstheme="minorHAnsi"/>
        </w:rPr>
        <w:t>.</w:t>
      </w:r>
      <w:r w:rsidR="003B5335" w:rsidRPr="005001D6">
        <w:rPr>
          <w:rFonts w:cstheme="minorHAnsi"/>
        </w:rPr>
        <w:t xml:space="preserve"> Microbial biomass C and N was determined by extracting a non-fumigated 5 g (</w:t>
      </w:r>
      <w:r w:rsidR="00B96C94" w:rsidRPr="005001D6">
        <w:rPr>
          <w:rFonts w:cstheme="minorHAnsi"/>
        </w:rPr>
        <w:t xml:space="preserve">fresh </w:t>
      </w:r>
      <w:r w:rsidR="003B5335" w:rsidRPr="005001D6">
        <w:rPr>
          <w:rFonts w:cstheme="minorHAnsi"/>
        </w:rPr>
        <w:t>weight) subsample of soil with 25 mL of 0.5 M K</w:t>
      </w:r>
      <w:r w:rsidR="003B5335" w:rsidRPr="005001D6">
        <w:rPr>
          <w:rFonts w:cstheme="minorHAnsi"/>
          <w:vertAlign w:val="subscript"/>
        </w:rPr>
        <w:t>2</w:t>
      </w:r>
      <w:r w:rsidR="003B5335" w:rsidRPr="005001D6">
        <w:rPr>
          <w:rFonts w:cstheme="minorHAnsi"/>
        </w:rPr>
        <w:t>SO</w:t>
      </w:r>
      <w:r w:rsidR="003B5335" w:rsidRPr="005001D6">
        <w:rPr>
          <w:rFonts w:cstheme="minorHAnsi"/>
          <w:vertAlign w:val="subscript"/>
        </w:rPr>
        <w:t>4</w:t>
      </w:r>
      <w:r w:rsidR="003B5335" w:rsidRPr="005001D6">
        <w:rPr>
          <w:rFonts w:cstheme="minorHAnsi"/>
        </w:rPr>
        <w:t xml:space="preserve"> and another subsample fumigated with ethanol-free CHCl</w:t>
      </w:r>
      <w:r w:rsidR="003B5335" w:rsidRPr="005001D6">
        <w:rPr>
          <w:rFonts w:cstheme="minorHAnsi"/>
          <w:vertAlign w:val="subscript"/>
        </w:rPr>
        <w:t>3</w:t>
      </w:r>
      <w:r w:rsidR="003B5335" w:rsidRPr="005001D6">
        <w:rPr>
          <w:rFonts w:cstheme="minorHAnsi"/>
        </w:rPr>
        <w:t xml:space="preserve"> for 24 h, and measuring microbial C and N in each extract. Fumigation versus non-fumigation allows for a comparison of the C and N contained in dead versus living pools (i.e., contained with microbial cells) within the soil</w:t>
      </w:r>
      <w:r w:rsidR="00340EE9" w:rsidRPr="005001D6">
        <w:rPr>
          <w:rFonts w:cstheme="minorHAnsi"/>
        </w:rPr>
        <w:t xml:space="preserve"> </w:t>
      </w:r>
      <w:r w:rsidR="003B5335" w:rsidRPr="005001D6">
        <w:rPr>
          <w:rFonts w:cstheme="minorHAnsi"/>
        </w:rPr>
        <w:fldChar w:fldCharType="begin" w:fldLock="1"/>
      </w:r>
      <w:r w:rsidR="00361CE6" w:rsidRPr="005001D6">
        <w:rPr>
          <w:rFonts w:cstheme="minorHAnsi"/>
        </w:rPr>
        <w:instrText>ADDIN CSL_CITATION {"citationItems":[{"id":"ITEM-1","itemData":{"DOI":"10.1016/0038-0717(85)90144-0","ISSN":"00380717","abstract":"A new \"direct extraction\" method for measuring soil microbial biomass nitrogen (biomass N) is described. The new method (fumigation-extraction) is based on CHC13 fumigation, followed by immediate extraction with 0.5 M K2SO4 and measurement of total N released by CHC13 in the soil extracts. The amounts of NH4-N and total N extracted by K2SO4 immediately after fumigation increased with fumigation time up to 5 days. Total N released by CHC13 after 1 day fumigation (1 day CHC13-N) and after 5 days fumigation (5 day CHC13-N) were positively correlated with the flush of mineral N (FN) in 37 soils that had been fumigated, the fumigant removed and the soils incubated for 10 days (fumigation-incubation). The regression equations were 1 day CHC13-N = (0.79 ± 0.022) FN and 5 day CHC13-N = (1.01 ± 0.027) FN, both regressions accounting for 92% of the variance in the data. In field soils previously treated with 15N-labelled fertilizer, the amounts of labelled N, measured after fumigation-extraction, were very similar to the amounts of labelled N mineralized during fumigation-incubation; both were about 4 times as heavily labelled as the soil N as a whole. These results suggest that fumigation-extraction and fumigation-incubation both measure the same fraction of the soil organic N (probably the cytoplasmic component of the soil microbial biomass) and that measurement of the total N released by CHC13 fumigation for 24 h provides a rapid method for measuring biomass N. © 1985.","author":[{"dropping-particle":"","family":"Brookes","given":"P. C.","non-dropping-particle":"","parse-names":false,"suffix":""},{"dropping-particle":"","family":"Landman","given":"Andrea","non-dropping-particle":"","parse-names":false,"suffix":""},{"dropping-particle":"","family":"Pruden","given":"G.","non-dropping-particle":"","parse-names":false,"suffix":""},{"dropping-particle":"","family":"Jenkinson","given":"D. S.","non-dropping-particle":"","parse-names":false,"suffix":""}],"container-title":"Soil Biology and Biochemistry","id":"ITEM-1","issue":"6","issued":{"date-parts":[["1985"]]},"page":"837-842","title":"Chloroform fumigation and the release of soil nitrogen: A rapid direct extraction method to measure microbial biomass nitrogen in soil","type":"article-journal","volume":"17"},"uris":["http://www.mendeley.com/documents/?uuid=91f4029c-f884-4a7f-9aea-8cc0dccb7124"]}],"mendeley":{"formattedCitation":"(Brookes &lt;i&gt;et al.&lt;/i&gt; 1985)","plainTextFormattedCitation":"(Brookes et al. 1985)","previouslyFormattedCitation":"(Brookes &lt;i&gt;et al.&lt;/i&gt; 1985)"},"properties":{"noteIndex":0},"schema":"https://github.com/citation-style-language/schema/raw/master/csl-citation.json"}</w:instrText>
      </w:r>
      <w:r w:rsidR="003B5335" w:rsidRPr="005001D6">
        <w:rPr>
          <w:rFonts w:cstheme="minorHAnsi"/>
        </w:rPr>
        <w:fldChar w:fldCharType="separate"/>
      </w:r>
      <w:r w:rsidR="00627DCC" w:rsidRPr="005001D6">
        <w:rPr>
          <w:rFonts w:cstheme="minorHAnsi"/>
          <w:noProof/>
        </w:rPr>
        <w:t xml:space="preserve">(Brookes </w:t>
      </w:r>
      <w:r w:rsidR="00627DCC" w:rsidRPr="005001D6">
        <w:rPr>
          <w:rFonts w:cstheme="minorHAnsi"/>
          <w:i/>
          <w:noProof/>
        </w:rPr>
        <w:t>et al.</w:t>
      </w:r>
      <w:r w:rsidR="00627DCC" w:rsidRPr="005001D6">
        <w:rPr>
          <w:rFonts w:cstheme="minorHAnsi"/>
          <w:noProof/>
        </w:rPr>
        <w:t xml:space="preserve"> 1985)</w:t>
      </w:r>
      <w:r w:rsidR="003B5335" w:rsidRPr="005001D6">
        <w:rPr>
          <w:rFonts w:cstheme="minorHAnsi"/>
        </w:rPr>
        <w:fldChar w:fldCharType="end"/>
      </w:r>
      <w:r w:rsidR="003B5335" w:rsidRPr="005001D6">
        <w:rPr>
          <w:rFonts w:cstheme="minorHAnsi"/>
        </w:rPr>
        <w:t>. To account for baseline C and N mineralization, all values for microbial C were multiplied by a K</w:t>
      </w:r>
      <w:r w:rsidR="003B5335" w:rsidRPr="005001D6">
        <w:rPr>
          <w:rFonts w:cstheme="minorHAnsi"/>
          <w:vertAlign w:val="subscript"/>
        </w:rPr>
        <w:t>EC</w:t>
      </w:r>
      <w:r w:rsidR="003B5335" w:rsidRPr="005001D6">
        <w:rPr>
          <w:rFonts w:cstheme="minorHAnsi"/>
        </w:rPr>
        <w:t xml:space="preserve"> factor of 0.45 and all values of microbial N were multiplied by a K</w:t>
      </w:r>
      <w:r w:rsidR="003B5335" w:rsidRPr="005001D6">
        <w:rPr>
          <w:rFonts w:cstheme="minorHAnsi"/>
          <w:vertAlign w:val="subscript"/>
        </w:rPr>
        <w:t>EN</w:t>
      </w:r>
      <w:r w:rsidR="003B5335" w:rsidRPr="005001D6">
        <w:rPr>
          <w:rFonts w:cstheme="minorHAnsi"/>
        </w:rPr>
        <w:t xml:space="preserve"> factor of 0.54</w:t>
      </w:r>
      <w:r w:rsidR="00340EE9" w:rsidRPr="005001D6">
        <w:rPr>
          <w:rFonts w:cstheme="minorHAnsi"/>
        </w:rPr>
        <w:t xml:space="preserve"> </w:t>
      </w:r>
      <w:r w:rsidR="003B5335" w:rsidRPr="005001D6">
        <w:rPr>
          <w:rFonts w:cstheme="minorHAnsi"/>
        </w:rPr>
        <w:fldChar w:fldCharType="begin" w:fldLock="1"/>
      </w:r>
      <w:r w:rsidR="00361CE6" w:rsidRPr="005001D6">
        <w:rPr>
          <w:rFonts w:cstheme="minorHAnsi"/>
        </w:rPr>
        <w:instrText>ADDIN CSL_CITATION {"citationItems":[{"id":"ITEM-1","itemData":{"DOI":"10.1016/0038-0717(85)90144-0","ISSN":"00380717","abstract":"A new \"direct extraction\" method for measuring soil microbial biomass nitrogen (biomass N) is described. The new method (fumigation-extraction) is based on CHC13 fumigation, followed by immediate extraction with 0.5 M K2SO4 and measurement of total N released by CHC13 in the soil extracts. The amounts of NH4-N and total N extracted by K2SO4 immediately after fumigation increased with fumigation time up to 5 days. Total N released by CHC13 after 1 day fumigation (1 day CHC13-N) and after 5 days fumigation (5 day CHC13-N) were positively correlated with the flush of mineral N (FN) in 37 soils that had been fumigated, the fumigant removed and the soils incubated for 10 days (fumigation-incubation). The regression equations were 1 day CHC13-N = (0.79 ± 0.022) FN and 5 day CHC13-N = (1.01 ± 0.027) FN, both regressions accounting for 92% of the variance in the data. In field soils previously treated with 15N-labelled fertilizer, the amounts of labelled N, measured after fumigation-extraction, were very similar to the amounts of labelled N mineralized during fumigation-incubation; both were about 4 times as heavily labelled as the soil N as a whole. These results suggest that fumigation-extraction and fumigation-incubation both measure the same fraction of the soil organic N (probably the cytoplasmic component of the soil microbial biomass) and that measurement of the total N released by CHC13 fumigation for 24 h provides a rapid method for measuring biomass N. © 1985.","author":[{"dropping-particle":"","family":"Brookes","given":"P. C.","non-dropping-particle":"","parse-names":false,"suffix":""},{"dropping-particle":"","family":"Landman","given":"Andrea","non-dropping-particle":"","parse-names":false,"suffix":""},{"dropping-particle":"","family":"Pruden","given":"G.","non-dropping-particle":"","parse-names":false,"suffix":""},{"dropping-particle":"","family":"Jenkinson","given":"D. S.","non-dropping-particle":"","parse-names":false,"suffix":""}],"container-title":"Soil Biology and Biochemistry","id":"ITEM-1","issue":"6","issued":{"date-parts":[["1985"]]},"page":"837-842","title":"Chloroform fumigation and the release of soil nitrogen: A rapid direct extraction method to measure microbial biomass nitrogen in soil","type":"article-journal","volume":"17"},"uris":["http://www.mendeley.com/documents/?uuid=91f4029c-f884-4a7f-9aea-8cc0dccb7124"]}],"mendeley":{"formattedCitation":"(Brookes &lt;i&gt;et al.&lt;/i&gt; 1985)","plainTextFormattedCitation":"(Brookes et al. 1985)","previouslyFormattedCitation":"(Brookes &lt;i&gt;et al.&lt;/i&gt; 1985)"},"properties":{"noteIndex":0},"schema":"https://github.com/citation-style-language/schema/raw/master/csl-citation.json"}</w:instrText>
      </w:r>
      <w:r w:rsidR="003B5335" w:rsidRPr="005001D6">
        <w:rPr>
          <w:rFonts w:cstheme="minorHAnsi"/>
        </w:rPr>
        <w:fldChar w:fldCharType="separate"/>
      </w:r>
      <w:r w:rsidR="00627DCC" w:rsidRPr="005001D6">
        <w:rPr>
          <w:rFonts w:cstheme="minorHAnsi"/>
          <w:noProof/>
        </w:rPr>
        <w:t xml:space="preserve">(Brookes </w:t>
      </w:r>
      <w:r w:rsidR="00627DCC" w:rsidRPr="005001D6">
        <w:rPr>
          <w:rFonts w:cstheme="minorHAnsi"/>
          <w:i/>
          <w:noProof/>
        </w:rPr>
        <w:t>et al.</w:t>
      </w:r>
      <w:r w:rsidR="00627DCC" w:rsidRPr="005001D6">
        <w:rPr>
          <w:rFonts w:cstheme="minorHAnsi"/>
          <w:noProof/>
        </w:rPr>
        <w:t xml:space="preserve"> 1985)</w:t>
      </w:r>
      <w:r w:rsidR="003B5335" w:rsidRPr="005001D6">
        <w:rPr>
          <w:rFonts w:cstheme="minorHAnsi"/>
        </w:rPr>
        <w:fldChar w:fldCharType="end"/>
      </w:r>
      <w:r w:rsidR="003B5335" w:rsidRPr="005001D6">
        <w:rPr>
          <w:rFonts w:cstheme="minorHAnsi"/>
        </w:rPr>
        <w:t>. Total organic C in filtered extracts was determined using a using a 5000A TOC analyser (Shimadzu, Japan) and total N was determined using a Seal AA3 Segmented Flow Multi-chemistry analyser (Mequon, WI, USA).</w:t>
      </w:r>
      <w:r w:rsidRPr="005001D6">
        <w:rPr>
          <w:rFonts w:cstheme="minorHAnsi"/>
        </w:rPr>
        <w:t xml:space="preserve"> All extracts were filtered through</w:t>
      </w:r>
      <w:r w:rsidR="00451337" w:rsidRPr="005001D6">
        <w:rPr>
          <w:rFonts w:cstheme="minorHAnsi"/>
        </w:rPr>
        <w:t xml:space="preserve"> </w:t>
      </w:r>
      <w:proofErr w:type="spellStart"/>
      <w:r w:rsidR="00451337" w:rsidRPr="005001D6">
        <w:rPr>
          <w:rFonts w:cstheme="minorHAnsi"/>
        </w:rPr>
        <w:t>ashless</w:t>
      </w:r>
      <w:proofErr w:type="spellEnd"/>
      <w:r w:rsidRPr="005001D6">
        <w:rPr>
          <w:rFonts w:cstheme="minorHAnsi"/>
        </w:rPr>
        <w:t xml:space="preserve"> </w:t>
      </w:r>
      <w:proofErr w:type="spellStart"/>
      <w:r w:rsidRPr="005001D6">
        <w:rPr>
          <w:rFonts w:cstheme="minorHAnsi"/>
        </w:rPr>
        <w:t>Whatman</w:t>
      </w:r>
      <w:proofErr w:type="spellEnd"/>
      <w:r w:rsidRPr="005001D6">
        <w:rPr>
          <w:rFonts w:cstheme="minorHAnsi"/>
        </w:rPr>
        <w:t xml:space="preserve"> no. 42 filter papers. </w:t>
      </w:r>
    </w:p>
    <w:p w14:paraId="74A9C993" w14:textId="77777777" w:rsidR="00874512" w:rsidRPr="005001D6" w:rsidRDefault="00874512" w:rsidP="00173FAF">
      <w:pPr>
        <w:spacing w:line="480" w:lineRule="auto"/>
        <w:jc w:val="both"/>
        <w:rPr>
          <w:rFonts w:cstheme="minorHAnsi"/>
          <w:i/>
        </w:rPr>
      </w:pPr>
      <w:bookmarkStart w:id="4" w:name="_Hlk47792205"/>
    </w:p>
    <w:p w14:paraId="79DF7E0A" w14:textId="7B2C7C4F" w:rsidR="00DE6F0F" w:rsidRPr="005001D6" w:rsidRDefault="00DE6F0F" w:rsidP="00173FAF">
      <w:pPr>
        <w:spacing w:line="480" w:lineRule="auto"/>
        <w:jc w:val="both"/>
        <w:rPr>
          <w:rFonts w:cstheme="minorHAnsi"/>
          <w:i/>
        </w:rPr>
      </w:pPr>
      <w:r w:rsidRPr="005001D6">
        <w:rPr>
          <w:rFonts w:cstheme="minorHAnsi"/>
          <w:i/>
        </w:rPr>
        <w:t>Soil extracellular enzyme assays</w:t>
      </w:r>
    </w:p>
    <w:bookmarkEnd w:id="4"/>
    <w:p w14:paraId="01E2C3F6" w14:textId="7A5186F5" w:rsidR="00FE4EBA" w:rsidRPr="005001D6" w:rsidRDefault="00FE4EBA" w:rsidP="00FE4EBA">
      <w:pPr>
        <w:spacing w:after="200" w:line="480" w:lineRule="auto"/>
        <w:jc w:val="both"/>
        <w:rPr>
          <w:rFonts w:eastAsia="Calibri" w:cstheme="minorHAnsi"/>
        </w:rPr>
      </w:pPr>
      <w:r w:rsidRPr="005001D6">
        <w:rPr>
          <w:rFonts w:eastAsia="Calibri" w:cstheme="minorHAnsi"/>
        </w:rPr>
        <w:t xml:space="preserve">We measured a suite of eight extracellular soil enzymes, specifically </w:t>
      </w:r>
      <w:r w:rsidRPr="005001D6">
        <w:rPr>
          <w:rFonts w:eastAsia="Calibri" w:cstheme="minorHAnsi"/>
          <w:i/>
        </w:rPr>
        <w:t>β</w:t>
      </w:r>
      <w:r w:rsidRPr="005001D6">
        <w:rPr>
          <w:rFonts w:eastAsia="Calibri" w:cstheme="minorHAnsi"/>
        </w:rPr>
        <w:t xml:space="preserve">-glucosidase (GLC), </w:t>
      </w:r>
      <w:bookmarkStart w:id="5" w:name="_Hlk55924192"/>
      <w:proofErr w:type="spellStart"/>
      <w:r w:rsidRPr="005001D6">
        <w:rPr>
          <w:rFonts w:eastAsia="Calibri" w:cstheme="minorHAnsi"/>
        </w:rPr>
        <w:t>cellobiohydrolase</w:t>
      </w:r>
      <w:proofErr w:type="spellEnd"/>
      <w:r w:rsidRPr="005001D6">
        <w:rPr>
          <w:rFonts w:eastAsia="Calibri" w:cstheme="minorHAnsi"/>
        </w:rPr>
        <w:t xml:space="preserve"> (CBH)</w:t>
      </w:r>
      <w:bookmarkEnd w:id="5"/>
      <w:r w:rsidRPr="005001D6">
        <w:rPr>
          <w:rFonts w:eastAsia="Calibri" w:cstheme="minorHAnsi"/>
        </w:rPr>
        <w:t xml:space="preserve">, </w:t>
      </w:r>
      <w:r w:rsidRPr="005001D6">
        <w:rPr>
          <w:rFonts w:eastAsia="Calibri" w:cstheme="minorHAnsi"/>
          <w:i/>
        </w:rPr>
        <w:t>β</w:t>
      </w:r>
      <w:r w:rsidRPr="005001D6">
        <w:rPr>
          <w:rFonts w:eastAsia="Calibri" w:cstheme="minorHAnsi"/>
        </w:rPr>
        <w:t>-</w:t>
      </w:r>
      <w:proofErr w:type="spellStart"/>
      <w:r w:rsidRPr="005001D6">
        <w:rPr>
          <w:rFonts w:eastAsia="Calibri" w:cstheme="minorHAnsi"/>
        </w:rPr>
        <w:t>xylosidase</w:t>
      </w:r>
      <w:proofErr w:type="spellEnd"/>
      <w:r w:rsidRPr="005001D6">
        <w:rPr>
          <w:rFonts w:eastAsia="Calibri" w:cstheme="minorHAnsi"/>
        </w:rPr>
        <w:t xml:space="preserve"> (XYL), phenol oxidase (POX), peroxidase (PER), </w:t>
      </w:r>
      <w:r w:rsidRPr="005001D6">
        <w:rPr>
          <w:rFonts w:eastAsia="Calibri" w:cstheme="minorHAnsi"/>
          <w:i/>
        </w:rPr>
        <w:t>N</w:t>
      </w:r>
      <w:r w:rsidRPr="005001D6">
        <w:rPr>
          <w:rFonts w:eastAsia="Calibri" w:cstheme="minorHAnsi"/>
        </w:rPr>
        <w:t>-</w:t>
      </w:r>
      <w:proofErr w:type="spellStart"/>
      <w:r w:rsidRPr="005001D6">
        <w:rPr>
          <w:rFonts w:eastAsia="Calibri" w:cstheme="minorHAnsi"/>
        </w:rPr>
        <w:t>acetylglucosaminidase</w:t>
      </w:r>
      <w:proofErr w:type="spellEnd"/>
      <w:r w:rsidRPr="005001D6">
        <w:rPr>
          <w:rFonts w:eastAsia="Calibri" w:cstheme="minorHAnsi"/>
        </w:rPr>
        <w:t xml:space="preserve"> (NAG), phosphatase (PHO), and urease (URE). GLC and CBH contribute to the degradation of cellulose and other </w:t>
      </w:r>
      <w:r w:rsidRPr="005001D6">
        <w:rPr>
          <w:rFonts w:eastAsia="Calibri" w:cstheme="minorHAnsi"/>
          <w:i/>
        </w:rPr>
        <w:t>β</w:t>
      </w:r>
      <w:r w:rsidRPr="005001D6">
        <w:rPr>
          <w:rFonts w:eastAsia="Calibri" w:cstheme="minorHAnsi"/>
        </w:rPr>
        <w:t xml:space="preserve">-1,4 </w:t>
      </w:r>
      <w:proofErr w:type="spellStart"/>
      <w:r w:rsidRPr="005001D6">
        <w:rPr>
          <w:rFonts w:eastAsia="Calibri" w:cstheme="minorHAnsi"/>
        </w:rPr>
        <w:t>glucans</w:t>
      </w:r>
      <w:proofErr w:type="spellEnd"/>
      <w:r w:rsidRPr="005001D6">
        <w:rPr>
          <w:rFonts w:eastAsia="Calibri" w:cstheme="minorHAnsi"/>
        </w:rPr>
        <w:t xml:space="preserve"> </w:t>
      </w:r>
      <w:r w:rsidRPr="005001D6">
        <w:rPr>
          <w:rFonts w:eastAsia="Calibri" w:cstheme="minorHAnsi"/>
        </w:rPr>
        <w:fldChar w:fldCharType="begin" w:fldLock="1"/>
      </w:r>
      <w:r w:rsidRPr="005001D6">
        <w:rPr>
          <w:rFonts w:eastAsia="Calibri" w:cstheme="minorHAnsi"/>
        </w:rPr>
        <w:instrText>ADDIN CSL_CITATION {"citationItems":[{"id":"ITEM-1","itemData":{"DOI":"10.1111/j.1461-0248.2008.01245.x","ISSN":"1461023X","abstract":"Extracellular enzymes are the proximate agents of organic matter decomposition and measures of these activities can be used as indicators of microbial nutrient demand. We conducted a global-scale meta-analysis of the seven-most widely measured soil enzyme activities, using data from 40 ecosystems. The activities of beta-1,4-glucosidase, cellobiohydrolase, beta-1,4-N-acetylglucosaminidase and phosphatase g(-1) soil increased with organic matter concentration; leucine aminopeptidase, phenol oxidase and peroxidase activities showed no relationship. All activities were significantly related to soil pH. Specific activities, i.e. activity g(-1) soil organic matter, also varied in relation to soil pH for all enzymes. Relationships with mean annual temperature (MAT) and precipitation (MAP) were generally weak. For hydrolases, ratios of specific C, N and P acquisition activities converged on 1 : 1 : 1 but across ecosystems, the ratio of C : P acquisition was inversely related to MAP and MAT while the ratio of C : N acquisition increased with MAP. Oxidative activities were more variable than hydrolytic activities and increased with soil pH. Our analyses indicate that the enzymatic potential for hydrolyzing the labile components of soil organic matter is tied to substrate availability, soil pH and the stoichiometry of microbial nutrient demand. The enzymatic potential for oxidizing the recalcitrant fractions of soil organic material, which is a proximate control on soil organic matter accumulation, is most strongly related to soil pH. These trends provide insight into the biogeochemical processes that create global patterns in ecological stoichiometry and organic matter storage.","author":[{"dropping-particle":"","family":"Sinsabaugh","given":"Robert L.","non-dropping-particle":"","parse-names":false,"suffix":""},{"dropping-particle":"","family":"Lauber","given":"Christian L.","non-dropping-particle":"","parse-names":false,"suffix":""},{"dropping-particle":"","family":"Weintraub","given":"Michael N.","non-dropping-particle":"","parse-names":false,"suffix":""},{"dropping-particle":"","family":"Ahmed","given":"Bony","non-dropping-particle":"","parse-names":false,"suffix":""},{"dropping-particle":"","family":"Allison","given":"Steven D.","non-dropping-particle":"","parse-names":false,"suffix":""},{"dropping-particle":"","family":"Crenshaw","given":"Chelsea","non-dropping-particle":"","parse-names":false,"suffix":""},{"dropping-particle":"","family":"Contosta","given":"Alexandra R.","non-dropping-particle":"","parse-names":false,"suffix":""},{"dropping-particle":"","family":"Cusack","given":"Daniela","non-dropping-particle":"","parse-names":false,"suffix":""},{"dropping-particle":"","family":"Frey","given":"Serita","non-dropping-particle":"","parse-names":false,"suffix":""},{"dropping-particle":"","family":"Gallo","given":"Marcy E.","non-dropping-particle":"","parse-names":false,"suffix":""},{"dropping-particle":"","family":"Gartner","given":"Tracy B.","non-dropping-particle":"","parse-names":false,"suffix":""},{"dropping-particle":"","family":"Hobbie","given":"Sarah E.","non-dropping-particle":"","parse-names":false,"suffix":""},{"dropping-particle":"","family":"Holland","given":"Keri","non-dropping-particle":"","parse-names":false,"suffix":""},{"dropping-particle":"","family":"Keeler","given":"Bonnie L.","non-dropping-particle":"","parse-names":false,"suffix":""},{"dropping-particle":"","family":"Powers","given":"Jennifer S.","non-dropping-particle":"","parse-names":false,"suffix":""},{"dropping-particle":"","family":"Stursova","given":"Martina","non-dropping-particle":"","parse-names":false,"suffix":""},{"dropping-particle":"","family":"Takacs-Vesbach","given":"Cristina","non-dropping-particle":"","parse-names":false,"suffix":""},{"dropping-particle":"","family":"Waldrop","given":"Mark P.","non-dropping-particle":"","parse-names":false,"suffix":""},{"dropping-particle":"","family":"Wallenstein","given":"Matthew D.","non-dropping-particle":"","parse-names":false,"suffix":""},{"dropping-particle":"","family":"Zak","given":"Donald R.","non-dropping-particle":"","parse-names":false,"suffix":""},{"dropping-particle":"","family":"Zeglin","given":"Lydia H.","non-dropping-particle":"","parse-names":false,"suffix":""}],"container-title":"Ecology Letters","id":"ITEM-1","issue":"11","issued":{"date-parts":[["2008"]]},"page":"1252-1264","title":"Stoichiometry of soil enzyme activity at global scale","type":"article-journal","volume":"11"},"uris":["http://www.mendeley.com/documents/?uuid=f4a0ab01-ab2a-43cd-9390-c7c9c5a8a808"]}],"mendeley":{"formattedCitation":"(Sinsabaugh &lt;i&gt;et al.&lt;/i&gt; 2008)","plainTextFormattedCitation":"(Sinsabaugh et al. 2008)","previouslyFormattedCitation":"(Sinsabaugh &lt;i&gt;et al.&lt;/i&gt; 2008)"},"properties":{"noteIndex":0},"schema":"https://github.com/citation-style-language/schema/raw/master/csl-citation.json"}</w:instrText>
      </w:r>
      <w:r w:rsidRPr="005001D6">
        <w:rPr>
          <w:rFonts w:eastAsia="Calibri" w:cstheme="minorHAnsi"/>
        </w:rPr>
        <w:fldChar w:fldCharType="separate"/>
      </w:r>
      <w:r w:rsidRPr="005001D6">
        <w:rPr>
          <w:rFonts w:eastAsia="Calibri" w:cstheme="minorHAnsi"/>
          <w:noProof/>
        </w:rPr>
        <w:t xml:space="preserve">(Sinsabaugh </w:t>
      </w:r>
      <w:r w:rsidRPr="005001D6">
        <w:rPr>
          <w:rFonts w:eastAsia="Calibri" w:cstheme="minorHAnsi"/>
          <w:i/>
          <w:noProof/>
        </w:rPr>
        <w:t>et al.</w:t>
      </w:r>
      <w:r w:rsidRPr="005001D6">
        <w:rPr>
          <w:rFonts w:eastAsia="Calibri" w:cstheme="minorHAnsi"/>
          <w:noProof/>
        </w:rPr>
        <w:t xml:space="preserve"> 2008)</w:t>
      </w:r>
      <w:r w:rsidRPr="005001D6">
        <w:rPr>
          <w:rFonts w:eastAsia="Calibri" w:cstheme="minorHAnsi"/>
        </w:rPr>
        <w:fldChar w:fldCharType="end"/>
      </w:r>
      <w:r w:rsidRPr="005001D6">
        <w:rPr>
          <w:rFonts w:eastAsia="Calibri" w:cstheme="minorHAnsi"/>
        </w:rPr>
        <w:t xml:space="preserve">. XYL contributes to the breakdown of the complex plant cell wall polysaccharide </w:t>
      </w:r>
      <w:proofErr w:type="spellStart"/>
      <w:r w:rsidRPr="005001D6">
        <w:rPr>
          <w:rFonts w:eastAsia="Calibri" w:cstheme="minorHAnsi"/>
        </w:rPr>
        <w:t>xylan</w:t>
      </w:r>
      <w:proofErr w:type="spellEnd"/>
      <w:r w:rsidRPr="005001D6">
        <w:rPr>
          <w:rFonts w:eastAsia="Calibri" w:cstheme="minorHAnsi"/>
        </w:rPr>
        <w:t xml:space="preserve"> </w:t>
      </w:r>
      <w:r w:rsidRPr="005001D6">
        <w:rPr>
          <w:rFonts w:eastAsia="Calibri" w:cstheme="minorHAnsi"/>
        </w:rPr>
        <w:fldChar w:fldCharType="begin" w:fldLock="1"/>
      </w:r>
      <w:r w:rsidRPr="005001D6">
        <w:rPr>
          <w:rFonts w:eastAsia="Calibri" w:cstheme="minorHAnsi"/>
        </w:rPr>
        <w:instrText>ADDIN CSL_CITATION {"citationItems":[{"id":"ITEM-1","itemData":{"DOI":"10.1016/j.femsre.2004.06.005","ISSN":"01686445","abstract":"Xylanases are hydrolytic enzymes which randomly cleave the β 1,4 backbone of the complex plant cell wall polysaccharide xylan. Diverse forms of these enzymes exist, displaying varying folds, mechanisms of action, substrate specificities, hydrolytic activities (yields, rates and products) and physicochemical characteristics. Research has mainly focused on only two of the xylanase containing glycoside hydrolase families, namely families 10 and 11, yet enzymes with xylanase activity belonging to families 5, 7, 8 and 43 have also been identified and studied, albeit to a lesser extent. Driven by industrial demands for enzymes that can operate under process conditions, a number of extremophilic xylanases have been isolated, in particular those from thermophiles, alkaliphiles and acidiphiles, while little attention has been paid to cold-adapted xylanases. Here, the diverse physicochemical and functional characteristics, as well as the folds and mechanisms of action of all six xylanase containing families will be discussed. The adaptation strategies of the extremophilic xylanases isolated to date and the potential industrial applications of these enzymes will also be presented. © 2004 Federation of European Microbiological Societies. Published by Elsevier B.V. All rights reserved.","author":[{"dropping-particle":"","family":"Collins","given":"Tony","non-dropping-particle":"","parse-names":false,"suffix":""},{"dropping-particle":"","family":"Gerday","given":"Charles","non-dropping-particle":"","parse-names":false,"suffix":""},{"dropping-particle":"","family":"Feller","given":"Georges","non-dropping-particle":"","parse-names":false,"suffix":""}],"container-title":"FEMS Microbiology Reviews","id":"ITEM-1","issue":"1","issued":{"date-parts":[["2005"]]},"page":"3-23","title":"Xylanases, xylanase families and extremophilic xylanases","type":"article-journal","volume":"29"},"uris":["http://www.mendeley.com/documents/?uuid=4daf650e-8a51-42df-8478-6d1d5ab9dfd8"]}],"mendeley":{"formattedCitation":"(Collins &lt;i&gt;et al.&lt;/i&gt; 2005)","plainTextFormattedCitation":"(Collins et al. 2005)","previouslyFormattedCitation":"(Collins &lt;i&gt;et al.&lt;/i&gt; 2005)"},"properties":{"noteIndex":0},"schema":"https://github.com/citation-style-language/schema/raw/master/csl-citation.json"}</w:instrText>
      </w:r>
      <w:r w:rsidRPr="005001D6">
        <w:rPr>
          <w:rFonts w:eastAsia="Calibri" w:cstheme="minorHAnsi"/>
        </w:rPr>
        <w:fldChar w:fldCharType="separate"/>
      </w:r>
      <w:r w:rsidRPr="005001D6">
        <w:rPr>
          <w:rFonts w:eastAsia="Calibri" w:cstheme="minorHAnsi"/>
          <w:noProof/>
        </w:rPr>
        <w:t xml:space="preserve">(Collins </w:t>
      </w:r>
      <w:r w:rsidRPr="005001D6">
        <w:rPr>
          <w:rFonts w:eastAsia="Calibri" w:cstheme="minorHAnsi"/>
          <w:i/>
          <w:noProof/>
        </w:rPr>
        <w:t>et al.</w:t>
      </w:r>
      <w:r w:rsidRPr="005001D6">
        <w:rPr>
          <w:rFonts w:eastAsia="Calibri" w:cstheme="minorHAnsi"/>
          <w:noProof/>
        </w:rPr>
        <w:t xml:space="preserve"> 2005)</w:t>
      </w:r>
      <w:r w:rsidRPr="005001D6">
        <w:rPr>
          <w:rFonts w:eastAsia="Calibri" w:cstheme="minorHAnsi"/>
        </w:rPr>
        <w:fldChar w:fldCharType="end"/>
      </w:r>
      <w:r w:rsidRPr="005001D6">
        <w:rPr>
          <w:rFonts w:eastAsia="Calibri" w:cstheme="minorHAnsi"/>
        </w:rPr>
        <w:t xml:space="preserve">. NAG degrades chitin and other </w:t>
      </w:r>
      <w:r w:rsidRPr="005001D6">
        <w:rPr>
          <w:rFonts w:eastAsia="Calibri" w:cstheme="minorHAnsi"/>
          <w:i/>
        </w:rPr>
        <w:t>β</w:t>
      </w:r>
      <w:r w:rsidRPr="005001D6">
        <w:rPr>
          <w:rFonts w:eastAsia="Calibri" w:cstheme="minorHAnsi"/>
        </w:rPr>
        <w:t xml:space="preserve">-1,4-linked glucosamine polymers </w:t>
      </w:r>
      <w:r w:rsidRPr="005001D6">
        <w:rPr>
          <w:rFonts w:eastAsia="Calibri" w:cstheme="minorHAnsi"/>
        </w:rPr>
        <w:fldChar w:fldCharType="begin" w:fldLock="1"/>
      </w:r>
      <w:r w:rsidRPr="005001D6">
        <w:rPr>
          <w:rFonts w:eastAsia="Calibri" w:cstheme="minorHAnsi"/>
        </w:rPr>
        <w:instrText>ADDIN CSL_CITATION {"citationItems":[{"id":"ITEM-1","itemData":{"DOI":"10.1111/j.1461-0248.2008.01245.x","ISSN":"1461023X","abstract":"Extracellular enzymes are the proximate agents of organic matter decomposition and measures of these activities can be used as indicators of microbial nutrient demand. We conducted a global-scale meta-analysis of the seven-most widely measured soil enzyme activities, using data from 40 ecosystems. The activities of beta-1,4-glucosidase, cellobiohydrolase, beta-1,4-N-acetylglucosaminidase and phosphatase g(-1) soil increased with organic matter concentration; leucine aminopeptidase, phenol oxidase and peroxidase activities showed no relationship. All activities were significantly related to soil pH. Specific activities, i.e. activity g(-1) soil organic matter, also varied in relation to soil pH for all enzymes. Relationships with mean annual temperature (MAT) and precipitation (MAP) were generally weak. For hydrolases, ratios of specific C, N and P acquisition activities converged on 1 : 1 : 1 but across ecosystems, the ratio of C : P acquisition was inversely related to MAP and MAT while the ratio of C : N acquisition increased with MAP. Oxidative activities were more variable than hydrolytic activities and increased with soil pH. Our analyses indicate that the enzymatic potential for hydrolyzing the labile components of soil organic matter is tied to substrate availability, soil pH and the stoichiometry of microbial nutrient demand. The enzymatic potential for oxidizing the recalcitrant fractions of soil organic material, which is a proximate control on soil organic matter accumulation, is most strongly related to soil pH. These trends provide insight into the biogeochemical processes that create global patterns in ecological stoichiometry and organic matter storage.","author":[{"dropping-particle":"","family":"Sinsabaugh","given":"Robert L.","non-dropping-particle":"","parse-names":false,"suffix":""},{"dropping-particle":"","family":"Lauber","given":"Christian L.","non-dropping-particle":"","parse-names":false,"suffix":""},{"dropping-particle":"","family":"Weintraub","given":"Michael N.","non-dropping-particle":"","parse-names":false,"suffix":""},{"dropping-particle":"","family":"Ahmed","given":"Bony","non-dropping-particle":"","parse-names":false,"suffix":""},{"dropping-particle":"","family":"Allison","given":"Steven D.","non-dropping-particle":"","parse-names":false,"suffix":""},{"dropping-particle":"","family":"Crenshaw","given":"Chelsea","non-dropping-particle":"","parse-names":false,"suffix":""},{"dropping-particle":"","family":"Contosta","given":"Alexandra R.","non-dropping-particle":"","parse-names":false,"suffix":""},{"dropping-particle":"","family":"Cusack","given":"Daniela","non-dropping-particle":"","parse-names":false,"suffix":""},{"dropping-particle":"","family":"Frey","given":"Serita","non-dropping-particle":"","parse-names":false,"suffix":""},{"dropping-particle":"","family":"Gallo","given":"Marcy E.","non-dropping-particle":"","parse-names":false,"suffix":""},{"dropping-particle":"","family":"Gartner","given":"Tracy B.","non-dropping-particle":"","parse-names":false,"suffix":""},{"dropping-particle":"","family":"Hobbie","given":"Sarah E.","non-dropping-particle":"","parse-names":false,"suffix":""},{"dropping-particle":"","family":"Holland","given":"Keri","non-dropping-particle":"","parse-names":false,"suffix":""},{"dropping-particle":"","family":"Keeler","given":"Bonnie L.","non-dropping-particle":"","parse-names":false,"suffix":""},{"dropping-particle":"","family":"Powers","given":"Jennifer S.","non-dropping-particle":"","parse-names":false,"suffix":""},{"dropping-particle":"","family":"Stursova","given":"Martina","non-dropping-particle":"","parse-names":false,"suffix":""},{"dropping-particle":"","family":"Takacs-Vesbach","given":"Cristina","non-dropping-particle":"","parse-names":false,"suffix":""},{"dropping-particle":"","family":"Waldrop","given":"Mark P.","non-dropping-particle":"","parse-names":false,"suffix":""},{"dropping-particle":"","family":"Wallenstein","given":"Matthew D.","non-dropping-particle":"","parse-names":false,"suffix":""},{"dropping-particle":"","family":"Zak","given":"Donald R.","non-dropping-particle":"","parse-names":false,"suffix":""},{"dropping-particle":"","family":"Zeglin","given":"Lydia H.","non-dropping-particle":"","parse-names":false,"suffix":""}],"container-title":"Ecology Letters","id":"ITEM-1","issue":"11","issued":{"date-parts":[["2008"]]},"page":"1252-1264","title":"Stoichiometry of soil enzyme activity at global scale","type":"article-journal","volume":"11"},"uris":["http://www.mendeley.com/documents/?uuid=f4a0ab01-ab2a-43cd-9390-c7c9c5a8a808"]}],"mendeley":{"formattedCitation":"(Sinsabaugh &lt;i&gt;et al.&lt;/i&gt; 2008)","plainTextFormattedCitation":"(Sinsabaugh et al. 2008)","previouslyFormattedCitation":"(Sinsabaugh &lt;i&gt;et al.&lt;/i&gt; 2008)"},"properties":{"noteIndex":0},"schema":"https://github.com/citation-style-language/schema/raw/master/csl-citation.json"}</w:instrText>
      </w:r>
      <w:r w:rsidRPr="005001D6">
        <w:rPr>
          <w:rFonts w:eastAsia="Calibri" w:cstheme="minorHAnsi"/>
        </w:rPr>
        <w:fldChar w:fldCharType="separate"/>
      </w:r>
      <w:r w:rsidRPr="005001D6">
        <w:rPr>
          <w:rFonts w:eastAsia="Calibri" w:cstheme="minorHAnsi"/>
          <w:noProof/>
        </w:rPr>
        <w:t xml:space="preserve">(Sinsabaugh </w:t>
      </w:r>
      <w:r w:rsidRPr="005001D6">
        <w:rPr>
          <w:rFonts w:eastAsia="Calibri" w:cstheme="minorHAnsi"/>
          <w:i/>
          <w:noProof/>
        </w:rPr>
        <w:t>et al.</w:t>
      </w:r>
      <w:r w:rsidRPr="005001D6">
        <w:rPr>
          <w:rFonts w:eastAsia="Calibri" w:cstheme="minorHAnsi"/>
          <w:noProof/>
        </w:rPr>
        <w:t xml:space="preserve"> 2008)</w:t>
      </w:r>
      <w:r w:rsidRPr="005001D6">
        <w:rPr>
          <w:rFonts w:eastAsia="Calibri" w:cstheme="minorHAnsi"/>
        </w:rPr>
        <w:fldChar w:fldCharType="end"/>
      </w:r>
      <w:r w:rsidRPr="005001D6">
        <w:rPr>
          <w:rFonts w:eastAsia="Calibri" w:cstheme="minorHAnsi"/>
        </w:rPr>
        <w:t xml:space="preserve">. PHO hydrolyses </w:t>
      </w:r>
      <w:proofErr w:type="spellStart"/>
      <w:r w:rsidRPr="005001D6">
        <w:rPr>
          <w:rFonts w:eastAsia="Calibri" w:cstheme="minorHAnsi"/>
        </w:rPr>
        <w:t>phosphomonoesters</w:t>
      </w:r>
      <w:proofErr w:type="spellEnd"/>
      <w:r w:rsidRPr="005001D6">
        <w:rPr>
          <w:rFonts w:eastAsia="Calibri" w:cstheme="minorHAnsi"/>
        </w:rPr>
        <w:t xml:space="preserve">, and in some cases phosphodiesters, releasing phosphate </w:t>
      </w:r>
      <w:r w:rsidRPr="005001D6">
        <w:rPr>
          <w:rFonts w:eastAsia="Calibri" w:cstheme="minorHAnsi"/>
        </w:rPr>
        <w:fldChar w:fldCharType="begin" w:fldLock="1"/>
      </w:r>
      <w:r w:rsidRPr="005001D6">
        <w:rPr>
          <w:rFonts w:eastAsia="Calibri" w:cstheme="minorHAnsi"/>
        </w:rPr>
        <w:instrText>ADDIN CSL_CITATION {"citationItems":[{"id":"ITEM-1","itemData":{"DOI":"10.1111/j.1461-0248.2008.01245.x","ISSN":"1461023X","abstract":"Extracellular enzymes are the proximate agents of organic matter decomposition and measures of these activities can be used as indicators of microbial nutrient demand. We conducted a global-scale meta-analysis of the seven-most widely measured soil enzyme activities, using data from 40 ecosystems. The activities of beta-1,4-glucosidase, cellobiohydrolase, beta-1,4-N-acetylglucosaminidase and phosphatase g(-1) soil increased with organic matter concentration; leucine aminopeptidase, phenol oxidase and peroxidase activities showed no relationship. All activities were significantly related to soil pH. Specific activities, i.e. activity g(-1) soil organic matter, also varied in relation to soil pH for all enzymes. Relationships with mean annual temperature (MAT) and precipitation (MAP) were generally weak. For hydrolases, ratios of specific C, N and P acquisition activities converged on 1 : 1 : 1 but across ecosystems, the ratio of C : P acquisition was inversely related to MAP and MAT while the ratio of C : N acquisition increased with MAP. Oxidative activities were more variable than hydrolytic activities and increased with soil pH. Our analyses indicate that the enzymatic potential for hydrolyzing the labile components of soil organic matter is tied to substrate availability, soil pH and the stoichiometry of microbial nutrient demand. The enzymatic potential for oxidizing the recalcitrant fractions of soil organic material, which is a proximate control on soil organic matter accumulation, is most strongly related to soil pH. These trends provide insight into the biogeochemical processes that create global patterns in ecological stoichiometry and organic matter storage.","author":[{"dropping-particle":"","family":"Sinsabaugh","given":"Robert L.","non-dropping-particle":"","parse-names":false,"suffix":""},{"dropping-particle":"","family":"Lauber","given":"Christian L.","non-dropping-particle":"","parse-names":false,"suffix":""},{"dropping-particle":"","family":"Weintraub","given":"Michael N.","non-dropping-particle":"","parse-names":false,"suffix":""},{"dropping-particle":"","family":"Ahmed","given":"Bony","non-dropping-particle":"","parse-names":false,"suffix":""},{"dropping-particle":"","family":"Allison","given":"Steven D.","non-dropping-particle":"","parse-names":false,"suffix":""},{"dropping-particle":"","family":"Crenshaw","given":"Chelsea","non-dropping-particle":"","parse-names":false,"suffix":""},{"dropping-particle":"","family":"Contosta","given":"Alexandra R.","non-dropping-particle":"","parse-names":false,"suffix":""},{"dropping-particle":"","family":"Cusack","given":"Daniela","non-dropping-particle":"","parse-names":false,"suffix":""},{"dropping-particle":"","family":"Frey","given":"Serita","non-dropping-particle":"","parse-names":false,"suffix":""},{"dropping-particle":"","family":"Gallo","given":"Marcy E.","non-dropping-particle":"","parse-names":false,"suffix":""},{"dropping-particle":"","family":"Gartner","given":"Tracy B.","non-dropping-particle":"","parse-names":false,"suffix":""},{"dropping-particle":"","family":"Hobbie","given":"Sarah E.","non-dropping-particle":"","parse-names":false,"suffix":""},{"dropping-particle":"","family":"Holland","given":"Keri","non-dropping-particle":"","parse-names":false,"suffix":""},{"dropping-particle":"","family":"Keeler","given":"Bonnie L.","non-dropping-particle":"","parse-names":false,"suffix":""},{"dropping-particle":"","family":"Powers","given":"Jennifer S.","non-dropping-particle":"","parse-names":false,"suffix":""},{"dropping-particle":"","family":"Stursova","given":"Martina","non-dropping-particle":"","parse-names":false,"suffix":""},{"dropping-particle":"","family":"Takacs-Vesbach","given":"Cristina","non-dropping-particle":"","parse-names":false,"suffix":""},{"dropping-particle":"","family":"Waldrop","given":"Mark P.","non-dropping-particle":"","parse-names":false,"suffix":""},{"dropping-particle":"","family":"Wallenstein","given":"Matthew D.","non-dropping-particle":"","parse-names":false,"suffix":""},{"dropping-particle":"","family":"Zak","given":"Donald R.","non-dropping-particle":"","parse-names":false,"suffix":""},{"dropping-particle":"","family":"Zeglin","given":"Lydia H.","non-dropping-particle":"","parse-names":false,"suffix":""}],"container-title":"Ecology Letters","id":"ITEM-1","issue":"11","issued":{"date-parts":[["2008"]]},"page":"1252-1264","title":"Stoichiometry of soil enzyme activity at global scale","type":"article-journal","volume":"11"},"uris":["http://www.mendeley.com/documents/?uuid=f4a0ab01-ab2a-43cd-9390-c7c9c5a8a808"]}],"mendeley":{"formattedCitation":"(Sinsabaugh &lt;i&gt;et al.&lt;/i&gt; 2008)","plainTextFormattedCitation":"(Sinsabaugh et al. 2008)","previouslyFormattedCitation":"(Sinsabaugh &lt;i&gt;et al.&lt;/i&gt; 2008)"},"properties":{"noteIndex":0},"schema":"https://github.com/citation-style-language/schema/raw/master/csl-citation.json"}</w:instrText>
      </w:r>
      <w:r w:rsidRPr="005001D6">
        <w:rPr>
          <w:rFonts w:eastAsia="Calibri" w:cstheme="minorHAnsi"/>
        </w:rPr>
        <w:fldChar w:fldCharType="separate"/>
      </w:r>
      <w:r w:rsidRPr="005001D6">
        <w:rPr>
          <w:rFonts w:eastAsia="Calibri" w:cstheme="minorHAnsi"/>
          <w:noProof/>
        </w:rPr>
        <w:t xml:space="preserve">(Sinsabaugh </w:t>
      </w:r>
      <w:r w:rsidRPr="005001D6">
        <w:rPr>
          <w:rFonts w:eastAsia="Calibri" w:cstheme="minorHAnsi"/>
          <w:i/>
          <w:noProof/>
        </w:rPr>
        <w:t>et al.</w:t>
      </w:r>
      <w:r w:rsidRPr="005001D6">
        <w:rPr>
          <w:rFonts w:eastAsia="Calibri" w:cstheme="minorHAnsi"/>
          <w:noProof/>
        </w:rPr>
        <w:t xml:space="preserve"> </w:t>
      </w:r>
      <w:r w:rsidRPr="005001D6">
        <w:rPr>
          <w:rFonts w:eastAsia="Calibri" w:cstheme="minorHAnsi"/>
          <w:noProof/>
        </w:rPr>
        <w:lastRenderedPageBreak/>
        <w:t>2008)</w:t>
      </w:r>
      <w:r w:rsidRPr="005001D6">
        <w:rPr>
          <w:rFonts w:eastAsia="Calibri" w:cstheme="minorHAnsi"/>
        </w:rPr>
        <w:fldChar w:fldCharType="end"/>
      </w:r>
      <w:r w:rsidRPr="005001D6">
        <w:rPr>
          <w:rFonts w:eastAsia="Calibri" w:cstheme="minorHAnsi"/>
        </w:rPr>
        <w:t xml:space="preserve">, and URE hydrolyses urea to ammonia. POX and PER play a large role in the degradation of polyphenols (e.g. lignin, tannin and their degradation products) </w:t>
      </w:r>
      <w:r w:rsidRPr="005001D6">
        <w:rPr>
          <w:rFonts w:eastAsia="Calibri" w:cstheme="minorHAnsi"/>
        </w:rPr>
        <w:fldChar w:fldCharType="begin" w:fldLock="1"/>
      </w:r>
      <w:r w:rsidRPr="005001D6">
        <w:rPr>
          <w:rFonts w:eastAsia="Calibri" w:cstheme="minorHAnsi"/>
        </w:rPr>
        <w:instrText>ADDIN CSL_CITATION {"citationItems":[{"id":"ITEM-1","itemData":{"DOI":"10.1111/j.1461-0248.2008.01245.x","ISSN":"1461023X","abstract":"Extracellular enzymes are the proximate agents of organic matter decomposition and measures of these activities can be used as indicators of microbial nutrient demand. We conducted a global-scale meta-analysis of the seven-most widely measured soil enzyme activities, using data from 40 ecosystems. The activities of beta-1,4-glucosidase, cellobiohydrolase, beta-1,4-N-acetylglucosaminidase and phosphatase g(-1) soil increased with organic matter concentration; leucine aminopeptidase, phenol oxidase and peroxidase activities showed no relationship. All activities were significantly related to soil pH. Specific activities, i.e. activity g(-1) soil organic matter, also varied in relation to soil pH for all enzymes. Relationships with mean annual temperature (MAT) and precipitation (MAP) were generally weak. For hydrolases, ratios of specific C, N and P acquisition activities converged on 1 : 1 : 1 but across ecosystems, the ratio of C : P acquisition was inversely related to MAP and MAT while the ratio of C : N acquisition increased with MAP. Oxidative activities were more variable than hydrolytic activities and increased with soil pH. Our analyses indicate that the enzymatic potential for hydrolyzing the labile components of soil organic matter is tied to substrate availability, soil pH and the stoichiometry of microbial nutrient demand. The enzymatic potential for oxidizing the recalcitrant fractions of soil organic material, which is a proximate control on soil organic matter accumulation, is most strongly related to soil pH. These trends provide insight into the biogeochemical processes that create global patterns in ecological stoichiometry and organic matter storage.","author":[{"dropping-particle":"","family":"Sinsabaugh","given":"Robert L.","non-dropping-particle":"","parse-names":false,"suffix":""},{"dropping-particle":"","family":"Lauber","given":"Christian L.","non-dropping-particle":"","parse-names":false,"suffix":""},{"dropping-particle":"","family":"Weintraub","given":"Michael N.","non-dropping-particle":"","parse-names":false,"suffix":""},{"dropping-particle":"","family":"Ahmed","given":"Bony","non-dropping-particle":"","parse-names":false,"suffix":""},{"dropping-particle":"","family":"Allison","given":"Steven D.","non-dropping-particle":"","parse-names":false,"suffix":""},{"dropping-particle":"","family":"Crenshaw","given":"Chelsea","non-dropping-particle":"","parse-names":false,"suffix":""},{"dropping-particle":"","family":"Contosta","given":"Alexandra R.","non-dropping-particle":"","parse-names":false,"suffix":""},{"dropping-particle":"","family":"Cusack","given":"Daniela","non-dropping-particle":"","parse-names":false,"suffix":""},{"dropping-particle":"","family":"Frey","given":"Serita","non-dropping-particle":"","parse-names":false,"suffix":""},{"dropping-particle":"","family":"Gallo","given":"Marcy E.","non-dropping-particle":"","parse-names":false,"suffix":""},{"dropping-particle":"","family":"Gartner","given":"Tracy B.","non-dropping-particle":"","parse-names":false,"suffix":""},{"dropping-particle":"","family":"Hobbie","given":"Sarah E.","non-dropping-particle":"","parse-names":false,"suffix":""},{"dropping-particle":"","family":"Holland","given":"Keri","non-dropping-particle":"","parse-names":false,"suffix":""},{"dropping-particle":"","family":"Keeler","given":"Bonnie L.","non-dropping-particle":"","parse-names":false,"suffix":""},{"dropping-particle":"","family":"Powers","given":"Jennifer S.","non-dropping-particle":"","parse-names":false,"suffix":""},{"dropping-particle":"","family":"Stursova","given":"Martina","non-dropping-particle":"","parse-names":false,"suffix":""},{"dropping-particle":"","family":"Takacs-Vesbach","given":"Cristina","non-dropping-particle":"","parse-names":false,"suffix":""},{"dropping-particle":"","family":"Waldrop","given":"Mark P.","non-dropping-particle":"","parse-names":false,"suffix":""},{"dropping-particle":"","family":"Wallenstein","given":"Matthew D.","non-dropping-particle":"","parse-names":false,"suffix":""},{"dropping-particle":"","family":"Zak","given":"Donald R.","non-dropping-particle":"","parse-names":false,"suffix":""},{"dropping-particle":"","family":"Zeglin","given":"Lydia H.","non-dropping-particle":"","parse-names":false,"suffix":""}],"container-title":"Ecology Letters","id":"ITEM-1","issue":"11","issued":{"date-parts":[["2008"]]},"page":"1252-1264","title":"Stoichiometry of soil enzyme activity at global scale","type":"article-journal","volume":"11"},"uris":["http://www.mendeley.com/documents/?uuid=f4a0ab01-ab2a-43cd-9390-c7c9c5a8a808"]}],"mendeley":{"formattedCitation":"(Sinsabaugh &lt;i&gt;et al.&lt;/i&gt; 2008)","plainTextFormattedCitation":"(Sinsabaugh et al. 2008)","previouslyFormattedCitation":"(Sinsabaugh &lt;i&gt;et al.&lt;/i&gt; 2008)"},"properties":{"noteIndex":0},"schema":"https://github.com/citation-style-language/schema/raw/master/csl-citation.json"}</w:instrText>
      </w:r>
      <w:r w:rsidRPr="005001D6">
        <w:rPr>
          <w:rFonts w:eastAsia="Calibri" w:cstheme="minorHAnsi"/>
        </w:rPr>
        <w:fldChar w:fldCharType="separate"/>
      </w:r>
      <w:r w:rsidRPr="005001D6">
        <w:rPr>
          <w:rFonts w:eastAsia="Calibri" w:cstheme="minorHAnsi"/>
          <w:noProof/>
        </w:rPr>
        <w:t xml:space="preserve">(Sinsabaugh </w:t>
      </w:r>
      <w:r w:rsidRPr="005001D6">
        <w:rPr>
          <w:rFonts w:eastAsia="Calibri" w:cstheme="minorHAnsi"/>
          <w:i/>
          <w:noProof/>
        </w:rPr>
        <w:t>et al.</w:t>
      </w:r>
      <w:r w:rsidRPr="005001D6">
        <w:rPr>
          <w:rFonts w:eastAsia="Calibri" w:cstheme="minorHAnsi"/>
          <w:noProof/>
        </w:rPr>
        <w:t xml:space="preserve"> 2008)</w:t>
      </w:r>
      <w:r w:rsidRPr="005001D6">
        <w:rPr>
          <w:rFonts w:eastAsia="Calibri" w:cstheme="minorHAnsi"/>
        </w:rPr>
        <w:fldChar w:fldCharType="end"/>
      </w:r>
      <w:r w:rsidRPr="005001D6">
        <w:rPr>
          <w:rFonts w:eastAsia="Calibri" w:cstheme="minorHAnsi"/>
        </w:rPr>
        <w:t xml:space="preserve">. </w:t>
      </w:r>
    </w:p>
    <w:p w14:paraId="57AECCC6" w14:textId="000E63D7" w:rsidR="00DE6F0F" w:rsidRPr="005001D6" w:rsidRDefault="00FE4EBA" w:rsidP="00173FAF">
      <w:pPr>
        <w:spacing w:line="480" w:lineRule="auto"/>
        <w:jc w:val="both"/>
        <w:rPr>
          <w:rFonts w:cstheme="minorHAnsi"/>
        </w:rPr>
      </w:pPr>
      <w:r w:rsidRPr="005001D6">
        <w:rPr>
          <w:rFonts w:cstheme="minorHAnsi"/>
        </w:rPr>
        <w:t xml:space="preserve">GLC, CBH, XYL, NAG and PHO were measured </w:t>
      </w:r>
      <w:proofErr w:type="spellStart"/>
      <w:r w:rsidRPr="005001D6">
        <w:rPr>
          <w:rFonts w:cstheme="minorHAnsi"/>
        </w:rPr>
        <w:t>photometrically</w:t>
      </w:r>
      <w:proofErr w:type="spellEnd"/>
      <w:r w:rsidRPr="005001D6">
        <w:rPr>
          <w:rFonts w:cstheme="minorHAnsi"/>
        </w:rPr>
        <w:t xml:space="preserve"> according to </w:t>
      </w:r>
      <w:r w:rsidRPr="005001D6">
        <w:rPr>
          <w:rFonts w:cstheme="minorHAnsi"/>
        </w:rPr>
        <w:fldChar w:fldCharType="begin" w:fldLock="1"/>
      </w:r>
      <w:r w:rsidR="0063242A" w:rsidRPr="005001D6">
        <w:rPr>
          <w:rFonts w:cstheme="minorHAnsi"/>
        </w:rPr>
        <w:instrText>ADDIN CSL_CITATION {"citationItems":[{"id":"ITEM-1","itemData":{"DOI":"10.3791/50399","ISSN":"1940-087X","author":[{"dropping-particle":"","family":"Jackson","given":"Colin R.","non-dropping-particle":"","parse-names":false,"suffix":""},{"dropping-particle":"","family":"Tyler","given":"Heather L.","non-dropping-particle":"","parse-names":false,"suffix":""},{"dropping-particle":"","family":"Millar","given":"Justin J.","non-dropping-particle":"","parse-names":false,"suffix":""}],"container-title":"Journal of Visualized Experiments","id":"ITEM-1","issue":"80","issued":{"date-parts":[["2013","10","1"]]},"page":"e50399","title":"Determination of Microbial Extracellular Enzyme Activity in Waters, Soils, and Sediments using High Throughput Microplate Assays","type":"article-journal","volume":"(80)"},"uris":["http://www.mendeley.com/documents/?uuid=42f1c9b6-6f86-42aa-af14-c52f839c4903"]}],"mendeley":{"formattedCitation":"(Jackson &lt;i&gt;et al.&lt;/i&gt; 2013)","manualFormatting":"Jackson et al. (2013)","plainTextFormattedCitation":"(Jackson et al. 2013)","previouslyFormattedCitation":"(Jackson &lt;i&gt;et al.&lt;/i&gt; 2013)"},"properties":{"noteIndex":0},"schema":"https://github.com/citation-style-language/schema/raw/master/csl-citation.json"}</w:instrText>
      </w:r>
      <w:r w:rsidRPr="005001D6">
        <w:rPr>
          <w:rFonts w:cstheme="minorHAnsi"/>
        </w:rPr>
        <w:fldChar w:fldCharType="separate"/>
      </w:r>
      <w:r w:rsidRPr="005001D6">
        <w:rPr>
          <w:rFonts w:cstheme="minorHAnsi"/>
          <w:noProof/>
        </w:rPr>
        <w:t xml:space="preserve">Jackson </w:t>
      </w:r>
      <w:r w:rsidRPr="005001D6">
        <w:rPr>
          <w:rFonts w:cstheme="minorHAnsi"/>
          <w:i/>
          <w:noProof/>
        </w:rPr>
        <w:t>et al.</w:t>
      </w:r>
      <w:r w:rsidRPr="005001D6">
        <w:rPr>
          <w:rFonts w:cstheme="minorHAnsi"/>
          <w:noProof/>
        </w:rPr>
        <w:t xml:space="preserve"> (2013)</w:t>
      </w:r>
      <w:r w:rsidRPr="005001D6">
        <w:rPr>
          <w:rFonts w:cstheme="minorHAnsi"/>
        </w:rPr>
        <w:fldChar w:fldCharType="end"/>
      </w:r>
      <w:r w:rsidRPr="005001D6">
        <w:rPr>
          <w:rFonts w:cstheme="minorHAnsi"/>
        </w:rPr>
        <w:t xml:space="preserve">, with modifications. </w:t>
      </w:r>
      <w:r w:rsidR="0063242A" w:rsidRPr="005001D6">
        <w:rPr>
          <w:rFonts w:cstheme="minorHAnsi"/>
        </w:rPr>
        <w:t>Specifically</w:t>
      </w:r>
      <w:r w:rsidR="00DE6F0F" w:rsidRPr="005001D6">
        <w:rPr>
          <w:rFonts w:cstheme="minorHAnsi"/>
        </w:rPr>
        <w:t xml:space="preserve">, </w:t>
      </w:r>
      <w:r w:rsidR="007C3FAF" w:rsidRPr="005001D6">
        <w:rPr>
          <w:rFonts w:cstheme="minorHAnsi"/>
        </w:rPr>
        <w:t>4</w:t>
      </w:r>
      <w:r w:rsidR="00DE6F0F" w:rsidRPr="005001D6">
        <w:rPr>
          <w:rFonts w:cstheme="minorHAnsi"/>
        </w:rPr>
        <w:t xml:space="preserve"> g of sieved soil was suspended in </w:t>
      </w:r>
      <w:r w:rsidR="007C3FAF" w:rsidRPr="005001D6">
        <w:rPr>
          <w:rFonts w:cstheme="minorHAnsi"/>
        </w:rPr>
        <w:t>8</w:t>
      </w:r>
      <w:r w:rsidR="00DE6F0F" w:rsidRPr="005001D6">
        <w:rPr>
          <w:rFonts w:cstheme="minorHAnsi"/>
        </w:rPr>
        <w:t xml:space="preserve"> mL of sodium acetate buffer (50</w:t>
      </w:r>
      <w:r w:rsidR="00B96C94" w:rsidRPr="005001D6">
        <w:rPr>
          <w:rFonts w:cstheme="minorHAnsi"/>
        </w:rPr>
        <w:t xml:space="preserve"> </w:t>
      </w:r>
      <w:proofErr w:type="spellStart"/>
      <w:r w:rsidR="00DE6F0F" w:rsidRPr="005001D6">
        <w:rPr>
          <w:rFonts w:cstheme="minorHAnsi"/>
        </w:rPr>
        <w:t>mM</w:t>
      </w:r>
      <w:proofErr w:type="spellEnd"/>
      <w:r w:rsidR="00DE6F0F" w:rsidRPr="005001D6">
        <w:rPr>
          <w:rFonts w:cstheme="minorHAnsi"/>
        </w:rPr>
        <w:t>, pH 5.0). Then 150</w:t>
      </w:r>
      <w:r w:rsidR="00B96C94" w:rsidRPr="005001D6">
        <w:rPr>
          <w:rFonts w:cstheme="minorHAnsi"/>
        </w:rPr>
        <w:t xml:space="preserve"> </w:t>
      </w:r>
      <w:proofErr w:type="spellStart"/>
      <w:r w:rsidR="00DE6F0F" w:rsidRPr="005001D6">
        <w:rPr>
          <w:rFonts w:cstheme="minorHAnsi"/>
        </w:rPr>
        <w:t>μl</w:t>
      </w:r>
      <w:proofErr w:type="spellEnd"/>
      <w:r w:rsidR="00DE6F0F" w:rsidRPr="005001D6">
        <w:rPr>
          <w:rFonts w:cstheme="minorHAnsi"/>
        </w:rPr>
        <w:t xml:space="preserve"> of this soil slurry was introduced into a 96-well </w:t>
      </w:r>
      <w:proofErr w:type="spellStart"/>
      <w:r w:rsidR="00DE6F0F" w:rsidRPr="005001D6">
        <w:rPr>
          <w:rFonts w:cstheme="minorHAnsi"/>
        </w:rPr>
        <w:t>deepwell</w:t>
      </w:r>
      <w:proofErr w:type="spellEnd"/>
      <w:r w:rsidR="00DE6F0F" w:rsidRPr="005001D6">
        <w:rPr>
          <w:rFonts w:cstheme="minorHAnsi"/>
        </w:rPr>
        <w:t xml:space="preserve"> block and mixed with 150</w:t>
      </w:r>
      <w:r w:rsidR="00B96C94" w:rsidRPr="005001D6">
        <w:rPr>
          <w:rFonts w:cstheme="minorHAnsi"/>
        </w:rPr>
        <w:t xml:space="preserve"> </w:t>
      </w:r>
      <w:proofErr w:type="spellStart"/>
      <w:r w:rsidR="00DE6F0F" w:rsidRPr="005001D6">
        <w:rPr>
          <w:rFonts w:cstheme="minorHAnsi"/>
        </w:rPr>
        <w:t>μl</w:t>
      </w:r>
      <w:proofErr w:type="spellEnd"/>
      <w:r w:rsidR="00DE6F0F" w:rsidRPr="005001D6">
        <w:rPr>
          <w:rFonts w:cstheme="minorHAnsi"/>
        </w:rPr>
        <w:t xml:space="preserve"> of a substrate solution: </w:t>
      </w:r>
      <w:r w:rsidR="007C3FAF" w:rsidRPr="005001D6">
        <w:rPr>
          <w:rFonts w:cstheme="minorHAnsi"/>
        </w:rPr>
        <w:t>3</w:t>
      </w:r>
      <w:r w:rsidR="00DE6F0F" w:rsidRPr="005001D6">
        <w:rPr>
          <w:rFonts w:cstheme="minorHAnsi"/>
        </w:rPr>
        <w:t>0</w:t>
      </w:r>
      <w:r w:rsidR="00B96C94" w:rsidRPr="005001D6">
        <w:rPr>
          <w:rFonts w:cstheme="minorHAnsi"/>
        </w:rPr>
        <w:t xml:space="preserve"> </w:t>
      </w:r>
      <w:proofErr w:type="spellStart"/>
      <w:r w:rsidR="00DE6F0F" w:rsidRPr="005001D6">
        <w:rPr>
          <w:rFonts w:cstheme="minorHAnsi"/>
        </w:rPr>
        <w:t>mM</w:t>
      </w:r>
      <w:proofErr w:type="spellEnd"/>
      <w:r w:rsidR="00DE6F0F" w:rsidRPr="005001D6">
        <w:rPr>
          <w:rFonts w:cstheme="minorHAnsi"/>
        </w:rPr>
        <w:t xml:space="preserve"> </w:t>
      </w:r>
      <w:proofErr w:type="spellStart"/>
      <w:r w:rsidR="00DE6F0F" w:rsidRPr="005001D6">
        <w:rPr>
          <w:rFonts w:cstheme="minorHAnsi"/>
          <w:i/>
        </w:rPr>
        <w:t>p</w:t>
      </w:r>
      <w:r w:rsidR="00DE6F0F" w:rsidRPr="005001D6">
        <w:rPr>
          <w:rFonts w:cstheme="minorHAnsi"/>
        </w:rPr>
        <w:t>NP</w:t>
      </w:r>
      <w:proofErr w:type="spellEnd"/>
      <w:r w:rsidR="00DE6F0F" w:rsidRPr="005001D6">
        <w:rPr>
          <w:rFonts w:cstheme="minorHAnsi"/>
        </w:rPr>
        <w:t>-</w:t>
      </w:r>
      <w:r w:rsidR="00DE6F0F" w:rsidRPr="005001D6">
        <w:rPr>
          <w:rFonts w:cstheme="minorHAnsi"/>
          <w:i/>
        </w:rPr>
        <w:t>β</w:t>
      </w:r>
      <w:r w:rsidR="00DE6F0F" w:rsidRPr="005001D6">
        <w:rPr>
          <w:rFonts w:cstheme="minorHAnsi"/>
        </w:rPr>
        <w:t>-</w:t>
      </w:r>
      <w:proofErr w:type="spellStart"/>
      <w:r w:rsidR="00DE6F0F" w:rsidRPr="005001D6">
        <w:rPr>
          <w:rFonts w:cstheme="minorHAnsi"/>
        </w:rPr>
        <w:t>glucopyranoside</w:t>
      </w:r>
      <w:proofErr w:type="spellEnd"/>
      <w:r w:rsidR="00DE6F0F" w:rsidRPr="005001D6">
        <w:rPr>
          <w:rFonts w:cstheme="minorHAnsi"/>
        </w:rPr>
        <w:t xml:space="preserve"> for GLC, 2</w:t>
      </w:r>
      <w:r w:rsidR="00B96C94" w:rsidRPr="005001D6">
        <w:rPr>
          <w:rFonts w:cstheme="minorHAnsi"/>
        </w:rPr>
        <w:t xml:space="preserve"> </w:t>
      </w:r>
      <w:proofErr w:type="spellStart"/>
      <w:r w:rsidR="00DE6F0F" w:rsidRPr="005001D6">
        <w:rPr>
          <w:rFonts w:cstheme="minorHAnsi"/>
        </w:rPr>
        <w:t>mM</w:t>
      </w:r>
      <w:proofErr w:type="spellEnd"/>
      <w:r w:rsidR="00DE6F0F" w:rsidRPr="005001D6">
        <w:rPr>
          <w:rFonts w:cstheme="minorHAnsi"/>
        </w:rPr>
        <w:t xml:space="preserve"> </w:t>
      </w:r>
      <w:proofErr w:type="spellStart"/>
      <w:r w:rsidR="00DE6F0F" w:rsidRPr="005001D6">
        <w:rPr>
          <w:rFonts w:cstheme="minorHAnsi"/>
          <w:i/>
        </w:rPr>
        <w:t>p</w:t>
      </w:r>
      <w:r w:rsidR="00DE6F0F" w:rsidRPr="005001D6">
        <w:rPr>
          <w:rFonts w:cstheme="minorHAnsi"/>
        </w:rPr>
        <w:t>NP</w:t>
      </w:r>
      <w:proofErr w:type="spellEnd"/>
      <w:r w:rsidR="00DE6F0F" w:rsidRPr="005001D6">
        <w:rPr>
          <w:rFonts w:cstheme="minorHAnsi"/>
        </w:rPr>
        <w:t>-</w:t>
      </w:r>
      <w:r w:rsidR="00DE6F0F" w:rsidRPr="005001D6">
        <w:rPr>
          <w:rFonts w:cstheme="minorHAnsi"/>
          <w:i/>
        </w:rPr>
        <w:t>β</w:t>
      </w:r>
      <w:r w:rsidR="00DE6F0F" w:rsidRPr="005001D6">
        <w:rPr>
          <w:rFonts w:cstheme="minorHAnsi"/>
        </w:rPr>
        <w:t>-D-</w:t>
      </w:r>
      <w:proofErr w:type="spellStart"/>
      <w:r w:rsidR="00DE6F0F" w:rsidRPr="005001D6">
        <w:rPr>
          <w:rFonts w:cstheme="minorHAnsi"/>
        </w:rPr>
        <w:t>cellobioside</w:t>
      </w:r>
      <w:proofErr w:type="spellEnd"/>
      <w:r w:rsidR="00DE6F0F" w:rsidRPr="005001D6">
        <w:rPr>
          <w:rFonts w:cstheme="minorHAnsi"/>
        </w:rPr>
        <w:t xml:space="preserve"> for CBH, </w:t>
      </w:r>
      <w:r w:rsidR="007C3FAF" w:rsidRPr="005001D6">
        <w:rPr>
          <w:rFonts w:cstheme="minorHAnsi"/>
        </w:rPr>
        <w:t>3</w:t>
      </w:r>
      <w:r w:rsidR="00DE6F0F" w:rsidRPr="005001D6">
        <w:rPr>
          <w:rFonts w:cstheme="minorHAnsi"/>
        </w:rPr>
        <w:t>0</w:t>
      </w:r>
      <w:r w:rsidR="00B96C94" w:rsidRPr="005001D6">
        <w:rPr>
          <w:rFonts w:cstheme="minorHAnsi"/>
        </w:rPr>
        <w:t xml:space="preserve"> </w:t>
      </w:r>
      <w:proofErr w:type="spellStart"/>
      <w:r w:rsidR="00DE6F0F" w:rsidRPr="005001D6">
        <w:rPr>
          <w:rFonts w:cstheme="minorHAnsi"/>
        </w:rPr>
        <w:t>mM</w:t>
      </w:r>
      <w:proofErr w:type="spellEnd"/>
      <w:r w:rsidR="00DE6F0F" w:rsidRPr="005001D6">
        <w:rPr>
          <w:rFonts w:cstheme="minorHAnsi"/>
        </w:rPr>
        <w:t xml:space="preserve"> </w:t>
      </w:r>
      <w:proofErr w:type="spellStart"/>
      <w:r w:rsidR="00DE6F0F" w:rsidRPr="005001D6">
        <w:rPr>
          <w:rFonts w:cstheme="minorHAnsi"/>
          <w:i/>
        </w:rPr>
        <w:t>p</w:t>
      </w:r>
      <w:r w:rsidR="00DE6F0F" w:rsidRPr="005001D6">
        <w:rPr>
          <w:rFonts w:cstheme="minorHAnsi"/>
        </w:rPr>
        <w:t>NP</w:t>
      </w:r>
      <w:proofErr w:type="spellEnd"/>
      <w:r w:rsidR="00DE6F0F" w:rsidRPr="005001D6">
        <w:rPr>
          <w:rFonts w:cstheme="minorHAnsi"/>
        </w:rPr>
        <w:t>-</w:t>
      </w:r>
      <w:r w:rsidR="00DE6F0F" w:rsidRPr="005001D6">
        <w:rPr>
          <w:rFonts w:cstheme="minorHAnsi"/>
          <w:i/>
        </w:rPr>
        <w:t>β</w:t>
      </w:r>
      <w:r w:rsidR="00DE6F0F" w:rsidRPr="005001D6">
        <w:rPr>
          <w:rFonts w:cstheme="minorHAnsi"/>
        </w:rPr>
        <w:t>-</w:t>
      </w:r>
      <w:proofErr w:type="spellStart"/>
      <w:r w:rsidR="00DE6F0F" w:rsidRPr="005001D6">
        <w:rPr>
          <w:rFonts w:cstheme="minorHAnsi"/>
        </w:rPr>
        <w:t>xylopyranoside</w:t>
      </w:r>
      <w:proofErr w:type="spellEnd"/>
      <w:r w:rsidR="00DE6F0F" w:rsidRPr="005001D6">
        <w:rPr>
          <w:rFonts w:cstheme="minorHAnsi"/>
        </w:rPr>
        <w:t xml:space="preserve"> for XYL, 5</w:t>
      </w:r>
      <w:r w:rsidR="00B96C94" w:rsidRPr="005001D6">
        <w:rPr>
          <w:rFonts w:cstheme="minorHAnsi"/>
        </w:rPr>
        <w:t xml:space="preserve"> </w:t>
      </w:r>
      <w:proofErr w:type="spellStart"/>
      <w:r w:rsidR="00DE6F0F" w:rsidRPr="005001D6">
        <w:rPr>
          <w:rFonts w:cstheme="minorHAnsi"/>
        </w:rPr>
        <w:t>mM</w:t>
      </w:r>
      <w:proofErr w:type="spellEnd"/>
      <w:r w:rsidR="00DE6F0F" w:rsidRPr="005001D6">
        <w:rPr>
          <w:rFonts w:cstheme="minorHAnsi"/>
        </w:rPr>
        <w:t xml:space="preserve"> </w:t>
      </w:r>
      <w:proofErr w:type="spellStart"/>
      <w:r w:rsidR="00DE6F0F" w:rsidRPr="005001D6">
        <w:rPr>
          <w:rFonts w:cstheme="minorHAnsi"/>
          <w:i/>
        </w:rPr>
        <w:t>p</w:t>
      </w:r>
      <w:r w:rsidR="00DE6F0F" w:rsidRPr="005001D6">
        <w:rPr>
          <w:rFonts w:cstheme="minorHAnsi"/>
        </w:rPr>
        <w:t>NP</w:t>
      </w:r>
      <w:proofErr w:type="spellEnd"/>
      <w:r w:rsidR="00DE6F0F" w:rsidRPr="005001D6">
        <w:rPr>
          <w:rFonts w:cstheme="minorHAnsi"/>
        </w:rPr>
        <w:t>-</w:t>
      </w:r>
      <w:r w:rsidR="00DE6F0F" w:rsidRPr="005001D6">
        <w:rPr>
          <w:rFonts w:cstheme="minorHAnsi"/>
          <w:i/>
        </w:rPr>
        <w:t>β-N</w:t>
      </w:r>
      <w:r w:rsidR="00DE6F0F" w:rsidRPr="005001D6">
        <w:rPr>
          <w:rFonts w:cstheme="minorHAnsi"/>
        </w:rPr>
        <w:t>-</w:t>
      </w:r>
      <w:proofErr w:type="spellStart"/>
      <w:r w:rsidR="00DE6F0F" w:rsidRPr="005001D6">
        <w:rPr>
          <w:rFonts w:cstheme="minorHAnsi"/>
        </w:rPr>
        <w:t>acetylglucosaminide</w:t>
      </w:r>
      <w:proofErr w:type="spellEnd"/>
      <w:r w:rsidR="00DE6F0F" w:rsidRPr="005001D6">
        <w:rPr>
          <w:rFonts w:cstheme="minorHAnsi"/>
        </w:rPr>
        <w:t xml:space="preserve"> for NAG and </w:t>
      </w:r>
      <w:r w:rsidR="007C3FAF" w:rsidRPr="005001D6">
        <w:rPr>
          <w:rFonts w:cstheme="minorHAnsi"/>
        </w:rPr>
        <w:t>40</w:t>
      </w:r>
      <w:r w:rsidR="00B96C94" w:rsidRPr="005001D6">
        <w:rPr>
          <w:rFonts w:cstheme="minorHAnsi"/>
        </w:rPr>
        <w:t xml:space="preserve"> </w:t>
      </w:r>
      <w:proofErr w:type="spellStart"/>
      <w:r w:rsidR="00DE6F0F" w:rsidRPr="005001D6">
        <w:rPr>
          <w:rFonts w:cstheme="minorHAnsi"/>
        </w:rPr>
        <w:t>mM</w:t>
      </w:r>
      <w:proofErr w:type="spellEnd"/>
      <w:r w:rsidR="00DE6F0F" w:rsidRPr="005001D6">
        <w:rPr>
          <w:rFonts w:cstheme="minorHAnsi"/>
        </w:rPr>
        <w:t xml:space="preserve"> </w:t>
      </w:r>
      <w:proofErr w:type="spellStart"/>
      <w:proofErr w:type="gramStart"/>
      <w:r w:rsidR="00DE6F0F" w:rsidRPr="005001D6">
        <w:rPr>
          <w:rFonts w:cstheme="minorHAnsi"/>
          <w:i/>
        </w:rPr>
        <w:t>p</w:t>
      </w:r>
      <w:r w:rsidR="00DE6F0F" w:rsidRPr="005001D6">
        <w:rPr>
          <w:rFonts w:cstheme="minorHAnsi"/>
        </w:rPr>
        <w:t>NP</w:t>
      </w:r>
      <w:proofErr w:type="spellEnd"/>
      <w:proofErr w:type="gramEnd"/>
      <w:r w:rsidR="00DE6F0F" w:rsidRPr="005001D6">
        <w:rPr>
          <w:rFonts w:cstheme="minorHAnsi"/>
        </w:rPr>
        <w:t xml:space="preserve"> -phosphate disodium salt </w:t>
      </w:r>
      <w:proofErr w:type="spellStart"/>
      <w:r w:rsidR="00DE6F0F" w:rsidRPr="005001D6">
        <w:rPr>
          <w:rFonts w:cstheme="minorHAnsi"/>
        </w:rPr>
        <w:t>hexahydrate</w:t>
      </w:r>
      <w:proofErr w:type="spellEnd"/>
      <w:r w:rsidR="00DE6F0F" w:rsidRPr="005001D6">
        <w:rPr>
          <w:rFonts w:cstheme="minorHAnsi"/>
        </w:rPr>
        <w:t xml:space="preserve"> for PHO. Blocks were incubated at 18</w:t>
      </w:r>
      <w:r w:rsidR="00B96C94" w:rsidRPr="005001D6">
        <w:rPr>
          <w:rFonts w:cstheme="minorHAnsi"/>
        </w:rPr>
        <w:t xml:space="preserve"> </w:t>
      </w:r>
      <w:r w:rsidR="007D5819" w:rsidRPr="005001D6">
        <w:rPr>
          <w:rFonts w:cstheme="minorHAnsi"/>
        </w:rPr>
        <w:t>°</w:t>
      </w:r>
      <w:r w:rsidR="00DE6F0F" w:rsidRPr="005001D6">
        <w:rPr>
          <w:rFonts w:cstheme="minorHAnsi"/>
        </w:rPr>
        <w:t>C for 20 min (PHO), 45 min (GLC), 1.5</w:t>
      </w:r>
      <w:r w:rsidR="007D5819" w:rsidRPr="005001D6">
        <w:rPr>
          <w:rFonts w:cstheme="minorHAnsi"/>
        </w:rPr>
        <w:t xml:space="preserve"> </w:t>
      </w:r>
      <w:r w:rsidR="00DE6F0F" w:rsidRPr="005001D6">
        <w:rPr>
          <w:rFonts w:cstheme="minorHAnsi"/>
        </w:rPr>
        <w:t>h (XYL), 2</w:t>
      </w:r>
      <w:r w:rsidR="00B96C94" w:rsidRPr="005001D6">
        <w:rPr>
          <w:rFonts w:cstheme="minorHAnsi"/>
        </w:rPr>
        <w:t xml:space="preserve"> </w:t>
      </w:r>
      <w:r w:rsidR="00DE6F0F" w:rsidRPr="005001D6">
        <w:rPr>
          <w:rFonts w:cstheme="minorHAnsi"/>
        </w:rPr>
        <w:t>h (NAG) and 2.5</w:t>
      </w:r>
      <w:r w:rsidR="00B96C94" w:rsidRPr="005001D6">
        <w:rPr>
          <w:rFonts w:cstheme="minorHAnsi"/>
        </w:rPr>
        <w:t xml:space="preserve"> </w:t>
      </w:r>
      <w:r w:rsidR="00DE6F0F" w:rsidRPr="005001D6">
        <w:rPr>
          <w:rFonts w:cstheme="minorHAnsi"/>
        </w:rPr>
        <w:t xml:space="preserve">h (CBH) or under continuous shaking. Blocks were then centrifuged (2900 x </w:t>
      </w:r>
      <w:r w:rsidR="00DE6F0F" w:rsidRPr="005001D6">
        <w:rPr>
          <w:rFonts w:cstheme="minorHAnsi"/>
          <w:i/>
        </w:rPr>
        <w:t>g</w:t>
      </w:r>
      <w:r w:rsidR="00DE6F0F" w:rsidRPr="005001D6">
        <w:rPr>
          <w:rFonts w:cstheme="minorHAnsi"/>
        </w:rPr>
        <w:t>, 5 min), 100</w:t>
      </w:r>
      <w:r w:rsidR="00B96C94" w:rsidRPr="005001D6">
        <w:rPr>
          <w:rFonts w:cstheme="minorHAnsi"/>
        </w:rPr>
        <w:t xml:space="preserve"> </w:t>
      </w:r>
      <w:r w:rsidR="00DE6F0F" w:rsidRPr="005001D6">
        <w:rPr>
          <w:rFonts w:cstheme="minorHAnsi"/>
        </w:rPr>
        <w:t>µl of the supernatant pipetted into transparent 96-well plates and mixed with 200</w:t>
      </w:r>
      <w:r w:rsidR="00B96C94" w:rsidRPr="005001D6">
        <w:rPr>
          <w:rFonts w:cstheme="minorHAnsi"/>
        </w:rPr>
        <w:t xml:space="preserve"> </w:t>
      </w:r>
      <w:r w:rsidR="00DE6F0F" w:rsidRPr="005001D6">
        <w:rPr>
          <w:rFonts w:cstheme="minorHAnsi"/>
        </w:rPr>
        <w:t>µl of 50</w:t>
      </w:r>
      <w:r w:rsidR="00B96C94" w:rsidRPr="005001D6">
        <w:rPr>
          <w:rFonts w:cstheme="minorHAnsi"/>
        </w:rPr>
        <w:t xml:space="preserve"> </w:t>
      </w:r>
      <w:proofErr w:type="spellStart"/>
      <w:r w:rsidR="00DE6F0F" w:rsidRPr="005001D6">
        <w:rPr>
          <w:rFonts w:cstheme="minorHAnsi"/>
        </w:rPr>
        <w:t>mM</w:t>
      </w:r>
      <w:proofErr w:type="spellEnd"/>
      <w:r w:rsidR="00DE6F0F" w:rsidRPr="005001D6">
        <w:rPr>
          <w:rFonts w:cstheme="minorHAnsi"/>
        </w:rPr>
        <w:t xml:space="preserve"> </w:t>
      </w:r>
      <w:proofErr w:type="spellStart"/>
      <w:r w:rsidR="00DE6F0F" w:rsidRPr="005001D6">
        <w:rPr>
          <w:rFonts w:cstheme="minorHAnsi"/>
        </w:rPr>
        <w:t>NaOH</w:t>
      </w:r>
      <w:proofErr w:type="spellEnd"/>
      <w:r w:rsidR="00DE6F0F" w:rsidRPr="005001D6">
        <w:rPr>
          <w:rFonts w:cstheme="minorHAnsi"/>
        </w:rPr>
        <w:t xml:space="preserve"> solution. Absorbance was measured at 405</w:t>
      </w:r>
      <w:r w:rsidR="00B96C94" w:rsidRPr="005001D6">
        <w:rPr>
          <w:rFonts w:cstheme="minorHAnsi"/>
        </w:rPr>
        <w:t xml:space="preserve"> </w:t>
      </w:r>
      <w:r w:rsidR="00DE6F0F" w:rsidRPr="005001D6">
        <w:rPr>
          <w:rFonts w:cstheme="minorHAnsi"/>
        </w:rPr>
        <w:t xml:space="preserve">nm in a </w:t>
      </w:r>
      <w:r w:rsidR="00782DA5" w:rsidRPr="005001D6">
        <w:rPr>
          <w:rFonts w:cstheme="minorHAnsi"/>
        </w:rPr>
        <w:t xml:space="preserve">microplate reader (EZ400 Research, </w:t>
      </w:r>
      <w:proofErr w:type="spellStart"/>
      <w:r w:rsidR="00782DA5" w:rsidRPr="005001D6">
        <w:rPr>
          <w:rFonts w:cstheme="minorHAnsi"/>
        </w:rPr>
        <w:t>Biochrom</w:t>
      </w:r>
      <w:proofErr w:type="spellEnd"/>
      <w:r w:rsidR="00782DA5" w:rsidRPr="005001D6">
        <w:rPr>
          <w:rFonts w:cstheme="minorHAnsi"/>
        </w:rPr>
        <w:t xml:space="preserve">, Germany) </w:t>
      </w:r>
      <w:r w:rsidR="00DE6F0F" w:rsidRPr="005001D6">
        <w:rPr>
          <w:rFonts w:cstheme="minorHAnsi"/>
        </w:rPr>
        <w:t xml:space="preserve">and corrected for soil and substrate colouration. </w:t>
      </w:r>
      <w:proofErr w:type="spellStart"/>
      <w:proofErr w:type="gramStart"/>
      <w:r w:rsidR="00DE6F0F" w:rsidRPr="005001D6">
        <w:rPr>
          <w:rFonts w:cstheme="minorHAnsi"/>
          <w:i/>
        </w:rPr>
        <w:t>p</w:t>
      </w:r>
      <w:r w:rsidR="00DE6F0F" w:rsidRPr="005001D6">
        <w:rPr>
          <w:rFonts w:cstheme="minorHAnsi"/>
        </w:rPr>
        <w:t>NP</w:t>
      </w:r>
      <w:proofErr w:type="spellEnd"/>
      <w:proofErr w:type="gramEnd"/>
      <w:r w:rsidR="00DE6F0F" w:rsidRPr="005001D6">
        <w:rPr>
          <w:rFonts w:cstheme="minorHAnsi"/>
        </w:rPr>
        <w:t xml:space="preserve"> concentration was calculated from an absorbance calibration curve of </w:t>
      </w:r>
      <w:proofErr w:type="spellStart"/>
      <w:r w:rsidR="00DE6F0F" w:rsidRPr="005001D6">
        <w:rPr>
          <w:rFonts w:cstheme="minorHAnsi"/>
          <w:i/>
        </w:rPr>
        <w:t>p</w:t>
      </w:r>
      <w:r w:rsidR="00DE6F0F" w:rsidRPr="005001D6">
        <w:rPr>
          <w:rFonts w:cstheme="minorHAnsi"/>
        </w:rPr>
        <w:t>NP</w:t>
      </w:r>
      <w:proofErr w:type="spellEnd"/>
      <w:r w:rsidR="00DE6F0F" w:rsidRPr="005001D6">
        <w:rPr>
          <w:rFonts w:cstheme="minorHAnsi"/>
        </w:rPr>
        <w:t xml:space="preserve"> at concentrations up to </w:t>
      </w:r>
      <w:r w:rsidR="007C3FAF" w:rsidRPr="005001D6">
        <w:rPr>
          <w:rFonts w:cstheme="minorHAnsi"/>
        </w:rPr>
        <w:t>1</w:t>
      </w:r>
      <w:r w:rsidR="00B96C94" w:rsidRPr="005001D6">
        <w:rPr>
          <w:rFonts w:cstheme="minorHAnsi"/>
        </w:rPr>
        <w:t xml:space="preserve"> </w:t>
      </w:r>
      <w:proofErr w:type="spellStart"/>
      <w:r w:rsidR="00DE6F0F" w:rsidRPr="005001D6">
        <w:rPr>
          <w:rFonts w:cstheme="minorHAnsi"/>
        </w:rPr>
        <w:t>mM.</w:t>
      </w:r>
      <w:proofErr w:type="spellEnd"/>
      <w:r w:rsidR="00DE6F0F" w:rsidRPr="005001D6">
        <w:rPr>
          <w:rFonts w:cstheme="minorHAnsi"/>
        </w:rPr>
        <w:t xml:space="preserve"> Reported activity is the mean of four analytical replicates for each soil sample.</w:t>
      </w:r>
    </w:p>
    <w:p w14:paraId="67F29B2C" w14:textId="5AC4078D" w:rsidR="00DE6F0F" w:rsidRPr="005001D6" w:rsidRDefault="0063242A" w:rsidP="00173FAF">
      <w:pPr>
        <w:spacing w:line="480" w:lineRule="auto"/>
        <w:jc w:val="both"/>
        <w:rPr>
          <w:rFonts w:cstheme="minorHAnsi"/>
        </w:rPr>
      </w:pPr>
      <w:r w:rsidRPr="005001D6">
        <w:rPr>
          <w:rFonts w:cstheme="minorHAnsi"/>
        </w:rPr>
        <w:t xml:space="preserve">POX and PER activities were measured </w:t>
      </w:r>
      <w:proofErr w:type="spellStart"/>
      <w:r w:rsidRPr="005001D6">
        <w:rPr>
          <w:rFonts w:cstheme="minorHAnsi"/>
        </w:rPr>
        <w:t>photometrically</w:t>
      </w:r>
      <w:proofErr w:type="spellEnd"/>
      <w:r w:rsidRPr="005001D6">
        <w:rPr>
          <w:rFonts w:cstheme="minorHAnsi"/>
        </w:rPr>
        <w:t xml:space="preserve"> as described in </w:t>
      </w:r>
      <w:r w:rsidRPr="005001D6">
        <w:rPr>
          <w:rFonts w:cstheme="minorHAnsi"/>
        </w:rPr>
        <w:fldChar w:fldCharType="begin" w:fldLock="1"/>
      </w:r>
      <w:r w:rsidRPr="005001D6">
        <w:rPr>
          <w:rFonts w:cstheme="minorHAnsi"/>
        </w:rPr>
        <w:instrText>ADDIN CSL_CITATION {"citationItems":[{"id":"ITEM-1","itemData":{"DOI":"10.1111/1365-2435.13341","ISSN":"0269-8463","abstract":"1.Maternal effects (i.e., trans‐generational plasticity) and soil legacies generated by drought and plant diversity can affect plant performance and alter nutrient cycling and plant community dynamics. However, the relative importance and combined effects of these factors on plant growth dynamics remain poorly understood. 2.We used soil and seeds from an existing plant diversity and drought manipulation field experiment in temperate grassland to test maternal, soil drought and diversity legacy effects, and their interactions, on offspring plant performance of two grassland species (Alopecurus pratensis and Holcus lanatus) under contrasting glasshouse conditions. 3.Our results showed that drought soil legacy effects eclipsed maternal effects on plant biomass. Drought soil legacy effects were attributed to changes in both abiotic (i.e., nutrient availability) and biotic soil properties (i.e., microbial carbon, enzyme activity), as well as plant root and shoot atom 15N excess. Further, plant tissue nutrient concentrations and soil microbial C:N responses to drought legacies varied between the two plant species and soils from high and low plant diversity treatments. However, these diversity effects did not affect plant root or shoot biomass. 4.These findings demonstrate that while maternal effects resulting from drought occur in grasslands, their impacts on plant performance are likely minor relative to drought legacy effects on soil abiotic and biotic properties. This suggests that soil drought legacy effects could become increasingly important drivers of plant community dynamics and ecosystem functioning as extreme weather events become more frequent and intense with climate change. This article is protected by copyright. All rights reserved.","author":[{"dropping-particle":"","family":"Long","given":"Jonathan R.","non-dropping-particle":"De","parse-names":false,"suffix":""},{"dropping-particle":"","family":"Semchenko","given":"Marina","non-dropping-particle":"","parse-names":false,"suffix":""},{"dropping-particle":"","family":"Pritchard","given":"William J.","non-dropping-particle":"","parse-names":false,"suffix":""},{"dropping-particle":"","family":"Cordero","given":"Irene","non-dropping-particle":"","parse-names":false,"suffix":""},{"dropping-particle":"","family":"Fry","given":"Ellen L.","non-dropping-particle":"","parse-names":false,"suffix":""},{"dropping-particle":"","family":"Jackson","given":"Benjamin G.","non-dropping-particle":"","parse-names":false,"suffix":""},{"dropping-particle":"","family":"Kurnosova","given":"Ksenia","non-dropping-particle":"","parse-names":false,"suffix":""},{"dropping-particle":"","family":"Ostle","given":"Nicholas J.","non-dropping-particle":"","parse-names":false,"suffix":""},{"dropping-particle":"","family":"Johnson","given":"David","non-dropping-particle":"","parse-names":false,"suffix":""},{"dropping-particle":"","family":"Baggs","given":"Elizabeth M.","non-dropping-particle":"","parse-names":false,"suffix":""},{"dropping-particle":"","family":"Bardgett","given":"Richard D.","non-dropping-particle":"","parse-names":false,"suffix":""}],"container-title":"Functional Ecology","id":"ITEM-1","issue":"8","issued":{"date-parts":[["2019"]]},"page":"1400-1410","title":"Drought soil legacy overrides maternal effects on plant growth","type":"article-journal","volume":"33"},"uris":["http://www.mendeley.com/documents/?uuid=4dccd8f9-f1df-46a8-84c3-3fb809f03087"]}],"mendeley":{"formattedCitation":"(De Long &lt;i&gt;et al.&lt;/i&gt; 2019)","manualFormatting":"De Long et al. (2019)","plainTextFormattedCitation":"(De Long et al. 2019)","previouslyFormattedCitation":"(De Long &lt;i&gt;et al.&lt;/i&gt; 2019)"},"properties":{"noteIndex":0},"schema":"https://github.com/citation-style-language/schema/raw/master/csl-citation.json"}</w:instrText>
      </w:r>
      <w:r w:rsidRPr="005001D6">
        <w:rPr>
          <w:rFonts w:cstheme="minorHAnsi"/>
        </w:rPr>
        <w:fldChar w:fldCharType="separate"/>
      </w:r>
      <w:r w:rsidRPr="005001D6">
        <w:rPr>
          <w:rFonts w:cstheme="minorHAnsi"/>
          <w:noProof/>
        </w:rPr>
        <w:t xml:space="preserve">De Long </w:t>
      </w:r>
      <w:r w:rsidRPr="005001D6">
        <w:rPr>
          <w:rFonts w:cstheme="minorHAnsi"/>
          <w:i/>
          <w:noProof/>
        </w:rPr>
        <w:t>et al.</w:t>
      </w:r>
      <w:r w:rsidRPr="005001D6">
        <w:rPr>
          <w:rFonts w:cstheme="minorHAnsi"/>
          <w:noProof/>
        </w:rPr>
        <w:t xml:space="preserve"> (2019)</w:t>
      </w:r>
      <w:r w:rsidRPr="005001D6">
        <w:rPr>
          <w:rFonts w:cstheme="minorHAnsi"/>
        </w:rPr>
        <w:fldChar w:fldCharType="end"/>
      </w:r>
      <w:r w:rsidRPr="005001D6">
        <w:rPr>
          <w:rFonts w:cstheme="minorHAnsi"/>
        </w:rPr>
        <w:t>. Specifically</w:t>
      </w:r>
      <w:r w:rsidR="00DE6F0F" w:rsidRPr="005001D6">
        <w:rPr>
          <w:rFonts w:cstheme="minorHAnsi"/>
        </w:rPr>
        <w:t>, 0.25</w:t>
      </w:r>
      <w:r w:rsidR="00B96C94" w:rsidRPr="005001D6">
        <w:rPr>
          <w:rFonts w:cstheme="minorHAnsi"/>
        </w:rPr>
        <w:t xml:space="preserve"> </w:t>
      </w:r>
      <w:r w:rsidR="00DE6F0F" w:rsidRPr="005001D6">
        <w:rPr>
          <w:rFonts w:cstheme="minorHAnsi"/>
        </w:rPr>
        <w:t>g of soil was suspended in 25</w:t>
      </w:r>
      <w:r w:rsidR="00B96C94" w:rsidRPr="005001D6">
        <w:rPr>
          <w:rFonts w:cstheme="minorHAnsi"/>
        </w:rPr>
        <w:t xml:space="preserve"> </w:t>
      </w:r>
      <w:r w:rsidR="00DE6F0F" w:rsidRPr="005001D6">
        <w:rPr>
          <w:rFonts w:cstheme="minorHAnsi"/>
        </w:rPr>
        <w:t>ml of sodium acetate buffer (50</w:t>
      </w:r>
      <w:r w:rsidR="00B96C94" w:rsidRPr="005001D6">
        <w:rPr>
          <w:rFonts w:cstheme="minorHAnsi"/>
        </w:rPr>
        <w:t xml:space="preserve"> </w:t>
      </w:r>
      <w:proofErr w:type="spellStart"/>
      <w:r w:rsidR="00DE6F0F" w:rsidRPr="005001D6">
        <w:rPr>
          <w:rFonts w:cstheme="minorHAnsi"/>
        </w:rPr>
        <w:t>mM</w:t>
      </w:r>
      <w:proofErr w:type="spellEnd"/>
      <w:r w:rsidR="00DE6F0F" w:rsidRPr="005001D6">
        <w:rPr>
          <w:rFonts w:cstheme="minorHAnsi"/>
        </w:rPr>
        <w:t>, pH 5.0). Then 0.4</w:t>
      </w:r>
      <w:r w:rsidR="00B96C94" w:rsidRPr="005001D6">
        <w:rPr>
          <w:rFonts w:cstheme="minorHAnsi"/>
        </w:rPr>
        <w:t xml:space="preserve"> </w:t>
      </w:r>
      <w:r w:rsidR="00DE6F0F" w:rsidRPr="005001D6">
        <w:rPr>
          <w:rFonts w:cstheme="minorHAnsi"/>
        </w:rPr>
        <w:t>ml of soil slurry was extracted under continuous shaking and mixed (1:1) with a 20</w:t>
      </w:r>
      <w:r w:rsidR="00B96C94" w:rsidRPr="005001D6">
        <w:rPr>
          <w:rFonts w:cstheme="minorHAnsi"/>
        </w:rPr>
        <w:t xml:space="preserve"> </w:t>
      </w:r>
      <w:proofErr w:type="spellStart"/>
      <w:r w:rsidR="00DE6F0F" w:rsidRPr="005001D6">
        <w:rPr>
          <w:rFonts w:cstheme="minorHAnsi"/>
        </w:rPr>
        <w:t>mM</w:t>
      </w:r>
      <w:proofErr w:type="spellEnd"/>
      <w:r w:rsidR="00DE6F0F" w:rsidRPr="005001D6">
        <w:rPr>
          <w:rFonts w:cstheme="minorHAnsi"/>
        </w:rPr>
        <w:t xml:space="preserve"> L-3</w:t>
      </w:r>
      <w:proofErr w:type="gramStart"/>
      <w:r w:rsidR="00DE6F0F" w:rsidRPr="005001D6">
        <w:rPr>
          <w:rFonts w:cstheme="minorHAnsi"/>
        </w:rPr>
        <w:t>,4</w:t>
      </w:r>
      <w:proofErr w:type="gramEnd"/>
      <w:r w:rsidR="00DE6F0F" w:rsidRPr="005001D6">
        <w:rPr>
          <w:rFonts w:cstheme="minorHAnsi"/>
        </w:rPr>
        <w:t xml:space="preserve">-dihydroxyphenylalanin (L-DOPA) solution in a deep-well block. Blocks were shaken for 10 min and centrifuged (2900 x </w:t>
      </w:r>
      <w:r w:rsidR="00DE6F0F" w:rsidRPr="005001D6">
        <w:rPr>
          <w:rFonts w:cstheme="minorHAnsi"/>
          <w:i/>
        </w:rPr>
        <w:t>g</w:t>
      </w:r>
      <w:r w:rsidR="00DE6F0F" w:rsidRPr="005001D6">
        <w:rPr>
          <w:rFonts w:cstheme="minorHAnsi"/>
        </w:rPr>
        <w:t>, 5 min), and then 250</w:t>
      </w:r>
      <w:r w:rsidR="00B96C94" w:rsidRPr="005001D6">
        <w:rPr>
          <w:rFonts w:cstheme="minorHAnsi"/>
        </w:rPr>
        <w:t xml:space="preserve"> </w:t>
      </w:r>
      <w:r w:rsidR="00DE6F0F" w:rsidRPr="005001D6">
        <w:rPr>
          <w:rFonts w:cstheme="minorHAnsi"/>
        </w:rPr>
        <w:t>µl of the supernatant was pipetted into transparent 96-well plates. For peroxidase activity, wells additionally received 10</w:t>
      </w:r>
      <w:r w:rsidR="00B96C94" w:rsidRPr="005001D6">
        <w:rPr>
          <w:rFonts w:cstheme="minorHAnsi"/>
        </w:rPr>
        <w:t xml:space="preserve"> </w:t>
      </w:r>
      <w:r w:rsidR="00DE6F0F" w:rsidRPr="005001D6">
        <w:rPr>
          <w:rFonts w:cstheme="minorHAnsi"/>
        </w:rPr>
        <w:t>µl of a 0.3% H</w:t>
      </w:r>
      <w:r w:rsidR="00DE6F0F" w:rsidRPr="005001D6">
        <w:rPr>
          <w:rFonts w:cstheme="minorHAnsi"/>
          <w:vertAlign w:val="subscript"/>
        </w:rPr>
        <w:t>2</w:t>
      </w:r>
      <w:r w:rsidR="00DE6F0F" w:rsidRPr="005001D6">
        <w:rPr>
          <w:rFonts w:cstheme="minorHAnsi"/>
        </w:rPr>
        <w:t>O</w:t>
      </w:r>
      <w:r w:rsidR="00DE6F0F" w:rsidRPr="005001D6">
        <w:rPr>
          <w:rFonts w:cstheme="minorHAnsi"/>
          <w:vertAlign w:val="subscript"/>
        </w:rPr>
        <w:t>2</w:t>
      </w:r>
      <w:r w:rsidR="00DE6F0F" w:rsidRPr="005001D6">
        <w:rPr>
          <w:rFonts w:cstheme="minorHAnsi"/>
        </w:rPr>
        <w:t xml:space="preserve"> solution. Absorbance was measured at 450</w:t>
      </w:r>
      <w:r w:rsidR="00B96C94" w:rsidRPr="005001D6">
        <w:rPr>
          <w:rFonts w:cstheme="minorHAnsi"/>
        </w:rPr>
        <w:t xml:space="preserve"> </w:t>
      </w:r>
      <w:r w:rsidR="00DE6F0F" w:rsidRPr="005001D6">
        <w:rPr>
          <w:rFonts w:cstheme="minorHAnsi"/>
        </w:rPr>
        <w:t xml:space="preserve">nm in </w:t>
      </w:r>
      <w:r w:rsidR="00810900" w:rsidRPr="005001D6">
        <w:rPr>
          <w:rFonts w:cstheme="minorHAnsi"/>
        </w:rPr>
        <w:t>a</w:t>
      </w:r>
      <w:r w:rsidR="00DE6F0F" w:rsidRPr="005001D6">
        <w:rPr>
          <w:rFonts w:cstheme="minorHAnsi"/>
        </w:rPr>
        <w:t xml:space="preserve"> plate reader </w:t>
      </w:r>
      <w:r w:rsidR="00782DA5" w:rsidRPr="005001D6">
        <w:rPr>
          <w:rFonts w:cstheme="minorHAnsi"/>
        </w:rPr>
        <w:t xml:space="preserve">microplate reader (EZ400 Research, </w:t>
      </w:r>
      <w:proofErr w:type="spellStart"/>
      <w:r w:rsidR="00782DA5" w:rsidRPr="005001D6">
        <w:rPr>
          <w:rFonts w:cstheme="minorHAnsi"/>
        </w:rPr>
        <w:t>Biochrom</w:t>
      </w:r>
      <w:proofErr w:type="spellEnd"/>
      <w:r w:rsidR="00782DA5" w:rsidRPr="005001D6">
        <w:rPr>
          <w:rFonts w:cstheme="minorHAnsi"/>
        </w:rPr>
        <w:t xml:space="preserve">, Germany) </w:t>
      </w:r>
      <w:r w:rsidR="00DE6F0F" w:rsidRPr="005001D6">
        <w:rPr>
          <w:rFonts w:cstheme="minorHAnsi"/>
        </w:rPr>
        <w:t>at the starting time point (t0), after 1.5h (t1 for PER) and after 20h (t1 for POX) at 18</w:t>
      </w:r>
      <w:r w:rsidR="00B96C94" w:rsidRPr="005001D6">
        <w:rPr>
          <w:rFonts w:cstheme="minorHAnsi"/>
        </w:rPr>
        <w:t xml:space="preserve"> </w:t>
      </w:r>
      <w:r w:rsidR="007D5819" w:rsidRPr="005001D6">
        <w:rPr>
          <w:rFonts w:cstheme="minorHAnsi"/>
        </w:rPr>
        <w:t>°</w:t>
      </w:r>
      <w:r w:rsidR="00DE6F0F" w:rsidRPr="005001D6">
        <w:rPr>
          <w:rFonts w:cstheme="minorHAnsi"/>
        </w:rPr>
        <w:t xml:space="preserve">C. Enzyme activity was calculated from the difference in absorption between the two time points, corrected for substrate colouration, and using a previously published value of the </w:t>
      </w:r>
      <w:proofErr w:type="spellStart"/>
      <w:r w:rsidR="00DE6F0F" w:rsidRPr="005001D6">
        <w:rPr>
          <w:rFonts w:cstheme="minorHAnsi"/>
        </w:rPr>
        <w:t>micromolar</w:t>
      </w:r>
      <w:proofErr w:type="spellEnd"/>
      <w:r w:rsidR="00DE6F0F" w:rsidRPr="005001D6">
        <w:rPr>
          <w:rFonts w:cstheme="minorHAnsi"/>
        </w:rPr>
        <w:t xml:space="preserve"> extinction coefficient of oxidized L-DOPA (7.9</w:t>
      </w:r>
      <w:r w:rsidR="00B96C94" w:rsidRPr="005001D6">
        <w:rPr>
          <w:rFonts w:cstheme="minorHAnsi"/>
        </w:rPr>
        <w:t xml:space="preserve"> </w:t>
      </w:r>
      <w:r w:rsidR="00DE6F0F" w:rsidRPr="005001D6">
        <w:rPr>
          <w:rFonts w:cstheme="minorHAnsi"/>
        </w:rPr>
        <w:t>µmol</w:t>
      </w:r>
      <w:r w:rsidR="00DE6F0F" w:rsidRPr="005001D6">
        <w:rPr>
          <w:rFonts w:cstheme="minorHAnsi"/>
          <w:vertAlign w:val="superscript"/>
        </w:rPr>
        <w:t>-1</w:t>
      </w:r>
      <w:r w:rsidR="00DE6F0F" w:rsidRPr="005001D6">
        <w:rPr>
          <w:rFonts w:cstheme="minorHAnsi"/>
        </w:rPr>
        <w:t>)</w:t>
      </w:r>
      <w:r w:rsidR="00340EE9" w:rsidRPr="005001D6">
        <w:rPr>
          <w:rFonts w:cstheme="minorHAnsi"/>
        </w:rPr>
        <w:t xml:space="preserve"> </w:t>
      </w:r>
      <w:r w:rsidR="00DE6F0F" w:rsidRPr="005001D6">
        <w:rPr>
          <w:rFonts w:cstheme="minorHAnsi"/>
        </w:rPr>
        <w:fldChar w:fldCharType="begin" w:fldLock="1"/>
      </w:r>
      <w:r w:rsidR="00361CE6" w:rsidRPr="005001D6">
        <w:rPr>
          <w:rFonts w:cstheme="minorHAnsi"/>
        </w:rPr>
        <w:instrText>ADDIN CSL_CITATION {"citationItems":[{"id":"ITEM-1","itemData":{"DOI":"10.1016/j.soilbio.2009.02.029","ISSN":"00380717","abstract":"The purpose of this experiment was to evaluate whether soil storage and processing methods significantly influence measurements of potential in situ enzyme activity in acidic forest soils. More specifically, the objectives were to determine if: (1) duration and temperature of soil storage; (2) duration of soil slurry in buffer; and (3) age of model substrates significantly influence the activity of six commonly measured soil extracellular enzymes using methylumbelliferone (MUB)-linked substrates and l-dihydroxyphenylalanine (l-DOPA). Soil collected and analyzed for enzyme activity within 2 h was considered the best measure of potential in situ enzyme activity and the benchmark for all statistical comparisons. Sub-samples of the same soil were stored at either 4 °C or -20 °C. In addition to the temperature manipulation, soils experienced two more experimental treatments. First, enzyme activity was analyzed 2, 7, 14, and 21 days after collection. Second, MUB-linked substrate was added immediately (i.e. &lt;20 min) or 2 h after mixing soil with buffer. Enzyme activity of soil stored at 4 °C was not significantly different from soil stored at -20 °C. The duration of soil storage was minimal for β-glucosidase, β-xylosidase, and peroxidase activity. N-acetyl-glucosaminidase (NAGase), phosphatase, and phenol oxidase activity appeared to change the most when compared to fresh soils, but the direction of change varied. Likewise, the activities of these enzymes were most sensitive to extended time in buffer. Fluorometric MUB and MUB-linked substrates generally had a 3-day shelf life before they start to significantly suppress reported activities when kept at 4 °C. These findings suggest that the manner in which acidic forest soils are stored and processed are site and enzyme specific and should not initially be trivialized when conducting enzyme assays focusing on NAGase, phosphatase, and phenol oxidase. The activities of β-glucosidase, β-xylosidase, and peroxidase are insensitive to storage and processing methods. © 2009 Elsevier Ltd. All rights reserved.","author":[{"dropping-particle":"","family":"DeForest","given":"Jared L.","non-dropping-particle":"","parse-names":false,"suffix":""}],"container-title":"Soil Biology and Biochemistry","id":"ITEM-1","issue":"6","issued":{"date-parts":[["2009"]]},"page":"1180-1186","publisher":"Elsevier Ltd","title":"The influence of time, storage temperature, and substrate age on potential soil enzyme activity in acidic forest soils using MUB-linked substrates and l-DOPA","type":"article-journal","volume":"41"},"uris":["http://www.mendeley.com/documents/?uuid=2261f76e-b5d8-4491-ba3e-92f3a980abb5"]}],"mendeley":{"formattedCitation":"(DeForest 2009)","plainTextFormattedCitation":"(DeForest 2009)","previouslyFormattedCitation":"(DeForest 2009)"},"properties":{"noteIndex":0},"schema":"https://github.com/citation-style-language/schema/raw/master/csl-citation.json"}</w:instrText>
      </w:r>
      <w:r w:rsidR="00DE6F0F" w:rsidRPr="005001D6">
        <w:rPr>
          <w:rFonts w:cstheme="minorHAnsi"/>
        </w:rPr>
        <w:fldChar w:fldCharType="separate"/>
      </w:r>
      <w:r w:rsidR="00627DCC" w:rsidRPr="005001D6">
        <w:rPr>
          <w:rFonts w:cstheme="minorHAnsi"/>
          <w:noProof/>
        </w:rPr>
        <w:t>(DeForest 2009)</w:t>
      </w:r>
      <w:r w:rsidR="00DE6F0F" w:rsidRPr="005001D6">
        <w:rPr>
          <w:rFonts w:cstheme="minorHAnsi"/>
        </w:rPr>
        <w:fldChar w:fldCharType="end"/>
      </w:r>
      <w:r w:rsidR="00DE6F0F" w:rsidRPr="005001D6">
        <w:rPr>
          <w:rFonts w:cstheme="minorHAnsi"/>
        </w:rPr>
        <w:t xml:space="preserve">. For PER activity, POX activity </w:t>
      </w:r>
      <w:r w:rsidR="00DE6F0F" w:rsidRPr="005001D6">
        <w:rPr>
          <w:rFonts w:cstheme="minorHAnsi"/>
        </w:rPr>
        <w:lastRenderedPageBreak/>
        <w:t>was subtracted as both enzymes could be oxidizing DOPA in the presence of O</w:t>
      </w:r>
      <w:r w:rsidR="00DE6F0F" w:rsidRPr="005001D6">
        <w:rPr>
          <w:rFonts w:cstheme="minorHAnsi"/>
          <w:vertAlign w:val="subscript"/>
        </w:rPr>
        <w:t>2</w:t>
      </w:r>
      <w:r w:rsidR="00DE6F0F" w:rsidRPr="005001D6">
        <w:rPr>
          <w:rFonts w:cstheme="minorHAnsi"/>
        </w:rPr>
        <w:t xml:space="preserve"> and H</w:t>
      </w:r>
      <w:r w:rsidR="00DE6F0F" w:rsidRPr="005001D6">
        <w:rPr>
          <w:rFonts w:cstheme="minorHAnsi"/>
          <w:vertAlign w:val="subscript"/>
        </w:rPr>
        <w:t>2</w:t>
      </w:r>
      <w:r w:rsidR="00DE6F0F" w:rsidRPr="005001D6">
        <w:rPr>
          <w:rFonts w:cstheme="minorHAnsi"/>
        </w:rPr>
        <w:t>O</w:t>
      </w:r>
      <w:r w:rsidR="00DE6F0F" w:rsidRPr="005001D6">
        <w:rPr>
          <w:rFonts w:cstheme="minorHAnsi"/>
          <w:vertAlign w:val="subscript"/>
        </w:rPr>
        <w:t>2</w:t>
      </w:r>
      <w:r w:rsidR="00DE6F0F" w:rsidRPr="005001D6">
        <w:rPr>
          <w:rFonts w:cstheme="minorHAnsi"/>
        </w:rPr>
        <w:t>. Reported activity is the mean of three analytical replicates for each soil sample.</w:t>
      </w:r>
    </w:p>
    <w:p w14:paraId="2F885D61" w14:textId="21496A17" w:rsidR="007C3FAF" w:rsidRPr="005001D6" w:rsidRDefault="00DE6F0F" w:rsidP="00173FAF">
      <w:pPr>
        <w:spacing w:line="480" w:lineRule="auto"/>
        <w:jc w:val="both"/>
        <w:rPr>
          <w:rFonts w:cstheme="minorHAnsi"/>
        </w:rPr>
      </w:pPr>
      <w:r w:rsidRPr="005001D6">
        <w:t>For URE</w:t>
      </w:r>
      <w:r w:rsidR="0063242A" w:rsidRPr="005001D6">
        <w:t xml:space="preserve"> we followed the methods of </w:t>
      </w:r>
      <w:r w:rsidR="0063242A" w:rsidRPr="005001D6">
        <w:fldChar w:fldCharType="begin" w:fldLock="1"/>
      </w:r>
      <w:r w:rsidR="001D02DE" w:rsidRPr="005001D6">
        <w:instrText>ADDIN CSL_CITATION {"citationItems":[{"id":"ITEM-1","itemData":{"DOI":"10.1016/j.soilbio.2019.03.014","ISSN":"00380717","abstract":"Extracellular enzymes break down soil organic matter into smaller compounds and their measurement has proved to be a powerful tool to evaluate the functionality of soils. Urease is the enzyme that degrades urea and is widely considered to be a good proxy of nitrogen (N) mineralisation. But the methods available to measure this enzyme are time consuming; as such, urease is not commonly included in standard enzyme profiling of soils. We developed a fast, high throughput and reproducible colorimetric microplate technique to evaluate urease activity in soil. The method involves the incubation of soil slurries in 96-deepwell blocks with urea solutions and the measurement, by colorimetric reaction, of ammonium produced. We compared the new method with existing methods, yielding comparable results, and evaluated optimal conditions for urease analysis (soil slurry concentration, substrate concentration, incubation times and extractant salt concentration) in different grassland soils. The method proved to be a faster, higher throughput, and more precise alternative to existing methods for evaluating this important N-related enzyme.","author":[{"dropping-particle":"","family":"Cordero","given":"Irene","non-dropping-particle":"","parse-names":false,"suffix":""},{"dropping-particle":"","family":"Snell","given":"Helen","non-dropping-particle":"","parse-names":false,"suffix":""},{"dropping-particle":"","family":"Bardgett","given":"Richard D.","non-dropping-particle":"","parse-names":false,"suffix":""}],"container-title":"Soil Biology and Biochemistry","id":"ITEM-1","issue":"January","issued":{"date-parts":[["2019"]]},"page":"72-77","publisher":"Elsevier","title":"High throughput method for measuring urease activity in soil","type":"article-journal","volume":"134"},"uris":["http://www.mendeley.com/documents/?uuid=72e1ff74-396c-4d8f-ae3c-a9345dd484eb"]}],"mendeley":{"formattedCitation":"(Cordero &lt;i&gt;et al.&lt;/i&gt; 2019)","manualFormatting":"Cordero et al. (2019)","plainTextFormattedCitation":"(Cordero et al. 2019)","previouslyFormattedCitation":"(Cordero &lt;i&gt;et al.&lt;/i&gt; 2019)"},"properties":{"noteIndex":0},"schema":"https://github.com/citation-style-language/schema/raw/master/csl-citation.json"}</w:instrText>
      </w:r>
      <w:r w:rsidR="0063242A" w:rsidRPr="005001D6">
        <w:fldChar w:fldCharType="separate"/>
      </w:r>
      <w:r w:rsidR="0063242A" w:rsidRPr="005001D6">
        <w:rPr>
          <w:noProof/>
        </w:rPr>
        <w:t xml:space="preserve">Cordero </w:t>
      </w:r>
      <w:r w:rsidR="0063242A" w:rsidRPr="005001D6">
        <w:rPr>
          <w:i/>
          <w:noProof/>
        </w:rPr>
        <w:t>et al.</w:t>
      </w:r>
      <w:r w:rsidR="0063242A" w:rsidRPr="005001D6">
        <w:rPr>
          <w:noProof/>
        </w:rPr>
        <w:t xml:space="preserve"> (2019)</w:t>
      </w:r>
      <w:r w:rsidR="0063242A" w:rsidRPr="005001D6">
        <w:fldChar w:fldCharType="end"/>
      </w:r>
      <w:r w:rsidR="0063242A" w:rsidRPr="005001D6">
        <w:t>. Specifically,</w:t>
      </w:r>
      <w:r w:rsidR="007C3FAF" w:rsidRPr="005001D6">
        <w:t xml:space="preserve"> </w:t>
      </w:r>
      <w:r w:rsidR="00B565E5" w:rsidRPr="005001D6">
        <w:t>2</w:t>
      </w:r>
      <w:r w:rsidR="00B96C94" w:rsidRPr="005001D6">
        <w:t xml:space="preserve"> </w:t>
      </w:r>
      <w:r w:rsidR="00B565E5" w:rsidRPr="005001D6">
        <w:t>g of soil was suspended in 5</w:t>
      </w:r>
      <w:r w:rsidR="00B96C94" w:rsidRPr="005001D6">
        <w:t xml:space="preserve"> </w:t>
      </w:r>
      <w:r w:rsidR="00B565E5" w:rsidRPr="005001D6">
        <w:t xml:space="preserve">mL of sodium acetate buffer </w:t>
      </w:r>
      <w:r w:rsidR="00B565E5" w:rsidRPr="005001D6">
        <w:rPr>
          <w:rFonts w:cstheme="minorHAnsi"/>
        </w:rPr>
        <w:t>(50</w:t>
      </w:r>
      <w:r w:rsidR="00B96C94" w:rsidRPr="005001D6">
        <w:rPr>
          <w:rFonts w:cstheme="minorHAnsi"/>
        </w:rPr>
        <w:t xml:space="preserve"> </w:t>
      </w:r>
      <w:proofErr w:type="spellStart"/>
      <w:r w:rsidR="00B565E5" w:rsidRPr="005001D6">
        <w:rPr>
          <w:rFonts w:cstheme="minorHAnsi"/>
        </w:rPr>
        <w:t>mM</w:t>
      </w:r>
      <w:proofErr w:type="spellEnd"/>
      <w:r w:rsidR="00B565E5" w:rsidRPr="005001D6">
        <w:rPr>
          <w:rFonts w:cstheme="minorHAnsi"/>
        </w:rPr>
        <w:t>, pH 5.0). Then 0.25</w:t>
      </w:r>
      <w:r w:rsidR="00B96C94" w:rsidRPr="005001D6">
        <w:rPr>
          <w:rFonts w:cstheme="minorHAnsi"/>
        </w:rPr>
        <w:t xml:space="preserve"> </w:t>
      </w:r>
      <w:r w:rsidR="00B565E5" w:rsidRPr="005001D6">
        <w:rPr>
          <w:rFonts w:cstheme="minorHAnsi"/>
        </w:rPr>
        <w:t>ml of soil slurry was extracted under continuous shaking and mixed with 0.1mL urea solution (80</w:t>
      </w:r>
      <w:r w:rsidR="00B96C94" w:rsidRPr="005001D6">
        <w:rPr>
          <w:rFonts w:cstheme="minorHAnsi"/>
        </w:rPr>
        <w:t xml:space="preserve"> </w:t>
      </w:r>
      <w:proofErr w:type="spellStart"/>
      <w:r w:rsidR="00B565E5" w:rsidRPr="005001D6">
        <w:rPr>
          <w:rFonts w:cstheme="minorHAnsi"/>
        </w:rPr>
        <w:t>mM</w:t>
      </w:r>
      <w:proofErr w:type="spellEnd"/>
      <w:r w:rsidR="00B565E5" w:rsidRPr="005001D6">
        <w:rPr>
          <w:rFonts w:cstheme="minorHAnsi"/>
        </w:rPr>
        <w:t xml:space="preserve">) in a deep-well block. Blocks were centrifuged (2900 x </w:t>
      </w:r>
      <w:r w:rsidR="00B565E5" w:rsidRPr="005001D6">
        <w:rPr>
          <w:rFonts w:cstheme="minorHAnsi"/>
          <w:i/>
          <w:iCs/>
        </w:rPr>
        <w:t>g</w:t>
      </w:r>
      <w:r w:rsidR="00B565E5" w:rsidRPr="005001D6">
        <w:rPr>
          <w:rFonts w:cstheme="minorHAnsi"/>
        </w:rPr>
        <w:t>, 10 sec) and incubated under continuous shaking at 18</w:t>
      </w:r>
      <w:r w:rsidR="00B96C94" w:rsidRPr="005001D6">
        <w:rPr>
          <w:rFonts w:cstheme="minorHAnsi"/>
        </w:rPr>
        <w:t xml:space="preserve"> </w:t>
      </w:r>
      <w:r w:rsidR="007D5819" w:rsidRPr="005001D6">
        <w:rPr>
          <w:rFonts w:cstheme="minorHAnsi"/>
        </w:rPr>
        <w:t>°</w:t>
      </w:r>
      <w:r w:rsidR="00B565E5" w:rsidRPr="005001D6">
        <w:rPr>
          <w:rFonts w:cstheme="minorHAnsi"/>
        </w:rPr>
        <w:t>C. Then 1</w:t>
      </w:r>
      <w:r w:rsidR="00B96C94" w:rsidRPr="005001D6">
        <w:rPr>
          <w:rFonts w:cstheme="minorHAnsi"/>
        </w:rPr>
        <w:t xml:space="preserve"> </w:t>
      </w:r>
      <w:r w:rsidR="00B565E5" w:rsidRPr="005001D6">
        <w:rPr>
          <w:rFonts w:cstheme="minorHAnsi"/>
        </w:rPr>
        <w:t>m</w:t>
      </w:r>
      <w:r w:rsidR="007D5819" w:rsidRPr="005001D6">
        <w:rPr>
          <w:rFonts w:cstheme="minorHAnsi"/>
        </w:rPr>
        <w:t>l</w:t>
      </w:r>
      <w:r w:rsidR="00B565E5" w:rsidRPr="005001D6">
        <w:rPr>
          <w:rFonts w:cstheme="minorHAnsi"/>
        </w:rPr>
        <w:t xml:space="preserve"> of 2</w:t>
      </w:r>
      <w:r w:rsidR="007D5819" w:rsidRPr="005001D6">
        <w:rPr>
          <w:rFonts w:cstheme="minorHAnsi"/>
        </w:rPr>
        <w:t xml:space="preserve"> </w:t>
      </w:r>
      <w:r w:rsidR="00B565E5" w:rsidRPr="005001D6">
        <w:rPr>
          <w:rFonts w:cstheme="minorHAnsi"/>
        </w:rPr>
        <w:t xml:space="preserve">M </w:t>
      </w:r>
      <w:proofErr w:type="spellStart"/>
      <w:r w:rsidR="00B565E5" w:rsidRPr="005001D6">
        <w:rPr>
          <w:rFonts w:cstheme="minorHAnsi"/>
        </w:rPr>
        <w:t>KCl</w:t>
      </w:r>
      <w:proofErr w:type="spellEnd"/>
      <w:r w:rsidR="00B565E5" w:rsidRPr="005001D6">
        <w:rPr>
          <w:rFonts w:cstheme="minorHAnsi"/>
        </w:rPr>
        <w:t xml:space="preserve"> was added and incubated under continuous shaking for 30 min. Blocks were centrifuged (2900 x </w:t>
      </w:r>
      <w:r w:rsidR="00B565E5" w:rsidRPr="005001D6">
        <w:rPr>
          <w:rFonts w:cstheme="minorHAnsi"/>
          <w:i/>
        </w:rPr>
        <w:t>g</w:t>
      </w:r>
      <w:r w:rsidR="00B565E5" w:rsidRPr="005001D6">
        <w:rPr>
          <w:rFonts w:cstheme="minorHAnsi"/>
        </w:rPr>
        <w:t>, 5 min) and then 75</w:t>
      </w:r>
      <w:r w:rsidR="00B96C94" w:rsidRPr="005001D6">
        <w:rPr>
          <w:rFonts w:cstheme="minorHAnsi"/>
        </w:rPr>
        <w:t xml:space="preserve"> </w:t>
      </w:r>
      <w:r w:rsidR="00B565E5" w:rsidRPr="005001D6">
        <w:rPr>
          <w:rFonts w:cstheme="minorHAnsi"/>
        </w:rPr>
        <w:t>µl of the supernatant was pipetted into transparent 96-well plates that contained 75</w:t>
      </w:r>
      <w:r w:rsidR="00B96C94" w:rsidRPr="005001D6">
        <w:rPr>
          <w:rFonts w:cstheme="minorHAnsi"/>
        </w:rPr>
        <w:t xml:space="preserve"> </w:t>
      </w:r>
      <w:r w:rsidR="00B565E5" w:rsidRPr="005001D6">
        <w:rPr>
          <w:rFonts w:cstheme="minorHAnsi"/>
        </w:rPr>
        <w:t>µl of ultrapure water.</w:t>
      </w:r>
      <w:r w:rsidR="00810900" w:rsidRPr="005001D6">
        <w:rPr>
          <w:rFonts w:cstheme="minorHAnsi"/>
        </w:rPr>
        <w:t xml:space="preserve"> Wells then received </w:t>
      </w:r>
      <w:r w:rsidR="00B565E5" w:rsidRPr="005001D6">
        <w:rPr>
          <w:rFonts w:cstheme="minorHAnsi"/>
        </w:rPr>
        <w:t>75</w:t>
      </w:r>
      <w:r w:rsidR="00B96C94" w:rsidRPr="005001D6">
        <w:rPr>
          <w:rFonts w:cstheme="minorHAnsi"/>
        </w:rPr>
        <w:t xml:space="preserve"> </w:t>
      </w:r>
      <w:r w:rsidR="00B565E5" w:rsidRPr="005001D6">
        <w:rPr>
          <w:rFonts w:cstheme="minorHAnsi"/>
        </w:rPr>
        <w:t xml:space="preserve">µl of </w:t>
      </w:r>
      <w:r w:rsidR="00810900" w:rsidRPr="005001D6">
        <w:rPr>
          <w:rFonts w:cstheme="minorHAnsi"/>
        </w:rPr>
        <w:t>colour reagent</w:t>
      </w:r>
      <w:r w:rsidR="00616B9D" w:rsidRPr="005001D6">
        <w:rPr>
          <w:rFonts w:cstheme="minorHAnsi"/>
        </w:rPr>
        <w:t xml:space="preserve"> (</w:t>
      </w:r>
      <w:r w:rsidR="00C947AB" w:rsidRPr="005001D6">
        <w:rPr>
          <w:rFonts w:cstheme="minorHAnsi"/>
        </w:rPr>
        <w:t>0.15</w:t>
      </w:r>
      <w:r w:rsidR="00B96C94" w:rsidRPr="005001D6">
        <w:rPr>
          <w:rFonts w:cstheme="minorHAnsi"/>
        </w:rPr>
        <w:t xml:space="preserve"> </w:t>
      </w:r>
      <w:r w:rsidR="00C947AB" w:rsidRPr="005001D6">
        <w:rPr>
          <w:rFonts w:cstheme="minorHAnsi"/>
        </w:rPr>
        <w:t xml:space="preserve">M </w:t>
      </w:r>
      <w:proofErr w:type="spellStart"/>
      <w:r w:rsidR="00C947AB" w:rsidRPr="005001D6">
        <w:rPr>
          <w:rFonts w:cstheme="minorHAnsi"/>
        </w:rPr>
        <w:t>NaOH</w:t>
      </w:r>
      <w:proofErr w:type="spellEnd"/>
      <w:r w:rsidR="00C947AB" w:rsidRPr="005001D6">
        <w:rPr>
          <w:rFonts w:cstheme="minorHAnsi"/>
        </w:rPr>
        <w:t xml:space="preserve"> mixed with 170 mg ml</w:t>
      </w:r>
      <w:r w:rsidR="00C947AB" w:rsidRPr="005001D6">
        <w:rPr>
          <w:rFonts w:cstheme="minorHAnsi"/>
          <w:vertAlign w:val="superscript"/>
        </w:rPr>
        <w:t>−1</w:t>
      </w:r>
      <w:r w:rsidR="00C947AB" w:rsidRPr="005001D6">
        <w:rPr>
          <w:rFonts w:cstheme="minorHAnsi"/>
        </w:rPr>
        <w:t xml:space="preserve"> sodium salicylate and 1.278 mg ml</w:t>
      </w:r>
      <w:r w:rsidR="00C947AB" w:rsidRPr="005001D6">
        <w:rPr>
          <w:rFonts w:cstheme="minorHAnsi"/>
          <w:vertAlign w:val="superscript"/>
        </w:rPr>
        <w:t>−1</w:t>
      </w:r>
      <w:r w:rsidR="00C947AB" w:rsidRPr="005001D6">
        <w:rPr>
          <w:rFonts w:cstheme="minorHAnsi"/>
        </w:rPr>
        <w:t xml:space="preserve"> sodium nitroprusside dehydrate just before use)</w:t>
      </w:r>
      <w:r w:rsidR="00810900" w:rsidRPr="005001D6">
        <w:rPr>
          <w:rFonts w:cstheme="minorHAnsi"/>
        </w:rPr>
        <w:t xml:space="preserve"> and 30</w:t>
      </w:r>
      <w:r w:rsidR="00D60CBB" w:rsidRPr="005001D6">
        <w:rPr>
          <w:rFonts w:cstheme="minorHAnsi"/>
        </w:rPr>
        <w:t xml:space="preserve"> </w:t>
      </w:r>
      <w:r w:rsidR="00810900" w:rsidRPr="005001D6">
        <w:rPr>
          <w:rFonts w:cstheme="minorHAnsi"/>
        </w:rPr>
        <w:t>µl of oxidation solution</w:t>
      </w:r>
      <w:r w:rsidR="00C947AB" w:rsidRPr="005001D6">
        <w:rPr>
          <w:rFonts w:cstheme="minorHAnsi"/>
        </w:rPr>
        <w:t xml:space="preserve"> (1 mg ml</w:t>
      </w:r>
      <w:r w:rsidR="00C947AB" w:rsidRPr="005001D6">
        <w:rPr>
          <w:rFonts w:cstheme="minorHAnsi"/>
          <w:vertAlign w:val="superscript"/>
        </w:rPr>
        <w:t>−1</w:t>
      </w:r>
      <w:r w:rsidR="00C947AB" w:rsidRPr="005001D6">
        <w:rPr>
          <w:rFonts w:cstheme="minorHAnsi"/>
        </w:rPr>
        <w:t xml:space="preserve"> </w:t>
      </w:r>
      <w:proofErr w:type="spellStart"/>
      <w:r w:rsidR="00C947AB" w:rsidRPr="005001D6">
        <w:rPr>
          <w:rFonts w:cstheme="minorHAnsi"/>
        </w:rPr>
        <w:t>dichloroisocyanuric</w:t>
      </w:r>
      <w:proofErr w:type="spellEnd"/>
      <w:r w:rsidR="00C947AB" w:rsidRPr="005001D6">
        <w:rPr>
          <w:rFonts w:cstheme="minorHAnsi"/>
        </w:rPr>
        <w:t xml:space="preserve"> acid sodium salt dehydrate)</w:t>
      </w:r>
      <w:r w:rsidR="00810900" w:rsidRPr="005001D6">
        <w:rPr>
          <w:rFonts w:cstheme="minorHAnsi"/>
        </w:rPr>
        <w:t>, and after 30 min colour intensity was measured at 650</w:t>
      </w:r>
      <w:r w:rsidR="00D60CBB" w:rsidRPr="005001D6">
        <w:rPr>
          <w:rFonts w:cstheme="minorHAnsi"/>
        </w:rPr>
        <w:t xml:space="preserve"> </w:t>
      </w:r>
      <w:r w:rsidR="00810900" w:rsidRPr="005001D6">
        <w:rPr>
          <w:rFonts w:cstheme="minorHAnsi"/>
        </w:rPr>
        <w:t xml:space="preserve">nm in a plate reader </w:t>
      </w:r>
      <w:r w:rsidR="00782DA5" w:rsidRPr="005001D6">
        <w:rPr>
          <w:rFonts w:cstheme="minorHAnsi"/>
        </w:rPr>
        <w:t xml:space="preserve">microplate reader (EZ400 Research, </w:t>
      </w:r>
      <w:proofErr w:type="spellStart"/>
      <w:r w:rsidR="00782DA5" w:rsidRPr="005001D6">
        <w:rPr>
          <w:rFonts w:cstheme="minorHAnsi"/>
        </w:rPr>
        <w:t>Biochrom</w:t>
      </w:r>
      <w:proofErr w:type="spellEnd"/>
      <w:r w:rsidR="00782DA5" w:rsidRPr="005001D6">
        <w:rPr>
          <w:rFonts w:cstheme="minorHAnsi"/>
        </w:rPr>
        <w:t>, Germany)</w:t>
      </w:r>
      <w:r w:rsidR="00810900" w:rsidRPr="005001D6">
        <w:rPr>
          <w:rFonts w:cstheme="minorHAnsi"/>
        </w:rPr>
        <w:t>.</w:t>
      </w:r>
    </w:p>
    <w:p w14:paraId="10205026" w14:textId="39ED6064" w:rsidR="00874512" w:rsidRPr="005001D6" w:rsidRDefault="00874512" w:rsidP="00173FAF">
      <w:pPr>
        <w:spacing w:line="480" w:lineRule="auto"/>
        <w:jc w:val="both"/>
        <w:rPr>
          <w:rFonts w:cstheme="minorHAnsi"/>
          <w:i/>
        </w:rPr>
      </w:pPr>
    </w:p>
    <w:p w14:paraId="6297B2A5" w14:textId="01B95A9E" w:rsidR="00BF68F8" w:rsidRPr="005001D6" w:rsidRDefault="00BF68F8" w:rsidP="00173FAF">
      <w:pPr>
        <w:spacing w:line="480" w:lineRule="auto"/>
        <w:jc w:val="both"/>
        <w:rPr>
          <w:rFonts w:cstheme="minorHAnsi"/>
          <w:i/>
        </w:rPr>
      </w:pPr>
      <w:r w:rsidRPr="005001D6">
        <w:rPr>
          <w:rFonts w:cstheme="minorHAnsi"/>
          <w:i/>
        </w:rPr>
        <w:t>Soil respiration</w:t>
      </w:r>
    </w:p>
    <w:p w14:paraId="79FA87A6" w14:textId="3C1534D9" w:rsidR="00BF68F8" w:rsidRPr="005001D6" w:rsidRDefault="00BF68F8" w:rsidP="00173FAF">
      <w:pPr>
        <w:spacing w:line="480" w:lineRule="auto"/>
        <w:jc w:val="both"/>
        <w:rPr>
          <w:rFonts w:cstheme="minorHAnsi"/>
        </w:rPr>
      </w:pPr>
      <w:r w:rsidRPr="005001D6">
        <w:rPr>
          <w:rFonts w:cstheme="minorHAnsi"/>
        </w:rPr>
        <w:t xml:space="preserve">For soil respiration measurements, circular gas sampling collars were inserted into the soil (depth = 5 cm, </w:t>
      </w:r>
      <w:r w:rsidR="00D60CBB" w:rsidRPr="005001D6">
        <w:rPr>
          <w:rFonts w:cstheme="minorHAnsi"/>
        </w:rPr>
        <w:t>diameter</w:t>
      </w:r>
      <w:r w:rsidRPr="005001D6">
        <w:rPr>
          <w:rFonts w:cstheme="minorHAnsi"/>
        </w:rPr>
        <w:t xml:space="preserve"> = 10 cm) and above-ground plant parts were removed from within the collars prior to sampling. During sampling, the SRC was sealed onto gas sampling collars and CO</w:t>
      </w:r>
      <w:r w:rsidRPr="005001D6">
        <w:rPr>
          <w:rFonts w:cstheme="minorHAnsi"/>
          <w:vertAlign w:val="subscript"/>
        </w:rPr>
        <w:t>2</w:t>
      </w:r>
      <w:r w:rsidRPr="005001D6">
        <w:rPr>
          <w:rFonts w:cstheme="minorHAnsi"/>
        </w:rPr>
        <w:t xml:space="preserve"> flux was measured over 2 minutes. </w:t>
      </w:r>
    </w:p>
    <w:p w14:paraId="3BF95BAD" w14:textId="77777777" w:rsidR="00BF68F8" w:rsidRPr="005001D6" w:rsidRDefault="00BF68F8" w:rsidP="00173FAF">
      <w:pPr>
        <w:spacing w:line="480" w:lineRule="auto"/>
        <w:jc w:val="both"/>
        <w:rPr>
          <w:rFonts w:cstheme="minorHAnsi"/>
          <w:i/>
        </w:rPr>
      </w:pPr>
    </w:p>
    <w:p w14:paraId="5968468E" w14:textId="30A6F561" w:rsidR="00EF6B8C" w:rsidRPr="005001D6" w:rsidRDefault="00EF6B8C" w:rsidP="00173FAF">
      <w:pPr>
        <w:spacing w:line="480" w:lineRule="auto"/>
        <w:jc w:val="both"/>
        <w:rPr>
          <w:rFonts w:cstheme="minorHAnsi"/>
          <w:i/>
        </w:rPr>
      </w:pPr>
      <w:r w:rsidRPr="005001D6">
        <w:rPr>
          <w:rFonts w:cstheme="minorHAnsi"/>
          <w:i/>
        </w:rPr>
        <w:t>PLFA analyses</w:t>
      </w:r>
    </w:p>
    <w:p w14:paraId="7AD6A39A" w14:textId="37A28025" w:rsidR="004763BD" w:rsidRPr="005001D6" w:rsidRDefault="00FF50BA" w:rsidP="00173FAF">
      <w:pPr>
        <w:spacing w:line="480" w:lineRule="auto"/>
        <w:jc w:val="both"/>
        <w:rPr>
          <w:rFonts w:cstheme="minorHAnsi"/>
        </w:rPr>
      </w:pPr>
      <w:r w:rsidRPr="005001D6">
        <w:rPr>
          <w:rFonts w:cstheme="minorHAnsi"/>
        </w:rPr>
        <w:t>PLFAs were extracted from freeze-dried soil</w:t>
      </w:r>
      <w:r w:rsidR="00D60CBB" w:rsidRPr="005001D6">
        <w:rPr>
          <w:rFonts w:cstheme="minorHAnsi"/>
        </w:rPr>
        <w:t xml:space="preserve"> </w:t>
      </w:r>
      <w:r w:rsidRPr="005001D6">
        <w:rPr>
          <w:rFonts w:cstheme="minorHAnsi"/>
        </w:rPr>
        <w:fldChar w:fldCharType="begin" w:fldLock="1"/>
      </w:r>
      <w:r w:rsidR="00361CE6" w:rsidRPr="005001D6">
        <w:rPr>
          <w:rFonts w:cstheme="minorHAnsi"/>
        </w:rPr>
        <w:instrText>ADDIN CSL_CITATION {"citationItems":[{"id":"ITEM-1","itemData":{"DOI":"10.1016/0167-7012(91)90018-L","ISSN":"01677012","abstract":"The use of total lipid phosphate as a measure of biomass was evaluated in soils with different organic matter content. Lipids were extracted with a one-phase mixture of chloroform, methanol, and a buffer, and digested with either persulfate or perchloric acid to liberate lipid-bound phosphate. This procedure was evaluated by varying the extraction buffer, the extraction and digestion times, the amount of soil extracted, and the amount of lipid material digested. An extraction period of 2 h was sufficient to yield maximum lipid phosphate. Neither sonication, vigorous mixing, nor longer extraction periods increased the amount of lipid phosphate extracted. However, the amount of lipid phosphate recovered was dependent on the choice of buffer. When organic soil was used, citrate buffer in the extraction mixture gave higher amounts of lipid phosphate than acetate buffer, Tris, H2O or phosphate buffer. In a sandy loam with low organic matter content, citrate or phosphate buffers performed equally well. When 13 soils of different organic matter content were examined, the two digestion methods showed a good linear correlation (r2 = 0.991). Substrate-induced respiration (SIR) and ATP contents of the different soils correlated well with the total lipid phosphate. Based on these measurements, a conversion factor of 500 μmol lipid phosphate·g-1 biomass-C (perchloric acid digestion) was calculated. © 1991.","author":[{"dropping-particle":"","family":"Frostegård","given":"Å","non-dropping-particle":"","parse-names":false,"suffix":""},{"dropping-particle":"","family":"Tunlid","given":"A.","non-dropping-particle":"","parse-names":false,"suffix":""},{"dropping-particle":"","family":"Bååth","given":"E.","non-dropping-particle":"","parse-names":false,"suffix":""}],"container-title":"Journal of Microbiological Methods","id":"ITEM-1","issue":"3","issued":{"date-parts":[["1991"]]},"page":"151-163","title":"Microbial biomass measured as total lipid phosphate in soils of different organic content","type":"article-journal","volume":"14"},"uris":["http://www.mendeley.com/documents/?uuid=330eef2c-6a50-4249-8b52-96c21e372a71"]}],"mendeley":{"formattedCitation":"(Frostegård &lt;i&gt;et al.&lt;/i&gt; 1991)","plainTextFormattedCitation":"(Frostegård et al. 1991)","previouslyFormattedCitation":"(Frostegård &lt;i&gt;et al.&lt;/i&gt; 1991)"},"properties":{"noteIndex":0},"schema":"https://github.com/citation-style-language/schema/raw/master/csl-citation.json"}</w:instrText>
      </w:r>
      <w:r w:rsidRPr="005001D6">
        <w:rPr>
          <w:rFonts w:cstheme="minorHAnsi"/>
        </w:rPr>
        <w:fldChar w:fldCharType="separate"/>
      </w:r>
      <w:r w:rsidR="00627DCC" w:rsidRPr="005001D6">
        <w:rPr>
          <w:rFonts w:cstheme="minorHAnsi"/>
          <w:noProof/>
        </w:rPr>
        <w:t xml:space="preserve">(Frostegård </w:t>
      </w:r>
      <w:r w:rsidR="00627DCC" w:rsidRPr="005001D6">
        <w:rPr>
          <w:rFonts w:cstheme="minorHAnsi"/>
          <w:i/>
          <w:noProof/>
        </w:rPr>
        <w:t>et al.</w:t>
      </w:r>
      <w:r w:rsidR="00627DCC" w:rsidRPr="005001D6">
        <w:rPr>
          <w:rFonts w:cstheme="minorHAnsi"/>
          <w:noProof/>
        </w:rPr>
        <w:t xml:space="preserve"> 1991)</w:t>
      </w:r>
      <w:r w:rsidRPr="005001D6">
        <w:rPr>
          <w:rFonts w:cstheme="minorHAnsi"/>
        </w:rPr>
        <w:fldChar w:fldCharType="end"/>
      </w:r>
      <w:r w:rsidRPr="005001D6">
        <w:rPr>
          <w:rFonts w:cstheme="minorHAnsi"/>
        </w:rPr>
        <w:t>, as modified by Buyer and Sasser</w:t>
      </w:r>
      <w:r w:rsidR="00D60CBB" w:rsidRPr="005001D6">
        <w:rPr>
          <w:rFonts w:cstheme="minorHAnsi"/>
        </w:rPr>
        <w:t xml:space="preserve"> </w:t>
      </w:r>
      <w:r w:rsidRPr="005001D6">
        <w:rPr>
          <w:rFonts w:cstheme="minorHAnsi"/>
        </w:rPr>
        <w:fldChar w:fldCharType="begin" w:fldLock="1"/>
      </w:r>
      <w:r w:rsidR="00361CE6" w:rsidRPr="005001D6">
        <w:rPr>
          <w:rFonts w:cstheme="minorHAnsi"/>
        </w:rPr>
        <w:instrText>ADDIN CSL_CITATION {"citationItems":[{"id":"ITEM-1","itemData":{"DOI":"10.1016/j.apsoil.2012.06.005","ISSN":"09291393","abstract":"Phospholipid fatty acid (PLFA) analysis is widely used to measure microbial biomass and community composition in soil and other types of environmental samples. As typically performed, the analysis involves many steps and 1.5-3. days are required to prepare a small batch (i.e. 20-24 samples and blanks), depending on the exact equipment employed in each laboratory. Gas chromatography (GC) or gas chromatography-mass spectrometry (GC-MS) is then used to analyze the samples, requiring further time to obtain the data. We have developed a method for preparing 96 soil samples and blanks in 1.5. days, a 4- to 5-fold increase in throughput. All drying and centrifuging steps take place in a centrifugal evaporator. Soil samples in test tubes are dried overnight and then a Bligh-Dyer lipid extraction is performed. The extract is dried, dissolved in chloroform, and loaded onto a 96-well solid phase extraction plate. Phospholipids are eluted into glass vials in a 96-well format, dried, and transesterified. The resulting fatty acid methyl esters are analyzed by GC and quantified relative to an internal standard. The high throughput protocol uses much smaller solvent volumes than the traditional protocol, which combined with the use of the 96-well format leads to much faster sample preparation. Biomarker PLFA concentrations for 10 different soils were highly correlated, although not identical, between the two protocols. Multivariate analysis of the PLFA biomarkers indicated that the two protocols produced similar patterns for the different soils. The high throughput protocol may be useful to laboratories performing large numbers of PLFA analyses. © 2012.","author":[{"dropping-particle":"","family":"Buyer","given":"Jeffrey S.","non-dropping-particle":"","parse-names":false,"suffix":""},{"dropping-particle":"","family":"Sasser","given":"Myron","non-dropping-particle":"","parse-names":false,"suffix":""}],"container-title":"Applied Soil Ecology","id":"ITEM-1","issued":{"date-parts":[["2012"]]},"page":"127-130","publisher":"Elsevier B.V.","title":"High throughput phospholipid fatty acid analysis of soils","type":"article-journal","volume":"61"},"uris":["http://www.mendeley.com/documents/?uuid=634ec9fa-b82b-47c4-b9f3-4dc35696a654"]}],"mendeley":{"formattedCitation":"(Buyer &amp; Sasser 2012)","plainTextFormattedCitation":"(Buyer &amp; Sasser 2012)","previouslyFormattedCitation":"(Buyer &amp; Sasser 2012)"},"properties":{"noteIndex":0},"schema":"https://github.com/citation-style-language/schema/raw/master/csl-citation.json"}</w:instrText>
      </w:r>
      <w:r w:rsidRPr="005001D6">
        <w:rPr>
          <w:rFonts w:cstheme="minorHAnsi"/>
        </w:rPr>
        <w:fldChar w:fldCharType="separate"/>
      </w:r>
      <w:r w:rsidR="00627DCC" w:rsidRPr="005001D6">
        <w:rPr>
          <w:rFonts w:cstheme="minorHAnsi"/>
          <w:noProof/>
        </w:rPr>
        <w:t>(Buyer &amp; Sasser 2012)</w:t>
      </w:r>
      <w:r w:rsidRPr="005001D6">
        <w:rPr>
          <w:rFonts w:cstheme="minorHAnsi"/>
        </w:rPr>
        <w:fldChar w:fldCharType="end"/>
      </w:r>
      <w:r w:rsidRPr="005001D6">
        <w:rPr>
          <w:rFonts w:cstheme="minorHAnsi"/>
        </w:rPr>
        <w:t xml:space="preserve">, and analysed on a gas chromatograph (Agilent 7890A Gas chromatograph, Santa Clara, CA, USA). Abundance of PLFAs was expressed in </w:t>
      </w:r>
      <w:proofErr w:type="spellStart"/>
      <w:r w:rsidRPr="005001D6">
        <w:rPr>
          <w:rFonts w:cstheme="minorHAnsi"/>
        </w:rPr>
        <w:t>nmol</w:t>
      </w:r>
      <w:proofErr w:type="spellEnd"/>
      <w:r w:rsidRPr="005001D6">
        <w:rPr>
          <w:rFonts w:cstheme="minorHAnsi"/>
        </w:rPr>
        <w:t xml:space="preserve"> PLFA g</w:t>
      </w:r>
      <w:r w:rsidRPr="005001D6">
        <w:rPr>
          <w:rFonts w:cstheme="minorHAnsi"/>
          <w:vertAlign w:val="superscript"/>
        </w:rPr>
        <w:t>-1</w:t>
      </w:r>
      <w:r w:rsidRPr="005001D6">
        <w:rPr>
          <w:rFonts w:cstheme="minorHAnsi"/>
        </w:rPr>
        <w:t xml:space="preserve"> dry </w:t>
      </w:r>
      <w:r w:rsidR="004763BD" w:rsidRPr="005001D6">
        <w:rPr>
          <w:rFonts w:cstheme="minorHAnsi"/>
        </w:rPr>
        <w:t xml:space="preserve">soil. PLFAs were </w:t>
      </w:r>
      <w:r w:rsidR="004763BD" w:rsidRPr="005001D6">
        <w:rPr>
          <w:rFonts w:cstheme="minorHAnsi"/>
        </w:rPr>
        <w:lastRenderedPageBreak/>
        <w:t xml:space="preserve">assigned as indicators of fungal and bacterial abundance, with 18:2ω6,9 used for fungi; 16:1ω9, cy17:0, 18:1ω7 and cy19:0 used for Gram-negative bacteria; a15:0, i15:0, i16:0, a17:0 and i17:0 used for Gram-positive bacteria; 15:0 and 17:0 used for bacteria; and 18:1ω9, 16:0 and 18:0 considered as non-specific biomarkers </w:t>
      </w:r>
      <w:r w:rsidR="004763BD" w:rsidRPr="005001D6">
        <w:rPr>
          <w:rFonts w:cstheme="minorHAnsi"/>
        </w:rPr>
        <w:fldChar w:fldCharType="begin" w:fldLock="1"/>
      </w:r>
      <w:r w:rsidR="00FE4EBA" w:rsidRPr="005001D6">
        <w:rPr>
          <w:rFonts w:cstheme="minorHAnsi"/>
        </w:rPr>
        <w:instrText>ADDIN CSL_CITATION {"citationItems":[{"id":"ITEM-1","itemData":{"DOI":"10.1007/s003740050533","ISBN":"0178-2762","ISSN":"01782762","abstract":"'This review discusses the analysis of whole-community phospholipid fatty acid (PLFA) profiles and the composition of lipopolysaccharides in order to assess the microbial biomass and the community structure in soils. For the determination of soil microbial biomass a good correlation was obtained between the total amount of PLFAs and the microbial biomass measured with methods commonly used for determinations such as total adenylate content and substrate-induced respiration. Generally, after the application of multivariate statistical analyses, whole-community fatty acid profiles indicate which communities are similar or different. However, in most cases, the organisms accounting for similarity or difference cannot be determined, and therefore artefacts could not be excluded. The fatty acids used to determine the biomass vary from those which determine the community structure. Specific attention has to be paid when choosing extraction methods in order to avoid the liberation of fatty acids from non-living organic material and deposits, and to exclude the non-target selection of lipids from living organisms, as well. By excluding the fatty acids which were presumed to be common and widespread prior to multivariate statistical analysis, estimates were improved considerably. Results from principal component analysis showed that determining the levels of fatty acids present in both low and high concentrations is essential in order to correctly identify microorganisms and accurately classify them into taxonomically defined groups. The PLFA technique has been used to elucidate different strategies employed by microorganisms to adapt to changed environmental conditions under wide ranges of soil types, management practices, climatic origins and different perturbations. It has been proposed that the classification of PLFAs into a number of chemically different subgroups should simplify the evaluating procedure and improve the assessment of soil microbial communities, since then only the subgroups assumed to be involved in key processes would be investigated.","author":[{"dropping-particle":"","family":"Zelles","given":"L.","non-dropping-particle":"","parse-names":false,"suffix":""}],"container-title":"Biology and Fertility of Soils","id":"ITEM-1","issue":"2","issued":{"date-parts":[["1999"]]},"page":"111-129","title":"Fatty acid patterns of phospholipids and lipopolysaccharides in the characterisation of microbial communities in soil: A review","type":"article-journal","volume":"29"},"uris":["http://www.mendeley.com/documents/?uuid=4fe9ef89-017b-44bb-a3cf-63fae7ded158"]},{"id":"ITEM-2","itemData":{"DOI":"10.1016/j.soilbio.2010.11.021","ISBN":"0038-0717","ISSN":"00380717","PMID":"10500303","abstract":"The determination of the phospholipid fatty acid (PLFA) pattern of soil organisms has become one of the most commonly used methods to study microbial community structure. Here we recapitulate the background of our work applying the PLFA method to soil in the early 1990s. We also stress that although the PLFA method was, and still is, a rapid and sensitive method to detect changes in the microbial community in soil, as with all popular methods it can be misused. We discuss problems in PLFA interpretation, the extent of turn-over of PLFAs in soil, and the flawed use of diversity indices to evaluate PLFA patterns. © 2010 Elsevier Ltd.","author":[{"dropping-particle":"","family":"Frostegård","given":"Åsa","non-dropping-particle":"","parse-names":false,"suffix":""},{"dropping-particle":"","family":"Tunlid","given":"Anders","non-dropping-particle":"","parse-names":false,"suffix":""},{"dropping-particle":"","family":"Bååth","given":"Erland","non-dropping-particle":"","parse-names":false,"suffix":""}],"container-title":"Soil Biology and Biochemistry","id":"ITEM-2","issue":"8","issued":{"date-parts":[["2011"]]},"page":"1621-1625","publisher":"Elsevier Ltd","title":"Use and misuse of PLFA measurements in soils","type":"article-journal","volume":"43"},"uris":["http://www.mendeley.com/documents/?uuid=1caf7995-38c9-405b-accb-b3a93bf56c4c"]},{"id":"ITEM-3","itemData":{"DOI":"10.1111/jam.12902","ISSN":"13652672","PMID":"26184497","abstract":"Profiling of microbial communities in environmental samples often utilizes phospholipid fatty acid (PLFA) analysis. This method has been used for more than 35 years and is still popular as a means to characterize microbial communities in a diverse range of environmental matrices. This review examines the various recent applications of PLFA analysis in environmental studies with specific reference to the interpretation of the PLFA results. It is evident that interpretations of PLFA results do not always correlate between different investigations. These discrepancies in interpretation and their subsequent applications to environmental studies are discussed. However, in spite of limitations to the manner in which PLFA data are applied, the approach remains one with great potential for improving our understanding of the relationship between microbial populations and the environment. This review highlights the caveats and provides suggestions towards the practicable application of PLFA data interpretation.","author":[{"dropping-particle":"","family":"Willers","given":"C.","non-dropping-particle":"","parse-names":false,"suffix":""},{"dropping-particle":"","family":"Jansen van Rensburg","given":"P. J.","non-dropping-particle":"","parse-names":false,"suffix":""},{"dropping-particle":"","family":"Claassens","given":"S.","non-dropping-particle":"","parse-names":false,"suffix":""}],"container-title":"Journal of Applied Microbiology","id":"ITEM-3","issue":"5","issued":{"date-parts":[["2015"]]},"page":"1207-1218","title":"Phospholipid fatty acid profiling of microbial communities-a review of interpretations and recent applications","type":"article-journal","volume":"119"},"uris":["http://www.mendeley.com/documents/?uuid=4ea474a0-8209-4355-a6df-260db06c0e8e"]}],"mendeley":{"formattedCitation":"(Zelles 1999; Frostegård &lt;i&gt;et al.&lt;/i&gt; 2011; Willers &lt;i&gt;et al.&lt;/i&gt; 2015)","plainTextFormattedCitation":"(Zelles 1999; Frostegård et al. 2011; Willers et al. 2015)","previouslyFormattedCitation":"(Zelles 1999; Frostegård &lt;i&gt;et al.&lt;/i&gt; 2011; Willers &lt;i&gt;et al.&lt;/i&gt; 2015)"},"properties":{"noteIndex":0},"schema":"https://github.com/citation-style-language/schema/raw/master/csl-citation.json"}</w:instrText>
      </w:r>
      <w:r w:rsidR="004763BD" w:rsidRPr="005001D6">
        <w:rPr>
          <w:rFonts w:cstheme="minorHAnsi"/>
        </w:rPr>
        <w:fldChar w:fldCharType="separate"/>
      </w:r>
      <w:r w:rsidR="004763BD" w:rsidRPr="005001D6">
        <w:rPr>
          <w:rFonts w:cstheme="minorHAnsi"/>
          <w:noProof/>
        </w:rPr>
        <w:t xml:space="preserve">(Zelles 1999; Frostegård </w:t>
      </w:r>
      <w:r w:rsidR="004763BD" w:rsidRPr="005001D6">
        <w:rPr>
          <w:rFonts w:cstheme="minorHAnsi"/>
          <w:i/>
          <w:noProof/>
        </w:rPr>
        <w:t>et al.</w:t>
      </w:r>
      <w:r w:rsidR="004763BD" w:rsidRPr="005001D6">
        <w:rPr>
          <w:rFonts w:cstheme="minorHAnsi"/>
          <w:noProof/>
        </w:rPr>
        <w:t xml:space="preserve"> 2011; Willers </w:t>
      </w:r>
      <w:r w:rsidR="004763BD" w:rsidRPr="005001D6">
        <w:rPr>
          <w:rFonts w:cstheme="minorHAnsi"/>
          <w:i/>
          <w:noProof/>
        </w:rPr>
        <w:t>et al.</w:t>
      </w:r>
      <w:r w:rsidR="004763BD" w:rsidRPr="005001D6">
        <w:rPr>
          <w:rFonts w:cstheme="minorHAnsi"/>
          <w:noProof/>
        </w:rPr>
        <w:t xml:space="preserve"> 2015)</w:t>
      </w:r>
      <w:r w:rsidR="004763BD" w:rsidRPr="005001D6">
        <w:rPr>
          <w:rFonts w:cstheme="minorHAnsi"/>
        </w:rPr>
        <w:fldChar w:fldCharType="end"/>
      </w:r>
      <w:r w:rsidR="004763BD" w:rsidRPr="005001D6">
        <w:rPr>
          <w:rFonts w:cstheme="minorHAnsi"/>
        </w:rPr>
        <w:t xml:space="preserve">. The marker 18:1ω9 is sometimes used as a fungal marker, however, this is only recommended if it correlates closely with the main fungal marker 18:2ω6,9, and when 18:2ω6,9 is abundant, otherwise 18:1ω9 can be an indicator of bacteria </w:t>
      </w:r>
      <w:r w:rsidR="004763BD" w:rsidRPr="005001D6">
        <w:rPr>
          <w:rFonts w:cstheme="minorHAnsi"/>
        </w:rPr>
        <w:fldChar w:fldCharType="begin" w:fldLock="1"/>
      </w:r>
      <w:r w:rsidR="00FE4EBA" w:rsidRPr="005001D6">
        <w:rPr>
          <w:rFonts w:cstheme="minorHAnsi"/>
        </w:rPr>
        <w:instrText>ADDIN CSL_CITATION {"citationItems":[{"id":"ITEM-1","itemData":{"DOI":"10.1016/j.soilbio.2010.11.021","ISBN":"0038-0717","ISSN":"00380717","PMID":"10500303","abstract":"The determination of the phospholipid fatty acid (PLFA) pattern of soil organisms has become one of the most commonly used methods to study microbial community structure. Here we recapitulate the background of our work applying the PLFA method to soil in the early 1990s. We also stress that although the PLFA method was, and still is, a rapid and sensitive method to detect changes in the microbial community in soil, as with all popular methods it can be misused. We discuss problems in PLFA interpretation, the extent of turn-over of PLFAs in soil, and the flawed use of diversity indices to evaluate PLFA patterns. © 2010 Elsevier Ltd.","author":[{"dropping-particle":"","family":"Frostegård","given":"Åsa","non-dropping-particle":"","parse-names":false,"suffix":""},{"dropping-particle":"","family":"Tunlid","given":"Anders","non-dropping-particle":"","parse-names":false,"suffix":""},{"dropping-particle":"","family":"Bååth","given":"Erland","non-dropping-particle":"","parse-names":false,"suffix":""}],"container-title":"Soil Biology and Biochemistry","id":"ITEM-1","issue":"8","issued":{"date-parts":[["2011"]]},"page":"1621-1625","publisher":"Elsevier Ltd","title":"Use and misuse of PLFA measurements in soils","type":"article-journal","volume":"43"},"uris":["http://www.mendeley.com/documents/?uuid=1caf7995-38c9-405b-accb-b3a93bf56c4c"]}],"mendeley":{"formattedCitation":"(Frostegård &lt;i&gt;et al.&lt;/i&gt; 2011)","plainTextFormattedCitation":"(Frostegård et al. 2011)","previouslyFormattedCitation":"(Frostegård &lt;i&gt;et al.&lt;/i&gt; 2011)"},"properties":{"noteIndex":0},"schema":"https://github.com/citation-style-language/schema/raw/master/csl-citation.json"}</w:instrText>
      </w:r>
      <w:r w:rsidR="004763BD" w:rsidRPr="005001D6">
        <w:rPr>
          <w:rFonts w:cstheme="minorHAnsi"/>
        </w:rPr>
        <w:fldChar w:fldCharType="separate"/>
      </w:r>
      <w:r w:rsidR="004763BD" w:rsidRPr="005001D6">
        <w:rPr>
          <w:rFonts w:cstheme="minorHAnsi"/>
          <w:noProof/>
        </w:rPr>
        <w:t xml:space="preserve">(Frostegård </w:t>
      </w:r>
      <w:r w:rsidR="004763BD" w:rsidRPr="005001D6">
        <w:rPr>
          <w:rFonts w:cstheme="minorHAnsi"/>
          <w:i/>
          <w:noProof/>
        </w:rPr>
        <w:t>et al.</w:t>
      </w:r>
      <w:r w:rsidR="004763BD" w:rsidRPr="005001D6">
        <w:rPr>
          <w:rFonts w:cstheme="minorHAnsi"/>
          <w:noProof/>
        </w:rPr>
        <w:t xml:space="preserve"> 2011)</w:t>
      </w:r>
      <w:r w:rsidR="004763BD" w:rsidRPr="005001D6">
        <w:rPr>
          <w:rFonts w:cstheme="minorHAnsi"/>
        </w:rPr>
        <w:fldChar w:fldCharType="end"/>
      </w:r>
      <w:r w:rsidR="004763BD" w:rsidRPr="005001D6">
        <w:rPr>
          <w:rFonts w:cstheme="minorHAnsi"/>
        </w:rPr>
        <w:t>. Total PLFA abundance and the ratios of fungal to bacterial markers and Gram positive (</w:t>
      </w:r>
      <w:r w:rsidR="00173FAF" w:rsidRPr="005001D6">
        <w:rPr>
          <w:rFonts w:cstheme="minorHAnsi"/>
        </w:rPr>
        <w:t>GP) to Gram negative (GN</w:t>
      </w:r>
      <w:r w:rsidR="004763BD" w:rsidRPr="005001D6">
        <w:rPr>
          <w:rFonts w:cstheme="minorHAnsi"/>
        </w:rPr>
        <w:t>) bacterial markers were also calculated.</w:t>
      </w:r>
      <w:r w:rsidR="00173FAF" w:rsidRPr="005001D6">
        <w:rPr>
          <w:rFonts w:cstheme="minorHAnsi"/>
        </w:rPr>
        <w:t xml:space="preserve"> This PLFA data was used for the GP</w:t>
      </w:r>
      <w:proofErr w:type="gramStart"/>
      <w:r w:rsidR="00173FAF" w:rsidRPr="005001D6">
        <w:rPr>
          <w:rFonts w:cstheme="minorHAnsi"/>
        </w:rPr>
        <w:t>:GN</w:t>
      </w:r>
      <w:proofErr w:type="gramEnd"/>
      <w:r w:rsidR="00173FAF" w:rsidRPr="005001D6">
        <w:rPr>
          <w:rFonts w:cstheme="minorHAnsi"/>
        </w:rPr>
        <w:t xml:space="preserve"> ratio discussed in our manuscript.</w:t>
      </w:r>
    </w:p>
    <w:p w14:paraId="62E7DDA9" w14:textId="71734429" w:rsidR="00874512" w:rsidRPr="005001D6" w:rsidRDefault="00874512" w:rsidP="00173FAF">
      <w:pPr>
        <w:spacing w:line="480" w:lineRule="auto"/>
        <w:jc w:val="both"/>
        <w:rPr>
          <w:rFonts w:cstheme="minorHAnsi"/>
          <w:i/>
        </w:rPr>
      </w:pPr>
    </w:p>
    <w:p w14:paraId="6E0ABA13" w14:textId="6741BBC9" w:rsidR="003617D5" w:rsidRPr="005001D6" w:rsidRDefault="003617D5" w:rsidP="00173FAF">
      <w:pPr>
        <w:spacing w:line="480" w:lineRule="auto"/>
        <w:jc w:val="both"/>
        <w:rPr>
          <w:rFonts w:cstheme="minorHAnsi"/>
          <w:i/>
        </w:rPr>
      </w:pPr>
      <w:r w:rsidRPr="005001D6">
        <w:rPr>
          <w:rFonts w:cstheme="minorHAnsi"/>
          <w:i/>
        </w:rPr>
        <w:t>DNA extraction</w:t>
      </w:r>
    </w:p>
    <w:p w14:paraId="4CD305C5" w14:textId="77777777" w:rsidR="003617D5" w:rsidRPr="005001D6" w:rsidRDefault="003617D5" w:rsidP="00173FAF">
      <w:pPr>
        <w:spacing w:line="480" w:lineRule="auto"/>
        <w:jc w:val="both"/>
        <w:rPr>
          <w:rFonts w:cstheme="minorHAnsi"/>
          <w:iCs/>
        </w:rPr>
      </w:pPr>
      <w:r w:rsidRPr="005001D6">
        <w:rPr>
          <w:rFonts w:cstheme="minorHAnsi"/>
          <w:iCs/>
        </w:rPr>
        <w:t>Prior to DNA extraction, samples were thawed at room temperature and treated to an additional lysis step on MP Bio FastPrep24 Homogenizer for 30 secs at 5 m s</w:t>
      </w:r>
      <w:r w:rsidRPr="005001D6">
        <w:rPr>
          <w:rFonts w:cstheme="minorHAnsi"/>
          <w:iCs/>
          <w:vertAlign w:val="superscript"/>
        </w:rPr>
        <w:t>-1</w:t>
      </w:r>
      <w:r w:rsidRPr="005001D6">
        <w:rPr>
          <w:rFonts w:cstheme="minorHAnsi"/>
          <w:iCs/>
        </w:rPr>
        <w:t xml:space="preserve">. Samples were centrifuged at 14,000 x g for 10 min and 400 µl of supernatant transferred to </w:t>
      </w:r>
      <w:proofErr w:type="spellStart"/>
      <w:r w:rsidRPr="005001D6">
        <w:rPr>
          <w:rFonts w:cstheme="minorHAnsi"/>
          <w:iCs/>
        </w:rPr>
        <w:t>Zymo</w:t>
      </w:r>
      <w:proofErr w:type="spellEnd"/>
      <w:r w:rsidRPr="005001D6">
        <w:rPr>
          <w:rFonts w:cstheme="minorHAnsi"/>
          <w:iCs/>
        </w:rPr>
        <w:t>-Spin™ IV Spin Filter and further centrifuged at 8,000 x g for 1 minute. Filtrate was combined with 1200 µl soil binding buffer and DNA extraction continued as per manufacturer’s protocol. Eluted DNA was stored at -20</w:t>
      </w:r>
      <w:r w:rsidRPr="005001D6">
        <w:rPr>
          <w:rFonts w:cstheme="minorHAnsi"/>
          <w:iCs/>
          <w:vertAlign w:val="superscript"/>
        </w:rPr>
        <w:t>o</w:t>
      </w:r>
      <w:r w:rsidRPr="005001D6">
        <w:rPr>
          <w:rFonts w:cstheme="minorHAnsi"/>
          <w:iCs/>
        </w:rPr>
        <w:t>C prior to downstream analysis.</w:t>
      </w:r>
    </w:p>
    <w:p w14:paraId="26A063A6" w14:textId="022FCFEF" w:rsidR="003617D5" w:rsidRPr="005001D6" w:rsidRDefault="003617D5" w:rsidP="00173FAF">
      <w:pPr>
        <w:spacing w:line="480" w:lineRule="auto"/>
        <w:jc w:val="both"/>
        <w:rPr>
          <w:rFonts w:cstheme="minorHAnsi"/>
          <w:iCs/>
        </w:rPr>
      </w:pPr>
    </w:p>
    <w:p w14:paraId="1A42A3D2" w14:textId="77777777" w:rsidR="00E053D1" w:rsidRPr="005001D6" w:rsidRDefault="00E053D1" w:rsidP="00E053D1">
      <w:pPr>
        <w:spacing w:line="480" w:lineRule="auto"/>
        <w:jc w:val="both"/>
        <w:rPr>
          <w:rFonts w:cstheme="minorHAnsi"/>
          <w:i/>
          <w:iCs/>
        </w:rPr>
      </w:pPr>
      <w:r w:rsidRPr="005001D6">
        <w:rPr>
          <w:rFonts w:cstheme="minorHAnsi"/>
          <w:i/>
          <w:iCs/>
        </w:rPr>
        <w:t xml:space="preserve">Amplicon sequencing </w:t>
      </w:r>
    </w:p>
    <w:p w14:paraId="099378A6" w14:textId="77777777" w:rsidR="00E053D1" w:rsidRPr="005001D6" w:rsidRDefault="00E053D1" w:rsidP="00E053D1">
      <w:pPr>
        <w:spacing w:line="480" w:lineRule="auto"/>
        <w:jc w:val="both"/>
        <w:rPr>
          <w:rFonts w:cstheme="minorHAnsi"/>
        </w:rPr>
      </w:pPr>
      <w:r w:rsidRPr="005001D6">
        <w:rPr>
          <w:rFonts w:cstheme="minorHAnsi"/>
        </w:rPr>
        <w:t xml:space="preserve">Amplicons were generated using a 2-step amplification approach, with Illumina </w:t>
      </w:r>
      <w:proofErr w:type="spellStart"/>
      <w:r w:rsidRPr="005001D6">
        <w:rPr>
          <w:rFonts w:cstheme="minorHAnsi"/>
        </w:rPr>
        <w:t>TruSeq</w:t>
      </w:r>
      <w:proofErr w:type="spellEnd"/>
      <w:r w:rsidRPr="005001D6">
        <w:rPr>
          <w:rFonts w:cstheme="minorHAnsi"/>
        </w:rPr>
        <w:t xml:space="preserve"> tagged primers based upon the primers 784F </w:t>
      </w:r>
      <w:r w:rsidRPr="005001D6">
        <w:rPr>
          <w:rFonts w:cstheme="minorHAnsi"/>
        </w:rPr>
        <w:fldChar w:fldCharType="begin" w:fldLock="1"/>
      </w:r>
      <w:r w:rsidRPr="005001D6">
        <w:rPr>
          <w:rFonts w:cstheme="minorHAnsi"/>
        </w:rPr>
        <w:instrText>ADDIN CSL_CITATION {"citationItems":[{"id":"ITEM-1","itemData":{"DOI":"10.1371/journal.pone.0002836","ISSN":"1932-6203","PMID":"18665274","abstract":"Humans host complex microbial communities believed to contribute to health maintenance and, when in imbalance, to the development of diseases. Determining the microbial composition in patients and healthy controls may thus provide novel therapeutic targets. For this purpose, high-throughput, cost-effective methods for microbiota characterization are needed. We have employed 454-pyrosequencing of a hyper-variable region of the 16S rRNA gene in combination with sample-specific barcode sequences which enables parallel in-depth analysis of hundreds of samples with limited sample processing. In silico modeling demonstrated that the method correctly describes microbial communities down to phylotypes below the genus level. Here we applied the technique to analyze microbial communities in throat, stomach and fecal samples. Our results demonstrate the applicability of barcoded pyrosequencing as a high-throughput method for comparative microbial ecology. © 2008 Andersson et al.","author":[{"dropping-particle":"","family":"Andersson","given":"Anders F.","non-dropping-particle":"","parse-names":false,"suffix":""},{"dropping-particle":"","family":"Lindberg","given":"Mathilda","non-dropping-particle":"","parse-names":false,"suffix":""},{"dropping-particle":"","family":"Jakobsson","given":"Hedvig","non-dropping-particle":"","parse-names":false,"suffix":""},{"dropping-particle":"","family":"Bäckhed","given":"Fredrik","non-dropping-particle":"","parse-names":false,"suffix":""},{"dropping-particle":"","family":"Nyrén","given":"Pål","non-dropping-particle":"","parse-names":false,"suffix":""},{"dropping-particle":"","family":"Engstrand","given":"Lars","non-dropping-particle":"","parse-names":false,"suffix":""}],"container-title":"PLoS ONE","editor":[{"dropping-particle":"","family":"Ahmed","given":"Niyaz","non-dropping-particle":"","parse-names":false,"suffix":""}],"id":"ITEM-1","issue":"7","issued":{"date-parts":[["2008","7","30"]]},"page":"e2836","title":"Comparative Analysis of Human Gut Microbiota by Barcoded Pyrosequencing","type":"article-journal","volume":"3"},"uris":["http://www.mendeley.com/documents/?uuid=666bcbfd-abee-45a6-a760-b60d09f42778"]}],"mendeley":{"formattedCitation":"(Andersson &lt;i&gt;et al.&lt;/i&gt; 2008)","plainTextFormattedCitation":"(Andersson et al. 2008)","previouslyFormattedCitation":"(Andersson &lt;i&gt;et al.&lt;/i&gt; 2008)"},"properties":{"noteIndex":0},"schema":"https://github.com/citation-style-language/schema/raw/master/csl-citation.json"}</w:instrText>
      </w:r>
      <w:r w:rsidRPr="005001D6">
        <w:rPr>
          <w:rFonts w:cstheme="minorHAnsi"/>
        </w:rPr>
        <w:fldChar w:fldCharType="separate"/>
      </w:r>
      <w:r w:rsidRPr="005001D6">
        <w:rPr>
          <w:rFonts w:cstheme="minorHAnsi"/>
          <w:noProof/>
        </w:rPr>
        <w:t xml:space="preserve">(Andersson </w:t>
      </w:r>
      <w:r w:rsidRPr="005001D6">
        <w:rPr>
          <w:rFonts w:cstheme="minorHAnsi"/>
          <w:i/>
          <w:noProof/>
        </w:rPr>
        <w:t>et al.</w:t>
      </w:r>
      <w:r w:rsidRPr="005001D6">
        <w:rPr>
          <w:rFonts w:cstheme="minorHAnsi"/>
          <w:noProof/>
        </w:rPr>
        <w:t xml:space="preserve"> 2008)</w:t>
      </w:r>
      <w:r w:rsidRPr="005001D6">
        <w:rPr>
          <w:rFonts w:cstheme="minorHAnsi"/>
        </w:rPr>
        <w:fldChar w:fldCharType="end"/>
      </w:r>
      <w:r w:rsidRPr="005001D6">
        <w:rPr>
          <w:rFonts w:cstheme="minorHAnsi"/>
        </w:rPr>
        <w:t xml:space="preserve">, V6R </w:t>
      </w:r>
      <w:r w:rsidRPr="005001D6">
        <w:rPr>
          <w:rFonts w:cstheme="minorHAnsi"/>
        </w:rPr>
        <w:fldChar w:fldCharType="begin" w:fldLock="1"/>
      </w:r>
      <w:r w:rsidRPr="005001D6">
        <w:rPr>
          <w:rFonts w:cstheme="minorHAnsi"/>
        </w:rPr>
        <w:instrText>ADDIN CSL_CITATION {"citationItems":[{"id":"ITEM-1","itemData":{"DOI":"10.1016/j.mimet.2015.07.003","ISSN":"18728359","abstract":"A blocking primer set based on the technique described by Vestheim and Jarman (2008) was developed to reduce amplification of non-target plant DNA when conducting metagenomic studies on bacterial endophyte communities. Bacterial amplification efficiency was increased 300-fold compared to standard PCR in an Illumina-based study of Sorghastrum nutans leaves.","author":[{"dropping-particle":"","family":"Arenz","given":"Brett E.","non-dropping-particle":"","parse-names":false,"suffix":""},{"dropping-particle":"","family":"Schlatter","given":"Dan C.","non-dropping-particle":"","parse-names":false,"suffix":""},{"dropping-particle":"","family":"Bradeen","given":"James M.","non-dropping-particle":"","parse-names":false,"suffix":""},{"dropping-particle":"","family":"Kinkel","given":"Linda L.","non-dropping-particle":"","parse-names":false,"suffix":""}],"container-title":"Journal of Microbiological Methods","id":"ITEM-1","issued":{"date-parts":[["2015"]]},"page":"1-3","publisher":"Elsevier B.V.","title":"Blocking primers reduce co-amplification of plant DNA when studying bacterial endophyte communities","type":"article-journal","volume":"117"},"uris":["http://www.mendeley.com/documents/?uuid=9be8106e-be76-4b83-8e71-bfbb79af5b4c"]}],"mendeley":{"formattedCitation":"(Arenz &lt;i&gt;et al.&lt;/i&gt; 2015)","plainTextFormattedCitation":"(Arenz et al. 2015)","previouslyFormattedCitation":"(Arenz &lt;i&gt;et al.&lt;/i&gt; 2015)"},"properties":{"noteIndex":0},"schema":"https://github.com/citation-style-language/schema/raw/master/csl-citation.json"}</w:instrText>
      </w:r>
      <w:r w:rsidRPr="005001D6">
        <w:rPr>
          <w:rFonts w:cstheme="minorHAnsi"/>
        </w:rPr>
        <w:fldChar w:fldCharType="separate"/>
      </w:r>
      <w:r w:rsidRPr="005001D6">
        <w:rPr>
          <w:rFonts w:cstheme="minorHAnsi"/>
          <w:noProof/>
        </w:rPr>
        <w:t xml:space="preserve">(Arenz </w:t>
      </w:r>
      <w:r w:rsidRPr="005001D6">
        <w:rPr>
          <w:rFonts w:cstheme="minorHAnsi"/>
          <w:i/>
          <w:noProof/>
        </w:rPr>
        <w:t>et al.</w:t>
      </w:r>
      <w:r w:rsidRPr="005001D6">
        <w:rPr>
          <w:rFonts w:cstheme="minorHAnsi"/>
          <w:noProof/>
        </w:rPr>
        <w:t xml:space="preserve"> 2015)</w:t>
      </w:r>
      <w:r w:rsidRPr="005001D6">
        <w:rPr>
          <w:rFonts w:cstheme="minorHAnsi"/>
        </w:rPr>
        <w:fldChar w:fldCharType="end"/>
      </w:r>
      <w:r w:rsidRPr="005001D6">
        <w:rPr>
          <w:rFonts w:cstheme="minorHAnsi"/>
        </w:rPr>
        <w:t xml:space="preserve"> for bacterial 16S and flTS7 </w:t>
      </w:r>
      <w:r w:rsidRPr="005001D6">
        <w:rPr>
          <w:rFonts w:cstheme="minorHAnsi"/>
        </w:rPr>
        <w:fldChar w:fldCharType="begin" w:fldLock="1"/>
      </w:r>
      <w:r w:rsidRPr="005001D6">
        <w:rPr>
          <w:rFonts w:cstheme="minorHAnsi"/>
        </w:rPr>
        <w:instrText>ADDIN CSL_CITATION {"citationItems":[{"id":"ITEM-1","itemData":{"DOI":"10.1111/j.1574-6941.2012.01437.x","ISSN":"01686496","abstract":"With recent methodological advances, molecular markers are increasingly used for semi-quantitative analyses of fungal communities. The aim to preserve quantitative relationships between genotypes through PCR places new demands on primers to accurately match target sites and provide short amplicons. The internal transcribed spacer (ITS) region of the ribosome encoding genes is a commonly used marker for many fungal groups. Here, we describe three new primers - fITS7, gITS7 and fITS9, which may be used to amplify the fungal ITS2 region by targeting sites in the 5.8S encoding gene. We evaluated the primers and compared their performance with the commonly used ITS1f primer by 454-sequencing of both artificially assembled templates and field samples. When the entire ITS region was amplified using the ITS1f/ITS4 primer combination, we found strong bias against species with longer amplicons. This problem could be overcome by using the new primers, which produce shorter amplicons and better preserve the quantitative composition of the template. In addition, the new primers yielded more diverse amplicon communities than the ITS1f primer. © 2012 Federation of European Microbiological Societies.","author":[{"dropping-particle":"","family":"Ihrmark","given":"Katarina","non-dropping-particle":"","parse-names":false,"suffix":""},{"dropping-particle":"","family":"Bödeker","given":"Inga T.M.","non-dropping-particle":"","parse-names":false,"suffix":""},{"dropping-particle":"","family":"Cruz-Martinez","given":"Karelyn","non-dropping-particle":"","parse-names":false,"suffix":""},{"dropping-particle":"","family":"Friberg","given":"Hanna","non-dropping-particle":"","parse-names":false,"suffix":""},{"dropping-particle":"","family":"Kubartova","given":"Ariana","non-dropping-particle":"","parse-names":false,"suffix":""},{"dropping-particle":"","family":"Schenck","given":"Jessica","non-dropping-particle":"","parse-names":false,"suffix":""},{"dropping-particle":"","family":"Strid","given":"Ylva","non-dropping-particle":"","parse-names":false,"suffix":""},{"dropping-particle":"","family":"Stenlid","given":"Jan","non-dropping-particle":"","parse-names":false,"suffix":""},{"dropping-particle":"","family":"Brandström-Durling","given":"Mikael","non-dropping-particle":"","parse-names":false,"suffix":""},{"dropping-particle":"","family":"Clemmensen","given":"Karina E.","non-dropping-particle":"","parse-names":false,"suffix":""},{"dropping-particle":"","family":"Lindahl","given":"Björn D.","non-dropping-particle":"","parse-names":false,"suffix":""}],"container-title":"FEMS Microbiology Ecology","id":"ITEM-1","issue":"3","issued":{"date-parts":[["2012"]]},"page":"666-677","title":"New primers to amplify the fungal ITS2 region - evaluation by 454-sequencing of artificial and natural communities","type":"article-journal","volume":"82"},"uris":["http://www.mendeley.com/documents/?uuid=40bdd518-3e92-47c9-a893-8272c3392320"]}],"mendeley":{"formattedCitation":"(Ihrmark &lt;i&gt;et al.&lt;/i&gt; 2012)","plainTextFormattedCitation":"(Ihrmark et al. 2012)","previouslyFormattedCitation":"(Ihrmark &lt;i&gt;et al.&lt;/i&gt; 2012)"},"properties":{"noteIndex":0},"schema":"https://github.com/citation-style-language/schema/raw/master/csl-citation.json"}</w:instrText>
      </w:r>
      <w:r w:rsidRPr="005001D6">
        <w:rPr>
          <w:rFonts w:cstheme="minorHAnsi"/>
        </w:rPr>
        <w:fldChar w:fldCharType="separate"/>
      </w:r>
      <w:r w:rsidRPr="005001D6">
        <w:rPr>
          <w:rFonts w:cstheme="minorHAnsi"/>
          <w:noProof/>
        </w:rPr>
        <w:t xml:space="preserve">(Ihrmark </w:t>
      </w:r>
      <w:r w:rsidRPr="005001D6">
        <w:rPr>
          <w:rFonts w:cstheme="minorHAnsi"/>
          <w:i/>
          <w:noProof/>
        </w:rPr>
        <w:t>et al.</w:t>
      </w:r>
      <w:r w:rsidRPr="005001D6">
        <w:rPr>
          <w:rFonts w:cstheme="minorHAnsi"/>
          <w:noProof/>
        </w:rPr>
        <w:t xml:space="preserve"> 2012)</w:t>
      </w:r>
      <w:r w:rsidRPr="005001D6">
        <w:rPr>
          <w:rFonts w:cstheme="minorHAnsi"/>
        </w:rPr>
        <w:fldChar w:fldCharType="end"/>
      </w:r>
      <w:r w:rsidRPr="005001D6">
        <w:rPr>
          <w:rFonts w:cstheme="minorHAnsi"/>
        </w:rPr>
        <w:t xml:space="preserve">, ITS4R </w:t>
      </w:r>
      <w:r w:rsidRPr="005001D6">
        <w:rPr>
          <w:rFonts w:cstheme="minorHAnsi"/>
        </w:rPr>
        <w:fldChar w:fldCharType="begin" w:fldLock="1"/>
      </w:r>
      <w:r w:rsidRPr="005001D6">
        <w:rPr>
          <w:rFonts w:cstheme="minorHAnsi"/>
        </w:rPr>
        <w:instrText>ADDIN CSL_CITATION {"citationItems":[{"id":"ITEM-1","itemData":{"author":[{"dropping-particle":"","family":"White","given":"T.J.","non-dropping-particle":"","parse-names":false,"suffix":""},{"dropping-particle":"","family":"Bruns","given":"T.","non-dropping-particle":"","parse-names":false,"suffix":""},{"dropping-particle":"","family":"Lee","given":"S.","non-dropping-particle":"","parse-names":false,"suffix":""},{"dropping-particle":"","family":"Taylor, J.","given":"","non-dropping-particle":"","parse-names":false,"suffix":""}],"editor":[{"dropping-particle":"","family":"Innis","given":"M.A.","non-dropping-particle":"","parse-names":false,"suffix":""},{"dropping-particle":"","family":"Gelfand","given":"D.H.","non-dropping-particle":"","parse-names":false,"suffix":""},{"dropping-particle":"","family":"Sninsky","given":"J.J.","non-dropping-particle":"","parse-names":false,"suffix":""},{"dropping-particle":"","family":"White","given":"T.J.","non-dropping-particle":"","parse-names":false,"suffix":""}],"id":"ITEM-1","issued":{"date-parts":[["1990"]]},"number-of-pages":"315-322","publisher":"Academic Press","title":"PCR Protocols","type":"book"},"uris":["http://www.mendeley.com/documents/?uuid=4ba01196-df2e-4572-b779-1a691485d175"]}],"mendeley":{"formattedCitation":"(White &lt;i&gt;et al.&lt;/i&gt; 1990)","plainTextFormattedCitation":"(White et al. 1990)","previouslyFormattedCitation":"(White &lt;i&gt;et al.&lt;/i&gt; 1990)"},"properties":{"noteIndex":0},"schema":"https://github.com/citation-style-language/schema/raw/master/csl-citation.json"}</w:instrText>
      </w:r>
      <w:r w:rsidRPr="005001D6">
        <w:rPr>
          <w:rFonts w:cstheme="minorHAnsi"/>
        </w:rPr>
        <w:fldChar w:fldCharType="separate"/>
      </w:r>
      <w:r w:rsidRPr="005001D6">
        <w:rPr>
          <w:rFonts w:cstheme="minorHAnsi"/>
          <w:noProof/>
        </w:rPr>
        <w:t xml:space="preserve">(White </w:t>
      </w:r>
      <w:r w:rsidRPr="005001D6">
        <w:rPr>
          <w:rFonts w:cstheme="minorHAnsi"/>
          <w:i/>
          <w:noProof/>
        </w:rPr>
        <w:t>et al.</w:t>
      </w:r>
      <w:r w:rsidRPr="005001D6">
        <w:rPr>
          <w:rFonts w:cstheme="minorHAnsi"/>
          <w:noProof/>
        </w:rPr>
        <w:t xml:space="preserve"> 1990)</w:t>
      </w:r>
      <w:r w:rsidRPr="005001D6">
        <w:rPr>
          <w:rFonts w:cstheme="minorHAnsi"/>
        </w:rPr>
        <w:fldChar w:fldCharType="end"/>
      </w:r>
      <w:r w:rsidRPr="005001D6">
        <w:rPr>
          <w:rFonts w:cstheme="minorHAnsi"/>
        </w:rPr>
        <w:t xml:space="preserve"> for fungal ITS, with the addition of a unique custom barcode combinations corresponding to each sample </w:t>
      </w:r>
      <w:r w:rsidRPr="005001D6">
        <w:rPr>
          <w:rFonts w:cstheme="minorHAnsi"/>
        </w:rPr>
        <w:fldChar w:fldCharType="begin" w:fldLock="1"/>
      </w:r>
      <w:r w:rsidRPr="005001D6">
        <w:rPr>
          <w:rFonts w:cstheme="minorHAnsi"/>
        </w:rPr>
        <w:instrText>ADDIN CSL_CITATION {"citationItems":[{"id":"ITEM-1","itemData":{"DOI":"10.1128/AEM.01043-13","ISSN":"00992240","PMID":"23793624","abstract":"Rapid advances in sequencing technology have changed the experimental landscape of microbial ecology. In the last 10 years, the field has moved from sequencing hundreds of 16S rRNA gene fragments per study using clone libraries to the sequencing of millions of fragments per study using next-generation sequencing technologies from 454 and Illumina. As these technologies advance, it is critical to assess the strengths, weaknesses, and overall suitability of these platforms for the interrogation of microbial communities. Here, we present an improved method for sequencing variable regions within the 16S rRNA gene using Illumina's MiSeq platform, which is currently capable of producing paired 250-nucleotide reads. We evaluated three overlapping regions of the 16S rRNA gene that vary in length (i.e., V34, V4, and V45) by resequencing a mock community and natural samples from human feces, mouse feces, and soil. By titrating the concentration of 16S rRNA gene amplicons applied to the flow cell and using a quality score-based approach to correct discrepancies between reads used to construct contigs, we were able to reduce error rates by as much as two orders of magnitude. Finally, we reprocessed samples from a previous study to demonstrate that large numbers of samples could be multiplexed and sequenced in parallel with shotgun metagenomes. These analyses demonstrate that our approach can provide data that are at least as good as that generated by the 454 platform while providing considerably higher sequencing coverage for a fraction of the cost. © 2013, American Society for Microbiology.","author":[{"dropping-particle":"","family":"Kozich","given":"James J.","non-dropping-particle":"","parse-names":false,"suffix":""},{"dropping-particle":"","family":"Westcott","given":"Sarah L.","non-dropping-particle":"","parse-names":false,"suffix":""},{"dropping-particle":"","family":"Baxter","given":"Nielson T.","non-dropping-particle":"","parse-names":false,"suffix":""},{"dropping-particle":"","family":"Highlander","given":"Sarah K.","non-dropping-particle":"","parse-names":false,"suffix":""},{"dropping-particle":"","family":"Schloss","given":"Patrick D.","non-dropping-particle":"","parse-names":false,"suffix":""}],"container-title":"Applied and Environmental Microbiology","id":"ITEM-1","issue":"17","issued":{"date-parts":[["2013"]]},"page":"5112-5120","title":"Development of a dual-index sequencing strategy and curation pipeline for analyzing amplicon sequence data on the miseq illumina sequencing platform","type":"article-journal","volume":"79"},"uris":["http://www.mendeley.com/documents/?uuid=c7374aa4-2edb-41e3-8688-717129c58838"]}],"mendeley":{"formattedCitation":"(Kozich &lt;i&gt;et al.&lt;/i&gt; 2013)","plainTextFormattedCitation":"(Kozich et al. 2013)","previouslyFormattedCitation":"(Kozich &lt;i&gt;et al.&lt;/i&gt; 2013)"},"properties":{"noteIndex":0},"schema":"https://github.com/citation-style-language/schema/raw/master/csl-citation.json"}</w:instrText>
      </w:r>
      <w:r w:rsidRPr="005001D6">
        <w:rPr>
          <w:rFonts w:cstheme="minorHAnsi"/>
        </w:rPr>
        <w:fldChar w:fldCharType="separate"/>
      </w:r>
      <w:r w:rsidRPr="005001D6">
        <w:rPr>
          <w:rFonts w:cstheme="minorHAnsi"/>
          <w:noProof/>
        </w:rPr>
        <w:t xml:space="preserve">(Kozich </w:t>
      </w:r>
      <w:r w:rsidRPr="005001D6">
        <w:rPr>
          <w:rFonts w:cstheme="minorHAnsi"/>
          <w:i/>
          <w:noProof/>
        </w:rPr>
        <w:t>et al.</w:t>
      </w:r>
      <w:r w:rsidRPr="005001D6">
        <w:rPr>
          <w:rFonts w:cstheme="minorHAnsi"/>
          <w:noProof/>
        </w:rPr>
        <w:t xml:space="preserve"> 2013)</w:t>
      </w:r>
      <w:r w:rsidRPr="005001D6">
        <w:rPr>
          <w:rFonts w:cstheme="minorHAnsi"/>
        </w:rPr>
        <w:fldChar w:fldCharType="end"/>
      </w:r>
      <w:r w:rsidRPr="005001D6">
        <w:rPr>
          <w:rFonts w:cstheme="minorHAnsi"/>
        </w:rPr>
        <w:t xml:space="preserve">. </w:t>
      </w:r>
    </w:p>
    <w:p w14:paraId="7988251C" w14:textId="77777777" w:rsidR="00E053D1" w:rsidRPr="005001D6" w:rsidRDefault="00E053D1" w:rsidP="00E053D1">
      <w:pPr>
        <w:spacing w:line="480" w:lineRule="auto"/>
        <w:jc w:val="both"/>
        <w:rPr>
          <w:rFonts w:cstheme="minorHAnsi"/>
          <w:iCs/>
        </w:rPr>
      </w:pPr>
    </w:p>
    <w:p w14:paraId="770494D6" w14:textId="77777777" w:rsidR="00E053D1" w:rsidRPr="005001D6" w:rsidRDefault="00E053D1" w:rsidP="00E053D1">
      <w:pPr>
        <w:spacing w:line="480" w:lineRule="auto"/>
        <w:jc w:val="both"/>
        <w:rPr>
          <w:rFonts w:cstheme="minorHAnsi"/>
          <w:i/>
        </w:rPr>
      </w:pPr>
      <w:r w:rsidRPr="005001D6">
        <w:rPr>
          <w:rFonts w:cstheme="minorHAnsi"/>
          <w:i/>
        </w:rPr>
        <w:lastRenderedPageBreak/>
        <w:t xml:space="preserve">2-step Illumina Sequencing PCR protocol </w:t>
      </w:r>
    </w:p>
    <w:p w14:paraId="05CEC4B7" w14:textId="77777777" w:rsidR="00E053D1" w:rsidRPr="005001D6" w:rsidRDefault="00E053D1" w:rsidP="00E053D1">
      <w:pPr>
        <w:spacing w:line="480" w:lineRule="auto"/>
        <w:jc w:val="both"/>
        <w:rPr>
          <w:rFonts w:cstheme="minorHAnsi"/>
          <w:shd w:val="clear" w:color="auto" w:fill="FFFFFF"/>
        </w:rPr>
      </w:pPr>
      <w:r w:rsidRPr="005001D6">
        <w:rPr>
          <w:rFonts w:cstheme="minorHAnsi"/>
        </w:rPr>
        <w:t xml:space="preserve">Extracted DNA was quantified using the </w:t>
      </w:r>
      <w:proofErr w:type="spellStart"/>
      <w:r w:rsidRPr="005001D6">
        <w:rPr>
          <w:rFonts w:cstheme="minorHAnsi"/>
        </w:rPr>
        <w:t>nanodrop</w:t>
      </w:r>
      <w:proofErr w:type="spellEnd"/>
      <w:r w:rsidRPr="005001D6">
        <w:rPr>
          <w:rFonts w:cstheme="minorHAnsi"/>
        </w:rPr>
        <w:t xml:space="preserve"> 8000 UV-Vis spectrophotometer (</w:t>
      </w:r>
      <w:proofErr w:type="spellStart"/>
      <w:r w:rsidRPr="005001D6">
        <w:rPr>
          <w:rFonts w:cstheme="minorHAnsi"/>
        </w:rPr>
        <w:t>ThermoFisher</w:t>
      </w:r>
      <w:proofErr w:type="spellEnd"/>
      <w:r w:rsidRPr="005001D6">
        <w:rPr>
          <w:rFonts w:cstheme="minorHAnsi"/>
        </w:rPr>
        <w:t xml:space="preserve"> scientific, MA, USA). The first PCR step amplifies using gene specific primers (16S and </w:t>
      </w:r>
      <w:proofErr w:type="gramStart"/>
      <w:r w:rsidRPr="005001D6">
        <w:rPr>
          <w:rFonts w:cstheme="minorHAnsi"/>
        </w:rPr>
        <w:t>ITS</w:t>
      </w:r>
      <w:proofErr w:type="gramEnd"/>
      <w:r w:rsidRPr="005001D6">
        <w:rPr>
          <w:rFonts w:cstheme="minorHAnsi"/>
        </w:rPr>
        <w:t>, described above) modified with the addition of an Illumina adapter</w:t>
      </w:r>
      <w:r w:rsidRPr="005001D6">
        <w:rPr>
          <w:rFonts w:cstheme="minorHAnsi"/>
          <w:shd w:val="clear" w:color="auto" w:fill="FFFFFF"/>
        </w:rPr>
        <w:t xml:space="preserve">. Each gene amplicon was generated separately using </w:t>
      </w:r>
      <w:r w:rsidRPr="005001D6">
        <w:rPr>
          <w:rFonts w:cstheme="minorHAnsi"/>
        </w:rPr>
        <w:t xml:space="preserve">approximately 20 ng DNA template, combined with 1 </w:t>
      </w:r>
      <w:r w:rsidRPr="005001D6">
        <w:rPr>
          <w:rFonts w:cstheme="minorHAnsi"/>
          <w:shd w:val="clear" w:color="auto" w:fill="FFFFFF"/>
        </w:rPr>
        <w:t xml:space="preserve">µl </w:t>
      </w:r>
      <w:proofErr w:type="spellStart"/>
      <w:r w:rsidRPr="005001D6">
        <w:rPr>
          <w:rFonts w:cstheme="minorHAnsi"/>
        </w:rPr>
        <w:t>dNTPs</w:t>
      </w:r>
      <w:proofErr w:type="spellEnd"/>
      <w:r w:rsidRPr="005001D6">
        <w:rPr>
          <w:rFonts w:cstheme="minorHAnsi"/>
        </w:rPr>
        <w:t xml:space="preserve"> (10 </w:t>
      </w:r>
      <w:proofErr w:type="spellStart"/>
      <w:r w:rsidRPr="005001D6">
        <w:rPr>
          <w:rFonts w:cstheme="minorHAnsi"/>
        </w:rPr>
        <w:t>mM</w:t>
      </w:r>
      <w:proofErr w:type="spellEnd"/>
      <w:r w:rsidRPr="005001D6">
        <w:rPr>
          <w:rFonts w:cstheme="minorHAnsi"/>
        </w:rPr>
        <w:t>),</w:t>
      </w:r>
      <w:r w:rsidRPr="005001D6">
        <w:rPr>
          <w:rFonts w:cstheme="minorHAnsi"/>
          <w:shd w:val="clear" w:color="auto" w:fill="FFFFFF"/>
        </w:rPr>
        <w:t xml:space="preserve"> 0.5</w:t>
      </w:r>
      <w:r w:rsidRPr="005001D6">
        <w:rPr>
          <w:rFonts w:cstheme="minorHAnsi"/>
        </w:rPr>
        <w:t xml:space="preserve"> </w:t>
      </w:r>
      <w:r w:rsidRPr="005001D6">
        <w:rPr>
          <w:rFonts w:cstheme="minorHAnsi"/>
          <w:shd w:val="clear" w:color="auto" w:fill="FFFFFF"/>
        </w:rPr>
        <w:t xml:space="preserve">µl of each modified amplicon primer (100 µM), 0.5 µl Q5 High fidelity DNA polymerase (New England </w:t>
      </w:r>
      <w:proofErr w:type="spellStart"/>
      <w:r w:rsidRPr="005001D6">
        <w:rPr>
          <w:rFonts w:cstheme="minorHAnsi"/>
          <w:shd w:val="clear" w:color="auto" w:fill="FFFFFF"/>
        </w:rPr>
        <w:t>Biolabs</w:t>
      </w:r>
      <w:proofErr w:type="spellEnd"/>
      <w:r w:rsidRPr="005001D6">
        <w:rPr>
          <w:rFonts w:cstheme="minorHAnsi"/>
          <w:shd w:val="clear" w:color="auto" w:fill="FFFFFF"/>
        </w:rPr>
        <w:t>, MA, USA), 10 µl Q5 Reaction Buffer (5X), and molecular grade water to a total of 50 µl. PCR conditions consisted of an initial denaturation of 30 seconds at 98°C, followed by 20 cycles of 10 seconds at 98 °C, 10 seconds at 50 °C and 20 seconds at 72 °C. A final extension of 10 minutes at 72 °C was also included to complete the reaction. Once finished PCR products were purified using ZR-96 DNA clean up kit (</w:t>
      </w:r>
      <w:proofErr w:type="spellStart"/>
      <w:r w:rsidRPr="005001D6">
        <w:rPr>
          <w:rFonts w:cstheme="minorHAnsi"/>
          <w:shd w:val="clear" w:color="auto" w:fill="FFFFFF"/>
        </w:rPr>
        <w:t>Zymo</w:t>
      </w:r>
      <w:proofErr w:type="spellEnd"/>
      <w:r w:rsidRPr="005001D6">
        <w:rPr>
          <w:rFonts w:cstheme="minorHAnsi"/>
          <w:shd w:val="clear" w:color="auto" w:fill="FFFFFF"/>
        </w:rPr>
        <w:t xml:space="preserve"> research, CA, USA) according to manufacturer’s protocol. Final product was eluted in 40</w:t>
      </w:r>
      <w:r w:rsidRPr="005001D6">
        <w:rPr>
          <w:rFonts w:cstheme="minorHAnsi"/>
        </w:rPr>
        <w:t xml:space="preserve"> </w:t>
      </w:r>
      <w:r w:rsidRPr="005001D6">
        <w:rPr>
          <w:rFonts w:cstheme="minorHAnsi"/>
          <w:shd w:val="clear" w:color="auto" w:fill="FFFFFF"/>
        </w:rPr>
        <w:t>µl molecular grade water.</w:t>
      </w:r>
    </w:p>
    <w:p w14:paraId="685D5467" w14:textId="77777777" w:rsidR="00E053D1" w:rsidRPr="005001D6" w:rsidRDefault="00E053D1" w:rsidP="00E053D1">
      <w:pPr>
        <w:spacing w:line="480" w:lineRule="auto"/>
        <w:jc w:val="both"/>
        <w:rPr>
          <w:rFonts w:cstheme="minorHAnsi"/>
          <w:shd w:val="clear" w:color="auto" w:fill="FFFFFF"/>
        </w:rPr>
      </w:pPr>
      <w:r w:rsidRPr="005001D6">
        <w:rPr>
          <w:rFonts w:cstheme="minorHAnsi"/>
          <w:shd w:val="clear" w:color="auto" w:fill="FFFFFF"/>
        </w:rPr>
        <w:t>2</w:t>
      </w:r>
      <w:r w:rsidRPr="005001D6">
        <w:rPr>
          <w:rFonts w:cstheme="minorHAnsi"/>
          <w:shd w:val="clear" w:color="auto" w:fill="FFFFFF"/>
          <w:vertAlign w:val="superscript"/>
        </w:rPr>
        <w:t>nd</w:t>
      </w:r>
      <w:r w:rsidRPr="005001D6">
        <w:rPr>
          <w:rFonts w:cstheme="minorHAnsi"/>
          <w:shd w:val="clear" w:color="auto" w:fill="FFFFFF"/>
        </w:rPr>
        <w:t xml:space="preserve"> step primers are specific to the Illumina adapter, additionally they contain unique barcodes </w:t>
      </w:r>
      <w:r w:rsidRPr="005001D6">
        <w:rPr>
          <w:rFonts w:cstheme="minorHAnsi"/>
          <w:shd w:val="clear" w:color="auto" w:fill="FFFFFF"/>
        </w:rPr>
        <w:fldChar w:fldCharType="begin" w:fldLock="1"/>
      </w:r>
      <w:r w:rsidRPr="005001D6">
        <w:rPr>
          <w:rFonts w:cstheme="minorHAnsi"/>
          <w:shd w:val="clear" w:color="auto" w:fill="FFFFFF"/>
        </w:rPr>
        <w:instrText>ADDIN CSL_CITATION {"citationItems":[{"id":"ITEM-1","itemData":{"DOI":"10.1128/AEM.01043-13","ISSN":"00992240","PMID":"23793624","abstract":"Rapid advances in sequencing technology have changed the experimental landscape of microbial ecology. In the last 10 years, the field has moved from sequencing hundreds of 16S rRNA gene fragments per study using clone libraries to the sequencing of millions of fragments per study using next-generation sequencing technologies from 454 and Illumina. As these technologies advance, it is critical to assess the strengths, weaknesses, and overall suitability of these platforms for the interrogation of microbial communities. Here, we present an improved method for sequencing variable regions within the 16S rRNA gene using Illumina's MiSeq platform, which is currently capable of producing paired 250-nucleotide reads. We evaluated three overlapping regions of the 16S rRNA gene that vary in length (i.e., V34, V4, and V45) by resequencing a mock community and natural samples from human feces, mouse feces, and soil. By titrating the concentration of 16S rRNA gene amplicons applied to the flow cell and using a quality score-based approach to correct discrepancies between reads used to construct contigs, we were able to reduce error rates by as much as two orders of magnitude. Finally, we reprocessed samples from a previous study to demonstrate that large numbers of samples could be multiplexed and sequenced in parallel with shotgun metagenomes. These analyses demonstrate that our approach can provide data that are at least as good as that generated by the 454 platform while providing considerably higher sequencing coverage for a fraction of the cost. © 2013, American Society for Microbiology.","author":[{"dropping-particle":"","family":"Kozich","given":"James J.","non-dropping-particle":"","parse-names":false,"suffix":""},{"dropping-particle":"","family":"Westcott","given":"Sarah L.","non-dropping-particle":"","parse-names":false,"suffix":""},{"dropping-particle":"","family":"Baxter","given":"Nielson T.","non-dropping-particle":"","parse-names":false,"suffix":""},{"dropping-particle":"","family":"Highlander","given":"Sarah K.","non-dropping-particle":"","parse-names":false,"suffix":""},{"dropping-particle":"","family":"Schloss","given":"Patrick D.","non-dropping-particle":"","parse-names":false,"suffix":""}],"container-title":"Applied and Environmental Microbiology","id":"ITEM-1","issue":"17","issued":{"date-parts":[["2013"]]},"page":"5112-5120","title":"Development of a dual-index sequencing strategy and curation pipeline for analyzing amplicon sequence data on the miseq illumina sequencing platform","type":"article-journal","volume":"79"},"uris":["http://www.mendeley.com/documents/?uuid=c7374aa4-2edb-41e3-8688-717129c58838"]}],"mendeley":{"formattedCitation":"(Kozich &lt;i&gt;et al.&lt;/i&gt; 2013)","plainTextFormattedCitation":"(Kozich et al. 2013)","previouslyFormattedCitation":"(Kozich &lt;i&gt;et al.&lt;/i&gt; 2013)"},"properties":{"noteIndex":0},"schema":"https://github.com/citation-style-language/schema/raw/master/csl-citation.json"}</w:instrText>
      </w:r>
      <w:r w:rsidRPr="005001D6">
        <w:rPr>
          <w:rFonts w:cstheme="minorHAnsi"/>
          <w:shd w:val="clear" w:color="auto" w:fill="FFFFFF"/>
        </w:rPr>
        <w:fldChar w:fldCharType="separate"/>
      </w:r>
      <w:r w:rsidRPr="005001D6">
        <w:rPr>
          <w:rFonts w:cstheme="minorHAnsi"/>
          <w:noProof/>
          <w:shd w:val="clear" w:color="auto" w:fill="FFFFFF"/>
        </w:rPr>
        <w:t xml:space="preserve">(Kozich </w:t>
      </w:r>
      <w:r w:rsidRPr="005001D6">
        <w:rPr>
          <w:rFonts w:cstheme="minorHAnsi"/>
          <w:i/>
          <w:noProof/>
          <w:shd w:val="clear" w:color="auto" w:fill="FFFFFF"/>
        </w:rPr>
        <w:t>et al.</w:t>
      </w:r>
      <w:r w:rsidRPr="005001D6">
        <w:rPr>
          <w:rFonts w:cstheme="minorHAnsi"/>
          <w:noProof/>
          <w:shd w:val="clear" w:color="auto" w:fill="FFFFFF"/>
        </w:rPr>
        <w:t xml:space="preserve"> 2013)</w:t>
      </w:r>
      <w:r w:rsidRPr="005001D6">
        <w:rPr>
          <w:rFonts w:cstheme="minorHAnsi"/>
          <w:shd w:val="clear" w:color="auto" w:fill="FFFFFF"/>
        </w:rPr>
        <w:fldChar w:fldCharType="end"/>
      </w:r>
      <w:r w:rsidRPr="005001D6">
        <w:rPr>
          <w:rFonts w:cstheme="minorHAnsi"/>
          <w:shd w:val="clear" w:color="auto" w:fill="FFFFFF"/>
        </w:rPr>
        <w:t xml:space="preserve"> and the Illumina sequencing primer binding site. Illumina tag primer combinations for each sample are available upon request.</w:t>
      </w:r>
    </w:p>
    <w:p w14:paraId="5F7BEEE6" w14:textId="77777777" w:rsidR="00E053D1" w:rsidRPr="005001D6" w:rsidRDefault="00E053D1" w:rsidP="00E053D1">
      <w:pPr>
        <w:spacing w:line="480" w:lineRule="auto"/>
        <w:jc w:val="both"/>
        <w:rPr>
          <w:rFonts w:cstheme="minorHAnsi"/>
          <w:shd w:val="clear" w:color="auto" w:fill="FFFFFF"/>
        </w:rPr>
      </w:pPr>
      <w:r w:rsidRPr="005001D6">
        <w:rPr>
          <w:rFonts w:cstheme="minorHAnsi"/>
        </w:rPr>
        <w:t xml:space="preserve">10 </w:t>
      </w:r>
      <w:r w:rsidRPr="005001D6">
        <w:rPr>
          <w:rFonts w:cstheme="minorHAnsi"/>
          <w:shd w:val="clear" w:color="auto" w:fill="FFFFFF"/>
        </w:rPr>
        <w:t>µl</w:t>
      </w:r>
      <w:r w:rsidRPr="005001D6">
        <w:rPr>
          <w:rFonts w:cstheme="minorHAnsi"/>
        </w:rPr>
        <w:t xml:space="preserve"> of step 1 product was combined with 1 </w:t>
      </w:r>
      <w:r w:rsidRPr="005001D6">
        <w:rPr>
          <w:rFonts w:cstheme="minorHAnsi"/>
          <w:shd w:val="clear" w:color="auto" w:fill="FFFFFF"/>
        </w:rPr>
        <w:t xml:space="preserve">µl </w:t>
      </w:r>
      <w:proofErr w:type="spellStart"/>
      <w:r w:rsidRPr="005001D6">
        <w:rPr>
          <w:rFonts w:cstheme="minorHAnsi"/>
        </w:rPr>
        <w:t>dNTPs</w:t>
      </w:r>
      <w:proofErr w:type="spellEnd"/>
      <w:r w:rsidRPr="005001D6">
        <w:rPr>
          <w:rFonts w:cstheme="minorHAnsi"/>
        </w:rPr>
        <w:t xml:space="preserve"> (10 </w:t>
      </w:r>
      <w:proofErr w:type="spellStart"/>
      <w:r w:rsidRPr="005001D6">
        <w:rPr>
          <w:rFonts w:cstheme="minorHAnsi"/>
        </w:rPr>
        <w:t>mM</w:t>
      </w:r>
      <w:proofErr w:type="spellEnd"/>
      <w:r w:rsidRPr="005001D6">
        <w:rPr>
          <w:rFonts w:cstheme="minorHAnsi"/>
        </w:rPr>
        <w:t xml:space="preserve">), </w:t>
      </w:r>
      <w:r w:rsidRPr="005001D6">
        <w:rPr>
          <w:rFonts w:cstheme="minorHAnsi"/>
          <w:shd w:val="clear" w:color="auto" w:fill="FFFFFF"/>
        </w:rPr>
        <w:t>5</w:t>
      </w:r>
      <w:r w:rsidRPr="005001D6">
        <w:rPr>
          <w:rFonts w:cstheme="minorHAnsi"/>
        </w:rPr>
        <w:t xml:space="preserve"> </w:t>
      </w:r>
      <w:r w:rsidRPr="005001D6">
        <w:rPr>
          <w:rFonts w:cstheme="minorHAnsi"/>
          <w:shd w:val="clear" w:color="auto" w:fill="FFFFFF"/>
        </w:rPr>
        <w:t>µl  Illumina tag primers mix (</w:t>
      </w:r>
      <w:r w:rsidRPr="005001D6">
        <w:rPr>
          <w:rFonts w:cstheme="minorHAnsi"/>
        </w:rPr>
        <w:t xml:space="preserve">10 </w:t>
      </w:r>
      <w:proofErr w:type="spellStart"/>
      <w:r w:rsidRPr="005001D6">
        <w:rPr>
          <w:rFonts w:cstheme="minorHAnsi"/>
        </w:rPr>
        <w:t>mM</w:t>
      </w:r>
      <w:proofErr w:type="spellEnd"/>
      <w:r w:rsidRPr="005001D6">
        <w:rPr>
          <w:rFonts w:cstheme="minorHAnsi"/>
        </w:rPr>
        <w:t xml:space="preserve"> each)</w:t>
      </w:r>
      <w:r w:rsidRPr="005001D6">
        <w:rPr>
          <w:rFonts w:cstheme="minorHAnsi"/>
          <w:shd w:val="clear" w:color="auto" w:fill="FFFFFF"/>
        </w:rPr>
        <w:t xml:space="preserve">, 0.5 µl Q5 High fidelity DNA polymerase (New England </w:t>
      </w:r>
      <w:proofErr w:type="spellStart"/>
      <w:r w:rsidRPr="005001D6">
        <w:rPr>
          <w:rFonts w:cstheme="minorHAnsi"/>
          <w:shd w:val="clear" w:color="auto" w:fill="FFFFFF"/>
        </w:rPr>
        <w:t>Biolabs</w:t>
      </w:r>
      <w:proofErr w:type="spellEnd"/>
      <w:r w:rsidRPr="005001D6">
        <w:rPr>
          <w:rFonts w:cstheme="minorHAnsi"/>
          <w:shd w:val="clear" w:color="auto" w:fill="FFFFFF"/>
        </w:rPr>
        <w:t xml:space="preserve">), 10 µl Q5 Reaction Buffer (5X), and molecular grade water to a total of 50 µl. PCR consisted of Initial denaturation of 30 seconds at 98 °C, followed by 10 cycles of 10 seconds at 98 °C, 20 seconds at 62 °C and 30 seconds at 72 °C. A final extension of 2 minutes at 72 °C was also included to complete the reaction. </w:t>
      </w:r>
    </w:p>
    <w:p w14:paraId="3088D495" w14:textId="77777777" w:rsidR="00E053D1" w:rsidRPr="005001D6" w:rsidRDefault="00E053D1" w:rsidP="00E053D1">
      <w:pPr>
        <w:spacing w:line="480" w:lineRule="auto"/>
        <w:jc w:val="both"/>
        <w:rPr>
          <w:rFonts w:cstheme="minorHAnsi"/>
        </w:rPr>
      </w:pPr>
      <w:r w:rsidRPr="005001D6">
        <w:rPr>
          <w:rFonts w:cstheme="minorHAnsi"/>
        </w:rPr>
        <w:t xml:space="preserve">PCR Products were normalised using </w:t>
      </w:r>
      <w:proofErr w:type="spellStart"/>
      <w:r w:rsidRPr="005001D6">
        <w:rPr>
          <w:rFonts w:cstheme="minorHAnsi"/>
        </w:rPr>
        <w:t>Sequalprep</w:t>
      </w:r>
      <w:proofErr w:type="spellEnd"/>
      <w:r w:rsidRPr="005001D6">
        <w:rPr>
          <w:rFonts w:cstheme="minorHAnsi"/>
        </w:rPr>
        <w:t xml:space="preserve"> normalisation plates (Invitrogen, Carlsbad, CA, USA). Pooled amplicon libraries were vacuum concentrated and gel purified. Resultant libraries were quantified using a Qubit dsDNA HS Assay kit (Invitrogen) and the pool was sequenced at a concentration of 5.4 </w:t>
      </w:r>
      <w:proofErr w:type="spellStart"/>
      <w:r w:rsidRPr="005001D6">
        <w:rPr>
          <w:rFonts w:cstheme="minorHAnsi"/>
        </w:rPr>
        <w:t>pM</w:t>
      </w:r>
      <w:proofErr w:type="spellEnd"/>
      <w:r w:rsidRPr="005001D6">
        <w:rPr>
          <w:rFonts w:cstheme="minorHAnsi"/>
        </w:rPr>
        <w:t xml:space="preserve"> with a 0.6 </w:t>
      </w:r>
      <w:proofErr w:type="spellStart"/>
      <w:r w:rsidRPr="005001D6">
        <w:rPr>
          <w:rFonts w:cstheme="minorHAnsi"/>
        </w:rPr>
        <w:t>pM</w:t>
      </w:r>
      <w:proofErr w:type="spellEnd"/>
      <w:r w:rsidRPr="005001D6">
        <w:rPr>
          <w:rFonts w:cstheme="minorHAnsi"/>
        </w:rPr>
        <w:t xml:space="preserve"> addition of Illumina generated </w:t>
      </w:r>
      <w:proofErr w:type="spellStart"/>
      <w:r w:rsidRPr="005001D6">
        <w:rPr>
          <w:rFonts w:cstheme="minorHAnsi"/>
        </w:rPr>
        <w:t>PhiX</w:t>
      </w:r>
      <w:proofErr w:type="spellEnd"/>
      <w:r w:rsidRPr="005001D6">
        <w:rPr>
          <w:rFonts w:cstheme="minorHAnsi"/>
        </w:rPr>
        <w:t xml:space="preserve"> control library. Sequencing was performed on an Illumina </w:t>
      </w:r>
      <w:proofErr w:type="spellStart"/>
      <w:r w:rsidRPr="005001D6">
        <w:rPr>
          <w:rFonts w:cstheme="minorHAnsi"/>
        </w:rPr>
        <w:t>MiSeq</w:t>
      </w:r>
      <w:proofErr w:type="spellEnd"/>
      <w:r w:rsidRPr="005001D6">
        <w:rPr>
          <w:rFonts w:cstheme="minorHAnsi"/>
        </w:rPr>
        <w:t xml:space="preserve"> platform using V3 chemistry (Illumina Inc., San Diego, CA, USA).</w:t>
      </w:r>
    </w:p>
    <w:p w14:paraId="0C50289B" w14:textId="77777777" w:rsidR="00E053D1" w:rsidRPr="005001D6" w:rsidRDefault="00E053D1" w:rsidP="00E053D1">
      <w:pPr>
        <w:spacing w:line="480" w:lineRule="auto"/>
        <w:jc w:val="both"/>
        <w:rPr>
          <w:i/>
          <w:iCs/>
        </w:rPr>
      </w:pPr>
    </w:p>
    <w:p w14:paraId="7A3278EE" w14:textId="77777777" w:rsidR="00E053D1" w:rsidRPr="005001D6" w:rsidRDefault="00E053D1" w:rsidP="00E053D1">
      <w:pPr>
        <w:spacing w:line="480" w:lineRule="auto"/>
        <w:jc w:val="both"/>
        <w:rPr>
          <w:i/>
          <w:iCs/>
        </w:rPr>
      </w:pPr>
      <w:r w:rsidRPr="005001D6">
        <w:rPr>
          <w:i/>
          <w:iCs/>
        </w:rPr>
        <w:t>DNA sequence processing</w:t>
      </w:r>
    </w:p>
    <w:p w14:paraId="7D562C42" w14:textId="2776578F" w:rsidR="00E053D1" w:rsidRPr="005001D6" w:rsidRDefault="00E053D1" w:rsidP="00E053D1">
      <w:pPr>
        <w:spacing w:line="480" w:lineRule="auto"/>
        <w:jc w:val="both"/>
        <w:rPr>
          <w:rFonts w:cstheme="minorHAnsi"/>
        </w:rPr>
      </w:pPr>
      <w:r w:rsidRPr="005001D6">
        <w:rPr>
          <w:rFonts w:cstheme="minorHAnsi"/>
        </w:rPr>
        <w:t xml:space="preserve">Sequences were processed using DADA2 </w:t>
      </w:r>
      <w:r w:rsidRPr="005001D6">
        <w:rPr>
          <w:rFonts w:cstheme="minorHAnsi"/>
        </w:rPr>
        <w:fldChar w:fldCharType="begin" w:fldLock="1"/>
      </w:r>
      <w:r w:rsidRPr="005001D6">
        <w:rPr>
          <w:rFonts w:cstheme="minorHAnsi"/>
        </w:rPr>
        <w:instrText>ADDIN CSL_CITATION {"citationItems":[{"id":"ITEM-1","itemData":{"DOI":"10.1038/nmeth.3869","ISSN":"15487105","abstract":"We present the open-source software package DADA2 for modeling and correcting Illumina-sequenced amplicon errors (https://github.com/benjjneb/dada2). DADA2 infers sample sequences exactly and resolves differences of as little as 1 nucleotide. In several mock communities, DADA2 identified more real variants and output fewer spurious sequences than other methods. We applied DADA2 to vaginal samples from a cohort of pregnant women, revealing a diversity of previously undetected Lactobacillus crispatus variants.","author":[{"dropping-particle":"","family":"Callahan","given":"Benjamin J.","non-dropping-particle":"","parse-names":false,"suffix":""},{"dropping-particle":"","family":"McMurdie","given":"Paul J.","non-dropping-particle":"","parse-names":false,"suffix":""},{"dropping-particle":"","family":"Rosen","given":"Michael J.","non-dropping-particle":"","parse-names":false,"suffix":""},{"dropping-particle":"","family":"Han","given":"Andrew W.","non-dropping-particle":"","parse-names":false,"suffix":""},{"dropping-particle":"","family":"Johnson","given":"Amy Jo A.","non-dropping-particle":"","parse-names":false,"suffix":""},{"dropping-particle":"","family":"Holmes","given":"Susan P.","non-dropping-particle":"","parse-names":false,"suffix":""}],"container-title":"Nature Methods","id":"ITEM-1","issue":"7","issued":{"date-parts":[["2016"]]},"page":"581-583","title":"DADA2: High-resolution sample inference from Illumina amplicon data","type":"article-journal","volume":"13"},"uris":["http://www.mendeley.com/documents/?uuid=ea497709-69d2-4ee1-8a62-d2d16effb394"]}],"mendeley":{"formattedCitation":"(Callahan &lt;i&gt;et al.&lt;/i&gt; 2016)","plainTextFormattedCitation":"(Callahan et al. 2016)","previouslyFormattedCitation":"(Callahan &lt;i&gt;et al.&lt;/i&gt; 2016)"},"properties":{"noteIndex":0},"schema":"https://github.com/citation-style-language/schema/raw/master/csl-citation.json"}</w:instrText>
      </w:r>
      <w:r w:rsidRPr="005001D6">
        <w:rPr>
          <w:rFonts w:cstheme="minorHAnsi"/>
        </w:rPr>
        <w:fldChar w:fldCharType="separate"/>
      </w:r>
      <w:r w:rsidRPr="005001D6">
        <w:rPr>
          <w:rFonts w:cstheme="minorHAnsi"/>
          <w:noProof/>
        </w:rPr>
        <w:t xml:space="preserve">(Callahan </w:t>
      </w:r>
      <w:r w:rsidRPr="005001D6">
        <w:rPr>
          <w:rFonts w:cstheme="minorHAnsi"/>
          <w:i/>
          <w:noProof/>
        </w:rPr>
        <w:t>et al.</w:t>
      </w:r>
      <w:r w:rsidRPr="005001D6">
        <w:rPr>
          <w:rFonts w:cstheme="minorHAnsi"/>
          <w:noProof/>
        </w:rPr>
        <w:t xml:space="preserve"> 2016)</w:t>
      </w:r>
      <w:r w:rsidRPr="005001D6">
        <w:rPr>
          <w:rFonts w:cstheme="minorHAnsi"/>
        </w:rPr>
        <w:fldChar w:fldCharType="end"/>
      </w:r>
      <w:r w:rsidRPr="005001D6">
        <w:rPr>
          <w:rFonts w:cstheme="minorHAnsi"/>
        </w:rPr>
        <w:t xml:space="preserve"> pipeline in R V.3.0.17 </w:t>
      </w:r>
      <w:r w:rsidRPr="005001D6">
        <w:rPr>
          <w:rFonts w:cstheme="minorHAnsi"/>
        </w:rPr>
        <w:fldChar w:fldCharType="begin" w:fldLock="1"/>
      </w:r>
      <w:r w:rsidR="007E795C">
        <w:rPr>
          <w:rFonts w:cstheme="minorHAnsi"/>
        </w:rPr>
        <w:instrText>ADDIN CSL_CITATION {"citationItems":[{"id":"ITEM-1","itemData":{"author":[{"dropping-particle":"","family":"R Core Team","given":"","non-dropping-particle":"","parse-names":false,"suffix":""}],"id":"ITEM-1","issued":{"date-parts":[["2021"]]},"number":"Vienna, Austria","publisher":"R Foundation for Statistical Computing","title":"R: A language and environment for statistical computing. R Foundation for Statistical Computing, Vienna, Austria. https://www.R-project.org/.","type":"article"},"uris":["http://www.mendeley.com/documents/?uuid=032b4765-6c06-44b8-9ef4-141e4e7d96a3"]}],"mendeley":{"formattedCitation":"(R Core Team 2021)","plainTextFormattedCitation":"(R Core Team 2021)","previouslyFormattedCitation":"(R Core Team 2019)"},"properties":{"noteIndex":0},"schema":"https://github.com/citation-style-language/schema/raw/master/csl-citation.json"}</w:instrText>
      </w:r>
      <w:r w:rsidRPr="005001D6">
        <w:rPr>
          <w:rFonts w:cstheme="minorHAnsi"/>
        </w:rPr>
        <w:fldChar w:fldCharType="separate"/>
      </w:r>
      <w:r w:rsidR="007E795C" w:rsidRPr="007E795C">
        <w:rPr>
          <w:rFonts w:cstheme="minorHAnsi"/>
          <w:noProof/>
        </w:rPr>
        <w:t>(R Core Team 2021)</w:t>
      </w:r>
      <w:r w:rsidRPr="005001D6">
        <w:rPr>
          <w:rFonts w:cstheme="minorHAnsi"/>
        </w:rPr>
        <w:fldChar w:fldCharType="end"/>
      </w:r>
      <w:r w:rsidRPr="005001D6">
        <w:rPr>
          <w:rFonts w:cstheme="minorHAnsi"/>
        </w:rPr>
        <w:t xml:space="preserve"> to quality filter, merge, </w:t>
      </w:r>
      <w:proofErr w:type="spellStart"/>
      <w:r w:rsidRPr="005001D6">
        <w:rPr>
          <w:rFonts w:cstheme="minorHAnsi"/>
        </w:rPr>
        <w:t>denoise</w:t>
      </w:r>
      <w:proofErr w:type="spellEnd"/>
      <w:r w:rsidRPr="005001D6">
        <w:rPr>
          <w:rFonts w:cstheme="minorHAnsi"/>
        </w:rPr>
        <w:t xml:space="preserve"> and assign taxonomies. 16S amplicon reads were trimmed to 250 and 220 bases, forward and reverse respectively. ITS2 amplicons reads were trimmed to 270 and 220 bases, forward and reverse respectively. Filtering settings were maximum number of Ns (</w:t>
      </w:r>
      <w:proofErr w:type="spellStart"/>
      <w:r w:rsidRPr="005001D6">
        <w:rPr>
          <w:rFonts w:cstheme="minorHAnsi"/>
        </w:rPr>
        <w:t>maxN</w:t>
      </w:r>
      <w:proofErr w:type="spellEnd"/>
      <w:r w:rsidRPr="005001D6">
        <w:rPr>
          <w:rFonts w:cstheme="minorHAnsi"/>
        </w:rPr>
        <w:t>) = 0, maximum number of expected errors (</w:t>
      </w:r>
      <w:proofErr w:type="spellStart"/>
      <w:r w:rsidRPr="005001D6">
        <w:rPr>
          <w:rFonts w:cstheme="minorHAnsi"/>
        </w:rPr>
        <w:t>maxEE</w:t>
      </w:r>
      <w:proofErr w:type="spellEnd"/>
      <w:r w:rsidRPr="005001D6">
        <w:rPr>
          <w:rFonts w:cstheme="minorHAnsi"/>
        </w:rPr>
        <w:t>) = (1</w:t>
      </w:r>
      <w:proofErr w:type="gramStart"/>
      <w:r w:rsidRPr="005001D6">
        <w:rPr>
          <w:rFonts w:cstheme="minorHAnsi"/>
        </w:rPr>
        <w:t>,1</w:t>
      </w:r>
      <w:proofErr w:type="gramEnd"/>
      <w:r w:rsidRPr="005001D6">
        <w:rPr>
          <w:rFonts w:cstheme="minorHAnsi"/>
        </w:rPr>
        <w:t xml:space="preserve">). The primer sequences were removed using </w:t>
      </w:r>
      <w:proofErr w:type="spellStart"/>
      <w:r w:rsidRPr="005001D6">
        <w:rPr>
          <w:rFonts w:cstheme="minorHAnsi"/>
        </w:rPr>
        <w:t>trimLeft</w:t>
      </w:r>
      <w:proofErr w:type="spellEnd"/>
      <w:r w:rsidRPr="005001D6">
        <w:rPr>
          <w:rFonts w:cstheme="minorHAnsi"/>
        </w:rPr>
        <w:t>=</w:t>
      </w:r>
      <w:proofErr w:type="gramStart"/>
      <w:r w:rsidRPr="005001D6">
        <w:rPr>
          <w:rFonts w:cstheme="minorHAnsi"/>
        </w:rPr>
        <w:t>c(</w:t>
      </w:r>
      <w:proofErr w:type="gramEnd"/>
      <w:r w:rsidRPr="005001D6">
        <w:rPr>
          <w:rFonts w:cstheme="minorHAnsi"/>
        </w:rPr>
        <w:t xml:space="preserve">20,20). Sequences were </w:t>
      </w:r>
      <w:proofErr w:type="spellStart"/>
      <w:r w:rsidRPr="005001D6">
        <w:rPr>
          <w:rFonts w:cstheme="minorHAnsi"/>
        </w:rPr>
        <w:t>dereplicated</w:t>
      </w:r>
      <w:proofErr w:type="spellEnd"/>
      <w:r w:rsidRPr="005001D6">
        <w:rPr>
          <w:rFonts w:cstheme="minorHAnsi"/>
        </w:rPr>
        <w:t xml:space="preserve"> and the DADA2 core sequence variant inference algorithm applied. </w:t>
      </w:r>
      <w:proofErr w:type="spellStart"/>
      <w:proofErr w:type="gramStart"/>
      <w:r w:rsidRPr="005001D6">
        <w:rPr>
          <w:rFonts w:cstheme="minorHAnsi"/>
        </w:rPr>
        <w:t>mergePairs</w:t>
      </w:r>
      <w:proofErr w:type="spellEnd"/>
      <w:proofErr w:type="gramEnd"/>
      <w:r w:rsidRPr="005001D6">
        <w:rPr>
          <w:rFonts w:cstheme="minorHAnsi"/>
        </w:rPr>
        <w:t xml:space="preserve"> was used to merge sequences and ASV tables were constructed. Chimeric sequences were removed using </w:t>
      </w:r>
      <w:proofErr w:type="spellStart"/>
      <w:r w:rsidRPr="005001D6">
        <w:rPr>
          <w:rFonts w:cstheme="minorHAnsi"/>
        </w:rPr>
        <w:t>removeBimeraDenovo</w:t>
      </w:r>
      <w:proofErr w:type="spellEnd"/>
      <w:r w:rsidRPr="005001D6">
        <w:rPr>
          <w:rFonts w:cstheme="minorHAnsi"/>
        </w:rPr>
        <w:t xml:space="preserve"> default settings. ASVs were subject to taxonomic assignment using </w:t>
      </w:r>
      <w:proofErr w:type="spellStart"/>
      <w:r w:rsidRPr="005001D6">
        <w:rPr>
          <w:rFonts w:cstheme="minorHAnsi"/>
        </w:rPr>
        <w:t>assignTaxonomy</w:t>
      </w:r>
      <w:proofErr w:type="spellEnd"/>
      <w:r w:rsidRPr="005001D6">
        <w:rPr>
          <w:rFonts w:cstheme="minorHAnsi"/>
        </w:rPr>
        <w:t xml:space="preserve"> at default settings; training databases were </w:t>
      </w:r>
      <w:proofErr w:type="spellStart"/>
      <w:r w:rsidRPr="005001D6">
        <w:rPr>
          <w:rFonts w:cstheme="minorHAnsi"/>
        </w:rPr>
        <w:t>GreenGenes</w:t>
      </w:r>
      <w:proofErr w:type="spellEnd"/>
      <w:r w:rsidRPr="005001D6">
        <w:rPr>
          <w:rFonts w:cstheme="minorHAnsi"/>
        </w:rPr>
        <w:t xml:space="preserve"> v13.8 </w:t>
      </w:r>
      <w:r w:rsidRPr="005001D6">
        <w:rPr>
          <w:rFonts w:cstheme="minorHAnsi"/>
        </w:rPr>
        <w:fldChar w:fldCharType="begin" w:fldLock="1"/>
      </w:r>
      <w:r w:rsidRPr="005001D6">
        <w:rPr>
          <w:rFonts w:cstheme="minorHAnsi"/>
        </w:rPr>
        <w:instrText>ADDIN CSL_CITATION {"citationItems":[{"id":"ITEM-1","itemData":{"DOI":"10.1128/AEM.03006-05","ISSN":"00992240","PMID":"16820507","abstract":"A 16S rRNA gene database (http://greengenes.lbl.gov) addresses limitations of public repositories by providing chimera screening, standard alignment, and taxonomic classification using multiple published taxonomies. It was found that there is incongruent taxonomic nomenclature among curators even at the phylum level. Putative chimeras were identified in 3% of environmental sequences and in 0.2% of records derived from isolates. Environmental sequences were classified into 100 phylum-level lineages in the Archaea and Bacteria. Copyright © 2006, American Society for Microbiology. All Rights Reserved.","author":[{"dropping-particle":"","family":"DeSantis","given":"T. Z.","non-dropping-particle":"","parse-names":false,"suffix":""},{"dropping-particle":"","family":"Hugenholtz","given":"P.","non-dropping-particle":"","parse-names":false,"suffix":""},{"dropping-particle":"","family":"Larsen","given":"N.","non-dropping-particle":"","parse-names":false,"suffix":""},{"dropping-particle":"","family":"Rojas","given":"M.","non-dropping-particle":"","parse-names":false,"suffix":""},{"dropping-particle":"","family":"Brodie","given":"E. L.","non-dropping-particle":"","parse-names":false,"suffix":""},{"dropping-particle":"","family":"Keller","given":"K.","non-dropping-particle":"","parse-names":false,"suffix":""},{"dropping-particle":"","family":"Huber","given":"T.","non-dropping-particle":"","parse-names":false,"suffix":""},{"dropping-particle":"","family":"Dalevi","given":"D.","non-dropping-particle":"","parse-names":false,"suffix":""},{"dropping-particle":"","family":"Hu","given":"P.","non-dropping-particle":"","parse-names":false,"suffix":""},{"dropping-particle":"","family":"Andersen","given":"G. L.","non-dropping-particle":"","parse-names":false,"suffix":""}],"container-title":"Applied and Environmental Microbiology","id":"ITEM-1","issue":"7","issued":{"date-parts":[["2006"]]},"page":"5069-5072","title":"Greengenes, a chimera-checked 16S rRNA gene database and workbench compatible with ARB","type":"article-journal","volume":"72"},"uris":["http://www.mendeley.com/documents/?uuid=8f12c4b3-f32e-4ea8-83fc-b30e4918fb75"]}],"mendeley":{"formattedCitation":"(DeSantis &lt;i&gt;et al.&lt;/i&gt; 2006)","plainTextFormattedCitation":"(DeSantis et al. 2006)","previouslyFormattedCitation":"(DeSantis &lt;i&gt;et al.&lt;/i&gt; 2006)"},"properties":{"noteIndex":0},"schema":"https://github.com/citation-style-language/schema/raw/master/csl-citation.json"}</w:instrText>
      </w:r>
      <w:r w:rsidRPr="005001D6">
        <w:rPr>
          <w:rFonts w:cstheme="minorHAnsi"/>
        </w:rPr>
        <w:fldChar w:fldCharType="separate"/>
      </w:r>
      <w:r w:rsidRPr="005001D6">
        <w:rPr>
          <w:rFonts w:cstheme="minorHAnsi"/>
          <w:noProof/>
        </w:rPr>
        <w:t xml:space="preserve">(DeSantis </w:t>
      </w:r>
      <w:r w:rsidRPr="005001D6">
        <w:rPr>
          <w:rFonts w:cstheme="minorHAnsi"/>
          <w:i/>
          <w:noProof/>
        </w:rPr>
        <w:t>et al.</w:t>
      </w:r>
      <w:r w:rsidRPr="005001D6">
        <w:rPr>
          <w:rFonts w:cstheme="minorHAnsi"/>
          <w:noProof/>
        </w:rPr>
        <w:t xml:space="preserve"> 2006)</w:t>
      </w:r>
      <w:r w:rsidRPr="005001D6">
        <w:rPr>
          <w:rFonts w:cstheme="minorHAnsi"/>
        </w:rPr>
        <w:fldChar w:fldCharType="end"/>
      </w:r>
      <w:r w:rsidRPr="005001D6">
        <w:rPr>
          <w:rFonts w:cstheme="minorHAnsi"/>
        </w:rPr>
        <w:t xml:space="preserve"> and Unite v7.2 </w:t>
      </w:r>
      <w:r w:rsidRPr="005001D6">
        <w:rPr>
          <w:rFonts w:cstheme="minorHAnsi"/>
        </w:rPr>
        <w:fldChar w:fldCharType="begin" w:fldLock="1"/>
      </w:r>
      <w:r w:rsidRPr="005001D6">
        <w:rPr>
          <w:rFonts w:cstheme="minorHAnsi"/>
        </w:rPr>
        <w:instrText>ADDIN CSL_CITATION {"citationItems":[{"id":"ITEM-1","itemData":{"DOI":"10.1111/j.1469-8137.2005.01376.x","ISSN":"0028646X","abstract":"Identification of ectomycorrhizal (ECM) fungi is often achieved through comparisons of ribosomal DNA internal transcribed spacer (ITS) sequences with accessioned sequences deposited in public databases. A major problem encountered is that annotation of the sequences in these databases is not always complete or trustworthy. In order to overcome this deficiency, we report on UNITE, an open-access database. UNITE comprises well annotated fungal ITS sequences from well defined herbarium specimens that include full herbarium reference identification data, collector/source and ecological data. At present UNITE contains 758 ITS sequences from 455 species and 67 genera of ECM fungi. UNITE can be searched by taxon name, via sequence similarity using BLASTn, and via phylogenetic sequence identification using galaxie. Following implementation, galaxie performs a phylogenetic analysis of the query sequence after alignment either to pre-existing generic alignments, or to matches retrieved from a BLAST search on the UNITE data. It should be noted that the current version of UNITE is dedicated to the reliable identification of ECM fungi. The UNITE database is accessible through the URL http://unite.zbi.ee. © New Phytologist (2005).","author":[{"dropping-particle":"","family":"Kõljalg","given":"Urmas","non-dropping-particle":"","parse-names":false,"suffix":""},{"dropping-particle":"","family":"Larsson","given":"Karl Henrik","non-dropping-particle":"","parse-names":false,"suffix":""},{"dropping-particle":"","family":"Abarenkov","given":"Kessy","non-dropping-particle":"","parse-names":false,"suffix":""},{"dropping-particle":"","family":"Nilsson","given":"R. Henrik","non-dropping-particle":"","parse-names":false,"suffix":""},{"dropping-particle":"","family":"Alexander","given":"Ian J.","non-dropping-particle":"","parse-names":false,"suffix":""},{"dropping-particle":"","family":"Eberhardt","given":"Ursula","non-dropping-particle":"","parse-names":false,"suffix":""},{"dropping-particle":"","family":"Erland","given":"Susanne","non-dropping-particle":"","parse-names":false,"suffix":""},{"dropping-particle":"","family":"Høiland","given":"Klaus","non-dropping-particle":"","parse-names":false,"suffix":""},{"dropping-particle":"","family":"Kjøller","given":"Rasmus","non-dropping-particle":"","parse-names":false,"suffix":""},{"dropping-particle":"","family":"Larsson","given":"Ellen","non-dropping-particle":"","parse-names":false,"suffix":""},{"dropping-particle":"","family":"Pennanen","given":"Taina","non-dropping-particle":"","parse-names":false,"suffix":""},{"dropping-particle":"","family":"Sen","given":"Robin","non-dropping-particle":"","parse-names":false,"suffix":""},{"dropping-particle":"","family":"Taylor","given":"Andy F.S.","non-dropping-particle":"","parse-names":false,"suffix":""},{"dropping-particle":"","family":"Tedersoo","given":"Leho","non-dropping-particle":"","parse-names":false,"suffix":""},{"dropping-particle":"","family":"Vrålstad","given":"Trude","non-dropping-particle":"","parse-names":false,"suffix":""},{"dropping-particle":"","family":"Ursing","given":"Björn M.","non-dropping-particle":"","parse-names":false,"suffix":""}],"container-title":"New Phytologist","id":"ITEM-1","issue":"3","issued":{"date-parts":[["2005"]]},"page":"1063-1068","title":"UNITE: A database providing web-based methods for the molecular identification of ectomycorrhizal fungi","type":"article-journal","volume":"166"},"uris":["http://www.mendeley.com/documents/?uuid=cd24d294-319c-4d7c-bb67-1832b54f5b22"]}],"mendeley":{"formattedCitation":"(Kõljalg &lt;i&gt;et al.&lt;/i&gt; 2005)","plainTextFormattedCitation":"(Kõljalg et al. 2005)","previouslyFormattedCitation":"(Kõljalg &lt;i&gt;et al.&lt;/i&gt; 2005)"},"properties":{"noteIndex":0},"schema":"https://github.com/citation-style-language/schema/raw/master/csl-citation.json"}</w:instrText>
      </w:r>
      <w:r w:rsidRPr="005001D6">
        <w:rPr>
          <w:rFonts w:cstheme="minorHAnsi"/>
        </w:rPr>
        <w:fldChar w:fldCharType="separate"/>
      </w:r>
      <w:r w:rsidRPr="005001D6">
        <w:rPr>
          <w:rFonts w:cstheme="minorHAnsi"/>
          <w:noProof/>
        </w:rPr>
        <w:t xml:space="preserve">(Kõljalg </w:t>
      </w:r>
      <w:r w:rsidRPr="005001D6">
        <w:rPr>
          <w:rFonts w:cstheme="minorHAnsi"/>
          <w:i/>
          <w:noProof/>
        </w:rPr>
        <w:t>et al.</w:t>
      </w:r>
      <w:r w:rsidRPr="005001D6">
        <w:rPr>
          <w:rFonts w:cstheme="minorHAnsi"/>
          <w:noProof/>
        </w:rPr>
        <w:t xml:space="preserve"> 2005)</w:t>
      </w:r>
      <w:r w:rsidRPr="005001D6">
        <w:rPr>
          <w:rFonts w:cstheme="minorHAnsi"/>
        </w:rPr>
        <w:fldChar w:fldCharType="end"/>
      </w:r>
      <w:r w:rsidRPr="005001D6">
        <w:rPr>
          <w:rFonts w:cstheme="minorHAnsi"/>
        </w:rPr>
        <w:t xml:space="preserve"> for 16S and ITS respectively.</w:t>
      </w:r>
    </w:p>
    <w:p w14:paraId="6DECCC18" w14:textId="77777777" w:rsidR="00E053D1" w:rsidRPr="005001D6" w:rsidRDefault="00E053D1" w:rsidP="00E053D1">
      <w:pPr>
        <w:spacing w:line="480" w:lineRule="auto"/>
        <w:jc w:val="both"/>
        <w:rPr>
          <w:rFonts w:cstheme="minorHAnsi"/>
        </w:rPr>
      </w:pPr>
      <w:r w:rsidRPr="005001D6">
        <w:rPr>
          <w:rFonts w:cstheme="minorHAnsi"/>
        </w:rPr>
        <w:t xml:space="preserve">After quality filtering a total of 1,937,193 bacterial (16S </w:t>
      </w:r>
      <w:proofErr w:type="spellStart"/>
      <w:r w:rsidRPr="005001D6">
        <w:rPr>
          <w:rFonts w:cstheme="minorHAnsi"/>
        </w:rPr>
        <w:t>rRNA</w:t>
      </w:r>
      <w:proofErr w:type="spellEnd"/>
      <w:r w:rsidRPr="005001D6">
        <w:rPr>
          <w:rFonts w:cstheme="minorHAnsi"/>
        </w:rPr>
        <w:t xml:space="preserve">) and 1,083,809 fungal (ITS2) sequences were used in the analysis for the landscape-scale experiment, and 1,379,623 (16S </w:t>
      </w:r>
      <w:proofErr w:type="spellStart"/>
      <w:r w:rsidRPr="005001D6">
        <w:rPr>
          <w:rFonts w:cstheme="minorHAnsi"/>
        </w:rPr>
        <w:t>rRNA</w:t>
      </w:r>
      <w:proofErr w:type="spellEnd"/>
      <w:r w:rsidRPr="005001D6">
        <w:rPr>
          <w:rFonts w:cstheme="minorHAnsi"/>
        </w:rPr>
        <w:t xml:space="preserve">) and 594,026 (ITS2) in the snow manipulation experiment. To account for the effect of sequencing depth bias, the resultant ASV tables were rarefied to an even depth of 12,630 (16S </w:t>
      </w:r>
      <w:proofErr w:type="spellStart"/>
      <w:r w:rsidRPr="005001D6">
        <w:rPr>
          <w:rFonts w:cstheme="minorHAnsi"/>
        </w:rPr>
        <w:t>rRNA</w:t>
      </w:r>
      <w:proofErr w:type="spellEnd"/>
      <w:r w:rsidRPr="005001D6">
        <w:rPr>
          <w:rFonts w:cstheme="minorHAnsi"/>
        </w:rPr>
        <w:t xml:space="preserve">) and 2,358 (ITS2) in the landscape-scale experiment, and 11,776 (16S </w:t>
      </w:r>
      <w:proofErr w:type="spellStart"/>
      <w:r w:rsidRPr="005001D6">
        <w:rPr>
          <w:rFonts w:cstheme="minorHAnsi"/>
        </w:rPr>
        <w:t>rRNA</w:t>
      </w:r>
      <w:proofErr w:type="spellEnd"/>
      <w:r w:rsidRPr="005001D6">
        <w:rPr>
          <w:rFonts w:cstheme="minorHAnsi"/>
        </w:rPr>
        <w:t xml:space="preserve">) and 6,646 (ITS2) in the manipulative experiment (fig. S4), based on the sample with the lowest number of reads in each experiment. </w:t>
      </w:r>
    </w:p>
    <w:p w14:paraId="036A81F4" w14:textId="77777777" w:rsidR="00B4774E" w:rsidRPr="005001D6" w:rsidRDefault="00B4774E" w:rsidP="00173FAF">
      <w:pPr>
        <w:spacing w:line="480" w:lineRule="auto"/>
        <w:jc w:val="both"/>
        <w:rPr>
          <w:rFonts w:cstheme="minorHAnsi"/>
        </w:rPr>
      </w:pPr>
    </w:p>
    <w:p w14:paraId="4A9905F8" w14:textId="77777777" w:rsidR="00F574F0" w:rsidRPr="005001D6" w:rsidRDefault="00F574F0" w:rsidP="00173FAF">
      <w:pPr>
        <w:tabs>
          <w:tab w:val="left" w:pos="284"/>
        </w:tabs>
        <w:spacing w:line="480" w:lineRule="auto"/>
        <w:jc w:val="both"/>
        <w:rPr>
          <w:rFonts w:cstheme="minorHAnsi"/>
          <w:i/>
          <w:lang w:val="en-US"/>
        </w:rPr>
      </w:pPr>
      <w:r w:rsidRPr="005001D6">
        <w:rPr>
          <w:rFonts w:cstheme="minorHAnsi"/>
          <w:i/>
          <w:lang w:val="en-US"/>
        </w:rPr>
        <w:t>Real-time PCR</w:t>
      </w:r>
    </w:p>
    <w:p w14:paraId="5AAADF5F" w14:textId="759ADD1C" w:rsidR="002D7393" w:rsidRPr="005001D6" w:rsidRDefault="00ED60AF" w:rsidP="00173FAF">
      <w:pPr>
        <w:spacing w:line="480" w:lineRule="auto"/>
        <w:jc w:val="both"/>
        <w:rPr>
          <w:rFonts w:cstheme="minorHAnsi"/>
          <w:i/>
          <w:iCs/>
          <w:sz w:val="20"/>
        </w:rPr>
      </w:pPr>
      <w:r w:rsidRPr="005001D6">
        <w:rPr>
          <w:rFonts w:cstheme="minorHAnsi"/>
          <w:szCs w:val="24"/>
          <w:lang w:val="en-US"/>
        </w:rPr>
        <w:t xml:space="preserve">All reactions contained 1 × Power SYBR Green PCR Master Mix (Life Technologies LTD, UK), bovine serum albumin (BSA; 0.06 %; Sigma-Aldrich </w:t>
      </w:r>
      <w:proofErr w:type="spellStart"/>
      <w:r w:rsidRPr="005001D6">
        <w:rPr>
          <w:rFonts w:cstheme="minorHAnsi"/>
          <w:szCs w:val="24"/>
          <w:lang w:val="en-US"/>
        </w:rPr>
        <w:t>Chemie</w:t>
      </w:r>
      <w:proofErr w:type="spellEnd"/>
      <w:r w:rsidRPr="005001D6">
        <w:rPr>
          <w:rFonts w:cstheme="minorHAnsi"/>
          <w:szCs w:val="24"/>
          <w:lang w:val="en-US"/>
        </w:rPr>
        <w:t xml:space="preserve"> GmbH, Germany), PCR primers and 2 </w:t>
      </w:r>
      <w:r w:rsidRPr="005001D6">
        <w:rPr>
          <w:rFonts w:cstheme="minorHAnsi"/>
          <w:szCs w:val="24"/>
          <w:lang w:val="el-GR"/>
        </w:rPr>
        <w:t>μ</w:t>
      </w:r>
      <w:r w:rsidRPr="005001D6">
        <w:rPr>
          <w:rFonts w:cstheme="minorHAnsi"/>
          <w:szCs w:val="24"/>
          <w:lang w:val="en-US"/>
        </w:rPr>
        <w:t xml:space="preserve">l of DNA template to a final volume of 25 </w:t>
      </w:r>
      <w:proofErr w:type="spellStart"/>
      <w:r w:rsidRPr="005001D6">
        <w:rPr>
          <w:rFonts w:cstheme="minorHAnsi"/>
          <w:szCs w:val="24"/>
          <w:lang w:val="en-US"/>
        </w:rPr>
        <w:t>μl</w:t>
      </w:r>
      <w:proofErr w:type="spellEnd"/>
      <w:r w:rsidRPr="005001D6">
        <w:rPr>
          <w:rFonts w:cstheme="minorHAnsi"/>
          <w:szCs w:val="24"/>
          <w:lang w:val="en-US"/>
        </w:rPr>
        <w:t xml:space="preserve">. 5 </w:t>
      </w:r>
      <w:proofErr w:type="spellStart"/>
      <w:r w:rsidRPr="005001D6">
        <w:rPr>
          <w:rFonts w:cstheme="minorHAnsi"/>
          <w:szCs w:val="24"/>
          <w:lang w:val="en-US"/>
        </w:rPr>
        <w:t>pmol</w:t>
      </w:r>
      <w:proofErr w:type="spellEnd"/>
      <w:r w:rsidRPr="005001D6">
        <w:rPr>
          <w:rFonts w:cstheme="minorHAnsi"/>
          <w:szCs w:val="24"/>
          <w:lang w:val="en-US"/>
        </w:rPr>
        <w:t xml:space="preserve"> of each primer were used for genes </w:t>
      </w:r>
      <w:proofErr w:type="spellStart"/>
      <w:r w:rsidRPr="005001D6">
        <w:rPr>
          <w:rFonts w:cstheme="minorHAnsi"/>
          <w:i/>
          <w:szCs w:val="24"/>
          <w:lang w:val="en-US"/>
        </w:rPr>
        <w:t>amoA</w:t>
      </w:r>
      <w:proofErr w:type="spellEnd"/>
      <w:r w:rsidRPr="005001D6">
        <w:rPr>
          <w:rFonts w:cstheme="minorHAnsi"/>
          <w:szCs w:val="24"/>
          <w:lang w:val="en-US"/>
        </w:rPr>
        <w:t xml:space="preserve"> of AOA, </w:t>
      </w:r>
      <w:proofErr w:type="spellStart"/>
      <w:r w:rsidRPr="005001D6">
        <w:rPr>
          <w:rFonts w:cstheme="minorHAnsi"/>
          <w:i/>
          <w:szCs w:val="24"/>
          <w:lang w:val="en-US"/>
        </w:rPr>
        <w:t>nirK</w:t>
      </w:r>
      <w:proofErr w:type="spellEnd"/>
      <w:r w:rsidRPr="005001D6">
        <w:rPr>
          <w:rFonts w:cstheme="minorHAnsi"/>
          <w:szCs w:val="24"/>
          <w:lang w:val="en-US"/>
        </w:rPr>
        <w:t xml:space="preserve"> and </w:t>
      </w:r>
      <w:proofErr w:type="spellStart"/>
      <w:r w:rsidRPr="005001D6">
        <w:rPr>
          <w:rFonts w:cstheme="minorHAnsi"/>
          <w:i/>
          <w:szCs w:val="24"/>
          <w:lang w:val="en-US"/>
        </w:rPr>
        <w:lastRenderedPageBreak/>
        <w:t>nirS</w:t>
      </w:r>
      <w:proofErr w:type="spellEnd"/>
      <w:r w:rsidRPr="005001D6">
        <w:rPr>
          <w:rFonts w:cstheme="minorHAnsi"/>
          <w:szCs w:val="24"/>
          <w:lang w:val="en-US"/>
        </w:rPr>
        <w:t xml:space="preserve">, but 7.5 </w:t>
      </w:r>
      <w:proofErr w:type="spellStart"/>
      <w:r w:rsidRPr="005001D6">
        <w:rPr>
          <w:rFonts w:cstheme="minorHAnsi"/>
          <w:szCs w:val="24"/>
          <w:lang w:val="en-US"/>
        </w:rPr>
        <w:t>pmol</w:t>
      </w:r>
      <w:proofErr w:type="spellEnd"/>
      <w:r w:rsidRPr="005001D6">
        <w:rPr>
          <w:rFonts w:cstheme="minorHAnsi"/>
          <w:szCs w:val="24"/>
          <w:lang w:val="en-US"/>
        </w:rPr>
        <w:t xml:space="preserve"> for </w:t>
      </w:r>
      <w:proofErr w:type="spellStart"/>
      <w:r w:rsidRPr="005001D6">
        <w:rPr>
          <w:rFonts w:cstheme="minorHAnsi"/>
          <w:i/>
          <w:szCs w:val="24"/>
          <w:lang w:val="en-US"/>
        </w:rPr>
        <w:t>amoA</w:t>
      </w:r>
      <w:proofErr w:type="spellEnd"/>
      <w:r w:rsidRPr="005001D6">
        <w:rPr>
          <w:rFonts w:cstheme="minorHAnsi"/>
          <w:szCs w:val="24"/>
          <w:lang w:val="en-US"/>
        </w:rPr>
        <w:t xml:space="preserve"> of AOB. PCR reactions for denitrification genes additionally contained dimethyl sulfoxide (DMSO, 2.</w:t>
      </w:r>
      <w:r w:rsidRPr="005001D6">
        <w:rPr>
          <w:rFonts w:cstheme="minorHAnsi"/>
          <w:szCs w:val="24"/>
        </w:rPr>
        <w:t>5 %</w:t>
      </w:r>
      <w:r w:rsidRPr="005001D6">
        <w:rPr>
          <w:rFonts w:cstheme="minorHAnsi"/>
          <w:szCs w:val="24"/>
          <w:lang w:val="en-US"/>
        </w:rPr>
        <w:t xml:space="preserve">; Sigma-Aldrich </w:t>
      </w:r>
      <w:proofErr w:type="spellStart"/>
      <w:r w:rsidRPr="005001D6">
        <w:rPr>
          <w:rFonts w:cstheme="minorHAnsi"/>
          <w:szCs w:val="24"/>
          <w:lang w:val="en-US"/>
        </w:rPr>
        <w:t>Chemie</w:t>
      </w:r>
      <w:proofErr w:type="spellEnd"/>
      <w:r w:rsidRPr="005001D6">
        <w:rPr>
          <w:rFonts w:cstheme="minorHAnsi"/>
          <w:szCs w:val="24"/>
          <w:lang w:val="en-US"/>
        </w:rPr>
        <w:t xml:space="preserve"> GmbH). The</w:t>
      </w:r>
      <w:r w:rsidRPr="005001D6">
        <w:rPr>
          <w:rFonts w:cstheme="minorHAnsi"/>
          <w:szCs w:val="24"/>
        </w:rPr>
        <w:t xml:space="preserve"> detailed</w:t>
      </w:r>
      <w:r w:rsidRPr="005001D6">
        <w:rPr>
          <w:rFonts w:cstheme="minorHAnsi"/>
          <w:szCs w:val="24"/>
          <w:lang w:val="en-US"/>
        </w:rPr>
        <w:t xml:space="preserve"> PCR thermal profiles are described in table S6. Positive standards containing cloned plasmids with the genes of interest were prepared using the </w:t>
      </w:r>
      <w:proofErr w:type="spellStart"/>
      <w:r w:rsidRPr="005001D6">
        <w:rPr>
          <w:rFonts w:cstheme="minorHAnsi"/>
          <w:szCs w:val="24"/>
          <w:lang w:val="en-US"/>
        </w:rPr>
        <w:t>ZeroBlunt</w:t>
      </w:r>
      <w:proofErr w:type="spellEnd"/>
      <w:r w:rsidRPr="005001D6">
        <w:rPr>
          <w:rFonts w:cstheme="minorHAnsi"/>
          <w:szCs w:val="24"/>
          <w:lang w:val="en-US"/>
        </w:rPr>
        <w:t xml:space="preserve"> TOPO kit (Invitrogen AG, USA), following the manufacturer’s protocol, and were included in the analysis. The sources of the genes were </w:t>
      </w:r>
      <w:proofErr w:type="spellStart"/>
      <w:r w:rsidRPr="005001D6">
        <w:rPr>
          <w:rFonts w:cstheme="minorHAnsi"/>
          <w:i/>
          <w:szCs w:val="24"/>
          <w:lang w:val="en-US"/>
        </w:rPr>
        <w:t>Nitrosomonas</w:t>
      </w:r>
      <w:proofErr w:type="spellEnd"/>
      <w:r w:rsidRPr="005001D6">
        <w:rPr>
          <w:rFonts w:cstheme="minorHAnsi"/>
          <w:szCs w:val="24"/>
          <w:lang w:val="en-US"/>
        </w:rPr>
        <w:t xml:space="preserve"> sp., </w:t>
      </w:r>
      <w:proofErr w:type="spellStart"/>
      <w:r w:rsidRPr="005001D6">
        <w:rPr>
          <w:rFonts w:cstheme="minorHAnsi"/>
          <w:szCs w:val="24"/>
          <w:lang w:val="en-US"/>
        </w:rPr>
        <w:t>fosmid</w:t>
      </w:r>
      <w:proofErr w:type="spellEnd"/>
      <w:r w:rsidRPr="005001D6">
        <w:rPr>
          <w:rFonts w:cstheme="minorHAnsi"/>
          <w:szCs w:val="24"/>
          <w:lang w:val="en-US"/>
        </w:rPr>
        <w:t xml:space="preserve"> clone 54d9, </w:t>
      </w:r>
      <w:proofErr w:type="spellStart"/>
      <w:r w:rsidRPr="005001D6">
        <w:rPr>
          <w:rFonts w:cstheme="minorHAnsi"/>
          <w:i/>
          <w:szCs w:val="24"/>
          <w:lang w:val="en-US"/>
        </w:rPr>
        <w:t>Azospirillum</w:t>
      </w:r>
      <w:proofErr w:type="spellEnd"/>
      <w:r w:rsidRPr="005001D6">
        <w:rPr>
          <w:rFonts w:cstheme="minorHAnsi"/>
          <w:i/>
          <w:szCs w:val="24"/>
          <w:lang w:val="en-US"/>
        </w:rPr>
        <w:t xml:space="preserve"> </w:t>
      </w:r>
      <w:proofErr w:type="spellStart"/>
      <w:r w:rsidRPr="005001D6">
        <w:rPr>
          <w:rFonts w:cstheme="minorHAnsi"/>
          <w:i/>
          <w:szCs w:val="24"/>
          <w:lang w:val="en-US"/>
        </w:rPr>
        <w:t>irakense</w:t>
      </w:r>
      <w:proofErr w:type="spellEnd"/>
      <w:r w:rsidRPr="005001D6">
        <w:rPr>
          <w:rFonts w:cstheme="minorHAnsi"/>
          <w:szCs w:val="24"/>
          <w:lang w:val="en-US"/>
        </w:rPr>
        <w:t xml:space="preserve"> DMS 11586 and </w:t>
      </w:r>
      <w:r w:rsidRPr="005001D6">
        <w:rPr>
          <w:rFonts w:cstheme="minorHAnsi"/>
          <w:i/>
          <w:szCs w:val="24"/>
          <w:lang w:val="en-US"/>
        </w:rPr>
        <w:t xml:space="preserve">Pseudomonas </w:t>
      </w:r>
      <w:proofErr w:type="spellStart"/>
      <w:r w:rsidRPr="005001D6">
        <w:rPr>
          <w:rFonts w:cstheme="minorHAnsi"/>
          <w:i/>
          <w:szCs w:val="24"/>
          <w:lang w:val="en-US"/>
        </w:rPr>
        <w:t>stutzeri</w:t>
      </w:r>
      <w:proofErr w:type="spellEnd"/>
      <w:r w:rsidRPr="005001D6">
        <w:rPr>
          <w:rFonts w:cstheme="minorHAnsi"/>
          <w:szCs w:val="24"/>
          <w:lang w:val="en-US"/>
        </w:rPr>
        <w:t xml:space="preserve"> for </w:t>
      </w:r>
      <w:proofErr w:type="spellStart"/>
      <w:r w:rsidRPr="005001D6">
        <w:rPr>
          <w:rFonts w:cstheme="minorHAnsi"/>
          <w:i/>
          <w:szCs w:val="24"/>
          <w:lang w:val="en-US"/>
        </w:rPr>
        <w:t>amoA</w:t>
      </w:r>
      <w:proofErr w:type="spellEnd"/>
      <w:r w:rsidRPr="005001D6">
        <w:rPr>
          <w:rFonts w:cstheme="minorHAnsi"/>
          <w:szCs w:val="24"/>
          <w:lang w:val="en-US"/>
        </w:rPr>
        <w:t xml:space="preserve"> of AOB, </w:t>
      </w:r>
      <w:proofErr w:type="spellStart"/>
      <w:r w:rsidRPr="005001D6">
        <w:rPr>
          <w:rFonts w:cstheme="minorHAnsi"/>
          <w:i/>
          <w:szCs w:val="24"/>
          <w:lang w:val="en-US"/>
        </w:rPr>
        <w:t>amoA</w:t>
      </w:r>
      <w:proofErr w:type="spellEnd"/>
      <w:r w:rsidRPr="005001D6">
        <w:rPr>
          <w:rFonts w:cstheme="minorHAnsi"/>
          <w:szCs w:val="24"/>
          <w:lang w:val="en-US"/>
        </w:rPr>
        <w:t xml:space="preserve"> of AOA, </w:t>
      </w:r>
      <w:proofErr w:type="spellStart"/>
      <w:r w:rsidRPr="005001D6">
        <w:rPr>
          <w:rFonts w:cstheme="minorHAnsi"/>
          <w:i/>
          <w:szCs w:val="24"/>
          <w:lang w:val="en-US"/>
        </w:rPr>
        <w:t>nirK</w:t>
      </w:r>
      <w:proofErr w:type="spellEnd"/>
      <w:r w:rsidRPr="005001D6">
        <w:rPr>
          <w:rFonts w:cstheme="minorHAnsi"/>
          <w:szCs w:val="24"/>
          <w:lang w:val="en-US"/>
        </w:rPr>
        <w:t xml:space="preserve"> and </w:t>
      </w:r>
      <w:proofErr w:type="spellStart"/>
      <w:r w:rsidRPr="005001D6">
        <w:rPr>
          <w:rFonts w:cstheme="minorHAnsi"/>
          <w:i/>
          <w:szCs w:val="24"/>
          <w:lang w:val="en-US"/>
        </w:rPr>
        <w:t>nirS</w:t>
      </w:r>
      <w:proofErr w:type="spellEnd"/>
      <w:r w:rsidRPr="005001D6">
        <w:rPr>
          <w:rFonts w:cstheme="minorHAnsi"/>
          <w:szCs w:val="24"/>
          <w:lang w:val="en-US"/>
        </w:rPr>
        <w:t xml:space="preserve">, respectively. The efficiency of qPCRs was calculated based on the linear curve of the positive standards according to the formula </w:t>
      </w:r>
      <m:oMath>
        <m:r>
          <w:rPr>
            <w:rFonts w:ascii="Cambria Math" w:hAnsi="Cambria Math" w:cstheme="minorHAnsi"/>
            <w:szCs w:val="24"/>
            <w:lang w:val="en-US"/>
          </w:rPr>
          <m:t>E=10^(-1/slope)</m:t>
        </m:r>
      </m:oMath>
      <w:r w:rsidRPr="005001D6">
        <w:rPr>
          <w:rFonts w:cstheme="minorHAnsi"/>
          <w:szCs w:val="24"/>
          <w:lang w:val="en-US"/>
        </w:rPr>
        <w:t xml:space="preserve"> and was in the range of 75˗</w:t>
      </w:r>
      <w:r w:rsidRPr="005001D6">
        <w:rPr>
          <w:rFonts w:cstheme="minorHAnsi"/>
          <w:szCs w:val="24"/>
        </w:rPr>
        <w:t>95 %</w:t>
      </w:r>
      <w:r w:rsidRPr="005001D6">
        <w:rPr>
          <w:rFonts w:cstheme="minorHAnsi"/>
          <w:szCs w:val="24"/>
          <w:lang w:val="en-US"/>
        </w:rPr>
        <w:t>. DNA samples were diluted 1:100 before quantification in order to minimize PCR inhibition based on a pre-experiment test. Zero values indicate that no amplification was observed.</w:t>
      </w:r>
    </w:p>
    <w:p w14:paraId="559847EC" w14:textId="77777777" w:rsidR="00ED60AF" w:rsidRPr="005001D6" w:rsidRDefault="00ED60AF" w:rsidP="00173FAF">
      <w:pPr>
        <w:spacing w:line="480" w:lineRule="auto"/>
        <w:jc w:val="both"/>
        <w:rPr>
          <w:i/>
          <w:iCs/>
        </w:rPr>
      </w:pPr>
    </w:p>
    <w:p w14:paraId="68C88ADC" w14:textId="71C2B4A0" w:rsidR="005972DB" w:rsidRPr="005001D6" w:rsidRDefault="005972DB" w:rsidP="00173FAF">
      <w:pPr>
        <w:spacing w:line="480" w:lineRule="auto"/>
        <w:jc w:val="both"/>
        <w:rPr>
          <w:i/>
          <w:iCs/>
        </w:rPr>
      </w:pPr>
      <w:r w:rsidRPr="005001D6">
        <w:rPr>
          <w:i/>
          <w:iCs/>
        </w:rPr>
        <w:t>Stable isotope labelling</w:t>
      </w:r>
      <w:r w:rsidR="000942AF" w:rsidRPr="005001D6">
        <w:rPr>
          <w:i/>
          <w:iCs/>
        </w:rPr>
        <w:t xml:space="preserve"> and measurements</w:t>
      </w:r>
    </w:p>
    <w:p w14:paraId="70840990" w14:textId="2EEA31C4" w:rsidR="005972DB" w:rsidRPr="005001D6" w:rsidRDefault="005972DB" w:rsidP="00173FAF">
      <w:pPr>
        <w:spacing w:line="480" w:lineRule="auto"/>
        <w:jc w:val="both"/>
      </w:pPr>
      <w:r w:rsidRPr="005001D6">
        <w:t>Subplots that received stable isotope labelling were separated by impermeable plastic sheeting (ca. 20</w:t>
      </w:r>
      <w:r w:rsidR="00B96C94" w:rsidRPr="005001D6">
        <w:rPr>
          <w:lang w:val="el-GR"/>
        </w:rPr>
        <w:t xml:space="preserve"> </w:t>
      </w:r>
      <w:r w:rsidRPr="005001D6">
        <w:t xml:space="preserve">cm depth to the mineral horizon) to prevent labels from different solutions being translocated. The three solutions contained the following compounds dissolved in DI water: solution 1) </w:t>
      </w:r>
      <w:r w:rsidRPr="005001D6">
        <w:rPr>
          <w:vertAlign w:val="superscript"/>
        </w:rPr>
        <w:t>15</w:t>
      </w:r>
      <w:r w:rsidRPr="005001D6">
        <w:t xml:space="preserve">N-labelled inorganic N </w:t>
      </w:r>
      <w:bookmarkStart w:id="6" w:name="_Hlk64638971"/>
      <w:r w:rsidRPr="005001D6">
        <w:t xml:space="preserve">(126.00 mg </w:t>
      </w:r>
      <w:r w:rsidR="000942AF" w:rsidRPr="005001D6">
        <w:t>l</w:t>
      </w:r>
      <w:r w:rsidRPr="005001D6">
        <w:rPr>
          <w:vertAlign w:val="superscript"/>
        </w:rPr>
        <w:t>-1</w:t>
      </w:r>
      <w:r w:rsidRPr="005001D6">
        <w:t xml:space="preserve"> </w:t>
      </w:r>
      <w:r w:rsidRPr="005001D6">
        <w:rPr>
          <w:vertAlign w:val="superscript"/>
        </w:rPr>
        <w:t>15</w:t>
      </w:r>
      <w:r w:rsidRPr="005001D6">
        <w:t>NH</w:t>
      </w:r>
      <w:r w:rsidRPr="005001D6">
        <w:rPr>
          <w:vertAlign w:val="subscript"/>
        </w:rPr>
        <w:t>4</w:t>
      </w:r>
      <w:r w:rsidRPr="005001D6">
        <w:rPr>
          <w:vertAlign w:val="superscript"/>
        </w:rPr>
        <w:t>15</w:t>
      </w:r>
      <w:r w:rsidRPr="005001D6">
        <w:t>NO</w:t>
      </w:r>
      <w:r w:rsidRPr="005001D6">
        <w:rPr>
          <w:vertAlign w:val="subscript"/>
        </w:rPr>
        <w:t>3</w:t>
      </w:r>
      <w:r w:rsidRPr="005001D6">
        <w:t>, 98+% enriched; Cambridge Isotope Laboratories, Andover, MA, USA)</w:t>
      </w:r>
      <w:bookmarkEnd w:id="6"/>
      <w:r w:rsidRPr="005001D6">
        <w:t xml:space="preserve"> with unlabelled organic N (247.09 mg </w:t>
      </w:r>
      <w:r w:rsidR="000942AF" w:rsidRPr="005001D6">
        <w:t>l</w:t>
      </w:r>
      <w:r w:rsidRPr="005001D6">
        <w:rPr>
          <w:vertAlign w:val="superscript"/>
        </w:rPr>
        <w:t>-1</w:t>
      </w:r>
      <w:r w:rsidRPr="005001D6">
        <w:t xml:space="preserve"> glycine); solution 2) unlabelled inorganic N (131.72 mg </w:t>
      </w:r>
      <w:r w:rsidR="000942AF" w:rsidRPr="005001D6">
        <w:t>l</w:t>
      </w:r>
      <w:r w:rsidRPr="005001D6">
        <w:rPr>
          <w:vertAlign w:val="superscript"/>
        </w:rPr>
        <w:t xml:space="preserve">-1 </w:t>
      </w:r>
      <w:r w:rsidRPr="005001D6">
        <w:t xml:space="preserve">ammonium nitrate) with dual </w:t>
      </w:r>
      <w:r w:rsidRPr="005001D6">
        <w:rPr>
          <w:vertAlign w:val="superscript"/>
        </w:rPr>
        <w:t>13</w:t>
      </w:r>
      <w:r w:rsidRPr="005001D6">
        <w:t>C-</w:t>
      </w:r>
      <w:r w:rsidRPr="005001D6">
        <w:rPr>
          <w:vertAlign w:val="superscript"/>
        </w:rPr>
        <w:t>15</w:t>
      </w:r>
      <w:r w:rsidRPr="005001D6">
        <w:t>N labelled organic N (</w:t>
      </w:r>
      <w:bookmarkStart w:id="7" w:name="_Hlk64639018"/>
      <w:r w:rsidRPr="005001D6">
        <w:t xml:space="preserve">236.70 mg </w:t>
      </w:r>
      <w:r w:rsidR="000942AF" w:rsidRPr="005001D6">
        <w:t>l</w:t>
      </w:r>
      <w:r w:rsidRPr="005001D6">
        <w:rPr>
          <w:vertAlign w:val="superscript"/>
        </w:rPr>
        <w:t>-1</w:t>
      </w:r>
      <w:r w:rsidRPr="005001D6">
        <w:t xml:space="preserve"> glycine-2-</w:t>
      </w:r>
      <w:r w:rsidRPr="005001D6">
        <w:rPr>
          <w:vertAlign w:val="superscript"/>
        </w:rPr>
        <w:t>13</w:t>
      </w:r>
      <w:r w:rsidRPr="005001D6">
        <w:t>C-</w:t>
      </w:r>
      <w:r w:rsidRPr="005001D6">
        <w:rPr>
          <w:vertAlign w:val="superscript"/>
        </w:rPr>
        <w:t>15</w:t>
      </w:r>
      <w:r w:rsidRPr="005001D6">
        <w:t>N, 99% enriched, Cambridge Isotope Laboratories, Andover, MA, USA)</w:t>
      </w:r>
      <w:bookmarkEnd w:id="7"/>
      <w:r w:rsidRPr="005001D6">
        <w:t xml:space="preserve">; and solution 3) the control of unlabelled inorganic and organic N (131.72 mg </w:t>
      </w:r>
      <w:r w:rsidR="000942AF" w:rsidRPr="005001D6">
        <w:t>l</w:t>
      </w:r>
      <w:r w:rsidRPr="005001D6">
        <w:rPr>
          <w:vertAlign w:val="superscript"/>
        </w:rPr>
        <w:t>-1</w:t>
      </w:r>
      <w:r w:rsidRPr="005001D6">
        <w:t xml:space="preserve"> ammonium nitrate with 247.09 mg </w:t>
      </w:r>
      <w:r w:rsidR="000942AF" w:rsidRPr="005001D6">
        <w:t>l</w:t>
      </w:r>
      <w:r w:rsidRPr="005001D6">
        <w:rPr>
          <w:vertAlign w:val="superscript"/>
        </w:rPr>
        <w:t>-1</w:t>
      </w:r>
      <w:r w:rsidRPr="005001D6">
        <w:t xml:space="preserve"> glycine) that was used for natural abundance measurements of </w:t>
      </w:r>
      <w:r w:rsidRPr="005001D6">
        <w:rPr>
          <w:vertAlign w:val="superscript"/>
        </w:rPr>
        <w:t>15</w:t>
      </w:r>
      <w:r w:rsidRPr="005001D6">
        <w:t xml:space="preserve">N. Each solution contained 4.608 mg of N </w:t>
      </w:r>
      <w:r w:rsidR="000942AF" w:rsidRPr="005001D6">
        <w:t xml:space="preserve">in </w:t>
      </w:r>
      <w:r w:rsidRPr="005001D6">
        <w:t xml:space="preserve">total, which included 2.304 mg </w:t>
      </w:r>
      <w:r w:rsidRPr="005001D6">
        <w:rPr>
          <w:vertAlign w:val="superscript"/>
        </w:rPr>
        <w:t>15</w:t>
      </w:r>
      <w:r w:rsidRPr="005001D6">
        <w:t xml:space="preserve">N in the labelled solutions. </w:t>
      </w:r>
    </w:p>
    <w:p w14:paraId="1FED463D" w14:textId="52F1128F" w:rsidR="005972DB" w:rsidRPr="005001D6" w:rsidRDefault="005972DB" w:rsidP="00173FAF">
      <w:pPr>
        <w:spacing w:line="480" w:lineRule="auto"/>
        <w:jc w:val="both"/>
        <w:rPr>
          <w:rFonts w:cstheme="minorHAnsi"/>
        </w:rPr>
      </w:pPr>
      <w:r w:rsidRPr="005001D6">
        <w:t xml:space="preserve">Directly after sampling, </w:t>
      </w:r>
      <w:r w:rsidRPr="005001D6">
        <w:rPr>
          <w:rFonts w:cstheme="minorHAnsi"/>
        </w:rPr>
        <w:t xml:space="preserve">soil was homogenised and </w:t>
      </w:r>
      <w:r w:rsidRPr="005001D6">
        <w:t xml:space="preserve">the </w:t>
      </w:r>
      <w:r w:rsidRPr="005001D6">
        <w:rPr>
          <w:rFonts w:cstheme="minorHAnsi"/>
        </w:rPr>
        <w:t>chloroform fumigation-extraction technique</w:t>
      </w:r>
      <w:r w:rsidR="00D74565" w:rsidRPr="005001D6">
        <w:rPr>
          <w:rFonts w:cstheme="minorHAnsi"/>
        </w:rPr>
        <w:t xml:space="preserve"> </w:t>
      </w:r>
      <w:r w:rsidRPr="005001D6">
        <w:rPr>
          <w:rFonts w:cstheme="minorHAnsi"/>
        </w:rPr>
        <w:fldChar w:fldCharType="begin" w:fldLock="1"/>
      </w:r>
      <w:r w:rsidR="00361CE6" w:rsidRPr="005001D6">
        <w:rPr>
          <w:rFonts w:cstheme="minorHAnsi"/>
        </w:rPr>
        <w:instrText>ADDIN CSL_CITATION {"citationItems":[{"id":"ITEM-1","itemData":{"DOI":"10.1016/0038-0717(87)90052-6","ISBN":"0038-0717","ISSN":"00380717","abstract":"AN EXTRACTION METHOD FOR MEASURING SOIL MICROBIAL BIOMASS C","author":[{"dropping-particle":"","family":"Vance","given":"E.D.","non-dropping-particle":"","parse-names":false,"suffix":""},{"dropping-particle":"","family":"Brookes","given":"P.C.","non-dropping-particle":"","parse-names":false,"suffix":""},{"dropping-particle":"","family":"Jenkinson","given":"D.S.","non-dropping-particle":"","parse-names":false,"suffix":""}],"container-title":"Soil Biology and Biochemistry","id":"ITEM-1","issue":"6","issued":{"date-parts":[["1987","1"]]},"page":"703-707","title":"An extraction method for measuring soil microbial biomass C","type":"article-journal","volume":"19"},"uris":["http://www.mendeley.com/documents/?uuid=deb3a878-3639-4ba0-967a-8b43015505b3","http://www.mendeley.com/documents/?uuid=a75fbc89-c813-410a-82ed-fedf325cf73d"]}],"mendeley":{"formattedCitation":"(Vance &lt;i&gt;et al.&lt;/i&gt; 1987)","plainTextFormattedCitation":"(Vance et al. 1987)","previouslyFormattedCitation":"(Vance &lt;i&gt;et al.&lt;/i&gt; 1987)"},"properties":{"noteIndex":0},"schema":"https://github.com/citation-style-language/schema/raw/master/csl-citation.json"}</w:instrText>
      </w:r>
      <w:r w:rsidRPr="005001D6">
        <w:rPr>
          <w:rFonts w:cstheme="minorHAnsi"/>
        </w:rPr>
        <w:fldChar w:fldCharType="separate"/>
      </w:r>
      <w:r w:rsidR="00627DCC" w:rsidRPr="005001D6">
        <w:rPr>
          <w:rFonts w:cstheme="minorHAnsi"/>
          <w:noProof/>
        </w:rPr>
        <w:t xml:space="preserve">(Vance </w:t>
      </w:r>
      <w:r w:rsidR="00627DCC" w:rsidRPr="005001D6">
        <w:rPr>
          <w:rFonts w:cstheme="minorHAnsi"/>
          <w:i/>
          <w:noProof/>
        </w:rPr>
        <w:t>et al.</w:t>
      </w:r>
      <w:r w:rsidR="00627DCC" w:rsidRPr="005001D6">
        <w:rPr>
          <w:rFonts w:cstheme="minorHAnsi"/>
          <w:noProof/>
        </w:rPr>
        <w:t xml:space="preserve"> 1987)</w:t>
      </w:r>
      <w:r w:rsidRPr="005001D6">
        <w:rPr>
          <w:rFonts w:cstheme="minorHAnsi"/>
        </w:rPr>
        <w:fldChar w:fldCharType="end"/>
      </w:r>
      <w:r w:rsidRPr="005001D6">
        <w:rPr>
          <w:rFonts w:cstheme="minorHAnsi"/>
        </w:rPr>
        <w:t xml:space="preserve"> was immediately carried out to determine</w:t>
      </w:r>
      <w:r w:rsidR="000942AF" w:rsidRPr="005001D6">
        <w:rPr>
          <w:rFonts w:cstheme="minorHAnsi"/>
        </w:rPr>
        <w:t xml:space="preserve"> total</w:t>
      </w:r>
      <w:r w:rsidRPr="005001D6">
        <w:rPr>
          <w:rFonts w:cstheme="minorHAnsi"/>
        </w:rPr>
        <w:t xml:space="preserve"> </w:t>
      </w:r>
      <w:r w:rsidRPr="005001D6">
        <w:rPr>
          <w:rFonts w:cstheme="minorHAnsi"/>
          <w:vertAlign w:val="superscript"/>
        </w:rPr>
        <w:t>15</w:t>
      </w:r>
      <w:r w:rsidRPr="005001D6">
        <w:rPr>
          <w:rFonts w:cstheme="minorHAnsi"/>
        </w:rPr>
        <w:t xml:space="preserve">N </w:t>
      </w:r>
      <w:r w:rsidR="000942AF" w:rsidRPr="005001D6">
        <w:rPr>
          <w:rFonts w:cstheme="minorHAnsi"/>
        </w:rPr>
        <w:t>content in</w:t>
      </w:r>
      <w:r w:rsidRPr="005001D6">
        <w:rPr>
          <w:rFonts w:cstheme="minorHAnsi"/>
        </w:rPr>
        <w:t xml:space="preserve"> the soil microbial biomass. </w:t>
      </w:r>
      <w:bookmarkStart w:id="8" w:name="_Hlk47790462"/>
      <w:r w:rsidRPr="005001D6">
        <w:rPr>
          <w:rFonts w:cstheme="minorHAnsi"/>
        </w:rPr>
        <w:t>K</w:t>
      </w:r>
      <w:r w:rsidRPr="005001D6">
        <w:rPr>
          <w:rFonts w:cstheme="minorHAnsi"/>
          <w:vertAlign w:val="subscript"/>
        </w:rPr>
        <w:t>2</w:t>
      </w:r>
      <w:r w:rsidRPr="005001D6">
        <w:rPr>
          <w:rFonts w:cstheme="minorHAnsi"/>
        </w:rPr>
        <w:t>SO</w:t>
      </w:r>
      <w:r w:rsidRPr="005001D6">
        <w:rPr>
          <w:rFonts w:cstheme="minorHAnsi"/>
          <w:vertAlign w:val="subscript"/>
        </w:rPr>
        <w:t>4</w:t>
      </w:r>
      <w:r w:rsidRPr="005001D6">
        <w:rPr>
          <w:rFonts w:cstheme="minorHAnsi"/>
        </w:rPr>
        <w:t xml:space="preserve"> extractions</w:t>
      </w:r>
      <w:bookmarkEnd w:id="8"/>
      <w:r w:rsidRPr="005001D6">
        <w:rPr>
          <w:rFonts w:cstheme="minorHAnsi"/>
        </w:rPr>
        <w:t xml:space="preserve"> were carried out on fumigated and non-fumigated soil. A subsample was </w:t>
      </w:r>
      <w:r w:rsidRPr="005001D6">
        <w:rPr>
          <w:rFonts w:cstheme="minorHAnsi"/>
        </w:rPr>
        <w:lastRenderedPageBreak/>
        <w:t>taken and analysed for microbial biomass N using a Seal AA3 Segmented Flow Multi-chemistry analyser (Mequon, WI, USA)</w:t>
      </w:r>
      <w:r w:rsidR="00A004FB" w:rsidRPr="005001D6">
        <w:rPr>
          <w:rFonts w:cstheme="minorHAnsi"/>
        </w:rPr>
        <w:t>, as described above</w:t>
      </w:r>
      <w:r w:rsidRPr="005001D6">
        <w:rPr>
          <w:rFonts w:cstheme="minorHAnsi"/>
        </w:rPr>
        <w:t>. K</w:t>
      </w:r>
      <w:r w:rsidRPr="005001D6">
        <w:rPr>
          <w:rFonts w:cstheme="minorHAnsi"/>
          <w:vertAlign w:val="subscript"/>
        </w:rPr>
        <w:t>2</w:t>
      </w:r>
      <w:r w:rsidRPr="005001D6">
        <w:rPr>
          <w:rFonts w:cstheme="minorHAnsi"/>
        </w:rPr>
        <w:t>SO</w:t>
      </w:r>
      <w:r w:rsidRPr="005001D6">
        <w:rPr>
          <w:rFonts w:cstheme="minorHAnsi"/>
          <w:vertAlign w:val="subscript"/>
        </w:rPr>
        <w:t>4</w:t>
      </w:r>
      <w:r w:rsidRPr="005001D6">
        <w:rPr>
          <w:rFonts w:cstheme="minorHAnsi"/>
        </w:rPr>
        <w:t xml:space="preserve"> extractions were then freeze-dried. Plant roots were washed in 0.5 </w:t>
      </w:r>
      <w:r w:rsidR="00C41751" w:rsidRPr="005001D6">
        <w:rPr>
          <w:rFonts w:cstheme="minorHAnsi"/>
        </w:rPr>
        <w:t>M</w:t>
      </w:r>
      <w:r w:rsidRPr="005001D6">
        <w:rPr>
          <w:rFonts w:cstheme="minorHAnsi"/>
        </w:rPr>
        <w:t xml:space="preserve"> CaCl</w:t>
      </w:r>
      <w:r w:rsidRPr="005001D6">
        <w:rPr>
          <w:rFonts w:cstheme="minorHAnsi"/>
          <w:vertAlign w:val="subscript"/>
        </w:rPr>
        <w:t>2</w:t>
      </w:r>
      <w:r w:rsidRPr="005001D6">
        <w:t xml:space="preserve"> </w:t>
      </w:r>
      <w:r w:rsidRPr="005001D6">
        <w:rPr>
          <w:rFonts w:cstheme="minorHAnsi"/>
        </w:rPr>
        <w:t>solution to remove any of the isotope label attached externally</w:t>
      </w:r>
      <w:r w:rsidR="00D74565" w:rsidRPr="005001D6">
        <w:rPr>
          <w:rFonts w:cstheme="minorHAnsi"/>
        </w:rPr>
        <w:t xml:space="preserve"> </w:t>
      </w:r>
      <w:r w:rsidRPr="005001D6">
        <w:rPr>
          <w:rFonts w:cstheme="minorHAnsi"/>
        </w:rPr>
        <w:fldChar w:fldCharType="begin" w:fldLock="1"/>
      </w:r>
      <w:r w:rsidR="00361CE6" w:rsidRPr="005001D6">
        <w:rPr>
          <w:rFonts w:cstheme="minorHAnsi"/>
        </w:rPr>
        <w:instrText>ADDIN CSL_CITATION {"citationItems":[{"id":"ITEM-1","itemData":{"DOI":"10.1002/ece3.1244","ISBN":"2045-7758","ISSN":"20457758","PMID":"25691957","abstract":"In monoculture, certain plant species are able to preferentially utilize different nitrogen (N) forms, both inorganic and organic, including amino acids and peptides, thus forming fundamental niches based on the chemical form of N. Results from field studies, however, are inconsistent: Some showing that coexisting plant species predominantly utilize inorganic N, while others reveal distinct interspecies preferences for different N forms. As a result, the extent to which hypothetical niches are realized in nature remains unclear. Here, we used in situ stable isotope tracer techniques to test the idea, in temperate grassland, that niche partitioning of N based on chemical form is related to plant productivity and the relative availability of organic and inorganic N. We also tested in situ whether grassland plants vary in their ability to compete for, and utilize peptides, which have recently been shown to act as an N source for plants in strongly N-limited ecosystems. We hypothesized that plants would preferentially use NO3 (-)-N and NH4 (+)-N over dissolved organic N in high-productivity grassland where inorganic N availability is high. On the other hand, in low-productivity grasslands, where the availability of dissolved inorganic N is low, and soil availability of dissolved organic N is greater, we predicted that plants would preferentially use N from amino acids and peptides, prior to microbial mineralization. Turves from two well-characterized grasslands of contrasting productivity and soil N availability were injected, in situ, with mixtures of (15)N-labeled inorganic N (NO3 (-) and NH4 (+)) and (13)C(15)N labeled amino acid (l-alanine) and peptide (l-tri-alanine). In order to measure rapid assimilation of these N forms by soil microbes and plants, the uptake of these substrates was traced within 2.5 hours into the shoots of the most abundant plant species, as well as roots and the soil microbial biomass. We found that, contrary to our hypothesis, the majority of plant species across both grasslands took up most N in the form of NH4 (+), suggesting that inorganic N is their predominant N source. However, we did find that organic N was a source of N which could be utilized by plant species at both sites, and in the low-productivity grassland, plants were able to capture some tri-alanine-N directly. Although our findings did not support the hypothesis that differences in the availability of inorganic and organic N facilitate resource partitioning in g…","author":[{"dropping-particle":"","family":"Wilkinson","given":"Anna","non-dropping-particle":"","parse-names":false,"suffix":""},{"dropping-particle":"","family":"Hill","given":"Paul W.","non-dropping-particle":"","parse-names":false,"suffix":""},{"dropping-particle":"V.","family":"Vaieretti","given":"María","non-dropping-particle":"","parse-names":false,"suffix":""},{"dropping-particle":"","family":"Farrar","given":"John F.","non-dropping-particle":"","parse-names":false,"suffix":""},{"dropping-particle":"","family":"Jones","given":"Davey L.","non-dropping-particle":"","parse-names":false,"suffix":""},{"dropping-particle":"","family":"Bardgett","given":"Richard D.","non-dropping-particle":"","parse-names":false,"suffix":""}],"container-title":"Ecology and Evolution","id":"ITEM-1","issue":"2","issued":{"date-parts":[["2015"]]},"page":"275-287","title":"Challenging the paradigm of nitrogen cycling: No evidence of in situ resource partitioning by coexisting plant species in grasslands of contrasting fertility","type":"article-journal","volume":"5"},"uris":["http://www.mendeley.com/documents/?uuid=e6f060ef-d505-4e2a-bb1d-2adca21bb0a2"]}],"mendeley":{"formattedCitation":"(Wilkinson &lt;i&gt;et al.&lt;/i&gt; 2015)","plainTextFormattedCitation":"(Wilkinson et al. 2015)","previouslyFormattedCitation":"(Wilkinson &lt;i&gt;et al.&lt;/i&gt; 2015)"},"properties":{"noteIndex":0},"schema":"https://github.com/citation-style-language/schema/raw/master/csl-citation.json"}</w:instrText>
      </w:r>
      <w:r w:rsidRPr="005001D6">
        <w:rPr>
          <w:rFonts w:cstheme="minorHAnsi"/>
        </w:rPr>
        <w:fldChar w:fldCharType="separate"/>
      </w:r>
      <w:r w:rsidR="00627DCC" w:rsidRPr="005001D6">
        <w:rPr>
          <w:rFonts w:cstheme="minorHAnsi"/>
          <w:noProof/>
        </w:rPr>
        <w:t xml:space="preserve">(Wilkinson </w:t>
      </w:r>
      <w:r w:rsidR="00627DCC" w:rsidRPr="005001D6">
        <w:rPr>
          <w:rFonts w:cstheme="minorHAnsi"/>
          <w:i/>
          <w:noProof/>
        </w:rPr>
        <w:t>et al.</w:t>
      </w:r>
      <w:r w:rsidR="00627DCC" w:rsidRPr="005001D6">
        <w:rPr>
          <w:rFonts w:cstheme="minorHAnsi"/>
          <w:noProof/>
        </w:rPr>
        <w:t xml:space="preserve"> 2015)</w:t>
      </w:r>
      <w:r w:rsidRPr="005001D6">
        <w:rPr>
          <w:rFonts w:cstheme="minorHAnsi"/>
        </w:rPr>
        <w:fldChar w:fldCharType="end"/>
      </w:r>
      <w:r w:rsidRPr="005001D6">
        <w:rPr>
          <w:rFonts w:cstheme="minorHAnsi"/>
        </w:rPr>
        <w:t>. Plant material was dried for 48 h at 65</w:t>
      </w:r>
      <w:r w:rsidR="009A69FB" w:rsidRPr="005001D6">
        <w:rPr>
          <w:rFonts w:cstheme="minorHAnsi"/>
          <w:lang w:val="el-GR"/>
        </w:rPr>
        <w:t xml:space="preserve"> </w:t>
      </w:r>
      <w:r w:rsidRPr="005001D6">
        <w:rPr>
          <w:rFonts w:cstheme="minorHAnsi"/>
        </w:rPr>
        <w:t xml:space="preserve">°C before being weighed and ground. A subsample from each processed component of the core (i.e., </w:t>
      </w:r>
      <w:r w:rsidR="00A004FB" w:rsidRPr="005001D6">
        <w:rPr>
          <w:rFonts w:cstheme="minorHAnsi"/>
        </w:rPr>
        <w:t xml:space="preserve">freeze-dried </w:t>
      </w:r>
      <w:r w:rsidRPr="005001D6">
        <w:rPr>
          <w:rFonts w:cstheme="minorHAnsi"/>
        </w:rPr>
        <w:t>K</w:t>
      </w:r>
      <w:r w:rsidRPr="005001D6">
        <w:rPr>
          <w:rFonts w:cstheme="minorHAnsi"/>
          <w:vertAlign w:val="subscript"/>
        </w:rPr>
        <w:t>2</w:t>
      </w:r>
      <w:r w:rsidRPr="005001D6">
        <w:rPr>
          <w:rFonts w:cstheme="minorHAnsi"/>
        </w:rPr>
        <w:t>SO</w:t>
      </w:r>
      <w:r w:rsidRPr="005001D6">
        <w:rPr>
          <w:rFonts w:cstheme="minorHAnsi"/>
          <w:vertAlign w:val="subscript"/>
        </w:rPr>
        <w:t>4</w:t>
      </w:r>
      <w:r w:rsidRPr="005001D6">
        <w:rPr>
          <w:rFonts w:cstheme="minorHAnsi"/>
        </w:rPr>
        <w:t xml:space="preserve"> extractions, plant roots and shoots) was subsequently analysed for % N and </w:t>
      </w:r>
      <w:r w:rsidRPr="005001D6">
        <w:rPr>
          <w:rFonts w:cstheme="minorHAnsi"/>
          <w:vertAlign w:val="superscript"/>
        </w:rPr>
        <w:t>15</w:t>
      </w:r>
      <w:r w:rsidRPr="005001D6">
        <w:rPr>
          <w:rFonts w:cstheme="minorHAnsi"/>
        </w:rPr>
        <w:t xml:space="preserve">N content. </w:t>
      </w:r>
    </w:p>
    <w:p w14:paraId="6CAC6148" w14:textId="6625A399" w:rsidR="005972DB" w:rsidRPr="005001D6" w:rsidRDefault="005972DB" w:rsidP="00173FAF">
      <w:pPr>
        <w:spacing w:line="480" w:lineRule="auto"/>
        <w:jc w:val="both"/>
        <w:rPr>
          <w:rFonts w:cstheme="minorHAnsi"/>
        </w:rPr>
      </w:pPr>
      <w:r w:rsidRPr="005001D6">
        <w:rPr>
          <w:rFonts w:cstheme="minorHAnsi"/>
        </w:rPr>
        <w:t xml:space="preserve">Stable isotope measurements </w:t>
      </w:r>
      <w:r w:rsidR="00880061" w:rsidRPr="005001D6">
        <w:rPr>
          <w:rFonts w:cstheme="minorHAnsi"/>
        </w:rPr>
        <w:t>of</w:t>
      </w:r>
      <w:r w:rsidRPr="005001D6">
        <w:rPr>
          <w:rFonts w:cstheme="minorHAnsi"/>
        </w:rPr>
        <w:t xml:space="preserve"> nitrogen (δ</w:t>
      </w:r>
      <w:r w:rsidRPr="005001D6">
        <w:rPr>
          <w:rFonts w:cstheme="minorHAnsi"/>
          <w:vertAlign w:val="superscript"/>
        </w:rPr>
        <w:t>15</w:t>
      </w:r>
      <w:r w:rsidRPr="005001D6">
        <w:rPr>
          <w:rFonts w:cstheme="minorHAnsi"/>
        </w:rPr>
        <w:t xml:space="preserve">N) were conducted at the NERC National Environmental Isotope Facility (NEIF) at UK Centre for Ecology and Hydrology in Lancaster, UK. Prior to analyses, samples were oven-dried for 1 hour to remove residual moisture. Plant tissue and microbial extract samples were weighed out in tin capsules and combusted in a Carlo </w:t>
      </w:r>
      <w:proofErr w:type="spellStart"/>
      <w:r w:rsidRPr="005001D6">
        <w:rPr>
          <w:rFonts w:cstheme="minorHAnsi"/>
        </w:rPr>
        <w:t>Erba</w:t>
      </w:r>
      <w:proofErr w:type="spellEnd"/>
      <w:r w:rsidRPr="005001D6">
        <w:rPr>
          <w:rFonts w:cstheme="minorHAnsi"/>
        </w:rPr>
        <w:t xml:space="preserve"> NA1500 elemental analyser (EA) coupled to a Dennis Leigh Technology Isotope Ratio Mass Spectrometer (IRMS). </w:t>
      </w:r>
      <w:r w:rsidR="00880061" w:rsidRPr="005001D6">
        <w:rPr>
          <w:rFonts w:cstheme="minorHAnsi"/>
        </w:rPr>
        <w:t>W</w:t>
      </w:r>
      <w:r w:rsidRPr="005001D6">
        <w:rPr>
          <w:rFonts w:cstheme="minorHAnsi"/>
        </w:rPr>
        <w:t>e used n-</w:t>
      </w:r>
      <w:proofErr w:type="spellStart"/>
      <w:r w:rsidRPr="005001D6">
        <w:rPr>
          <w:rFonts w:cstheme="minorHAnsi"/>
        </w:rPr>
        <w:t>Carbobenzyloxy</w:t>
      </w:r>
      <w:proofErr w:type="spellEnd"/>
      <w:r w:rsidRPr="005001D6">
        <w:rPr>
          <w:rFonts w:cstheme="minorHAnsi"/>
        </w:rPr>
        <w:t>-L-aspartic acid</w:t>
      </w:r>
      <w:r w:rsidR="00880061" w:rsidRPr="005001D6">
        <w:rPr>
          <w:rFonts w:cstheme="minorHAnsi"/>
        </w:rPr>
        <w:t xml:space="preserve"> as instrumental standard </w:t>
      </w:r>
      <w:r w:rsidRPr="005001D6">
        <w:rPr>
          <w:rFonts w:cstheme="minorHAnsi"/>
        </w:rPr>
        <w:t>for δ</w:t>
      </w:r>
      <w:r w:rsidRPr="005001D6">
        <w:rPr>
          <w:rFonts w:cstheme="minorHAnsi"/>
          <w:vertAlign w:val="superscript"/>
        </w:rPr>
        <w:t>15</w:t>
      </w:r>
      <w:r w:rsidRPr="005001D6">
        <w:rPr>
          <w:rFonts w:cstheme="minorHAnsi"/>
        </w:rPr>
        <w:t xml:space="preserve">N. Calibrated in-house working standards of vegetation material (unlabelled and </w:t>
      </w:r>
      <w:r w:rsidRPr="005001D6">
        <w:rPr>
          <w:rFonts w:cstheme="minorHAnsi"/>
          <w:vertAlign w:val="superscript"/>
        </w:rPr>
        <w:t>15</w:t>
      </w:r>
      <w:r w:rsidRPr="005001D6">
        <w:rPr>
          <w:rFonts w:cstheme="minorHAnsi"/>
        </w:rPr>
        <w:t>N-labelled) and were used as Quality Control (QC) materials. Isotopic results are expressed in delta notation, in parts per thousand (‰) deviations from the international standard (AIR). Analytical precision, measured as the within-run standard deviation from replicates of laboratory standards, was &lt;0.4 ‰ (and within 5% for labelled</w:t>
      </w:r>
      <w:r w:rsidR="00880061" w:rsidRPr="005001D6">
        <w:rPr>
          <w:rFonts w:cstheme="minorHAnsi"/>
        </w:rPr>
        <w:t xml:space="preserve"> QC materials</w:t>
      </w:r>
      <w:r w:rsidRPr="005001D6">
        <w:rPr>
          <w:rFonts w:cstheme="minorHAnsi"/>
        </w:rPr>
        <w:t>) for δ</w:t>
      </w:r>
      <w:r w:rsidRPr="005001D6">
        <w:rPr>
          <w:rFonts w:cstheme="minorHAnsi"/>
          <w:vertAlign w:val="superscript"/>
        </w:rPr>
        <w:t>15</w:t>
      </w:r>
      <w:r w:rsidRPr="005001D6">
        <w:rPr>
          <w:rFonts w:cstheme="minorHAnsi"/>
        </w:rPr>
        <w:t xml:space="preserve">N. </w:t>
      </w:r>
    </w:p>
    <w:p w14:paraId="2C1D002B" w14:textId="3678F6A4" w:rsidR="005972DB" w:rsidRPr="005001D6" w:rsidRDefault="005972DB" w:rsidP="00173FAF">
      <w:pPr>
        <w:spacing w:line="480" w:lineRule="auto"/>
        <w:jc w:val="both"/>
        <w:rPr>
          <w:rFonts w:cstheme="minorHAnsi"/>
        </w:rPr>
      </w:pPr>
      <w:r w:rsidRPr="005001D6">
        <w:t xml:space="preserve">The concentration of excess </w:t>
      </w:r>
      <w:r w:rsidRPr="005001D6">
        <w:rPr>
          <w:rFonts w:cstheme="minorHAnsi"/>
          <w:vertAlign w:val="superscript"/>
        </w:rPr>
        <w:t>15</w:t>
      </w:r>
      <w:r w:rsidRPr="005001D6">
        <w:rPr>
          <w:rFonts w:cstheme="minorHAnsi"/>
        </w:rPr>
        <w:t xml:space="preserve">N above natural abundance values </w:t>
      </w:r>
      <w:bookmarkStart w:id="9" w:name="_Hlk64643206"/>
      <w:r w:rsidRPr="005001D6">
        <w:rPr>
          <w:rFonts w:cstheme="minorHAnsi"/>
        </w:rPr>
        <w:t>(µ</w:t>
      </w:r>
      <w:proofErr w:type="spellStart"/>
      <w:r w:rsidRPr="005001D6">
        <w:t>mol</w:t>
      </w:r>
      <w:proofErr w:type="spellEnd"/>
      <w:r w:rsidRPr="005001D6">
        <w:t xml:space="preserve"> excess </w:t>
      </w:r>
      <w:r w:rsidRPr="005001D6">
        <w:rPr>
          <w:rFonts w:cstheme="minorHAnsi"/>
          <w:vertAlign w:val="superscript"/>
        </w:rPr>
        <w:t>15</w:t>
      </w:r>
      <w:r w:rsidRPr="005001D6">
        <w:rPr>
          <w:rFonts w:cstheme="minorHAnsi"/>
        </w:rPr>
        <w:t>N g</w:t>
      </w:r>
      <w:r w:rsidRPr="005001D6">
        <w:rPr>
          <w:rFonts w:cstheme="minorHAnsi"/>
          <w:vertAlign w:val="superscript"/>
        </w:rPr>
        <w:t>-1</w:t>
      </w:r>
      <w:r w:rsidRPr="005001D6">
        <w:rPr>
          <w:rFonts w:cstheme="minorHAnsi"/>
        </w:rPr>
        <w:t xml:space="preserve">) </w:t>
      </w:r>
      <w:bookmarkEnd w:id="9"/>
      <w:r w:rsidRPr="005001D6">
        <w:rPr>
          <w:rFonts w:cstheme="minorHAnsi"/>
        </w:rPr>
        <w:t xml:space="preserve">in each </w:t>
      </w:r>
      <w:r w:rsidR="00FF14B7" w:rsidRPr="005001D6">
        <w:rPr>
          <w:rFonts w:cstheme="minorHAnsi"/>
        </w:rPr>
        <w:t>component</w:t>
      </w:r>
      <w:r w:rsidRPr="005001D6">
        <w:rPr>
          <w:rFonts w:cstheme="minorHAnsi"/>
        </w:rPr>
        <w:t xml:space="preserve"> was calculated </w:t>
      </w:r>
      <w:r w:rsidR="005C49E9" w:rsidRPr="005001D6">
        <w:rPr>
          <w:rFonts w:cstheme="minorHAnsi"/>
        </w:rPr>
        <w:t xml:space="preserve">using </w:t>
      </w:r>
      <w:r w:rsidR="00CD7058" w:rsidRPr="005001D6">
        <w:rPr>
          <w:vertAlign w:val="superscript"/>
        </w:rPr>
        <w:t>15</w:t>
      </w:r>
      <w:r w:rsidR="00CD7058" w:rsidRPr="005001D6">
        <w:t>N atom percent excess (</w:t>
      </w:r>
      <w:r w:rsidR="00CE28BD" w:rsidRPr="005001D6">
        <w:t>calculated from</w:t>
      </w:r>
      <w:r w:rsidR="005C49E9" w:rsidRPr="005001D6">
        <w:rPr>
          <w:rFonts w:cstheme="minorHAnsi"/>
        </w:rPr>
        <w:t xml:space="preserve"> δ</w:t>
      </w:r>
      <w:r w:rsidR="005C49E9" w:rsidRPr="005001D6">
        <w:rPr>
          <w:vertAlign w:val="superscript"/>
        </w:rPr>
        <w:t>15</w:t>
      </w:r>
      <w:r w:rsidR="005C49E9" w:rsidRPr="005001D6">
        <w:t xml:space="preserve">N values </w:t>
      </w:r>
      <w:r w:rsidR="00CD7058" w:rsidRPr="005001D6">
        <w:t xml:space="preserve">as </w:t>
      </w:r>
      <w:r w:rsidR="00836EC6" w:rsidRPr="005001D6">
        <w:t xml:space="preserve">described </w:t>
      </w:r>
      <w:r w:rsidR="00675574" w:rsidRPr="005001D6">
        <w:t>in</w:t>
      </w:r>
      <w:r w:rsidR="00D74565" w:rsidRPr="005001D6">
        <w:t xml:space="preserve"> </w:t>
      </w:r>
      <w:r w:rsidR="00CD7058" w:rsidRPr="005001D6">
        <w:fldChar w:fldCharType="begin" w:fldLock="1"/>
      </w:r>
      <w:r w:rsidR="00675574" w:rsidRPr="005001D6">
        <w:instrText>ADDIN CSL_CITATION {"citationItems":[{"id":"ITEM-1","itemData":{"DOI":"10.1002/ece3.1244","ISBN":"2045-7758","ISSN":"20457758","PMID":"25691957","abstract":"In monoculture, certain plant species are able to preferentially utilize different nitrogen (N) forms, both inorganic and organic, including amino acids and peptides, thus forming fundamental niches based on the chemical form of N. Results from field studies, however, are inconsistent: Some showing that coexisting plant species predominantly utilize inorganic N, while others reveal distinct interspecies preferences for different N forms. As a result, the extent to which hypothetical niches are realized in nature remains unclear. Here, we used in situ stable isotope tracer techniques to test the idea, in temperate grassland, that niche partitioning of N based on chemical form is related to plant productivity and the relative availability of organic and inorganic N. We also tested in situ whether grassland plants vary in their ability to compete for, and utilize peptides, which have recently been shown to act as an N source for plants in strongly N-limited ecosystems. We hypothesized that plants would preferentially use NO3 (-)-N and NH4 (+)-N over dissolved organic N in high-productivity grassland where inorganic N availability is high. On the other hand, in low-productivity grasslands, where the availability of dissolved inorganic N is low, and soil availability of dissolved organic N is greater, we predicted that plants would preferentially use N from amino acids and peptides, prior to microbial mineralization. Turves from two well-characterized grasslands of contrasting productivity and soil N availability were injected, in situ, with mixtures of (15)N-labeled inorganic N (NO3 (-) and NH4 (+)) and (13)C(15)N labeled amino acid (l-alanine) and peptide (l-tri-alanine). In order to measure rapid assimilation of these N forms by soil microbes and plants, the uptake of these substrates was traced within 2.5 hours into the shoots of the most abundant plant species, as well as roots and the soil microbial biomass. We found that, contrary to our hypothesis, the majority of plant species across both grasslands took up most N in the form of NH4 (+), suggesting that inorganic N is their predominant N source. However, we did find that organic N was a source of N which could be utilized by plant species at both sites, and in the low-productivity grassland, plants were able to capture some tri-alanine-N directly. Although our findings did not support the hypothesis that differences in the availability of inorganic and organic N facilitate resource partitioning in g…","author":[{"dropping-particle":"","family":"Wilkinson","given":"Anna","non-dropping-particle":"","parse-names":false,"suffix":""},{"dropping-particle":"","family":"Hill","given":"Paul W.","non-dropping-particle":"","parse-names":false,"suffix":""},{"dropping-particle":"V.","family":"Vaieretti","given":"María","non-dropping-particle":"","parse-names":false,"suffix":""},{"dropping-particle":"","family":"Farrar","given":"John F.","non-dropping-particle":"","parse-names":false,"suffix":""},{"dropping-particle":"","family":"Jones","given":"Davey L.","non-dropping-particle":"","parse-names":false,"suffix":""},{"dropping-particle":"","family":"Bardgett","given":"Richard D.","non-dropping-particle":"","parse-names":false,"suffix":""}],"container-title":"Ecology and Evolution","id":"ITEM-1","issue":"2","issued":{"date-parts":[["2015"]]},"page":"275-287","title":"Challenging the paradigm of nitrogen cycling: No evidence of in situ resource partitioning by coexisting plant species in grasslands of contrasting fertility","type":"article-journal","volume":"5"},"uris":["http://www.mendeley.com/documents/?uuid=e6f060ef-d505-4e2a-bb1d-2adca21bb0a2"]}],"mendeley":{"formattedCitation":"(Wilkinson &lt;i&gt;et al.&lt;/i&gt; 2015)","manualFormatting":"Wilkinson et al. (2015)","plainTextFormattedCitation":"(Wilkinson et al. 2015)","previouslyFormattedCitation":"(Wilkinson &lt;i&gt;et al.&lt;/i&gt; 2015)"},"properties":{"noteIndex":0},"schema":"https://github.com/citation-style-language/schema/raw/master/csl-citation.json"}</w:instrText>
      </w:r>
      <w:r w:rsidR="00CD7058" w:rsidRPr="005001D6">
        <w:fldChar w:fldCharType="separate"/>
      </w:r>
      <w:r w:rsidR="00627DCC" w:rsidRPr="005001D6">
        <w:rPr>
          <w:noProof/>
        </w:rPr>
        <w:t xml:space="preserve">Wilkinson </w:t>
      </w:r>
      <w:r w:rsidR="00627DCC" w:rsidRPr="005001D6">
        <w:rPr>
          <w:i/>
          <w:noProof/>
        </w:rPr>
        <w:t>et al.</w:t>
      </w:r>
      <w:r w:rsidR="00627DCC" w:rsidRPr="005001D6">
        <w:rPr>
          <w:noProof/>
        </w:rPr>
        <w:t xml:space="preserve"> </w:t>
      </w:r>
      <w:r w:rsidR="00675574" w:rsidRPr="005001D6">
        <w:rPr>
          <w:noProof/>
        </w:rPr>
        <w:t>(</w:t>
      </w:r>
      <w:r w:rsidR="00627DCC" w:rsidRPr="005001D6">
        <w:rPr>
          <w:noProof/>
        </w:rPr>
        <w:t>2015)</w:t>
      </w:r>
      <w:r w:rsidR="00CD7058" w:rsidRPr="005001D6">
        <w:fldChar w:fldCharType="end"/>
      </w:r>
      <w:r w:rsidR="00675574" w:rsidRPr="005001D6">
        <w:t>)</w:t>
      </w:r>
      <w:r w:rsidR="00CD7058" w:rsidRPr="005001D6">
        <w:t xml:space="preserve"> and </w:t>
      </w:r>
      <w:r w:rsidR="00C41751" w:rsidRPr="005001D6">
        <w:t>N content</w:t>
      </w:r>
      <w:r w:rsidR="00D74565" w:rsidRPr="005001D6">
        <w:t xml:space="preserve"> </w:t>
      </w:r>
      <w:r w:rsidR="00CD7058" w:rsidRPr="005001D6">
        <w:fldChar w:fldCharType="begin" w:fldLock="1"/>
      </w:r>
      <w:r w:rsidR="00361CE6" w:rsidRPr="005001D6">
        <w:instrText>ADDIN CSL_CITATION {"citationItems":[{"id":"ITEM-1","itemData":{"abstract":"Although agricultural grassland soils have inherently high rates of net ni- trogen (N) mineralization, they often have soil concentrations of soluble organic N that are comparable to inorganic N. We set out to examine in situ the significance of organic N for plant nutrition in grasslands of differing management intensity and soil fertility. Using in situ dual-labeling techniques (glycine-2-13 C-15 N) we measured preferential uptake of amino- acid N vs. inorganic N [(15NH4 SO4] in early and late season in low-productivity Agrostis )2 capillaris–Festuca ovina grassland and in agriculturally improved, high-productivity Lolium perenne-dominated grassland. The dominant soluble-N form differed greatly between grass- lands. Inorganic N (especially nitrate N) dominated the soluble N pool of the highly pro- ductive improved grassland whereas amino acid N was the dominant soluble N form in the low-productivity unimproved grassland. There was no difference in the amount of 15 N taken up by plants from the two N forms in either grassland. However, our data indicate that amino-acid N was taken up directly by plants of both grasslands and that more N was captured in this way by plants of low-productivity grassland where amino acids were the dominant soluble N form in soil. Our data from both grasslands also indicate significant microbial competition for added 15 N from both N sources, but especially in the low-pro- ductivity grassland where the bulk of 15 N added was sequestered by the microbial biomass. A significantly greater amount of added 15 N was captured by the microbial biomass in the unimproved than in the improved grassland, and substantially more 15 N was detected in the microbial biomass than in plant tissue in the unimproved grassland. On the basis of our findings, we predict that subsequent microbial turnover and release of this N into the plant–soil system is the major pathway for plant N capture in these temperate grasslands. Microbial sequestration of added N might be an important mechanism of N retention in these grasslands, especially in the low-productivity systems where microbial N sink strength is greater and organic matter slowly accumulates. Key","author":[{"dropping-particle":"","family":"Bardgett","given":"RD","non-dropping-particle":"","parse-names":false,"suffix":""},{"dropping-particle":"","family":"Treeter","given":"TC","non-dropping-particle":"","parse-names":false,"suffix":""},{"dropping-particle":"","family":"Roland","given":"B","non-dropping-particle":"","parse-names":false,"suffix":""}],"container-title":"Ecology","id":"ITEM-1","issue":"5","issued":{"date-parts":[["2003"]]},"page":"1277-1287","title":"SOIL MICROBES COMPETE EFFECTIVELY WITH PLANTS FOR ORGANIC-NITROGEN INPUTS TO TEMPERATE GRASSLANDS","type":"article-journal","volume":"84"},"uris":["http://www.mendeley.com/documents/?uuid=744550ab-d469-4a1e-b2f4-8b84405603e2"]},{"id":"ITEM-2","itemData":{"DOI":"10.1038/415068a","ISSN":"0028-0836","author":[{"dropping-particle":"","family":"McKane","given":"Robert B.","non-dropping-particle":"","parse-names":false,"suffix":""},{"dropping-particle":"","family":"Johnson","given":"Loretta C","non-dropping-particle":"","parse-names":false,"suffix":""},{"dropping-particle":"","family":"Shaver","given":"Gaius R","non-dropping-particle":"","parse-names":false,"suffix":""},{"dropping-particle":"","family":"Nadelhoffer","given":"Knute J","non-dropping-particle":"","parse-names":false,"suffix":""},{"dropping-particle":"","family":"Rastetter","given":"Edward B","non-dropping-particle":"","parse-names":false,"suffix":""},{"dropping-particle":"","family":"Fry","given":"Brian","non-dropping-particle":"","parse-names":false,"suffix":""},{"dropping-particle":"","family":"Giblin","given":"Anne E","non-dropping-particle":"","parse-names":false,"suffix":""},{"dropping-particle":"","family":"Kielland","given":"Knut","non-dropping-particle":"","parse-names":false,"suffix":""},{"dropping-particle":"","family":"Kwiatkowski","given":"Bonnie L","non-dropping-particle":"","parse-names":false,"suffix":""},{"dropping-particle":"","family":"Laundre","given":"James A","non-dropping-particle":"","parse-names":false,"suffix":""},{"dropping-particle":"","family":"Murray","given":"Georgia","non-dropping-particle":"","parse-names":false,"suffix":""}],"container-title":"Nature","id":"ITEM-2","issue":"6867","issued":{"date-parts":[["2002","1"]]},"page":"68-71","title":"Resource-based niches provide a basis for plant species diversity and dominance in arctic tundra","type":"article-journal","volume":"415"},"uris":["http://www.mendeley.com/documents/?uuid=63bd16ad-0c21-4cfd-ae79-1bf465d3fc49"]}],"mendeley":{"formattedCitation":"(McKane &lt;i&gt;et al.&lt;/i&gt; 2002; Bardgett &lt;i&gt;et al.&lt;/i&gt; 2003)","plainTextFormattedCitation":"(McKane et al. 2002; Bardgett et al. 2003)","previouslyFormattedCitation":"(McKane &lt;i&gt;et al.&lt;/i&gt; 2002; Bardgett &lt;i&gt;et al.&lt;/i&gt; 2003)"},"properties":{"noteIndex":0},"schema":"https://github.com/citation-style-language/schema/raw/master/csl-citation.json"}</w:instrText>
      </w:r>
      <w:r w:rsidR="00CD7058" w:rsidRPr="005001D6">
        <w:fldChar w:fldCharType="separate"/>
      </w:r>
      <w:r w:rsidR="00627DCC" w:rsidRPr="005001D6">
        <w:rPr>
          <w:noProof/>
        </w:rPr>
        <w:t xml:space="preserve">(McKane </w:t>
      </w:r>
      <w:r w:rsidR="00627DCC" w:rsidRPr="005001D6">
        <w:rPr>
          <w:i/>
          <w:noProof/>
        </w:rPr>
        <w:t>et al.</w:t>
      </w:r>
      <w:r w:rsidR="00627DCC" w:rsidRPr="005001D6">
        <w:rPr>
          <w:noProof/>
        </w:rPr>
        <w:t xml:space="preserve"> 2002; Bardgett </w:t>
      </w:r>
      <w:r w:rsidR="00627DCC" w:rsidRPr="005001D6">
        <w:rPr>
          <w:i/>
          <w:noProof/>
        </w:rPr>
        <w:t>et al.</w:t>
      </w:r>
      <w:r w:rsidR="00627DCC" w:rsidRPr="005001D6">
        <w:rPr>
          <w:noProof/>
        </w:rPr>
        <w:t xml:space="preserve"> 2003)</w:t>
      </w:r>
      <w:r w:rsidR="00CD7058" w:rsidRPr="005001D6">
        <w:fldChar w:fldCharType="end"/>
      </w:r>
      <w:r w:rsidRPr="005001D6">
        <w:rPr>
          <w:rFonts w:cstheme="minorHAnsi"/>
        </w:rPr>
        <w:t>.</w:t>
      </w:r>
      <w:r w:rsidR="000C7D4E" w:rsidRPr="005001D6">
        <w:rPr>
          <w:rFonts w:cstheme="minorHAnsi"/>
        </w:rPr>
        <w:t xml:space="preserve"> Concentrations of excess </w:t>
      </w:r>
      <w:r w:rsidR="000C7D4E" w:rsidRPr="005001D6">
        <w:rPr>
          <w:rFonts w:cstheme="minorHAnsi"/>
          <w:vertAlign w:val="superscript"/>
        </w:rPr>
        <w:t>15</w:t>
      </w:r>
      <w:r w:rsidR="000C7D4E" w:rsidRPr="005001D6">
        <w:rPr>
          <w:rFonts w:cstheme="minorHAnsi"/>
        </w:rPr>
        <w:t>N</w:t>
      </w:r>
      <w:r w:rsidR="005B1E6C" w:rsidRPr="005001D6">
        <w:rPr>
          <w:rFonts w:cstheme="minorHAnsi"/>
        </w:rPr>
        <w:t xml:space="preserve"> (µ</w:t>
      </w:r>
      <w:proofErr w:type="spellStart"/>
      <w:r w:rsidR="005B1E6C" w:rsidRPr="005001D6">
        <w:t>mol</w:t>
      </w:r>
      <w:proofErr w:type="spellEnd"/>
      <w:r w:rsidR="005B1E6C" w:rsidRPr="005001D6">
        <w:t xml:space="preserve"> excess </w:t>
      </w:r>
      <w:r w:rsidR="005B1E6C" w:rsidRPr="005001D6">
        <w:rPr>
          <w:rFonts w:cstheme="minorHAnsi"/>
          <w:vertAlign w:val="superscript"/>
        </w:rPr>
        <w:t>15</w:t>
      </w:r>
      <w:r w:rsidR="005B1E6C" w:rsidRPr="005001D6">
        <w:rPr>
          <w:rFonts w:cstheme="minorHAnsi"/>
        </w:rPr>
        <w:t>N g</w:t>
      </w:r>
      <w:r w:rsidR="005B1E6C" w:rsidRPr="005001D6">
        <w:rPr>
          <w:rFonts w:cstheme="minorHAnsi"/>
          <w:vertAlign w:val="superscript"/>
        </w:rPr>
        <w:t>-1</w:t>
      </w:r>
      <w:r w:rsidR="005B1E6C" w:rsidRPr="005001D6">
        <w:rPr>
          <w:rFonts w:cstheme="minorHAnsi"/>
        </w:rPr>
        <w:t xml:space="preserve">) </w:t>
      </w:r>
      <w:r w:rsidR="000C7D4E" w:rsidRPr="005001D6">
        <w:rPr>
          <w:rFonts w:cstheme="minorHAnsi"/>
        </w:rPr>
        <w:t xml:space="preserve">and the mass of each </w:t>
      </w:r>
      <w:r w:rsidR="00FF14B7" w:rsidRPr="005001D6">
        <w:rPr>
          <w:rFonts w:cstheme="minorHAnsi"/>
        </w:rPr>
        <w:t>component</w:t>
      </w:r>
      <w:r w:rsidR="005B1E6C" w:rsidRPr="005001D6">
        <w:rPr>
          <w:rFonts w:cstheme="minorHAnsi"/>
        </w:rPr>
        <w:t xml:space="preserve"> (g)</w:t>
      </w:r>
      <w:r w:rsidR="000C7D4E" w:rsidRPr="005001D6">
        <w:rPr>
          <w:rFonts w:cstheme="minorHAnsi"/>
        </w:rPr>
        <w:t xml:space="preserve"> were used to calculate total </w:t>
      </w:r>
      <w:r w:rsidR="000C7D4E" w:rsidRPr="005001D6">
        <w:rPr>
          <w:rFonts w:cstheme="minorHAnsi"/>
          <w:vertAlign w:val="superscript"/>
        </w:rPr>
        <w:t>15</w:t>
      </w:r>
      <w:r w:rsidR="000C7D4E" w:rsidRPr="005001D6">
        <w:rPr>
          <w:rFonts w:cstheme="minorHAnsi"/>
        </w:rPr>
        <w:t xml:space="preserve">N recovered </w:t>
      </w:r>
      <w:r w:rsidR="00FF14B7" w:rsidRPr="005001D6">
        <w:rPr>
          <w:rFonts w:cstheme="minorHAnsi"/>
        </w:rPr>
        <w:t>(</w:t>
      </w:r>
      <w:r w:rsidR="000C7D4E" w:rsidRPr="005001D6">
        <w:rPr>
          <w:rFonts w:cstheme="minorHAnsi"/>
        </w:rPr>
        <w:t xml:space="preserve">as a percentage of total </w:t>
      </w:r>
      <w:r w:rsidR="000C7D4E" w:rsidRPr="005001D6">
        <w:rPr>
          <w:rFonts w:cstheme="minorHAnsi"/>
          <w:vertAlign w:val="superscript"/>
        </w:rPr>
        <w:t>15</w:t>
      </w:r>
      <w:r w:rsidR="000C7D4E" w:rsidRPr="005001D6">
        <w:rPr>
          <w:rFonts w:cstheme="minorHAnsi"/>
        </w:rPr>
        <w:t>N added</w:t>
      </w:r>
      <w:r w:rsidR="00FF14B7" w:rsidRPr="005001D6">
        <w:rPr>
          <w:rFonts w:cstheme="minorHAnsi"/>
        </w:rPr>
        <w:t>)</w:t>
      </w:r>
      <w:r w:rsidR="000C7D4E" w:rsidRPr="005001D6">
        <w:rPr>
          <w:rFonts w:cstheme="minorHAnsi"/>
        </w:rPr>
        <w:t xml:space="preserve">. </w:t>
      </w:r>
      <w:r w:rsidRPr="005001D6">
        <w:rPr>
          <w:rFonts w:cstheme="minorHAnsi"/>
        </w:rPr>
        <w:t>Natural abundance</w:t>
      </w:r>
      <w:r w:rsidR="00CE28BD" w:rsidRPr="005001D6">
        <w:rPr>
          <w:rFonts w:cstheme="minorHAnsi"/>
        </w:rPr>
        <w:t xml:space="preserve"> values of</w:t>
      </w:r>
      <w:r w:rsidRPr="005001D6">
        <w:rPr>
          <w:rFonts w:cstheme="minorHAnsi"/>
        </w:rPr>
        <w:t xml:space="preserve"> δ</w:t>
      </w:r>
      <w:r w:rsidRPr="005001D6">
        <w:rPr>
          <w:vertAlign w:val="superscript"/>
        </w:rPr>
        <w:t>15</w:t>
      </w:r>
      <w:r w:rsidRPr="005001D6">
        <w:t xml:space="preserve">N were calculated separately for each </w:t>
      </w:r>
      <w:r w:rsidR="00880061" w:rsidRPr="005001D6">
        <w:t xml:space="preserve">snow cover and vegetation </w:t>
      </w:r>
      <w:r w:rsidRPr="005001D6">
        <w:t>treatment combination from the corresponding subplots that received the unlabelled control solution</w:t>
      </w:r>
      <w:r w:rsidRPr="005001D6">
        <w:rPr>
          <w:rFonts w:cstheme="minorHAnsi"/>
        </w:rPr>
        <w:t>.</w:t>
      </w:r>
      <w:r w:rsidR="00CD7058" w:rsidRPr="005001D6">
        <w:rPr>
          <w:rFonts w:cstheme="minorHAnsi"/>
        </w:rPr>
        <w:t xml:space="preserve"> We also assessed how differences in isotope dilution within soil N pools affected </w:t>
      </w:r>
      <w:r w:rsidR="00CD7058" w:rsidRPr="005001D6">
        <w:rPr>
          <w:rFonts w:cstheme="minorHAnsi"/>
          <w:vertAlign w:val="superscript"/>
        </w:rPr>
        <w:t>15</w:t>
      </w:r>
      <w:r w:rsidR="00CD7058" w:rsidRPr="005001D6">
        <w:rPr>
          <w:rFonts w:cstheme="minorHAnsi"/>
        </w:rPr>
        <w:t xml:space="preserve">N uptake by scaling </w:t>
      </w:r>
      <w:r w:rsidR="00CD7058" w:rsidRPr="005001D6">
        <w:rPr>
          <w:rFonts w:cstheme="minorHAnsi"/>
          <w:vertAlign w:val="superscript"/>
        </w:rPr>
        <w:t>15</w:t>
      </w:r>
      <w:r w:rsidR="00CD7058" w:rsidRPr="005001D6">
        <w:rPr>
          <w:rFonts w:cstheme="minorHAnsi"/>
        </w:rPr>
        <w:t xml:space="preserve">N excess values recorded within plant and </w:t>
      </w:r>
      <w:r w:rsidR="00CD7058" w:rsidRPr="005001D6">
        <w:rPr>
          <w:rFonts w:cstheme="minorHAnsi"/>
        </w:rPr>
        <w:lastRenderedPageBreak/>
        <w:t>microbial biomass based on the size of the target N pool</w:t>
      </w:r>
      <w:r w:rsidR="00FF14B7" w:rsidRPr="005001D6">
        <w:rPr>
          <w:rFonts w:cstheme="minorHAnsi"/>
        </w:rPr>
        <w:t xml:space="preserve"> within the corresponding plot</w:t>
      </w:r>
      <w:r w:rsidR="00675574" w:rsidRPr="005001D6">
        <w:rPr>
          <w:rFonts w:cstheme="minorHAnsi"/>
        </w:rPr>
        <w:t>,</w:t>
      </w:r>
      <w:r w:rsidR="00CD7058" w:rsidRPr="005001D6">
        <w:rPr>
          <w:rFonts w:cstheme="minorHAnsi"/>
        </w:rPr>
        <w:t xml:space="preserve"> </w:t>
      </w:r>
      <w:r w:rsidR="007D57F7" w:rsidRPr="005001D6">
        <w:rPr>
          <w:rFonts w:cstheme="minorHAnsi"/>
        </w:rPr>
        <w:t xml:space="preserve">as described in </w:t>
      </w:r>
      <w:r w:rsidR="00CD7058" w:rsidRPr="005001D6">
        <w:rPr>
          <w:rFonts w:cstheme="minorHAnsi"/>
        </w:rPr>
        <w:fldChar w:fldCharType="begin" w:fldLock="1"/>
      </w:r>
      <w:r w:rsidR="00675574" w:rsidRPr="005001D6">
        <w:rPr>
          <w:rFonts w:cstheme="minorHAnsi"/>
        </w:rPr>
        <w:instrText>ADDIN CSL_CITATION {"citationItems":[{"id":"ITEM-1","itemData":{"DOI":"10.1038/415068a","ISSN":"0028-0836","author":[{"dropping-particle":"","family":"McKane","given":"Robert B.","non-dropping-particle":"","parse-names":false,"suffix":""},{"dropping-particle":"","family":"Johnson","given":"Loretta C","non-dropping-particle":"","parse-names":false,"suffix":""},{"dropping-particle":"","family":"Shaver","given":"Gaius R","non-dropping-particle":"","parse-names":false,"suffix":""},{"dropping-particle":"","family":"Nadelhoffer","given":"Knute J","non-dropping-particle":"","parse-names":false,"suffix":""},{"dropping-particle":"","family":"Rastetter","given":"Edward B","non-dropping-particle":"","parse-names":false,"suffix":""},{"dropping-particle":"","family":"Fry","given":"Brian","non-dropping-particle":"","parse-names":false,"suffix":""},{"dropping-particle":"","family":"Giblin","given":"Anne E","non-dropping-particle":"","parse-names":false,"suffix":""},{"dropping-particle":"","family":"Kielland","given":"Knut","non-dropping-particle":"","parse-names":false,"suffix":""},{"dropping-particle":"","family":"Kwiatkowski","given":"Bonnie L","non-dropping-particle":"","parse-names":false,"suffix":""},{"dropping-particle":"","family":"Laundre","given":"James A","non-dropping-particle":"","parse-names":false,"suffix":""},{"dropping-particle":"","family":"Murray","given":"Georgia","non-dropping-particle":"","parse-names":false,"suffix":""}],"container-title":"Nature","id":"ITEM-1","issue":"6867","issued":{"date-parts":[["2002","1"]]},"page":"68-71","title":"Resource-based niches provide a basis for plant species diversity and dominance in arctic tundra","type":"article-journal","volume":"415"},"uris":["http://www.mendeley.com/documents/?uuid=63bd16ad-0c21-4cfd-ae79-1bf465d3fc49"]}],"mendeley":{"formattedCitation":"(McKane &lt;i&gt;et al.&lt;/i&gt; 2002)","manualFormatting":"McKane et al. (2002)","plainTextFormattedCitation":"(McKane et al. 2002)","previouslyFormattedCitation":"(McKane &lt;i&gt;et al.&lt;/i&gt; 2002)"},"properties":{"noteIndex":0},"schema":"https://github.com/citation-style-language/schema/raw/master/csl-citation.json"}</w:instrText>
      </w:r>
      <w:r w:rsidR="00CD7058" w:rsidRPr="005001D6">
        <w:rPr>
          <w:rFonts w:cstheme="minorHAnsi"/>
        </w:rPr>
        <w:fldChar w:fldCharType="separate"/>
      </w:r>
      <w:r w:rsidR="00627DCC" w:rsidRPr="005001D6">
        <w:rPr>
          <w:rFonts w:cstheme="minorHAnsi"/>
          <w:noProof/>
        </w:rPr>
        <w:t xml:space="preserve">McKane </w:t>
      </w:r>
      <w:r w:rsidR="00627DCC" w:rsidRPr="005001D6">
        <w:rPr>
          <w:rFonts w:cstheme="minorHAnsi"/>
          <w:i/>
          <w:noProof/>
        </w:rPr>
        <w:t>et al.</w:t>
      </w:r>
      <w:r w:rsidR="00627DCC" w:rsidRPr="005001D6">
        <w:rPr>
          <w:rFonts w:cstheme="minorHAnsi"/>
          <w:noProof/>
        </w:rPr>
        <w:t xml:space="preserve"> </w:t>
      </w:r>
      <w:r w:rsidR="00675574" w:rsidRPr="005001D6">
        <w:rPr>
          <w:rFonts w:cstheme="minorHAnsi"/>
          <w:noProof/>
        </w:rPr>
        <w:t>(</w:t>
      </w:r>
      <w:r w:rsidR="00627DCC" w:rsidRPr="005001D6">
        <w:rPr>
          <w:rFonts w:cstheme="minorHAnsi"/>
          <w:noProof/>
        </w:rPr>
        <w:t>2002)</w:t>
      </w:r>
      <w:r w:rsidR="00CD7058" w:rsidRPr="005001D6">
        <w:rPr>
          <w:rFonts w:cstheme="minorHAnsi"/>
        </w:rPr>
        <w:fldChar w:fldCharType="end"/>
      </w:r>
      <w:r w:rsidR="00CD7058" w:rsidRPr="005001D6">
        <w:rPr>
          <w:rFonts w:cstheme="minorHAnsi"/>
        </w:rPr>
        <w:t>.</w:t>
      </w:r>
    </w:p>
    <w:p w14:paraId="1B2444FD" w14:textId="77777777" w:rsidR="00874512" w:rsidRPr="005001D6" w:rsidRDefault="00874512" w:rsidP="00173FAF">
      <w:pPr>
        <w:spacing w:line="480" w:lineRule="auto"/>
        <w:jc w:val="both"/>
        <w:rPr>
          <w:rFonts w:cstheme="minorHAnsi"/>
          <w:i/>
        </w:rPr>
      </w:pPr>
    </w:p>
    <w:p w14:paraId="3E24DE43" w14:textId="742DC67B" w:rsidR="00AF5258" w:rsidRPr="005001D6" w:rsidRDefault="00AF5258" w:rsidP="00173FAF">
      <w:pPr>
        <w:spacing w:line="480" w:lineRule="auto"/>
        <w:jc w:val="both"/>
        <w:rPr>
          <w:rFonts w:cstheme="minorHAnsi"/>
          <w:i/>
        </w:rPr>
      </w:pPr>
      <w:r w:rsidRPr="005001D6">
        <w:rPr>
          <w:rFonts w:cstheme="minorHAnsi"/>
          <w:i/>
        </w:rPr>
        <w:t>Statistical analysis</w:t>
      </w:r>
    </w:p>
    <w:p w14:paraId="28CF107A" w14:textId="1BD9A220" w:rsidR="00A0156A" w:rsidRPr="005001D6" w:rsidRDefault="00472274" w:rsidP="00173FAF">
      <w:pPr>
        <w:spacing w:line="480" w:lineRule="auto"/>
        <w:jc w:val="both"/>
        <w:rPr>
          <w:rFonts w:cstheme="minorHAnsi"/>
        </w:rPr>
      </w:pPr>
      <w:r w:rsidRPr="005001D6">
        <w:rPr>
          <w:rFonts w:cstheme="minorHAnsi"/>
        </w:rPr>
        <w:t xml:space="preserve">To test the effects of snowmelt timing and shrub expansion in the </w:t>
      </w:r>
      <w:r w:rsidR="00CE28BD" w:rsidRPr="005001D6">
        <w:rPr>
          <w:rFonts w:cstheme="minorHAnsi"/>
        </w:rPr>
        <w:t xml:space="preserve">landscape-scale </w:t>
      </w:r>
      <w:r w:rsidRPr="005001D6">
        <w:rPr>
          <w:rFonts w:cstheme="minorHAnsi"/>
        </w:rPr>
        <w:t xml:space="preserve">experiment we used linear mixed effects models (LMMs) with </w:t>
      </w:r>
      <w:r w:rsidR="00AF5258" w:rsidRPr="005001D6">
        <w:rPr>
          <w:rFonts w:cstheme="minorHAnsi"/>
        </w:rPr>
        <w:t>snowmelt timing</w:t>
      </w:r>
      <w:r w:rsidRPr="005001D6">
        <w:rPr>
          <w:rFonts w:cstheme="minorHAnsi"/>
        </w:rPr>
        <w:t>, vegetation</w:t>
      </w:r>
      <w:r w:rsidR="008F60F3" w:rsidRPr="005001D6">
        <w:rPr>
          <w:rFonts w:cstheme="minorHAnsi"/>
        </w:rPr>
        <w:t xml:space="preserve"> treatments</w:t>
      </w:r>
      <w:r w:rsidRPr="005001D6">
        <w:rPr>
          <w:rFonts w:cstheme="minorHAnsi"/>
        </w:rPr>
        <w:t>,</w:t>
      </w:r>
      <w:r w:rsidR="00AF5258" w:rsidRPr="005001D6">
        <w:rPr>
          <w:rFonts w:cstheme="minorHAnsi"/>
        </w:rPr>
        <w:t xml:space="preserve"> and their interaction</w:t>
      </w:r>
      <w:r w:rsidRPr="005001D6">
        <w:rPr>
          <w:rFonts w:cstheme="minorHAnsi"/>
        </w:rPr>
        <w:t xml:space="preserve">, as fixed effects, and block nested in site as random effects. To test the effects of reduced snow cover and shrub expansion in the </w:t>
      </w:r>
      <w:r w:rsidR="008F60F3" w:rsidRPr="005001D6">
        <w:rPr>
          <w:rFonts w:cstheme="minorHAnsi"/>
        </w:rPr>
        <w:t xml:space="preserve">snow </w:t>
      </w:r>
      <w:r w:rsidRPr="005001D6">
        <w:rPr>
          <w:rFonts w:cstheme="minorHAnsi"/>
        </w:rPr>
        <w:t>manipulati</w:t>
      </w:r>
      <w:r w:rsidR="008F60F3" w:rsidRPr="005001D6">
        <w:rPr>
          <w:rFonts w:cstheme="minorHAnsi"/>
        </w:rPr>
        <w:t>on</w:t>
      </w:r>
      <w:r w:rsidRPr="005001D6">
        <w:rPr>
          <w:rFonts w:cstheme="minorHAnsi"/>
        </w:rPr>
        <w:t xml:space="preserve"> experiment</w:t>
      </w:r>
      <w:r w:rsidR="008F60F3" w:rsidRPr="005001D6">
        <w:rPr>
          <w:rFonts w:cstheme="minorHAnsi"/>
        </w:rPr>
        <w:t>,</w:t>
      </w:r>
      <w:r w:rsidRPr="005001D6">
        <w:rPr>
          <w:rFonts w:cstheme="minorHAnsi"/>
        </w:rPr>
        <w:t xml:space="preserve"> we used LMMs with snow manipulation</w:t>
      </w:r>
      <w:r w:rsidR="008F60F3" w:rsidRPr="005001D6">
        <w:rPr>
          <w:rFonts w:cstheme="minorHAnsi"/>
        </w:rPr>
        <w:t xml:space="preserve"> treatments</w:t>
      </w:r>
      <w:r w:rsidRPr="005001D6">
        <w:rPr>
          <w:rFonts w:cstheme="minorHAnsi"/>
        </w:rPr>
        <w:t>, vegetation</w:t>
      </w:r>
      <w:r w:rsidR="008F60F3" w:rsidRPr="005001D6">
        <w:rPr>
          <w:rFonts w:cstheme="minorHAnsi"/>
        </w:rPr>
        <w:t xml:space="preserve"> treatments</w:t>
      </w:r>
      <w:r w:rsidR="00341F79" w:rsidRPr="005001D6">
        <w:rPr>
          <w:rFonts w:cstheme="minorHAnsi"/>
        </w:rPr>
        <w:t>, and their interaction,</w:t>
      </w:r>
      <w:r w:rsidRPr="005001D6">
        <w:rPr>
          <w:rFonts w:cstheme="minorHAnsi"/>
        </w:rPr>
        <w:t xml:space="preserve"> as fixed effects, and block as a random effect. To test the effects </w:t>
      </w:r>
      <w:r w:rsidR="008F60F3" w:rsidRPr="005001D6">
        <w:rPr>
          <w:rFonts w:cstheme="minorHAnsi"/>
        </w:rPr>
        <w:t xml:space="preserve">of </w:t>
      </w:r>
      <w:r w:rsidRPr="005001D6">
        <w:rPr>
          <w:rFonts w:cstheme="minorHAnsi"/>
        </w:rPr>
        <w:t>reduced snow cover and shrub expansion on plant-</w:t>
      </w:r>
      <w:r w:rsidR="004B62B9" w:rsidRPr="005001D6">
        <w:rPr>
          <w:rFonts w:cstheme="minorHAnsi"/>
        </w:rPr>
        <w:t>microbial</w:t>
      </w:r>
      <w:r w:rsidRPr="005001D6">
        <w:rPr>
          <w:rFonts w:cstheme="minorHAnsi"/>
        </w:rPr>
        <w:t xml:space="preserve"> competition for </w:t>
      </w:r>
      <w:r w:rsidR="008F60F3" w:rsidRPr="005001D6">
        <w:rPr>
          <w:rFonts w:cstheme="minorHAnsi"/>
        </w:rPr>
        <w:t xml:space="preserve">different forms of </w:t>
      </w:r>
      <w:r w:rsidRPr="005001D6">
        <w:rPr>
          <w:rFonts w:cstheme="minorHAnsi"/>
        </w:rPr>
        <w:t>N</w:t>
      </w:r>
      <w:r w:rsidR="008F60F3" w:rsidRPr="005001D6">
        <w:rPr>
          <w:rFonts w:cstheme="minorHAnsi"/>
        </w:rPr>
        <w:t xml:space="preserve"> (i.e., inorganic-N or organic-N) </w:t>
      </w:r>
      <w:r w:rsidRPr="005001D6">
        <w:rPr>
          <w:rFonts w:cstheme="minorHAnsi"/>
        </w:rPr>
        <w:t xml:space="preserve">following stable isotope labelling, we </w:t>
      </w:r>
      <w:r w:rsidR="008F60F3" w:rsidRPr="005001D6">
        <w:rPr>
          <w:rFonts w:cstheme="minorHAnsi"/>
        </w:rPr>
        <w:t>used LMMs with snow manipulation treatments, vegetation treatments, N-form treatments, and their interactions, as fixed effects</w:t>
      </w:r>
      <w:r w:rsidR="004B62B9" w:rsidRPr="005001D6">
        <w:rPr>
          <w:rFonts w:cstheme="minorHAnsi"/>
        </w:rPr>
        <w:t>,</w:t>
      </w:r>
      <w:r w:rsidRPr="005001D6">
        <w:rPr>
          <w:rFonts w:cstheme="minorHAnsi"/>
        </w:rPr>
        <w:t xml:space="preserve"> and</w:t>
      </w:r>
      <w:r w:rsidR="004B62B9" w:rsidRPr="005001D6">
        <w:rPr>
          <w:rFonts w:cstheme="minorHAnsi"/>
        </w:rPr>
        <w:t xml:space="preserve"> plot</w:t>
      </w:r>
      <w:r w:rsidR="008F60F3" w:rsidRPr="005001D6">
        <w:rPr>
          <w:rFonts w:cstheme="minorHAnsi"/>
        </w:rPr>
        <w:t xml:space="preserve"> nested in block</w:t>
      </w:r>
      <w:r w:rsidR="004B62B9" w:rsidRPr="005001D6">
        <w:rPr>
          <w:rFonts w:cstheme="minorHAnsi"/>
        </w:rPr>
        <w:t xml:space="preserve"> as </w:t>
      </w:r>
      <w:r w:rsidRPr="005001D6">
        <w:rPr>
          <w:rFonts w:cstheme="minorHAnsi"/>
        </w:rPr>
        <w:t>random effect</w:t>
      </w:r>
      <w:r w:rsidR="008F60F3" w:rsidRPr="005001D6">
        <w:rPr>
          <w:rFonts w:cstheme="minorHAnsi"/>
        </w:rPr>
        <w:t>s</w:t>
      </w:r>
      <w:r w:rsidRPr="005001D6">
        <w:rPr>
          <w:rFonts w:cstheme="minorHAnsi"/>
        </w:rPr>
        <w:t xml:space="preserve">. </w:t>
      </w:r>
      <w:r w:rsidR="00341F79" w:rsidRPr="005001D6">
        <w:rPr>
          <w:rFonts w:cstheme="minorHAnsi"/>
        </w:rPr>
        <w:t>LMMs were modelled</w:t>
      </w:r>
      <w:r w:rsidR="00A0156A" w:rsidRPr="005001D6">
        <w:rPr>
          <w:rFonts w:cstheme="minorHAnsi"/>
        </w:rPr>
        <w:t xml:space="preserve"> using</w:t>
      </w:r>
      <w:r w:rsidR="00341F79" w:rsidRPr="005001D6">
        <w:rPr>
          <w:rFonts w:cstheme="minorHAnsi"/>
        </w:rPr>
        <w:t xml:space="preserve"> </w:t>
      </w:r>
      <w:r w:rsidR="00AF5258" w:rsidRPr="005001D6">
        <w:rPr>
          <w:rFonts w:cstheme="minorHAnsi"/>
        </w:rPr>
        <w:t>the R package “</w:t>
      </w:r>
      <w:proofErr w:type="spellStart"/>
      <w:r w:rsidR="00AF5258" w:rsidRPr="005001D6">
        <w:rPr>
          <w:rFonts w:cstheme="minorHAnsi"/>
        </w:rPr>
        <w:t>nlme</w:t>
      </w:r>
      <w:proofErr w:type="spellEnd"/>
      <w:r w:rsidR="00AF5258" w:rsidRPr="005001D6">
        <w:rPr>
          <w:rFonts w:cstheme="minorHAnsi"/>
        </w:rPr>
        <w:t>”</w:t>
      </w:r>
      <w:r w:rsidR="00D74565" w:rsidRPr="005001D6">
        <w:rPr>
          <w:rFonts w:cstheme="minorHAnsi"/>
        </w:rPr>
        <w:t xml:space="preserve"> </w:t>
      </w:r>
      <w:r w:rsidR="00AF5258" w:rsidRPr="005001D6">
        <w:rPr>
          <w:rFonts w:cstheme="minorHAnsi"/>
        </w:rPr>
        <w:fldChar w:fldCharType="begin" w:fldLock="1"/>
      </w:r>
      <w:r w:rsidR="007E795C">
        <w:rPr>
          <w:rFonts w:cstheme="minorHAnsi"/>
        </w:rPr>
        <w:instrText>ADDIN CSL_CITATION {"citationItems":[{"id":"ITEM-1","itemData":{"author":[{"dropping-particle":"","family":"Pinheiro","given":"J.","non-dropping-particle":"","parse-names":false,"suffix":""},{"dropping-particle":"","family":"Bates","given":"D.","non-dropping-particle":"","parse-names":false,"suffix":""},{"dropping-particle":"","family":"DebRoy","given":"S.","non-dropping-particle":"","parse-names":false,"suffix":""},{"dropping-particle":"","family":"Sarkar","given":"D.","non-dropping-particle":"","parse-names":false,"suffix":""},{"dropping-particle":"","family":"Team","given":"R Core","non-dropping-particle":"","parse-names":false,"suffix":""}],"id":"ITEM-1","issued":{"date-parts":[["2020"]]},"page":"R package version 3.1-142","title":"_nlme: Linear and Nonlinear Mixed Effects Models_. R package version 3.1-144, &lt;URL: https://CRAN.R-project.org/package=nlme&gt;.","type":"article"},"uris":["http://www.mendeley.com/documents/?uuid=7fe281dd-c159-44ca-99a2-e32597eeee6e"]}],"mendeley":{"formattedCitation":"(Pinheiro &lt;i&gt;et al.&lt;/i&gt; 2020)","plainTextFormattedCitation":"(Pinheiro et al. 2020)","previouslyFormattedCitation":"(Pinheiro &lt;i&gt;et al.&lt;/i&gt; 2019)"},"properties":{"noteIndex":0},"schema":"https://github.com/citation-style-language/schema/raw/master/csl-citation.json"}</w:instrText>
      </w:r>
      <w:r w:rsidR="00AF5258" w:rsidRPr="005001D6">
        <w:rPr>
          <w:rFonts w:cstheme="minorHAnsi"/>
        </w:rPr>
        <w:fldChar w:fldCharType="separate"/>
      </w:r>
      <w:r w:rsidR="007E795C" w:rsidRPr="007E795C">
        <w:rPr>
          <w:rFonts w:cstheme="minorHAnsi"/>
          <w:noProof/>
        </w:rPr>
        <w:t xml:space="preserve">(Pinheiro </w:t>
      </w:r>
      <w:r w:rsidR="007E795C" w:rsidRPr="007E795C">
        <w:rPr>
          <w:rFonts w:cstheme="minorHAnsi"/>
          <w:i/>
          <w:noProof/>
        </w:rPr>
        <w:t>et al.</w:t>
      </w:r>
      <w:r w:rsidR="007E795C" w:rsidRPr="007E795C">
        <w:rPr>
          <w:rFonts w:cstheme="minorHAnsi"/>
          <w:noProof/>
        </w:rPr>
        <w:t xml:space="preserve"> 2020)</w:t>
      </w:r>
      <w:r w:rsidR="00AF5258" w:rsidRPr="005001D6">
        <w:rPr>
          <w:rFonts w:cstheme="minorHAnsi"/>
        </w:rPr>
        <w:fldChar w:fldCharType="end"/>
      </w:r>
      <w:r w:rsidR="00A0156A" w:rsidRPr="005001D6">
        <w:rPr>
          <w:rFonts w:cstheme="minorHAnsi"/>
        </w:rPr>
        <w:t xml:space="preserve"> and i</w:t>
      </w:r>
      <w:r w:rsidR="00AF5258" w:rsidRPr="005001D6">
        <w:rPr>
          <w:rFonts w:cstheme="minorHAnsi"/>
        </w:rPr>
        <w:t xml:space="preserve">f required following model diagnostic checks, a constant variance structure was applied using the </w:t>
      </w:r>
      <w:proofErr w:type="spellStart"/>
      <w:r w:rsidR="00AF5258" w:rsidRPr="005001D6">
        <w:rPr>
          <w:rFonts w:cstheme="minorHAnsi"/>
          <w:i/>
          <w:iCs/>
        </w:rPr>
        <w:t>varIdent</w:t>
      </w:r>
      <w:proofErr w:type="spellEnd"/>
      <w:r w:rsidR="00AF5258" w:rsidRPr="005001D6">
        <w:rPr>
          <w:rFonts w:cstheme="minorHAnsi"/>
        </w:rPr>
        <w:t xml:space="preserve"> function, or data were log</w:t>
      </w:r>
      <w:r w:rsidR="00AF5258" w:rsidRPr="005001D6">
        <w:rPr>
          <w:rFonts w:cstheme="minorHAnsi"/>
          <w:vertAlign w:val="subscript"/>
        </w:rPr>
        <w:t>10</w:t>
      </w:r>
      <w:r w:rsidR="00AF5258" w:rsidRPr="005001D6">
        <w:rPr>
          <w:rFonts w:cstheme="minorHAnsi"/>
        </w:rPr>
        <w:t xml:space="preserve"> transformed, to meet assumptions of normality and homoscedasticity of model residuals</w:t>
      </w:r>
      <w:r w:rsidR="0007301B" w:rsidRPr="005001D6">
        <w:rPr>
          <w:rFonts w:cstheme="minorHAnsi"/>
        </w:rPr>
        <w:t xml:space="preserve"> </w:t>
      </w:r>
      <w:r w:rsidR="00AF5258" w:rsidRPr="005001D6">
        <w:rPr>
          <w:rFonts w:cstheme="minorHAnsi"/>
        </w:rPr>
        <w:fldChar w:fldCharType="begin" w:fldLock="1"/>
      </w:r>
      <w:r w:rsidR="00361CE6" w:rsidRPr="005001D6">
        <w:rPr>
          <w:rFonts w:cstheme="minorHAnsi"/>
        </w:rPr>
        <w:instrText>ADDIN CSL_CITATION {"citationItems":[{"id":"ITEM-1","itemData":{"author":[{"dropping-particle":"","family":"Zuur","given":"A","non-dropping-particle":"","parse-names":false,"suffix":""},{"dropping-particle":"","family":"Ieno","given":"E. N","non-dropping-particle":"","parse-names":false,"suffix":""},{"dropping-particle":"","family":"Walker","given":"N.","non-dropping-particle":"","parse-names":false,"suffix":""},{"dropping-particle":"","family":"Saveliev","given":"A.A.","non-dropping-particle":"","parse-names":false,"suffix":""},{"dropping-particle":"","family":"Smith","given":"G.M.","non-dropping-particle":"","parse-names":false,"suffix":""}],"id":"ITEM-1","issued":{"date-parts":[["2009"]]},"publisher":"Springer","publisher-place":"New York","title":"Mixed Effects Models and Extensions in Ecology with R.","type":"book"},"uris":["http://www.mendeley.com/documents/?uuid=bce9a29f-94bd-4668-8953-a8dac2de05e3"]},{"id":"ITEM-2","itemData":{"DOI":"10.7717/peerj.4794","ISBN":"6264713708","ISSN":"2167-8359","PMID":"29844961","abstract":"The use of linear mixed effects models (LMMs) is increasingly common in the analysis of biological data. Whilst LMMs offer a flexible approach to modelling a broad range of data types, ecological data are often complex and require complex model structures, and the fitting and interpretation of such models is not always straightforward. The ability to achieve robust biological inference requires that practitioners know how and when to apply these tools. Here, we provide a general overview of current methods for the application of LMMs to biological data, and highlight the typical pitfalls that can be encountered in the statistical modelling process. We tackle several issues regarding methods of model selection, with particular reference to the use of information theory and multi-model inference in ecology. We offer practical solutions and direct the reader to key references that provide further technical detail for those seeking a deeper understanding. This overview should serve as a widely accessible code of best practice for applying LMMs to complex biological problems and model structures, and in doing so improve the robustness of conclusions drawn from studies investigating ecological and evolutionary questions.","author":[{"dropping-particle":"","family":"Harrison","given":"Xavier A.","non-dropping-particle":"","parse-names":false,"suffix":""},{"dropping-particle":"","family":"Donaldson","given":"Lynda","non-dropping-particle":"","parse-names":false,"suffix":""},{"dropping-particle":"","family":"Correa-Cano","given":"Maria Eugenia","non-dropping-particle":"","parse-names":false,"suffix":""},{"dropping-particle":"","family":"Evans","given":"Julian","non-dropping-particle":"","parse-names":false,"suffix":""},{"dropping-particle":"","family":"Fisher","given":"David N.","non-dropping-particle":"","parse-names":false,"suffix":""},{"dropping-particle":"","family":"Goodwin","given":"Cecily E.D.","non-dropping-particle":"","parse-names":false,"suffix":""},{"dropping-particle":"","family":"Robinson","given":"Beth S.","non-dropping-particle":"","parse-names":false,"suffix":""},{"dropping-particle":"","family":"Hodgson","given":"David J.","non-dropping-particle":"","parse-names":false,"suffix":""},{"dropping-particle":"","family":"Inger","given":"Richard","non-dropping-particle":"","parse-names":false,"suffix":""}],"container-title":"PeerJ","id":"ITEM-2","issued":{"date-parts":[["2018"]]},"page":"e4794","title":"A brief introduction to mixed effects modelling and multi-model inference in ecology","type":"article-journal","volume":"6"},"uris":["http://www.mendeley.com/documents/?uuid=37500a99-6f5f-4375-a97a-fdebfe7059fa"]}],"mendeley":{"formattedCitation":"(Zuur &lt;i&gt;et al.&lt;/i&gt; 2009; Harrison &lt;i&gt;et al.&lt;/i&gt; 2018)","plainTextFormattedCitation":"(Zuur et al. 2009; Harrison et al. 2018)","previouslyFormattedCitation":"(Zuur &lt;i&gt;et al.&lt;/i&gt; 2009; Harrison &lt;i&gt;et al.&lt;/i&gt; 2018)"},"properties":{"noteIndex":0},"schema":"https://github.com/citation-style-language/schema/raw/master/csl-citation.json"}</w:instrText>
      </w:r>
      <w:r w:rsidR="00AF5258" w:rsidRPr="005001D6">
        <w:rPr>
          <w:rFonts w:cstheme="minorHAnsi"/>
        </w:rPr>
        <w:fldChar w:fldCharType="separate"/>
      </w:r>
      <w:r w:rsidR="00627DCC" w:rsidRPr="005001D6">
        <w:rPr>
          <w:rFonts w:cstheme="minorHAnsi"/>
          <w:noProof/>
        </w:rPr>
        <w:t xml:space="preserve">(Zuur </w:t>
      </w:r>
      <w:r w:rsidR="00627DCC" w:rsidRPr="005001D6">
        <w:rPr>
          <w:rFonts w:cstheme="minorHAnsi"/>
          <w:i/>
          <w:noProof/>
        </w:rPr>
        <w:t>et al.</w:t>
      </w:r>
      <w:r w:rsidR="00627DCC" w:rsidRPr="005001D6">
        <w:rPr>
          <w:rFonts w:cstheme="minorHAnsi"/>
          <w:noProof/>
        </w:rPr>
        <w:t xml:space="preserve"> 2009; Harrison </w:t>
      </w:r>
      <w:r w:rsidR="00627DCC" w:rsidRPr="005001D6">
        <w:rPr>
          <w:rFonts w:cstheme="minorHAnsi"/>
          <w:i/>
          <w:noProof/>
        </w:rPr>
        <w:t>et al.</w:t>
      </w:r>
      <w:r w:rsidR="00627DCC" w:rsidRPr="005001D6">
        <w:rPr>
          <w:rFonts w:cstheme="minorHAnsi"/>
          <w:noProof/>
        </w:rPr>
        <w:t xml:space="preserve"> 2018)</w:t>
      </w:r>
      <w:r w:rsidR="00AF5258" w:rsidRPr="005001D6">
        <w:rPr>
          <w:rFonts w:cstheme="minorHAnsi"/>
        </w:rPr>
        <w:fldChar w:fldCharType="end"/>
      </w:r>
      <w:r w:rsidR="00AF5258" w:rsidRPr="005001D6">
        <w:rPr>
          <w:rFonts w:cstheme="minorHAnsi"/>
        </w:rPr>
        <w:t xml:space="preserve">. </w:t>
      </w:r>
      <w:r w:rsidR="00A0156A" w:rsidRPr="005001D6">
        <w:rPr>
          <w:rFonts w:cstheme="minorHAnsi"/>
        </w:rPr>
        <w:t>To determine whether fixed effect</w:t>
      </w:r>
      <w:r w:rsidR="007D1893" w:rsidRPr="005001D6">
        <w:rPr>
          <w:rFonts w:cstheme="minorHAnsi"/>
        </w:rPr>
        <w:t>s</w:t>
      </w:r>
      <w:r w:rsidR="00A0156A" w:rsidRPr="005001D6">
        <w:rPr>
          <w:rFonts w:cstheme="minorHAnsi"/>
        </w:rPr>
        <w:t xml:space="preserve"> were significant, </w:t>
      </w:r>
      <w:r w:rsidR="00A0156A" w:rsidRPr="005001D6">
        <w:rPr>
          <w:rFonts w:cstheme="minorHAnsi"/>
          <w:i/>
          <w:iCs/>
        </w:rPr>
        <w:t>p</w:t>
      </w:r>
      <w:r w:rsidR="00AF5258" w:rsidRPr="005001D6">
        <w:rPr>
          <w:rFonts w:cstheme="minorHAnsi"/>
        </w:rPr>
        <w:t xml:space="preserve">-values were calculated using analysis of deviance Wald </w:t>
      </w:r>
      <w:r w:rsidR="00AF5258" w:rsidRPr="005001D6">
        <w:rPr>
          <w:rFonts w:cstheme="minorHAnsi"/>
          <w:i/>
          <w:iCs/>
        </w:rPr>
        <w:t>χ</w:t>
      </w:r>
      <w:r w:rsidR="00AF5258" w:rsidRPr="005001D6">
        <w:rPr>
          <w:rFonts w:cstheme="minorHAnsi"/>
          <w:i/>
          <w:iCs/>
          <w:vertAlign w:val="superscript"/>
        </w:rPr>
        <w:t>2</w:t>
      </w:r>
      <w:r w:rsidR="00AF5258" w:rsidRPr="005001D6">
        <w:rPr>
          <w:rFonts w:cstheme="minorHAnsi"/>
        </w:rPr>
        <w:t xml:space="preserve"> tests via the </w:t>
      </w:r>
      <w:proofErr w:type="spellStart"/>
      <w:r w:rsidR="00AF5258" w:rsidRPr="005001D6">
        <w:rPr>
          <w:rFonts w:cstheme="minorHAnsi"/>
          <w:i/>
        </w:rPr>
        <w:t>Anova</w:t>
      </w:r>
      <w:proofErr w:type="spellEnd"/>
      <w:r w:rsidR="00AF5258" w:rsidRPr="005001D6">
        <w:rPr>
          <w:rFonts w:cstheme="minorHAnsi"/>
        </w:rPr>
        <w:t xml:space="preserve"> function from the R package “car”</w:t>
      </w:r>
      <w:r w:rsidR="00D74565" w:rsidRPr="005001D6">
        <w:rPr>
          <w:rFonts w:cstheme="minorHAnsi"/>
        </w:rPr>
        <w:t xml:space="preserve"> </w:t>
      </w:r>
      <w:r w:rsidR="00AF5258" w:rsidRPr="005001D6">
        <w:rPr>
          <w:rFonts w:cstheme="minorHAnsi"/>
        </w:rPr>
        <w:fldChar w:fldCharType="begin" w:fldLock="1"/>
      </w:r>
      <w:r w:rsidR="00361CE6" w:rsidRPr="005001D6">
        <w:rPr>
          <w:rFonts w:cstheme="minorHAnsi"/>
        </w:rPr>
        <w:instrText>ADDIN CSL_CITATION {"citationItems":[{"id":"ITEM-1","itemData":{"author":[{"dropping-particle":"","family":"Fox","given":"John","non-dropping-particle":"","parse-names":false,"suffix":""},{"dropping-particle":"","family":"Weisberg","given":"Sanford","non-dropping-particle":"","parse-names":false,"suffix":""}],"edition":"Third edit","id":"ITEM-1","issued":{"date-parts":[["2019"]]},"number-of-pages":"195","publisher":"Sage publications, Inc.","publisher-place":"Thousand Oaks CA","title":"An R Companion to Applied Regression","type":"book"},"uris":["http://www.mendeley.com/documents/?uuid=901f7d5a-6ae4-43af-81d3-dbf3c9b6d9c5"]}],"mendeley":{"formattedCitation":"(Fox &amp; Weisberg 2019)","plainTextFormattedCitation":"(Fox &amp; Weisberg 2019)","previouslyFormattedCitation":"(Fox &amp; Weisberg 2019)"},"properties":{"noteIndex":0},"schema":"https://github.com/citation-style-language/schema/raw/master/csl-citation.json"}</w:instrText>
      </w:r>
      <w:r w:rsidR="00AF5258" w:rsidRPr="005001D6">
        <w:rPr>
          <w:rFonts w:cstheme="minorHAnsi"/>
        </w:rPr>
        <w:fldChar w:fldCharType="separate"/>
      </w:r>
      <w:r w:rsidR="00627DCC" w:rsidRPr="005001D6">
        <w:rPr>
          <w:rFonts w:cstheme="minorHAnsi"/>
          <w:noProof/>
        </w:rPr>
        <w:t>(Fox &amp; Weisberg 2019)</w:t>
      </w:r>
      <w:r w:rsidR="00AF5258" w:rsidRPr="005001D6">
        <w:rPr>
          <w:rFonts w:cstheme="minorHAnsi"/>
        </w:rPr>
        <w:fldChar w:fldCharType="end"/>
      </w:r>
      <w:r w:rsidR="00AF5258" w:rsidRPr="005001D6">
        <w:rPr>
          <w:rFonts w:cstheme="minorHAnsi"/>
        </w:rPr>
        <w:t xml:space="preserve">. </w:t>
      </w:r>
      <w:r w:rsidR="00AF5258" w:rsidRPr="005001D6">
        <w:rPr>
          <w:rFonts w:cstheme="minorHAnsi"/>
          <w:i/>
          <w:iCs/>
        </w:rPr>
        <w:t>P</w:t>
      </w:r>
      <w:r w:rsidR="00AF5258" w:rsidRPr="005001D6">
        <w:rPr>
          <w:rFonts w:cstheme="minorHAnsi"/>
        </w:rPr>
        <w:t xml:space="preserve"> values were adjusted for multiple tests using the “</w:t>
      </w:r>
      <w:proofErr w:type="spellStart"/>
      <w:r w:rsidR="00AF5258" w:rsidRPr="005001D6">
        <w:rPr>
          <w:rFonts w:cstheme="minorHAnsi"/>
        </w:rPr>
        <w:t>Benjamini</w:t>
      </w:r>
      <w:proofErr w:type="spellEnd"/>
      <w:r w:rsidR="00AF5258" w:rsidRPr="005001D6">
        <w:rPr>
          <w:rFonts w:cstheme="minorHAnsi"/>
        </w:rPr>
        <w:t>-Hochberg (BH)” adjustment</w:t>
      </w:r>
      <w:r w:rsidR="0007301B" w:rsidRPr="005001D6">
        <w:rPr>
          <w:rFonts w:cstheme="minorHAnsi"/>
        </w:rPr>
        <w:t xml:space="preserve"> </w:t>
      </w:r>
      <w:r w:rsidR="00AF5258" w:rsidRPr="005001D6">
        <w:rPr>
          <w:rFonts w:cstheme="minorHAnsi"/>
        </w:rPr>
        <w:fldChar w:fldCharType="begin" w:fldLock="1"/>
      </w:r>
      <w:r w:rsidR="00361CE6" w:rsidRPr="005001D6">
        <w:rPr>
          <w:rFonts w:cstheme="minorHAnsi"/>
        </w:rPr>
        <w:instrText>ADDIN CSL_CITATION {"citationItems":[{"id":"ITEM-1","itemData":{"DOI":"https://www.jstor.org/stable/2346101","author":[{"dropping-particle":"","family":"Benjamini","given":"Y.","non-dropping-particle":"","parse-names":false,"suffix":""},{"dropping-particle":"","family":"Hochberg","given":"Y.","non-dropping-particle":"","parse-names":false,"suffix":""}],"container-title":"Journal of the Royal Statistical Society","id":"ITEM-1","issue":"1","issued":{"date-parts":[["1995"]]},"title":"Controlling the False Discovery Rate : A Practical and Powerful Approach to Multiple Testing","type":"article-journal","volume":"57"},"uris":["http://www.mendeley.com/documents/?uuid=3272b73d-87da-40f4-8116-68388944bf59"]},{"id":"ITEM-2","itemData":{"DOI":"10.22074/cellj.2019.5992","ISSN":"22285814","abstract":"Currently, numerous papers are published reporting analysis of biological data at different omics levels by making statistical inferences. Of note, many studies, as those published in this Journal, report association of gene(s) at the genomic and transcriptomic levels by undertaking appropriate statistical tests. For instance, genotype, allele or haplotype frequencies at the genomic level or normalized expression levels at the transcriptomic level are compared between the case and control groups using the Chi-square/Fisher’s exact test or independent (i.e. two-sampled) t-test respectively, with this culminating into a single numeric, namely the P value (or the degree of the false positive rate), which is used to make or break the outcome of the association test. This approach has flaws but nevertheless remains a standard and convenient approach in association studies. However, what becomes a critical issue is that the same cut-off is used when ‘multiple’ tests are undertaken on the same case-control (or any pairwise) comparison. Here, in brevity, we present what the P value represents, and why and when it should be adjusted. We also show, with worked examples, how to adjust P values for multiple testing in the R environment for statistical computing (http://www.R-project.org).","author":[{"dropping-particle":"","family":"Jafari","given":"Mohieddin","non-dropping-particle":"","parse-names":false,"suffix":""},{"dropping-particle":"","family":"Ansari-Pour","given":"Naser","non-dropping-particle":"","parse-names":false,"suffix":""}],"container-title":"Cell Journal","id":"ITEM-2","issue":"4","issued":{"date-parts":[["2019"]]},"page":"604-607","title":"Why, when and how to adjust your P values?","type":"article-journal","volume":"20"},"uris":["http://www.mendeley.com/documents/?uuid=d8623caf-6d95-41cd-84bd-39f64863363b"]}],"mendeley":{"formattedCitation":"(Benjamini &amp; Hochberg 1995; Jafari &amp; Ansari-Pour 2019)","plainTextFormattedCitation":"(Benjamini &amp; Hochberg 1995; Jafari &amp; Ansari-Pour 2019)","previouslyFormattedCitation":"(Benjamini &amp; Hochberg 1995; Jafari &amp; Ansari-Pour 2019)"},"properties":{"noteIndex":0},"schema":"https://github.com/citation-style-language/schema/raw/master/csl-citation.json"}</w:instrText>
      </w:r>
      <w:r w:rsidR="00AF5258" w:rsidRPr="005001D6">
        <w:rPr>
          <w:rFonts w:cstheme="minorHAnsi"/>
        </w:rPr>
        <w:fldChar w:fldCharType="separate"/>
      </w:r>
      <w:r w:rsidR="00627DCC" w:rsidRPr="005001D6">
        <w:rPr>
          <w:rFonts w:cstheme="minorHAnsi"/>
          <w:noProof/>
        </w:rPr>
        <w:t>(Benjamini &amp; Hochberg 1995; Jafari &amp; Ansari-Pour 2019)</w:t>
      </w:r>
      <w:r w:rsidR="00AF5258" w:rsidRPr="005001D6">
        <w:rPr>
          <w:rFonts w:cstheme="minorHAnsi"/>
        </w:rPr>
        <w:fldChar w:fldCharType="end"/>
      </w:r>
      <w:r w:rsidR="00AF5258" w:rsidRPr="005001D6">
        <w:rPr>
          <w:rFonts w:cstheme="minorHAnsi"/>
        </w:rPr>
        <w:t xml:space="preserve"> for microbial community composition (i.e., bacterial and fungal families, and PLFA analyses); absolute and specific enzymes activities; and biogeochemical and physical soil properties, due to </w:t>
      </w:r>
      <w:r w:rsidR="00A0156A" w:rsidRPr="005001D6">
        <w:rPr>
          <w:rFonts w:cstheme="minorHAnsi"/>
        </w:rPr>
        <w:t>multiple</w:t>
      </w:r>
      <w:r w:rsidR="00AF5258" w:rsidRPr="005001D6">
        <w:rPr>
          <w:rFonts w:cstheme="minorHAnsi"/>
        </w:rPr>
        <w:t xml:space="preserve"> comparisons. </w:t>
      </w:r>
      <w:r w:rsidR="00A0156A" w:rsidRPr="005001D6">
        <w:rPr>
          <w:rFonts w:cstheme="minorHAnsi"/>
        </w:rPr>
        <w:t>If a fixed effect that had more than two levels (i.e., the vegetation treatment or any interaction) was significant (</w:t>
      </w:r>
      <w:r w:rsidR="00A0156A" w:rsidRPr="005001D6">
        <w:rPr>
          <w:rFonts w:cstheme="minorHAnsi"/>
          <w:i/>
          <w:iCs/>
        </w:rPr>
        <w:t>p</w:t>
      </w:r>
      <w:r w:rsidR="00A0156A" w:rsidRPr="005001D6">
        <w:rPr>
          <w:rFonts w:cstheme="minorHAnsi"/>
        </w:rPr>
        <w:t xml:space="preserve"> &lt; 0.05), then differences between estimated marginal means of the relevant treatments were tested for </w:t>
      </w:r>
      <w:r w:rsidR="00A0156A" w:rsidRPr="005001D6">
        <w:rPr>
          <w:rFonts w:cstheme="minorHAnsi"/>
        </w:rPr>
        <w:lastRenderedPageBreak/>
        <w:t>significance (</w:t>
      </w:r>
      <w:r w:rsidR="00A0156A" w:rsidRPr="005001D6">
        <w:rPr>
          <w:rFonts w:cstheme="minorHAnsi"/>
          <w:i/>
          <w:iCs/>
        </w:rPr>
        <w:t>p</w:t>
      </w:r>
      <w:r w:rsidR="00A0156A" w:rsidRPr="005001D6">
        <w:rPr>
          <w:rFonts w:cstheme="minorHAnsi"/>
        </w:rPr>
        <w:t xml:space="preserve"> &lt; 0.05) with a Tukey HSD post-hoc test, using the “</w:t>
      </w:r>
      <w:proofErr w:type="spellStart"/>
      <w:r w:rsidR="00A0156A" w:rsidRPr="005001D6">
        <w:rPr>
          <w:rFonts w:cstheme="minorHAnsi"/>
        </w:rPr>
        <w:t>emmeans</w:t>
      </w:r>
      <w:proofErr w:type="spellEnd"/>
      <w:r w:rsidR="00A0156A" w:rsidRPr="005001D6">
        <w:rPr>
          <w:rFonts w:cstheme="minorHAnsi"/>
        </w:rPr>
        <w:t>” R package</w:t>
      </w:r>
      <w:r w:rsidR="0007301B" w:rsidRPr="005001D6">
        <w:rPr>
          <w:rFonts w:cstheme="minorHAnsi"/>
        </w:rPr>
        <w:t xml:space="preserve"> </w:t>
      </w:r>
      <w:r w:rsidR="00741CB4" w:rsidRPr="005001D6">
        <w:rPr>
          <w:rFonts w:cstheme="minorHAnsi"/>
        </w:rPr>
        <w:fldChar w:fldCharType="begin" w:fldLock="1"/>
      </w:r>
      <w:r w:rsidR="00361CE6" w:rsidRPr="005001D6">
        <w:rPr>
          <w:rFonts w:cstheme="minorHAnsi"/>
        </w:rPr>
        <w:instrText>ADDIN CSL_CITATION {"citationItems":[{"id":"ITEM-1","itemData":{"author":[{"dropping-particle":"","family":"Lenth","given":"R.","non-dropping-particle":"","parse-names":false,"suffix":""},{"dropping-particle":"","family":"Love","given":"J.","non-dropping-particle":"","parse-names":false,"suffix":""},{"dropping-particle":"","family":"Herve","given":"M.","non-dropping-particle":"","parse-names":false,"suffix":""}],"id":"ITEM-1","issued":{"date-parts":[["2019"]]},"page":"R package version 1.1.2","title":"emmeans: Estimated Marginal Means, aka Least-Squares Means","type":"article"},"uris":["http://www.mendeley.com/documents/?uuid=59ce69f0-8ecb-4360-aa59-ab7fcae5d8d1"]}],"mendeley":{"formattedCitation":"(Lenth &lt;i&gt;et al.&lt;/i&gt; 2019)","plainTextFormattedCitation":"(Lenth et al. 2019)","previouslyFormattedCitation":"(Lenth &lt;i&gt;et al.&lt;/i&gt; 2019)"},"properties":{"noteIndex":0},"schema":"https://github.com/citation-style-language/schema/raw/master/csl-citation.json"}</w:instrText>
      </w:r>
      <w:r w:rsidR="00741CB4" w:rsidRPr="005001D6">
        <w:rPr>
          <w:rFonts w:cstheme="minorHAnsi"/>
        </w:rPr>
        <w:fldChar w:fldCharType="separate"/>
      </w:r>
      <w:r w:rsidR="00627DCC" w:rsidRPr="005001D6">
        <w:rPr>
          <w:rFonts w:cstheme="minorHAnsi"/>
          <w:noProof/>
        </w:rPr>
        <w:t xml:space="preserve">(Lenth </w:t>
      </w:r>
      <w:r w:rsidR="00627DCC" w:rsidRPr="005001D6">
        <w:rPr>
          <w:rFonts w:cstheme="minorHAnsi"/>
          <w:i/>
          <w:noProof/>
        </w:rPr>
        <w:t>et al.</w:t>
      </w:r>
      <w:r w:rsidR="00627DCC" w:rsidRPr="005001D6">
        <w:rPr>
          <w:rFonts w:cstheme="minorHAnsi"/>
          <w:noProof/>
        </w:rPr>
        <w:t xml:space="preserve"> 2019)</w:t>
      </w:r>
      <w:r w:rsidR="00741CB4" w:rsidRPr="005001D6">
        <w:rPr>
          <w:rFonts w:cstheme="minorHAnsi"/>
        </w:rPr>
        <w:fldChar w:fldCharType="end"/>
      </w:r>
      <w:r w:rsidR="00A0156A" w:rsidRPr="005001D6">
        <w:rPr>
          <w:rFonts w:cstheme="minorHAnsi"/>
        </w:rPr>
        <w:t>.</w:t>
      </w:r>
    </w:p>
    <w:p w14:paraId="276F7D4B" w14:textId="5C1A7680" w:rsidR="00AF5258" w:rsidRPr="005001D6" w:rsidRDefault="00A0156A" w:rsidP="00173FAF">
      <w:pPr>
        <w:spacing w:line="480" w:lineRule="auto"/>
        <w:jc w:val="both"/>
        <w:rPr>
          <w:rFonts w:cstheme="minorHAnsi"/>
        </w:rPr>
      </w:pPr>
      <w:r w:rsidRPr="005001D6">
        <w:rPr>
          <w:rFonts w:cstheme="minorHAnsi"/>
        </w:rPr>
        <w:t>D</w:t>
      </w:r>
      <w:r w:rsidR="00AF5258" w:rsidRPr="005001D6">
        <w:rPr>
          <w:rFonts w:cstheme="minorHAnsi"/>
        </w:rPr>
        <w:t>ifferences in plant and microbial community composition (based on</w:t>
      </w:r>
      <w:r w:rsidRPr="005001D6">
        <w:rPr>
          <w:rFonts w:cstheme="minorHAnsi"/>
        </w:rPr>
        <w:t xml:space="preserve"> plant species % cover, and</w:t>
      </w:r>
      <w:r w:rsidR="00AF5258" w:rsidRPr="005001D6">
        <w:rPr>
          <w:rFonts w:cstheme="minorHAnsi"/>
        </w:rPr>
        <w:t xml:space="preserve"> individual ASV abundances</w:t>
      </w:r>
      <w:r w:rsidR="007D1893" w:rsidRPr="005001D6">
        <w:rPr>
          <w:rFonts w:cstheme="minorHAnsi"/>
        </w:rPr>
        <w:t>,</w:t>
      </w:r>
      <w:r w:rsidRPr="005001D6">
        <w:rPr>
          <w:rFonts w:cstheme="minorHAnsi"/>
        </w:rPr>
        <w:t xml:space="preserve"> respectively</w:t>
      </w:r>
      <w:r w:rsidR="00AF5258" w:rsidRPr="005001D6">
        <w:rPr>
          <w:rFonts w:cstheme="minorHAnsi"/>
        </w:rPr>
        <w:t xml:space="preserve">) were tested using </w:t>
      </w:r>
      <w:proofErr w:type="spellStart"/>
      <w:r w:rsidR="00AF5258" w:rsidRPr="005001D6">
        <w:rPr>
          <w:rFonts w:cstheme="minorHAnsi"/>
        </w:rPr>
        <w:t>Permutational</w:t>
      </w:r>
      <w:proofErr w:type="spellEnd"/>
      <w:r w:rsidR="00AF5258" w:rsidRPr="005001D6">
        <w:rPr>
          <w:rFonts w:cstheme="minorHAnsi"/>
        </w:rPr>
        <w:t xml:space="preserve"> Multivariate Analysis of Variance (</w:t>
      </w:r>
      <w:r w:rsidR="00E31435" w:rsidRPr="005001D6">
        <w:rPr>
          <w:rFonts w:cstheme="minorHAnsi"/>
        </w:rPr>
        <w:t>PERMANOVA</w:t>
      </w:r>
      <w:r w:rsidR="00AF5258" w:rsidRPr="005001D6">
        <w:rPr>
          <w:rFonts w:cstheme="minorHAnsi"/>
        </w:rPr>
        <w:t>) tests</w:t>
      </w:r>
      <w:r w:rsidR="00361CE6" w:rsidRPr="005001D6">
        <w:rPr>
          <w:rFonts w:cstheme="minorHAnsi"/>
        </w:rPr>
        <w:t xml:space="preserve"> </w:t>
      </w:r>
      <w:r w:rsidR="00AF5258" w:rsidRPr="005001D6">
        <w:rPr>
          <w:rFonts w:cstheme="minorHAnsi"/>
        </w:rPr>
        <w:fldChar w:fldCharType="begin" w:fldLock="1"/>
      </w:r>
      <w:r w:rsidR="00361CE6" w:rsidRPr="005001D6">
        <w:rPr>
          <w:rFonts w:cstheme="minorHAnsi"/>
        </w:rPr>
        <w:instrText>ADDIN CSL_CITATION {"citationItems":[{"id":"ITEM-1","itemData":{"DOI":"10.1111/j.1442-9993.2001.01070.pp.x","ISBN":"1442-9985","ISSN":"1442-9985","PMID":"1048","abstract":"Hypothesis-testing methods for multivariate data are needed to make rigorous probability statements about the effects of factors and their interactions in experiments. Analysis of variance is particularly powerful for the analysis of univariate data. The traditional multivariate analogues, however, are too stringent in their assumptions for most ecological multivariate data sets. Non-parametric methods, based on permutation tests, are preferable. This paper describes a new non-parametric method for multivariate analysis of variance, after McArdle and Anderson (in press). It is given here, with several applications in ecology, to provide an alternative and perhaps more intuitive formulation for ANOVA (based on sums of squared distances) to complement the description provided by McArdle and Anderson (in press) for the analysis of any linear model. It is an improvement on previous non-parametric methods because it allows a direct additive partitioning of variation for complex models. It does this while maintaining the flexibility and lack of formal assumptions of other non-parametric methods. The teststatistic is a multivariate analogue to Fisher’s F-ratio and is calculated directly from any symmetric distance or dissimilarity matrix. P-values are then obtained using permutations. Some examples of the method are given for tests involving several factors, including factorial and hierarchical (nested) designs and tests of interactions.","author":[{"dropping-particle":"","family":"Anderson","given":"Marti J.","non-dropping-particle":"","parse-names":false,"suffix":""}],"container-title":"Austral ecology","id":"ITEM-1","issue":"2001","issued":{"date-parts":[["2001"]]},"page":"32-46","title":"A new method for non parametric multivariate analysis of variance","type":"article-journal","volume":"26"},"uris":["http://www.mendeley.com/documents/?uuid=fee84477-c048-4f0d-8053-a963f5628aad"]}],"mendeley":{"formattedCitation":"(Anderson 2001)","plainTextFormattedCitation":"(Anderson 2001)","previouslyFormattedCitation":"(Anderson 2001)"},"properties":{"noteIndex":0},"schema":"https://github.com/citation-style-language/schema/raw/master/csl-citation.json"}</w:instrText>
      </w:r>
      <w:r w:rsidR="00AF5258" w:rsidRPr="005001D6">
        <w:rPr>
          <w:rFonts w:cstheme="minorHAnsi"/>
        </w:rPr>
        <w:fldChar w:fldCharType="separate"/>
      </w:r>
      <w:r w:rsidR="00627DCC" w:rsidRPr="005001D6">
        <w:rPr>
          <w:rFonts w:cstheme="minorHAnsi"/>
          <w:noProof/>
        </w:rPr>
        <w:t>(Anderson 2001)</w:t>
      </w:r>
      <w:r w:rsidR="00AF5258" w:rsidRPr="005001D6">
        <w:rPr>
          <w:rFonts w:cstheme="minorHAnsi"/>
        </w:rPr>
        <w:fldChar w:fldCharType="end"/>
      </w:r>
      <w:r w:rsidR="00D872E1" w:rsidRPr="005001D6">
        <w:rPr>
          <w:rFonts w:cstheme="minorHAnsi"/>
        </w:rPr>
        <w:t xml:space="preserve"> via the </w:t>
      </w:r>
      <w:r w:rsidR="00D872E1" w:rsidRPr="005001D6">
        <w:rPr>
          <w:rFonts w:cstheme="minorHAnsi"/>
          <w:i/>
          <w:iCs/>
        </w:rPr>
        <w:t xml:space="preserve">adonis2 </w:t>
      </w:r>
      <w:r w:rsidR="00D872E1" w:rsidRPr="005001D6">
        <w:rPr>
          <w:rFonts w:cstheme="minorHAnsi"/>
        </w:rPr>
        <w:t>function in the R package “Vegan”</w:t>
      </w:r>
      <w:r w:rsidR="00361CE6" w:rsidRPr="005001D6">
        <w:rPr>
          <w:rFonts w:cstheme="minorHAnsi"/>
        </w:rPr>
        <w:t xml:space="preserve"> </w:t>
      </w:r>
      <w:r w:rsidR="00D872E1" w:rsidRPr="005001D6">
        <w:rPr>
          <w:rFonts w:cstheme="minorHAnsi"/>
        </w:rPr>
        <w:fldChar w:fldCharType="begin" w:fldLock="1"/>
      </w:r>
      <w:r w:rsidR="007E795C">
        <w:rPr>
          <w:rFonts w:cstheme="minorHAnsi"/>
        </w:rPr>
        <w:instrText>ADDIN CSL_CITATION {"citationItems":[{"id":"ITEM-1","itemData":{"author":[{"dropping-particle":"","family":"Oksanen","given":"Jari","non-dropping-particle":"","parse-names":false,"suffix":""},{"dropping-particle":"","family":"Blanchet","given":"F. Guillaume","non-dropping-particle":"","parse-names":false,"suffix":""},{"dropping-particle":"","family":"Friendly","given":"Michael","non-dropping-particle":"","parse-names":false,"suffix":""},{"dropping-particle":"","family":"Kindt","given":"Roeland","non-dropping-particle":"","parse-names":false,"suffix":""},{"dropping-particle":"","family":"Legendre","given":"Pierre","non-dropping-particle":"","parse-names":false,"suffix":""},{"dropping-particle":"","family":"McGlinn","given":"Dan","non-dropping-particle":"","parse-names":false,"suffix":""},{"dropping-particle":"","family":"Minchin","given":"Peter R.","non-dropping-particle":"","parse-names":false,"suffix":""},{"dropping-particle":"","family":"O'Hara","given":"R. B.","non-dropping-particle":"","parse-names":false,"suffix":""},{"dropping-particle":"","family":"Simpson","given":"Gavin L.","non-dropping-particle":"","parse-names":false,"suffix":""},{"dropping-particle":"","family":"Solymos","given":"Peter","non-dropping-particle":"","parse-names":false,"suffix":""},{"dropping-particle":"","family":"Stevens","given":"M. Henry H.","non-dropping-particle":"","parse-names":false,"suffix":""},{"dropping-particle":"","family":"Szoecs","given":"Eduard","non-dropping-particle":"","parse-names":false,"suffix":""},{"dropping-particle":"","family":"Helene","given":"Wagner","non-dropping-particle":"","parse-names":false,"suffix":""}],"id":"ITEM-1","issued":{"date-parts":[["2020"]]},"number":"R package version 2.0-7.","title":"vegan: Community Ecology Package. R package version 2.5-7. https://CRAN.R-project.org/package=vegan","type":"article"},"uris":["http://www.mendeley.com/documents/?uuid=a3f96ec9-1304-4c61-9667-6d2ba140cd7b"]}],"mendeley":{"formattedCitation":"(Oksanen &lt;i&gt;et al.&lt;/i&gt; 2020)","plainTextFormattedCitation":"(Oksanen et al. 2020)","previouslyFormattedCitation":"(Oksanen 2013)"},"properties":{"noteIndex":0},"schema":"https://github.com/citation-style-language/schema/raw/master/csl-citation.json"}</w:instrText>
      </w:r>
      <w:r w:rsidR="00D872E1" w:rsidRPr="005001D6">
        <w:rPr>
          <w:rFonts w:cstheme="minorHAnsi"/>
        </w:rPr>
        <w:fldChar w:fldCharType="separate"/>
      </w:r>
      <w:r w:rsidR="007E795C" w:rsidRPr="007E795C">
        <w:rPr>
          <w:rFonts w:cstheme="minorHAnsi"/>
          <w:noProof/>
        </w:rPr>
        <w:t xml:space="preserve">(Oksanen </w:t>
      </w:r>
      <w:r w:rsidR="007E795C" w:rsidRPr="007E795C">
        <w:rPr>
          <w:rFonts w:cstheme="minorHAnsi"/>
          <w:i/>
          <w:noProof/>
        </w:rPr>
        <w:t>et al.</w:t>
      </w:r>
      <w:r w:rsidR="007E795C" w:rsidRPr="007E795C">
        <w:rPr>
          <w:rFonts w:cstheme="minorHAnsi"/>
          <w:noProof/>
        </w:rPr>
        <w:t xml:space="preserve"> 2020)</w:t>
      </w:r>
      <w:r w:rsidR="00D872E1" w:rsidRPr="005001D6">
        <w:rPr>
          <w:rFonts w:cstheme="minorHAnsi"/>
        </w:rPr>
        <w:fldChar w:fldCharType="end"/>
      </w:r>
      <w:r w:rsidR="00D872E1" w:rsidRPr="005001D6">
        <w:rPr>
          <w:rFonts w:cstheme="minorHAnsi"/>
        </w:rPr>
        <w:t xml:space="preserve">. Fixed effects were the same as described for the LMMs for the </w:t>
      </w:r>
      <w:r w:rsidR="00083EEF" w:rsidRPr="005001D6">
        <w:rPr>
          <w:rFonts w:cstheme="minorHAnsi"/>
        </w:rPr>
        <w:t xml:space="preserve">landscape-scale </w:t>
      </w:r>
      <w:r w:rsidR="00D872E1" w:rsidRPr="005001D6">
        <w:rPr>
          <w:rFonts w:cstheme="minorHAnsi"/>
        </w:rPr>
        <w:t xml:space="preserve">and </w:t>
      </w:r>
      <w:r w:rsidR="00083EEF" w:rsidRPr="005001D6">
        <w:rPr>
          <w:rFonts w:cstheme="minorHAnsi"/>
        </w:rPr>
        <w:t xml:space="preserve">snow </w:t>
      </w:r>
      <w:r w:rsidR="00D872E1" w:rsidRPr="005001D6">
        <w:rPr>
          <w:rFonts w:cstheme="minorHAnsi"/>
        </w:rPr>
        <w:t>manipulati</w:t>
      </w:r>
      <w:r w:rsidR="00083EEF" w:rsidRPr="005001D6">
        <w:rPr>
          <w:rFonts w:cstheme="minorHAnsi"/>
        </w:rPr>
        <w:t>on</w:t>
      </w:r>
      <w:r w:rsidR="00D872E1" w:rsidRPr="005001D6">
        <w:rPr>
          <w:rFonts w:cstheme="minorHAnsi"/>
        </w:rPr>
        <w:t xml:space="preserve"> experiments. Permutations were </w:t>
      </w:r>
      <w:r w:rsidR="00AF5258" w:rsidRPr="005001D6">
        <w:rPr>
          <w:rFonts w:cstheme="minorHAnsi"/>
        </w:rPr>
        <w:t>stratified by site</w:t>
      </w:r>
      <w:r w:rsidR="00D872E1" w:rsidRPr="005001D6">
        <w:rPr>
          <w:rFonts w:cstheme="minorHAnsi"/>
        </w:rPr>
        <w:t xml:space="preserve"> for the </w:t>
      </w:r>
      <w:r w:rsidR="00083EEF" w:rsidRPr="005001D6">
        <w:rPr>
          <w:rFonts w:cstheme="minorHAnsi"/>
        </w:rPr>
        <w:t xml:space="preserve">landscape-scale </w:t>
      </w:r>
      <w:r w:rsidR="00D872E1" w:rsidRPr="005001D6">
        <w:rPr>
          <w:rFonts w:cstheme="minorHAnsi"/>
        </w:rPr>
        <w:t xml:space="preserve">experiment, and by block for the </w:t>
      </w:r>
      <w:r w:rsidR="00083EEF" w:rsidRPr="005001D6">
        <w:rPr>
          <w:rFonts w:cstheme="minorHAnsi"/>
        </w:rPr>
        <w:t>snow manipulation</w:t>
      </w:r>
      <w:r w:rsidR="00D872E1" w:rsidRPr="005001D6">
        <w:rPr>
          <w:rFonts w:cstheme="minorHAnsi"/>
        </w:rPr>
        <w:t xml:space="preserve"> experiment.</w:t>
      </w:r>
      <w:r w:rsidR="00361CE6" w:rsidRPr="005001D6">
        <w:rPr>
          <w:rFonts w:cstheme="minorHAnsi"/>
        </w:rPr>
        <w:t xml:space="preserve"> To test that variance between groups was homogeneous and that any significant differences were therefore due to changes in centroids of groups, rather than their variance, we used the </w:t>
      </w:r>
      <w:proofErr w:type="spellStart"/>
      <w:r w:rsidR="00361CE6" w:rsidRPr="005001D6">
        <w:rPr>
          <w:rFonts w:cstheme="minorHAnsi"/>
          <w:i/>
          <w:iCs/>
        </w:rPr>
        <w:t>betadisper</w:t>
      </w:r>
      <w:proofErr w:type="spellEnd"/>
      <w:r w:rsidR="00361CE6" w:rsidRPr="005001D6">
        <w:rPr>
          <w:rFonts w:cstheme="minorHAnsi"/>
        </w:rPr>
        <w:t xml:space="preserve"> function of the R package “Vegan” coupled with the </w:t>
      </w:r>
      <w:proofErr w:type="spellStart"/>
      <w:r w:rsidR="00361CE6" w:rsidRPr="005001D6">
        <w:rPr>
          <w:rFonts w:cstheme="minorHAnsi"/>
          <w:i/>
          <w:iCs/>
        </w:rPr>
        <w:t>anova</w:t>
      </w:r>
      <w:proofErr w:type="spellEnd"/>
      <w:r w:rsidR="00361CE6" w:rsidRPr="005001D6">
        <w:rPr>
          <w:rFonts w:cstheme="minorHAnsi"/>
        </w:rPr>
        <w:t xml:space="preserve"> function (“stats” package) to test for </w:t>
      </w:r>
      <w:proofErr w:type="spellStart"/>
      <w:r w:rsidR="00361CE6" w:rsidRPr="005001D6">
        <w:rPr>
          <w:rFonts w:cstheme="minorHAnsi"/>
        </w:rPr>
        <w:t>betadispersion</w:t>
      </w:r>
      <w:proofErr w:type="spellEnd"/>
      <w:r w:rsidR="00361CE6" w:rsidRPr="005001D6">
        <w:rPr>
          <w:rFonts w:cstheme="minorHAnsi"/>
        </w:rPr>
        <w:t xml:space="preserve"> between groups </w:t>
      </w:r>
      <w:r w:rsidR="00361CE6" w:rsidRPr="005001D6">
        <w:rPr>
          <w:rFonts w:cstheme="minorHAnsi"/>
        </w:rPr>
        <w:fldChar w:fldCharType="begin" w:fldLock="1"/>
      </w:r>
      <w:r w:rsidR="007E795C">
        <w:rPr>
          <w:rFonts w:cstheme="minorHAnsi"/>
        </w:rPr>
        <w:instrText>ADDIN CSL_CITATION {"citationItems":[{"id":"ITEM-1","itemData":{"author":[{"dropping-particle":"","family":"Oksanen","given":"Jari","non-dropping-particle":"","parse-names":false,"suffix":""},{"dropping-particle":"","family":"Blanchet","given":"F. Guillaume","non-dropping-particle":"","parse-names":false,"suffix":""},{"dropping-particle":"","family":"Friendly","given":"Michael","non-dropping-particle":"","parse-names":false,"suffix":""},{"dropping-particle":"","family":"Kindt","given":"Roeland","non-dropping-particle":"","parse-names":false,"suffix":""},{"dropping-particle":"","family":"Legendre","given":"Pierre","non-dropping-particle":"","parse-names":false,"suffix":""},{"dropping-particle":"","family":"McGlinn","given":"Dan","non-dropping-particle":"","parse-names":false,"suffix":""},{"dropping-particle":"","family":"Minchin","given":"Peter R.","non-dropping-particle":"","parse-names":false,"suffix":""},{"dropping-particle":"","family":"O'Hara","given":"R. B.","non-dropping-particle":"","parse-names":false,"suffix":""},{"dropping-particle":"","family":"Simpson","given":"Gavin L.","non-dropping-particle":"","parse-names":false,"suffix":""},{"dropping-particle":"","family":"Solymos","given":"Peter","non-dropping-particle":"","parse-names":false,"suffix":""},{"dropping-particle":"","family":"Stevens","given":"M. Henry H.","non-dropping-particle":"","parse-names":false,"suffix":""},{"dropping-particle":"","family":"Szoecs","given":"Eduard","non-dropping-particle":"","parse-names":false,"suffix":""},{"dropping-particle":"","family":"Helene","given":"Wagner","non-dropping-particle":"","parse-names":false,"suffix":""}],"id":"ITEM-1","issued":{"date-parts":[["2020"]]},"number":"R package version 2.0-7.","title":"vegan: Community Ecology Package. R package version 2.5-7. https://CRAN.R-project.org/package=vegan","type":"article"},"uris":["http://www.mendeley.com/documents/?uuid=a3f96ec9-1304-4c61-9667-6d2ba140cd7b"]},{"id":"ITEM-2","itemData":{"DOI":"10.1111/j.1541-0420.2005.00440.x","ISSN":"0006341X","PMID":"16542252","abstract":"The traditional likelihood-based test for differences in multivariate dispersions is known to be sensitive to nonnormality. It is also impossible to use when the number of variables exceeds the number of observations. Many biological and ecological data sets have many variables, are highly skewed, and are zero-inflated. The traditional test and even some more robust alternatives are also unreasonable in many contexts where measures of dispersion based on a non-Euclidean dissimilarity would be more appropriate. Distance-based tests of homogeneity of multivariate dispersions, which can be based on any dissimilarity measure of choice, are proposed here. They rely on the rotational invariance of either the multivariate centroid or the spatial median to obtain measures of spread using principal coordinate axes. The tests are straightforward multivariate extensions of Levene's test, with P-values obtained either using the traditional F-distribution or using permutation of either least-squares or LAD residuals. Examples illustrate the utility of the approach, including the analysis of stabilizing selection in sparrows, biodiversity of New Zealand fish assemblages, and the response of Indonesian reef corals to an El Niño. Monte Carlo simulations from the real data sets show that the distance-based tests are robust and powerful for relevant alternative hypotheses of real differences in spread. © 2005, The International Biometric Society.","author":[{"dropping-particle":"","family":"Anderson","given":"Marti J.","non-dropping-particle":"","parse-names":false,"suffix":""}],"container-title":"Biometrics","id":"ITEM-2","issue":"1","issued":{"date-parts":[["2006"]]},"page":"245-253","title":"Distance-based tests for homogeneity of multivariate dispersions","type":"article-journal","volume":"62"},"uris":["http://www.mendeley.com/documents/?uuid=3cf23bcf-ced3-4a7a-9915-c0b3852bdd5b"]}],"mendeley":{"formattedCitation":"(Anderson 2006; Oksanen &lt;i&gt;et al.&lt;/i&gt; 2020)","plainTextFormattedCitation":"(Anderson 2006; Oksanen et al. 2020)","previouslyFormattedCitation":"(Anderson 2006; Oksanen 2013)"},"properties":{"noteIndex":0},"schema":"https://github.com/citation-style-language/schema/raw/master/csl-citation.json"}</w:instrText>
      </w:r>
      <w:r w:rsidR="00361CE6" w:rsidRPr="005001D6">
        <w:rPr>
          <w:rFonts w:cstheme="minorHAnsi"/>
        </w:rPr>
        <w:fldChar w:fldCharType="separate"/>
      </w:r>
      <w:r w:rsidR="007E795C" w:rsidRPr="007E795C">
        <w:rPr>
          <w:rFonts w:cstheme="minorHAnsi"/>
          <w:noProof/>
        </w:rPr>
        <w:t xml:space="preserve">(Anderson 2006; Oksanen </w:t>
      </w:r>
      <w:r w:rsidR="007E795C" w:rsidRPr="007E795C">
        <w:rPr>
          <w:rFonts w:cstheme="minorHAnsi"/>
          <w:i/>
          <w:noProof/>
        </w:rPr>
        <w:t>et al.</w:t>
      </w:r>
      <w:r w:rsidR="007E795C" w:rsidRPr="007E795C">
        <w:rPr>
          <w:rFonts w:cstheme="minorHAnsi"/>
          <w:noProof/>
        </w:rPr>
        <w:t xml:space="preserve"> 2020)</w:t>
      </w:r>
      <w:r w:rsidR="00361CE6" w:rsidRPr="005001D6">
        <w:rPr>
          <w:rFonts w:cstheme="minorHAnsi"/>
        </w:rPr>
        <w:fldChar w:fldCharType="end"/>
      </w:r>
      <w:r w:rsidR="00361CE6" w:rsidRPr="005001D6">
        <w:rPr>
          <w:rFonts w:cstheme="minorHAnsi"/>
        </w:rPr>
        <w:t xml:space="preserve">. </w:t>
      </w:r>
      <w:r w:rsidR="00AF5258" w:rsidRPr="005001D6">
        <w:rPr>
          <w:rFonts w:cstheme="minorHAnsi"/>
        </w:rPr>
        <w:t xml:space="preserve">To visualise plant and microbial community profiles across experimental </w:t>
      </w:r>
      <w:r w:rsidR="00D872E1" w:rsidRPr="005001D6">
        <w:rPr>
          <w:rFonts w:cstheme="minorHAnsi"/>
        </w:rPr>
        <w:t>treatments</w:t>
      </w:r>
      <w:r w:rsidR="00AF5258" w:rsidRPr="005001D6">
        <w:rPr>
          <w:rFonts w:cstheme="minorHAnsi"/>
        </w:rPr>
        <w:t xml:space="preserve">, nonmetric multidimensional scaling (NMDS) was performed using the </w:t>
      </w:r>
      <w:proofErr w:type="spellStart"/>
      <w:r w:rsidR="00AF5258" w:rsidRPr="005001D6">
        <w:rPr>
          <w:rFonts w:cstheme="minorHAnsi"/>
          <w:i/>
        </w:rPr>
        <w:t>metaMDS</w:t>
      </w:r>
      <w:proofErr w:type="spellEnd"/>
      <w:r w:rsidR="00AF5258" w:rsidRPr="005001D6">
        <w:rPr>
          <w:rFonts w:cstheme="minorHAnsi"/>
        </w:rPr>
        <w:t xml:space="preserve"> function, based on dissimilarities calculated using the Bray–Curtis index.</w:t>
      </w:r>
      <w:r w:rsidR="00E31435" w:rsidRPr="005001D6">
        <w:rPr>
          <w:rFonts w:cstheme="minorHAnsi"/>
        </w:rPr>
        <w:t xml:space="preserve"> Stress on NMDS plots was checked and deemed to be acceptable (stress values were </w:t>
      </w:r>
      <w:r w:rsidR="003D7B2B" w:rsidRPr="005001D6">
        <w:rPr>
          <w:rFonts w:cstheme="minorHAnsi"/>
        </w:rPr>
        <w:t>≤ 0.2 for all NMDS plots</w:t>
      </w:r>
      <w:r w:rsidR="00E31435" w:rsidRPr="005001D6">
        <w:rPr>
          <w:rFonts w:cstheme="minorHAnsi"/>
        </w:rPr>
        <w:t xml:space="preserve">). </w:t>
      </w:r>
      <w:r w:rsidR="00A555EA" w:rsidRPr="005001D6">
        <w:rPr>
          <w:rFonts w:cstheme="minorHAnsi"/>
        </w:rPr>
        <w:t>Plant s</w:t>
      </w:r>
      <w:r w:rsidR="00AF5258" w:rsidRPr="005001D6">
        <w:rPr>
          <w:rFonts w:cstheme="minorHAnsi"/>
        </w:rPr>
        <w:t xml:space="preserve">pecies </w:t>
      </w:r>
      <w:r w:rsidR="00741CB4" w:rsidRPr="005001D6">
        <w:rPr>
          <w:rFonts w:cstheme="minorHAnsi"/>
        </w:rPr>
        <w:t>and</w:t>
      </w:r>
      <w:r w:rsidR="00AF5258" w:rsidRPr="005001D6">
        <w:rPr>
          <w:rFonts w:cstheme="minorHAnsi"/>
        </w:rPr>
        <w:t xml:space="preserve"> </w:t>
      </w:r>
      <w:r w:rsidR="00A555EA" w:rsidRPr="005001D6">
        <w:rPr>
          <w:rFonts w:cstheme="minorHAnsi"/>
        </w:rPr>
        <w:t xml:space="preserve">microbial </w:t>
      </w:r>
      <w:r w:rsidR="00AF5258" w:rsidRPr="005001D6">
        <w:rPr>
          <w:rFonts w:cstheme="minorHAnsi"/>
        </w:rPr>
        <w:t>ASV abundance d</w:t>
      </w:r>
      <w:r w:rsidR="00AF5258" w:rsidRPr="005001D6">
        <w:t xml:space="preserve">ata were </w:t>
      </w:r>
      <w:r w:rsidR="00083EEF" w:rsidRPr="005001D6">
        <w:t>treated</w:t>
      </w:r>
      <w:r w:rsidR="00AF5258" w:rsidRPr="005001D6">
        <w:t xml:space="preserve"> with Wisconsin double standardization and square-</w:t>
      </w:r>
      <w:proofErr w:type="spellStart"/>
      <w:r w:rsidR="00AF5258" w:rsidRPr="005001D6">
        <w:t>root</w:t>
      </w:r>
      <w:proofErr w:type="spellEnd"/>
      <w:r w:rsidR="00AF5258" w:rsidRPr="005001D6">
        <w:t xml:space="preserve"> transformation prior to </w:t>
      </w:r>
      <w:r w:rsidR="00D872E1" w:rsidRPr="005001D6">
        <w:t>NMDS</w:t>
      </w:r>
      <w:r w:rsidR="00AF5258" w:rsidRPr="005001D6">
        <w:t xml:space="preserve"> analys</w:t>
      </w:r>
      <w:r w:rsidR="00D872E1" w:rsidRPr="005001D6">
        <w:t>e</w:t>
      </w:r>
      <w:r w:rsidR="00AF5258" w:rsidRPr="005001D6">
        <w:t>s</w:t>
      </w:r>
      <w:r w:rsidR="00AF5258" w:rsidRPr="005001D6">
        <w:rPr>
          <w:rFonts w:cstheme="minorHAnsi"/>
        </w:rPr>
        <w:t>.</w:t>
      </w:r>
    </w:p>
    <w:p w14:paraId="57D018CE" w14:textId="77777777" w:rsidR="00402820" w:rsidRPr="005001D6" w:rsidRDefault="00402820" w:rsidP="00173FAF">
      <w:pPr>
        <w:spacing w:line="480" w:lineRule="auto"/>
        <w:jc w:val="both"/>
      </w:pPr>
    </w:p>
    <w:p w14:paraId="769CE025" w14:textId="3899A917" w:rsidR="005D5A47" w:rsidRPr="005001D6" w:rsidRDefault="005D5A47" w:rsidP="00173FAF">
      <w:pPr>
        <w:spacing w:line="480" w:lineRule="auto"/>
        <w:jc w:val="both"/>
        <w:rPr>
          <w:b/>
          <w:bCs/>
          <w:sz w:val="24"/>
          <w:szCs w:val="24"/>
        </w:rPr>
      </w:pPr>
      <w:r w:rsidRPr="005001D6">
        <w:rPr>
          <w:b/>
          <w:bCs/>
          <w:sz w:val="24"/>
          <w:szCs w:val="24"/>
        </w:rPr>
        <w:t>REFERENCES</w:t>
      </w:r>
    </w:p>
    <w:p w14:paraId="35E4463A" w14:textId="56498BB2" w:rsidR="007E795C" w:rsidRPr="007E795C" w:rsidRDefault="005D5A47" w:rsidP="007E795C">
      <w:pPr>
        <w:widowControl w:val="0"/>
        <w:autoSpaceDE w:val="0"/>
        <w:autoSpaceDN w:val="0"/>
        <w:adjustRightInd w:val="0"/>
        <w:spacing w:line="480" w:lineRule="auto"/>
        <w:ind w:left="480" w:hanging="480"/>
        <w:rPr>
          <w:rFonts w:ascii="Calibri" w:hAnsi="Calibri" w:cs="Calibri"/>
          <w:noProof/>
          <w:szCs w:val="24"/>
        </w:rPr>
      </w:pPr>
      <w:r w:rsidRPr="005001D6">
        <w:fldChar w:fldCharType="begin" w:fldLock="1"/>
      </w:r>
      <w:r w:rsidRPr="005001D6">
        <w:instrText xml:space="preserve">ADDIN Mendeley Bibliography CSL_BIBLIOGRAPHY </w:instrText>
      </w:r>
      <w:r w:rsidRPr="005001D6">
        <w:fldChar w:fldCharType="separate"/>
      </w:r>
      <w:r w:rsidR="007E795C" w:rsidRPr="007E795C">
        <w:rPr>
          <w:rFonts w:ascii="Calibri" w:hAnsi="Calibri" w:cs="Calibri"/>
          <w:noProof/>
          <w:szCs w:val="24"/>
        </w:rPr>
        <w:t xml:space="preserve">Anderson, M.J. (2001). A new method for non parametric multivariate analysis of variance. </w:t>
      </w:r>
      <w:r w:rsidR="007E795C" w:rsidRPr="007E795C">
        <w:rPr>
          <w:rFonts w:ascii="Calibri" w:hAnsi="Calibri" w:cs="Calibri"/>
          <w:i/>
          <w:iCs/>
          <w:noProof/>
          <w:szCs w:val="24"/>
        </w:rPr>
        <w:t>Austral Ecol.</w:t>
      </w:r>
      <w:r w:rsidR="007E795C" w:rsidRPr="007E795C">
        <w:rPr>
          <w:rFonts w:ascii="Calibri" w:hAnsi="Calibri" w:cs="Calibri"/>
          <w:noProof/>
          <w:szCs w:val="24"/>
        </w:rPr>
        <w:t>, 26, 32–46.</w:t>
      </w:r>
    </w:p>
    <w:p w14:paraId="1166E98D" w14:textId="77777777" w:rsidR="007E795C" w:rsidRPr="007E795C" w:rsidRDefault="007E795C" w:rsidP="007E795C">
      <w:pPr>
        <w:widowControl w:val="0"/>
        <w:autoSpaceDE w:val="0"/>
        <w:autoSpaceDN w:val="0"/>
        <w:adjustRightInd w:val="0"/>
        <w:spacing w:line="480" w:lineRule="auto"/>
        <w:ind w:left="480" w:hanging="480"/>
        <w:rPr>
          <w:rFonts w:ascii="Calibri" w:hAnsi="Calibri" w:cs="Calibri"/>
          <w:noProof/>
          <w:szCs w:val="24"/>
        </w:rPr>
      </w:pPr>
      <w:r w:rsidRPr="007E795C">
        <w:rPr>
          <w:rFonts w:ascii="Calibri" w:hAnsi="Calibri" w:cs="Calibri"/>
          <w:noProof/>
          <w:szCs w:val="24"/>
        </w:rPr>
        <w:t xml:space="preserve">Anderson, M.J. (2006). Distance-based tests for homogeneity of multivariate dispersions. </w:t>
      </w:r>
      <w:r w:rsidRPr="007E795C">
        <w:rPr>
          <w:rFonts w:ascii="Calibri" w:hAnsi="Calibri" w:cs="Calibri"/>
          <w:i/>
          <w:iCs/>
          <w:noProof/>
          <w:szCs w:val="24"/>
        </w:rPr>
        <w:t>Biometrics</w:t>
      </w:r>
      <w:r w:rsidRPr="007E795C">
        <w:rPr>
          <w:rFonts w:ascii="Calibri" w:hAnsi="Calibri" w:cs="Calibri"/>
          <w:noProof/>
          <w:szCs w:val="24"/>
        </w:rPr>
        <w:t>, 62, 245–253.</w:t>
      </w:r>
    </w:p>
    <w:p w14:paraId="341A8ED4" w14:textId="77777777" w:rsidR="007E795C" w:rsidRPr="007E795C" w:rsidRDefault="007E795C" w:rsidP="007E795C">
      <w:pPr>
        <w:widowControl w:val="0"/>
        <w:autoSpaceDE w:val="0"/>
        <w:autoSpaceDN w:val="0"/>
        <w:adjustRightInd w:val="0"/>
        <w:spacing w:line="480" w:lineRule="auto"/>
        <w:ind w:left="480" w:hanging="480"/>
        <w:rPr>
          <w:rFonts w:ascii="Calibri" w:hAnsi="Calibri" w:cs="Calibri"/>
          <w:noProof/>
          <w:szCs w:val="24"/>
        </w:rPr>
      </w:pPr>
      <w:r w:rsidRPr="007E795C">
        <w:rPr>
          <w:rFonts w:ascii="Calibri" w:hAnsi="Calibri" w:cs="Calibri"/>
          <w:noProof/>
          <w:szCs w:val="24"/>
        </w:rPr>
        <w:t xml:space="preserve">Andersson, A.F., Lindberg, M., Jakobsson, H., Bäckhed, F., Nyrén, P. &amp; Engstrand, L. (2008). </w:t>
      </w:r>
      <w:r w:rsidRPr="007E795C">
        <w:rPr>
          <w:rFonts w:ascii="Calibri" w:hAnsi="Calibri" w:cs="Calibri"/>
          <w:noProof/>
          <w:szCs w:val="24"/>
        </w:rPr>
        <w:lastRenderedPageBreak/>
        <w:t xml:space="preserve">Comparative Analysis of Human Gut Microbiota by Barcoded Pyrosequencing. </w:t>
      </w:r>
      <w:r w:rsidRPr="007E795C">
        <w:rPr>
          <w:rFonts w:ascii="Calibri" w:hAnsi="Calibri" w:cs="Calibri"/>
          <w:i/>
          <w:iCs/>
          <w:noProof/>
          <w:szCs w:val="24"/>
        </w:rPr>
        <w:t>PLoS One</w:t>
      </w:r>
      <w:r w:rsidRPr="007E795C">
        <w:rPr>
          <w:rFonts w:ascii="Calibri" w:hAnsi="Calibri" w:cs="Calibri"/>
          <w:noProof/>
          <w:szCs w:val="24"/>
        </w:rPr>
        <w:t>, 3, e2836.</w:t>
      </w:r>
    </w:p>
    <w:p w14:paraId="79E6353A" w14:textId="77777777" w:rsidR="007E795C" w:rsidRPr="007E795C" w:rsidRDefault="007E795C" w:rsidP="007E795C">
      <w:pPr>
        <w:widowControl w:val="0"/>
        <w:autoSpaceDE w:val="0"/>
        <w:autoSpaceDN w:val="0"/>
        <w:adjustRightInd w:val="0"/>
        <w:spacing w:line="480" w:lineRule="auto"/>
        <w:ind w:left="480" w:hanging="480"/>
        <w:rPr>
          <w:rFonts w:ascii="Calibri" w:hAnsi="Calibri" w:cs="Calibri"/>
          <w:noProof/>
          <w:szCs w:val="24"/>
        </w:rPr>
      </w:pPr>
      <w:r w:rsidRPr="007E795C">
        <w:rPr>
          <w:rFonts w:ascii="Calibri" w:hAnsi="Calibri" w:cs="Calibri"/>
          <w:noProof/>
          <w:szCs w:val="24"/>
        </w:rPr>
        <w:t xml:space="preserve">Arenz, B.E., Schlatter, D.C., Bradeen, J.M. &amp; Kinkel, L.L. (2015). Blocking primers reduce co-amplification of plant DNA when studying bacterial endophyte communities. </w:t>
      </w:r>
      <w:r w:rsidRPr="007E795C">
        <w:rPr>
          <w:rFonts w:ascii="Calibri" w:hAnsi="Calibri" w:cs="Calibri"/>
          <w:i/>
          <w:iCs/>
          <w:noProof/>
          <w:szCs w:val="24"/>
        </w:rPr>
        <w:t>J. Microbiol. Methods</w:t>
      </w:r>
      <w:r w:rsidRPr="007E795C">
        <w:rPr>
          <w:rFonts w:ascii="Calibri" w:hAnsi="Calibri" w:cs="Calibri"/>
          <w:noProof/>
          <w:szCs w:val="24"/>
        </w:rPr>
        <w:t>, 117, 1–3.</w:t>
      </w:r>
    </w:p>
    <w:p w14:paraId="0F94E696" w14:textId="77777777" w:rsidR="007E795C" w:rsidRPr="007E795C" w:rsidRDefault="007E795C" w:rsidP="007E795C">
      <w:pPr>
        <w:widowControl w:val="0"/>
        <w:autoSpaceDE w:val="0"/>
        <w:autoSpaceDN w:val="0"/>
        <w:adjustRightInd w:val="0"/>
        <w:spacing w:line="480" w:lineRule="auto"/>
        <w:ind w:left="480" w:hanging="480"/>
        <w:rPr>
          <w:rFonts w:ascii="Calibri" w:hAnsi="Calibri" w:cs="Calibri"/>
          <w:noProof/>
          <w:szCs w:val="24"/>
        </w:rPr>
      </w:pPr>
      <w:r w:rsidRPr="007E795C">
        <w:rPr>
          <w:rFonts w:ascii="Calibri" w:hAnsi="Calibri" w:cs="Calibri"/>
          <w:noProof/>
          <w:szCs w:val="24"/>
        </w:rPr>
        <w:t xml:space="preserve">Bardgett, R., Treeter, T. &amp; Roland, B. (2003). SOIL MICROBES COMPETE EFFECTIVELY WITH PLANTS FOR ORGANIC-NITROGEN INPUTS TO TEMPERATE GRASSLANDS. </w:t>
      </w:r>
      <w:r w:rsidRPr="007E795C">
        <w:rPr>
          <w:rFonts w:ascii="Calibri" w:hAnsi="Calibri" w:cs="Calibri"/>
          <w:i/>
          <w:iCs/>
          <w:noProof/>
          <w:szCs w:val="24"/>
        </w:rPr>
        <w:t>Ecology</w:t>
      </w:r>
      <w:r w:rsidRPr="007E795C">
        <w:rPr>
          <w:rFonts w:ascii="Calibri" w:hAnsi="Calibri" w:cs="Calibri"/>
          <w:noProof/>
          <w:szCs w:val="24"/>
        </w:rPr>
        <w:t>, 84, 1277–1287.</w:t>
      </w:r>
    </w:p>
    <w:p w14:paraId="5E5ECD5A" w14:textId="77777777" w:rsidR="007E795C" w:rsidRPr="007E795C" w:rsidRDefault="007E795C" w:rsidP="007E795C">
      <w:pPr>
        <w:widowControl w:val="0"/>
        <w:autoSpaceDE w:val="0"/>
        <w:autoSpaceDN w:val="0"/>
        <w:adjustRightInd w:val="0"/>
        <w:spacing w:line="480" w:lineRule="auto"/>
        <w:ind w:left="480" w:hanging="480"/>
        <w:rPr>
          <w:rFonts w:ascii="Calibri" w:hAnsi="Calibri" w:cs="Calibri"/>
          <w:noProof/>
          <w:szCs w:val="24"/>
        </w:rPr>
      </w:pPr>
      <w:r w:rsidRPr="007E795C">
        <w:rPr>
          <w:rFonts w:ascii="Calibri" w:hAnsi="Calibri" w:cs="Calibri"/>
          <w:noProof/>
          <w:szCs w:val="24"/>
        </w:rPr>
        <w:t xml:space="preserve">Benjamini, Y. &amp; Hochberg, Y. (1995). Controlling the False Discovery Rate : A Practical and Powerful Approach to Multiple Testing. </w:t>
      </w:r>
      <w:r w:rsidRPr="007E795C">
        <w:rPr>
          <w:rFonts w:ascii="Calibri" w:hAnsi="Calibri" w:cs="Calibri"/>
          <w:i/>
          <w:iCs/>
          <w:noProof/>
          <w:szCs w:val="24"/>
        </w:rPr>
        <w:t>J. R. Stat. Soc.</w:t>
      </w:r>
      <w:r w:rsidRPr="007E795C">
        <w:rPr>
          <w:rFonts w:ascii="Calibri" w:hAnsi="Calibri" w:cs="Calibri"/>
          <w:noProof/>
          <w:szCs w:val="24"/>
        </w:rPr>
        <w:t>, 57.</w:t>
      </w:r>
    </w:p>
    <w:p w14:paraId="75F8CCC2" w14:textId="77777777" w:rsidR="007E795C" w:rsidRPr="007E795C" w:rsidRDefault="007E795C" w:rsidP="007E795C">
      <w:pPr>
        <w:widowControl w:val="0"/>
        <w:autoSpaceDE w:val="0"/>
        <w:autoSpaceDN w:val="0"/>
        <w:adjustRightInd w:val="0"/>
        <w:spacing w:line="480" w:lineRule="auto"/>
        <w:ind w:left="480" w:hanging="480"/>
        <w:rPr>
          <w:rFonts w:ascii="Calibri" w:hAnsi="Calibri" w:cs="Calibri"/>
          <w:noProof/>
          <w:szCs w:val="24"/>
        </w:rPr>
      </w:pPr>
      <w:r w:rsidRPr="007E795C">
        <w:rPr>
          <w:rFonts w:ascii="Calibri" w:hAnsi="Calibri" w:cs="Calibri"/>
          <w:noProof/>
          <w:szCs w:val="24"/>
        </w:rPr>
        <w:t xml:space="preserve">Braker, G., Fesefeldt, A. &amp; Witzel, K.P. (1998). Development of PCR primer systems for amplification of nitrite reductase genes (nirK and nirS) to detect denitrifying bacteria in environmental samples. </w:t>
      </w:r>
      <w:r w:rsidRPr="007E795C">
        <w:rPr>
          <w:rFonts w:ascii="Calibri" w:hAnsi="Calibri" w:cs="Calibri"/>
          <w:i/>
          <w:iCs/>
          <w:noProof/>
          <w:szCs w:val="24"/>
        </w:rPr>
        <w:t>Appl. Environ. Microbiol.</w:t>
      </w:r>
      <w:r w:rsidRPr="007E795C">
        <w:rPr>
          <w:rFonts w:ascii="Calibri" w:hAnsi="Calibri" w:cs="Calibri"/>
          <w:noProof/>
          <w:szCs w:val="24"/>
        </w:rPr>
        <w:t>, 64, 3769–3775.</w:t>
      </w:r>
    </w:p>
    <w:p w14:paraId="64D43139" w14:textId="77777777" w:rsidR="007E795C" w:rsidRPr="007E795C" w:rsidRDefault="007E795C" w:rsidP="007E795C">
      <w:pPr>
        <w:widowControl w:val="0"/>
        <w:autoSpaceDE w:val="0"/>
        <w:autoSpaceDN w:val="0"/>
        <w:adjustRightInd w:val="0"/>
        <w:spacing w:line="480" w:lineRule="auto"/>
        <w:ind w:left="480" w:hanging="480"/>
        <w:rPr>
          <w:rFonts w:ascii="Calibri" w:hAnsi="Calibri" w:cs="Calibri"/>
          <w:noProof/>
          <w:szCs w:val="24"/>
        </w:rPr>
      </w:pPr>
      <w:r w:rsidRPr="007E795C">
        <w:rPr>
          <w:rFonts w:ascii="Calibri" w:hAnsi="Calibri" w:cs="Calibri"/>
          <w:noProof/>
          <w:szCs w:val="24"/>
        </w:rPr>
        <w:t xml:space="preserve">Brookes, P.C., Landman, A., Pruden, G. &amp; Jenkinson, D.S. (1985). Chloroform fumigation and the release of soil nitrogen: A rapid direct extraction method to measure microbial biomass nitrogen in soil. </w:t>
      </w:r>
      <w:r w:rsidRPr="007E795C">
        <w:rPr>
          <w:rFonts w:ascii="Calibri" w:hAnsi="Calibri" w:cs="Calibri"/>
          <w:i/>
          <w:iCs/>
          <w:noProof/>
          <w:szCs w:val="24"/>
        </w:rPr>
        <w:t>Soil Biol. Biochem.</w:t>
      </w:r>
      <w:r w:rsidRPr="007E795C">
        <w:rPr>
          <w:rFonts w:ascii="Calibri" w:hAnsi="Calibri" w:cs="Calibri"/>
          <w:noProof/>
          <w:szCs w:val="24"/>
        </w:rPr>
        <w:t>, 17, 837–842.</w:t>
      </w:r>
    </w:p>
    <w:p w14:paraId="3B715690" w14:textId="77777777" w:rsidR="007E795C" w:rsidRPr="007E795C" w:rsidRDefault="007E795C" w:rsidP="007E795C">
      <w:pPr>
        <w:widowControl w:val="0"/>
        <w:autoSpaceDE w:val="0"/>
        <w:autoSpaceDN w:val="0"/>
        <w:adjustRightInd w:val="0"/>
        <w:spacing w:line="480" w:lineRule="auto"/>
        <w:ind w:left="480" w:hanging="480"/>
        <w:rPr>
          <w:rFonts w:ascii="Calibri" w:hAnsi="Calibri" w:cs="Calibri"/>
          <w:noProof/>
          <w:szCs w:val="24"/>
        </w:rPr>
      </w:pPr>
      <w:r w:rsidRPr="007E795C">
        <w:rPr>
          <w:rFonts w:ascii="Calibri" w:hAnsi="Calibri" w:cs="Calibri"/>
          <w:noProof/>
          <w:szCs w:val="24"/>
        </w:rPr>
        <w:t xml:space="preserve">Buyer, J.S. &amp; Sasser, M. (2012). High throughput phospholipid fatty acid analysis of soils. </w:t>
      </w:r>
      <w:r w:rsidRPr="007E795C">
        <w:rPr>
          <w:rFonts w:ascii="Calibri" w:hAnsi="Calibri" w:cs="Calibri"/>
          <w:i/>
          <w:iCs/>
          <w:noProof/>
          <w:szCs w:val="24"/>
        </w:rPr>
        <w:t>Appl. Soil Ecol.</w:t>
      </w:r>
      <w:r w:rsidRPr="007E795C">
        <w:rPr>
          <w:rFonts w:ascii="Calibri" w:hAnsi="Calibri" w:cs="Calibri"/>
          <w:noProof/>
          <w:szCs w:val="24"/>
        </w:rPr>
        <w:t>, 61, 127–130.</w:t>
      </w:r>
    </w:p>
    <w:p w14:paraId="061299A6" w14:textId="77777777" w:rsidR="007E795C" w:rsidRPr="007E795C" w:rsidRDefault="007E795C" w:rsidP="007E795C">
      <w:pPr>
        <w:widowControl w:val="0"/>
        <w:autoSpaceDE w:val="0"/>
        <w:autoSpaceDN w:val="0"/>
        <w:adjustRightInd w:val="0"/>
        <w:spacing w:line="480" w:lineRule="auto"/>
        <w:ind w:left="480" w:hanging="480"/>
        <w:rPr>
          <w:rFonts w:ascii="Calibri" w:hAnsi="Calibri" w:cs="Calibri"/>
          <w:noProof/>
          <w:szCs w:val="24"/>
        </w:rPr>
      </w:pPr>
      <w:r w:rsidRPr="007E795C">
        <w:rPr>
          <w:rFonts w:ascii="Calibri" w:hAnsi="Calibri" w:cs="Calibri"/>
          <w:noProof/>
          <w:szCs w:val="24"/>
        </w:rPr>
        <w:t xml:space="preserve">Callahan, B.J., McMurdie, P.J., Rosen, M.J., Han, A.W., Johnson, A.J.A. &amp; Holmes, S.P. (2016). DADA2: High-resolution sample inference from Illumina amplicon data. </w:t>
      </w:r>
      <w:r w:rsidRPr="007E795C">
        <w:rPr>
          <w:rFonts w:ascii="Calibri" w:hAnsi="Calibri" w:cs="Calibri"/>
          <w:i/>
          <w:iCs/>
          <w:noProof/>
          <w:szCs w:val="24"/>
        </w:rPr>
        <w:t>Nat. Methods</w:t>
      </w:r>
      <w:r w:rsidRPr="007E795C">
        <w:rPr>
          <w:rFonts w:ascii="Calibri" w:hAnsi="Calibri" w:cs="Calibri"/>
          <w:noProof/>
          <w:szCs w:val="24"/>
        </w:rPr>
        <w:t>, 13, 581–583.</w:t>
      </w:r>
    </w:p>
    <w:p w14:paraId="129D25C9" w14:textId="77777777" w:rsidR="007E795C" w:rsidRPr="007E795C" w:rsidRDefault="007E795C" w:rsidP="007E795C">
      <w:pPr>
        <w:widowControl w:val="0"/>
        <w:autoSpaceDE w:val="0"/>
        <w:autoSpaceDN w:val="0"/>
        <w:adjustRightInd w:val="0"/>
        <w:spacing w:line="480" w:lineRule="auto"/>
        <w:ind w:left="480" w:hanging="480"/>
        <w:rPr>
          <w:rFonts w:ascii="Calibri" w:hAnsi="Calibri" w:cs="Calibri"/>
          <w:noProof/>
          <w:szCs w:val="24"/>
        </w:rPr>
      </w:pPr>
      <w:r w:rsidRPr="007E795C">
        <w:rPr>
          <w:rFonts w:ascii="Calibri" w:hAnsi="Calibri" w:cs="Calibri"/>
          <w:noProof/>
          <w:szCs w:val="24"/>
        </w:rPr>
        <w:t xml:space="preserve">Collins, T., Gerday, C. &amp; Feller, G. (2005). Xylanases, xylanase families and extremophilic xylanases. </w:t>
      </w:r>
      <w:r w:rsidRPr="007E795C">
        <w:rPr>
          <w:rFonts w:ascii="Calibri" w:hAnsi="Calibri" w:cs="Calibri"/>
          <w:i/>
          <w:iCs/>
          <w:noProof/>
          <w:szCs w:val="24"/>
        </w:rPr>
        <w:t>FEMS Microbiol. Rev.</w:t>
      </w:r>
      <w:r w:rsidRPr="007E795C">
        <w:rPr>
          <w:rFonts w:ascii="Calibri" w:hAnsi="Calibri" w:cs="Calibri"/>
          <w:noProof/>
          <w:szCs w:val="24"/>
        </w:rPr>
        <w:t>, 29, 3–23.</w:t>
      </w:r>
    </w:p>
    <w:p w14:paraId="31BF5781" w14:textId="77777777" w:rsidR="007E795C" w:rsidRPr="007E795C" w:rsidRDefault="007E795C" w:rsidP="007E795C">
      <w:pPr>
        <w:widowControl w:val="0"/>
        <w:autoSpaceDE w:val="0"/>
        <w:autoSpaceDN w:val="0"/>
        <w:adjustRightInd w:val="0"/>
        <w:spacing w:line="480" w:lineRule="auto"/>
        <w:ind w:left="480" w:hanging="480"/>
        <w:rPr>
          <w:rFonts w:ascii="Calibri" w:hAnsi="Calibri" w:cs="Calibri"/>
          <w:noProof/>
          <w:szCs w:val="24"/>
        </w:rPr>
      </w:pPr>
      <w:r w:rsidRPr="007E795C">
        <w:rPr>
          <w:rFonts w:ascii="Calibri" w:hAnsi="Calibri" w:cs="Calibri"/>
          <w:noProof/>
          <w:szCs w:val="24"/>
        </w:rPr>
        <w:t xml:space="preserve">Cordero, I., Snell, H. &amp; Bardgett, R.D. (2019). High throughput method for measuring urease activity in soil. </w:t>
      </w:r>
      <w:r w:rsidRPr="007E795C">
        <w:rPr>
          <w:rFonts w:ascii="Calibri" w:hAnsi="Calibri" w:cs="Calibri"/>
          <w:i/>
          <w:iCs/>
          <w:noProof/>
          <w:szCs w:val="24"/>
        </w:rPr>
        <w:t>Soil Biol. Biochem.</w:t>
      </w:r>
      <w:r w:rsidRPr="007E795C">
        <w:rPr>
          <w:rFonts w:ascii="Calibri" w:hAnsi="Calibri" w:cs="Calibri"/>
          <w:noProof/>
          <w:szCs w:val="24"/>
        </w:rPr>
        <w:t>, 134, 72–77.</w:t>
      </w:r>
    </w:p>
    <w:p w14:paraId="148CAE48" w14:textId="77777777" w:rsidR="007E795C" w:rsidRPr="007E795C" w:rsidRDefault="007E795C" w:rsidP="007E795C">
      <w:pPr>
        <w:widowControl w:val="0"/>
        <w:autoSpaceDE w:val="0"/>
        <w:autoSpaceDN w:val="0"/>
        <w:adjustRightInd w:val="0"/>
        <w:spacing w:line="480" w:lineRule="auto"/>
        <w:ind w:left="480" w:hanging="480"/>
        <w:rPr>
          <w:rFonts w:ascii="Calibri" w:hAnsi="Calibri" w:cs="Calibri"/>
          <w:noProof/>
          <w:szCs w:val="24"/>
        </w:rPr>
      </w:pPr>
      <w:r w:rsidRPr="007E795C">
        <w:rPr>
          <w:rFonts w:ascii="Calibri" w:hAnsi="Calibri" w:cs="Calibri"/>
          <w:noProof/>
          <w:szCs w:val="24"/>
        </w:rPr>
        <w:lastRenderedPageBreak/>
        <w:t xml:space="preserve">Daubenmire, R.F. (1959). Canopy coverage method of vegetation analysis. </w:t>
      </w:r>
      <w:r w:rsidRPr="007E795C">
        <w:rPr>
          <w:rFonts w:ascii="Calibri" w:hAnsi="Calibri" w:cs="Calibri"/>
          <w:i/>
          <w:iCs/>
          <w:noProof/>
          <w:szCs w:val="24"/>
        </w:rPr>
        <w:t>Northwest Sci.</w:t>
      </w:r>
      <w:r w:rsidRPr="007E795C">
        <w:rPr>
          <w:rFonts w:ascii="Calibri" w:hAnsi="Calibri" w:cs="Calibri"/>
          <w:noProof/>
          <w:szCs w:val="24"/>
        </w:rPr>
        <w:t>, 33, 43:64.</w:t>
      </w:r>
    </w:p>
    <w:p w14:paraId="7406BF65" w14:textId="77777777" w:rsidR="007E795C" w:rsidRPr="007E795C" w:rsidRDefault="007E795C" w:rsidP="007E795C">
      <w:pPr>
        <w:widowControl w:val="0"/>
        <w:autoSpaceDE w:val="0"/>
        <w:autoSpaceDN w:val="0"/>
        <w:adjustRightInd w:val="0"/>
        <w:spacing w:line="480" w:lineRule="auto"/>
        <w:ind w:left="480" w:hanging="480"/>
        <w:rPr>
          <w:rFonts w:ascii="Calibri" w:hAnsi="Calibri" w:cs="Calibri"/>
          <w:noProof/>
          <w:szCs w:val="24"/>
        </w:rPr>
      </w:pPr>
      <w:r w:rsidRPr="007E795C">
        <w:rPr>
          <w:rFonts w:ascii="Calibri" w:hAnsi="Calibri" w:cs="Calibri"/>
          <w:noProof/>
          <w:szCs w:val="24"/>
        </w:rPr>
        <w:t xml:space="preserve">DeForest, J.L. (2009). The influence of time, storage temperature, and substrate age on potential soil enzyme activity in acidic forest soils using MUB-linked substrates and l-DOPA. </w:t>
      </w:r>
      <w:r w:rsidRPr="007E795C">
        <w:rPr>
          <w:rFonts w:ascii="Calibri" w:hAnsi="Calibri" w:cs="Calibri"/>
          <w:i/>
          <w:iCs/>
          <w:noProof/>
          <w:szCs w:val="24"/>
        </w:rPr>
        <w:t>Soil Biol. Biochem.</w:t>
      </w:r>
      <w:r w:rsidRPr="007E795C">
        <w:rPr>
          <w:rFonts w:ascii="Calibri" w:hAnsi="Calibri" w:cs="Calibri"/>
          <w:noProof/>
          <w:szCs w:val="24"/>
        </w:rPr>
        <w:t>, 41, 1180–1186.</w:t>
      </w:r>
    </w:p>
    <w:p w14:paraId="41E96B38" w14:textId="77777777" w:rsidR="007E795C" w:rsidRPr="007E795C" w:rsidRDefault="007E795C" w:rsidP="007E795C">
      <w:pPr>
        <w:widowControl w:val="0"/>
        <w:autoSpaceDE w:val="0"/>
        <w:autoSpaceDN w:val="0"/>
        <w:adjustRightInd w:val="0"/>
        <w:spacing w:line="480" w:lineRule="auto"/>
        <w:ind w:left="480" w:hanging="480"/>
        <w:rPr>
          <w:rFonts w:ascii="Calibri" w:hAnsi="Calibri" w:cs="Calibri"/>
          <w:noProof/>
          <w:szCs w:val="24"/>
        </w:rPr>
      </w:pPr>
      <w:r w:rsidRPr="007E795C">
        <w:rPr>
          <w:rFonts w:ascii="Calibri" w:hAnsi="Calibri" w:cs="Calibri"/>
          <w:noProof/>
          <w:szCs w:val="24"/>
        </w:rPr>
        <w:t xml:space="preserve">DeSantis, T.Z., Hugenholtz, P., Larsen, N., Rojas, M., Brodie, E.L., Keller, K., </w:t>
      </w:r>
      <w:r w:rsidRPr="007E795C">
        <w:rPr>
          <w:rFonts w:ascii="Calibri" w:hAnsi="Calibri" w:cs="Calibri"/>
          <w:i/>
          <w:iCs/>
          <w:noProof/>
          <w:szCs w:val="24"/>
        </w:rPr>
        <w:t>et al.</w:t>
      </w:r>
      <w:r w:rsidRPr="007E795C">
        <w:rPr>
          <w:rFonts w:ascii="Calibri" w:hAnsi="Calibri" w:cs="Calibri"/>
          <w:noProof/>
          <w:szCs w:val="24"/>
        </w:rPr>
        <w:t xml:space="preserve"> (2006). Greengenes, a chimera-checked 16S rRNA gene database and workbench compatible with ARB. </w:t>
      </w:r>
      <w:r w:rsidRPr="007E795C">
        <w:rPr>
          <w:rFonts w:ascii="Calibri" w:hAnsi="Calibri" w:cs="Calibri"/>
          <w:i/>
          <w:iCs/>
          <w:noProof/>
          <w:szCs w:val="24"/>
        </w:rPr>
        <w:t>Appl. Environ. Microbiol.</w:t>
      </w:r>
      <w:r w:rsidRPr="007E795C">
        <w:rPr>
          <w:rFonts w:ascii="Calibri" w:hAnsi="Calibri" w:cs="Calibri"/>
          <w:noProof/>
          <w:szCs w:val="24"/>
        </w:rPr>
        <w:t>, 72, 5069–5072.</w:t>
      </w:r>
    </w:p>
    <w:p w14:paraId="32C321FB" w14:textId="77777777" w:rsidR="007E795C" w:rsidRPr="007E795C" w:rsidRDefault="007E795C" w:rsidP="007E795C">
      <w:pPr>
        <w:widowControl w:val="0"/>
        <w:autoSpaceDE w:val="0"/>
        <w:autoSpaceDN w:val="0"/>
        <w:adjustRightInd w:val="0"/>
        <w:spacing w:line="480" w:lineRule="auto"/>
        <w:ind w:left="480" w:hanging="480"/>
        <w:rPr>
          <w:rFonts w:ascii="Calibri" w:hAnsi="Calibri" w:cs="Calibri"/>
          <w:noProof/>
          <w:szCs w:val="24"/>
        </w:rPr>
      </w:pPr>
      <w:r w:rsidRPr="007E795C">
        <w:rPr>
          <w:rFonts w:ascii="Calibri" w:hAnsi="Calibri" w:cs="Calibri"/>
          <w:noProof/>
          <w:szCs w:val="24"/>
        </w:rPr>
        <w:t xml:space="preserve">Fox, J. &amp; Weisberg, S. (2019). </w:t>
      </w:r>
      <w:r w:rsidRPr="007E795C">
        <w:rPr>
          <w:rFonts w:ascii="Calibri" w:hAnsi="Calibri" w:cs="Calibri"/>
          <w:i/>
          <w:iCs/>
          <w:noProof/>
          <w:szCs w:val="24"/>
        </w:rPr>
        <w:t>An R Companion to Applied Regression</w:t>
      </w:r>
      <w:r w:rsidRPr="007E795C">
        <w:rPr>
          <w:rFonts w:ascii="Calibri" w:hAnsi="Calibri" w:cs="Calibri"/>
          <w:noProof/>
          <w:szCs w:val="24"/>
        </w:rPr>
        <w:t>. Third edit. Sage publications, Inc., Thousand Oaks CA.</w:t>
      </w:r>
    </w:p>
    <w:p w14:paraId="02FB5D79" w14:textId="77777777" w:rsidR="007E795C" w:rsidRPr="007E795C" w:rsidRDefault="007E795C" w:rsidP="007E795C">
      <w:pPr>
        <w:widowControl w:val="0"/>
        <w:autoSpaceDE w:val="0"/>
        <w:autoSpaceDN w:val="0"/>
        <w:adjustRightInd w:val="0"/>
        <w:spacing w:line="480" w:lineRule="auto"/>
        <w:ind w:left="480" w:hanging="480"/>
        <w:rPr>
          <w:rFonts w:ascii="Calibri" w:hAnsi="Calibri" w:cs="Calibri"/>
          <w:noProof/>
          <w:szCs w:val="24"/>
        </w:rPr>
      </w:pPr>
      <w:r w:rsidRPr="007E795C">
        <w:rPr>
          <w:rFonts w:ascii="Calibri" w:hAnsi="Calibri" w:cs="Calibri"/>
          <w:noProof/>
          <w:szCs w:val="24"/>
        </w:rPr>
        <w:t xml:space="preserve">Frostegård, Å., Tunlid, A. &amp; Bååth, E. (1991). Microbial biomass measured as total lipid phosphate in soils of different organic content. </w:t>
      </w:r>
      <w:r w:rsidRPr="007E795C">
        <w:rPr>
          <w:rFonts w:ascii="Calibri" w:hAnsi="Calibri" w:cs="Calibri"/>
          <w:i/>
          <w:iCs/>
          <w:noProof/>
          <w:szCs w:val="24"/>
        </w:rPr>
        <w:t>J. Microbiol. Methods</w:t>
      </w:r>
      <w:r w:rsidRPr="007E795C">
        <w:rPr>
          <w:rFonts w:ascii="Calibri" w:hAnsi="Calibri" w:cs="Calibri"/>
          <w:noProof/>
          <w:szCs w:val="24"/>
        </w:rPr>
        <w:t>, 14, 151–163.</w:t>
      </w:r>
    </w:p>
    <w:p w14:paraId="003DA2C8" w14:textId="77777777" w:rsidR="007E795C" w:rsidRPr="007E795C" w:rsidRDefault="007E795C" w:rsidP="007E795C">
      <w:pPr>
        <w:widowControl w:val="0"/>
        <w:autoSpaceDE w:val="0"/>
        <w:autoSpaceDN w:val="0"/>
        <w:adjustRightInd w:val="0"/>
        <w:spacing w:line="480" w:lineRule="auto"/>
        <w:ind w:left="480" w:hanging="480"/>
        <w:rPr>
          <w:rFonts w:ascii="Calibri" w:hAnsi="Calibri" w:cs="Calibri"/>
          <w:noProof/>
          <w:szCs w:val="24"/>
        </w:rPr>
      </w:pPr>
      <w:r w:rsidRPr="007E795C">
        <w:rPr>
          <w:rFonts w:ascii="Calibri" w:hAnsi="Calibri" w:cs="Calibri"/>
          <w:noProof/>
          <w:szCs w:val="24"/>
        </w:rPr>
        <w:t xml:space="preserve">Frostegård, Å., Tunlid, A. &amp; Bååth, E. (2011). Use and misuse of PLFA measurements in soils. </w:t>
      </w:r>
      <w:r w:rsidRPr="007E795C">
        <w:rPr>
          <w:rFonts w:ascii="Calibri" w:hAnsi="Calibri" w:cs="Calibri"/>
          <w:i/>
          <w:iCs/>
          <w:noProof/>
          <w:szCs w:val="24"/>
        </w:rPr>
        <w:t>Soil Biol. Biochem.</w:t>
      </w:r>
      <w:r w:rsidRPr="007E795C">
        <w:rPr>
          <w:rFonts w:ascii="Calibri" w:hAnsi="Calibri" w:cs="Calibri"/>
          <w:noProof/>
          <w:szCs w:val="24"/>
        </w:rPr>
        <w:t>, 43, 1621–1625.</w:t>
      </w:r>
    </w:p>
    <w:p w14:paraId="579A927F" w14:textId="77777777" w:rsidR="007E795C" w:rsidRPr="007E795C" w:rsidRDefault="007E795C" w:rsidP="007E795C">
      <w:pPr>
        <w:widowControl w:val="0"/>
        <w:autoSpaceDE w:val="0"/>
        <w:autoSpaceDN w:val="0"/>
        <w:adjustRightInd w:val="0"/>
        <w:spacing w:line="480" w:lineRule="auto"/>
        <w:ind w:left="480" w:hanging="480"/>
        <w:rPr>
          <w:rFonts w:ascii="Calibri" w:hAnsi="Calibri" w:cs="Calibri"/>
          <w:noProof/>
          <w:szCs w:val="24"/>
        </w:rPr>
      </w:pPr>
      <w:r w:rsidRPr="007E795C">
        <w:rPr>
          <w:rFonts w:ascii="Calibri" w:hAnsi="Calibri" w:cs="Calibri"/>
          <w:noProof/>
          <w:szCs w:val="24"/>
        </w:rPr>
        <w:t xml:space="preserve">Harrison, X.A., Donaldson, L., Correa-Cano, M.E., Evans, J., Fisher, D.N., Goodwin, C.E.D., </w:t>
      </w:r>
      <w:r w:rsidRPr="007E795C">
        <w:rPr>
          <w:rFonts w:ascii="Calibri" w:hAnsi="Calibri" w:cs="Calibri"/>
          <w:i/>
          <w:iCs/>
          <w:noProof/>
          <w:szCs w:val="24"/>
        </w:rPr>
        <w:t>et al.</w:t>
      </w:r>
      <w:r w:rsidRPr="007E795C">
        <w:rPr>
          <w:rFonts w:ascii="Calibri" w:hAnsi="Calibri" w:cs="Calibri"/>
          <w:noProof/>
          <w:szCs w:val="24"/>
        </w:rPr>
        <w:t xml:space="preserve"> (2018). A brief introduction to mixed effects modelling and multi-model inference in ecology. </w:t>
      </w:r>
      <w:r w:rsidRPr="007E795C">
        <w:rPr>
          <w:rFonts w:ascii="Calibri" w:hAnsi="Calibri" w:cs="Calibri"/>
          <w:i/>
          <w:iCs/>
          <w:noProof/>
          <w:szCs w:val="24"/>
        </w:rPr>
        <w:t>PeerJ</w:t>
      </w:r>
      <w:r w:rsidRPr="007E795C">
        <w:rPr>
          <w:rFonts w:ascii="Calibri" w:hAnsi="Calibri" w:cs="Calibri"/>
          <w:noProof/>
          <w:szCs w:val="24"/>
        </w:rPr>
        <w:t>, 6, e4794.</w:t>
      </w:r>
    </w:p>
    <w:p w14:paraId="5FF2F9AE" w14:textId="77777777" w:rsidR="007E795C" w:rsidRPr="007E795C" w:rsidRDefault="007E795C" w:rsidP="007E795C">
      <w:pPr>
        <w:widowControl w:val="0"/>
        <w:autoSpaceDE w:val="0"/>
        <w:autoSpaceDN w:val="0"/>
        <w:adjustRightInd w:val="0"/>
        <w:spacing w:line="480" w:lineRule="auto"/>
        <w:ind w:left="480" w:hanging="480"/>
        <w:rPr>
          <w:rFonts w:ascii="Calibri" w:hAnsi="Calibri" w:cs="Calibri"/>
          <w:noProof/>
          <w:szCs w:val="24"/>
        </w:rPr>
      </w:pPr>
      <w:r w:rsidRPr="007E795C">
        <w:rPr>
          <w:rFonts w:ascii="Calibri" w:hAnsi="Calibri" w:cs="Calibri"/>
          <w:noProof/>
          <w:szCs w:val="24"/>
        </w:rPr>
        <w:t xml:space="preserve">Henry, S., Baudoin, E., López-Gutiérrez, J.C., Martin-Laurent, F., Brauman, A. &amp; Philippot, L. (2004). Quantification of denitrifying bacteria in soils by nirK gene targeted real-time PCR. </w:t>
      </w:r>
      <w:r w:rsidRPr="007E795C">
        <w:rPr>
          <w:rFonts w:ascii="Calibri" w:hAnsi="Calibri" w:cs="Calibri"/>
          <w:i/>
          <w:iCs/>
          <w:noProof/>
          <w:szCs w:val="24"/>
        </w:rPr>
        <w:t>J. Microbiol. Methods</w:t>
      </w:r>
      <w:r w:rsidRPr="007E795C">
        <w:rPr>
          <w:rFonts w:ascii="Calibri" w:hAnsi="Calibri" w:cs="Calibri"/>
          <w:noProof/>
          <w:szCs w:val="24"/>
        </w:rPr>
        <w:t>, 59, 327–335.</w:t>
      </w:r>
    </w:p>
    <w:p w14:paraId="07617935" w14:textId="77777777" w:rsidR="007E795C" w:rsidRPr="007E795C" w:rsidRDefault="007E795C" w:rsidP="007E795C">
      <w:pPr>
        <w:widowControl w:val="0"/>
        <w:autoSpaceDE w:val="0"/>
        <w:autoSpaceDN w:val="0"/>
        <w:adjustRightInd w:val="0"/>
        <w:spacing w:line="480" w:lineRule="auto"/>
        <w:ind w:left="480" w:hanging="480"/>
        <w:rPr>
          <w:rFonts w:ascii="Calibri" w:hAnsi="Calibri" w:cs="Calibri"/>
          <w:noProof/>
          <w:szCs w:val="24"/>
        </w:rPr>
      </w:pPr>
      <w:r w:rsidRPr="007E795C">
        <w:rPr>
          <w:rFonts w:ascii="Calibri" w:hAnsi="Calibri" w:cs="Calibri"/>
          <w:noProof/>
          <w:szCs w:val="24"/>
        </w:rPr>
        <w:t xml:space="preserve">Ihrmark, K., Bödeker, I.T.M., Cruz-Martinez, K., Friberg, H., Kubartova, A., Schenck, J., </w:t>
      </w:r>
      <w:r w:rsidRPr="007E795C">
        <w:rPr>
          <w:rFonts w:ascii="Calibri" w:hAnsi="Calibri" w:cs="Calibri"/>
          <w:i/>
          <w:iCs/>
          <w:noProof/>
          <w:szCs w:val="24"/>
        </w:rPr>
        <w:t>et al.</w:t>
      </w:r>
      <w:r w:rsidRPr="007E795C">
        <w:rPr>
          <w:rFonts w:ascii="Calibri" w:hAnsi="Calibri" w:cs="Calibri"/>
          <w:noProof/>
          <w:szCs w:val="24"/>
        </w:rPr>
        <w:t xml:space="preserve"> (2012). New primers to amplify the fungal ITS2 region - evaluation by 454-sequencing of artificial and natural communities. </w:t>
      </w:r>
      <w:r w:rsidRPr="007E795C">
        <w:rPr>
          <w:rFonts w:ascii="Calibri" w:hAnsi="Calibri" w:cs="Calibri"/>
          <w:i/>
          <w:iCs/>
          <w:noProof/>
          <w:szCs w:val="24"/>
        </w:rPr>
        <w:t>FEMS Microbiol. Ecol.</w:t>
      </w:r>
      <w:r w:rsidRPr="007E795C">
        <w:rPr>
          <w:rFonts w:ascii="Calibri" w:hAnsi="Calibri" w:cs="Calibri"/>
          <w:noProof/>
          <w:szCs w:val="24"/>
        </w:rPr>
        <w:t>, 82, 666–677.</w:t>
      </w:r>
    </w:p>
    <w:p w14:paraId="4173966F" w14:textId="77777777" w:rsidR="007E795C" w:rsidRPr="007E795C" w:rsidRDefault="007E795C" w:rsidP="007E795C">
      <w:pPr>
        <w:widowControl w:val="0"/>
        <w:autoSpaceDE w:val="0"/>
        <w:autoSpaceDN w:val="0"/>
        <w:adjustRightInd w:val="0"/>
        <w:spacing w:line="480" w:lineRule="auto"/>
        <w:ind w:left="480" w:hanging="480"/>
        <w:rPr>
          <w:rFonts w:ascii="Calibri" w:hAnsi="Calibri" w:cs="Calibri"/>
          <w:noProof/>
          <w:szCs w:val="24"/>
        </w:rPr>
      </w:pPr>
      <w:r w:rsidRPr="007E795C">
        <w:rPr>
          <w:rFonts w:ascii="Calibri" w:hAnsi="Calibri" w:cs="Calibri"/>
          <w:noProof/>
          <w:szCs w:val="24"/>
        </w:rPr>
        <w:t xml:space="preserve">Jackson, C.R., Tyler, H.L. &amp; Millar, J.J. (2013). Determination of Microbial Extracellular Enzyme </w:t>
      </w:r>
      <w:r w:rsidRPr="007E795C">
        <w:rPr>
          <w:rFonts w:ascii="Calibri" w:hAnsi="Calibri" w:cs="Calibri"/>
          <w:noProof/>
          <w:szCs w:val="24"/>
        </w:rPr>
        <w:lastRenderedPageBreak/>
        <w:t xml:space="preserve">Activity in Waters, Soils, and Sediments using High Throughput Microplate Assays. </w:t>
      </w:r>
      <w:r w:rsidRPr="007E795C">
        <w:rPr>
          <w:rFonts w:ascii="Calibri" w:hAnsi="Calibri" w:cs="Calibri"/>
          <w:i/>
          <w:iCs/>
          <w:noProof/>
          <w:szCs w:val="24"/>
        </w:rPr>
        <w:t>J. Vis. Exp.</w:t>
      </w:r>
      <w:r w:rsidRPr="007E795C">
        <w:rPr>
          <w:rFonts w:ascii="Calibri" w:hAnsi="Calibri" w:cs="Calibri"/>
          <w:noProof/>
          <w:szCs w:val="24"/>
        </w:rPr>
        <w:t>, (80), e50399.</w:t>
      </w:r>
    </w:p>
    <w:p w14:paraId="0A5EF24D" w14:textId="77777777" w:rsidR="007E795C" w:rsidRPr="007E795C" w:rsidRDefault="007E795C" w:rsidP="007E795C">
      <w:pPr>
        <w:widowControl w:val="0"/>
        <w:autoSpaceDE w:val="0"/>
        <w:autoSpaceDN w:val="0"/>
        <w:adjustRightInd w:val="0"/>
        <w:spacing w:line="480" w:lineRule="auto"/>
        <w:ind w:left="480" w:hanging="480"/>
        <w:rPr>
          <w:rFonts w:ascii="Calibri" w:hAnsi="Calibri" w:cs="Calibri"/>
          <w:noProof/>
          <w:szCs w:val="24"/>
        </w:rPr>
      </w:pPr>
      <w:r w:rsidRPr="007E795C">
        <w:rPr>
          <w:rFonts w:ascii="Calibri" w:hAnsi="Calibri" w:cs="Calibri"/>
          <w:noProof/>
          <w:szCs w:val="24"/>
        </w:rPr>
        <w:t xml:space="preserve">Jafari, M. &amp; Ansari-Pour, N. (2019). Why, when and how to adjust your P values? </w:t>
      </w:r>
      <w:r w:rsidRPr="007E795C">
        <w:rPr>
          <w:rFonts w:ascii="Calibri" w:hAnsi="Calibri" w:cs="Calibri"/>
          <w:i/>
          <w:iCs/>
          <w:noProof/>
          <w:szCs w:val="24"/>
        </w:rPr>
        <w:t>Cell J.</w:t>
      </w:r>
      <w:r w:rsidRPr="007E795C">
        <w:rPr>
          <w:rFonts w:ascii="Calibri" w:hAnsi="Calibri" w:cs="Calibri"/>
          <w:noProof/>
          <w:szCs w:val="24"/>
        </w:rPr>
        <w:t>, 20, 604–607.</w:t>
      </w:r>
    </w:p>
    <w:p w14:paraId="77821C81" w14:textId="77777777" w:rsidR="007E795C" w:rsidRPr="007E795C" w:rsidRDefault="007E795C" w:rsidP="007E795C">
      <w:pPr>
        <w:widowControl w:val="0"/>
        <w:autoSpaceDE w:val="0"/>
        <w:autoSpaceDN w:val="0"/>
        <w:adjustRightInd w:val="0"/>
        <w:spacing w:line="480" w:lineRule="auto"/>
        <w:ind w:left="480" w:hanging="480"/>
        <w:rPr>
          <w:rFonts w:ascii="Calibri" w:hAnsi="Calibri" w:cs="Calibri"/>
          <w:noProof/>
          <w:szCs w:val="24"/>
        </w:rPr>
      </w:pPr>
      <w:r w:rsidRPr="007E795C">
        <w:rPr>
          <w:rFonts w:ascii="Calibri" w:hAnsi="Calibri" w:cs="Calibri"/>
          <w:noProof/>
          <w:szCs w:val="24"/>
        </w:rPr>
        <w:t xml:space="preserve">Jones, D.L. &amp; Willett, V.B. (2006). Experimental evaluation of methods to quantify dissolved organic nitrogen (DON) and dissolved organic carbon (DOC) in soil. </w:t>
      </w:r>
      <w:r w:rsidRPr="007E795C">
        <w:rPr>
          <w:rFonts w:ascii="Calibri" w:hAnsi="Calibri" w:cs="Calibri"/>
          <w:i/>
          <w:iCs/>
          <w:noProof/>
          <w:szCs w:val="24"/>
        </w:rPr>
        <w:t>Soil Biol. Biochem.</w:t>
      </w:r>
      <w:r w:rsidRPr="007E795C">
        <w:rPr>
          <w:rFonts w:ascii="Calibri" w:hAnsi="Calibri" w:cs="Calibri"/>
          <w:noProof/>
          <w:szCs w:val="24"/>
        </w:rPr>
        <w:t>, 38, 991–999.</w:t>
      </w:r>
    </w:p>
    <w:p w14:paraId="558C8B54" w14:textId="77777777" w:rsidR="007E795C" w:rsidRPr="007E795C" w:rsidRDefault="007E795C" w:rsidP="007E795C">
      <w:pPr>
        <w:widowControl w:val="0"/>
        <w:autoSpaceDE w:val="0"/>
        <w:autoSpaceDN w:val="0"/>
        <w:adjustRightInd w:val="0"/>
        <w:spacing w:line="480" w:lineRule="auto"/>
        <w:ind w:left="480" w:hanging="480"/>
        <w:rPr>
          <w:rFonts w:ascii="Calibri" w:hAnsi="Calibri" w:cs="Calibri"/>
          <w:noProof/>
          <w:szCs w:val="24"/>
        </w:rPr>
      </w:pPr>
      <w:r w:rsidRPr="007E795C">
        <w:rPr>
          <w:rFonts w:ascii="Calibri" w:hAnsi="Calibri" w:cs="Calibri"/>
          <w:noProof/>
          <w:szCs w:val="24"/>
        </w:rPr>
        <w:t xml:space="preserve">Kõljalg, U., Larsson, K.H., Abarenkov, K., Nilsson, R.H., Alexander, I.J., Eberhardt, U., </w:t>
      </w:r>
      <w:r w:rsidRPr="007E795C">
        <w:rPr>
          <w:rFonts w:ascii="Calibri" w:hAnsi="Calibri" w:cs="Calibri"/>
          <w:i/>
          <w:iCs/>
          <w:noProof/>
          <w:szCs w:val="24"/>
        </w:rPr>
        <w:t>et al.</w:t>
      </w:r>
      <w:r w:rsidRPr="007E795C">
        <w:rPr>
          <w:rFonts w:ascii="Calibri" w:hAnsi="Calibri" w:cs="Calibri"/>
          <w:noProof/>
          <w:szCs w:val="24"/>
        </w:rPr>
        <w:t xml:space="preserve"> (2005). UNITE: A database providing web-based methods for the molecular identification of ectomycorrhizal fungi. </w:t>
      </w:r>
      <w:r w:rsidRPr="007E795C">
        <w:rPr>
          <w:rFonts w:ascii="Calibri" w:hAnsi="Calibri" w:cs="Calibri"/>
          <w:i/>
          <w:iCs/>
          <w:noProof/>
          <w:szCs w:val="24"/>
        </w:rPr>
        <w:t>New Phytol.</w:t>
      </w:r>
      <w:r w:rsidRPr="007E795C">
        <w:rPr>
          <w:rFonts w:ascii="Calibri" w:hAnsi="Calibri" w:cs="Calibri"/>
          <w:noProof/>
          <w:szCs w:val="24"/>
        </w:rPr>
        <w:t>, 166, 1063–1068.</w:t>
      </w:r>
    </w:p>
    <w:p w14:paraId="0BCA0922" w14:textId="77777777" w:rsidR="007E795C" w:rsidRPr="007E795C" w:rsidRDefault="007E795C" w:rsidP="007E795C">
      <w:pPr>
        <w:widowControl w:val="0"/>
        <w:autoSpaceDE w:val="0"/>
        <w:autoSpaceDN w:val="0"/>
        <w:adjustRightInd w:val="0"/>
        <w:spacing w:line="480" w:lineRule="auto"/>
        <w:ind w:left="480" w:hanging="480"/>
        <w:rPr>
          <w:rFonts w:ascii="Calibri" w:hAnsi="Calibri" w:cs="Calibri"/>
          <w:noProof/>
          <w:szCs w:val="24"/>
        </w:rPr>
      </w:pPr>
      <w:r w:rsidRPr="007E795C">
        <w:rPr>
          <w:rFonts w:ascii="Calibri" w:hAnsi="Calibri" w:cs="Calibri"/>
          <w:noProof/>
          <w:szCs w:val="24"/>
        </w:rPr>
        <w:t xml:space="preserve">Kozich, J.J., Westcott, S.L., Baxter, N.T., Highlander, S.K. &amp; Schloss, P.D. (2013). Development of a dual-index sequencing strategy and curation pipeline for analyzing amplicon sequence data on the miseq illumina sequencing platform. </w:t>
      </w:r>
      <w:r w:rsidRPr="007E795C">
        <w:rPr>
          <w:rFonts w:ascii="Calibri" w:hAnsi="Calibri" w:cs="Calibri"/>
          <w:i/>
          <w:iCs/>
          <w:noProof/>
          <w:szCs w:val="24"/>
        </w:rPr>
        <w:t>Appl. Environ. Microbiol.</w:t>
      </w:r>
      <w:r w:rsidRPr="007E795C">
        <w:rPr>
          <w:rFonts w:ascii="Calibri" w:hAnsi="Calibri" w:cs="Calibri"/>
          <w:noProof/>
          <w:szCs w:val="24"/>
        </w:rPr>
        <w:t>, 79, 5112–5120.</w:t>
      </w:r>
    </w:p>
    <w:p w14:paraId="60CD1B3E" w14:textId="77777777" w:rsidR="007E795C" w:rsidRPr="007E795C" w:rsidRDefault="007E795C" w:rsidP="007E795C">
      <w:pPr>
        <w:widowControl w:val="0"/>
        <w:autoSpaceDE w:val="0"/>
        <w:autoSpaceDN w:val="0"/>
        <w:adjustRightInd w:val="0"/>
        <w:spacing w:line="480" w:lineRule="auto"/>
        <w:ind w:left="480" w:hanging="480"/>
        <w:rPr>
          <w:rFonts w:ascii="Calibri" w:hAnsi="Calibri" w:cs="Calibri"/>
          <w:noProof/>
          <w:szCs w:val="24"/>
        </w:rPr>
      </w:pPr>
      <w:r w:rsidRPr="007E795C">
        <w:rPr>
          <w:rFonts w:ascii="Calibri" w:hAnsi="Calibri" w:cs="Calibri"/>
          <w:noProof/>
          <w:szCs w:val="24"/>
        </w:rPr>
        <w:t xml:space="preserve">Leininger, S., Urich, T., Schloter, M., Schwark, L., Qi, J., Nicol, G.W., </w:t>
      </w:r>
      <w:r w:rsidRPr="007E795C">
        <w:rPr>
          <w:rFonts w:ascii="Calibri" w:hAnsi="Calibri" w:cs="Calibri"/>
          <w:i/>
          <w:iCs/>
          <w:noProof/>
          <w:szCs w:val="24"/>
        </w:rPr>
        <w:t>et al.</w:t>
      </w:r>
      <w:r w:rsidRPr="007E795C">
        <w:rPr>
          <w:rFonts w:ascii="Calibri" w:hAnsi="Calibri" w:cs="Calibri"/>
          <w:noProof/>
          <w:szCs w:val="24"/>
        </w:rPr>
        <w:t xml:space="preserve"> (2006). Archaea predominate among ammonia-oxidizing prokaryotes in soils. </w:t>
      </w:r>
      <w:r w:rsidRPr="007E795C">
        <w:rPr>
          <w:rFonts w:ascii="Calibri" w:hAnsi="Calibri" w:cs="Calibri"/>
          <w:i/>
          <w:iCs/>
          <w:noProof/>
          <w:szCs w:val="24"/>
        </w:rPr>
        <w:t>Nature</w:t>
      </w:r>
      <w:r w:rsidRPr="007E795C">
        <w:rPr>
          <w:rFonts w:ascii="Calibri" w:hAnsi="Calibri" w:cs="Calibri"/>
          <w:noProof/>
          <w:szCs w:val="24"/>
        </w:rPr>
        <w:t>, 442, 806–809.</w:t>
      </w:r>
    </w:p>
    <w:p w14:paraId="379AF4B6" w14:textId="77777777" w:rsidR="007E795C" w:rsidRPr="007E795C" w:rsidRDefault="007E795C" w:rsidP="007E795C">
      <w:pPr>
        <w:widowControl w:val="0"/>
        <w:autoSpaceDE w:val="0"/>
        <w:autoSpaceDN w:val="0"/>
        <w:adjustRightInd w:val="0"/>
        <w:spacing w:line="480" w:lineRule="auto"/>
        <w:ind w:left="480" w:hanging="480"/>
        <w:rPr>
          <w:rFonts w:ascii="Calibri" w:hAnsi="Calibri" w:cs="Calibri"/>
          <w:noProof/>
          <w:szCs w:val="24"/>
        </w:rPr>
      </w:pPr>
      <w:r w:rsidRPr="007E795C">
        <w:rPr>
          <w:rFonts w:ascii="Calibri" w:hAnsi="Calibri" w:cs="Calibri"/>
          <w:noProof/>
          <w:szCs w:val="24"/>
        </w:rPr>
        <w:t>Lenth, R., Love, J. &amp; Herve, M. (2019). emmeans: Estimated Marginal Means, aka Least-Squares Means.</w:t>
      </w:r>
    </w:p>
    <w:p w14:paraId="4EAAC621" w14:textId="77777777" w:rsidR="007E795C" w:rsidRPr="007E795C" w:rsidRDefault="007E795C" w:rsidP="007E795C">
      <w:pPr>
        <w:widowControl w:val="0"/>
        <w:autoSpaceDE w:val="0"/>
        <w:autoSpaceDN w:val="0"/>
        <w:adjustRightInd w:val="0"/>
        <w:spacing w:line="480" w:lineRule="auto"/>
        <w:ind w:left="480" w:hanging="480"/>
        <w:rPr>
          <w:rFonts w:ascii="Calibri" w:hAnsi="Calibri" w:cs="Calibri"/>
          <w:noProof/>
          <w:szCs w:val="24"/>
        </w:rPr>
      </w:pPr>
      <w:r w:rsidRPr="007E795C">
        <w:rPr>
          <w:rFonts w:ascii="Calibri" w:hAnsi="Calibri" w:cs="Calibri"/>
          <w:noProof/>
          <w:szCs w:val="24"/>
        </w:rPr>
        <w:t xml:space="preserve">De Long, J.R., Semchenko, M., Pritchard, W.J., Cordero, I., Fry, E.L., Jackson, B.G., </w:t>
      </w:r>
      <w:r w:rsidRPr="007E795C">
        <w:rPr>
          <w:rFonts w:ascii="Calibri" w:hAnsi="Calibri" w:cs="Calibri"/>
          <w:i/>
          <w:iCs/>
          <w:noProof/>
          <w:szCs w:val="24"/>
        </w:rPr>
        <w:t>et al.</w:t>
      </w:r>
      <w:r w:rsidRPr="007E795C">
        <w:rPr>
          <w:rFonts w:ascii="Calibri" w:hAnsi="Calibri" w:cs="Calibri"/>
          <w:noProof/>
          <w:szCs w:val="24"/>
        </w:rPr>
        <w:t xml:space="preserve"> (2019). Drought soil legacy overrides maternal effects on plant growth. </w:t>
      </w:r>
      <w:r w:rsidRPr="007E795C">
        <w:rPr>
          <w:rFonts w:ascii="Calibri" w:hAnsi="Calibri" w:cs="Calibri"/>
          <w:i/>
          <w:iCs/>
          <w:noProof/>
          <w:szCs w:val="24"/>
        </w:rPr>
        <w:t>Funct. Ecol.</w:t>
      </w:r>
      <w:r w:rsidRPr="007E795C">
        <w:rPr>
          <w:rFonts w:ascii="Calibri" w:hAnsi="Calibri" w:cs="Calibri"/>
          <w:noProof/>
          <w:szCs w:val="24"/>
        </w:rPr>
        <w:t>, 33, 1400–1410.</w:t>
      </w:r>
    </w:p>
    <w:p w14:paraId="087FBBEE" w14:textId="77777777" w:rsidR="007E795C" w:rsidRPr="007E795C" w:rsidRDefault="007E795C" w:rsidP="007E795C">
      <w:pPr>
        <w:widowControl w:val="0"/>
        <w:autoSpaceDE w:val="0"/>
        <w:autoSpaceDN w:val="0"/>
        <w:adjustRightInd w:val="0"/>
        <w:spacing w:line="480" w:lineRule="auto"/>
        <w:ind w:left="480" w:hanging="480"/>
        <w:rPr>
          <w:rFonts w:ascii="Calibri" w:hAnsi="Calibri" w:cs="Calibri"/>
          <w:noProof/>
          <w:szCs w:val="24"/>
        </w:rPr>
      </w:pPr>
      <w:r w:rsidRPr="007E795C">
        <w:rPr>
          <w:rFonts w:ascii="Calibri" w:hAnsi="Calibri" w:cs="Calibri"/>
          <w:noProof/>
          <w:szCs w:val="24"/>
        </w:rPr>
        <w:t xml:space="preserve">McKane, R.B., Johnson, L.C., Shaver, G.R., Nadelhoffer, K.J., Rastetter, E.B., Fry, B., </w:t>
      </w:r>
      <w:r w:rsidRPr="007E795C">
        <w:rPr>
          <w:rFonts w:ascii="Calibri" w:hAnsi="Calibri" w:cs="Calibri"/>
          <w:i/>
          <w:iCs/>
          <w:noProof/>
          <w:szCs w:val="24"/>
        </w:rPr>
        <w:t>et al.</w:t>
      </w:r>
      <w:r w:rsidRPr="007E795C">
        <w:rPr>
          <w:rFonts w:ascii="Calibri" w:hAnsi="Calibri" w:cs="Calibri"/>
          <w:noProof/>
          <w:szCs w:val="24"/>
        </w:rPr>
        <w:t xml:space="preserve"> (2002). Resource-based niches provide a basis for plant species diversity and dominance in arctic tundra. </w:t>
      </w:r>
      <w:r w:rsidRPr="007E795C">
        <w:rPr>
          <w:rFonts w:ascii="Calibri" w:hAnsi="Calibri" w:cs="Calibri"/>
          <w:i/>
          <w:iCs/>
          <w:noProof/>
          <w:szCs w:val="24"/>
        </w:rPr>
        <w:t>Nature</w:t>
      </w:r>
      <w:r w:rsidRPr="007E795C">
        <w:rPr>
          <w:rFonts w:ascii="Calibri" w:hAnsi="Calibri" w:cs="Calibri"/>
          <w:noProof/>
          <w:szCs w:val="24"/>
        </w:rPr>
        <w:t>, 415, 68–71.</w:t>
      </w:r>
    </w:p>
    <w:p w14:paraId="27594811" w14:textId="77777777" w:rsidR="007E795C" w:rsidRPr="007E795C" w:rsidRDefault="007E795C" w:rsidP="007E795C">
      <w:pPr>
        <w:widowControl w:val="0"/>
        <w:autoSpaceDE w:val="0"/>
        <w:autoSpaceDN w:val="0"/>
        <w:adjustRightInd w:val="0"/>
        <w:spacing w:line="480" w:lineRule="auto"/>
        <w:ind w:left="480" w:hanging="480"/>
        <w:rPr>
          <w:rFonts w:ascii="Calibri" w:hAnsi="Calibri" w:cs="Calibri"/>
          <w:noProof/>
          <w:szCs w:val="24"/>
        </w:rPr>
      </w:pPr>
      <w:r w:rsidRPr="007E795C">
        <w:rPr>
          <w:rFonts w:ascii="Calibri" w:hAnsi="Calibri" w:cs="Calibri"/>
          <w:noProof/>
          <w:szCs w:val="24"/>
        </w:rPr>
        <w:t xml:space="preserve">Michotey, V., Méjean, V. &amp; Bonin, P. (2000). Comparison of methods for quantification of cytochrome cd1-denitrifying bacteria in environmental marine samples. </w:t>
      </w:r>
      <w:r w:rsidRPr="007E795C">
        <w:rPr>
          <w:rFonts w:ascii="Calibri" w:hAnsi="Calibri" w:cs="Calibri"/>
          <w:i/>
          <w:iCs/>
          <w:noProof/>
          <w:szCs w:val="24"/>
        </w:rPr>
        <w:t>Appl. Environ. Microbiol.</w:t>
      </w:r>
      <w:r w:rsidRPr="007E795C">
        <w:rPr>
          <w:rFonts w:ascii="Calibri" w:hAnsi="Calibri" w:cs="Calibri"/>
          <w:noProof/>
          <w:szCs w:val="24"/>
        </w:rPr>
        <w:t>, 66, 1564–1571.</w:t>
      </w:r>
    </w:p>
    <w:p w14:paraId="272E8D44" w14:textId="77777777" w:rsidR="007E795C" w:rsidRPr="007E795C" w:rsidRDefault="007E795C" w:rsidP="007E795C">
      <w:pPr>
        <w:widowControl w:val="0"/>
        <w:autoSpaceDE w:val="0"/>
        <w:autoSpaceDN w:val="0"/>
        <w:adjustRightInd w:val="0"/>
        <w:spacing w:line="480" w:lineRule="auto"/>
        <w:ind w:left="480" w:hanging="480"/>
        <w:rPr>
          <w:rFonts w:ascii="Calibri" w:hAnsi="Calibri" w:cs="Calibri"/>
          <w:noProof/>
          <w:szCs w:val="24"/>
        </w:rPr>
      </w:pPr>
      <w:r w:rsidRPr="007E795C">
        <w:rPr>
          <w:rFonts w:ascii="Calibri" w:hAnsi="Calibri" w:cs="Calibri"/>
          <w:noProof/>
          <w:szCs w:val="24"/>
        </w:rPr>
        <w:lastRenderedPageBreak/>
        <w:t xml:space="preserve">Oksanen, J., Blanchet, F.G., Friendly, M., Kindt, R., Legendre, P., McGlinn, D., </w:t>
      </w:r>
      <w:r w:rsidRPr="007E795C">
        <w:rPr>
          <w:rFonts w:ascii="Calibri" w:hAnsi="Calibri" w:cs="Calibri"/>
          <w:i/>
          <w:iCs/>
          <w:noProof/>
          <w:szCs w:val="24"/>
        </w:rPr>
        <w:t>et al.</w:t>
      </w:r>
      <w:r w:rsidRPr="007E795C">
        <w:rPr>
          <w:rFonts w:ascii="Calibri" w:hAnsi="Calibri" w:cs="Calibri"/>
          <w:noProof/>
          <w:szCs w:val="24"/>
        </w:rPr>
        <w:t xml:space="preserve"> (2020). vegan: Community Ecology Package. R package version 2.5-7. https://CRAN.R-project.org/package=vegan.</w:t>
      </w:r>
    </w:p>
    <w:p w14:paraId="3FEE426B" w14:textId="77777777" w:rsidR="007E795C" w:rsidRPr="007E795C" w:rsidRDefault="007E795C" w:rsidP="007E795C">
      <w:pPr>
        <w:widowControl w:val="0"/>
        <w:autoSpaceDE w:val="0"/>
        <w:autoSpaceDN w:val="0"/>
        <w:adjustRightInd w:val="0"/>
        <w:spacing w:line="480" w:lineRule="auto"/>
        <w:ind w:left="480" w:hanging="480"/>
        <w:rPr>
          <w:rFonts w:ascii="Calibri" w:hAnsi="Calibri" w:cs="Calibri"/>
          <w:noProof/>
          <w:szCs w:val="24"/>
        </w:rPr>
      </w:pPr>
      <w:r w:rsidRPr="007E795C">
        <w:rPr>
          <w:rFonts w:ascii="Calibri" w:hAnsi="Calibri" w:cs="Calibri"/>
          <w:noProof/>
          <w:szCs w:val="24"/>
        </w:rPr>
        <w:t>Pinheiro, J., Bates, D., DebRoy, S., Sarkar, D. &amp; Team, R.C. (2020). _nlme: Linear and Nonlinear Mixed Effects Models_. R package version 3.1-144, &lt;URL: https://CRAN.R-project.org/package=nlme&gt;.</w:t>
      </w:r>
    </w:p>
    <w:p w14:paraId="3276DF1C" w14:textId="77777777" w:rsidR="007E795C" w:rsidRPr="007E795C" w:rsidRDefault="007E795C" w:rsidP="007E795C">
      <w:pPr>
        <w:widowControl w:val="0"/>
        <w:autoSpaceDE w:val="0"/>
        <w:autoSpaceDN w:val="0"/>
        <w:adjustRightInd w:val="0"/>
        <w:spacing w:line="480" w:lineRule="auto"/>
        <w:ind w:left="480" w:hanging="480"/>
        <w:rPr>
          <w:rFonts w:ascii="Calibri" w:hAnsi="Calibri" w:cs="Calibri"/>
          <w:noProof/>
          <w:szCs w:val="24"/>
        </w:rPr>
      </w:pPr>
      <w:r w:rsidRPr="007E795C">
        <w:rPr>
          <w:rFonts w:ascii="Calibri" w:hAnsi="Calibri" w:cs="Calibri"/>
          <w:noProof/>
          <w:szCs w:val="24"/>
        </w:rPr>
        <w:t>R Core Team. (2021). R: A language and environment for statistical computing. R Foundation for Statistical Computing, Vienna, Austria. https://www.R-project.org/.</w:t>
      </w:r>
    </w:p>
    <w:p w14:paraId="1559FFA7" w14:textId="77777777" w:rsidR="007E795C" w:rsidRPr="007E795C" w:rsidRDefault="007E795C" w:rsidP="007E795C">
      <w:pPr>
        <w:widowControl w:val="0"/>
        <w:autoSpaceDE w:val="0"/>
        <w:autoSpaceDN w:val="0"/>
        <w:adjustRightInd w:val="0"/>
        <w:spacing w:line="480" w:lineRule="auto"/>
        <w:ind w:left="480" w:hanging="480"/>
        <w:rPr>
          <w:rFonts w:ascii="Calibri" w:hAnsi="Calibri" w:cs="Calibri"/>
          <w:noProof/>
          <w:szCs w:val="24"/>
        </w:rPr>
      </w:pPr>
      <w:r w:rsidRPr="007E795C">
        <w:rPr>
          <w:rFonts w:ascii="Calibri" w:hAnsi="Calibri" w:cs="Calibri"/>
          <w:noProof/>
          <w:szCs w:val="24"/>
        </w:rPr>
        <w:t xml:space="preserve">Ross, D.J. (1992). Influence of sieve mesh size on estimates of microbial carbon and nitrogen by fumigation-extraction procedures in soils under pasture. </w:t>
      </w:r>
      <w:r w:rsidRPr="007E795C">
        <w:rPr>
          <w:rFonts w:ascii="Calibri" w:hAnsi="Calibri" w:cs="Calibri"/>
          <w:i/>
          <w:iCs/>
          <w:noProof/>
          <w:szCs w:val="24"/>
        </w:rPr>
        <w:t>Soil Biol. Biochem.</w:t>
      </w:r>
      <w:r w:rsidRPr="007E795C">
        <w:rPr>
          <w:rFonts w:ascii="Calibri" w:hAnsi="Calibri" w:cs="Calibri"/>
          <w:noProof/>
          <w:szCs w:val="24"/>
        </w:rPr>
        <w:t>, 24, 343–350.</w:t>
      </w:r>
    </w:p>
    <w:p w14:paraId="38B17246" w14:textId="77777777" w:rsidR="007E795C" w:rsidRPr="007E795C" w:rsidRDefault="007E795C" w:rsidP="007E795C">
      <w:pPr>
        <w:widowControl w:val="0"/>
        <w:autoSpaceDE w:val="0"/>
        <w:autoSpaceDN w:val="0"/>
        <w:adjustRightInd w:val="0"/>
        <w:spacing w:line="480" w:lineRule="auto"/>
        <w:ind w:left="480" w:hanging="480"/>
        <w:rPr>
          <w:rFonts w:ascii="Calibri" w:hAnsi="Calibri" w:cs="Calibri"/>
          <w:noProof/>
          <w:szCs w:val="24"/>
        </w:rPr>
      </w:pPr>
      <w:r w:rsidRPr="007E795C">
        <w:rPr>
          <w:rFonts w:ascii="Calibri" w:hAnsi="Calibri" w:cs="Calibri"/>
          <w:noProof/>
          <w:szCs w:val="24"/>
        </w:rPr>
        <w:t xml:space="preserve">Rotthauwe, J.H., Witzel, K.P. &amp; Liesack, W. (1997). The ammonia monooxygenase structural gene amoa as a functional marker: Molecular fine-scale analysis of natural ammonia-oxidizing populations. </w:t>
      </w:r>
      <w:r w:rsidRPr="007E795C">
        <w:rPr>
          <w:rFonts w:ascii="Calibri" w:hAnsi="Calibri" w:cs="Calibri"/>
          <w:i/>
          <w:iCs/>
          <w:noProof/>
          <w:szCs w:val="24"/>
        </w:rPr>
        <w:t>Appl. Environ. Microbiol.</w:t>
      </w:r>
      <w:r w:rsidRPr="007E795C">
        <w:rPr>
          <w:rFonts w:ascii="Calibri" w:hAnsi="Calibri" w:cs="Calibri"/>
          <w:noProof/>
          <w:szCs w:val="24"/>
        </w:rPr>
        <w:t>, 63, 4704–4712.</w:t>
      </w:r>
    </w:p>
    <w:p w14:paraId="0A79C1A6" w14:textId="77777777" w:rsidR="007E795C" w:rsidRPr="007E795C" w:rsidRDefault="007E795C" w:rsidP="007E795C">
      <w:pPr>
        <w:widowControl w:val="0"/>
        <w:autoSpaceDE w:val="0"/>
        <w:autoSpaceDN w:val="0"/>
        <w:adjustRightInd w:val="0"/>
        <w:spacing w:line="480" w:lineRule="auto"/>
        <w:ind w:left="480" w:hanging="480"/>
        <w:rPr>
          <w:rFonts w:ascii="Calibri" w:hAnsi="Calibri" w:cs="Calibri"/>
          <w:noProof/>
          <w:szCs w:val="24"/>
        </w:rPr>
      </w:pPr>
      <w:r w:rsidRPr="007E795C">
        <w:rPr>
          <w:rFonts w:ascii="Calibri" w:hAnsi="Calibri" w:cs="Calibri"/>
          <w:noProof/>
          <w:szCs w:val="24"/>
        </w:rPr>
        <w:t xml:space="preserve">Sinsabaugh, R.L., Lauber, C.L., Weintraub, M.N., Ahmed, B., Allison, S.D., Crenshaw, C., </w:t>
      </w:r>
      <w:r w:rsidRPr="007E795C">
        <w:rPr>
          <w:rFonts w:ascii="Calibri" w:hAnsi="Calibri" w:cs="Calibri"/>
          <w:i/>
          <w:iCs/>
          <w:noProof/>
          <w:szCs w:val="24"/>
        </w:rPr>
        <w:t>et al.</w:t>
      </w:r>
      <w:r w:rsidRPr="007E795C">
        <w:rPr>
          <w:rFonts w:ascii="Calibri" w:hAnsi="Calibri" w:cs="Calibri"/>
          <w:noProof/>
          <w:szCs w:val="24"/>
        </w:rPr>
        <w:t xml:space="preserve"> (2008). Stoichiometry of soil enzyme activity at global scale. </w:t>
      </w:r>
      <w:r w:rsidRPr="007E795C">
        <w:rPr>
          <w:rFonts w:ascii="Calibri" w:hAnsi="Calibri" w:cs="Calibri"/>
          <w:i/>
          <w:iCs/>
          <w:noProof/>
          <w:szCs w:val="24"/>
        </w:rPr>
        <w:t>Ecol. Lett.</w:t>
      </w:r>
      <w:r w:rsidRPr="007E795C">
        <w:rPr>
          <w:rFonts w:ascii="Calibri" w:hAnsi="Calibri" w:cs="Calibri"/>
          <w:noProof/>
          <w:szCs w:val="24"/>
        </w:rPr>
        <w:t>, 11, 1252–1264.</w:t>
      </w:r>
    </w:p>
    <w:p w14:paraId="7C06A517" w14:textId="77777777" w:rsidR="007E795C" w:rsidRPr="007E795C" w:rsidRDefault="007E795C" w:rsidP="007E795C">
      <w:pPr>
        <w:widowControl w:val="0"/>
        <w:autoSpaceDE w:val="0"/>
        <w:autoSpaceDN w:val="0"/>
        <w:adjustRightInd w:val="0"/>
        <w:spacing w:line="480" w:lineRule="auto"/>
        <w:ind w:left="480" w:hanging="480"/>
        <w:rPr>
          <w:rFonts w:ascii="Calibri" w:hAnsi="Calibri" w:cs="Calibri"/>
          <w:noProof/>
          <w:szCs w:val="24"/>
        </w:rPr>
      </w:pPr>
      <w:r w:rsidRPr="007E795C">
        <w:rPr>
          <w:rFonts w:ascii="Calibri" w:hAnsi="Calibri" w:cs="Calibri"/>
          <w:noProof/>
          <w:szCs w:val="24"/>
        </w:rPr>
        <w:t xml:space="preserve">Throbäck, I.N., Enwall, K., Jarvis, Å. &amp; Hallin, S. (2004). Reassessing PCR primers targeting nirS, nirK and nosZ genes for community surveys of denitrifying bacteria with DGGE. </w:t>
      </w:r>
      <w:r w:rsidRPr="007E795C">
        <w:rPr>
          <w:rFonts w:ascii="Calibri" w:hAnsi="Calibri" w:cs="Calibri"/>
          <w:i/>
          <w:iCs/>
          <w:noProof/>
          <w:szCs w:val="24"/>
        </w:rPr>
        <w:t>FEMS Microbiol. Ecol.</w:t>
      </w:r>
      <w:r w:rsidRPr="007E795C">
        <w:rPr>
          <w:rFonts w:ascii="Calibri" w:hAnsi="Calibri" w:cs="Calibri"/>
          <w:noProof/>
          <w:szCs w:val="24"/>
        </w:rPr>
        <w:t>, 49, 401–417.</w:t>
      </w:r>
    </w:p>
    <w:p w14:paraId="25F84E81" w14:textId="77777777" w:rsidR="007E795C" w:rsidRPr="007E795C" w:rsidRDefault="007E795C" w:rsidP="007E795C">
      <w:pPr>
        <w:widowControl w:val="0"/>
        <w:autoSpaceDE w:val="0"/>
        <w:autoSpaceDN w:val="0"/>
        <w:adjustRightInd w:val="0"/>
        <w:spacing w:line="480" w:lineRule="auto"/>
        <w:ind w:left="480" w:hanging="480"/>
        <w:rPr>
          <w:rFonts w:ascii="Calibri" w:hAnsi="Calibri" w:cs="Calibri"/>
          <w:noProof/>
          <w:szCs w:val="24"/>
        </w:rPr>
      </w:pPr>
      <w:r w:rsidRPr="007E795C">
        <w:rPr>
          <w:rFonts w:ascii="Calibri" w:hAnsi="Calibri" w:cs="Calibri"/>
          <w:noProof/>
          <w:szCs w:val="24"/>
        </w:rPr>
        <w:t xml:space="preserve">Vance, E.D., Brookes, P.C. &amp; Jenkinson, D.S. (1987). An extraction method for measuring soil microbial biomass C. </w:t>
      </w:r>
      <w:r w:rsidRPr="007E795C">
        <w:rPr>
          <w:rFonts w:ascii="Calibri" w:hAnsi="Calibri" w:cs="Calibri"/>
          <w:i/>
          <w:iCs/>
          <w:noProof/>
          <w:szCs w:val="24"/>
        </w:rPr>
        <w:t>Soil Biol. Biochem.</w:t>
      </w:r>
      <w:r w:rsidRPr="007E795C">
        <w:rPr>
          <w:rFonts w:ascii="Calibri" w:hAnsi="Calibri" w:cs="Calibri"/>
          <w:noProof/>
          <w:szCs w:val="24"/>
        </w:rPr>
        <w:t>, 19, 703–707.</w:t>
      </w:r>
    </w:p>
    <w:p w14:paraId="41E87B1D" w14:textId="77777777" w:rsidR="007E795C" w:rsidRPr="007E795C" w:rsidRDefault="007E795C" w:rsidP="007E795C">
      <w:pPr>
        <w:widowControl w:val="0"/>
        <w:autoSpaceDE w:val="0"/>
        <w:autoSpaceDN w:val="0"/>
        <w:adjustRightInd w:val="0"/>
        <w:spacing w:line="480" w:lineRule="auto"/>
        <w:ind w:left="480" w:hanging="480"/>
        <w:rPr>
          <w:rFonts w:ascii="Calibri" w:hAnsi="Calibri" w:cs="Calibri"/>
          <w:noProof/>
          <w:szCs w:val="24"/>
        </w:rPr>
      </w:pPr>
      <w:r w:rsidRPr="007E795C">
        <w:rPr>
          <w:rFonts w:ascii="Calibri" w:hAnsi="Calibri" w:cs="Calibri"/>
          <w:noProof/>
          <w:szCs w:val="24"/>
        </w:rPr>
        <w:t xml:space="preserve">White, T.J., Bruns, T., Lee, S. &amp; Taylor, J. (1990). </w:t>
      </w:r>
      <w:r w:rsidRPr="007E795C">
        <w:rPr>
          <w:rFonts w:ascii="Calibri" w:hAnsi="Calibri" w:cs="Calibri"/>
          <w:i/>
          <w:iCs/>
          <w:noProof/>
          <w:szCs w:val="24"/>
        </w:rPr>
        <w:t>PCR Protocols</w:t>
      </w:r>
      <w:r w:rsidRPr="007E795C">
        <w:rPr>
          <w:rFonts w:ascii="Calibri" w:hAnsi="Calibri" w:cs="Calibri"/>
          <w:noProof/>
          <w:szCs w:val="24"/>
        </w:rPr>
        <w:t>. Academic Press.</w:t>
      </w:r>
    </w:p>
    <w:p w14:paraId="0EC7CF9F" w14:textId="77777777" w:rsidR="007E795C" w:rsidRPr="007E795C" w:rsidRDefault="007E795C" w:rsidP="007E795C">
      <w:pPr>
        <w:widowControl w:val="0"/>
        <w:autoSpaceDE w:val="0"/>
        <w:autoSpaceDN w:val="0"/>
        <w:adjustRightInd w:val="0"/>
        <w:spacing w:line="480" w:lineRule="auto"/>
        <w:ind w:left="480" w:hanging="480"/>
        <w:rPr>
          <w:rFonts w:ascii="Calibri" w:hAnsi="Calibri" w:cs="Calibri"/>
          <w:noProof/>
          <w:szCs w:val="24"/>
        </w:rPr>
      </w:pPr>
      <w:r w:rsidRPr="007E795C">
        <w:rPr>
          <w:rFonts w:ascii="Calibri" w:hAnsi="Calibri" w:cs="Calibri"/>
          <w:noProof/>
          <w:szCs w:val="24"/>
        </w:rPr>
        <w:t xml:space="preserve">Wilkinson, A., Hill, P.W., Vaieretti, M. V., Farrar, J.F., Jones, D.L. &amp; Bardgett, R.D. (2015). Challenging the paradigm of nitrogen cycling: No evidence of in situ resource partitioning by coexisting plant species in grasslands of contrasting fertility. </w:t>
      </w:r>
      <w:r w:rsidRPr="007E795C">
        <w:rPr>
          <w:rFonts w:ascii="Calibri" w:hAnsi="Calibri" w:cs="Calibri"/>
          <w:i/>
          <w:iCs/>
          <w:noProof/>
          <w:szCs w:val="24"/>
        </w:rPr>
        <w:t>Ecol. Evol.</w:t>
      </w:r>
      <w:r w:rsidRPr="007E795C">
        <w:rPr>
          <w:rFonts w:ascii="Calibri" w:hAnsi="Calibri" w:cs="Calibri"/>
          <w:noProof/>
          <w:szCs w:val="24"/>
        </w:rPr>
        <w:t>, 5, 275–287.</w:t>
      </w:r>
    </w:p>
    <w:p w14:paraId="2274B033" w14:textId="77777777" w:rsidR="007E795C" w:rsidRPr="007E795C" w:rsidRDefault="007E795C" w:rsidP="007E795C">
      <w:pPr>
        <w:widowControl w:val="0"/>
        <w:autoSpaceDE w:val="0"/>
        <w:autoSpaceDN w:val="0"/>
        <w:adjustRightInd w:val="0"/>
        <w:spacing w:line="480" w:lineRule="auto"/>
        <w:ind w:left="480" w:hanging="480"/>
        <w:rPr>
          <w:rFonts w:ascii="Calibri" w:hAnsi="Calibri" w:cs="Calibri"/>
          <w:noProof/>
          <w:szCs w:val="24"/>
        </w:rPr>
      </w:pPr>
      <w:r w:rsidRPr="007E795C">
        <w:rPr>
          <w:rFonts w:ascii="Calibri" w:hAnsi="Calibri" w:cs="Calibri"/>
          <w:noProof/>
          <w:szCs w:val="24"/>
        </w:rPr>
        <w:lastRenderedPageBreak/>
        <w:t xml:space="preserve">Willers, C., Jansen van Rensburg, P.J. &amp; Claassens, S. (2015). Phospholipid fatty acid profiling of microbial communities-a review of interpretations and recent applications. </w:t>
      </w:r>
      <w:r w:rsidRPr="007E795C">
        <w:rPr>
          <w:rFonts w:ascii="Calibri" w:hAnsi="Calibri" w:cs="Calibri"/>
          <w:i/>
          <w:iCs/>
          <w:noProof/>
          <w:szCs w:val="24"/>
        </w:rPr>
        <w:t>J. Appl. Microbiol.</w:t>
      </w:r>
      <w:r w:rsidRPr="007E795C">
        <w:rPr>
          <w:rFonts w:ascii="Calibri" w:hAnsi="Calibri" w:cs="Calibri"/>
          <w:noProof/>
          <w:szCs w:val="24"/>
        </w:rPr>
        <w:t>, 119, 1207–1218.</w:t>
      </w:r>
    </w:p>
    <w:p w14:paraId="71985929" w14:textId="77777777" w:rsidR="007E795C" w:rsidRPr="007E795C" w:rsidRDefault="007E795C" w:rsidP="007E795C">
      <w:pPr>
        <w:widowControl w:val="0"/>
        <w:autoSpaceDE w:val="0"/>
        <w:autoSpaceDN w:val="0"/>
        <w:adjustRightInd w:val="0"/>
        <w:spacing w:line="480" w:lineRule="auto"/>
        <w:ind w:left="480" w:hanging="480"/>
        <w:rPr>
          <w:rFonts w:ascii="Calibri" w:hAnsi="Calibri" w:cs="Calibri"/>
          <w:noProof/>
          <w:szCs w:val="24"/>
        </w:rPr>
      </w:pPr>
      <w:r w:rsidRPr="007E795C">
        <w:rPr>
          <w:rFonts w:ascii="Calibri" w:hAnsi="Calibri" w:cs="Calibri"/>
          <w:noProof/>
          <w:szCs w:val="24"/>
        </w:rPr>
        <w:t xml:space="preserve">Zelles, L. (1999). Fatty acid patterns of phospholipids and lipopolysaccharides in the characterisation of microbial communities in soil: A review. </w:t>
      </w:r>
      <w:r w:rsidRPr="007E795C">
        <w:rPr>
          <w:rFonts w:ascii="Calibri" w:hAnsi="Calibri" w:cs="Calibri"/>
          <w:i/>
          <w:iCs/>
          <w:noProof/>
          <w:szCs w:val="24"/>
        </w:rPr>
        <w:t>Biol. Fertil. Soils</w:t>
      </w:r>
      <w:r w:rsidRPr="007E795C">
        <w:rPr>
          <w:rFonts w:ascii="Calibri" w:hAnsi="Calibri" w:cs="Calibri"/>
          <w:noProof/>
          <w:szCs w:val="24"/>
        </w:rPr>
        <w:t>, 29, 111–129.</w:t>
      </w:r>
    </w:p>
    <w:p w14:paraId="7CA1626B" w14:textId="77777777" w:rsidR="007E795C" w:rsidRPr="007E795C" w:rsidRDefault="007E795C" w:rsidP="007E795C">
      <w:pPr>
        <w:widowControl w:val="0"/>
        <w:autoSpaceDE w:val="0"/>
        <w:autoSpaceDN w:val="0"/>
        <w:adjustRightInd w:val="0"/>
        <w:spacing w:line="480" w:lineRule="auto"/>
        <w:ind w:left="480" w:hanging="480"/>
        <w:rPr>
          <w:rFonts w:ascii="Calibri" w:hAnsi="Calibri" w:cs="Calibri"/>
          <w:noProof/>
        </w:rPr>
      </w:pPr>
      <w:r w:rsidRPr="007E795C">
        <w:rPr>
          <w:rFonts w:ascii="Calibri" w:hAnsi="Calibri" w:cs="Calibri"/>
          <w:noProof/>
          <w:szCs w:val="24"/>
        </w:rPr>
        <w:t xml:space="preserve">Zuur, A., Ieno, E.N., Walker, N., Saveliev, A.A. &amp; Smith, G.M. (2009). </w:t>
      </w:r>
      <w:r w:rsidRPr="007E795C">
        <w:rPr>
          <w:rFonts w:ascii="Calibri" w:hAnsi="Calibri" w:cs="Calibri"/>
          <w:i/>
          <w:iCs/>
          <w:noProof/>
          <w:szCs w:val="24"/>
        </w:rPr>
        <w:t>Mixed Effects Models and Extensions in Ecology with R.</w:t>
      </w:r>
      <w:r w:rsidRPr="007E795C">
        <w:rPr>
          <w:rFonts w:ascii="Calibri" w:hAnsi="Calibri" w:cs="Calibri"/>
          <w:noProof/>
          <w:szCs w:val="24"/>
        </w:rPr>
        <w:t xml:space="preserve"> Springer, New York.</w:t>
      </w:r>
    </w:p>
    <w:p w14:paraId="6C58BB8D" w14:textId="1F0D10FE" w:rsidR="00A451C2" w:rsidRPr="005001D6" w:rsidRDefault="005D5A47" w:rsidP="00173FAF">
      <w:pPr>
        <w:spacing w:line="480" w:lineRule="auto"/>
        <w:jc w:val="both"/>
        <w:rPr>
          <w:b/>
          <w:bCs/>
        </w:rPr>
      </w:pPr>
      <w:r w:rsidRPr="005001D6">
        <w:fldChar w:fldCharType="end"/>
      </w:r>
    </w:p>
    <w:p w14:paraId="550E9B39" w14:textId="77777777" w:rsidR="0089341B" w:rsidRDefault="0089341B" w:rsidP="00173FAF">
      <w:pPr>
        <w:spacing w:line="480" w:lineRule="auto"/>
        <w:jc w:val="both"/>
        <w:rPr>
          <w:b/>
          <w:bCs/>
        </w:rPr>
      </w:pPr>
    </w:p>
    <w:p w14:paraId="61D9BE30" w14:textId="77777777" w:rsidR="0089341B" w:rsidRDefault="0089341B" w:rsidP="00173FAF">
      <w:pPr>
        <w:spacing w:line="480" w:lineRule="auto"/>
        <w:jc w:val="both"/>
        <w:rPr>
          <w:b/>
          <w:bCs/>
        </w:rPr>
      </w:pPr>
    </w:p>
    <w:p w14:paraId="497E128B" w14:textId="77777777" w:rsidR="0089341B" w:rsidRDefault="0089341B" w:rsidP="00173FAF">
      <w:pPr>
        <w:spacing w:line="480" w:lineRule="auto"/>
        <w:jc w:val="both"/>
        <w:rPr>
          <w:b/>
          <w:bCs/>
        </w:rPr>
      </w:pPr>
    </w:p>
    <w:p w14:paraId="1F827664" w14:textId="77777777" w:rsidR="0089341B" w:rsidRDefault="0089341B" w:rsidP="00173FAF">
      <w:pPr>
        <w:spacing w:line="480" w:lineRule="auto"/>
        <w:jc w:val="both"/>
        <w:rPr>
          <w:b/>
          <w:bCs/>
        </w:rPr>
      </w:pPr>
    </w:p>
    <w:p w14:paraId="554F1E10" w14:textId="77777777" w:rsidR="0089341B" w:rsidRDefault="0089341B" w:rsidP="00173FAF">
      <w:pPr>
        <w:spacing w:line="480" w:lineRule="auto"/>
        <w:jc w:val="both"/>
        <w:rPr>
          <w:b/>
          <w:bCs/>
        </w:rPr>
      </w:pPr>
    </w:p>
    <w:p w14:paraId="472062E7" w14:textId="77777777" w:rsidR="0089341B" w:rsidRDefault="0089341B" w:rsidP="00173FAF">
      <w:pPr>
        <w:spacing w:line="480" w:lineRule="auto"/>
        <w:jc w:val="both"/>
        <w:rPr>
          <w:b/>
          <w:bCs/>
        </w:rPr>
      </w:pPr>
    </w:p>
    <w:p w14:paraId="7D9F0D3D" w14:textId="77777777" w:rsidR="0089341B" w:rsidRDefault="0089341B" w:rsidP="00173FAF">
      <w:pPr>
        <w:spacing w:line="480" w:lineRule="auto"/>
        <w:jc w:val="both"/>
        <w:rPr>
          <w:b/>
          <w:bCs/>
        </w:rPr>
      </w:pPr>
    </w:p>
    <w:p w14:paraId="36B710B4" w14:textId="77777777" w:rsidR="0089341B" w:rsidRDefault="0089341B" w:rsidP="00173FAF">
      <w:pPr>
        <w:spacing w:line="480" w:lineRule="auto"/>
        <w:jc w:val="both"/>
        <w:rPr>
          <w:b/>
          <w:bCs/>
        </w:rPr>
      </w:pPr>
    </w:p>
    <w:p w14:paraId="4976B253" w14:textId="77777777" w:rsidR="0089341B" w:rsidRDefault="0089341B" w:rsidP="00173FAF">
      <w:pPr>
        <w:spacing w:line="480" w:lineRule="auto"/>
        <w:jc w:val="both"/>
        <w:rPr>
          <w:b/>
          <w:bCs/>
        </w:rPr>
      </w:pPr>
    </w:p>
    <w:p w14:paraId="1C08A18F" w14:textId="77777777" w:rsidR="0089341B" w:rsidRDefault="0089341B" w:rsidP="00173FAF">
      <w:pPr>
        <w:spacing w:line="480" w:lineRule="auto"/>
        <w:jc w:val="both"/>
        <w:rPr>
          <w:b/>
          <w:bCs/>
        </w:rPr>
      </w:pPr>
    </w:p>
    <w:p w14:paraId="741D98F0" w14:textId="77777777" w:rsidR="0089341B" w:rsidRDefault="0089341B" w:rsidP="00173FAF">
      <w:pPr>
        <w:spacing w:line="480" w:lineRule="auto"/>
        <w:jc w:val="both"/>
        <w:rPr>
          <w:b/>
          <w:bCs/>
        </w:rPr>
      </w:pPr>
    </w:p>
    <w:p w14:paraId="118E7E74" w14:textId="77777777" w:rsidR="0089341B" w:rsidRDefault="0089341B" w:rsidP="00173FAF">
      <w:pPr>
        <w:spacing w:line="480" w:lineRule="auto"/>
        <w:jc w:val="both"/>
        <w:rPr>
          <w:b/>
          <w:bCs/>
        </w:rPr>
      </w:pPr>
    </w:p>
    <w:p w14:paraId="6CEFCDAF" w14:textId="77777777" w:rsidR="0089341B" w:rsidRDefault="0089341B" w:rsidP="00173FAF">
      <w:pPr>
        <w:spacing w:line="480" w:lineRule="auto"/>
        <w:jc w:val="both"/>
        <w:rPr>
          <w:b/>
          <w:bCs/>
        </w:rPr>
      </w:pPr>
    </w:p>
    <w:p w14:paraId="73D471B8" w14:textId="4C0ECABC" w:rsidR="00A451C2" w:rsidRPr="005001D6" w:rsidRDefault="00EE5ADB" w:rsidP="00173FAF">
      <w:pPr>
        <w:spacing w:line="480" w:lineRule="auto"/>
        <w:jc w:val="both"/>
        <w:rPr>
          <w:b/>
          <w:bCs/>
        </w:rPr>
      </w:pPr>
      <w:bookmarkStart w:id="10" w:name="_GoBack"/>
      <w:bookmarkEnd w:id="10"/>
      <w:r w:rsidRPr="005001D6">
        <w:rPr>
          <w:b/>
          <w:bCs/>
        </w:rPr>
        <w:lastRenderedPageBreak/>
        <w:t xml:space="preserve">SUPPLEMENTARY </w:t>
      </w:r>
      <w:r w:rsidR="00A451C2" w:rsidRPr="005001D6">
        <w:rPr>
          <w:b/>
          <w:bCs/>
        </w:rPr>
        <w:t>FIGURES</w:t>
      </w:r>
      <w:r w:rsidR="002D560E" w:rsidRPr="005001D6">
        <w:rPr>
          <w:b/>
          <w:bCs/>
        </w:rPr>
        <w:t xml:space="preserve"> AND TABLES</w:t>
      </w:r>
    </w:p>
    <w:p w14:paraId="63286F2F" w14:textId="1095FEA2" w:rsidR="00A451C2" w:rsidRPr="005001D6" w:rsidRDefault="00A0635D" w:rsidP="00173FAF">
      <w:pPr>
        <w:spacing w:line="480" w:lineRule="auto"/>
        <w:jc w:val="both"/>
        <w:rPr>
          <w:b/>
          <w:bCs/>
        </w:rPr>
      </w:pPr>
      <w:r w:rsidRPr="005001D6">
        <w:rPr>
          <w:b/>
          <w:bCs/>
          <w:noProof/>
          <w:lang w:eastAsia="en-GB"/>
        </w:rPr>
        <w:drawing>
          <wp:inline distT="0" distB="0" distL="0" distR="0" wp14:anchorId="655647AB" wp14:editId="49B68F6B">
            <wp:extent cx="5731510" cy="3858260"/>
            <wp:effectExtent l="0" t="0" r="2540" b="889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6">
                      <a:extLst>
                        <a:ext uri="{28A0092B-C50C-407E-A947-70E740481C1C}">
                          <a14:useLocalDpi xmlns:a14="http://schemas.microsoft.com/office/drawing/2010/main" val="0"/>
                        </a:ext>
                      </a:extLst>
                    </a:blip>
                    <a:stretch>
                      <a:fillRect/>
                    </a:stretch>
                  </pic:blipFill>
                  <pic:spPr>
                    <a:xfrm>
                      <a:off x="0" y="0"/>
                      <a:ext cx="5731510" cy="3858260"/>
                    </a:xfrm>
                    <a:prstGeom prst="rect">
                      <a:avLst/>
                    </a:prstGeom>
                  </pic:spPr>
                </pic:pic>
              </a:graphicData>
            </a:graphic>
          </wp:inline>
        </w:drawing>
      </w:r>
    </w:p>
    <w:p w14:paraId="213E390A" w14:textId="6EE01A77" w:rsidR="00A451C2" w:rsidRPr="005001D6" w:rsidRDefault="00A451C2" w:rsidP="00173FAF">
      <w:pPr>
        <w:spacing w:line="480" w:lineRule="auto"/>
        <w:jc w:val="both"/>
      </w:pPr>
      <w:r w:rsidRPr="005001D6">
        <w:rPr>
          <w:b/>
          <w:bCs/>
        </w:rPr>
        <w:t xml:space="preserve">Figure S1 | Plant community composition across the vegetation treatments in the landscape-scale experiment. </w:t>
      </w:r>
      <w:r w:rsidRPr="005001D6">
        <w:t>a)</w:t>
      </w:r>
      <w:r w:rsidRPr="005001D6">
        <w:rPr>
          <w:b/>
          <w:bCs/>
        </w:rPr>
        <w:t xml:space="preserve"> </w:t>
      </w:r>
      <w:r w:rsidRPr="005001D6">
        <w:t>Non-metric multidimensional scaling (NMDS) plot of plant communities, showing significant effect of vegetation treatments (p &lt; 0.01, F = 26.7 and r</w:t>
      </w:r>
      <w:r w:rsidRPr="005001D6">
        <w:rPr>
          <w:vertAlign w:val="superscript"/>
        </w:rPr>
        <w:t>2</w:t>
      </w:r>
      <w:r w:rsidRPr="005001D6">
        <w:t xml:space="preserve"> = 0.43, PERMANOVA, ellipses show the 95% confidence regions for the centroids of vegetation treatments). b) Mean cover (%) of shrub, </w:t>
      </w:r>
      <w:proofErr w:type="spellStart"/>
      <w:r w:rsidRPr="005001D6">
        <w:t>graminoid</w:t>
      </w:r>
      <w:proofErr w:type="spellEnd"/>
      <w:r w:rsidRPr="005001D6">
        <w:t xml:space="preserve">, forb, and other species and categories, across vegetation treatments. </w:t>
      </w:r>
      <w:r w:rsidR="00E437D5" w:rsidRPr="005001D6">
        <w:t>Only species with overall mean abundance &gt; 1% are shown individually</w:t>
      </w:r>
      <w:r w:rsidR="00C848C6" w:rsidRPr="005001D6">
        <w:t xml:space="preserve"> </w:t>
      </w:r>
      <w:r w:rsidR="00F3368D" w:rsidRPr="005001D6">
        <w:t>(</w:t>
      </w:r>
      <w:r w:rsidR="00C848C6" w:rsidRPr="005001D6">
        <w:t>with colours</w:t>
      </w:r>
      <w:r w:rsidR="00F3368D" w:rsidRPr="005001D6">
        <w:t>)</w:t>
      </w:r>
      <w:r w:rsidR="00E437D5" w:rsidRPr="005001D6">
        <w:t>.</w:t>
      </w:r>
      <w:r w:rsidRPr="005001D6">
        <w:t xml:space="preserve"> </w:t>
      </w:r>
    </w:p>
    <w:p w14:paraId="6B1EFBBD" w14:textId="77777777" w:rsidR="00A451C2" w:rsidRPr="005001D6" w:rsidRDefault="00A451C2" w:rsidP="00173FAF">
      <w:pPr>
        <w:spacing w:line="480" w:lineRule="auto"/>
        <w:jc w:val="both"/>
      </w:pPr>
    </w:p>
    <w:p w14:paraId="1EAC69F6" w14:textId="0A7E3B15" w:rsidR="00A451C2" w:rsidRPr="005001D6" w:rsidRDefault="00A0635D" w:rsidP="00173FAF">
      <w:pPr>
        <w:spacing w:line="480" w:lineRule="auto"/>
        <w:jc w:val="both"/>
        <w:rPr>
          <w:b/>
          <w:bCs/>
        </w:rPr>
      </w:pPr>
      <w:r w:rsidRPr="005001D6">
        <w:rPr>
          <w:b/>
          <w:bCs/>
          <w:noProof/>
          <w:lang w:eastAsia="en-GB"/>
        </w:rPr>
        <w:lastRenderedPageBreak/>
        <w:drawing>
          <wp:inline distT="0" distB="0" distL="0" distR="0" wp14:anchorId="27AD420A" wp14:editId="4EBA5E94">
            <wp:extent cx="5731510" cy="3858260"/>
            <wp:effectExtent l="0" t="0" r="2540" b="889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7">
                      <a:extLst>
                        <a:ext uri="{28A0092B-C50C-407E-A947-70E740481C1C}">
                          <a14:useLocalDpi xmlns:a14="http://schemas.microsoft.com/office/drawing/2010/main" val="0"/>
                        </a:ext>
                      </a:extLst>
                    </a:blip>
                    <a:stretch>
                      <a:fillRect/>
                    </a:stretch>
                  </pic:blipFill>
                  <pic:spPr>
                    <a:xfrm>
                      <a:off x="0" y="0"/>
                      <a:ext cx="5731510" cy="3858260"/>
                    </a:xfrm>
                    <a:prstGeom prst="rect">
                      <a:avLst/>
                    </a:prstGeom>
                  </pic:spPr>
                </pic:pic>
              </a:graphicData>
            </a:graphic>
          </wp:inline>
        </w:drawing>
      </w:r>
    </w:p>
    <w:p w14:paraId="798C0234" w14:textId="5733587B" w:rsidR="00960FDD" w:rsidRPr="005001D6" w:rsidRDefault="00A451C2" w:rsidP="00173FAF">
      <w:pPr>
        <w:spacing w:line="480" w:lineRule="auto"/>
        <w:jc w:val="both"/>
      </w:pPr>
      <w:r w:rsidRPr="005001D6">
        <w:rPr>
          <w:b/>
          <w:bCs/>
        </w:rPr>
        <w:t xml:space="preserve">Figure </w:t>
      </w:r>
      <w:r w:rsidR="00A0635D" w:rsidRPr="005001D6">
        <w:rPr>
          <w:b/>
          <w:bCs/>
        </w:rPr>
        <w:t>S</w:t>
      </w:r>
      <w:r w:rsidRPr="005001D6">
        <w:rPr>
          <w:b/>
          <w:bCs/>
        </w:rPr>
        <w:t xml:space="preserve">2 | Additional </w:t>
      </w:r>
      <w:r w:rsidR="00A0635D" w:rsidRPr="005001D6">
        <w:rPr>
          <w:b/>
          <w:bCs/>
        </w:rPr>
        <w:t>snowmelt timing and shrub expansion effects on summertime soil microbial community composition and functioning in the landscape-scale experiment</w:t>
      </w:r>
      <w:r w:rsidRPr="005001D6">
        <w:rPr>
          <w:b/>
          <w:bCs/>
        </w:rPr>
        <w:t>.</w:t>
      </w:r>
      <w:r w:rsidRPr="005001D6">
        <w:t xml:space="preserve"> </w:t>
      </w:r>
      <w:r w:rsidR="00A0635D" w:rsidRPr="005001D6">
        <w:t>a) Bacterial family mean relative abundances (significant differences [</w:t>
      </w:r>
      <w:r w:rsidR="00A0635D" w:rsidRPr="005001D6">
        <w:rPr>
          <w:i/>
          <w:iCs/>
        </w:rPr>
        <w:t xml:space="preserve">p </w:t>
      </w:r>
      <w:r w:rsidR="00A0635D" w:rsidRPr="005001D6">
        <w:t xml:space="preserve">&lt; 0.05] in bold; only families with overall mean abundance &gt;1% are shown) and </w:t>
      </w:r>
      <w:r w:rsidRPr="005001D6">
        <w:t xml:space="preserve">b) </w:t>
      </w:r>
      <w:r w:rsidRPr="005001D6">
        <w:rPr>
          <w:rFonts w:cstheme="minorHAnsi"/>
          <w:i/>
        </w:rPr>
        <w:t>N</w:t>
      </w:r>
      <w:r w:rsidRPr="005001D6">
        <w:rPr>
          <w:rFonts w:cstheme="minorHAnsi"/>
        </w:rPr>
        <w:t>-</w:t>
      </w:r>
      <w:proofErr w:type="spellStart"/>
      <w:r w:rsidRPr="005001D6">
        <w:rPr>
          <w:rFonts w:cstheme="minorHAnsi"/>
        </w:rPr>
        <w:t>acetylglucosaminidase</w:t>
      </w:r>
      <w:proofErr w:type="spellEnd"/>
      <w:r w:rsidRPr="005001D6">
        <w:rPr>
          <w:rFonts w:cstheme="minorHAnsi"/>
        </w:rPr>
        <w:t xml:space="preserve"> (NAG) potential</w:t>
      </w:r>
      <w:r w:rsidRPr="005001D6">
        <w:t xml:space="preserve"> activity, lines show model regression fits and points show individual plots</w:t>
      </w:r>
      <w:r w:rsidR="00A0635D" w:rsidRPr="005001D6">
        <w:t xml:space="preserve"> (R</w:t>
      </w:r>
      <w:r w:rsidR="00A0635D" w:rsidRPr="005001D6">
        <w:rPr>
          <w:vertAlign w:val="superscript"/>
        </w:rPr>
        <w:t>2</w:t>
      </w:r>
      <w:r w:rsidR="00A0635D" w:rsidRPr="005001D6">
        <w:t>m = marginal R</w:t>
      </w:r>
      <w:r w:rsidR="00A0635D" w:rsidRPr="005001D6">
        <w:rPr>
          <w:vertAlign w:val="superscript"/>
        </w:rPr>
        <w:t>2</w:t>
      </w:r>
      <w:r w:rsidR="00C45269" w:rsidRPr="005001D6">
        <w:t>,</w:t>
      </w:r>
      <w:r w:rsidR="00C45269" w:rsidRPr="005001D6">
        <w:rPr>
          <w:rFonts w:cstheme="minorHAnsi"/>
          <w:i/>
          <w:iCs/>
        </w:rPr>
        <w:t xml:space="preserve"> χ</w:t>
      </w:r>
      <w:r w:rsidR="00C45269" w:rsidRPr="005001D6">
        <w:rPr>
          <w:rFonts w:cstheme="minorHAnsi"/>
          <w:i/>
          <w:iCs/>
          <w:vertAlign w:val="superscript"/>
        </w:rPr>
        <w:t>2</w:t>
      </w:r>
      <w:r w:rsidR="00C45269" w:rsidRPr="005001D6">
        <w:rPr>
          <w:rFonts w:cstheme="minorHAnsi"/>
          <w:i/>
          <w:iCs/>
        </w:rPr>
        <w:t xml:space="preserve"> and</w:t>
      </w:r>
      <w:r w:rsidR="00C45269" w:rsidRPr="005001D6">
        <w:rPr>
          <w:i/>
          <w:iCs/>
        </w:rPr>
        <w:t xml:space="preserve"> p </w:t>
      </w:r>
      <w:r w:rsidR="00C45269" w:rsidRPr="005001D6">
        <w:t xml:space="preserve">= </w:t>
      </w:r>
      <w:r w:rsidR="00C45269" w:rsidRPr="005001D6">
        <w:rPr>
          <w:rFonts w:cstheme="minorHAnsi"/>
          <w:i/>
          <w:iCs/>
        </w:rPr>
        <w:t>χ</w:t>
      </w:r>
      <w:r w:rsidR="00C45269" w:rsidRPr="005001D6">
        <w:rPr>
          <w:rFonts w:cstheme="minorHAnsi"/>
          <w:i/>
          <w:iCs/>
          <w:vertAlign w:val="superscript"/>
        </w:rPr>
        <w:t xml:space="preserve">2 </w:t>
      </w:r>
      <w:r w:rsidR="00C45269" w:rsidRPr="005001D6">
        <w:rPr>
          <w:rFonts w:cstheme="minorHAnsi"/>
          <w:i/>
          <w:iCs/>
        </w:rPr>
        <w:t xml:space="preserve">and </w:t>
      </w:r>
      <w:r w:rsidR="00C45269" w:rsidRPr="005001D6">
        <w:rPr>
          <w:i/>
          <w:iCs/>
        </w:rPr>
        <w:t>p</w:t>
      </w:r>
      <w:r w:rsidR="00C45269" w:rsidRPr="005001D6">
        <w:t>-values of snowmelt timing and vegetation treatment interaction)</w:t>
      </w:r>
      <w:r w:rsidR="00A0635D" w:rsidRPr="005001D6">
        <w:t>.</w:t>
      </w:r>
      <w:r w:rsidRPr="005001D6">
        <w:t xml:space="preserve"> </w:t>
      </w:r>
      <w:r w:rsidR="00960FDD" w:rsidRPr="005001D6">
        <w:t xml:space="preserve">See tables S1 and S2 for details, including exact </w:t>
      </w:r>
      <w:r w:rsidR="00960FDD" w:rsidRPr="005001D6">
        <w:rPr>
          <w:i/>
          <w:iCs/>
        </w:rPr>
        <w:t xml:space="preserve">p </w:t>
      </w:r>
      <w:r w:rsidR="00960FDD" w:rsidRPr="005001D6">
        <w:t xml:space="preserve">and </w:t>
      </w:r>
      <w:r w:rsidR="00960FDD" w:rsidRPr="005001D6">
        <w:rPr>
          <w:rFonts w:cstheme="minorHAnsi"/>
        </w:rPr>
        <w:t>χ</w:t>
      </w:r>
      <w:r w:rsidR="00960FDD" w:rsidRPr="005001D6">
        <w:rPr>
          <w:vertAlign w:val="superscript"/>
        </w:rPr>
        <w:t>2</w:t>
      </w:r>
      <w:r w:rsidR="00960FDD" w:rsidRPr="005001D6">
        <w:t>-values.</w:t>
      </w:r>
    </w:p>
    <w:p w14:paraId="5769D636" w14:textId="0B3D82C6" w:rsidR="00A451C2" w:rsidRPr="005001D6" w:rsidRDefault="00A451C2" w:rsidP="00173FAF">
      <w:pPr>
        <w:spacing w:line="480" w:lineRule="auto"/>
        <w:jc w:val="both"/>
      </w:pPr>
    </w:p>
    <w:p w14:paraId="124BB946" w14:textId="77777777" w:rsidR="00A451C2" w:rsidRPr="005001D6" w:rsidRDefault="00A451C2" w:rsidP="00173FAF">
      <w:pPr>
        <w:spacing w:line="480" w:lineRule="auto"/>
        <w:jc w:val="both"/>
      </w:pPr>
    </w:p>
    <w:p w14:paraId="7E0F7C3B" w14:textId="77777777" w:rsidR="00A451C2" w:rsidRPr="005001D6" w:rsidRDefault="00A451C2" w:rsidP="00173FAF">
      <w:pPr>
        <w:spacing w:line="480" w:lineRule="auto"/>
        <w:jc w:val="both"/>
      </w:pPr>
    </w:p>
    <w:p w14:paraId="331DE06A" w14:textId="7DC4B7BD" w:rsidR="00A451C2" w:rsidRPr="005001D6" w:rsidRDefault="00FF0888" w:rsidP="00173FAF">
      <w:pPr>
        <w:spacing w:line="480" w:lineRule="auto"/>
        <w:jc w:val="both"/>
      </w:pPr>
      <w:r w:rsidRPr="005001D6">
        <w:rPr>
          <w:noProof/>
          <w:lang w:eastAsia="en-GB"/>
        </w:rPr>
        <w:lastRenderedPageBreak/>
        <w:drawing>
          <wp:inline distT="0" distB="0" distL="0" distR="0" wp14:anchorId="7EC9D833" wp14:editId="0BA10F44">
            <wp:extent cx="5731510" cy="6286500"/>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8">
                      <a:extLst>
                        <a:ext uri="{28A0092B-C50C-407E-A947-70E740481C1C}">
                          <a14:useLocalDpi xmlns:a14="http://schemas.microsoft.com/office/drawing/2010/main" val="0"/>
                        </a:ext>
                      </a:extLst>
                    </a:blip>
                    <a:stretch>
                      <a:fillRect/>
                    </a:stretch>
                  </pic:blipFill>
                  <pic:spPr>
                    <a:xfrm>
                      <a:off x="0" y="0"/>
                      <a:ext cx="5731510" cy="6286500"/>
                    </a:xfrm>
                    <a:prstGeom prst="rect">
                      <a:avLst/>
                    </a:prstGeom>
                  </pic:spPr>
                </pic:pic>
              </a:graphicData>
            </a:graphic>
          </wp:inline>
        </w:drawing>
      </w:r>
    </w:p>
    <w:p w14:paraId="1C371B73" w14:textId="58F8342A" w:rsidR="00A451C2" w:rsidRPr="005001D6" w:rsidRDefault="00A451C2" w:rsidP="00173FAF">
      <w:pPr>
        <w:spacing w:line="480" w:lineRule="auto"/>
        <w:jc w:val="both"/>
      </w:pPr>
      <w:r w:rsidRPr="005001D6">
        <w:rPr>
          <w:b/>
          <w:bCs/>
        </w:rPr>
        <w:t xml:space="preserve">Figure </w:t>
      </w:r>
      <w:r w:rsidR="009A358E" w:rsidRPr="005001D6">
        <w:rPr>
          <w:b/>
          <w:bCs/>
        </w:rPr>
        <w:t>S</w:t>
      </w:r>
      <w:r w:rsidRPr="005001D6">
        <w:rPr>
          <w:b/>
          <w:bCs/>
        </w:rPr>
        <w:t xml:space="preserve">3 | </w:t>
      </w:r>
      <w:r w:rsidR="00FF0888" w:rsidRPr="005001D6">
        <w:rPr>
          <w:b/>
          <w:bCs/>
        </w:rPr>
        <w:t>S</w:t>
      </w:r>
      <w:r w:rsidRPr="005001D6">
        <w:rPr>
          <w:b/>
          <w:bCs/>
        </w:rPr>
        <w:t>oil climate and snowmelt timing</w:t>
      </w:r>
      <w:r w:rsidR="00FF0888" w:rsidRPr="005001D6">
        <w:rPr>
          <w:b/>
          <w:bCs/>
        </w:rPr>
        <w:t xml:space="preserve"> in the snow manipulation experiment</w:t>
      </w:r>
      <w:r w:rsidRPr="005001D6">
        <w:rPr>
          <w:b/>
          <w:bCs/>
        </w:rPr>
        <w:t xml:space="preserve">. </w:t>
      </w:r>
      <w:r w:rsidRPr="005001D6">
        <w:t>a-</w:t>
      </w:r>
      <w:r w:rsidR="00FF0888" w:rsidRPr="005001D6">
        <w:t>d</w:t>
      </w:r>
      <w:r w:rsidRPr="005001D6">
        <w:t>)</w:t>
      </w:r>
      <w:r w:rsidRPr="005001D6">
        <w:rPr>
          <w:b/>
          <w:bCs/>
        </w:rPr>
        <w:t xml:space="preserve"> </w:t>
      </w:r>
      <w:r w:rsidRPr="005001D6">
        <w:t>Mean soil temperature (n = 8)</w:t>
      </w:r>
      <w:r w:rsidR="00FF0888" w:rsidRPr="005001D6">
        <w:t xml:space="preserve"> and</w:t>
      </w:r>
      <w:r w:rsidRPr="005001D6">
        <w:t xml:space="preserve"> moisture </w:t>
      </w:r>
      <w:r w:rsidR="00FC5F0A" w:rsidRPr="005001D6">
        <w:t>(</w:t>
      </w:r>
      <w:r w:rsidRPr="005001D6">
        <w:t>n = 3)</w:t>
      </w:r>
      <w:r w:rsidR="00FF0888" w:rsidRPr="005001D6">
        <w:t xml:space="preserve"> across all treatments in the manipulative experiment</w:t>
      </w:r>
      <w:r w:rsidR="00FC5F0A" w:rsidRPr="005001D6">
        <w:t xml:space="preserve"> (</w:t>
      </w:r>
      <w:r w:rsidR="00FC5F0A" w:rsidRPr="005001D6">
        <w:rPr>
          <w:rFonts w:cstheme="minorHAnsi"/>
        </w:rPr>
        <w:t>±</w:t>
      </w:r>
      <w:r w:rsidR="00FC5F0A" w:rsidRPr="005001D6">
        <w:t xml:space="preserve"> SE in shaded area)</w:t>
      </w:r>
      <w:r w:rsidR="00FF0888" w:rsidRPr="005001D6">
        <w:t xml:space="preserve">, showing freeze-thaw cycles following snow removal </w:t>
      </w:r>
      <w:r w:rsidRPr="005001D6">
        <w:t>in 2018 (</w:t>
      </w:r>
      <w:proofErr w:type="gramStart"/>
      <w:r w:rsidRPr="005001D6">
        <w:t>a</w:t>
      </w:r>
      <w:r w:rsidR="00FF0888" w:rsidRPr="005001D6">
        <w:t xml:space="preserve"> and</w:t>
      </w:r>
      <w:proofErr w:type="gramEnd"/>
      <w:r w:rsidRPr="005001D6">
        <w:t xml:space="preserve"> b</w:t>
      </w:r>
      <w:r w:rsidR="00FF0888" w:rsidRPr="005001D6">
        <w:t>) and 2019 (</w:t>
      </w:r>
      <w:r w:rsidRPr="005001D6">
        <w:t xml:space="preserve">c </w:t>
      </w:r>
      <w:r w:rsidR="00FF0888" w:rsidRPr="005001D6">
        <w:t>and d). Snowmelt timing across all treatments in 2018 (e) and 2019 (f)</w:t>
      </w:r>
      <w:r w:rsidRPr="005001D6">
        <w:t>. Boxplots show mean, SE and range. Dates in day/month/year format.</w:t>
      </w:r>
    </w:p>
    <w:p w14:paraId="418CFFBD" w14:textId="593BCD7A" w:rsidR="00326A9E" w:rsidRPr="005001D6" w:rsidRDefault="00326A9E" w:rsidP="00173FAF">
      <w:pPr>
        <w:spacing w:line="480" w:lineRule="auto"/>
        <w:jc w:val="both"/>
      </w:pPr>
    </w:p>
    <w:p w14:paraId="664696A9" w14:textId="37DE18D6" w:rsidR="00326A9E" w:rsidRPr="005001D6" w:rsidRDefault="00067EA7" w:rsidP="00173FAF">
      <w:pPr>
        <w:spacing w:line="480" w:lineRule="auto"/>
        <w:jc w:val="both"/>
      </w:pPr>
      <w:r w:rsidRPr="005001D6">
        <w:rPr>
          <w:noProof/>
          <w:lang w:eastAsia="en-GB"/>
        </w:rPr>
        <w:lastRenderedPageBreak/>
        <w:drawing>
          <wp:inline distT="0" distB="0" distL="0" distR="0" wp14:anchorId="5E6B9C63" wp14:editId="3110BAEE">
            <wp:extent cx="5731510" cy="3866515"/>
            <wp:effectExtent l="0" t="0" r="2540" b="63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9">
                      <a:extLst>
                        <a:ext uri="{28A0092B-C50C-407E-A947-70E740481C1C}">
                          <a14:useLocalDpi xmlns:a14="http://schemas.microsoft.com/office/drawing/2010/main" val="0"/>
                        </a:ext>
                      </a:extLst>
                    </a:blip>
                    <a:stretch>
                      <a:fillRect/>
                    </a:stretch>
                  </pic:blipFill>
                  <pic:spPr>
                    <a:xfrm>
                      <a:off x="0" y="0"/>
                      <a:ext cx="5731510" cy="3866515"/>
                    </a:xfrm>
                    <a:prstGeom prst="rect">
                      <a:avLst/>
                    </a:prstGeom>
                  </pic:spPr>
                </pic:pic>
              </a:graphicData>
            </a:graphic>
          </wp:inline>
        </w:drawing>
      </w:r>
    </w:p>
    <w:p w14:paraId="554E9C38" w14:textId="64DB96C1" w:rsidR="000D3737" w:rsidRPr="005001D6" w:rsidRDefault="00656DC6" w:rsidP="00173FAF">
      <w:pPr>
        <w:spacing w:line="480" w:lineRule="auto"/>
        <w:jc w:val="both"/>
        <w:rPr>
          <w:i/>
          <w:iCs/>
        </w:rPr>
      </w:pPr>
      <w:r w:rsidRPr="005001D6">
        <w:rPr>
          <w:b/>
          <w:bCs/>
        </w:rPr>
        <w:t xml:space="preserve">Figure S4 | </w:t>
      </w:r>
      <w:r w:rsidR="00FA653B" w:rsidRPr="005001D6">
        <w:rPr>
          <w:b/>
          <w:bCs/>
        </w:rPr>
        <w:t>Additional snow removal and shrub expansion effects on summertime soil microbial community composition</w:t>
      </w:r>
      <w:r w:rsidR="00D91973" w:rsidRPr="005001D6">
        <w:rPr>
          <w:b/>
          <w:bCs/>
        </w:rPr>
        <w:t>, functioning,</w:t>
      </w:r>
      <w:r w:rsidR="00745F0F" w:rsidRPr="005001D6">
        <w:rPr>
          <w:b/>
          <w:bCs/>
        </w:rPr>
        <w:t xml:space="preserve"> and </w:t>
      </w:r>
      <w:r w:rsidR="00745F0F" w:rsidRPr="005001D6">
        <w:rPr>
          <w:b/>
          <w:bCs/>
          <w:vertAlign w:val="superscript"/>
        </w:rPr>
        <w:t>15</w:t>
      </w:r>
      <w:r w:rsidR="00745F0F" w:rsidRPr="005001D6">
        <w:rPr>
          <w:b/>
          <w:bCs/>
        </w:rPr>
        <w:t xml:space="preserve">N content in shoot biomass following </w:t>
      </w:r>
      <w:r w:rsidR="00C12A08" w:rsidRPr="005001D6">
        <w:rPr>
          <w:b/>
          <w:bCs/>
          <w:vertAlign w:val="superscript"/>
        </w:rPr>
        <w:t>15</w:t>
      </w:r>
      <w:r w:rsidR="00C12A08" w:rsidRPr="005001D6">
        <w:rPr>
          <w:b/>
          <w:bCs/>
        </w:rPr>
        <w:t xml:space="preserve">N </w:t>
      </w:r>
      <w:r w:rsidR="00745F0F" w:rsidRPr="005001D6">
        <w:rPr>
          <w:b/>
          <w:bCs/>
        </w:rPr>
        <w:t>labelling</w:t>
      </w:r>
      <w:r w:rsidR="00C12A08" w:rsidRPr="005001D6">
        <w:rPr>
          <w:b/>
          <w:bCs/>
        </w:rPr>
        <w:t>,</w:t>
      </w:r>
      <w:r w:rsidR="00FA653B" w:rsidRPr="005001D6">
        <w:rPr>
          <w:b/>
          <w:bCs/>
        </w:rPr>
        <w:t xml:space="preserve"> in the snow manipulation experiment</w:t>
      </w:r>
      <w:r w:rsidRPr="005001D6">
        <w:rPr>
          <w:b/>
          <w:bCs/>
        </w:rPr>
        <w:t xml:space="preserve">. </w:t>
      </w:r>
      <w:r w:rsidR="00745F0F" w:rsidRPr="005001D6">
        <w:t>a)</w:t>
      </w:r>
      <w:r w:rsidR="00745F0F" w:rsidRPr="005001D6">
        <w:rPr>
          <w:b/>
          <w:bCs/>
        </w:rPr>
        <w:t xml:space="preserve"> </w:t>
      </w:r>
      <w:r w:rsidR="00222AD6" w:rsidRPr="005001D6">
        <w:t>R</w:t>
      </w:r>
      <w:r w:rsidRPr="005001D6">
        <w:t>elative abundances of bacterial families across the snow and vegetation manipulation treatments</w:t>
      </w:r>
      <w:r w:rsidR="00960FDD" w:rsidRPr="005001D6">
        <w:t xml:space="preserve"> </w:t>
      </w:r>
      <w:r w:rsidR="00120C95" w:rsidRPr="005001D6">
        <w:t>(significant differences [</w:t>
      </w:r>
      <w:r w:rsidR="00120C95" w:rsidRPr="005001D6">
        <w:rPr>
          <w:i/>
          <w:iCs/>
        </w:rPr>
        <w:t xml:space="preserve">p </w:t>
      </w:r>
      <w:r w:rsidR="00120C95" w:rsidRPr="005001D6">
        <w:t>&lt; 0.05] in bold; only families with overall mean abundance &gt;1% are shown)</w:t>
      </w:r>
      <w:r w:rsidR="00D91973" w:rsidRPr="005001D6">
        <w:t>, b) soil</w:t>
      </w:r>
      <w:r w:rsidR="00225631" w:rsidRPr="005001D6">
        <w:t xml:space="preserve"> %C measured in 2018 (after the first year of snow removal treatments</w:t>
      </w:r>
      <w:r w:rsidR="00002066" w:rsidRPr="005001D6">
        <w:t xml:space="preserve">; </w:t>
      </w:r>
      <w:r w:rsidR="00002066" w:rsidRPr="005001D6">
        <w:rPr>
          <w:i/>
          <w:iCs/>
        </w:rPr>
        <w:t>p</w:t>
      </w:r>
      <w:r w:rsidR="00002066" w:rsidRPr="005001D6">
        <w:t xml:space="preserve"> &gt; 0.05 for snow and vegetation manipulation treatments</w:t>
      </w:r>
      <w:r w:rsidR="00225631" w:rsidRPr="005001D6">
        <w:t>),</w:t>
      </w:r>
      <w:r w:rsidR="00D91973" w:rsidRPr="005001D6">
        <w:t xml:space="preserve"> c</w:t>
      </w:r>
      <w:r w:rsidR="00745F0F" w:rsidRPr="005001D6">
        <w:t xml:space="preserve">) </w:t>
      </w:r>
      <w:r w:rsidR="00D91973" w:rsidRPr="005001D6">
        <w:t>s</w:t>
      </w:r>
      <w:r w:rsidR="00745F0F" w:rsidRPr="005001D6">
        <w:t xml:space="preserve">hoot </w:t>
      </w:r>
      <w:r w:rsidR="00C55648" w:rsidRPr="005001D6">
        <w:t xml:space="preserve">total </w:t>
      </w:r>
      <w:r w:rsidR="00C55648" w:rsidRPr="005001D6">
        <w:rPr>
          <w:vertAlign w:val="superscript"/>
        </w:rPr>
        <w:t>15</w:t>
      </w:r>
      <w:r w:rsidR="00C55648" w:rsidRPr="005001D6">
        <w:t xml:space="preserve">N recovered from inorganic and organic </w:t>
      </w:r>
      <w:r w:rsidR="00C55648" w:rsidRPr="005001D6">
        <w:rPr>
          <w:vertAlign w:val="superscript"/>
        </w:rPr>
        <w:t>15</w:t>
      </w:r>
      <w:r w:rsidR="00C55648" w:rsidRPr="005001D6">
        <w:t xml:space="preserve">N addition across snow manipulation treatments. Boxplots show mean, SE and range. </w:t>
      </w:r>
      <w:r w:rsidR="00745F0F" w:rsidRPr="005001D6">
        <w:t xml:space="preserve"> </w:t>
      </w:r>
      <w:r w:rsidR="00C55648" w:rsidRPr="005001D6">
        <w:t>See tables S3</w:t>
      </w:r>
      <w:r w:rsidR="00D91973" w:rsidRPr="005001D6">
        <w:t>-S</w:t>
      </w:r>
      <w:r w:rsidR="00C55648" w:rsidRPr="005001D6">
        <w:t xml:space="preserve">5 for details, including exact </w:t>
      </w:r>
      <w:r w:rsidR="00C55648" w:rsidRPr="005001D6">
        <w:rPr>
          <w:i/>
          <w:iCs/>
        </w:rPr>
        <w:t xml:space="preserve">p </w:t>
      </w:r>
      <w:r w:rsidR="00C55648" w:rsidRPr="005001D6">
        <w:t xml:space="preserve">and </w:t>
      </w:r>
      <w:r w:rsidR="00C55648" w:rsidRPr="005001D6">
        <w:rPr>
          <w:rFonts w:cstheme="minorHAnsi"/>
        </w:rPr>
        <w:t>χ</w:t>
      </w:r>
      <w:r w:rsidR="00C55648" w:rsidRPr="005001D6">
        <w:rPr>
          <w:vertAlign w:val="superscript"/>
        </w:rPr>
        <w:t>2</w:t>
      </w:r>
      <w:r w:rsidR="00C55648" w:rsidRPr="005001D6">
        <w:t>-values.</w:t>
      </w:r>
      <w:r w:rsidR="00C55648" w:rsidRPr="005001D6">
        <w:rPr>
          <w:i/>
          <w:iCs/>
        </w:rPr>
        <w:t xml:space="preserve"> </w:t>
      </w:r>
    </w:p>
    <w:p w14:paraId="50738DD1" w14:textId="7C147B9D" w:rsidR="00656DC6" w:rsidRPr="005001D6" w:rsidRDefault="00656DC6" w:rsidP="00173FAF">
      <w:pPr>
        <w:spacing w:line="480" w:lineRule="auto"/>
        <w:jc w:val="both"/>
      </w:pPr>
    </w:p>
    <w:p w14:paraId="38D73D6E" w14:textId="77777777" w:rsidR="00656DC6" w:rsidRPr="005001D6" w:rsidRDefault="00656DC6" w:rsidP="00173FAF">
      <w:pPr>
        <w:spacing w:line="480" w:lineRule="auto"/>
        <w:jc w:val="both"/>
      </w:pPr>
    </w:p>
    <w:p w14:paraId="028CAE94" w14:textId="577B5E28" w:rsidR="00326A9E" w:rsidRPr="005001D6" w:rsidRDefault="00656DC6" w:rsidP="00173FAF">
      <w:pPr>
        <w:spacing w:line="480" w:lineRule="auto"/>
        <w:jc w:val="both"/>
        <w:rPr>
          <w:rFonts w:cstheme="minorHAnsi"/>
        </w:rPr>
      </w:pPr>
      <w:r w:rsidRPr="005001D6">
        <w:rPr>
          <w:rFonts w:cstheme="minorHAnsi"/>
          <w:noProof/>
          <w:lang w:eastAsia="en-GB"/>
        </w:rPr>
        <w:lastRenderedPageBreak/>
        <w:drawing>
          <wp:inline distT="0" distB="0" distL="0" distR="0" wp14:anchorId="32D811B4" wp14:editId="08C76490">
            <wp:extent cx="5731510" cy="3858260"/>
            <wp:effectExtent l="0" t="0" r="2540"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0">
                      <a:extLst>
                        <a:ext uri="{28A0092B-C50C-407E-A947-70E740481C1C}">
                          <a14:useLocalDpi xmlns:a14="http://schemas.microsoft.com/office/drawing/2010/main" val="0"/>
                        </a:ext>
                      </a:extLst>
                    </a:blip>
                    <a:stretch>
                      <a:fillRect/>
                    </a:stretch>
                  </pic:blipFill>
                  <pic:spPr>
                    <a:xfrm>
                      <a:off x="0" y="0"/>
                      <a:ext cx="5731510" cy="3858260"/>
                    </a:xfrm>
                    <a:prstGeom prst="rect">
                      <a:avLst/>
                    </a:prstGeom>
                  </pic:spPr>
                </pic:pic>
              </a:graphicData>
            </a:graphic>
          </wp:inline>
        </w:drawing>
      </w:r>
    </w:p>
    <w:p w14:paraId="6A121C09" w14:textId="4CE86A53" w:rsidR="00326A9E" w:rsidRPr="005001D6" w:rsidRDefault="00326A9E" w:rsidP="00173FAF">
      <w:pPr>
        <w:spacing w:line="480" w:lineRule="auto"/>
        <w:jc w:val="both"/>
        <w:rPr>
          <w:rFonts w:cstheme="minorHAnsi"/>
        </w:rPr>
      </w:pPr>
      <w:r w:rsidRPr="005001D6">
        <w:rPr>
          <w:rFonts w:cstheme="minorHAnsi"/>
          <w:b/>
          <w:bCs/>
        </w:rPr>
        <w:t xml:space="preserve">Figure S5 | Predicted vs. measured 2019 snowmelt dates. </w:t>
      </w:r>
      <w:r w:rsidR="00960FDD" w:rsidRPr="005001D6">
        <w:rPr>
          <w:rFonts w:cstheme="minorHAnsi"/>
        </w:rPr>
        <w:t>Predicted melt-out dates</w:t>
      </w:r>
      <w:r w:rsidR="004537EF" w:rsidRPr="005001D6">
        <w:rPr>
          <w:rFonts w:cstheme="minorHAnsi"/>
        </w:rPr>
        <w:t xml:space="preserve"> for 2019 generated by </w:t>
      </w:r>
      <w:r w:rsidR="00C12A08" w:rsidRPr="005001D6">
        <w:rPr>
          <w:rFonts w:cstheme="minorHAnsi"/>
        </w:rPr>
        <w:t xml:space="preserve">linear mixed effects model </w:t>
      </w:r>
      <w:r w:rsidR="004537EF" w:rsidRPr="005001D6">
        <w:t>that had 2018 snowmelt dates and plot aspect as fixed effects, and block nested in site as random effects. Solid black line shows overall model regression fit, and dotted lines show regression fits for each vegetation treatment. R</w:t>
      </w:r>
      <w:r w:rsidR="004537EF" w:rsidRPr="005001D6">
        <w:rPr>
          <w:vertAlign w:val="superscript"/>
        </w:rPr>
        <w:t>2</w:t>
      </w:r>
      <w:r w:rsidR="004537EF" w:rsidRPr="005001D6">
        <w:t>m = marginal R</w:t>
      </w:r>
      <w:r w:rsidR="004537EF" w:rsidRPr="005001D6">
        <w:rPr>
          <w:vertAlign w:val="superscript"/>
        </w:rPr>
        <w:t>2</w:t>
      </w:r>
      <w:r w:rsidR="004537EF" w:rsidRPr="005001D6">
        <w:t xml:space="preserve">, AIC = </w:t>
      </w:r>
      <w:proofErr w:type="spellStart"/>
      <w:r w:rsidR="004537EF" w:rsidRPr="005001D6">
        <w:t>Akaike</w:t>
      </w:r>
      <w:proofErr w:type="spellEnd"/>
      <w:r w:rsidR="004537EF" w:rsidRPr="005001D6">
        <w:t xml:space="preserve"> information criterion, n = 38.</w:t>
      </w:r>
    </w:p>
    <w:p w14:paraId="4DB7832C" w14:textId="142FFD4A" w:rsidR="00326A9E" w:rsidRPr="005001D6" w:rsidRDefault="00326A9E" w:rsidP="00173FAF">
      <w:pPr>
        <w:spacing w:line="480" w:lineRule="auto"/>
        <w:jc w:val="both"/>
      </w:pPr>
    </w:p>
    <w:p w14:paraId="1014AC3E" w14:textId="04208E62" w:rsidR="00326A9E" w:rsidRPr="005001D6" w:rsidRDefault="00326A9E" w:rsidP="00173FAF">
      <w:pPr>
        <w:spacing w:line="480" w:lineRule="auto"/>
        <w:jc w:val="both"/>
      </w:pPr>
    </w:p>
    <w:p w14:paraId="7003007E" w14:textId="008D1DDA" w:rsidR="00326A9E" w:rsidRPr="005001D6" w:rsidRDefault="00326A9E" w:rsidP="00173FAF">
      <w:pPr>
        <w:spacing w:line="480" w:lineRule="auto"/>
        <w:jc w:val="both"/>
      </w:pPr>
    </w:p>
    <w:p w14:paraId="40BEEDBE" w14:textId="77B358AE" w:rsidR="00D21AA1" w:rsidRPr="005001D6" w:rsidRDefault="00D21AA1" w:rsidP="00173FAF">
      <w:pPr>
        <w:spacing w:line="480" w:lineRule="auto"/>
        <w:jc w:val="both"/>
      </w:pPr>
    </w:p>
    <w:p w14:paraId="365DFB88" w14:textId="4E874EAC" w:rsidR="00D21AA1" w:rsidRPr="005001D6" w:rsidRDefault="00D21AA1" w:rsidP="00173FAF">
      <w:pPr>
        <w:spacing w:line="480" w:lineRule="auto"/>
        <w:jc w:val="both"/>
      </w:pPr>
    </w:p>
    <w:p w14:paraId="37E1F427" w14:textId="72604392" w:rsidR="00D21AA1" w:rsidRPr="005001D6" w:rsidRDefault="00D21AA1" w:rsidP="00173FAF">
      <w:pPr>
        <w:spacing w:line="480" w:lineRule="auto"/>
        <w:jc w:val="both"/>
      </w:pPr>
    </w:p>
    <w:p w14:paraId="720D3C36" w14:textId="77777777" w:rsidR="00D21AA1" w:rsidRPr="005001D6" w:rsidRDefault="00D21AA1" w:rsidP="00173FAF">
      <w:pPr>
        <w:spacing w:line="480" w:lineRule="auto"/>
        <w:jc w:val="both"/>
      </w:pPr>
    </w:p>
    <w:p w14:paraId="0924D58F" w14:textId="2F8CD229" w:rsidR="00A451C2" w:rsidRPr="005001D6" w:rsidRDefault="00A451C2" w:rsidP="00173FAF">
      <w:pPr>
        <w:spacing w:line="480" w:lineRule="auto"/>
        <w:jc w:val="both"/>
      </w:pPr>
      <w:r w:rsidRPr="005001D6">
        <w:rPr>
          <w:b/>
          <w:bCs/>
        </w:rPr>
        <w:lastRenderedPageBreak/>
        <w:t xml:space="preserve">Table </w:t>
      </w:r>
      <w:r w:rsidR="009A358E" w:rsidRPr="005001D6">
        <w:rPr>
          <w:b/>
          <w:bCs/>
        </w:rPr>
        <w:t>S</w:t>
      </w:r>
      <w:r w:rsidRPr="005001D6">
        <w:rPr>
          <w:b/>
          <w:bCs/>
        </w:rPr>
        <w:t xml:space="preserve">1 | </w:t>
      </w:r>
      <w:r w:rsidR="00213F73" w:rsidRPr="005001D6">
        <w:rPr>
          <w:b/>
          <w:bCs/>
        </w:rPr>
        <w:t>S</w:t>
      </w:r>
      <w:r w:rsidRPr="005001D6">
        <w:rPr>
          <w:b/>
          <w:bCs/>
        </w:rPr>
        <w:t>oil microbial communit</w:t>
      </w:r>
      <w:r w:rsidR="00F23B69" w:rsidRPr="005001D6">
        <w:rPr>
          <w:b/>
          <w:bCs/>
        </w:rPr>
        <w:t>y composition</w:t>
      </w:r>
      <w:r w:rsidRPr="005001D6">
        <w:rPr>
          <w:b/>
          <w:bCs/>
        </w:rPr>
        <w:t xml:space="preserve"> </w:t>
      </w:r>
      <w:bookmarkStart w:id="11" w:name="_Hlk48299063"/>
      <w:r w:rsidRPr="005001D6">
        <w:rPr>
          <w:b/>
          <w:bCs/>
        </w:rPr>
        <w:t>in the landscape-scale experiment</w:t>
      </w:r>
      <w:bookmarkEnd w:id="11"/>
      <w:r w:rsidRPr="005001D6">
        <w:rPr>
          <w:b/>
          <w:bCs/>
        </w:rPr>
        <w:t>.</w:t>
      </w:r>
      <w:r w:rsidRPr="005001D6">
        <w:t xml:space="preserve"> Means (± SE), </w:t>
      </w:r>
      <w:r w:rsidR="00F23B69" w:rsidRPr="005001D6">
        <w:t xml:space="preserve">% </w:t>
      </w:r>
      <w:r w:rsidRPr="005001D6">
        <w:t xml:space="preserve">change (Δ) from </w:t>
      </w:r>
      <w:r w:rsidR="00DF2FA9" w:rsidRPr="005001D6">
        <w:t xml:space="preserve">the </w:t>
      </w:r>
      <w:r w:rsidRPr="005001D6">
        <w:t>grass</w:t>
      </w:r>
      <w:r w:rsidR="00F23B69" w:rsidRPr="005001D6">
        <w:t>-control</w:t>
      </w:r>
      <w:r w:rsidRPr="005001D6">
        <w:t xml:space="preserve"> to </w:t>
      </w:r>
      <w:r w:rsidR="00DF2FA9" w:rsidRPr="005001D6">
        <w:t xml:space="preserve">the </w:t>
      </w:r>
      <w:r w:rsidRPr="005001D6">
        <w:t>shrub</w:t>
      </w:r>
      <w:r w:rsidR="00F23B69" w:rsidRPr="005001D6">
        <w:t>-invaded</w:t>
      </w:r>
      <w:r w:rsidR="00DF2FA9" w:rsidRPr="005001D6">
        <w:t xml:space="preserve"> treatment</w:t>
      </w:r>
      <w:r w:rsidRPr="005001D6">
        <w:t xml:space="preserve"> (as % of grass</w:t>
      </w:r>
      <w:r w:rsidR="00F23B69" w:rsidRPr="005001D6">
        <w:t>-control</w:t>
      </w:r>
      <w:r w:rsidRPr="005001D6">
        <w:t xml:space="preserve">, based on unrounded means), </w:t>
      </w:r>
      <w:r w:rsidRPr="005001D6">
        <w:rPr>
          <w:i/>
          <w:iCs/>
        </w:rPr>
        <w:t>p</w:t>
      </w:r>
      <w:r w:rsidRPr="005001D6">
        <w:t xml:space="preserve">, and χ2 values </w:t>
      </w:r>
      <w:r w:rsidR="00BE223A" w:rsidRPr="005001D6">
        <w:t>for the vegetation</w:t>
      </w:r>
      <w:r w:rsidR="007F6C8B" w:rsidRPr="005001D6">
        <w:t xml:space="preserve"> treatment</w:t>
      </w:r>
      <w:r w:rsidR="00BE223A" w:rsidRPr="005001D6">
        <w:t>, snowmelt timing</w:t>
      </w:r>
      <w:r w:rsidR="00DC2C19" w:rsidRPr="005001D6">
        <w:t>,</w:t>
      </w:r>
      <w:r w:rsidR="00BE223A" w:rsidRPr="005001D6">
        <w:t xml:space="preserve"> </w:t>
      </w:r>
      <w:r w:rsidR="00DC2C19" w:rsidRPr="005001D6">
        <w:t>and their interaction</w:t>
      </w:r>
      <w:r w:rsidRPr="005001D6">
        <w:t>.</w:t>
      </w:r>
      <w:r w:rsidR="00F23B69" w:rsidRPr="005001D6">
        <w:t xml:space="preserve"> All biomass</w:t>
      </w:r>
      <w:r w:rsidR="007E1756" w:rsidRPr="005001D6">
        <w:t>es</w:t>
      </w:r>
      <w:r w:rsidR="00F23B69" w:rsidRPr="005001D6">
        <w:t xml:space="preserve"> in </w:t>
      </w:r>
      <w:r w:rsidR="00996D30" w:rsidRPr="005001D6">
        <w:t>p</w:t>
      </w:r>
      <w:r w:rsidR="00F23B69" w:rsidRPr="005001D6">
        <w:t xml:space="preserve">hospholipid </w:t>
      </w:r>
      <w:r w:rsidR="00996D30" w:rsidRPr="005001D6">
        <w:t>f</w:t>
      </w:r>
      <w:r w:rsidR="00F23B69" w:rsidRPr="005001D6">
        <w:t xml:space="preserve">atty </w:t>
      </w:r>
      <w:r w:rsidR="00996D30" w:rsidRPr="005001D6">
        <w:t>a</w:t>
      </w:r>
      <w:r w:rsidR="00F23B69" w:rsidRPr="005001D6">
        <w:t>cid (PLFA) analys</w:t>
      </w:r>
      <w:r w:rsidR="007E1756" w:rsidRPr="005001D6">
        <w:t>e</w:t>
      </w:r>
      <w:r w:rsidR="00F23B69" w:rsidRPr="005001D6">
        <w:t>s</w:t>
      </w:r>
      <w:r w:rsidR="007E1756" w:rsidRPr="005001D6">
        <w:t xml:space="preserve"> are</w:t>
      </w:r>
      <w:r w:rsidR="00F23B69" w:rsidRPr="005001D6">
        <w:t xml:space="preserve"> in </w:t>
      </w:r>
      <w:proofErr w:type="spellStart"/>
      <w:r w:rsidR="00F23B69" w:rsidRPr="005001D6">
        <w:t>nmol</w:t>
      </w:r>
      <w:proofErr w:type="spellEnd"/>
      <w:r w:rsidR="00F23B69" w:rsidRPr="005001D6">
        <w:t xml:space="preserve"> PLFA g</w:t>
      </w:r>
      <w:r w:rsidR="00F23B69" w:rsidRPr="005001D6">
        <w:rPr>
          <w:vertAlign w:val="superscript"/>
        </w:rPr>
        <w:t>-1</w:t>
      </w:r>
      <w:r w:rsidR="00F23B69" w:rsidRPr="005001D6">
        <w:t xml:space="preserve"> dry soil</w:t>
      </w:r>
      <w:r w:rsidR="00213F73" w:rsidRPr="005001D6">
        <w:t>.</w:t>
      </w:r>
      <w:r w:rsidR="00F23B69" w:rsidRPr="005001D6">
        <w:t xml:space="preserve"> </w:t>
      </w:r>
      <w:r w:rsidR="00B94707" w:rsidRPr="005001D6">
        <w:t xml:space="preserve">Due to the large number of microbial families analysed, only those </w:t>
      </w:r>
      <w:r w:rsidR="003828E6" w:rsidRPr="005001D6">
        <w:t>with</w:t>
      </w:r>
      <w:r w:rsidR="00B94707" w:rsidRPr="005001D6">
        <w:t xml:space="preserve"> significant effects are shown. </w:t>
      </w:r>
      <w:r w:rsidR="00213F73" w:rsidRPr="005001D6">
        <w:t xml:space="preserve"> </w:t>
      </w:r>
      <w:r w:rsidRPr="005001D6">
        <w:t>Significant differences (</w:t>
      </w:r>
      <w:r w:rsidRPr="005001D6">
        <w:rPr>
          <w:i/>
          <w:iCs/>
        </w:rPr>
        <w:t>p</w:t>
      </w:r>
      <w:r w:rsidRPr="005001D6">
        <w:t xml:space="preserve"> &lt; 0.05) in bold</w:t>
      </w:r>
      <w:r w:rsidR="00606561" w:rsidRPr="005001D6">
        <w:t>,</w:t>
      </w:r>
      <w:r w:rsidRPr="005001D6">
        <w:t xml:space="preserve"> *log</w:t>
      </w:r>
      <w:r w:rsidRPr="005001D6">
        <w:rPr>
          <w:vertAlign w:val="subscript"/>
        </w:rPr>
        <w:t>10</w:t>
      </w:r>
      <w:r w:rsidRPr="005001D6">
        <w:t xml:space="preserve"> transformed for analysis</w:t>
      </w:r>
      <w:r w:rsidR="000E3A61" w:rsidRPr="005001D6">
        <w:t>.</w:t>
      </w:r>
      <w:r w:rsidRPr="005001D6">
        <w:t xml:space="preserve"> </w:t>
      </w:r>
    </w:p>
    <w:p w14:paraId="2A30A540" w14:textId="77777777" w:rsidR="00AF08A4" w:rsidRPr="005001D6" w:rsidRDefault="00AF08A4" w:rsidP="00173FAF">
      <w:pPr>
        <w:spacing w:line="360" w:lineRule="auto"/>
        <w:jc w:val="both"/>
        <w:rPr>
          <w:rFonts w:ascii="Arial" w:hAnsi="Arial" w:cs="Arial"/>
          <w:b/>
          <w:bCs/>
          <w:sz w:val="14"/>
          <w:szCs w:val="14"/>
        </w:rPr>
      </w:pPr>
    </w:p>
    <w:tbl>
      <w:tblPr>
        <w:tblStyle w:val="TableGrid"/>
        <w:tblW w:w="5000" w:type="pct"/>
        <w:tblLook w:val="04A0" w:firstRow="1" w:lastRow="0" w:firstColumn="1" w:lastColumn="0" w:noHBand="0" w:noVBand="1"/>
      </w:tblPr>
      <w:tblGrid>
        <w:gridCol w:w="2128"/>
        <w:gridCol w:w="1136"/>
        <w:gridCol w:w="948"/>
        <w:gridCol w:w="144"/>
        <w:gridCol w:w="845"/>
        <w:gridCol w:w="226"/>
        <w:gridCol w:w="740"/>
        <w:gridCol w:w="1043"/>
        <w:gridCol w:w="921"/>
        <w:gridCol w:w="895"/>
      </w:tblGrid>
      <w:tr w:rsidR="005001D6" w:rsidRPr="005001D6" w14:paraId="347C2799" w14:textId="104E588D" w:rsidTr="00F74214">
        <w:tc>
          <w:tcPr>
            <w:tcW w:w="1178" w:type="pct"/>
            <w:tcBorders>
              <w:top w:val="single" w:sz="4" w:space="0" w:color="auto"/>
              <w:left w:val="nil"/>
              <w:bottom w:val="single" w:sz="4" w:space="0" w:color="auto"/>
              <w:right w:val="nil"/>
            </w:tcBorders>
          </w:tcPr>
          <w:p w14:paraId="21D4186C" w14:textId="77777777" w:rsidR="00213F73" w:rsidRPr="005001D6" w:rsidRDefault="00213F73" w:rsidP="00173FAF">
            <w:pPr>
              <w:widowControl w:val="0"/>
              <w:autoSpaceDE w:val="0"/>
              <w:autoSpaceDN w:val="0"/>
              <w:adjustRightInd w:val="0"/>
              <w:spacing w:line="360" w:lineRule="auto"/>
              <w:jc w:val="both"/>
              <w:rPr>
                <w:rFonts w:ascii="Arial" w:hAnsi="Arial" w:cs="Arial"/>
                <w:sz w:val="14"/>
                <w:szCs w:val="14"/>
              </w:rPr>
            </w:pPr>
            <w:bookmarkStart w:id="12" w:name="_Hlk48223456"/>
          </w:p>
          <w:p w14:paraId="4B5A0AD3" w14:textId="77777777" w:rsidR="00213F73" w:rsidRPr="005001D6" w:rsidRDefault="00213F73" w:rsidP="00173FAF">
            <w:pPr>
              <w:widowControl w:val="0"/>
              <w:autoSpaceDE w:val="0"/>
              <w:autoSpaceDN w:val="0"/>
              <w:adjustRightInd w:val="0"/>
              <w:spacing w:line="360" w:lineRule="auto"/>
              <w:jc w:val="both"/>
              <w:rPr>
                <w:rFonts w:ascii="Arial" w:hAnsi="Arial" w:cs="Arial"/>
                <w:sz w:val="14"/>
                <w:szCs w:val="14"/>
              </w:rPr>
            </w:pPr>
          </w:p>
          <w:p w14:paraId="2C4AEF89" w14:textId="77777777" w:rsidR="00213F73" w:rsidRPr="005001D6" w:rsidRDefault="00213F73" w:rsidP="00173FAF">
            <w:pPr>
              <w:widowControl w:val="0"/>
              <w:autoSpaceDE w:val="0"/>
              <w:autoSpaceDN w:val="0"/>
              <w:adjustRightInd w:val="0"/>
              <w:spacing w:line="360" w:lineRule="auto"/>
              <w:jc w:val="both"/>
              <w:rPr>
                <w:rFonts w:ascii="Arial" w:hAnsi="Arial" w:cs="Arial"/>
                <w:sz w:val="14"/>
                <w:szCs w:val="14"/>
              </w:rPr>
            </w:pPr>
          </w:p>
          <w:p w14:paraId="15D029EF" w14:textId="3A70BF46" w:rsidR="00213F73" w:rsidRPr="005001D6" w:rsidRDefault="00213F73"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PLFA ANALYSIS</w:t>
            </w:r>
          </w:p>
        </w:tc>
        <w:tc>
          <w:tcPr>
            <w:tcW w:w="629" w:type="pct"/>
            <w:tcBorders>
              <w:top w:val="single" w:sz="4" w:space="0" w:color="auto"/>
              <w:left w:val="nil"/>
              <w:bottom w:val="single" w:sz="4" w:space="0" w:color="auto"/>
              <w:right w:val="nil"/>
            </w:tcBorders>
          </w:tcPr>
          <w:p w14:paraId="6DE56C85" w14:textId="6F87DAC9" w:rsidR="00213F73" w:rsidRPr="005001D6" w:rsidRDefault="00213F73"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Mean ± SE Shrub-invaded</w:t>
            </w:r>
          </w:p>
          <w:p w14:paraId="15811B16" w14:textId="77777777" w:rsidR="00213F73" w:rsidRPr="005001D6" w:rsidRDefault="00213F73"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(n = 23)</w:t>
            </w:r>
          </w:p>
        </w:tc>
        <w:tc>
          <w:tcPr>
            <w:tcW w:w="605" w:type="pct"/>
            <w:gridSpan w:val="2"/>
            <w:tcBorders>
              <w:top w:val="single" w:sz="4" w:space="0" w:color="auto"/>
              <w:left w:val="nil"/>
              <w:bottom w:val="single" w:sz="4" w:space="0" w:color="auto"/>
              <w:right w:val="nil"/>
            </w:tcBorders>
          </w:tcPr>
          <w:p w14:paraId="14F8DCB5" w14:textId="77777777" w:rsidR="00213F73" w:rsidRPr="005001D6" w:rsidRDefault="00213F73" w:rsidP="00173FAF">
            <w:pPr>
              <w:widowControl w:val="0"/>
              <w:autoSpaceDE w:val="0"/>
              <w:autoSpaceDN w:val="0"/>
              <w:adjustRightInd w:val="0"/>
              <w:spacing w:line="360" w:lineRule="auto"/>
              <w:jc w:val="both"/>
              <w:rPr>
                <w:rFonts w:ascii="Arial" w:hAnsi="Arial" w:cs="Arial"/>
                <w:sz w:val="14"/>
                <w:szCs w:val="14"/>
              </w:rPr>
            </w:pPr>
          </w:p>
          <w:p w14:paraId="2A37CAB2" w14:textId="111FF557" w:rsidR="00213F73" w:rsidRPr="005001D6" w:rsidRDefault="00213F73"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Grass-control</w:t>
            </w:r>
          </w:p>
          <w:p w14:paraId="3967D852" w14:textId="77777777" w:rsidR="00213F73" w:rsidRPr="005001D6" w:rsidRDefault="00213F73"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(n = 24)</w:t>
            </w:r>
          </w:p>
        </w:tc>
        <w:tc>
          <w:tcPr>
            <w:tcW w:w="593" w:type="pct"/>
            <w:gridSpan w:val="2"/>
            <w:tcBorders>
              <w:top w:val="single" w:sz="4" w:space="0" w:color="auto"/>
              <w:left w:val="nil"/>
              <w:bottom w:val="single" w:sz="4" w:space="0" w:color="auto"/>
              <w:right w:val="nil"/>
            </w:tcBorders>
          </w:tcPr>
          <w:p w14:paraId="5FE28A78" w14:textId="77777777" w:rsidR="00213F73" w:rsidRPr="005001D6" w:rsidRDefault="00213F73" w:rsidP="00173FAF">
            <w:pPr>
              <w:widowControl w:val="0"/>
              <w:autoSpaceDE w:val="0"/>
              <w:autoSpaceDN w:val="0"/>
              <w:adjustRightInd w:val="0"/>
              <w:spacing w:line="360" w:lineRule="auto"/>
              <w:jc w:val="both"/>
              <w:rPr>
                <w:rFonts w:ascii="Arial" w:hAnsi="Arial" w:cs="Arial"/>
                <w:sz w:val="14"/>
                <w:szCs w:val="14"/>
              </w:rPr>
            </w:pPr>
          </w:p>
          <w:p w14:paraId="1EA68793" w14:textId="77777777" w:rsidR="00213F73" w:rsidRPr="005001D6" w:rsidRDefault="00213F73"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 xml:space="preserve">Shrub removal </w:t>
            </w:r>
          </w:p>
          <w:p w14:paraId="10E6FEC7" w14:textId="5E3B2926" w:rsidR="00213F73" w:rsidRPr="005001D6" w:rsidRDefault="00213F73"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(n = 21)</w:t>
            </w:r>
          </w:p>
        </w:tc>
        <w:tc>
          <w:tcPr>
            <w:tcW w:w="410" w:type="pct"/>
            <w:tcBorders>
              <w:top w:val="single" w:sz="4" w:space="0" w:color="auto"/>
              <w:left w:val="nil"/>
              <w:bottom w:val="single" w:sz="4" w:space="0" w:color="auto"/>
              <w:right w:val="nil"/>
            </w:tcBorders>
          </w:tcPr>
          <w:p w14:paraId="08C8E253" w14:textId="77777777" w:rsidR="00213F73" w:rsidRPr="005001D6" w:rsidRDefault="00213F73"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 xml:space="preserve">Δ grass </w:t>
            </w:r>
          </w:p>
          <w:p w14:paraId="1D9F4F50" w14:textId="77777777" w:rsidR="00213F73" w:rsidRPr="005001D6" w:rsidRDefault="00213F73" w:rsidP="00173FAF">
            <w:pPr>
              <w:widowControl w:val="0"/>
              <w:autoSpaceDE w:val="0"/>
              <w:autoSpaceDN w:val="0"/>
              <w:adjustRightInd w:val="0"/>
              <w:spacing w:line="360" w:lineRule="auto"/>
              <w:jc w:val="both"/>
              <w:rPr>
                <w:rFonts w:ascii="Arial" w:hAnsi="Arial" w:cs="Arial"/>
                <w:sz w:val="14"/>
                <w:szCs w:val="14"/>
              </w:rPr>
            </w:pPr>
            <w:proofErr w:type="gramStart"/>
            <w:r w:rsidRPr="005001D6">
              <w:rPr>
                <w:rFonts w:ascii="Arial" w:hAnsi="Arial" w:cs="Arial"/>
                <w:sz w:val="14"/>
                <w:szCs w:val="14"/>
              </w:rPr>
              <w:t>to</w:t>
            </w:r>
            <w:proofErr w:type="gramEnd"/>
            <w:r w:rsidRPr="005001D6">
              <w:rPr>
                <w:rFonts w:ascii="Arial" w:hAnsi="Arial" w:cs="Arial"/>
                <w:sz w:val="14"/>
                <w:szCs w:val="14"/>
              </w:rPr>
              <w:t xml:space="preserve"> shrub (%)</w:t>
            </w:r>
          </w:p>
        </w:tc>
        <w:tc>
          <w:tcPr>
            <w:tcW w:w="578" w:type="pct"/>
            <w:tcBorders>
              <w:top w:val="single" w:sz="4" w:space="0" w:color="auto"/>
              <w:left w:val="nil"/>
              <w:bottom w:val="single" w:sz="4" w:space="0" w:color="auto"/>
              <w:right w:val="nil"/>
            </w:tcBorders>
          </w:tcPr>
          <w:p w14:paraId="5A1A2766" w14:textId="77777777" w:rsidR="00213F73" w:rsidRPr="005001D6" w:rsidRDefault="00213F73" w:rsidP="00173FAF">
            <w:pPr>
              <w:widowControl w:val="0"/>
              <w:autoSpaceDE w:val="0"/>
              <w:autoSpaceDN w:val="0"/>
              <w:adjustRightInd w:val="0"/>
              <w:spacing w:line="360" w:lineRule="auto"/>
              <w:jc w:val="both"/>
              <w:rPr>
                <w:rFonts w:ascii="Arial" w:hAnsi="Arial" w:cs="Arial"/>
                <w:i/>
                <w:iCs/>
                <w:sz w:val="14"/>
                <w:szCs w:val="14"/>
              </w:rPr>
            </w:pPr>
            <w:r w:rsidRPr="005001D6">
              <w:rPr>
                <w:rFonts w:ascii="Arial" w:hAnsi="Arial" w:cs="Arial"/>
                <w:i/>
                <w:iCs/>
                <w:sz w:val="14"/>
                <w:szCs w:val="14"/>
              </w:rPr>
              <w:t>Veg</w:t>
            </w:r>
          </w:p>
          <w:p w14:paraId="6186238F" w14:textId="77777777" w:rsidR="00213F73" w:rsidRPr="005001D6" w:rsidRDefault="00213F73"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i/>
                <w:iCs/>
                <w:sz w:val="14"/>
                <w:szCs w:val="14"/>
              </w:rPr>
              <w:t>p (</w:t>
            </w:r>
            <w:r w:rsidRPr="005001D6">
              <w:rPr>
                <w:rFonts w:ascii="Arial" w:hAnsi="Arial" w:cs="Arial"/>
                <w:sz w:val="14"/>
                <w:szCs w:val="14"/>
              </w:rPr>
              <w:t>Χ</w:t>
            </w:r>
            <w:r w:rsidRPr="005001D6">
              <w:rPr>
                <w:rFonts w:ascii="Arial" w:hAnsi="Arial" w:cs="Arial"/>
                <w:sz w:val="14"/>
                <w:szCs w:val="14"/>
                <w:vertAlign w:val="superscript"/>
              </w:rPr>
              <w:t>2</w:t>
            </w:r>
            <w:r w:rsidRPr="005001D6">
              <w:rPr>
                <w:rFonts w:ascii="Arial" w:hAnsi="Arial" w:cs="Arial"/>
                <w:sz w:val="14"/>
                <w:szCs w:val="14"/>
              </w:rPr>
              <w:t>)</w:t>
            </w:r>
          </w:p>
          <w:p w14:paraId="03B27CA5" w14:textId="268DD23F" w:rsidR="00F51F4C" w:rsidRPr="005001D6" w:rsidRDefault="00F51F4C" w:rsidP="00173FAF">
            <w:pPr>
              <w:widowControl w:val="0"/>
              <w:autoSpaceDE w:val="0"/>
              <w:autoSpaceDN w:val="0"/>
              <w:adjustRightInd w:val="0"/>
              <w:spacing w:line="360" w:lineRule="auto"/>
              <w:jc w:val="both"/>
              <w:rPr>
                <w:rFonts w:ascii="Arial" w:hAnsi="Arial" w:cs="Arial"/>
                <w:sz w:val="14"/>
                <w:szCs w:val="14"/>
              </w:rPr>
            </w:pPr>
            <w:proofErr w:type="spellStart"/>
            <w:r w:rsidRPr="005001D6">
              <w:rPr>
                <w:rFonts w:ascii="Arial" w:hAnsi="Arial" w:cs="Arial"/>
                <w:sz w:val="14"/>
                <w:szCs w:val="14"/>
              </w:rPr>
              <w:t>Df</w:t>
            </w:r>
            <w:proofErr w:type="spellEnd"/>
            <w:r w:rsidRPr="005001D6">
              <w:rPr>
                <w:rFonts w:ascii="Arial" w:hAnsi="Arial" w:cs="Arial"/>
                <w:sz w:val="14"/>
                <w:szCs w:val="14"/>
              </w:rPr>
              <w:t xml:space="preserve"> = 2</w:t>
            </w:r>
          </w:p>
        </w:tc>
        <w:tc>
          <w:tcPr>
            <w:tcW w:w="510" w:type="pct"/>
            <w:tcBorders>
              <w:top w:val="single" w:sz="4" w:space="0" w:color="auto"/>
              <w:left w:val="nil"/>
              <w:bottom w:val="single" w:sz="4" w:space="0" w:color="auto"/>
              <w:right w:val="nil"/>
            </w:tcBorders>
          </w:tcPr>
          <w:p w14:paraId="69350B14" w14:textId="1871D1AB" w:rsidR="00213F73" w:rsidRPr="005001D6" w:rsidRDefault="00213F73" w:rsidP="00173FAF">
            <w:pPr>
              <w:widowControl w:val="0"/>
              <w:autoSpaceDE w:val="0"/>
              <w:autoSpaceDN w:val="0"/>
              <w:adjustRightInd w:val="0"/>
              <w:spacing w:line="360" w:lineRule="auto"/>
              <w:jc w:val="both"/>
              <w:rPr>
                <w:rFonts w:ascii="Arial" w:hAnsi="Arial" w:cs="Arial"/>
                <w:i/>
                <w:iCs/>
                <w:sz w:val="14"/>
                <w:szCs w:val="14"/>
              </w:rPr>
            </w:pPr>
            <w:r w:rsidRPr="005001D6">
              <w:rPr>
                <w:rFonts w:ascii="Arial" w:hAnsi="Arial" w:cs="Arial"/>
                <w:i/>
                <w:iCs/>
                <w:sz w:val="14"/>
                <w:szCs w:val="14"/>
              </w:rPr>
              <w:t>Snowmelt timing</w:t>
            </w:r>
          </w:p>
          <w:p w14:paraId="6490E40E" w14:textId="77777777" w:rsidR="00213F73" w:rsidRPr="005001D6" w:rsidRDefault="00213F73"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i/>
                <w:iCs/>
                <w:sz w:val="14"/>
                <w:szCs w:val="14"/>
              </w:rPr>
              <w:t>p (</w:t>
            </w:r>
            <w:r w:rsidRPr="005001D6">
              <w:rPr>
                <w:rFonts w:ascii="Arial" w:hAnsi="Arial" w:cs="Arial"/>
                <w:sz w:val="14"/>
                <w:szCs w:val="14"/>
              </w:rPr>
              <w:t>Χ</w:t>
            </w:r>
            <w:r w:rsidRPr="005001D6">
              <w:rPr>
                <w:rFonts w:ascii="Arial" w:hAnsi="Arial" w:cs="Arial"/>
                <w:sz w:val="14"/>
                <w:szCs w:val="14"/>
                <w:vertAlign w:val="superscript"/>
              </w:rPr>
              <w:t>2</w:t>
            </w:r>
            <w:r w:rsidRPr="005001D6">
              <w:rPr>
                <w:rFonts w:ascii="Arial" w:hAnsi="Arial" w:cs="Arial"/>
                <w:sz w:val="14"/>
                <w:szCs w:val="14"/>
              </w:rPr>
              <w:t>)</w:t>
            </w:r>
          </w:p>
          <w:p w14:paraId="71646B7A" w14:textId="610A4080" w:rsidR="00F51F4C" w:rsidRPr="005001D6" w:rsidRDefault="00F51F4C" w:rsidP="00173FAF">
            <w:pPr>
              <w:widowControl w:val="0"/>
              <w:autoSpaceDE w:val="0"/>
              <w:autoSpaceDN w:val="0"/>
              <w:adjustRightInd w:val="0"/>
              <w:spacing w:line="360" w:lineRule="auto"/>
              <w:jc w:val="both"/>
              <w:rPr>
                <w:rFonts w:ascii="Arial" w:hAnsi="Arial" w:cs="Arial"/>
                <w:sz w:val="14"/>
                <w:szCs w:val="14"/>
              </w:rPr>
            </w:pPr>
            <w:proofErr w:type="spellStart"/>
            <w:r w:rsidRPr="005001D6">
              <w:rPr>
                <w:rFonts w:ascii="Arial" w:hAnsi="Arial" w:cs="Arial"/>
                <w:sz w:val="14"/>
                <w:szCs w:val="14"/>
              </w:rPr>
              <w:t>Df</w:t>
            </w:r>
            <w:proofErr w:type="spellEnd"/>
            <w:r w:rsidRPr="005001D6">
              <w:rPr>
                <w:rFonts w:ascii="Arial" w:hAnsi="Arial" w:cs="Arial"/>
                <w:sz w:val="14"/>
                <w:szCs w:val="14"/>
              </w:rPr>
              <w:t xml:space="preserve"> = 1</w:t>
            </w:r>
          </w:p>
        </w:tc>
        <w:tc>
          <w:tcPr>
            <w:tcW w:w="496" w:type="pct"/>
            <w:tcBorders>
              <w:top w:val="single" w:sz="4" w:space="0" w:color="auto"/>
              <w:left w:val="nil"/>
              <w:bottom w:val="single" w:sz="4" w:space="0" w:color="auto"/>
              <w:right w:val="nil"/>
            </w:tcBorders>
          </w:tcPr>
          <w:p w14:paraId="0C5F49BF" w14:textId="77777777" w:rsidR="00693806" w:rsidRPr="005001D6" w:rsidRDefault="00693806"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Snowmelt</w:t>
            </w:r>
          </w:p>
          <w:p w14:paraId="70A4A07F" w14:textId="48854CBB" w:rsidR="00213F73" w:rsidRPr="005001D6" w:rsidRDefault="009A44B3"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timing</w:t>
            </w:r>
            <w:r w:rsidR="00693806" w:rsidRPr="005001D6">
              <w:rPr>
                <w:rFonts w:ascii="Arial" w:hAnsi="Arial" w:cs="Arial"/>
                <w:sz w:val="14"/>
                <w:szCs w:val="14"/>
              </w:rPr>
              <w:t>*Veg</w:t>
            </w:r>
          </w:p>
          <w:p w14:paraId="398F3F66" w14:textId="77777777" w:rsidR="00213F73" w:rsidRPr="005001D6" w:rsidRDefault="00213F73"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i/>
                <w:iCs/>
                <w:sz w:val="14"/>
                <w:szCs w:val="14"/>
              </w:rPr>
              <w:t>p (</w:t>
            </w:r>
            <w:r w:rsidRPr="005001D6">
              <w:rPr>
                <w:rFonts w:ascii="Arial" w:hAnsi="Arial" w:cs="Arial"/>
                <w:sz w:val="14"/>
                <w:szCs w:val="14"/>
              </w:rPr>
              <w:t>Χ</w:t>
            </w:r>
            <w:r w:rsidRPr="005001D6">
              <w:rPr>
                <w:rFonts w:ascii="Arial" w:hAnsi="Arial" w:cs="Arial"/>
                <w:sz w:val="14"/>
                <w:szCs w:val="14"/>
                <w:vertAlign w:val="superscript"/>
              </w:rPr>
              <w:t>2</w:t>
            </w:r>
            <w:r w:rsidRPr="005001D6">
              <w:rPr>
                <w:rFonts w:ascii="Arial" w:hAnsi="Arial" w:cs="Arial"/>
                <w:sz w:val="14"/>
                <w:szCs w:val="14"/>
              </w:rPr>
              <w:t>)</w:t>
            </w:r>
          </w:p>
          <w:p w14:paraId="7F99D9D7" w14:textId="49EC393C" w:rsidR="00F51F4C" w:rsidRPr="005001D6" w:rsidRDefault="00F51F4C" w:rsidP="00173FAF">
            <w:pPr>
              <w:widowControl w:val="0"/>
              <w:autoSpaceDE w:val="0"/>
              <w:autoSpaceDN w:val="0"/>
              <w:adjustRightInd w:val="0"/>
              <w:spacing w:line="360" w:lineRule="auto"/>
              <w:jc w:val="both"/>
              <w:rPr>
                <w:rFonts w:ascii="Arial" w:hAnsi="Arial" w:cs="Arial"/>
                <w:sz w:val="14"/>
                <w:szCs w:val="14"/>
              </w:rPr>
            </w:pPr>
            <w:proofErr w:type="spellStart"/>
            <w:r w:rsidRPr="005001D6">
              <w:rPr>
                <w:rFonts w:ascii="Arial" w:hAnsi="Arial" w:cs="Arial"/>
                <w:sz w:val="14"/>
                <w:szCs w:val="14"/>
              </w:rPr>
              <w:t>Df</w:t>
            </w:r>
            <w:proofErr w:type="spellEnd"/>
            <w:r w:rsidRPr="005001D6">
              <w:rPr>
                <w:rFonts w:ascii="Arial" w:hAnsi="Arial" w:cs="Arial"/>
                <w:sz w:val="14"/>
                <w:szCs w:val="14"/>
              </w:rPr>
              <w:t xml:space="preserve"> = 2</w:t>
            </w:r>
          </w:p>
        </w:tc>
      </w:tr>
      <w:tr w:rsidR="005001D6" w:rsidRPr="005001D6" w14:paraId="44EFD6F4" w14:textId="467EF68E" w:rsidTr="00F74214">
        <w:tc>
          <w:tcPr>
            <w:tcW w:w="1178" w:type="pct"/>
            <w:tcBorders>
              <w:top w:val="single" w:sz="4" w:space="0" w:color="auto"/>
              <w:left w:val="nil"/>
              <w:bottom w:val="nil"/>
              <w:right w:val="nil"/>
            </w:tcBorders>
          </w:tcPr>
          <w:p w14:paraId="6E4C950B" w14:textId="77777777" w:rsidR="00213F73" w:rsidRPr="005001D6" w:rsidRDefault="00213F73"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Fungal: bacterial ratio</w:t>
            </w:r>
          </w:p>
        </w:tc>
        <w:tc>
          <w:tcPr>
            <w:tcW w:w="629" w:type="pct"/>
            <w:tcBorders>
              <w:top w:val="nil"/>
              <w:left w:val="nil"/>
              <w:bottom w:val="nil"/>
              <w:right w:val="nil"/>
            </w:tcBorders>
            <w:shd w:val="clear" w:color="auto" w:fill="auto"/>
            <w:vAlign w:val="bottom"/>
          </w:tcPr>
          <w:p w14:paraId="0AFECACC" w14:textId="77777777" w:rsidR="00213F73" w:rsidRPr="005001D6" w:rsidRDefault="00213F73"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0.46 ± 0.02</w:t>
            </w:r>
          </w:p>
        </w:tc>
        <w:tc>
          <w:tcPr>
            <w:tcW w:w="605" w:type="pct"/>
            <w:gridSpan w:val="2"/>
            <w:tcBorders>
              <w:top w:val="nil"/>
              <w:left w:val="nil"/>
              <w:bottom w:val="nil"/>
              <w:right w:val="nil"/>
            </w:tcBorders>
            <w:shd w:val="clear" w:color="auto" w:fill="auto"/>
            <w:vAlign w:val="bottom"/>
          </w:tcPr>
          <w:p w14:paraId="6BB6BB10" w14:textId="77777777" w:rsidR="00213F73" w:rsidRPr="005001D6" w:rsidRDefault="00213F73"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0.50 ± 0.02</w:t>
            </w:r>
          </w:p>
        </w:tc>
        <w:tc>
          <w:tcPr>
            <w:tcW w:w="593" w:type="pct"/>
            <w:gridSpan w:val="2"/>
            <w:tcBorders>
              <w:top w:val="nil"/>
              <w:left w:val="nil"/>
              <w:bottom w:val="nil"/>
              <w:right w:val="nil"/>
            </w:tcBorders>
            <w:shd w:val="clear" w:color="auto" w:fill="auto"/>
            <w:vAlign w:val="bottom"/>
          </w:tcPr>
          <w:p w14:paraId="5C33558A" w14:textId="77777777" w:rsidR="00213F73" w:rsidRPr="005001D6" w:rsidRDefault="00213F73"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0.48 ± 0.02</w:t>
            </w:r>
          </w:p>
        </w:tc>
        <w:tc>
          <w:tcPr>
            <w:tcW w:w="410" w:type="pct"/>
            <w:tcBorders>
              <w:top w:val="single" w:sz="4" w:space="0" w:color="auto"/>
              <w:left w:val="nil"/>
              <w:bottom w:val="nil"/>
              <w:right w:val="nil"/>
            </w:tcBorders>
          </w:tcPr>
          <w:p w14:paraId="38656B5F" w14:textId="77777777" w:rsidR="00213F73" w:rsidRPr="005001D6" w:rsidRDefault="00213F73"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-7</w:t>
            </w:r>
          </w:p>
        </w:tc>
        <w:tc>
          <w:tcPr>
            <w:tcW w:w="578" w:type="pct"/>
            <w:tcBorders>
              <w:top w:val="single" w:sz="4" w:space="0" w:color="auto"/>
              <w:left w:val="nil"/>
              <w:bottom w:val="nil"/>
              <w:right w:val="nil"/>
            </w:tcBorders>
          </w:tcPr>
          <w:p w14:paraId="25D4E5FE" w14:textId="3A45FD85" w:rsidR="00213F73" w:rsidRPr="005001D6" w:rsidRDefault="00213F73"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0.30 (2.5)</w:t>
            </w:r>
          </w:p>
        </w:tc>
        <w:tc>
          <w:tcPr>
            <w:tcW w:w="510" w:type="pct"/>
            <w:tcBorders>
              <w:top w:val="single" w:sz="4" w:space="0" w:color="auto"/>
              <w:left w:val="nil"/>
              <w:bottom w:val="nil"/>
              <w:right w:val="nil"/>
            </w:tcBorders>
          </w:tcPr>
          <w:p w14:paraId="738809E0" w14:textId="35C6B757" w:rsidR="00213F73" w:rsidRPr="005001D6" w:rsidRDefault="007E1756"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0.68 (1.0)</w:t>
            </w:r>
          </w:p>
        </w:tc>
        <w:tc>
          <w:tcPr>
            <w:tcW w:w="496" w:type="pct"/>
            <w:tcBorders>
              <w:top w:val="single" w:sz="4" w:space="0" w:color="auto"/>
              <w:left w:val="nil"/>
              <w:bottom w:val="nil"/>
              <w:right w:val="nil"/>
            </w:tcBorders>
          </w:tcPr>
          <w:p w14:paraId="5B4F7308" w14:textId="40503A3C" w:rsidR="00213F73" w:rsidRPr="005001D6" w:rsidRDefault="007E1756"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0.22 (3.4)</w:t>
            </w:r>
          </w:p>
        </w:tc>
      </w:tr>
      <w:tr w:rsidR="005001D6" w:rsidRPr="005001D6" w14:paraId="2532147E" w14:textId="278820D5" w:rsidTr="00F74214">
        <w:tc>
          <w:tcPr>
            <w:tcW w:w="1178" w:type="pct"/>
            <w:tcBorders>
              <w:top w:val="nil"/>
              <w:left w:val="nil"/>
              <w:bottom w:val="nil"/>
              <w:right w:val="nil"/>
            </w:tcBorders>
          </w:tcPr>
          <w:p w14:paraId="43F3CC14" w14:textId="77777777" w:rsidR="00213F73" w:rsidRPr="005001D6" w:rsidRDefault="00213F73"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 xml:space="preserve">Gram positive: </w:t>
            </w:r>
          </w:p>
          <w:p w14:paraId="40161CCB" w14:textId="21C2A9AB" w:rsidR="00213F73" w:rsidRPr="005001D6" w:rsidRDefault="00213F73"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gram negative ratio</w:t>
            </w:r>
          </w:p>
        </w:tc>
        <w:tc>
          <w:tcPr>
            <w:tcW w:w="629" w:type="pct"/>
            <w:tcBorders>
              <w:top w:val="nil"/>
              <w:left w:val="nil"/>
              <w:bottom w:val="nil"/>
              <w:right w:val="nil"/>
            </w:tcBorders>
          </w:tcPr>
          <w:p w14:paraId="2B5B5C88" w14:textId="77777777" w:rsidR="00213F73" w:rsidRPr="005001D6" w:rsidRDefault="00213F73"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3.0 ± 0.1</w:t>
            </w:r>
          </w:p>
        </w:tc>
        <w:tc>
          <w:tcPr>
            <w:tcW w:w="605" w:type="pct"/>
            <w:gridSpan w:val="2"/>
            <w:tcBorders>
              <w:top w:val="nil"/>
              <w:left w:val="nil"/>
              <w:bottom w:val="nil"/>
              <w:right w:val="nil"/>
            </w:tcBorders>
          </w:tcPr>
          <w:p w14:paraId="6AF99D81" w14:textId="77777777" w:rsidR="00213F73" w:rsidRPr="005001D6" w:rsidRDefault="00213F73"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2.7 ± 0.1</w:t>
            </w:r>
          </w:p>
        </w:tc>
        <w:tc>
          <w:tcPr>
            <w:tcW w:w="593" w:type="pct"/>
            <w:gridSpan w:val="2"/>
            <w:tcBorders>
              <w:top w:val="nil"/>
              <w:left w:val="nil"/>
              <w:bottom w:val="nil"/>
              <w:right w:val="nil"/>
            </w:tcBorders>
          </w:tcPr>
          <w:p w14:paraId="051C3E60" w14:textId="77777777" w:rsidR="00213F73" w:rsidRPr="005001D6" w:rsidRDefault="00213F73"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2.7 ± 0.1</w:t>
            </w:r>
          </w:p>
        </w:tc>
        <w:tc>
          <w:tcPr>
            <w:tcW w:w="410" w:type="pct"/>
            <w:tcBorders>
              <w:top w:val="nil"/>
              <w:left w:val="nil"/>
              <w:bottom w:val="nil"/>
              <w:right w:val="nil"/>
            </w:tcBorders>
          </w:tcPr>
          <w:p w14:paraId="27919A8E" w14:textId="77777777" w:rsidR="00213F73" w:rsidRPr="005001D6" w:rsidRDefault="00213F73"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10</w:t>
            </w:r>
          </w:p>
        </w:tc>
        <w:tc>
          <w:tcPr>
            <w:tcW w:w="578" w:type="pct"/>
            <w:tcBorders>
              <w:top w:val="nil"/>
              <w:left w:val="nil"/>
              <w:bottom w:val="nil"/>
              <w:right w:val="nil"/>
            </w:tcBorders>
          </w:tcPr>
          <w:p w14:paraId="17E2FD79" w14:textId="59FD0449" w:rsidR="00213F73" w:rsidRPr="005001D6" w:rsidRDefault="00213F73" w:rsidP="00173FAF">
            <w:pPr>
              <w:widowControl w:val="0"/>
              <w:autoSpaceDE w:val="0"/>
              <w:autoSpaceDN w:val="0"/>
              <w:adjustRightInd w:val="0"/>
              <w:spacing w:line="360" w:lineRule="auto"/>
              <w:jc w:val="both"/>
              <w:rPr>
                <w:rFonts w:ascii="Arial" w:hAnsi="Arial" w:cs="Arial"/>
                <w:b/>
                <w:bCs/>
                <w:sz w:val="14"/>
                <w:szCs w:val="14"/>
              </w:rPr>
            </w:pPr>
            <w:r w:rsidRPr="005001D6">
              <w:rPr>
                <w:rFonts w:ascii="Arial" w:hAnsi="Arial" w:cs="Arial"/>
                <w:b/>
                <w:bCs/>
                <w:sz w:val="14"/>
                <w:szCs w:val="14"/>
              </w:rPr>
              <w:t>&lt;0.01 (15.6)</w:t>
            </w:r>
          </w:p>
        </w:tc>
        <w:tc>
          <w:tcPr>
            <w:tcW w:w="510" w:type="pct"/>
            <w:tcBorders>
              <w:top w:val="nil"/>
              <w:left w:val="nil"/>
              <w:bottom w:val="nil"/>
              <w:right w:val="nil"/>
            </w:tcBorders>
          </w:tcPr>
          <w:p w14:paraId="7A22D429" w14:textId="7C3B68CA" w:rsidR="00213F73" w:rsidRPr="005001D6" w:rsidRDefault="007E1756"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0.68 (1.1)</w:t>
            </w:r>
          </w:p>
        </w:tc>
        <w:tc>
          <w:tcPr>
            <w:tcW w:w="496" w:type="pct"/>
            <w:tcBorders>
              <w:top w:val="nil"/>
              <w:left w:val="nil"/>
              <w:bottom w:val="nil"/>
              <w:right w:val="nil"/>
            </w:tcBorders>
          </w:tcPr>
          <w:p w14:paraId="2FCF0475" w14:textId="5B3800EF" w:rsidR="00213F73" w:rsidRPr="005001D6" w:rsidRDefault="007E1756"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0.93 (0.1)</w:t>
            </w:r>
          </w:p>
        </w:tc>
      </w:tr>
      <w:tr w:rsidR="005001D6" w:rsidRPr="005001D6" w14:paraId="4A29DABE" w14:textId="042FBF89" w:rsidTr="00F74214">
        <w:tc>
          <w:tcPr>
            <w:tcW w:w="1178" w:type="pct"/>
            <w:tcBorders>
              <w:top w:val="nil"/>
              <w:left w:val="nil"/>
              <w:bottom w:val="nil"/>
              <w:right w:val="nil"/>
            </w:tcBorders>
          </w:tcPr>
          <w:p w14:paraId="0D48F952" w14:textId="350FF729" w:rsidR="00213F73" w:rsidRPr="005001D6" w:rsidRDefault="00213F73"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 xml:space="preserve">Fungal biomass </w:t>
            </w:r>
          </w:p>
        </w:tc>
        <w:tc>
          <w:tcPr>
            <w:tcW w:w="629" w:type="pct"/>
            <w:tcBorders>
              <w:top w:val="nil"/>
              <w:left w:val="nil"/>
              <w:bottom w:val="nil"/>
              <w:right w:val="nil"/>
            </w:tcBorders>
          </w:tcPr>
          <w:p w14:paraId="43918692" w14:textId="77777777" w:rsidR="00213F73" w:rsidRPr="005001D6" w:rsidRDefault="00213F73"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285.9 ± 27.6</w:t>
            </w:r>
          </w:p>
        </w:tc>
        <w:tc>
          <w:tcPr>
            <w:tcW w:w="605" w:type="pct"/>
            <w:gridSpan w:val="2"/>
            <w:tcBorders>
              <w:top w:val="nil"/>
              <w:left w:val="nil"/>
              <w:bottom w:val="nil"/>
              <w:right w:val="nil"/>
            </w:tcBorders>
          </w:tcPr>
          <w:p w14:paraId="40E46954" w14:textId="77777777" w:rsidR="00213F73" w:rsidRPr="005001D6" w:rsidRDefault="00213F73"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397.2 ± 41.3</w:t>
            </w:r>
          </w:p>
        </w:tc>
        <w:tc>
          <w:tcPr>
            <w:tcW w:w="593" w:type="pct"/>
            <w:gridSpan w:val="2"/>
            <w:tcBorders>
              <w:top w:val="nil"/>
              <w:left w:val="nil"/>
              <w:bottom w:val="nil"/>
              <w:right w:val="nil"/>
            </w:tcBorders>
          </w:tcPr>
          <w:p w14:paraId="15A990A3" w14:textId="77777777" w:rsidR="00213F73" w:rsidRPr="005001D6" w:rsidRDefault="00213F73"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347.0 ± 39.3</w:t>
            </w:r>
          </w:p>
        </w:tc>
        <w:tc>
          <w:tcPr>
            <w:tcW w:w="410" w:type="pct"/>
            <w:tcBorders>
              <w:top w:val="nil"/>
              <w:left w:val="nil"/>
              <w:bottom w:val="nil"/>
              <w:right w:val="nil"/>
            </w:tcBorders>
          </w:tcPr>
          <w:p w14:paraId="251E7DE1" w14:textId="77777777" w:rsidR="00213F73" w:rsidRPr="005001D6" w:rsidRDefault="00213F73"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-28</w:t>
            </w:r>
          </w:p>
        </w:tc>
        <w:tc>
          <w:tcPr>
            <w:tcW w:w="578" w:type="pct"/>
            <w:tcBorders>
              <w:top w:val="nil"/>
              <w:left w:val="nil"/>
              <w:bottom w:val="nil"/>
              <w:right w:val="nil"/>
            </w:tcBorders>
          </w:tcPr>
          <w:p w14:paraId="1DCFF137" w14:textId="248A36EC" w:rsidR="00213F73" w:rsidRPr="005001D6" w:rsidRDefault="00213F73"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0.21 (4.7)</w:t>
            </w:r>
          </w:p>
        </w:tc>
        <w:tc>
          <w:tcPr>
            <w:tcW w:w="510" w:type="pct"/>
            <w:tcBorders>
              <w:top w:val="nil"/>
              <w:left w:val="nil"/>
              <w:bottom w:val="nil"/>
              <w:right w:val="nil"/>
            </w:tcBorders>
          </w:tcPr>
          <w:p w14:paraId="4D65819A" w14:textId="031C8871" w:rsidR="00213F73" w:rsidRPr="005001D6" w:rsidRDefault="007E1756"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0.74 (0.1)</w:t>
            </w:r>
          </w:p>
        </w:tc>
        <w:tc>
          <w:tcPr>
            <w:tcW w:w="496" w:type="pct"/>
            <w:tcBorders>
              <w:top w:val="nil"/>
              <w:left w:val="nil"/>
              <w:bottom w:val="nil"/>
              <w:right w:val="nil"/>
            </w:tcBorders>
          </w:tcPr>
          <w:p w14:paraId="53E8973C" w14:textId="2CDDE114" w:rsidR="00213F73" w:rsidRPr="005001D6" w:rsidRDefault="007E1756"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0.22 (4.1)</w:t>
            </w:r>
          </w:p>
        </w:tc>
      </w:tr>
      <w:tr w:rsidR="005001D6" w:rsidRPr="005001D6" w14:paraId="719917C5" w14:textId="6F060D15" w:rsidTr="00F74214">
        <w:tc>
          <w:tcPr>
            <w:tcW w:w="1178" w:type="pct"/>
            <w:tcBorders>
              <w:top w:val="nil"/>
              <w:left w:val="nil"/>
              <w:bottom w:val="nil"/>
              <w:right w:val="nil"/>
            </w:tcBorders>
          </w:tcPr>
          <w:p w14:paraId="42B99725" w14:textId="26757E4D" w:rsidR="00213F73" w:rsidRPr="005001D6" w:rsidRDefault="00213F73"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Bacterial biomass</w:t>
            </w:r>
          </w:p>
        </w:tc>
        <w:tc>
          <w:tcPr>
            <w:tcW w:w="629" w:type="pct"/>
            <w:tcBorders>
              <w:top w:val="nil"/>
              <w:left w:val="nil"/>
              <w:bottom w:val="nil"/>
              <w:right w:val="nil"/>
            </w:tcBorders>
          </w:tcPr>
          <w:p w14:paraId="64E84466" w14:textId="77777777" w:rsidR="00213F73" w:rsidRPr="005001D6" w:rsidRDefault="00213F73"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617.7 ± 59.3</w:t>
            </w:r>
          </w:p>
        </w:tc>
        <w:tc>
          <w:tcPr>
            <w:tcW w:w="605" w:type="pct"/>
            <w:gridSpan w:val="2"/>
            <w:tcBorders>
              <w:top w:val="nil"/>
              <w:left w:val="nil"/>
              <w:bottom w:val="nil"/>
              <w:right w:val="nil"/>
            </w:tcBorders>
          </w:tcPr>
          <w:p w14:paraId="3D94F4B7" w14:textId="77777777" w:rsidR="00213F73" w:rsidRPr="005001D6" w:rsidRDefault="00213F73"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803.2 ± 72</w:t>
            </w:r>
          </w:p>
        </w:tc>
        <w:tc>
          <w:tcPr>
            <w:tcW w:w="593" w:type="pct"/>
            <w:gridSpan w:val="2"/>
            <w:tcBorders>
              <w:top w:val="nil"/>
              <w:left w:val="nil"/>
              <w:bottom w:val="nil"/>
              <w:right w:val="nil"/>
            </w:tcBorders>
          </w:tcPr>
          <w:p w14:paraId="167CED65" w14:textId="77777777" w:rsidR="00213F73" w:rsidRPr="005001D6" w:rsidRDefault="00213F73"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711.5 ± 67.4</w:t>
            </w:r>
          </w:p>
        </w:tc>
        <w:tc>
          <w:tcPr>
            <w:tcW w:w="410" w:type="pct"/>
            <w:tcBorders>
              <w:top w:val="nil"/>
              <w:left w:val="nil"/>
              <w:bottom w:val="nil"/>
              <w:right w:val="nil"/>
            </w:tcBorders>
          </w:tcPr>
          <w:p w14:paraId="51ABF828" w14:textId="77777777" w:rsidR="00213F73" w:rsidRPr="005001D6" w:rsidRDefault="00213F73"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-23</w:t>
            </w:r>
          </w:p>
        </w:tc>
        <w:tc>
          <w:tcPr>
            <w:tcW w:w="578" w:type="pct"/>
            <w:tcBorders>
              <w:top w:val="nil"/>
              <w:left w:val="nil"/>
              <w:bottom w:val="nil"/>
              <w:right w:val="nil"/>
            </w:tcBorders>
          </w:tcPr>
          <w:p w14:paraId="4D5C06C6" w14:textId="34C75295" w:rsidR="00213F73" w:rsidRPr="005001D6" w:rsidRDefault="00213F73"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0.22 (3.9)</w:t>
            </w:r>
          </w:p>
        </w:tc>
        <w:tc>
          <w:tcPr>
            <w:tcW w:w="510" w:type="pct"/>
            <w:tcBorders>
              <w:top w:val="nil"/>
              <w:left w:val="nil"/>
              <w:bottom w:val="nil"/>
              <w:right w:val="nil"/>
            </w:tcBorders>
          </w:tcPr>
          <w:p w14:paraId="5E7CB783" w14:textId="78BEA003" w:rsidR="00213F73" w:rsidRPr="005001D6" w:rsidRDefault="007E1756"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0.68 (0.3)</w:t>
            </w:r>
          </w:p>
        </w:tc>
        <w:tc>
          <w:tcPr>
            <w:tcW w:w="496" w:type="pct"/>
            <w:tcBorders>
              <w:top w:val="nil"/>
              <w:left w:val="nil"/>
              <w:bottom w:val="nil"/>
              <w:right w:val="nil"/>
            </w:tcBorders>
          </w:tcPr>
          <w:p w14:paraId="7220887F" w14:textId="14E12A09" w:rsidR="00213F73" w:rsidRPr="005001D6" w:rsidRDefault="007E1756"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0.22 (3.7)</w:t>
            </w:r>
          </w:p>
        </w:tc>
      </w:tr>
      <w:tr w:rsidR="005001D6" w:rsidRPr="005001D6" w14:paraId="41F8C3CB" w14:textId="2A6E93E3" w:rsidTr="00F74214">
        <w:tc>
          <w:tcPr>
            <w:tcW w:w="1178" w:type="pct"/>
            <w:tcBorders>
              <w:top w:val="nil"/>
              <w:left w:val="nil"/>
              <w:bottom w:val="nil"/>
              <w:right w:val="nil"/>
            </w:tcBorders>
          </w:tcPr>
          <w:p w14:paraId="1931D216" w14:textId="1E54CEC6" w:rsidR="00213F73" w:rsidRPr="005001D6" w:rsidRDefault="00213F73" w:rsidP="00173FAF">
            <w:pPr>
              <w:widowControl w:val="0"/>
              <w:autoSpaceDE w:val="0"/>
              <w:autoSpaceDN w:val="0"/>
              <w:adjustRightInd w:val="0"/>
              <w:spacing w:line="360" w:lineRule="auto"/>
              <w:jc w:val="both"/>
              <w:rPr>
                <w:rFonts w:ascii="Arial" w:hAnsi="Arial" w:cs="Arial"/>
                <w:sz w:val="14"/>
                <w:szCs w:val="14"/>
              </w:rPr>
            </w:pPr>
            <w:proofErr w:type="spellStart"/>
            <w:r w:rsidRPr="005001D6">
              <w:rPr>
                <w:rFonts w:ascii="Arial" w:hAnsi="Arial" w:cs="Arial"/>
                <w:sz w:val="14"/>
                <w:szCs w:val="14"/>
              </w:rPr>
              <w:t>Actinomycete</w:t>
            </w:r>
            <w:proofErr w:type="spellEnd"/>
            <w:r w:rsidRPr="005001D6">
              <w:rPr>
                <w:rFonts w:ascii="Arial" w:hAnsi="Arial" w:cs="Arial"/>
                <w:sz w:val="14"/>
                <w:szCs w:val="14"/>
              </w:rPr>
              <w:t xml:space="preserve"> biomass</w:t>
            </w:r>
          </w:p>
        </w:tc>
        <w:tc>
          <w:tcPr>
            <w:tcW w:w="629" w:type="pct"/>
            <w:tcBorders>
              <w:top w:val="nil"/>
              <w:left w:val="nil"/>
              <w:bottom w:val="nil"/>
              <w:right w:val="nil"/>
            </w:tcBorders>
          </w:tcPr>
          <w:p w14:paraId="275550AA" w14:textId="77777777" w:rsidR="00213F73" w:rsidRPr="005001D6" w:rsidRDefault="00213F73"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374.6 ±36.7</w:t>
            </w:r>
          </w:p>
        </w:tc>
        <w:tc>
          <w:tcPr>
            <w:tcW w:w="605" w:type="pct"/>
            <w:gridSpan w:val="2"/>
            <w:tcBorders>
              <w:top w:val="nil"/>
              <w:left w:val="nil"/>
              <w:bottom w:val="nil"/>
              <w:right w:val="nil"/>
            </w:tcBorders>
          </w:tcPr>
          <w:p w14:paraId="0F0445DB" w14:textId="77777777" w:rsidR="00213F73" w:rsidRPr="005001D6" w:rsidRDefault="00213F73"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458.3 ± 37.0</w:t>
            </w:r>
          </w:p>
        </w:tc>
        <w:tc>
          <w:tcPr>
            <w:tcW w:w="593" w:type="pct"/>
            <w:gridSpan w:val="2"/>
            <w:tcBorders>
              <w:top w:val="nil"/>
              <w:left w:val="nil"/>
              <w:bottom w:val="nil"/>
              <w:right w:val="nil"/>
            </w:tcBorders>
          </w:tcPr>
          <w:p w14:paraId="31F88999" w14:textId="77777777" w:rsidR="00213F73" w:rsidRPr="005001D6" w:rsidRDefault="00213F73"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414.1 ± 42.2</w:t>
            </w:r>
          </w:p>
        </w:tc>
        <w:tc>
          <w:tcPr>
            <w:tcW w:w="410" w:type="pct"/>
            <w:tcBorders>
              <w:top w:val="nil"/>
              <w:left w:val="nil"/>
              <w:bottom w:val="nil"/>
              <w:right w:val="nil"/>
            </w:tcBorders>
          </w:tcPr>
          <w:p w14:paraId="26C37E69" w14:textId="77777777" w:rsidR="00213F73" w:rsidRPr="005001D6" w:rsidRDefault="00213F73"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-18</w:t>
            </w:r>
          </w:p>
        </w:tc>
        <w:tc>
          <w:tcPr>
            <w:tcW w:w="578" w:type="pct"/>
            <w:tcBorders>
              <w:top w:val="nil"/>
              <w:left w:val="nil"/>
              <w:bottom w:val="nil"/>
              <w:right w:val="nil"/>
            </w:tcBorders>
          </w:tcPr>
          <w:p w14:paraId="34D55517" w14:textId="61FB05D5" w:rsidR="00213F73" w:rsidRPr="005001D6" w:rsidRDefault="00213F73"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0.3 (2.4)</w:t>
            </w:r>
          </w:p>
        </w:tc>
        <w:tc>
          <w:tcPr>
            <w:tcW w:w="510" w:type="pct"/>
            <w:tcBorders>
              <w:top w:val="nil"/>
              <w:left w:val="nil"/>
              <w:bottom w:val="nil"/>
              <w:right w:val="nil"/>
            </w:tcBorders>
          </w:tcPr>
          <w:p w14:paraId="772E301D" w14:textId="5FC03119" w:rsidR="00213F73" w:rsidRPr="005001D6" w:rsidRDefault="007E1756"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0.68 (0.3)</w:t>
            </w:r>
          </w:p>
        </w:tc>
        <w:tc>
          <w:tcPr>
            <w:tcW w:w="496" w:type="pct"/>
            <w:tcBorders>
              <w:top w:val="nil"/>
              <w:left w:val="nil"/>
              <w:bottom w:val="nil"/>
              <w:right w:val="nil"/>
            </w:tcBorders>
          </w:tcPr>
          <w:p w14:paraId="4CF40164" w14:textId="3AF4974D" w:rsidR="00213F73" w:rsidRPr="005001D6" w:rsidRDefault="007E1756"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0.22 (3.8)</w:t>
            </w:r>
          </w:p>
        </w:tc>
      </w:tr>
      <w:tr w:rsidR="005001D6" w:rsidRPr="005001D6" w14:paraId="04B1E98F" w14:textId="0BDF6763" w:rsidTr="00F74214">
        <w:tc>
          <w:tcPr>
            <w:tcW w:w="1178" w:type="pct"/>
            <w:tcBorders>
              <w:top w:val="nil"/>
              <w:left w:val="nil"/>
              <w:bottom w:val="nil"/>
              <w:right w:val="nil"/>
            </w:tcBorders>
          </w:tcPr>
          <w:p w14:paraId="7F7C14F0" w14:textId="72CEB3A3" w:rsidR="00213F73" w:rsidRPr="005001D6" w:rsidRDefault="00213F73"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Total biomass</w:t>
            </w:r>
          </w:p>
        </w:tc>
        <w:tc>
          <w:tcPr>
            <w:tcW w:w="629" w:type="pct"/>
            <w:tcBorders>
              <w:top w:val="nil"/>
              <w:left w:val="nil"/>
              <w:bottom w:val="nil"/>
              <w:right w:val="nil"/>
            </w:tcBorders>
          </w:tcPr>
          <w:p w14:paraId="563C455B" w14:textId="77777777" w:rsidR="00213F73" w:rsidRPr="005001D6" w:rsidRDefault="00213F73"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1293 ± 123</w:t>
            </w:r>
          </w:p>
        </w:tc>
        <w:tc>
          <w:tcPr>
            <w:tcW w:w="605" w:type="pct"/>
            <w:gridSpan w:val="2"/>
            <w:tcBorders>
              <w:top w:val="nil"/>
              <w:left w:val="nil"/>
              <w:bottom w:val="nil"/>
              <w:right w:val="nil"/>
            </w:tcBorders>
          </w:tcPr>
          <w:p w14:paraId="613D8BCC" w14:textId="77777777" w:rsidR="00213F73" w:rsidRPr="005001D6" w:rsidRDefault="00213F73"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1738 ± 166</w:t>
            </w:r>
          </w:p>
        </w:tc>
        <w:tc>
          <w:tcPr>
            <w:tcW w:w="593" w:type="pct"/>
            <w:gridSpan w:val="2"/>
            <w:tcBorders>
              <w:top w:val="nil"/>
              <w:left w:val="nil"/>
              <w:bottom w:val="nil"/>
              <w:right w:val="nil"/>
            </w:tcBorders>
          </w:tcPr>
          <w:p w14:paraId="112905DA" w14:textId="77777777" w:rsidR="00213F73" w:rsidRPr="005001D6" w:rsidRDefault="00213F73"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1517 ± 146</w:t>
            </w:r>
          </w:p>
        </w:tc>
        <w:tc>
          <w:tcPr>
            <w:tcW w:w="410" w:type="pct"/>
            <w:tcBorders>
              <w:top w:val="nil"/>
              <w:left w:val="nil"/>
              <w:bottom w:val="nil"/>
              <w:right w:val="nil"/>
            </w:tcBorders>
          </w:tcPr>
          <w:p w14:paraId="6DD22F85" w14:textId="77777777" w:rsidR="00213F73" w:rsidRPr="005001D6" w:rsidRDefault="00213F73"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-26</w:t>
            </w:r>
          </w:p>
        </w:tc>
        <w:tc>
          <w:tcPr>
            <w:tcW w:w="578" w:type="pct"/>
            <w:tcBorders>
              <w:top w:val="nil"/>
              <w:left w:val="nil"/>
              <w:bottom w:val="nil"/>
              <w:right w:val="nil"/>
            </w:tcBorders>
          </w:tcPr>
          <w:p w14:paraId="3375EB6A" w14:textId="21856E34" w:rsidR="00213F73" w:rsidRPr="005001D6" w:rsidRDefault="00213F73"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0.21 (4.5)</w:t>
            </w:r>
          </w:p>
        </w:tc>
        <w:tc>
          <w:tcPr>
            <w:tcW w:w="510" w:type="pct"/>
            <w:tcBorders>
              <w:top w:val="nil"/>
              <w:left w:val="nil"/>
              <w:bottom w:val="nil"/>
              <w:right w:val="nil"/>
            </w:tcBorders>
          </w:tcPr>
          <w:p w14:paraId="4DD52324" w14:textId="6F9519A9" w:rsidR="00213F73" w:rsidRPr="005001D6" w:rsidRDefault="007E1756"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0.68 (0.3)</w:t>
            </w:r>
          </w:p>
        </w:tc>
        <w:tc>
          <w:tcPr>
            <w:tcW w:w="496" w:type="pct"/>
            <w:tcBorders>
              <w:top w:val="nil"/>
              <w:left w:val="nil"/>
              <w:bottom w:val="nil"/>
              <w:right w:val="nil"/>
            </w:tcBorders>
          </w:tcPr>
          <w:p w14:paraId="6753D2A0" w14:textId="6FA212AB" w:rsidR="00213F73" w:rsidRPr="005001D6" w:rsidRDefault="007E1756"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0.22 (3.8)</w:t>
            </w:r>
          </w:p>
        </w:tc>
      </w:tr>
      <w:tr w:rsidR="005001D6" w:rsidRPr="005001D6" w14:paraId="5ED26A5F" w14:textId="27C183E0" w:rsidTr="00F74214">
        <w:tc>
          <w:tcPr>
            <w:tcW w:w="1178" w:type="pct"/>
            <w:tcBorders>
              <w:top w:val="nil"/>
              <w:left w:val="nil"/>
              <w:bottom w:val="single" w:sz="4" w:space="0" w:color="auto"/>
              <w:right w:val="nil"/>
            </w:tcBorders>
          </w:tcPr>
          <w:p w14:paraId="514FC03F" w14:textId="77777777" w:rsidR="00213F73" w:rsidRPr="005001D6" w:rsidRDefault="00213F73" w:rsidP="00173FAF">
            <w:pPr>
              <w:widowControl w:val="0"/>
              <w:autoSpaceDE w:val="0"/>
              <w:autoSpaceDN w:val="0"/>
              <w:adjustRightInd w:val="0"/>
              <w:spacing w:line="360" w:lineRule="auto"/>
              <w:jc w:val="both"/>
              <w:rPr>
                <w:rFonts w:ascii="Arial" w:hAnsi="Arial" w:cs="Arial"/>
                <w:sz w:val="14"/>
                <w:szCs w:val="14"/>
              </w:rPr>
            </w:pPr>
          </w:p>
          <w:p w14:paraId="03C8CE22" w14:textId="77777777" w:rsidR="00213F73" w:rsidRPr="005001D6" w:rsidRDefault="00213F73"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 xml:space="preserve">BACTERIAL FAMILY </w:t>
            </w:r>
          </w:p>
          <w:p w14:paraId="3859BF62" w14:textId="0986406F" w:rsidR="00213F73" w:rsidRPr="005001D6" w:rsidRDefault="00213F73"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RELATIVE ABUNDANCE (%)</w:t>
            </w:r>
          </w:p>
        </w:tc>
        <w:tc>
          <w:tcPr>
            <w:tcW w:w="629" w:type="pct"/>
            <w:tcBorders>
              <w:top w:val="nil"/>
              <w:left w:val="nil"/>
              <w:bottom w:val="nil"/>
              <w:right w:val="nil"/>
            </w:tcBorders>
          </w:tcPr>
          <w:p w14:paraId="660FE16D" w14:textId="77777777" w:rsidR="00213F73" w:rsidRPr="005001D6" w:rsidRDefault="00213F73" w:rsidP="00173FAF">
            <w:pPr>
              <w:widowControl w:val="0"/>
              <w:autoSpaceDE w:val="0"/>
              <w:autoSpaceDN w:val="0"/>
              <w:adjustRightInd w:val="0"/>
              <w:spacing w:line="360" w:lineRule="auto"/>
              <w:jc w:val="both"/>
              <w:rPr>
                <w:rFonts w:ascii="Arial" w:hAnsi="Arial" w:cs="Arial"/>
                <w:sz w:val="14"/>
                <w:szCs w:val="14"/>
              </w:rPr>
            </w:pPr>
          </w:p>
        </w:tc>
        <w:tc>
          <w:tcPr>
            <w:tcW w:w="525" w:type="pct"/>
            <w:tcBorders>
              <w:top w:val="nil"/>
              <w:left w:val="nil"/>
              <w:bottom w:val="nil"/>
              <w:right w:val="nil"/>
            </w:tcBorders>
          </w:tcPr>
          <w:p w14:paraId="0A47EFBD" w14:textId="77777777" w:rsidR="00213F73" w:rsidRPr="005001D6" w:rsidRDefault="00213F73" w:rsidP="00173FAF">
            <w:pPr>
              <w:widowControl w:val="0"/>
              <w:autoSpaceDE w:val="0"/>
              <w:autoSpaceDN w:val="0"/>
              <w:adjustRightInd w:val="0"/>
              <w:spacing w:line="360" w:lineRule="auto"/>
              <w:jc w:val="both"/>
              <w:rPr>
                <w:rFonts w:ascii="Arial" w:hAnsi="Arial" w:cs="Arial"/>
                <w:sz w:val="14"/>
                <w:szCs w:val="14"/>
              </w:rPr>
            </w:pPr>
          </w:p>
        </w:tc>
        <w:tc>
          <w:tcPr>
            <w:tcW w:w="548" w:type="pct"/>
            <w:gridSpan w:val="2"/>
            <w:tcBorders>
              <w:top w:val="nil"/>
              <w:left w:val="nil"/>
              <w:bottom w:val="nil"/>
              <w:right w:val="nil"/>
            </w:tcBorders>
          </w:tcPr>
          <w:p w14:paraId="04C4D0AC" w14:textId="77777777" w:rsidR="00213F73" w:rsidRPr="005001D6" w:rsidRDefault="00213F73" w:rsidP="00173FAF">
            <w:pPr>
              <w:widowControl w:val="0"/>
              <w:autoSpaceDE w:val="0"/>
              <w:autoSpaceDN w:val="0"/>
              <w:adjustRightInd w:val="0"/>
              <w:spacing w:line="360" w:lineRule="auto"/>
              <w:jc w:val="both"/>
              <w:rPr>
                <w:rFonts w:ascii="Arial" w:hAnsi="Arial" w:cs="Arial"/>
                <w:sz w:val="14"/>
                <w:szCs w:val="14"/>
              </w:rPr>
            </w:pPr>
          </w:p>
        </w:tc>
        <w:tc>
          <w:tcPr>
            <w:tcW w:w="125" w:type="pct"/>
            <w:tcBorders>
              <w:top w:val="nil"/>
              <w:left w:val="nil"/>
              <w:bottom w:val="nil"/>
              <w:right w:val="nil"/>
            </w:tcBorders>
          </w:tcPr>
          <w:p w14:paraId="0D861401" w14:textId="77777777" w:rsidR="00213F73" w:rsidRPr="005001D6" w:rsidRDefault="00213F73" w:rsidP="00173FAF">
            <w:pPr>
              <w:widowControl w:val="0"/>
              <w:autoSpaceDE w:val="0"/>
              <w:autoSpaceDN w:val="0"/>
              <w:adjustRightInd w:val="0"/>
              <w:spacing w:line="360" w:lineRule="auto"/>
              <w:jc w:val="both"/>
              <w:rPr>
                <w:rFonts w:ascii="Arial" w:hAnsi="Arial" w:cs="Arial"/>
                <w:sz w:val="14"/>
                <w:szCs w:val="14"/>
              </w:rPr>
            </w:pPr>
          </w:p>
        </w:tc>
        <w:tc>
          <w:tcPr>
            <w:tcW w:w="1498" w:type="pct"/>
            <w:gridSpan w:val="3"/>
            <w:tcBorders>
              <w:top w:val="nil"/>
              <w:left w:val="nil"/>
              <w:bottom w:val="nil"/>
              <w:right w:val="nil"/>
            </w:tcBorders>
          </w:tcPr>
          <w:p w14:paraId="6BBA22B5" w14:textId="77777777" w:rsidR="00213F73" w:rsidRPr="005001D6" w:rsidRDefault="00213F73" w:rsidP="00173FAF">
            <w:pPr>
              <w:widowControl w:val="0"/>
              <w:autoSpaceDE w:val="0"/>
              <w:autoSpaceDN w:val="0"/>
              <w:adjustRightInd w:val="0"/>
              <w:spacing w:line="360" w:lineRule="auto"/>
              <w:jc w:val="both"/>
              <w:rPr>
                <w:rFonts w:ascii="Arial" w:hAnsi="Arial" w:cs="Arial"/>
                <w:sz w:val="14"/>
                <w:szCs w:val="14"/>
              </w:rPr>
            </w:pPr>
          </w:p>
        </w:tc>
        <w:tc>
          <w:tcPr>
            <w:tcW w:w="496" w:type="pct"/>
            <w:tcBorders>
              <w:top w:val="nil"/>
              <w:left w:val="nil"/>
              <w:bottom w:val="nil"/>
              <w:right w:val="nil"/>
            </w:tcBorders>
          </w:tcPr>
          <w:p w14:paraId="21A4288C" w14:textId="77777777" w:rsidR="00213F73" w:rsidRPr="005001D6" w:rsidRDefault="00213F73" w:rsidP="00173FAF">
            <w:pPr>
              <w:widowControl w:val="0"/>
              <w:autoSpaceDE w:val="0"/>
              <w:autoSpaceDN w:val="0"/>
              <w:adjustRightInd w:val="0"/>
              <w:spacing w:line="360" w:lineRule="auto"/>
              <w:jc w:val="both"/>
              <w:rPr>
                <w:rFonts w:ascii="Arial" w:hAnsi="Arial" w:cs="Arial"/>
                <w:sz w:val="14"/>
                <w:szCs w:val="14"/>
              </w:rPr>
            </w:pPr>
          </w:p>
        </w:tc>
      </w:tr>
      <w:tr w:rsidR="005001D6" w:rsidRPr="005001D6" w14:paraId="3B1C7A8B" w14:textId="2EC5DD50" w:rsidTr="00F74214">
        <w:tc>
          <w:tcPr>
            <w:tcW w:w="1178" w:type="pct"/>
            <w:tcBorders>
              <w:top w:val="nil"/>
              <w:left w:val="nil"/>
              <w:bottom w:val="nil"/>
              <w:right w:val="nil"/>
            </w:tcBorders>
            <w:shd w:val="clear" w:color="auto" w:fill="auto"/>
            <w:vAlign w:val="bottom"/>
          </w:tcPr>
          <w:p w14:paraId="577F3755" w14:textId="77777777" w:rsidR="00213F73" w:rsidRPr="005001D6" w:rsidRDefault="00213F73" w:rsidP="00173FAF">
            <w:pPr>
              <w:widowControl w:val="0"/>
              <w:autoSpaceDE w:val="0"/>
              <w:autoSpaceDN w:val="0"/>
              <w:adjustRightInd w:val="0"/>
              <w:spacing w:line="360" w:lineRule="auto"/>
              <w:jc w:val="both"/>
              <w:rPr>
                <w:rFonts w:ascii="Arial" w:hAnsi="Arial" w:cs="Arial"/>
                <w:i/>
                <w:iCs/>
                <w:sz w:val="14"/>
                <w:szCs w:val="14"/>
              </w:rPr>
            </w:pPr>
            <w:proofErr w:type="spellStart"/>
            <w:r w:rsidRPr="005001D6">
              <w:rPr>
                <w:rFonts w:ascii="Arial" w:hAnsi="Arial" w:cs="Arial"/>
                <w:i/>
                <w:iCs/>
                <w:sz w:val="14"/>
                <w:szCs w:val="14"/>
              </w:rPr>
              <w:t>Acidothermaceae</w:t>
            </w:r>
            <w:proofErr w:type="spellEnd"/>
          </w:p>
        </w:tc>
        <w:tc>
          <w:tcPr>
            <w:tcW w:w="629" w:type="pct"/>
            <w:tcBorders>
              <w:top w:val="nil"/>
              <w:left w:val="nil"/>
              <w:bottom w:val="nil"/>
              <w:right w:val="nil"/>
            </w:tcBorders>
            <w:shd w:val="clear" w:color="auto" w:fill="auto"/>
            <w:vAlign w:val="bottom"/>
          </w:tcPr>
          <w:p w14:paraId="467A983D" w14:textId="77777777" w:rsidR="00213F73" w:rsidRPr="005001D6" w:rsidRDefault="00213F73"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19.3 ± 1.5</w:t>
            </w:r>
          </w:p>
        </w:tc>
        <w:tc>
          <w:tcPr>
            <w:tcW w:w="605" w:type="pct"/>
            <w:gridSpan w:val="2"/>
            <w:tcBorders>
              <w:top w:val="nil"/>
              <w:left w:val="nil"/>
              <w:bottom w:val="nil"/>
              <w:right w:val="nil"/>
            </w:tcBorders>
            <w:shd w:val="clear" w:color="auto" w:fill="auto"/>
            <w:vAlign w:val="bottom"/>
          </w:tcPr>
          <w:p w14:paraId="682F2643" w14:textId="77777777" w:rsidR="00213F73" w:rsidRPr="005001D6" w:rsidRDefault="00213F73"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14.9 ± 1.3</w:t>
            </w:r>
          </w:p>
        </w:tc>
        <w:tc>
          <w:tcPr>
            <w:tcW w:w="593" w:type="pct"/>
            <w:gridSpan w:val="2"/>
            <w:tcBorders>
              <w:top w:val="nil"/>
              <w:left w:val="nil"/>
              <w:bottom w:val="nil"/>
              <w:right w:val="nil"/>
            </w:tcBorders>
            <w:shd w:val="clear" w:color="auto" w:fill="auto"/>
            <w:vAlign w:val="bottom"/>
          </w:tcPr>
          <w:p w14:paraId="73DBCAD4" w14:textId="77777777" w:rsidR="00213F73" w:rsidRPr="005001D6" w:rsidRDefault="00213F73"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19.2 ± 2.0</w:t>
            </w:r>
          </w:p>
        </w:tc>
        <w:tc>
          <w:tcPr>
            <w:tcW w:w="410" w:type="pct"/>
            <w:tcBorders>
              <w:top w:val="nil"/>
              <w:left w:val="nil"/>
              <w:bottom w:val="nil"/>
              <w:right w:val="nil"/>
            </w:tcBorders>
            <w:shd w:val="clear" w:color="auto" w:fill="auto"/>
            <w:vAlign w:val="bottom"/>
          </w:tcPr>
          <w:p w14:paraId="520115D5" w14:textId="77777777" w:rsidR="00213F73" w:rsidRPr="005001D6" w:rsidRDefault="00213F73"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29</w:t>
            </w:r>
          </w:p>
        </w:tc>
        <w:tc>
          <w:tcPr>
            <w:tcW w:w="578" w:type="pct"/>
            <w:tcBorders>
              <w:top w:val="nil"/>
              <w:left w:val="nil"/>
              <w:bottom w:val="nil"/>
              <w:right w:val="nil"/>
            </w:tcBorders>
            <w:shd w:val="clear" w:color="auto" w:fill="auto"/>
            <w:vAlign w:val="bottom"/>
          </w:tcPr>
          <w:p w14:paraId="0EAF7F19" w14:textId="1877F72B" w:rsidR="00213F73" w:rsidRPr="005001D6" w:rsidRDefault="00213F73" w:rsidP="00173FAF">
            <w:pPr>
              <w:widowControl w:val="0"/>
              <w:autoSpaceDE w:val="0"/>
              <w:autoSpaceDN w:val="0"/>
              <w:adjustRightInd w:val="0"/>
              <w:spacing w:line="360" w:lineRule="auto"/>
              <w:jc w:val="both"/>
              <w:rPr>
                <w:rFonts w:ascii="Arial" w:hAnsi="Arial" w:cs="Arial"/>
                <w:b/>
                <w:bCs/>
                <w:sz w:val="14"/>
                <w:szCs w:val="14"/>
              </w:rPr>
            </w:pPr>
            <w:r w:rsidRPr="005001D6">
              <w:rPr>
                <w:rFonts w:ascii="Arial" w:hAnsi="Arial" w:cs="Arial"/>
                <w:b/>
                <w:bCs/>
                <w:sz w:val="14"/>
                <w:szCs w:val="14"/>
              </w:rPr>
              <w:t>0.01 (14.2)</w:t>
            </w:r>
          </w:p>
        </w:tc>
        <w:tc>
          <w:tcPr>
            <w:tcW w:w="510" w:type="pct"/>
            <w:tcBorders>
              <w:top w:val="nil"/>
              <w:left w:val="nil"/>
              <w:bottom w:val="nil"/>
              <w:right w:val="nil"/>
            </w:tcBorders>
            <w:shd w:val="clear" w:color="auto" w:fill="auto"/>
            <w:vAlign w:val="bottom"/>
          </w:tcPr>
          <w:p w14:paraId="7DAB9913" w14:textId="3AFA770A" w:rsidR="00213F73" w:rsidRPr="005001D6" w:rsidRDefault="00693806"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0.94 (0.7)</w:t>
            </w:r>
          </w:p>
        </w:tc>
        <w:tc>
          <w:tcPr>
            <w:tcW w:w="496" w:type="pct"/>
            <w:tcBorders>
              <w:top w:val="nil"/>
              <w:left w:val="nil"/>
              <w:bottom w:val="nil"/>
              <w:right w:val="nil"/>
            </w:tcBorders>
          </w:tcPr>
          <w:p w14:paraId="6E60BBB0" w14:textId="19E1916D" w:rsidR="00213F73" w:rsidRPr="005001D6" w:rsidRDefault="00693806"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0.93</w:t>
            </w:r>
            <w:r w:rsidR="009A44B3" w:rsidRPr="005001D6">
              <w:rPr>
                <w:rFonts w:ascii="Arial" w:hAnsi="Arial" w:cs="Arial"/>
                <w:sz w:val="14"/>
                <w:szCs w:val="14"/>
              </w:rPr>
              <w:t xml:space="preserve"> (0.4)</w:t>
            </w:r>
          </w:p>
        </w:tc>
      </w:tr>
      <w:tr w:rsidR="005001D6" w:rsidRPr="005001D6" w14:paraId="7113A5C6" w14:textId="4F8E9FDA" w:rsidTr="00F74214">
        <w:tc>
          <w:tcPr>
            <w:tcW w:w="1178" w:type="pct"/>
            <w:tcBorders>
              <w:top w:val="nil"/>
              <w:left w:val="nil"/>
              <w:bottom w:val="nil"/>
              <w:right w:val="nil"/>
            </w:tcBorders>
            <w:shd w:val="clear" w:color="auto" w:fill="auto"/>
            <w:vAlign w:val="bottom"/>
          </w:tcPr>
          <w:p w14:paraId="407A11F3" w14:textId="77777777" w:rsidR="00213F73" w:rsidRPr="005001D6" w:rsidRDefault="00213F73" w:rsidP="00173FAF">
            <w:pPr>
              <w:widowControl w:val="0"/>
              <w:autoSpaceDE w:val="0"/>
              <w:autoSpaceDN w:val="0"/>
              <w:adjustRightInd w:val="0"/>
              <w:spacing w:line="360" w:lineRule="auto"/>
              <w:jc w:val="both"/>
              <w:rPr>
                <w:rFonts w:ascii="Arial" w:hAnsi="Arial" w:cs="Arial"/>
                <w:i/>
                <w:iCs/>
                <w:sz w:val="14"/>
                <w:szCs w:val="14"/>
              </w:rPr>
            </w:pPr>
            <w:proofErr w:type="spellStart"/>
            <w:r w:rsidRPr="005001D6">
              <w:rPr>
                <w:rFonts w:ascii="Arial" w:hAnsi="Arial" w:cs="Arial"/>
                <w:i/>
                <w:iCs/>
                <w:sz w:val="14"/>
                <w:szCs w:val="14"/>
              </w:rPr>
              <w:t>Gemmataceae</w:t>
            </w:r>
            <w:proofErr w:type="spellEnd"/>
          </w:p>
        </w:tc>
        <w:tc>
          <w:tcPr>
            <w:tcW w:w="629" w:type="pct"/>
            <w:tcBorders>
              <w:top w:val="nil"/>
              <w:left w:val="nil"/>
              <w:bottom w:val="nil"/>
              <w:right w:val="nil"/>
            </w:tcBorders>
            <w:shd w:val="clear" w:color="auto" w:fill="auto"/>
            <w:vAlign w:val="bottom"/>
          </w:tcPr>
          <w:p w14:paraId="260F69B3" w14:textId="77777777" w:rsidR="00213F73" w:rsidRPr="005001D6" w:rsidRDefault="00213F73"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 xml:space="preserve">3.1 ± 0.2 </w:t>
            </w:r>
          </w:p>
        </w:tc>
        <w:tc>
          <w:tcPr>
            <w:tcW w:w="605" w:type="pct"/>
            <w:gridSpan w:val="2"/>
            <w:tcBorders>
              <w:top w:val="nil"/>
              <w:left w:val="nil"/>
              <w:bottom w:val="nil"/>
              <w:right w:val="nil"/>
            </w:tcBorders>
            <w:shd w:val="clear" w:color="auto" w:fill="auto"/>
            <w:vAlign w:val="bottom"/>
          </w:tcPr>
          <w:p w14:paraId="3856CA60" w14:textId="77777777" w:rsidR="00213F73" w:rsidRPr="005001D6" w:rsidRDefault="00213F73"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4.4 ± 0.4</w:t>
            </w:r>
          </w:p>
        </w:tc>
        <w:tc>
          <w:tcPr>
            <w:tcW w:w="593" w:type="pct"/>
            <w:gridSpan w:val="2"/>
            <w:tcBorders>
              <w:top w:val="nil"/>
              <w:left w:val="nil"/>
              <w:bottom w:val="nil"/>
              <w:right w:val="nil"/>
            </w:tcBorders>
            <w:shd w:val="clear" w:color="auto" w:fill="auto"/>
            <w:vAlign w:val="bottom"/>
          </w:tcPr>
          <w:p w14:paraId="749E9040" w14:textId="77777777" w:rsidR="00213F73" w:rsidRPr="005001D6" w:rsidRDefault="00213F73"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3.7 ± 0.4</w:t>
            </w:r>
          </w:p>
        </w:tc>
        <w:tc>
          <w:tcPr>
            <w:tcW w:w="410" w:type="pct"/>
            <w:tcBorders>
              <w:top w:val="nil"/>
              <w:left w:val="nil"/>
              <w:bottom w:val="nil"/>
              <w:right w:val="nil"/>
            </w:tcBorders>
            <w:shd w:val="clear" w:color="auto" w:fill="auto"/>
            <w:vAlign w:val="bottom"/>
          </w:tcPr>
          <w:p w14:paraId="0210DD1E" w14:textId="77777777" w:rsidR="00213F73" w:rsidRPr="005001D6" w:rsidRDefault="00213F73"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-29</w:t>
            </w:r>
          </w:p>
        </w:tc>
        <w:tc>
          <w:tcPr>
            <w:tcW w:w="578" w:type="pct"/>
            <w:tcBorders>
              <w:top w:val="nil"/>
              <w:left w:val="nil"/>
              <w:bottom w:val="nil"/>
              <w:right w:val="nil"/>
            </w:tcBorders>
            <w:shd w:val="clear" w:color="auto" w:fill="auto"/>
            <w:vAlign w:val="bottom"/>
          </w:tcPr>
          <w:p w14:paraId="5BFF70BC" w14:textId="365499B9" w:rsidR="00213F73" w:rsidRPr="005001D6" w:rsidRDefault="00213F73" w:rsidP="00173FAF">
            <w:pPr>
              <w:widowControl w:val="0"/>
              <w:autoSpaceDE w:val="0"/>
              <w:autoSpaceDN w:val="0"/>
              <w:adjustRightInd w:val="0"/>
              <w:spacing w:line="360" w:lineRule="auto"/>
              <w:jc w:val="both"/>
              <w:rPr>
                <w:rFonts w:ascii="Arial" w:hAnsi="Arial" w:cs="Arial"/>
                <w:b/>
                <w:bCs/>
                <w:sz w:val="14"/>
                <w:szCs w:val="14"/>
              </w:rPr>
            </w:pPr>
            <w:r w:rsidRPr="005001D6">
              <w:rPr>
                <w:rFonts w:ascii="Arial" w:hAnsi="Arial" w:cs="Arial"/>
                <w:b/>
                <w:bCs/>
                <w:sz w:val="14"/>
                <w:szCs w:val="14"/>
              </w:rPr>
              <w:t>0.02 (10.8)</w:t>
            </w:r>
          </w:p>
        </w:tc>
        <w:tc>
          <w:tcPr>
            <w:tcW w:w="510" w:type="pct"/>
            <w:tcBorders>
              <w:top w:val="nil"/>
              <w:left w:val="nil"/>
              <w:bottom w:val="nil"/>
              <w:right w:val="nil"/>
            </w:tcBorders>
            <w:shd w:val="clear" w:color="auto" w:fill="auto"/>
            <w:vAlign w:val="bottom"/>
          </w:tcPr>
          <w:p w14:paraId="7194B5E9" w14:textId="7196E2C3" w:rsidR="00213F73" w:rsidRPr="005001D6" w:rsidRDefault="00693806"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0.9</w:t>
            </w:r>
            <w:r w:rsidR="003E69C9" w:rsidRPr="005001D6">
              <w:rPr>
                <w:rFonts w:ascii="Arial" w:hAnsi="Arial" w:cs="Arial"/>
                <w:sz w:val="14"/>
                <w:szCs w:val="14"/>
              </w:rPr>
              <w:t>5</w:t>
            </w:r>
            <w:r w:rsidRPr="005001D6">
              <w:rPr>
                <w:rFonts w:ascii="Arial" w:hAnsi="Arial" w:cs="Arial"/>
                <w:sz w:val="14"/>
                <w:szCs w:val="14"/>
              </w:rPr>
              <w:t xml:space="preserve"> (0.1)</w:t>
            </w:r>
          </w:p>
        </w:tc>
        <w:tc>
          <w:tcPr>
            <w:tcW w:w="496" w:type="pct"/>
            <w:tcBorders>
              <w:top w:val="nil"/>
              <w:left w:val="nil"/>
              <w:bottom w:val="nil"/>
              <w:right w:val="nil"/>
            </w:tcBorders>
          </w:tcPr>
          <w:p w14:paraId="6A5141DC" w14:textId="38360076" w:rsidR="00213F73" w:rsidRPr="005001D6" w:rsidRDefault="009A44B3"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0.75 (3.2)</w:t>
            </w:r>
          </w:p>
        </w:tc>
      </w:tr>
      <w:tr w:rsidR="005001D6" w:rsidRPr="005001D6" w14:paraId="0FF7B58E" w14:textId="2311AC25" w:rsidTr="00F74214">
        <w:tc>
          <w:tcPr>
            <w:tcW w:w="1178" w:type="pct"/>
            <w:tcBorders>
              <w:top w:val="nil"/>
              <w:left w:val="nil"/>
              <w:bottom w:val="nil"/>
              <w:right w:val="nil"/>
            </w:tcBorders>
            <w:shd w:val="clear" w:color="auto" w:fill="auto"/>
            <w:vAlign w:val="bottom"/>
          </w:tcPr>
          <w:p w14:paraId="4C12DBA5" w14:textId="4D735D4F" w:rsidR="00213F73" w:rsidRPr="005001D6" w:rsidRDefault="00213F73" w:rsidP="00173FAF">
            <w:pPr>
              <w:widowControl w:val="0"/>
              <w:autoSpaceDE w:val="0"/>
              <w:autoSpaceDN w:val="0"/>
              <w:adjustRightInd w:val="0"/>
              <w:spacing w:line="360" w:lineRule="auto"/>
              <w:jc w:val="both"/>
              <w:rPr>
                <w:rFonts w:ascii="Arial" w:hAnsi="Arial" w:cs="Arial"/>
                <w:i/>
                <w:iCs/>
                <w:sz w:val="14"/>
                <w:szCs w:val="14"/>
              </w:rPr>
            </w:pPr>
            <w:proofErr w:type="spellStart"/>
            <w:r w:rsidRPr="005001D6">
              <w:rPr>
                <w:rFonts w:ascii="Arial" w:hAnsi="Arial" w:cs="Arial"/>
                <w:i/>
                <w:iCs/>
                <w:sz w:val="14"/>
                <w:szCs w:val="14"/>
              </w:rPr>
              <w:t>Ktedonobacteraceae</w:t>
            </w:r>
            <w:proofErr w:type="spellEnd"/>
            <w:r w:rsidR="00B458BF" w:rsidRPr="005001D6">
              <w:rPr>
                <w:rFonts w:ascii="Arial" w:hAnsi="Arial" w:cs="Arial"/>
                <w:i/>
                <w:iCs/>
                <w:sz w:val="14"/>
                <w:szCs w:val="14"/>
              </w:rPr>
              <w:t>*</w:t>
            </w:r>
          </w:p>
        </w:tc>
        <w:tc>
          <w:tcPr>
            <w:tcW w:w="629" w:type="pct"/>
            <w:tcBorders>
              <w:top w:val="nil"/>
              <w:left w:val="nil"/>
              <w:bottom w:val="nil"/>
              <w:right w:val="nil"/>
            </w:tcBorders>
            <w:shd w:val="clear" w:color="auto" w:fill="auto"/>
            <w:vAlign w:val="bottom"/>
          </w:tcPr>
          <w:p w14:paraId="0A811718" w14:textId="77777777" w:rsidR="00213F73" w:rsidRPr="005001D6" w:rsidRDefault="00213F73"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1.8 ± 0.2</w:t>
            </w:r>
          </w:p>
        </w:tc>
        <w:tc>
          <w:tcPr>
            <w:tcW w:w="605" w:type="pct"/>
            <w:gridSpan w:val="2"/>
            <w:tcBorders>
              <w:top w:val="nil"/>
              <w:left w:val="nil"/>
              <w:bottom w:val="nil"/>
              <w:right w:val="nil"/>
            </w:tcBorders>
            <w:shd w:val="clear" w:color="auto" w:fill="auto"/>
            <w:vAlign w:val="bottom"/>
          </w:tcPr>
          <w:p w14:paraId="155FB881" w14:textId="77777777" w:rsidR="00213F73" w:rsidRPr="005001D6" w:rsidRDefault="00213F73"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4.7 ± 0.9</w:t>
            </w:r>
          </w:p>
        </w:tc>
        <w:tc>
          <w:tcPr>
            <w:tcW w:w="593" w:type="pct"/>
            <w:gridSpan w:val="2"/>
            <w:tcBorders>
              <w:top w:val="nil"/>
              <w:left w:val="nil"/>
              <w:bottom w:val="nil"/>
              <w:right w:val="nil"/>
            </w:tcBorders>
            <w:shd w:val="clear" w:color="auto" w:fill="auto"/>
            <w:vAlign w:val="bottom"/>
          </w:tcPr>
          <w:p w14:paraId="1435FCF7" w14:textId="77777777" w:rsidR="00213F73" w:rsidRPr="005001D6" w:rsidRDefault="00213F73"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3.3 ± 0.8</w:t>
            </w:r>
          </w:p>
        </w:tc>
        <w:tc>
          <w:tcPr>
            <w:tcW w:w="410" w:type="pct"/>
            <w:tcBorders>
              <w:top w:val="nil"/>
              <w:left w:val="nil"/>
              <w:bottom w:val="nil"/>
              <w:right w:val="nil"/>
            </w:tcBorders>
            <w:shd w:val="clear" w:color="auto" w:fill="auto"/>
            <w:vAlign w:val="bottom"/>
          </w:tcPr>
          <w:p w14:paraId="763649DF" w14:textId="77777777" w:rsidR="00213F73" w:rsidRPr="005001D6" w:rsidRDefault="00213F73"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-61</w:t>
            </w:r>
          </w:p>
        </w:tc>
        <w:tc>
          <w:tcPr>
            <w:tcW w:w="578" w:type="pct"/>
            <w:tcBorders>
              <w:top w:val="nil"/>
              <w:left w:val="nil"/>
              <w:bottom w:val="nil"/>
              <w:right w:val="nil"/>
            </w:tcBorders>
            <w:shd w:val="clear" w:color="auto" w:fill="auto"/>
            <w:vAlign w:val="bottom"/>
          </w:tcPr>
          <w:p w14:paraId="1BBCEE6B" w14:textId="6762D084" w:rsidR="00213F73" w:rsidRPr="005001D6" w:rsidRDefault="00213F73" w:rsidP="00173FAF">
            <w:pPr>
              <w:widowControl w:val="0"/>
              <w:autoSpaceDE w:val="0"/>
              <w:autoSpaceDN w:val="0"/>
              <w:adjustRightInd w:val="0"/>
              <w:spacing w:line="360" w:lineRule="auto"/>
              <w:jc w:val="both"/>
              <w:rPr>
                <w:rFonts w:ascii="Arial" w:hAnsi="Arial" w:cs="Arial"/>
                <w:b/>
                <w:bCs/>
                <w:sz w:val="14"/>
                <w:szCs w:val="14"/>
              </w:rPr>
            </w:pPr>
            <w:r w:rsidRPr="005001D6">
              <w:rPr>
                <w:rFonts w:ascii="Arial" w:hAnsi="Arial" w:cs="Arial"/>
                <w:b/>
                <w:bCs/>
                <w:sz w:val="14"/>
                <w:szCs w:val="14"/>
              </w:rPr>
              <w:t>&lt;0.01 (14.0)</w:t>
            </w:r>
          </w:p>
        </w:tc>
        <w:tc>
          <w:tcPr>
            <w:tcW w:w="510" w:type="pct"/>
            <w:tcBorders>
              <w:top w:val="nil"/>
              <w:left w:val="nil"/>
              <w:bottom w:val="nil"/>
              <w:right w:val="nil"/>
            </w:tcBorders>
            <w:shd w:val="clear" w:color="auto" w:fill="auto"/>
            <w:vAlign w:val="bottom"/>
          </w:tcPr>
          <w:p w14:paraId="3A1342D5" w14:textId="4AA49DE5" w:rsidR="00213F73" w:rsidRPr="005001D6" w:rsidRDefault="003E69C9"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0.96 (0.6</w:t>
            </w:r>
          </w:p>
        </w:tc>
        <w:tc>
          <w:tcPr>
            <w:tcW w:w="496" w:type="pct"/>
            <w:tcBorders>
              <w:top w:val="nil"/>
              <w:left w:val="nil"/>
              <w:bottom w:val="nil"/>
              <w:right w:val="nil"/>
            </w:tcBorders>
          </w:tcPr>
          <w:p w14:paraId="401F03AC" w14:textId="31630925" w:rsidR="00213F73" w:rsidRPr="005001D6" w:rsidRDefault="003E69C9"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0.91 (1.5)</w:t>
            </w:r>
          </w:p>
        </w:tc>
      </w:tr>
      <w:tr w:rsidR="005001D6" w:rsidRPr="005001D6" w14:paraId="295577BF" w14:textId="1341A89C" w:rsidTr="00F74214">
        <w:tc>
          <w:tcPr>
            <w:tcW w:w="1178" w:type="pct"/>
            <w:tcBorders>
              <w:top w:val="nil"/>
              <w:left w:val="nil"/>
              <w:bottom w:val="nil"/>
              <w:right w:val="nil"/>
            </w:tcBorders>
            <w:shd w:val="clear" w:color="auto" w:fill="auto"/>
            <w:vAlign w:val="bottom"/>
          </w:tcPr>
          <w:p w14:paraId="6D617A85" w14:textId="77777777" w:rsidR="00213F73" w:rsidRPr="005001D6" w:rsidRDefault="00213F73" w:rsidP="00173FAF">
            <w:pPr>
              <w:widowControl w:val="0"/>
              <w:autoSpaceDE w:val="0"/>
              <w:autoSpaceDN w:val="0"/>
              <w:adjustRightInd w:val="0"/>
              <w:spacing w:line="360" w:lineRule="auto"/>
              <w:jc w:val="both"/>
              <w:rPr>
                <w:rFonts w:ascii="Arial" w:hAnsi="Arial" w:cs="Arial"/>
                <w:i/>
                <w:iCs/>
                <w:sz w:val="14"/>
                <w:szCs w:val="14"/>
              </w:rPr>
            </w:pPr>
            <w:r w:rsidRPr="005001D6">
              <w:rPr>
                <w:rFonts w:ascii="Arial" w:hAnsi="Arial" w:cs="Arial"/>
                <w:i/>
                <w:iCs/>
                <w:sz w:val="14"/>
                <w:szCs w:val="14"/>
              </w:rPr>
              <w:t xml:space="preserve"> </w:t>
            </w:r>
            <w:proofErr w:type="spellStart"/>
            <w:r w:rsidRPr="005001D6">
              <w:rPr>
                <w:rFonts w:ascii="Arial" w:hAnsi="Arial" w:cs="Arial"/>
                <w:i/>
                <w:iCs/>
                <w:sz w:val="14"/>
                <w:szCs w:val="14"/>
              </w:rPr>
              <w:t>Solirubrobacteraceae</w:t>
            </w:r>
            <w:proofErr w:type="spellEnd"/>
            <w:r w:rsidRPr="005001D6">
              <w:rPr>
                <w:rFonts w:ascii="Arial" w:hAnsi="Arial" w:cs="Arial"/>
                <w:i/>
                <w:iCs/>
                <w:sz w:val="14"/>
                <w:szCs w:val="14"/>
              </w:rPr>
              <w:t>*</w:t>
            </w:r>
          </w:p>
        </w:tc>
        <w:tc>
          <w:tcPr>
            <w:tcW w:w="629" w:type="pct"/>
            <w:tcBorders>
              <w:top w:val="nil"/>
              <w:left w:val="nil"/>
              <w:bottom w:val="nil"/>
              <w:right w:val="nil"/>
            </w:tcBorders>
            <w:shd w:val="clear" w:color="auto" w:fill="auto"/>
            <w:vAlign w:val="bottom"/>
          </w:tcPr>
          <w:p w14:paraId="4FA6325B" w14:textId="77777777" w:rsidR="00213F73" w:rsidRPr="005001D6" w:rsidRDefault="00213F73"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3.0 ± 0.4</w:t>
            </w:r>
          </w:p>
        </w:tc>
        <w:tc>
          <w:tcPr>
            <w:tcW w:w="605" w:type="pct"/>
            <w:gridSpan w:val="2"/>
            <w:tcBorders>
              <w:top w:val="nil"/>
              <w:left w:val="nil"/>
              <w:bottom w:val="nil"/>
              <w:right w:val="nil"/>
            </w:tcBorders>
            <w:shd w:val="clear" w:color="auto" w:fill="auto"/>
            <w:vAlign w:val="bottom"/>
          </w:tcPr>
          <w:p w14:paraId="35E6B895" w14:textId="77777777" w:rsidR="00213F73" w:rsidRPr="005001D6" w:rsidRDefault="00213F73"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2.0 ± 0.2</w:t>
            </w:r>
          </w:p>
        </w:tc>
        <w:tc>
          <w:tcPr>
            <w:tcW w:w="593" w:type="pct"/>
            <w:gridSpan w:val="2"/>
            <w:tcBorders>
              <w:top w:val="nil"/>
              <w:left w:val="nil"/>
              <w:bottom w:val="nil"/>
              <w:right w:val="nil"/>
            </w:tcBorders>
            <w:shd w:val="clear" w:color="auto" w:fill="auto"/>
            <w:vAlign w:val="bottom"/>
          </w:tcPr>
          <w:p w14:paraId="6F43F8B4" w14:textId="77777777" w:rsidR="00213F73" w:rsidRPr="005001D6" w:rsidRDefault="00213F73"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2.7 ± 0.3</w:t>
            </w:r>
          </w:p>
        </w:tc>
        <w:tc>
          <w:tcPr>
            <w:tcW w:w="410" w:type="pct"/>
            <w:tcBorders>
              <w:top w:val="nil"/>
              <w:left w:val="nil"/>
              <w:bottom w:val="nil"/>
              <w:right w:val="nil"/>
            </w:tcBorders>
            <w:shd w:val="clear" w:color="auto" w:fill="auto"/>
            <w:vAlign w:val="bottom"/>
          </w:tcPr>
          <w:p w14:paraId="1DA903A9" w14:textId="77777777" w:rsidR="00213F73" w:rsidRPr="005001D6" w:rsidRDefault="00213F73"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49</w:t>
            </w:r>
          </w:p>
        </w:tc>
        <w:tc>
          <w:tcPr>
            <w:tcW w:w="578" w:type="pct"/>
            <w:tcBorders>
              <w:top w:val="nil"/>
              <w:left w:val="nil"/>
              <w:bottom w:val="nil"/>
              <w:right w:val="nil"/>
            </w:tcBorders>
            <w:shd w:val="clear" w:color="auto" w:fill="auto"/>
            <w:vAlign w:val="bottom"/>
          </w:tcPr>
          <w:p w14:paraId="77FE1E04" w14:textId="65D6C400" w:rsidR="00213F73" w:rsidRPr="005001D6" w:rsidRDefault="00213F73" w:rsidP="00173FAF">
            <w:pPr>
              <w:widowControl w:val="0"/>
              <w:autoSpaceDE w:val="0"/>
              <w:autoSpaceDN w:val="0"/>
              <w:adjustRightInd w:val="0"/>
              <w:spacing w:line="360" w:lineRule="auto"/>
              <w:jc w:val="both"/>
              <w:rPr>
                <w:rFonts w:ascii="Arial" w:hAnsi="Arial" w:cs="Arial"/>
                <w:b/>
                <w:bCs/>
                <w:sz w:val="14"/>
                <w:szCs w:val="14"/>
              </w:rPr>
            </w:pPr>
            <w:r w:rsidRPr="005001D6">
              <w:rPr>
                <w:rFonts w:ascii="Arial" w:hAnsi="Arial" w:cs="Arial"/>
                <w:b/>
                <w:bCs/>
                <w:sz w:val="14"/>
                <w:szCs w:val="14"/>
              </w:rPr>
              <w:t>0.01 (13.2)</w:t>
            </w:r>
          </w:p>
        </w:tc>
        <w:tc>
          <w:tcPr>
            <w:tcW w:w="510" w:type="pct"/>
            <w:tcBorders>
              <w:top w:val="nil"/>
              <w:left w:val="nil"/>
              <w:bottom w:val="nil"/>
              <w:right w:val="nil"/>
            </w:tcBorders>
            <w:shd w:val="clear" w:color="auto" w:fill="auto"/>
            <w:vAlign w:val="bottom"/>
          </w:tcPr>
          <w:p w14:paraId="6AD2856C" w14:textId="44168D6B" w:rsidR="00213F73" w:rsidRPr="005001D6" w:rsidRDefault="003E69C9"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0.96 (&lt;0.1)</w:t>
            </w:r>
          </w:p>
        </w:tc>
        <w:tc>
          <w:tcPr>
            <w:tcW w:w="496" w:type="pct"/>
            <w:tcBorders>
              <w:top w:val="nil"/>
              <w:left w:val="nil"/>
              <w:bottom w:val="nil"/>
              <w:right w:val="nil"/>
            </w:tcBorders>
          </w:tcPr>
          <w:p w14:paraId="2EA29AA1" w14:textId="3EFCAB70" w:rsidR="00213F73" w:rsidRPr="005001D6" w:rsidRDefault="003E69C9"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0.91 (0.8)</w:t>
            </w:r>
          </w:p>
        </w:tc>
      </w:tr>
      <w:tr w:rsidR="005001D6" w:rsidRPr="005001D6" w14:paraId="6B76C7E0" w14:textId="4244A945" w:rsidTr="00F74214">
        <w:tc>
          <w:tcPr>
            <w:tcW w:w="1178" w:type="pct"/>
            <w:tcBorders>
              <w:top w:val="nil"/>
              <w:left w:val="nil"/>
              <w:bottom w:val="single" w:sz="4" w:space="0" w:color="auto"/>
              <w:right w:val="nil"/>
            </w:tcBorders>
          </w:tcPr>
          <w:p w14:paraId="386AA0F4" w14:textId="77777777" w:rsidR="00213F73" w:rsidRPr="005001D6" w:rsidRDefault="00213F73" w:rsidP="00173FAF">
            <w:pPr>
              <w:widowControl w:val="0"/>
              <w:autoSpaceDE w:val="0"/>
              <w:autoSpaceDN w:val="0"/>
              <w:adjustRightInd w:val="0"/>
              <w:spacing w:line="360" w:lineRule="auto"/>
              <w:jc w:val="both"/>
              <w:rPr>
                <w:rFonts w:ascii="Arial" w:hAnsi="Arial" w:cs="Arial"/>
                <w:sz w:val="14"/>
                <w:szCs w:val="14"/>
              </w:rPr>
            </w:pPr>
          </w:p>
          <w:p w14:paraId="7E266376" w14:textId="77777777" w:rsidR="00213F73" w:rsidRPr="005001D6" w:rsidRDefault="00213F73"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 xml:space="preserve">FUNGAL FAMILY </w:t>
            </w:r>
          </w:p>
          <w:p w14:paraId="49B588A4" w14:textId="2575FE07" w:rsidR="00213F73" w:rsidRPr="005001D6" w:rsidRDefault="00213F73"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RELATIVE ABUNDANCE (%)</w:t>
            </w:r>
          </w:p>
        </w:tc>
        <w:tc>
          <w:tcPr>
            <w:tcW w:w="629" w:type="pct"/>
            <w:tcBorders>
              <w:top w:val="nil"/>
              <w:left w:val="nil"/>
              <w:bottom w:val="nil"/>
              <w:right w:val="nil"/>
            </w:tcBorders>
          </w:tcPr>
          <w:p w14:paraId="5447DDF6" w14:textId="77777777" w:rsidR="00213F73" w:rsidRPr="005001D6" w:rsidRDefault="00213F73" w:rsidP="00173FAF">
            <w:pPr>
              <w:widowControl w:val="0"/>
              <w:autoSpaceDE w:val="0"/>
              <w:autoSpaceDN w:val="0"/>
              <w:adjustRightInd w:val="0"/>
              <w:spacing w:line="360" w:lineRule="auto"/>
              <w:jc w:val="both"/>
              <w:rPr>
                <w:rFonts w:ascii="Arial" w:hAnsi="Arial" w:cs="Arial"/>
                <w:sz w:val="14"/>
                <w:szCs w:val="14"/>
              </w:rPr>
            </w:pPr>
          </w:p>
        </w:tc>
        <w:tc>
          <w:tcPr>
            <w:tcW w:w="605" w:type="pct"/>
            <w:gridSpan w:val="2"/>
            <w:tcBorders>
              <w:top w:val="nil"/>
              <w:left w:val="nil"/>
              <w:bottom w:val="nil"/>
              <w:right w:val="nil"/>
            </w:tcBorders>
          </w:tcPr>
          <w:p w14:paraId="641AF843" w14:textId="77777777" w:rsidR="00213F73" w:rsidRPr="005001D6" w:rsidRDefault="00213F73" w:rsidP="00173FAF">
            <w:pPr>
              <w:widowControl w:val="0"/>
              <w:autoSpaceDE w:val="0"/>
              <w:autoSpaceDN w:val="0"/>
              <w:adjustRightInd w:val="0"/>
              <w:spacing w:line="360" w:lineRule="auto"/>
              <w:jc w:val="both"/>
              <w:rPr>
                <w:rFonts w:ascii="Arial" w:hAnsi="Arial" w:cs="Arial"/>
                <w:sz w:val="14"/>
                <w:szCs w:val="14"/>
              </w:rPr>
            </w:pPr>
          </w:p>
        </w:tc>
        <w:tc>
          <w:tcPr>
            <w:tcW w:w="593" w:type="pct"/>
            <w:gridSpan w:val="2"/>
            <w:tcBorders>
              <w:top w:val="nil"/>
              <w:left w:val="nil"/>
              <w:bottom w:val="nil"/>
              <w:right w:val="nil"/>
            </w:tcBorders>
          </w:tcPr>
          <w:p w14:paraId="79B310A2" w14:textId="77777777" w:rsidR="00213F73" w:rsidRPr="005001D6" w:rsidRDefault="00213F73" w:rsidP="00173FAF">
            <w:pPr>
              <w:widowControl w:val="0"/>
              <w:autoSpaceDE w:val="0"/>
              <w:autoSpaceDN w:val="0"/>
              <w:adjustRightInd w:val="0"/>
              <w:spacing w:line="360" w:lineRule="auto"/>
              <w:jc w:val="both"/>
              <w:rPr>
                <w:rFonts w:ascii="Arial" w:hAnsi="Arial" w:cs="Arial"/>
                <w:sz w:val="14"/>
                <w:szCs w:val="14"/>
              </w:rPr>
            </w:pPr>
          </w:p>
        </w:tc>
        <w:tc>
          <w:tcPr>
            <w:tcW w:w="410" w:type="pct"/>
            <w:tcBorders>
              <w:top w:val="nil"/>
              <w:left w:val="nil"/>
              <w:bottom w:val="nil"/>
              <w:right w:val="nil"/>
            </w:tcBorders>
          </w:tcPr>
          <w:p w14:paraId="6591FF13" w14:textId="77777777" w:rsidR="00213F73" w:rsidRPr="005001D6" w:rsidRDefault="00213F73" w:rsidP="00173FAF">
            <w:pPr>
              <w:widowControl w:val="0"/>
              <w:autoSpaceDE w:val="0"/>
              <w:autoSpaceDN w:val="0"/>
              <w:adjustRightInd w:val="0"/>
              <w:spacing w:line="360" w:lineRule="auto"/>
              <w:jc w:val="both"/>
              <w:rPr>
                <w:rFonts w:ascii="Arial" w:hAnsi="Arial" w:cs="Arial"/>
                <w:sz w:val="14"/>
                <w:szCs w:val="14"/>
              </w:rPr>
            </w:pPr>
          </w:p>
        </w:tc>
        <w:tc>
          <w:tcPr>
            <w:tcW w:w="578" w:type="pct"/>
            <w:tcBorders>
              <w:top w:val="nil"/>
              <w:left w:val="nil"/>
              <w:bottom w:val="nil"/>
              <w:right w:val="nil"/>
            </w:tcBorders>
          </w:tcPr>
          <w:p w14:paraId="2CF36F38" w14:textId="77777777" w:rsidR="00213F73" w:rsidRPr="005001D6" w:rsidRDefault="00213F73" w:rsidP="00173FAF">
            <w:pPr>
              <w:widowControl w:val="0"/>
              <w:autoSpaceDE w:val="0"/>
              <w:autoSpaceDN w:val="0"/>
              <w:adjustRightInd w:val="0"/>
              <w:spacing w:line="360" w:lineRule="auto"/>
              <w:jc w:val="both"/>
              <w:rPr>
                <w:rFonts w:ascii="Arial" w:hAnsi="Arial" w:cs="Arial"/>
                <w:sz w:val="14"/>
                <w:szCs w:val="14"/>
              </w:rPr>
            </w:pPr>
          </w:p>
        </w:tc>
        <w:tc>
          <w:tcPr>
            <w:tcW w:w="510" w:type="pct"/>
            <w:tcBorders>
              <w:top w:val="nil"/>
              <w:left w:val="nil"/>
              <w:bottom w:val="nil"/>
              <w:right w:val="nil"/>
            </w:tcBorders>
          </w:tcPr>
          <w:p w14:paraId="11FE7FBA" w14:textId="77777777" w:rsidR="00213F73" w:rsidRPr="005001D6" w:rsidRDefault="00213F73" w:rsidP="00173FAF">
            <w:pPr>
              <w:widowControl w:val="0"/>
              <w:autoSpaceDE w:val="0"/>
              <w:autoSpaceDN w:val="0"/>
              <w:adjustRightInd w:val="0"/>
              <w:spacing w:line="360" w:lineRule="auto"/>
              <w:jc w:val="both"/>
              <w:rPr>
                <w:rFonts w:ascii="Arial" w:hAnsi="Arial" w:cs="Arial"/>
                <w:sz w:val="14"/>
                <w:szCs w:val="14"/>
              </w:rPr>
            </w:pPr>
          </w:p>
        </w:tc>
        <w:tc>
          <w:tcPr>
            <w:tcW w:w="496" w:type="pct"/>
            <w:tcBorders>
              <w:top w:val="nil"/>
              <w:left w:val="nil"/>
              <w:bottom w:val="nil"/>
              <w:right w:val="nil"/>
            </w:tcBorders>
          </w:tcPr>
          <w:p w14:paraId="7F30072B" w14:textId="77777777" w:rsidR="00213F73" w:rsidRPr="005001D6" w:rsidRDefault="00213F73" w:rsidP="00173FAF">
            <w:pPr>
              <w:widowControl w:val="0"/>
              <w:autoSpaceDE w:val="0"/>
              <w:autoSpaceDN w:val="0"/>
              <w:adjustRightInd w:val="0"/>
              <w:spacing w:line="360" w:lineRule="auto"/>
              <w:jc w:val="both"/>
              <w:rPr>
                <w:rFonts w:ascii="Arial" w:hAnsi="Arial" w:cs="Arial"/>
                <w:sz w:val="14"/>
                <w:szCs w:val="14"/>
              </w:rPr>
            </w:pPr>
          </w:p>
        </w:tc>
      </w:tr>
      <w:tr w:rsidR="005001D6" w:rsidRPr="005001D6" w14:paraId="3A9279C4" w14:textId="32728214" w:rsidTr="00F74214">
        <w:tc>
          <w:tcPr>
            <w:tcW w:w="1178" w:type="pct"/>
            <w:tcBorders>
              <w:top w:val="nil"/>
              <w:left w:val="nil"/>
              <w:bottom w:val="nil"/>
              <w:right w:val="nil"/>
            </w:tcBorders>
            <w:shd w:val="clear" w:color="auto" w:fill="auto"/>
            <w:vAlign w:val="bottom"/>
          </w:tcPr>
          <w:p w14:paraId="7629B79A" w14:textId="7E49CA37" w:rsidR="00213F73" w:rsidRPr="005001D6" w:rsidRDefault="00213F73" w:rsidP="00173FAF">
            <w:pPr>
              <w:widowControl w:val="0"/>
              <w:autoSpaceDE w:val="0"/>
              <w:autoSpaceDN w:val="0"/>
              <w:adjustRightInd w:val="0"/>
              <w:spacing w:line="360" w:lineRule="auto"/>
              <w:jc w:val="both"/>
              <w:rPr>
                <w:rFonts w:ascii="Arial" w:hAnsi="Arial" w:cs="Arial"/>
                <w:i/>
                <w:iCs/>
                <w:sz w:val="14"/>
                <w:szCs w:val="14"/>
              </w:rPr>
            </w:pPr>
            <w:proofErr w:type="spellStart"/>
            <w:r w:rsidRPr="005001D6">
              <w:rPr>
                <w:rFonts w:ascii="Arial" w:hAnsi="Arial" w:cs="Arial"/>
                <w:i/>
                <w:iCs/>
                <w:sz w:val="14"/>
                <w:szCs w:val="14"/>
              </w:rPr>
              <w:t>Extremaceae</w:t>
            </w:r>
            <w:proofErr w:type="spellEnd"/>
            <w:r w:rsidR="003E69C9" w:rsidRPr="005001D6">
              <w:rPr>
                <w:rFonts w:ascii="Arial" w:hAnsi="Arial" w:cs="Arial"/>
                <w:i/>
                <w:iCs/>
                <w:sz w:val="14"/>
                <w:szCs w:val="14"/>
              </w:rPr>
              <w:t>*</w:t>
            </w:r>
          </w:p>
        </w:tc>
        <w:tc>
          <w:tcPr>
            <w:tcW w:w="629" w:type="pct"/>
            <w:tcBorders>
              <w:top w:val="nil"/>
              <w:left w:val="nil"/>
              <w:bottom w:val="nil"/>
              <w:right w:val="nil"/>
            </w:tcBorders>
            <w:shd w:val="clear" w:color="auto" w:fill="auto"/>
            <w:vAlign w:val="bottom"/>
          </w:tcPr>
          <w:p w14:paraId="397579B8" w14:textId="77777777" w:rsidR="00213F73" w:rsidRPr="005001D6" w:rsidRDefault="00213F73"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0.5 ± 0.2</w:t>
            </w:r>
          </w:p>
        </w:tc>
        <w:tc>
          <w:tcPr>
            <w:tcW w:w="605" w:type="pct"/>
            <w:gridSpan w:val="2"/>
            <w:tcBorders>
              <w:top w:val="nil"/>
              <w:left w:val="nil"/>
              <w:bottom w:val="nil"/>
              <w:right w:val="nil"/>
            </w:tcBorders>
            <w:shd w:val="clear" w:color="auto" w:fill="auto"/>
            <w:vAlign w:val="bottom"/>
          </w:tcPr>
          <w:p w14:paraId="6ACB5B89" w14:textId="77777777" w:rsidR="00213F73" w:rsidRPr="005001D6" w:rsidRDefault="00213F73"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1.8 ± 0.5</w:t>
            </w:r>
          </w:p>
        </w:tc>
        <w:tc>
          <w:tcPr>
            <w:tcW w:w="593" w:type="pct"/>
            <w:gridSpan w:val="2"/>
            <w:tcBorders>
              <w:top w:val="nil"/>
              <w:left w:val="nil"/>
              <w:bottom w:val="nil"/>
              <w:right w:val="nil"/>
            </w:tcBorders>
            <w:shd w:val="clear" w:color="auto" w:fill="auto"/>
            <w:vAlign w:val="bottom"/>
          </w:tcPr>
          <w:p w14:paraId="168392DB" w14:textId="77777777" w:rsidR="00213F73" w:rsidRPr="005001D6" w:rsidRDefault="00213F73"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0.9 ± 0.2</w:t>
            </w:r>
          </w:p>
        </w:tc>
        <w:tc>
          <w:tcPr>
            <w:tcW w:w="410" w:type="pct"/>
            <w:tcBorders>
              <w:top w:val="nil"/>
              <w:left w:val="nil"/>
              <w:bottom w:val="nil"/>
              <w:right w:val="nil"/>
            </w:tcBorders>
            <w:shd w:val="clear" w:color="auto" w:fill="auto"/>
          </w:tcPr>
          <w:p w14:paraId="50A5873E" w14:textId="77777777" w:rsidR="00213F73" w:rsidRPr="005001D6" w:rsidRDefault="00213F73"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-69</w:t>
            </w:r>
          </w:p>
        </w:tc>
        <w:tc>
          <w:tcPr>
            <w:tcW w:w="578" w:type="pct"/>
            <w:tcBorders>
              <w:top w:val="nil"/>
              <w:left w:val="nil"/>
              <w:bottom w:val="nil"/>
              <w:right w:val="nil"/>
            </w:tcBorders>
            <w:shd w:val="clear" w:color="auto" w:fill="auto"/>
            <w:vAlign w:val="bottom"/>
          </w:tcPr>
          <w:p w14:paraId="79422B63" w14:textId="578BC7B7" w:rsidR="00213F73" w:rsidRPr="005001D6" w:rsidRDefault="00213F73" w:rsidP="00173FAF">
            <w:pPr>
              <w:widowControl w:val="0"/>
              <w:autoSpaceDE w:val="0"/>
              <w:autoSpaceDN w:val="0"/>
              <w:adjustRightInd w:val="0"/>
              <w:spacing w:line="360" w:lineRule="auto"/>
              <w:jc w:val="both"/>
              <w:rPr>
                <w:rFonts w:ascii="Arial" w:hAnsi="Arial" w:cs="Arial"/>
                <w:b/>
                <w:bCs/>
                <w:sz w:val="14"/>
                <w:szCs w:val="14"/>
              </w:rPr>
            </w:pPr>
            <w:r w:rsidRPr="005001D6">
              <w:rPr>
                <w:rFonts w:ascii="Arial" w:hAnsi="Arial" w:cs="Arial"/>
                <w:b/>
                <w:bCs/>
                <w:sz w:val="14"/>
                <w:szCs w:val="14"/>
              </w:rPr>
              <w:t>0.03 (9.6)</w:t>
            </w:r>
          </w:p>
        </w:tc>
        <w:tc>
          <w:tcPr>
            <w:tcW w:w="510" w:type="pct"/>
            <w:tcBorders>
              <w:top w:val="nil"/>
              <w:left w:val="nil"/>
              <w:bottom w:val="nil"/>
              <w:right w:val="nil"/>
            </w:tcBorders>
            <w:shd w:val="clear" w:color="auto" w:fill="auto"/>
            <w:vAlign w:val="bottom"/>
          </w:tcPr>
          <w:p w14:paraId="7A877B4F" w14:textId="2A9E9451" w:rsidR="00213F73" w:rsidRPr="005001D6" w:rsidRDefault="004230DF"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0.66 (0.</w:t>
            </w:r>
            <w:r w:rsidR="000E3A61" w:rsidRPr="005001D6">
              <w:rPr>
                <w:rFonts w:ascii="Arial" w:hAnsi="Arial" w:cs="Arial"/>
                <w:sz w:val="14"/>
                <w:szCs w:val="14"/>
              </w:rPr>
              <w:t>9</w:t>
            </w:r>
            <w:r w:rsidRPr="005001D6">
              <w:rPr>
                <w:rFonts w:ascii="Arial" w:hAnsi="Arial" w:cs="Arial"/>
                <w:sz w:val="14"/>
                <w:szCs w:val="14"/>
              </w:rPr>
              <w:t>)</w:t>
            </w:r>
          </w:p>
        </w:tc>
        <w:tc>
          <w:tcPr>
            <w:tcW w:w="496" w:type="pct"/>
            <w:tcBorders>
              <w:top w:val="nil"/>
              <w:left w:val="nil"/>
              <w:bottom w:val="nil"/>
              <w:right w:val="nil"/>
            </w:tcBorders>
          </w:tcPr>
          <w:p w14:paraId="5BBF9082" w14:textId="01B4886A" w:rsidR="00213F73" w:rsidRPr="005001D6" w:rsidRDefault="000E3A61"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0.14 (9.4)</w:t>
            </w:r>
          </w:p>
        </w:tc>
      </w:tr>
      <w:tr w:rsidR="005001D6" w:rsidRPr="005001D6" w14:paraId="6207DB73" w14:textId="697877B1" w:rsidTr="00F74214">
        <w:tc>
          <w:tcPr>
            <w:tcW w:w="1178" w:type="pct"/>
            <w:tcBorders>
              <w:top w:val="nil"/>
              <w:left w:val="nil"/>
              <w:bottom w:val="nil"/>
              <w:right w:val="nil"/>
            </w:tcBorders>
            <w:shd w:val="clear" w:color="auto" w:fill="auto"/>
            <w:vAlign w:val="bottom"/>
          </w:tcPr>
          <w:p w14:paraId="42AEC2FB" w14:textId="77777777" w:rsidR="004230DF" w:rsidRPr="005001D6" w:rsidRDefault="00213F73" w:rsidP="00173FAF">
            <w:pPr>
              <w:widowControl w:val="0"/>
              <w:autoSpaceDE w:val="0"/>
              <w:autoSpaceDN w:val="0"/>
              <w:adjustRightInd w:val="0"/>
              <w:spacing w:line="360" w:lineRule="auto"/>
              <w:jc w:val="both"/>
              <w:rPr>
                <w:rFonts w:ascii="Arial" w:hAnsi="Arial" w:cs="Arial"/>
                <w:i/>
                <w:iCs/>
                <w:sz w:val="14"/>
                <w:szCs w:val="14"/>
              </w:rPr>
            </w:pPr>
            <w:r w:rsidRPr="005001D6">
              <w:rPr>
                <w:rFonts w:ascii="Arial" w:hAnsi="Arial" w:cs="Arial"/>
                <w:i/>
                <w:iCs/>
                <w:sz w:val="14"/>
                <w:szCs w:val="14"/>
              </w:rPr>
              <w:t>Helotiales</w:t>
            </w:r>
          </w:p>
          <w:p w14:paraId="58E1EDDC" w14:textId="149C1924" w:rsidR="00213F73" w:rsidRPr="005001D6" w:rsidRDefault="004230DF" w:rsidP="00173FAF">
            <w:pPr>
              <w:widowControl w:val="0"/>
              <w:autoSpaceDE w:val="0"/>
              <w:autoSpaceDN w:val="0"/>
              <w:adjustRightInd w:val="0"/>
              <w:spacing w:line="360" w:lineRule="auto"/>
              <w:jc w:val="both"/>
              <w:rPr>
                <w:rFonts w:ascii="Arial" w:hAnsi="Arial" w:cs="Arial"/>
                <w:i/>
                <w:iCs/>
                <w:sz w:val="14"/>
                <w:szCs w:val="14"/>
              </w:rPr>
            </w:pPr>
            <w:r w:rsidRPr="005001D6">
              <w:rPr>
                <w:rFonts w:ascii="Arial" w:hAnsi="Arial" w:cs="Arial"/>
                <w:i/>
                <w:iCs/>
                <w:sz w:val="14"/>
                <w:szCs w:val="14"/>
              </w:rPr>
              <w:t>(</w:t>
            </w:r>
            <w:proofErr w:type="spellStart"/>
            <w:r w:rsidR="00213F73" w:rsidRPr="005001D6">
              <w:rPr>
                <w:rFonts w:ascii="Arial" w:hAnsi="Arial" w:cs="Arial"/>
                <w:i/>
                <w:iCs/>
                <w:sz w:val="14"/>
                <w:szCs w:val="14"/>
              </w:rPr>
              <w:t>fam_Incertae_sedis</w:t>
            </w:r>
            <w:proofErr w:type="spellEnd"/>
            <w:r w:rsidRPr="005001D6">
              <w:rPr>
                <w:rFonts w:ascii="Arial" w:hAnsi="Arial" w:cs="Arial"/>
                <w:i/>
                <w:iCs/>
                <w:sz w:val="14"/>
                <w:szCs w:val="14"/>
              </w:rPr>
              <w:t>)</w:t>
            </w:r>
            <w:r w:rsidR="003E69C9" w:rsidRPr="005001D6">
              <w:rPr>
                <w:rFonts w:ascii="Arial" w:hAnsi="Arial" w:cs="Arial"/>
                <w:i/>
                <w:iCs/>
                <w:sz w:val="14"/>
                <w:szCs w:val="14"/>
              </w:rPr>
              <w:t>*</w:t>
            </w:r>
          </w:p>
        </w:tc>
        <w:tc>
          <w:tcPr>
            <w:tcW w:w="629" w:type="pct"/>
            <w:tcBorders>
              <w:top w:val="nil"/>
              <w:left w:val="nil"/>
              <w:bottom w:val="nil"/>
              <w:right w:val="nil"/>
            </w:tcBorders>
            <w:shd w:val="clear" w:color="auto" w:fill="auto"/>
            <w:vAlign w:val="bottom"/>
          </w:tcPr>
          <w:p w14:paraId="6E6EE4C4" w14:textId="77777777" w:rsidR="00213F73" w:rsidRPr="005001D6" w:rsidRDefault="00213F73"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7.2 ± 0.9</w:t>
            </w:r>
          </w:p>
        </w:tc>
        <w:tc>
          <w:tcPr>
            <w:tcW w:w="605" w:type="pct"/>
            <w:gridSpan w:val="2"/>
            <w:tcBorders>
              <w:top w:val="nil"/>
              <w:left w:val="nil"/>
              <w:bottom w:val="nil"/>
              <w:right w:val="nil"/>
            </w:tcBorders>
            <w:shd w:val="clear" w:color="auto" w:fill="auto"/>
            <w:vAlign w:val="bottom"/>
          </w:tcPr>
          <w:p w14:paraId="2F4B16DC" w14:textId="77777777" w:rsidR="00213F73" w:rsidRPr="005001D6" w:rsidRDefault="00213F73"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12.0 ± 1.5</w:t>
            </w:r>
          </w:p>
        </w:tc>
        <w:tc>
          <w:tcPr>
            <w:tcW w:w="593" w:type="pct"/>
            <w:gridSpan w:val="2"/>
            <w:tcBorders>
              <w:top w:val="nil"/>
              <w:left w:val="nil"/>
              <w:bottom w:val="nil"/>
              <w:right w:val="nil"/>
            </w:tcBorders>
            <w:shd w:val="clear" w:color="auto" w:fill="auto"/>
            <w:vAlign w:val="bottom"/>
          </w:tcPr>
          <w:p w14:paraId="6EB8BFE0" w14:textId="77777777" w:rsidR="00213F73" w:rsidRPr="005001D6" w:rsidRDefault="00213F73"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6.1 ± 0.9</w:t>
            </w:r>
          </w:p>
        </w:tc>
        <w:tc>
          <w:tcPr>
            <w:tcW w:w="410" w:type="pct"/>
            <w:tcBorders>
              <w:top w:val="nil"/>
              <w:left w:val="nil"/>
              <w:bottom w:val="nil"/>
              <w:right w:val="nil"/>
            </w:tcBorders>
            <w:shd w:val="clear" w:color="auto" w:fill="auto"/>
          </w:tcPr>
          <w:p w14:paraId="4A27A7B1" w14:textId="77777777" w:rsidR="004230DF" w:rsidRPr="005001D6" w:rsidRDefault="004230DF" w:rsidP="00173FAF">
            <w:pPr>
              <w:widowControl w:val="0"/>
              <w:autoSpaceDE w:val="0"/>
              <w:autoSpaceDN w:val="0"/>
              <w:adjustRightInd w:val="0"/>
              <w:spacing w:line="360" w:lineRule="auto"/>
              <w:jc w:val="both"/>
              <w:rPr>
                <w:rFonts w:ascii="Arial" w:hAnsi="Arial" w:cs="Arial"/>
                <w:sz w:val="14"/>
                <w:szCs w:val="14"/>
              </w:rPr>
            </w:pPr>
          </w:p>
          <w:p w14:paraId="40A5D8EE" w14:textId="054F316C" w:rsidR="00213F73" w:rsidRPr="005001D6" w:rsidRDefault="00213F73"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-40</w:t>
            </w:r>
          </w:p>
        </w:tc>
        <w:tc>
          <w:tcPr>
            <w:tcW w:w="578" w:type="pct"/>
            <w:tcBorders>
              <w:top w:val="nil"/>
              <w:left w:val="nil"/>
              <w:bottom w:val="nil"/>
              <w:right w:val="nil"/>
            </w:tcBorders>
            <w:shd w:val="clear" w:color="auto" w:fill="auto"/>
            <w:vAlign w:val="bottom"/>
          </w:tcPr>
          <w:p w14:paraId="357FF34F" w14:textId="41F78D0D" w:rsidR="00213F73" w:rsidRPr="005001D6" w:rsidRDefault="00213F73" w:rsidP="00173FAF">
            <w:pPr>
              <w:widowControl w:val="0"/>
              <w:autoSpaceDE w:val="0"/>
              <w:autoSpaceDN w:val="0"/>
              <w:adjustRightInd w:val="0"/>
              <w:spacing w:line="360" w:lineRule="auto"/>
              <w:jc w:val="both"/>
              <w:rPr>
                <w:rFonts w:ascii="Arial" w:hAnsi="Arial" w:cs="Arial"/>
                <w:b/>
                <w:bCs/>
                <w:sz w:val="14"/>
                <w:szCs w:val="14"/>
              </w:rPr>
            </w:pPr>
            <w:r w:rsidRPr="005001D6">
              <w:rPr>
                <w:rFonts w:ascii="Arial" w:hAnsi="Arial" w:cs="Arial"/>
                <w:b/>
                <w:bCs/>
                <w:sz w:val="14"/>
                <w:szCs w:val="14"/>
              </w:rPr>
              <w:t>&lt;0.01 (19.4)</w:t>
            </w:r>
          </w:p>
        </w:tc>
        <w:tc>
          <w:tcPr>
            <w:tcW w:w="510" w:type="pct"/>
            <w:tcBorders>
              <w:top w:val="nil"/>
              <w:left w:val="nil"/>
              <w:bottom w:val="nil"/>
              <w:right w:val="nil"/>
            </w:tcBorders>
            <w:shd w:val="clear" w:color="auto" w:fill="auto"/>
            <w:vAlign w:val="bottom"/>
          </w:tcPr>
          <w:p w14:paraId="08A5F72B" w14:textId="07D0307B" w:rsidR="00213F73" w:rsidRPr="005001D6" w:rsidRDefault="000E3A61"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0.67 (0.3)</w:t>
            </w:r>
          </w:p>
        </w:tc>
        <w:tc>
          <w:tcPr>
            <w:tcW w:w="496" w:type="pct"/>
            <w:tcBorders>
              <w:top w:val="nil"/>
              <w:left w:val="nil"/>
              <w:bottom w:val="nil"/>
              <w:right w:val="nil"/>
            </w:tcBorders>
          </w:tcPr>
          <w:p w14:paraId="5E8F1722" w14:textId="77777777" w:rsidR="00213F73" w:rsidRPr="005001D6" w:rsidRDefault="00213F73" w:rsidP="00173FAF">
            <w:pPr>
              <w:widowControl w:val="0"/>
              <w:autoSpaceDE w:val="0"/>
              <w:autoSpaceDN w:val="0"/>
              <w:adjustRightInd w:val="0"/>
              <w:spacing w:line="360" w:lineRule="auto"/>
              <w:jc w:val="both"/>
              <w:rPr>
                <w:rFonts w:ascii="Arial" w:hAnsi="Arial" w:cs="Arial"/>
                <w:sz w:val="14"/>
                <w:szCs w:val="14"/>
              </w:rPr>
            </w:pPr>
          </w:p>
          <w:p w14:paraId="29BF87DE" w14:textId="5D1F26DF" w:rsidR="00606561" w:rsidRPr="005001D6" w:rsidRDefault="00606561"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0.83 (2.6)</w:t>
            </w:r>
          </w:p>
        </w:tc>
      </w:tr>
      <w:tr w:rsidR="005001D6" w:rsidRPr="005001D6" w14:paraId="469174E2" w14:textId="5C1E6292" w:rsidTr="00F74214">
        <w:tc>
          <w:tcPr>
            <w:tcW w:w="1178" w:type="pct"/>
            <w:tcBorders>
              <w:top w:val="nil"/>
              <w:left w:val="nil"/>
              <w:bottom w:val="nil"/>
              <w:right w:val="nil"/>
            </w:tcBorders>
            <w:shd w:val="clear" w:color="auto" w:fill="auto"/>
            <w:vAlign w:val="bottom"/>
          </w:tcPr>
          <w:p w14:paraId="627AB8C5" w14:textId="77777777" w:rsidR="00213F73" w:rsidRPr="005001D6" w:rsidRDefault="00213F73" w:rsidP="00173FAF">
            <w:pPr>
              <w:widowControl w:val="0"/>
              <w:autoSpaceDE w:val="0"/>
              <w:autoSpaceDN w:val="0"/>
              <w:adjustRightInd w:val="0"/>
              <w:spacing w:line="360" w:lineRule="auto"/>
              <w:jc w:val="both"/>
              <w:rPr>
                <w:rFonts w:ascii="Arial" w:hAnsi="Arial" w:cs="Arial"/>
                <w:i/>
                <w:iCs/>
                <w:sz w:val="14"/>
                <w:szCs w:val="14"/>
              </w:rPr>
            </w:pPr>
            <w:proofErr w:type="spellStart"/>
            <w:r w:rsidRPr="005001D6">
              <w:rPr>
                <w:rFonts w:ascii="Arial" w:hAnsi="Arial" w:cs="Arial"/>
                <w:i/>
                <w:iCs/>
                <w:sz w:val="14"/>
                <w:szCs w:val="14"/>
              </w:rPr>
              <w:t>Herpotrichiellaceae</w:t>
            </w:r>
            <w:proofErr w:type="spellEnd"/>
          </w:p>
        </w:tc>
        <w:tc>
          <w:tcPr>
            <w:tcW w:w="629" w:type="pct"/>
            <w:tcBorders>
              <w:top w:val="nil"/>
              <w:left w:val="nil"/>
              <w:bottom w:val="nil"/>
              <w:right w:val="nil"/>
            </w:tcBorders>
            <w:shd w:val="clear" w:color="auto" w:fill="auto"/>
            <w:vAlign w:val="bottom"/>
          </w:tcPr>
          <w:p w14:paraId="190F5049" w14:textId="77777777" w:rsidR="00213F73" w:rsidRPr="005001D6" w:rsidRDefault="00213F73"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23.3 ± 2.6</w:t>
            </w:r>
          </w:p>
        </w:tc>
        <w:tc>
          <w:tcPr>
            <w:tcW w:w="605" w:type="pct"/>
            <w:gridSpan w:val="2"/>
            <w:tcBorders>
              <w:top w:val="nil"/>
              <w:left w:val="nil"/>
              <w:bottom w:val="nil"/>
              <w:right w:val="nil"/>
            </w:tcBorders>
            <w:shd w:val="clear" w:color="auto" w:fill="auto"/>
            <w:vAlign w:val="bottom"/>
          </w:tcPr>
          <w:p w14:paraId="7B87B783" w14:textId="77777777" w:rsidR="00213F73" w:rsidRPr="005001D6" w:rsidRDefault="00213F73"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14.2 ± 2.6</w:t>
            </w:r>
          </w:p>
        </w:tc>
        <w:tc>
          <w:tcPr>
            <w:tcW w:w="593" w:type="pct"/>
            <w:gridSpan w:val="2"/>
            <w:tcBorders>
              <w:top w:val="nil"/>
              <w:left w:val="nil"/>
              <w:bottom w:val="nil"/>
              <w:right w:val="nil"/>
            </w:tcBorders>
            <w:shd w:val="clear" w:color="auto" w:fill="auto"/>
            <w:vAlign w:val="bottom"/>
          </w:tcPr>
          <w:p w14:paraId="2098293C" w14:textId="77777777" w:rsidR="00213F73" w:rsidRPr="005001D6" w:rsidRDefault="00213F73"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25.4 ± 2.5</w:t>
            </w:r>
          </w:p>
        </w:tc>
        <w:tc>
          <w:tcPr>
            <w:tcW w:w="410" w:type="pct"/>
            <w:tcBorders>
              <w:top w:val="nil"/>
              <w:left w:val="nil"/>
              <w:bottom w:val="nil"/>
              <w:right w:val="nil"/>
            </w:tcBorders>
            <w:shd w:val="clear" w:color="auto" w:fill="auto"/>
          </w:tcPr>
          <w:p w14:paraId="08729407" w14:textId="77777777" w:rsidR="00213F73" w:rsidRPr="005001D6" w:rsidRDefault="00213F73"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64</w:t>
            </w:r>
          </w:p>
        </w:tc>
        <w:tc>
          <w:tcPr>
            <w:tcW w:w="578" w:type="pct"/>
            <w:tcBorders>
              <w:top w:val="nil"/>
              <w:left w:val="nil"/>
              <w:bottom w:val="nil"/>
              <w:right w:val="nil"/>
            </w:tcBorders>
            <w:shd w:val="clear" w:color="auto" w:fill="auto"/>
            <w:vAlign w:val="bottom"/>
          </w:tcPr>
          <w:p w14:paraId="2EA590FC" w14:textId="17EB3CBC" w:rsidR="00213F73" w:rsidRPr="005001D6" w:rsidRDefault="00213F73" w:rsidP="00173FAF">
            <w:pPr>
              <w:widowControl w:val="0"/>
              <w:autoSpaceDE w:val="0"/>
              <w:autoSpaceDN w:val="0"/>
              <w:adjustRightInd w:val="0"/>
              <w:spacing w:line="360" w:lineRule="auto"/>
              <w:jc w:val="both"/>
              <w:rPr>
                <w:rFonts w:ascii="Arial" w:hAnsi="Arial" w:cs="Arial"/>
                <w:b/>
                <w:bCs/>
                <w:sz w:val="14"/>
                <w:szCs w:val="14"/>
              </w:rPr>
            </w:pPr>
            <w:r w:rsidRPr="005001D6">
              <w:rPr>
                <w:rFonts w:ascii="Arial" w:hAnsi="Arial" w:cs="Arial"/>
                <w:b/>
                <w:bCs/>
                <w:sz w:val="14"/>
                <w:szCs w:val="14"/>
              </w:rPr>
              <w:t>&lt;0.01 (1</w:t>
            </w:r>
            <w:r w:rsidR="003576FD" w:rsidRPr="005001D6">
              <w:rPr>
                <w:rFonts w:ascii="Arial" w:hAnsi="Arial" w:cs="Arial"/>
                <w:b/>
                <w:bCs/>
                <w:sz w:val="14"/>
                <w:szCs w:val="14"/>
              </w:rPr>
              <w:t>9.4</w:t>
            </w:r>
            <w:r w:rsidRPr="005001D6">
              <w:rPr>
                <w:rFonts w:ascii="Arial" w:hAnsi="Arial" w:cs="Arial"/>
                <w:b/>
                <w:bCs/>
                <w:sz w:val="14"/>
                <w:szCs w:val="14"/>
              </w:rPr>
              <w:t>)</w:t>
            </w:r>
          </w:p>
        </w:tc>
        <w:tc>
          <w:tcPr>
            <w:tcW w:w="510" w:type="pct"/>
            <w:tcBorders>
              <w:top w:val="nil"/>
              <w:left w:val="nil"/>
              <w:bottom w:val="nil"/>
              <w:right w:val="nil"/>
            </w:tcBorders>
            <w:shd w:val="clear" w:color="auto" w:fill="auto"/>
            <w:vAlign w:val="bottom"/>
          </w:tcPr>
          <w:p w14:paraId="20B7CF1E" w14:textId="3CBA78BE" w:rsidR="00213F73" w:rsidRPr="005001D6" w:rsidRDefault="003E69C9"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0.64 (</w:t>
            </w:r>
            <w:r w:rsidR="00D24D1F" w:rsidRPr="005001D6">
              <w:rPr>
                <w:rFonts w:ascii="Arial" w:hAnsi="Arial" w:cs="Arial"/>
                <w:sz w:val="14"/>
                <w:szCs w:val="14"/>
              </w:rPr>
              <w:t>2.9</w:t>
            </w:r>
            <w:r w:rsidRPr="005001D6">
              <w:rPr>
                <w:rFonts w:ascii="Arial" w:hAnsi="Arial" w:cs="Arial"/>
                <w:sz w:val="14"/>
                <w:szCs w:val="14"/>
              </w:rPr>
              <w:t>)</w:t>
            </w:r>
          </w:p>
        </w:tc>
        <w:tc>
          <w:tcPr>
            <w:tcW w:w="496" w:type="pct"/>
            <w:tcBorders>
              <w:top w:val="nil"/>
              <w:left w:val="nil"/>
              <w:bottom w:val="nil"/>
              <w:right w:val="nil"/>
            </w:tcBorders>
          </w:tcPr>
          <w:p w14:paraId="35B4A7E2" w14:textId="6F1A8FFF" w:rsidR="00213F73" w:rsidRPr="005001D6" w:rsidRDefault="003E69C9"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0.21 (</w:t>
            </w:r>
            <w:r w:rsidR="00D24D1F" w:rsidRPr="005001D6">
              <w:rPr>
                <w:rFonts w:ascii="Arial" w:hAnsi="Arial" w:cs="Arial"/>
                <w:sz w:val="14"/>
                <w:szCs w:val="14"/>
              </w:rPr>
              <w:t>5.7</w:t>
            </w:r>
            <w:r w:rsidRPr="005001D6">
              <w:rPr>
                <w:rFonts w:ascii="Arial" w:hAnsi="Arial" w:cs="Arial"/>
                <w:sz w:val="14"/>
                <w:szCs w:val="14"/>
              </w:rPr>
              <w:t>)</w:t>
            </w:r>
          </w:p>
        </w:tc>
      </w:tr>
      <w:tr w:rsidR="005001D6" w:rsidRPr="005001D6" w14:paraId="7B292961" w14:textId="03099A76" w:rsidTr="00F74214">
        <w:tc>
          <w:tcPr>
            <w:tcW w:w="1178" w:type="pct"/>
            <w:tcBorders>
              <w:top w:val="nil"/>
              <w:left w:val="nil"/>
              <w:bottom w:val="nil"/>
              <w:right w:val="nil"/>
            </w:tcBorders>
            <w:shd w:val="clear" w:color="auto" w:fill="auto"/>
            <w:vAlign w:val="bottom"/>
          </w:tcPr>
          <w:p w14:paraId="1CD889F0" w14:textId="703F2656" w:rsidR="00213F73" w:rsidRPr="005001D6" w:rsidRDefault="00213F73" w:rsidP="00173FAF">
            <w:pPr>
              <w:widowControl w:val="0"/>
              <w:autoSpaceDE w:val="0"/>
              <w:autoSpaceDN w:val="0"/>
              <w:adjustRightInd w:val="0"/>
              <w:spacing w:line="360" w:lineRule="auto"/>
              <w:jc w:val="both"/>
              <w:rPr>
                <w:rFonts w:ascii="Arial" w:hAnsi="Arial" w:cs="Arial"/>
                <w:i/>
                <w:iCs/>
                <w:sz w:val="14"/>
                <w:szCs w:val="14"/>
              </w:rPr>
            </w:pPr>
            <w:proofErr w:type="spellStart"/>
            <w:r w:rsidRPr="005001D6">
              <w:rPr>
                <w:rFonts w:ascii="Arial" w:hAnsi="Arial" w:cs="Arial"/>
                <w:i/>
                <w:iCs/>
                <w:sz w:val="14"/>
                <w:szCs w:val="14"/>
              </w:rPr>
              <w:t>Hygrophoraceae</w:t>
            </w:r>
            <w:proofErr w:type="spellEnd"/>
            <w:r w:rsidR="003E69C9" w:rsidRPr="005001D6">
              <w:rPr>
                <w:rFonts w:ascii="Arial" w:hAnsi="Arial" w:cs="Arial"/>
                <w:i/>
                <w:iCs/>
                <w:sz w:val="14"/>
                <w:szCs w:val="14"/>
              </w:rPr>
              <w:t>*</w:t>
            </w:r>
          </w:p>
        </w:tc>
        <w:tc>
          <w:tcPr>
            <w:tcW w:w="629" w:type="pct"/>
            <w:tcBorders>
              <w:top w:val="nil"/>
              <w:left w:val="nil"/>
              <w:bottom w:val="nil"/>
              <w:right w:val="nil"/>
            </w:tcBorders>
            <w:shd w:val="clear" w:color="auto" w:fill="auto"/>
            <w:vAlign w:val="bottom"/>
          </w:tcPr>
          <w:p w14:paraId="3A307C2D" w14:textId="77777777" w:rsidR="00213F73" w:rsidRPr="005001D6" w:rsidRDefault="00213F73"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6.0 ± 2.1</w:t>
            </w:r>
          </w:p>
        </w:tc>
        <w:tc>
          <w:tcPr>
            <w:tcW w:w="605" w:type="pct"/>
            <w:gridSpan w:val="2"/>
            <w:tcBorders>
              <w:top w:val="nil"/>
              <w:left w:val="nil"/>
              <w:bottom w:val="nil"/>
              <w:right w:val="nil"/>
            </w:tcBorders>
            <w:shd w:val="clear" w:color="auto" w:fill="auto"/>
            <w:vAlign w:val="bottom"/>
          </w:tcPr>
          <w:p w14:paraId="7118A8D4" w14:textId="77777777" w:rsidR="00213F73" w:rsidRPr="005001D6" w:rsidRDefault="00213F73"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22.8 ± 5.1</w:t>
            </w:r>
          </w:p>
        </w:tc>
        <w:tc>
          <w:tcPr>
            <w:tcW w:w="593" w:type="pct"/>
            <w:gridSpan w:val="2"/>
            <w:tcBorders>
              <w:top w:val="nil"/>
              <w:left w:val="nil"/>
              <w:bottom w:val="nil"/>
              <w:right w:val="nil"/>
            </w:tcBorders>
            <w:shd w:val="clear" w:color="auto" w:fill="auto"/>
            <w:vAlign w:val="bottom"/>
          </w:tcPr>
          <w:p w14:paraId="5A11CF17" w14:textId="77777777" w:rsidR="00213F73" w:rsidRPr="005001D6" w:rsidRDefault="00213F73"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7.8 ± 3.1</w:t>
            </w:r>
          </w:p>
        </w:tc>
        <w:tc>
          <w:tcPr>
            <w:tcW w:w="410" w:type="pct"/>
            <w:tcBorders>
              <w:top w:val="nil"/>
              <w:left w:val="nil"/>
              <w:bottom w:val="nil"/>
              <w:right w:val="nil"/>
            </w:tcBorders>
            <w:shd w:val="clear" w:color="auto" w:fill="auto"/>
          </w:tcPr>
          <w:p w14:paraId="78428BC8" w14:textId="77777777" w:rsidR="00213F73" w:rsidRPr="005001D6" w:rsidRDefault="00213F73"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-74</w:t>
            </w:r>
          </w:p>
        </w:tc>
        <w:tc>
          <w:tcPr>
            <w:tcW w:w="578" w:type="pct"/>
            <w:tcBorders>
              <w:top w:val="nil"/>
              <w:left w:val="nil"/>
              <w:bottom w:val="nil"/>
              <w:right w:val="nil"/>
            </w:tcBorders>
            <w:shd w:val="clear" w:color="auto" w:fill="auto"/>
            <w:vAlign w:val="bottom"/>
          </w:tcPr>
          <w:p w14:paraId="2BF95D1C" w14:textId="5585BF7D" w:rsidR="00213F73" w:rsidRPr="005001D6" w:rsidRDefault="00213F73" w:rsidP="00173FAF">
            <w:pPr>
              <w:widowControl w:val="0"/>
              <w:autoSpaceDE w:val="0"/>
              <w:autoSpaceDN w:val="0"/>
              <w:adjustRightInd w:val="0"/>
              <w:spacing w:line="360" w:lineRule="auto"/>
              <w:jc w:val="both"/>
              <w:rPr>
                <w:rFonts w:ascii="Arial" w:hAnsi="Arial" w:cs="Arial"/>
                <w:b/>
                <w:bCs/>
                <w:sz w:val="14"/>
                <w:szCs w:val="14"/>
              </w:rPr>
            </w:pPr>
            <w:r w:rsidRPr="005001D6">
              <w:rPr>
                <w:rFonts w:ascii="Arial" w:hAnsi="Arial" w:cs="Arial"/>
                <w:b/>
                <w:bCs/>
                <w:sz w:val="14"/>
                <w:szCs w:val="14"/>
              </w:rPr>
              <w:t>0.01 (11.5)</w:t>
            </w:r>
          </w:p>
        </w:tc>
        <w:tc>
          <w:tcPr>
            <w:tcW w:w="510" w:type="pct"/>
            <w:tcBorders>
              <w:top w:val="nil"/>
              <w:left w:val="nil"/>
              <w:bottom w:val="nil"/>
              <w:right w:val="nil"/>
            </w:tcBorders>
            <w:shd w:val="clear" w:color="auto" w:fill="auto"/>
            <w:vAlign w:val="bottom"/>
          </w:tcPr>
          <w:p w14:paraId="1875D2EA" w14:textId="1D602F7C" w:rsidR="00213F73" w:rsidRPr="005001D6" w:rsidRDefault="00606561"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0.66 (1.2)</w:t>
            </w:r>
          </w:p>
        </w:tc>
        <w:tc>
          <w:tcPr>
            <w:tcW w:w="496" w:type="pct"/>
            <w:tcBorders>
              <w:top w:val="nil"/>
              <w:left w:val="nil"/>
              <w:bottom w:val="nil"/>
              <w:right w:val="nil"/>
            </w:tcBorders>
          </w:tcPr>
          <w:p w14:paraId="0B985EB2" w14:textId="66D2ECC1" w:rsidR="00213F73" w:rsidRPr="005001D6" w:rsidRDefault="00606561"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0.87 (0.5)</w:t>
            </w:r>
          </w:p>
        </w:tc>
      </w:tr>
      <w:tr w:rsidR="005001D6" w:rsidRPr="005001D6" w14:paraId="01F2C4E5" w14:textId="54FD1BE3" w:rsidTr="00F74214">
        <w:tc>
          <w:tcPr>
            <w:tcW w:w="1178" w:type="pct"/>
            <w:tcBorders>
              <w:top w:val="nil"/>
              <w:left w:val="nil"/>
              <w:bottom w:val="nil"/>
              <w:right w:val="nil"/>
            </w:tcBorders>
            <w:shd w:val="clear" w:color="auto" w:fill="auto"/>
            <w:vAlign w:val="bottom"/>
          </w:tcPr>
          <w:p w14:paraId="75256E4A" w14:textId="41AE9293" w:rsidR="00213F73" w:rsidRPr="005001D6" w:rsidRDefault="00213F73" w:rsidP="00173FAF">
            <w:pPr>
              <w:widowControl w:val="0"/>
              <w:autoSpaceDE w:val="0"/>
              <w:autoSpaceDN w:val="0"/>
              <w:adjustRightInd w:val="0"/>
              <w:spacing w:line="360" w:lineRule="auto"/>
              <w:jc w:val="both"/>
              <w:rPr>
                <w:rFonts w:ascii="Arial" w:hAnsi="Arial" w:cs="Arial"/>
                <w:i/>
                <w:iCs/>
                <w:sz w:val="14"/>
                <w:szCs w:val="14"/>
              </w:rPr>
            </w:pPr>
            <w:proofErr w:type="spellStart"/>
            <w:r w:rsidRPr="005001D6">
              <w:rPr>
                <w:rFonts w:ascii="Arial" w:hAnsi="Arial" w:cs="Arial"/>
                <w:i/>
                <w:iCs/>
                <w:sz w:val="14"/>
                <w:szCs w:val="14"/>
              </w:rPr>
              <w:t>Leotiaceae</w:t>
            </w:r>
            <w:proofErr w:type="spellEnd"/>
            <w:r w:rsidR="003E69C9" w:rsidRPr="005001D6">
              <w:rPr>
                <w:rFonts w:ascii="Arial" w:hAnsi="Arial" w:cs="Arial"/>
                <w:i/>
                <w:iCs/>
                <w:sz w:val="14"/>
                <w:szCs w:val="14"/>
              </w:rPr>
              <w:t>*</w:t>
            </w:r>
          </w:p>
        </w:tc>
        <w:tc>
          <w:tcPr>
            <w:tcW w:w="629" w:type="pct"/>
            <w:tcBorders>
              <w:top w:val="nil"/>
              <w:left w:val="nil"/>
              <w:bottom w:val="nil"/>
              <w:right w:val="nil"/>
            </w:tcBorders>
            <w:shd w:val="clear" w:color="auto" w:fill="auto"/>
            <w:vAlign w:val="bottom"/>
          </w:tcPr>
          <w:p w14:paraId="3804F70F" w14:textId="77777777" w:rsidR="00213F73" w:rsidRPr="005001D6" w:rsidRDefault="00213F73"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6.8 ± 1.3</w:t>
            </w:r>
          </w:p>
        </w:tc>
        <w:tc>
          <w:tcPr>
            <w:tcW w:w="605" w:type="pct"/>
            <w:gridSpan w:val="2"/>
            <w:tcBorders>
              <w:top w:val="nil"/>
              <w:left w:val="nil"/>
              <w:bottom w:val="nil"/>
              <w:right w:val="nil"/>
            </w:tcBorders>
            <w:shd w:val="clear" w:color="auto" w:fill="auto"/>
            <w:vAlign w:val="bottom"/>
          </w:tcPr>
          <w:p w14:paraId="3186BCC3" w14:textId="77777777" w:rsidR="00213F73" w:rsidRPr="005001D6" w:rsidRDefault="00213F73"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1.4 ± 0.4</w:t>
            </w:r>
          </w:p>
        </w:tc>
        <w:tc>
          <w:tcPr>
            <w:tcW w:w="593" w:type="pct"/>
            <w:gridSpan w:val="2"/>
            <w:tcBorders>
              <w:top w:val="nil"/>
              <w:left w:val="nil"/>
              <w:bottom w:val="nil"/>
              <w:right w:val="nil"/>
            </w:tcBorders>
            <w:shd w:val="clear" w:color="auto" w:fill="auto"/>
            <w:vAlign w:val="bottom"/>
          </w:tcPr>
          <w:p w14:paraId="1904552A" w14:textId="77777777" w:rsidR="00213F73" w:rsidRPr="005001D6" w:rsidRDefault="00213F73"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7.6 ± 1.4</w:t>
            </w:r>
          </w:p>
        </w:tc>
        <w:tc>
          <w:tcPr>
            <w:tcW w:w="410" w:type="pct"/>
            <w:tcBorders>
              <w:top w:val="nil"/>
              <w:left w:val="nil"/>
              <w:bottom w:val="nil"/>
              <w:right w:val="nil"/>
            </w:tcBorders>
            <w:shd w:val="clear" w:color="auto" w:fill="auto"/>
          </w:tcPr>
          <w:p w14:paraId="5643FB4E" w14:textId="77777777" w:rsidR="00213F73" w:rsidRPr="005001D6" w:rsidRDefault="00213F73"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389</w:t>
            </w:r>
          </w:p>
        </w:tc>
        <w:tc>
          <w:tcPr>
            <w:tcW w:w="578" w:type="pct"/>
            <w:tcBorders>
              <w:top w:val="nil"/>
              <w:left w:val="nil"/>
              <w:bottom w:val="nil"/>
              <w:right w:val="nil"/>
            </w:tcBorders>
            <w:shd w:val="clear" w:color="auto" w:fill="auto"/>
            <w:vAlign w:val="bottom"/>
          </w:tcPr>
          <w:p w14:paraId="090CD161" w14:textId="1B9EE167" w:rsidR="00213F73" w:rsidRPr="005001D6" w:rsidRDefault="00213F73" w:rsidP="00173FAF">
            <w:pPr>
              <w:widowControl w:val="0"/>
              <w:autoSpaceDE w:val="0"/>
              <w:autoSpaceDN w:val="0"/>
              <w:adjustRightInd w:val="0"/>
              <w:spacing w:line="360" w:lineRule="auto"/>
              <w:jc w:val="both"/>
              <w:rPr>
                <w:rFonts w:ascii="Arial" w:hAnsi="Arial" w:cs="Arial"/>
                <w:b/>
                <w:bCs/>
                <w:sz w:val="14"/>
                <w:szCs w:val="14"/>
              </w:rPr>
            </w:pPr>
            <w:r w:rsidRPr="005001D6">
              <w:rPr>
                <w:rFonts w:ascii="Arial" w:hAnsi="Arial" w:cs="Arial"/>
                <w:b/>
                <w:bCs/>
                <w:sz w:val="14"/>
                <w:szCs w:val="14"/>
              </w:rPr>
              <w:t>&lt;0.01 (53.4)</w:t>
            </w:r>
          </w:p>
        </w:tc>
        <w:tc>
          <w:tcPr>
            <w:tcW w:w="510" w:type="pct"/>
            <w:tcBorders>
              <w:top w:val="nil"/>
              <w:left w:val="nil"/>
              <w:bottom w:val="nil"/>
              <w:right w:val="nil"/>
            </w:tcBorders>
            <w:shd w:val="clear" w:color="auto" w:fill="auto"/>
            <w:vAlign w:val="bottom"/>
          </w:tcPr>
          <w:p w14:paraId="4BC93B3F" w14:textId="2A3BFFB3" w:rsidR="00213F73" w:rsidRPr="005001D6" w:rsidRDefault="00717931"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0.73 (0.2)</w:t>
            </w:r>
          </w:p>
        </w:tc>
        <w:tc>
          <w:tcPr>
            <w:tcW w:w="496" w:type="pct"/>
            <w:tcBorders>
              <w:top w:val="nil"/>
              <w:left w:val="nil"/>
              <w:bottom w:val="nil"/>
              <w:right w:val="nil"/>
            </w:tcBorders>
          </w:tcPr>
          <w:p w14:paraId="099F70A7" w14:textId="1F9F4C97" w:rsidR="00213F73" w:rsidRPr="005001D6" w:rsidRDefault="00606561"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0.15 (6.8)</w:t>
            </w:r>
          </w:p>
        </w:tc>
      </w:tr>
      <w:tr w:rsidR="004230DF" w:rsidRPr="005001D6" w14:paraId="7EADD460" w14:textId="2D1B36BE" w:rsidTr="00F74214">
        <w:tc>
          <w:tcPr>
            <w:tcW w:w="1178" w:type="pct"/>
            <w:tcBorders>
              <w:top w:val="nil"/>
              <w:left w:val="nil"/>
              <w:bottom w:val="single" w:sz="4" w:space="0" w:color="auto"/>
              <w:right w:val="nil"/>
            </w:tcBorders>
            <w:shd w:val="clear" w:color="auto" w:fill="auto"/>
            <w:vAlign w:val="bottom"/>
          </w:tcPr>
          <w:p w14:paraId="727BF67D" w14:textId="6139E971" w:rsidR="00213F73" w:rsidRPr="005001D6" w:rsidRDefault="00213F73" w:rsidP="00173FAF">
            <w:pPr>
              <w:widowControl w:val="0"/>
              <w:autoSpaceDE w:val="0"/>
              <w:autoSpaceDN w:val="0"/>
              <w:adjustRightInd w:val="0"/>
              <w:spacing w:line="360" w:lineRule="auto"/>
              <w:jc w:val="both"/>
              <w:rPr>
                <w:rFonts w:ascii="Arial" w:hAnsi="Arial" w:cs="Arial"/>
                <w:i/>
                <w:iCs/>
                <w:sz w:val="14"/>
                <w:szCs w:val="14"/>
              </w:rPr>
            </w:pPr>
            <w:proofErr w:type="spellStart"/>
            <w:r w:rsidRPr="005001D6">
              <w:rPr>
                <w:rFonts w:ascii="Arial" w:hAnsi="Arial" w:cs="Arial"/>
                <w:i/>
                <w:iCs/>
                <w:sz w:val="14"/>
                <w:szCs w:val="14"/>
              </w:rPr>
              <w:t>Venturiaceae</w:t>
            </w:r>
            <w:proofErr w:type="spellEnd"/>
            <w:r w:rsidR="003E69C9" w:rsidRPr="005001D6">
              <w:rPr>
                <w:rFonts w:ascii="Arial" w:hAnsi="Arial" w:cs="Arial"/>
                <w:i/>
                <w:iCs/>
                <w:sz w:val="14"/>
                <w:szCs w:val="14"/>
              </w:rPr>
              <w:t>*</w:t>
            </w:r>
          </w:p>
        </w:tc>
        <w:tc>
          <w:tcPr>
            <w:tcW w:w="629" w:type="pct"/>
            <w:tcBorders>
              <w:top w:val="nil"/>
              <w:left w:val="nil"/>
              <w:bottom w:val="single" w:sz="4" w:space="0" w:color="auto"/>
              <w:right w:val="nil"/>
            </w:tcBorders>
            <w:shd w:val="clear" w:color="auto" w:fill="auto"/>
            <w:vAlign w:val="bottom"/>
          </w:tcPr>
          <w:p w14:paraId="18AC162B" w14:textId="77777777" w:rsidR="00213F73" w:rsidRPr="005001D6" w:rsidRDefault="00213F73"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3.2 ± 1.0</w:t>
            </w:r>
          </w:p>
        </w:tc>
        <w:tc>
          <w:tcPr>
            <w:tcW w:w="605" w:type="pct"/>
            <w:gridSpan w:val="2"/>
            <w:tcBorders>
              <w:top w:val="nil"/>
              <w:left w:val="nil"/>
              <w:bottom w:val="single" w:sz="4" w:space="0" w:color="auto"/>
              <w:right w:val="nil"/>
            </w:tcBorders>
            <w:shd w:val="clear" w:color="auto" w:fill="auto"/>
            <w:vAlign w:val="bottom"/>
          </w:tcPr>
          <w:p w14:paraId="1CDB33BC" w14:textId="77777777" w:rsidR="00213F73" w:rsidRPr="005001D6" w:rsidRDefault="00213F73"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0.2 ± 0.1</w:t>
            </w:r>
          </w:p>
        </w:tc>
        <w:tc>
          <w:tcPr>
            <w:tcW w:w="593" w:type="pct"/>
            <w:gridSpan w:val="2"/>
            <w:tcBorders>
              <w:top w:val="nil"/>
              <w:left w:val="nil"/>
              <w:bottom w:val="single" w:sz="4" w:space="0" w:color="auto"/>
              <w:right w:val="nil"/>
            </w:tcBorders>
            <w:shd w:val="clear" w:color="auto" w:fill="auto"/>
            <w:vAlign w:val="bottom"/>
          </w:tcPr>
          <w:p w14:paraId="205C6B0C" w14:textId="77777777" w:rsidR="00213F73" w:rsidRPr="005001D6" w:rsidRDefault="00213F73"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3.0 ± 1.0</w:t>
            </w:r>
          </w:p>
        </w:tc>
        <w:tc>
          <w:tcPr>
            <w:tcW w:w="410" w:type="pct"/>
            <w:tcBorders>
              <w:top w:val="nil"/>
              <w:left w:val="nil"/>
              <w:bottom w:val="single" w:sz="4" w:space="0" w:color="auto"/>
              <w:right w:val="nil"/>
            </w:tcBorders>
            <w:shd w:val="clear" w:color="auto" w:fill="auto"/>
          </w:tcPr>
          <w:p w14:paraId="1483643C" w14:textId="77777777" w:rsidR="00213F73" w:rsidRPr="005001D6" w:rsidRDefault="00213F73"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1974</w:t>
            </w:r>
          </w:p>
        </w:tc>
        <w:tc>
          <w:tcPr>
            <w:tcW w:w="578" w:type="pct"/>
            <w:tcBorders>
              <w:top w:val="nil"/>
              <w:left w:val="nil"/>
              <w:bottom w:val="single" w:sz="4" w:space="0" w:color="auto"/>
              <w:right w:val="nil"/>
            </w:tcBorders>
            <w:shd w:val="clear" w:color="auto" w:fill="auto"/>
            <w:vAlign w:val="bottom"/>
          </w:tcPr>
          <w:p w14:paraId="0FA9001B" w14:textId="137956C8" w:rsidR="00213F73" w:rsidRPr="005001D6" w:rsidRDefault="00213F73"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b/>
                <w:bCs/>
                <w:sz w:val="14"/>
                <w:szCs w:val="14"/>
              </w:rPr>
              <w:t>&lt;0.01 (23.1)</w:t>
            </w:r>
          </w:p>
        </w:tc>
        <w:tc>
          <w:tcPr>
            <w:tcW w:w="510" w:type="pct"/>
            <w:tcBorders>
              <w:top w:val="nil"/>
              <w:left w:val="nil"/>
              <w:bottom w:val="single" w:sz="4" w:space="0" w:color="auto"/>
              <w:right w:val="nil"/>
            </w:tcBorders>
            <w:shd w:val="clear" w:color="auto" w:fill="auto"/>
            <w:vAlign w:val="bottom"/>
          </w:tcPr>
          <w:p w14:paraId="6175C906" w14:textId="21F0455B" w:rsidR="00213F73" w:rsidRPr="005001D6" w:rsidRDefault="00717931"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0.67 (0.3)</w:t>
            </w:r>
          </w:p>
        </w:tc>
        <w:tc>
          <w:tcPr>
            <w:tcW w:w="496" w:type="pct"/>
            <w:tcBorders>
              <w:top w:val="nil"/>
              <w:left w:val="nil"/>
              <w:bottom w:val="single" w:sz="4" w:space="0" w:color="auto"/>
              <w:right w:val="nil"/>
            </w:tcBorders>
          </w:tcPr>
          <w:p w14:paraId="6489E763" w14:textId="4F66642D" w:rsidR="00213F73" w:rsidRPr="005001D6" w:rsidRDefault="00717931"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0.87 (0.3)</w:t>
            </w:r>
          </w:p>
        </w:tc>
      </w:tr>
      <w:bookmarkEnd w:id="12"/>
    </w:tbl>
    <w:p w14:paraId="6743899C" w14:textId="77777777" w:rsidR="000D3737" w:rsidRPr="005001D6" w:rsidRDefault="000D3737" w:rsidP="00173FAF">
      <w:pPr>
        <w:spacing w:line="480" w:lineRule="auto"/>
        <w:jc w:val="both"/>
        <w:rPr>
          <w:b/>
          <w:bCs/>
        </w:rPr>
      </w:pPr>
    </w:p>
    <w:p w14:paraId="138A9D5C" w14:textId="77777777" w:rsidR="00F23B69" w:rsidRPr="005001D6" w:rsidRDefault="00F23B69" w:rsidP="00173FAF">
      <w:pPr>
        <w:spacing w:line="480" w:lineRule="auto"/>
        <w:jc w:val="both"/>
        <w:rPr>
          <w:b/>
          <w:bCs/>
        </w:rPr>
      </w:pPr>
    </w:p>
    <w:p w14:paraId="34A3C6D4" w14:textId="6AE56DC4" w:rsidR="00F23B69" w:rsidRPr="005001D6" w:rsidRDefault="00F23B69" w:rsidP="00173FAF">
      <w:pPr>
        <w:spacing w:line="480" w:lineRule="auto"/>
        <w:jc w:val="both"/>
        <w:rPr>
          <w:b/>
          <w:bCs/>
        </w:rPr>
      </w:pPr>
    </w:p>
    <w:p w14:paraId="7EB0E392" w14:textId="08D58707" w:rsidR="00213F73" w:rsidRPr="005001D6" w:rsidRDefault="00213F73" w:rsidP="00173FAF">
      <w:pPr>
        <w:spacing w:line="480" w:lineRule="auto"/>
        <w:jc w:val="both"/>
        <w:rPr>
          <w:b/>
          <w:bCs/>
        </w:rPr>
      </w:pPr>
    </w:p>
    <w:p w14:paraId="02A9CD1F" w14:textId="472ECCDE" w:rsidR="00213F73" w:rsidRPr="005001D6" w:rsidRDefault="00213F73" w:rsidP="00173FAF">
      <w:pPr>
        <w:spacing w:line="480" w:lineRule="auto"/>
        <w:jc w:val="both"/>
        <w:rPr>
          <w:b/>
          <w:bCs/>
        </w:rPr>
      </w:pPr>
    </w:p>
    <w:p w14:paraId="19927446" w14:textId="60A58E30" w:rsidR="00AF08A4" w:rsidRPr="005001D6" w:rsidRDefault="00A451C2" w:rsidP="00173FAF">
      <w:pPr>
        <w:spacing w:line="480" w:lineRule="auto"/>
        <w:jc w:val="both"/>
      </w:pPr>
      <w:r w:rsidRPr="005001D6">
        <w:rPr>
          <w:b/>
          <w:bCs/>
        </w:rPr>
        <w:lastRenderedPageBreak/>
        <w:t xml:space="preserve">Table </w:t>
      </w:r>
      <w:r w:rsidR="009A358E" w:rsidRPr="005001D6">
        <w:rPr>
          <w:b/>
          <w:bCs/>
        </w:rPr>
        <w:t>S</w:t>
      </w:r>
      <w:r w:rsidRPr="005001D6">
        <w:rPr>
          <w:b/>
          <w:bCs/>
        </w:rPr>
        <w:t xml:space="preserve">2 | </w:t>
      </w:r>
      <w:r w:rsidR="00DF2FA9" w:rsidRPr="005001D6">
        <w:rPr>
          <w:b/>
          <w:bCs/>
        </w:rPr>
        <w:t>S</w:t>
      </w:r>
      <w:r w:rsidRPr="005001D6">
        <w:rPr>
          <w:b/>
          <w:bCs/>
        </w:rPr>
        <w:t xml:space="preserve">oil </w:t>
      </w:r>
      <w:bookmarkStart w:id="13" w:name="_Hlk48231134"/>
      <w:r w:rsidRPr="005001D6">
        <w:rPr>
          <w:b/>
          <w:bCs/>
        </w:rPr>
        <w:t>functioning and biogeochem</w:t>
      </w:r>
      <w:r w:rsidR="00DF2FA9" w:rsidRPr="005001D6">
        <w:rPr>
          <w:b/>
          <w:bCs/>
        </w:rPr>
        <w:t xml:space="preserve">istry </w:t>
      </w:r>
      <w:bookmarkEnd w:id="13"/>
      <w:r w:rsidRPr="005001D6">
        <w:rPr>
          <w:b/>
          <w:bCs/>
        </w:rPr>
        <w:t>in the landscape-scale experiment.</w:t>
      </w:r>
      <w:r w:rsidRPr="005001D6">
        <w:t xml:space="preserve"> </w:t>
      </w:r>
      <w:bookmarkStart w:id="14" w:name="_Hlk48292075"/>
      <w:r w:rsidR="00AF08A4" w:rsidRPr="005001D6">
        <w:t xml:space="preserve">Means (± SE), % change (Δ) from the grass-control to the shrub-invaded treatment (as % of grass-control, based on unrounded means), </w:t>
      </w:r>
      <w:r w:rsidR="00AF08A4" w:rsidRPr="005001D6">
        <w:rPr>
          <w:i/>
          <w:iCs/>
        </w:rPr>
        <w:t>p</w:t>
      </w:r>
      <w:r w:rsidR="00AF08A4" w:rsidRPr="005001D6">
        <w:t xml:space="preserve">, and χ2 values for </w:t>
      </w:r>
      <w:r w:rsidR="007F6C8B" w:rsidRPr="005001D6">
        <w:t xml:space="preserve">the </w:t>
      </w:r>
      <w:r w:rsidR="00AF08A4" w:rsidRPr="005001D6">
        <w:t>vegetation</w:t>
      </w:r>
      <w:r w:rsidR="007F6C8B" w:rsidRPr="005001D6">
        <w:t xml:space="preserve"> treatment,</w:t>
      </w:r>
      <w:r w:rsidR="00AF08A4" w:rsidRPr="005001D6">
        <w:t xml:space="preserve"> snowmelt timing, and their interaction. </w:t>
      </w:r>
      <w:r w:rsidR="001F38FD" w:rsidRPr="005001D6">
        <w:t>Potential enzyme activities</w:t>
      </w:r>
      <w:r w:rsidR="00AF08A4" w:rsidRPr="005001D6">
        <w:t xml:space="preserve"> </w:t>
      </w:r>
      <w:r w:rsidR="001F38FD" w:rsidRPr="005001D6">
        <w:t xml:space="preserve">in </w:t>
      </w:r>
      <w:proofErr w:type="spellStart"/>
      <w:r w:rsidR="00AF08A4" w:rsidRPr="005001D6">
        <w:t>nmol</w:t>
      </w:r>
      <w:proofErr w:type="spellEnd"/>
      <w:r w:rsidR="00AF08A4" w:rsidRPr="005001D6">
        <w:t xml:space="preserve"> </w:t>
      </w:r>
      <w:r w:rsidR="001F38FD" w:rsidRPr="005001D6">
        <w:t>prod.</w:t>
      </w:r>
      <w:r w:rsidR="00AF08A4" w:rsidRPr="005001D6">
        <w:t xml:space="preserve"> </w:t>
      </w:r>
      <w:proofErr w:type="gramStart"/>
      <w:r w:rsidR="00AF08A4" w:rsidRPr="005001D6">
        <w:t>g</w:t>
      </w:r>
      <w:r w:rsidR="00AF08A4" w:rsidRPr="005001D6">
        <w:rPr>
          <w:vertAlign w:val="superscript"/>
        </w:rPr>
        <w:t>-1</w:t>
      </w:r>
      <w:proofErr w:type="gramEnd"/>
      <w:r w:rsidR="00AF08A4" w:rsidRPr="005001D6">
        <w:t xml:space="preserve"> dry soil</w:t>
      </w:r>
      <w:r w:rsidR="001F38FD" w:rsidRPr="005001D6">
        <w:t xml:space="preserve"> h</w:t>
      </w:r>
      <w:r w:rsidR="001F38FD" w:rsidRPr="005001D6">
        <w:rPr>
          <w:vertAlign w:val="superscript"/>
        </w:rPr>
        <w:t>-1</w:t>
      </w:r>
      <w:r w:rsidR="001F38FD" w:rsidRPr="005001D6">
        <w:t>, except Urease (µg NH4</w:t>
      </w:r>
      <w:r w:rsidR="001F38FD" w:rsidRPr="005001D6">
        <w:rPr>
          <w:vertAlign w:val="superscript"/>
        </w:rPr>
        <w:t>+</w:t>
      </w:r>
      <w:r w:rsidR="001F38FD" w:rsidRPr="005001D6">
        <w:t xml:space="preserve"> g</w:t>
      </w:r>
      <w:r w:rsidR="001F38FD" w:rsidRPr="005001D6">
        <w:rPr>
          <w:vertAlign w:val="superscript"/>
        </w:rPr>
        <w:t>-1</w:t>
      </w:r>
      <w:r w:rsidR="001F38FD" w:rsidRPr="005001D6">
        <w:t xml:space="preserve"> dry soil h</w:t>
      </w:r>
      <w:r w:rsidR="001F38FD" w:rsidRPr="005001D6">
        <w:rPr>
          <w:vertAlign w:val="superscript"/>
        </w:rPr>
        <w:t>-1</w:t>
      </w:r>
      <w:r w:rsidR="001F38FD" w:rsidRPr="005001D6">
        <w:t>)</w:t>
      </w:r>
      <w:r w:rsidR="00AF08A4" w:rsidRPr="005001D6">
        <w:t>.</w:t>
      </w:r>
      <w:r w:rsidR="001F38FD" w:rsidRPr="005001D6">
        <w:t xml:space="preserve"> Microbial biomass (MB)-specific enzyme activities in </w:t>
      </w:r>
      <w:proofErr w:type="spellStart"/>
      <w:r w:rsidR="001F38FD" w:rsidRPr="005001D6">
        <w:t>nmol</w:t>
      </w:r>
      <w:proofErr w:type="spellEnd"/>
      <w:r w:rsidR="001F38FD" w:rsidRPr="005001D6">
        <w:t xml:space="preserve"> prod µg</w:t>
      </w:r>
      <w:r w:rsidR="001F38FD" w:rsidRPr="005001D6">
        <w:rPr>
          <w:vertAlign w:val="superscript"/>
        </w:rPr>
        <w:t>-1</w:t>
      </w:r>
      <w:r w:rsidR="001F38FD" w:rsidRPr="005001D6">
        <w:t xml:space="preserve"> MBC h</w:t>
      </w:r>
      <w:r w:rsidR="001F38FD" w:rsidRPr="005001D6">
        <w:rPr>
          <w:vertAlign w:val="superscript"/>
        </w:rPr>
        <w:t>-1</w:t>
      </w:r>
      <w:r w:rsidR="001F38FD" w:rsidRPr="005001D6">
        <w:t>, except Urease (µg NH4</w:t>
      </w:r>
      <w:r w:rsidR="001F38FD" w:rsidRPr="005001D6">
        <w:rPr>
          <w:vertAlign w:val="superscript"/>
        </w:rPr>
        <w:t>+</w:t>
      </w:r>
      <w:r w:rsidR="001F38FD" w:rsidRPr="005001D6">
        <w:t xml:space="preserve"> µg</w:t>
      </w:r>
      <w:r w:rsidR="001F38FD" w:rsidRPr="005001D6">
        <w:rPr>
          <w:vertAlign w:val="superscript"/>
        </w:rPr>
        <w:t>-1</w:t>
      </w:r>
      <w:r w:rsidR="001F38FD" w:rsidRPr="005001D6">
        <w:t xml:space="preserve"> MBC h</w:t>
      </w:r>
      <w:r w:rsidR="001F38FD" w:rsidRPr="005001D6">
        <w:rPr>
          <w:vertAlign w:val="superscript"/>
        </w:rPr>
        <w:t>-1</w:t>
      </w:r>
      <w:r w:rsidR="001F38FD" w:rsidRPr="005001D6">
        <w:t xml:space="preserve">). </w:t>
      </w:r>
      <w:r w:rsidR="00B94707" w:rsidRPr="005001D6">
        <w:t xml:space="preserve">Due to the large number of </w:t>
      </w:r>
      <w:r w:rsidR="000B261A" w:rsidRPr="005001D6">
        <w:t>variables</w:t>
      </w:r>
      <w:r w:rsidR="00B94707" w:rsidRPr="005001D6">
        <w:t xml:space="preserve"> analysed, only</w:t>
      </w:r>
      <w:r w:rsidR="003828E6" w:rsidRPr="005001D6">
        <w:t xml:space="preserve"> those</w:t>
      </w:r>
      <w:r w:rsidR="00B94707" w:rsidRPr="005001D6">
        <w:t xml:space="preserve"> </w:t>
      </w:r>
      <w:r w:rsidR="0075534C" w:rsidRPr="005001D6">
        <w:t>with</w:t>
      </w:r>
      <w:r w:rsidR="00AF08A4" w:rsidRPr="005001D6">
        <w:t xml:space="preserve"> significant effects are shown. Significant differences (</w:t>
      </w:r>
      <w:r w:rsidR="00AF08A4" w:rsidRPr="005001D6">
        <w:rPr>
          <w:i/>
          <w:iCs/>
        </w:rPr>
        <w:t>p</w:t>
      </w:r>
      <w:r w:rsidR="00AF08A4" w:rsidRPr="005001D6">
        <w:t xml:space="preserve"> &lt; 0.05) in bold, *log</w:t>
      </w:r>
      <w:r w:rsidR="00AF08A4" w:rsidRPr="005001D6">
        <w:rPr>
          <w:vertAlign w:val="subscript"/>
        </w:rPr>
        <w:t>10</w:t>
      </w:r>
      <w:r w:rsidR="00AF08A4" w:rsidRPr="005001D6">
        <w:t xml:space="preserve"> transformed for analysis. </w:t>
      </w:r>
      <w:bookmarkEnd w:id="14"/>
    </w:p>
    <w:p w14:paraId="59E25A6C" w14:textId="77777777" w:rsidR="00AF08A4" w:rsidRPr="005001D6" w:rsidRDefault="00AF08A4" w:rsidP="00173FAF">
      <w:pPr>
        <w:spacing w:line="360" w:lineRule="auto"/>
        <w:jc w:val="both"/>
        <w:rPr>
          <w:rFonts w:ascii="Arial" w:hAnsi="Arial" w:cs="Arial"/>
          <w:b/>
          <w:bCs/>
          <w:sz w:val="14"/>
          <w:szCs w:val="14"/>
        </w:rPr>
      </w:pPr>
    </w:p>
    <w:tbl>
      <w:tblPr>
        <w:tblStyle w:val="TableGrid"/>
        <w:tblW w:w="5028" w:type="pct"/>
        <w:tblLook w:val="04A0" w:firstRow="1" w:lastRow="0" w:firstColumn="1" w:lastColumn="0" w:noHBand="0" w:noVBand="1"/>
      </w:tblPr>
      <w:tblGrid>
        <w:gridCol w:w="1842"/>
        <w:gridCol w:w="1280"/>
        <w:gridCol w:w="1135"/>
        <w:gridCol w:w="1126"/>
        <w:gridCol w:w="713"/>
        <w:gridCol w:w="993"/>
        <w:gridCol w:w="991"/>
        <w:gridCol w:w="997"/>
      </w:tblGrid>
      <w:tr w:rsidR="005001D6" w:rsidRPr="005001D6" w14:paraId="04E0B31B" w14:textId="77777777" w:rsidTr="00BF4696">
        <w:tc>
          <w:tcPr>
            <w:tcW w:w="1015" w:type="pct"/>
            <w:tcBorders>
              <w:top w:val="single" w:sz="4" w:space="0" w:color="auto"/>
              <w:left w:val="nil"/>
              <w:bottom w:val="single" w:sz="4" w:space="0" w:color="auto"/>
              <w:right w:val="nil"/>
            </w:tcBorders>
          </w:tcPr>
          <w:p w14:paraId="7CD6BA75" w14:textId="77777777" w:rsidR="00B94707" w:rsidRPr="005001D6" w:rsidRDefault="00B94707" w:rsidP="00173FAF">
            <w:pPr>
              <w:widowControl w:val="0"/>
              <w:autoSpaceDE w:val="0"/>
              <w:autoSpaceDN w:val="0"/>
              <w:adjustRightInd w:val="0"/>
              <w:spacing w:line="360" w:lineRule="auto"/>
              <w:jc w:val="both"/>
              <w:rPr>
                <w:rFonts w:ascii="Arial" w:hAnsi="Arial" w:cs="Arial"/>
                <w:sz w:val="14"/>
                <w:szCs w:val="14"/>
              </w:rPr>
            </w:pPr>
          </w:p>
          <w:p w14:paraId="54BC1636" w14:textId="77777777" w:rsidR="00B94707" w:rsidRPr="005001D6" w:rsidRDefault="00B94707" w:rsidP="00173FAF">
            <w:pPr>
              <w:widowControl w:val="0"/>
              <w:autoSpaceDE w:val="0"/>
              <w:autoSpaceDN w:val="0"/>
              <w:adjustRightInd w:val="0"/>
              <w:spacing w:line="360" w:lineRule="auto"/>
              <w:jc w:val="both"/>
              <w:rPr>
                <w:rFonts w:ascii="Arial" w:hAnsi="Arial" w:cs="Arial"/>
                <w:sz w:val="14"/>
                <w:szCs w:val="14"/>
              </w:rPr>
            </w:pPr>
          </w:p>
          <w:p w14:paraId="4EACEB42" w14:textId="0DBA93FC" w:rsidR="00B94707" w:rsidRPr="005001D6" w:rsidRDefault="00B94707"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POTENTIAL ENZYME ACTIVITY</w:t>
            </w:r>
          </w:p>
        </w:tc>
        <w:tc>
          <w:tcPr>
            <w:tcW w:w="705" w:type="pct"/>
            <w:tcBorders>
              <w:top w:val="single" w:sz="4" w:space="0" w:color="auto"/>
              <w:left w:val="nil"/>
              <w:bottom w:val="single" w:sz="4" w:space="0" w:color="auto"/>
              <w:right w:val="nil"/>
            </w:tcBorders>
          </w:tcPr>
          <w:p w14:paraId="1DDC7A0F" w14:textId="77777777" w:rsidR="00B94707" w:rsidRPr="005001D6" w:rsidRDefault="00B94707"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Mean ± SE Shrub-invaded</w:t>
            </w:r>
          </w:p>
          <w:p w14:paraId="1B5EC588" w14:textId="2E43503E" w:rsidR="00B94707" w:rsidRPr="005001D6" w:rsidRDefault="00B94707"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(n = 23)</w:t>
            </w:r>
          </w:p>
        </w:tc>
        <w:tc>
          <w:tcPr>
            <w:tcW w:w="625" w:type="pct"/>
            <w:tcBorders>
              <w:top w:val="single" w:sz="4" w:space="0" w:color="auto"/>
              <w:left w:val="nil"/>
              <w:bottom w:val="single" w:sz="4" w:space="0" w:color="auto"/>
              <w:right w:val="nil"/>
            </w:tcBorders>
          </w:tcPr>
          <w:p w14:paraId="6BE41972" w14:textId="77777777" w:rsidR="00B94707" w:rsidRPr="005001D6" w:rsidRDefault="00B94707" w:rsidP="00173FAF">
            <w:pPr>
              <w:widowControl w:val="0"/>
              <w:autoSpaceDE w:val="0"/>
              <w:autoSpaceDN w:val="0"/>
              <w:adjustRightInd w:val="0"/>
              <w:spacing w:line="360" w:lineRule="auto"/>
              <w:jc w:val="both"/>
              <w:rPr>
                <w:rFonts w:ascii="Arial" w:hAnsi="Arial" w:cs="Arial"/>
                <w:sz w:val="14"/>
                <w:szCs w:val="14"/>
              </w:rPr>
            </w:pPr>
          </w:p>
          <w:p w14:paraId="28B10AD9" w14:textId="77777777" w:rsidR="00B94707" w:rsidRPr="005001D6" w:rsidRDefault="00B94707"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Grass-control</w:t>
            </w:r>
          </w:p>
          <w:p w14:paraId="14847206" w14:textId="2AF9F7FB" w:rsidR="00B94707" w:rsidRPr="005001D6" w:rsidRDefault="00B94707"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(n = 24)</w:t>
            </w:r>
          </w:p>
        </w:tc>
        <w:tc>
          <w:tcPr>
            <w:tcW w:w="620" w:type="pct"/>
            <w:tcBorders>
              <w:top w:val="single" w:sz="4" w:space="0" w:color="auto"/>
              <w:left w:val="nil"/>
              <w:bottom w:val="single" w:sz="4" w:space="0" w:color="auto"/>
              <w:right w:val="nil"/>
            </w:tcBorders>
          </w:tcPr>
          <w:p w14:paraId="0B0A149B" w14:textId="77777777" w:rsidR="00B94707" w:rsidRPr="005001D6" w:rsidRDefault="00B94707" w:rsidP="00173FAF">
            <w:pPr>
              <w:widowControl w:val="0"/>
              <w:autoSpaceDE w:val="0"/>
              <w:autoSpaceDN w:val="0"/>
              <w:adjustRightInd w:val="0"/>
              <w:spacing w:line="360" w:lineRule="auto"/>
              <w:jc w:val="both"/>
              <w:rPr>
                <w:rFonts w:ascii="Arial" w:hAnsi="Arial" w:cs="Arial"/>
                <w:sz w:val="14"/>
                <w:szCs w:val="14"/>
              </w:rPr>
            </w:pPr>
          </w:p>
          <w:p w14:paraId="1CC54771" w14:textId="77777777" w:rsidR="00B94707" w:rsidRPr="005001D6" w:rsidRDefault="00B94707"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 xml:space="preserve">Shrub removal </w:t>
            </w:r>
          </w:p>
          <w:p w14:paraId="5D6EFE2E" w14:textId="57527851" w:rsidR="00B94707" w:rsidRPr="005001D6" w:rsidRDefault="00B94707"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(n = 21)</w:t>
            </w:r>
          </w:p>
        </w:tc>
        <w:tc>
          <w:tcPr>
            <w:tcW w:w="393" w:type="pct"/>
            <w:tcBorders>
              <w:top w:val="single" w:sz="4" w:space="0" w:color="auto"/>
              <w:left w:val="nil"/>
              <w:bottom w:val="single" w:sz="4" w:space="0" w:color="auto"/>
              <w:right w:val="nil"/>
            </w:tcBorders>
          </w:tcPr>
          <w:p w14:paraId="22BDC721" w14:textId="77777777" w:rsidR="00B94707" w:rsidRPr="005001D6" w:rsidRDefault="00B94707"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 xml:space="preserve">Δ grass </w:t>
            </w:r>
          </w:p>
          <w:p w14:paraId="322A047F" w14:textId="658CF46F" w:rsidR="00B94707" w:rsidRPr="005001D6" w:rsidRDefault="00B94707" w:rsidP="00173FAF">
            <w:pPr>
              <w:widowControl w:val="0"/>
              <w:autoSpaceDE w:val="0"/>
              <w:autoSpaceDN w:val="0"/>
              <w:adjustRightInd w:val="0"/>
              <w:spacing w:line="360" w:lineRule="auto"/>
              <w:jc w:val="both"/>
              <w:rPr>
                <w:rFonts w:ascii="Arial" w:hAnsi="Arial" w:cs="Arial"/>
                <w:sz w:val="14"/>
                <w:szCs w:val="14"/>
              </w:rPr>
            </w:pPr>
            <w:proofErr w:type="gramStart"/>
            <w:r w:rsidRPr="005001D6">
              <w:rPr>
                <w:rFonts w:ascii="Arial" w:hAnsi="Arial" w:cs="Arial"/>
                <w:sz w:val="14"/>
                <w:szCs w:val="14"/>
              </w:rPr>
              <w:t>to</w:t>
            </w:r>
            <w:proofErr w:type="gramEnd"/>
            <w:r w:rsidRPr="005001D6">
              <w:rPr>
                <w:rFonts w:ascii="Arial" w:hAnsi="Arial" w:cs="Arial"/>
                <w:sz w:val="14"/>
                <w:szCs w:val="14"/>
              </w:rPr>
              <w:t xml:space="preserve"> shrub (%)</w:t>
            </w:r>
          </w:p>
        </w:tc>
        <w:tc>
          <w:tcPr>
            <w:tcW w:w="547" w:type="pct"/>
            <w:tcBorders>
              <w:top w:val="single" w:sz="4" w:space="0" w:color="auto"/>
              <w:left w:val="nil"/>
              <w:bottom w:val="single" w:sz="4" w:space="0" w:color="auto"/>
              <w:right w:val="nil"/>
            </w:tcBorders>
          </w:tcPr>
          <w:p w14:paraId="6B8A300C" w14:textId="77777777" w:rsidR="00B94707" w:rsidRPr="005001D6" w:rsidRDefault="00B94707" w:rsidP="00173FAF">
            <w:pPr>
              <w:widowControl w:val="0"/>
              <w:autoSpaceDE w:val="0"/>
              <w:autoSpaceDN w:val="0"/>
              <w:adjustRightInd w:val="0"/>
              <w:spacing w:line="360" w:lineRule="auto"/>
              <w:jc w:val="both"/>
              <w:rPr>
                <w:rFonts w:ascii="Arial" w:hAnsi="Arial" w:cs="Arial"/>
                <w:i/>
                <w:iCs/>
                <w:sz w:val="14"/>
                <w:szCs w:val="14"/>
              </w:rPr>
            </w:pPr>
            <w:r w:rsidRPr="005001D6">
              <w:rPr>
                <w:rFonts w:ascii="Arial" w:hAnsi="Arial" w:cs="Arial"/>
                <w:i/>
                <w:iCs/>
                <w:sz w:val="14"/>
                <w:szCs w:val="14"/>
              </w:rPr>
              <w:t>Veg</w:t>
            </w:r>
          </w:p>
          <w:p w14:paraId="2F622184" w14:textId="77777777" w:rsidR="00B94707" w:rsidRPr="005001D6" w:rsidRDefault="00B94707"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i/>
                <w:iCs/>
                <w:sz w:val="14"/>
                <w:szCs w:val="14"/>
              </w:rPr>
              <w:t>p (</w:t>
            </w:r>
            <w:r w:rsidRPr="005001D6">
              <w:rPr>
                <w:rFonts w:ascii="Arial" w:hAnsi="Arial" w:cs="Arial"/>
                <w:sz w:val="14"/>
                <w:szCs w:val="14"/>
              </w:rPr>
              <w:t>Χ</w:t>
            </w:r>
            <w:r w:rsidRPr="005001D6">
              <w:rPr>
                <w:rFonts w:ascii="Arial" w:hAnsi="Arial" w:cs="Arial"/>
                <w:sz w:val="14"/>
                <w:szCs w:val="14"/>
                <w:vertAlign w:val="superscript"/>
              </w:rPr>
              <w:t>2</w:t>
            </w:r>
            <w:r w:rsidRPr="005001D6">
              <w:rPr>
                <w:rFonts w:ascii="Arial" w:hAnsi="Arial" w:cs="Arial"/>
                <w:sz w:val="14"/>
                <w:szCs w:val="14"/>
              </w:rPr>
              <w:t>)</w:t>
            </w:r>
          </w:p>
          <w:p w14:paraId="7C6998C4" w14:textId="62AC80D2" w:rsidR="00B94707" w:rsidRPr="005001D6" w:rsidRDefault="00B94707" w:rsidP="00173FAF">
            <w:pPr>
              <w:widowControl w:val="0"/>
              <w:autoSpaceDE w:val="0"/>
              <w:autoSpaceDN w:val="0"/>
              <w:adjustRightInd w:val="0"/>
              <w:spacing w:line="360" w:lineRule="auto"/>
              <w:jc w:val="both"/>
              <w:rPr>
                <w:rFonts w:ascii="Arial" w:hAnsi="Arial" w:cs="Arial"/>
                <w:i/>
                <w:iCs/>
                <w:sz w:val="14"/>
                <w:szCs w:val="14"/>
              </w:rPr>
            </w:pPr>
            <w:proofErr w:type="spellStart"/>
            <w:r w:rsidRPr="005001D6">
              <w:rPr>
                <w:rFonts w:ascii="Arial" w:hAnsi="Arial" w:cs="Arial"/>
                <w:sz w:val="14"/>
                <w:szCs w:val="14"/>
              </w:rPr>
              <w:t>Df</w:t>
            </w:r>
            <w:proofErr w:type="spellEnd"/>
            <w:r w:rsidRPr="005001D6">
              <w:rPr>
                <w:rFonts w:ascii="Arial" w:hAnsi="Arial" w:cs="Arial"/>
                <w:sz w:val="14"/>
                <w:szCs w:val="14"/>
              </w:rPr>
              <w:t xml:space="preserve"> = 2</w:t>
            </w:r>
          </w:p>
        </w:tc>
        <w:tc>
          <w:tcPr>
            <w:tcW w:w="546" w:type="pct"/>
            <w:tcBorders>
              <w:top w:val="single" w:sz="4" w:space="0" w:color="auto"/>
              <w:left w:val="nil"/>
              <w:bottom w:val="single" w:sz="4" w:space="0" w:color="auto"/>
              <w:right w:val="nil"/>
            </w:tcBorders>
          </w:tcPr>
          <w:p w14:paraId="0ED6D727" w14:textId="77777777" w:rsidR="00B94707" w:rsidRPr="005001D6" w:rsidRDefault="00B94707" w:rsidP="00173FAF">
            <w:pPr>
              <w:widowControl w:val="0"/>
              <w:autoSpaceDE w:val="0"/>
              <w:autoSpaceDN w:val="0"/>
              <w:adjustRightInd w:val="0"/>
              <w:spacing w:line="360" w:lineRule="auto"/>
              <w:jc w:val="both"/>
              <w:rPr>
                <w:rFonts w:ascii="Arial" w:hAnsi="Arial" w:cs="Arial"/>
                <w:i/>
                <w:iCs/>
                <w:sz w:val="14"/>
                <w:szCs w:val="14"/>
              </w:rPr>
            </w:pPr>
            <w:r w:rsidRPr="005001D6">
              <w:rPr>
                <w:rFonts w:ascii="Arial" w:hAnsi="Arial" w:cs="Arial"/>
                <w:i/>
                <w:iCs/>
                <w:sz w:val="14"/>
                <w:szCs w:val="14"/>
              </w:rPr>
              <w:t>Snowmelt timing</w:t>
            </w:r>
          </w:p>
          <w:p w14:paraId="6308A4FE" w14:textId="77777777" w:rsidR="00B94707" w:rsidRPr="005001D6" w:rsidRDefault="00B94707"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i/>
                <w:iCs/>
                <w:sz w:val="14"/>
                <w:szCs w:val="14"/>
              </w:rPr>
              <w:t>p (</w:t>
            </w:r>
            <w:r w:rsidRPr="005001D6">
              <w:rPr>
                <w:rFonts w:ascii="Arial" w:hAnsi="Arial" w:cs="Arial"/>
                <w:sz w:val="14"/>
                <w:szCs w:val="14"/>
              </w:rPr>
              <w:t>Χ</w:t>
            </w:r>
            <w:r w:rsidRPr="005001D6">
              <w:rPr>
                <w:rFonts w:ascii="Arial" w:hAnsi="Arial" w:cs="Arial"/>
                <w:sz w:val="14"/>
                <w:szCs w:val="14"/>
                <w:vertAlign w:val="superscript"/>
              </w:rPr>
              <w:t>2</w:t>
            </w:r>
            <w:r w:rsidRPr="005001D6">
              <w:rPr>
                <w:rFonts w:ascii="Arial" w:hAnsi="Arial" w:cs="Arial"/>
                <w:sz w:val="14"/>
                <w:szCs w:val="14"/>
              </w:rPr>
              <w:t>)</w:t>
            </w:r>
          </w:p>
          <w:p w14:paraId="51A33EC6" w14:textId="5DAE9C75" w:rsidR="00B94707" w:rsidRPr="005001D6" w:rsidRDefault="00B94707" w:rsidP="00173FAF">
            <w:pPr>
              <w:widowControl w:val="0"/>
              <w:autoSpaceDE w:val="0"/>
              <w:autoSpaceDN w:val="0"/>
              <w:adjustRightInd w:val="0"/>
              <w:spacing w:line="360" w:lineRule="auto"/>
              <w:jc w:val="both"/>
              <w:rPr>
                <w:rFonts w:ascii="Arial" w:hAnsi="Arial" w:cs="Arial"/>
                <w:i/>
                <w:iCs/>
                <w:sz w:val="14"/>
                <w:szCs w:val="14"/>
              </w:rPr>
            </w:pPr>
            <w:proofErr w:type="spellStart"/>
            <w:r w:rsidRPr="005001D6">
              <w:rPr>
                <w:rFonts w:ascii="Arial" w:hAnsi="Arial" w:cs="Arial"/>
                <w:sz w:val="14"/>
                <w:szCs w:val="14"/>
              </w:rPr>
              <w:t>Df</w:t>
            </w:r>
            <w:proofErr w:type="spellEnd"/>
            <w:r w:rsidRPr="005001D6">
              <w:rPr>
                <w:rFonts w:ascii="Arial" w:hAnsi="Arial" w:cs="Arial"/>
                <w:sz w:val="14"/>
                <w:szCs w:val="14"/>
              </w:rPr>
              <w:t xml:space="preserve"> = 1</w:t>
            </w:r>
          </w:p>
        </w:tc>
        <w:tc>
          <w:tcPr>
            <w:tcW w:w="549" w:type="pct"/>
            <w:tcBorders>
              <w:top w:val="single" w:sz="4" w:space="0" w:color="auto"/>
              <w:left w:val="nil"/>
              <w:bottom w:val="single" w:sz="4" w:space="0" w:color="auto"/>
              <w:right w:val="nil"/>
            </w:tcBorders>
          </w:tcPr>
          <w:p w14:paraId="0EB51BD5" w14:textId="77777777" w:rsidR="00B94707" w:rsidRPr="005001D6" w:rsidRDefault="00B94707"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Snowmelt</w:t>
            </w:r>
          </w:p>
          <w:p w14:paraId="54F9805C" w14:textId="77777777" w:rsidR="00B94707" w:rsidRPr="005001D6" w:rsidRDefault="00B94707"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timing*Veg</w:t>
            </w:r>
          </w:p>
          <w:p w14:paraId="02BE3C4A" w14:textId="77777777" w:rsidR="00B94707" w:rsidRPr="005001D6" w:rsidRDefault="00B94707"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i/>
                <w:iCs/>
                <w:sz w:val="14"/>
                <w:szCs w:val="14"/>
              </w:rPr>
              <w:t>p (</w:t>
            </w:r>
            <w:r w:rsidRPr="005001D6">
              <w:rPr>
                <w:rFonts w:ascii="Arial" w:hAnsi="Arial" w:cs="Arial"/>
                <w:sz w:val="14"/>
                <w:szCs w:val="14"/>
              </w:rPr>
              <w:t>Χ</w:t>
            </w:r>
            <w:r w:rsidRPr="005001D6">
              <w:rPr>
                <w:rFonts w:ascii="Arial" w:hAnsi="Arial" w:cs="Arial"/>
                <w:sz w:val="14"/>
                <w:szCs w:val="14"/>
                <w:vertAlign w:val="superscript"/>
              </w:rPr>
              <w:t>2</w:t>
            </w:r>
            <w:r w:rsidRPr="005001D6">
              <w:rPr>
                <w:rFonts w:ascii="Arial" w:hAnsi="Arial" w:cs="Arial"/>
                <w:sz w:val="14"/>
                <w:szCs w:val="14"/>
              </w:rPr>
              <w:t>)</w:t>
            </w:r>
          </w:p>
          <w:p w14:paraId="08DEA9D0" w14:textId="571BA7D1" w:rsidR="00B94707" w:rsidRPr="005001D6" w:rsidRDefault="00B94707" w:rsidP="00173FAF">
            <w:pPr>
              <w:widowControl w:val="0"/>
              <w:autoSpaceDE w:val="0"/>
              <w:autoSpaceDN w:val="0"/>
              <w:adjustRightInd w:val="0"/>
              <w:spacing w:line="360" w:lineRule="auto"/>
              <w:jc w:val="both"/>
              <w:rPr>
                <w:rFonts w:ascii="Arial" w:hAnsi="Arial" w:cs="Arial"/>
                <w:i/>
                <w:iCs/>
                <w:sz w:val="14"/>
                <w:szCs w:val="14"/>
              </w:rPr>
            </w:pPr>
            <w:proofErr w:type="spellStart"/>
            <w:r w:rsidRPr="005001D6">
              <w:rPr>
                <w:rFonts w:ascii="Arial" w:hAnsi="Arial" w:cs="Arial"/>
                <w:sz w:val="14"/>
                <w:szCs w:val="14"/>
              </w:rPr>
              <w:t>Df</w:t>
            </w:r>
            <w:proofErr w:type="spellEnd"/>
            <w:r w:rsidRPr="005001D6">
              <w:rPr>
                <w:rFonts w:ascii="Arial" w:hAnsi="Arial" w:cs="Arial"/>
                <w:sz w:val="14"/>
                <w:szCs w:val="14"/>
              </w:rPr>
              <w:t xml:space="preserve"> = 2</w:t>
            </w:r>
          </w:p>
        </w:tc>
      </w:tr>
      <w:tr w:rsidR="005001D6" w:rsidRPr="005001D6" w14:paraId="2805F065" w14:textId="77777777" w:rsidTr="00BF4696">
        <w:tc>
          <w:tcPr>
            <w:tcW w:w="1015" w:type="pct"/>
            <w:tcBorders>
              <w:top w:val="single" w:sz="4" w:space="0" w:color="auto"/>
              <w:left w:val="nil"/>
              <w:bottom w:val="nil"/>
              <w:right w:val="nil"/>
            </w:tcBorders>
          </w:tcPr>
          <w:p w14:paraId="3B43BD85" w14:textId="23554BB1" w:rsidR="00B94707" w:rsidRPr="005001D6" w:rsidRDefault="00B94707"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 xml:space="preserve">β-glucosidase </w:t>
            </w:r>
          </w:p>
        </w:tc>
        <w:tc>
          <w:tcPr>
            <w:tcW w:w="705" w:type="pct"/>
            <w:tcBorders>
              <w:top w:val="single" w:sz="4" w:space="0" w:color="auto"/>
              <w:left w:val="nil"/>
              <w:bottom w:val="nil"/>
              <w:right w:val="nil"/>
            </w:tcBorders>
            <w:shd w:val="clear" w:color="auto" w:fill="auto"/>
            <w:vAlign w:val="bottom"/>
          </w:tcPr>
          <w:p w14:paraId="30CA5F53" w14:textId="77777777" w:rsidR="00B94707" w:rsidRPr="005001D6" w:rsidRDefault="00B94707"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1368 ± 69</w:t>
            </w:r>
          </w:p>
        </w:tc>
        <w:tc>
          <w:tcPr>
            <w:tcW w:w="625" w:type="pct"/>
            <w:tcBorders>
              <w:top w:val="single" w:sz="4" w:space="0" w:color="auto"/>
              <w:left w:val="nil"/>
              <w:bottom w:val="nil"/>
              <w:right w:val="nil"/>
            </w:tcBorders>
            <w:shd w:val="clear" w:color="auto" w:fill="auto"/>
            <w:vAlign w:val="bottom"/>
          </w:tcPr>
          <w:p w14:paraId="5EB7BBFB" w14:textId="77777777" w:rsidR="00B94707" w:rsidRPr="005001D6" w:rsidRDefault="00B94707"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1109 ± 71</w:t>
            </w:r>
          </w:p>
        </w:tc>
        <w:tc>
          <w:tcPr>
            <w:tcW w:w="620" w:type="pct"/>
            <w:tcBorders>
              <w:top w:val="single" w:sz="4" w:space="0" w:color="auto"/>
              <w:left w:val="nil"/>
              <w:bottom w:val="nil"/>
              <w:right w:val="nil"/>
            </w:tcBorders>
            <w:shd w:val="clear" w:color="auto" w:fill="auto"/>
            <w:vAlign w:val="bottom"/>
          </w:tcPr>
          <w:p w14:paraId="49B37B4D" w14:textId="77777777" w:rsidR="00B94707" w:rsidRPr="005001D6" w:rsidRDefault="00B94707"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1383 ± 91</w:t>
            </w:r>
          </w:p>
        </w:tc>
        <w:tc>
          <w:tcPr>
            <w:tcW w:w="393" w:type="pct"/>
            <w:tcBorders>
              <w:top w:val="single" w:sz="4" w:space="0" w:color="auto"/>
              <w:left w:val="nil"/>
              <w:bottom w:val="nil"/>
              <w:right w:val="nil"/>
            </w:tcBorders>
            <w:shd w:val="clear" w:color="auto" w:fill="auto"/>
            <w:vAlign w:val="bottom"/>
          </w:tcPr>
          <w:p w14:paraId="058E2120" w14:textId="77777777" w:rsidR="00B94707" w:rsidRPr="005001D6" w:rsidRDefault="00B94707"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23</w:t>
            </w:r>
          </w:p>
        </w:tc>
        <w:tc>
          <w:tcPr>
            <w:tcW w:w="547" w:type="pct"/>
            <w:tcBorders>
              <w:top w:val="single" w:sz="4" w:space="0" w:color="auto"/>
              <w:left w:val="nil"/>
              <w:bottom w:val="nil"/>
              <w:right w:val="nil"/>
            </w:tcBorders>
            <w:shd w:val="clear" w:color="auto" w:fill="auto"/>
            <w:vAlign w:val="bottom"/>
          </w:tcPr>
          <w:p w14:paraId="4F39FF5A" w14:textId="5C94EA7F" w:rsidR="00B94707" w:rsidRPr="005001D6" w:rsidRDefault="00B94707" w:rsidP="00173FAF">
            <w:pPr>
              <w:widowControl w:val="0"/>
              <w:autoSpaceDE w:val="0"/>
              <w:autoSpaceDN w:val="0"/>
              <w:adjustRightInd w:val="0"/>
              <w:spacing w:line="360" w:lineRule="auto"/>
              <w:jc w:val="both"/>
              <w:rPr>
                <w:rFonts w:ascii="Arial" w:hAnsi="Arial" w:cs="Arial"/>
                <w:b/>
                <w:bCs/>
                <w:sz w:val="14"/>
                <w:szCs w:val="14"/>
              </w:rPr>
            </w:pPr>
            <w:r w:rsidRPr="005001D6">
              <w:rPr>
                <w:rFonts w:ascii="Arial" w:hAnsi="Arial" w:cs="Arial"/>
                <w:b/>
                <w:bCs/>
                <w:sz w:val="14"/>
                <w:szCs w:val="14"/>
              </w:rPr>
              <w:t>&lt;0.01 (14.6)</w:t>
            </w:r>
          </w:p>
        </w:tc>
        <w:tc>
          <w:tcPr>
            <w:tcW w:w="546" w:type="pct"/>
            <w:tcBorders>
              <w:top w:val="single" w:sz="4" w:space="0" w:color="auto"/>
              <w:left w:val="nil"/>
              <w:bottom w:val="nil"/>
              <w:right w:val="nil"/>
            </w:tcBorders>
          </w:tcPr>
          <w:p w14:paraId="2CC48E47" w14:textId="71945A31" w:rsidR="00B94707" w:rsidRPr="005001D6" w:rsidRDefault="00BA7FA8"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0.56 (0.6)</w:t>
            </w:r>
          </w:p>
        </w:tc>
        <w:tc>
          <w:tcPr>
            <w:tcW w:w="549" w:type="pct"/>
            <w:tcBorders>
              <w:top w:val="single" w:sz="4" w:space="0" w:color="auto"/>
              <w:left w:val="nil"/>
              <w:bottom w:val="nil"/>
              <w:right w:val="nil"/>
            </w:tcBorders>
          </w:tcPr>
          <w:p w14:paraId="6D6DE847" w14:textId="233BBFE5" w:rsidR="00B94707" w:rsidRPr="005001D6" w:rsidRDefault="00BA7FA8"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0.08 (6.9)</w:t>
            </w:r>
          </w:p>
        </w:tc>
      </w:tr>
      <w:tr w:rsidR="005001D6" w:rsidRPr="005001D6" w14:paraId="0A283B96" w14:textId="77777777" w:rsidTr="00BF4696">
        <w:trPr>
          <w:trHeight w:val="70"/>
        </w:trPr>
        <w:tc>
          <w:tcPr>
            <w:tcW w:w="1015" w:type="pct"/>
            <w:tcBorders>
              <w:top w:val="nil"/>
              <w:left w:val="nil"/>
              <w:bottom w:val="nil"/>
              <w:right w:val="nil"/>
            </w:tcBorders>
          </w:tcPr>
          <w:p w14:paraId="06E40A11" w14:textId="5B7688B0" w:rsidR="00B94707" w:rsidRPr="005001D6" w:rsidRDefault="00B94707" w:rsidP="00173FAF">
            <w:pPr>
              <w:widowControl w:val="0"/>
              <w:autoSpaceDE w:val="0"/>
              <w:autoSpaceDN w:val="0"/>
              <w:adjustRightInd w:val="0"/>
              <w:spacing w:line="360" w:lineRule="auto"/>
              <w:jc w:val="both"/>
              <w:rPr>
                <w:rFonts w:ascii="Arial" w:hAnsi="Arial" w:cs="Arial"/>
                <w:sz w:val="14"/>
                <w:szCs w:val="14"/>
              </w:rPr>
            </w:pPr>
            <w:proofErr w:type="spellStart"/>
            <w:r w:rsidRPr="005001D6">
              <w:rPr>
                <w:rFonts w:ascii="Arial" w:hAnsi="Arial" w:cs="Arial"/>
                <w:sz w:val="14"/>
                <w:szCs w:val="14"/>
              </w:rPr>
              <w:t>Cellobiohydrolase</w:t>
            </w:r>
            <w:proofErr w:type="spellEnd"/>
            <w:r w:rsidRPr="005001D6">
              <w:rPr>
                <w:rFonts w:ascii="Arial" w:hAnsi="Arial" w:cs="Arial"/>
                <w:sz w:val="14"/>
                <w:szCs w:val="14"/>
              </w:rPr>
              <w:t xml:space="preserve">* </w:t>
            </w:r>
          </w:p>
        </w:tc>
        <w:tc>
          <w:tcPr>
            <w:tcW w:w="705" w:type="pct"/>
            <w:tcBorders>
              <w:top w:val="nil"/>
              <w:left w:val="nil"/>
              <w:bottom w:val="nil"/>
              <w:right w:val="nil"/>
            </w:tcBorders>
            <w:shd w:val="clear" w:color="auto" w:fill="auto"/>
            <w:vAlign w:val="bottom"/>
          </w:tcPr>
          <w:p w14:paraId="7562EA91" w14:textId="77777777" w:rsidR="00B94707" w:rsidRPr="005001D6" w:rsidRDefault="00B94707"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220.4 ± 11.1</w:t>
            </w:r>
          </w:p>
        </w:tc>
        <w:tc>
          <w:tcPr>
            <w:tcW w:w="625" w:type="pct"/>
            <w:tcBorders>
              <w:top w:val="nil"/>
              <w:left w:val="nil"/>
              <w:bottom w:val="nil"/>
              <w:right w:val="nil"/>
            </w:tcBorders>
            <w:shd w:val="clear" w:color="auto" w:fill="auto"/>
            <w:vAlign w:val="bottom"/>
          </w:tcPr>
          <w:p w14:paraId="6ECDA5F3" w14:textId="77777777" w:rsidR="00B94707" w:rsidRPr="005001D6" w:rsidRDefault="00B94707"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186.2 ± 10.1</w:t>
            </w:r>
          </w:p>
        </w:tc>
        <w:tc>
          <w:tcPr>
            <w:tcW w:w="620" w:type="pct"/>
            <w:tcBorders>
              <w:top w:val="nil"/>
              <w:left w:val="nil"/>
              <w:bottom w:val="nil"/>
              <w:right w:val="nil"/>
            </w:tcBorders>
            <w:shd w:val="clear" w:color="auto" w:fill="auto"/>
            <w:vAlign w:val="bottom"/>
          </w:tcPr>
          <w:p w14:paraId="62643D0F" w14:textId="77777777" w:rsidR="00B94707" w:rsidRPr="005001D6" w:rsidRDefault="00B94707"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236.5 ± 17.7</w:t>
            </w:r>
          </w:p>
        </w:tc>
        <w:tc>
          <w:tcPr>
            <w:tcW w:w="393" w:type="pct"/>
            <w:tcBorders>
              <w:top w:val="nil"/>
              <w:left w:val="nil"/>
              <w:bottom w:val="nil"/>
              <w:right w:val="nil"/>
            </w:tcBorders>
            <w:shd w:val="clear" w:color="auto" w:fill="auto"/>
            <w:vAlign w:val="bottom"/>
          </w:tcPr>
          <w:p w14:paraId="3A8743F0" w14:textId="77777777" w:rsidR="00B94707" w:rsidRPr="005001D6" w:rsidRDefault="00B94707"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18</w:t>
            </w:r>
          </w:p>
        </w:tc>
        <w:tc>
          <w:tcPr>
            <w:tcW w:w="547" w:type="pct"/>
            <w:tcBorders>
              <w:top w:val="nil"/>
              <w:left w:val="nil"/>
              <w:bottom w:val="nil"/>
              <w:right w:val="nil"/>
            </w:tcBorders>
            <w:shd w:val="clear" w:color="auto" w:fill="auto"/>
            <w:vAlign w:val="bottom"/>
          </w:tcPr>
          <w:p w14:paraId="21EF9DB4" w14:textId="6B3D2AF4" w:rsidR="00B94707" w:rsidRPr="005001D6" w:rsidRDefault="00B94707" w:rsidP="00173FAF">
            <w:pPr>
              <w:widowControl w:val="0"/>
              <w:autoSpaceDE w:val="0"/>
              <w:autoSpaceDN w:val="0"/>
              <w:adjustRightInd w:val="0"/>
              <w:spacing w:line="360" w:lineRule="auto"/>
              <w:jc w:val="both"/>
              <w:rPr>
                <w:rFonts w:ascii="Arial" w:hAnsi="Arial" w:cs="Arial"/>
                <w:b/>
                <w:bCs/>
                <w:sz w:val="14"/>
                <w:szCs w:val="14"/>
              </w:rPr>
            </w:pPr>
            <w:r w:rsidRPr="005001D6">
              <w:rPr>
                <w:rFonts w:ascii="Arial" w:hAnsi="Arial" w:cs="Arial"/>
                <w:b/>
                <w:bCs/>
                <w:sz w:val="14"/>
                <w:szCs w:val="14"/>
              </w:rPr>
              <w:t>0.01 (11.8)</w:t>
            </w:r>
          </w:p>
        </w:tc>
        <w:tc>
          <w:tcPr>
            <w:tcW w:w="546" w:type="pct"/>
            <w:tcBorders>
              <w:top w:val="nil"/>
              <w:left w:val="nil"/>
              <w:bottom w:val="nil"/>
              <w:right w:val="nil"/>
            </w:tcBorders>
          </w:tcPr>
          <w:p w14:paraId="233A0CFA" w14:textId="0C5AD310" w:rsidR="00B94707" w:rsidRPr="005001D6" w:rsidRDefault="001A3688"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0.95 (&lt;0.1)</w:t>
            </w:r>
          </w:p>
        </w:tc>
        <w:tc>
          <w:tcPr>
            <w:tcW w:w="549" w:type="pct"/>
            <w:tcBorders>
              <w:top w:val="nil"/>
              <w:left w:val="nil"/>
              <w:bottom w:val="nil"/>
              <w:right w:val="nil"/>
            </w:tcBorders>
          </w:tcPr>
          <w:p w14:paraId="19722B49" w14:textId="69AC54DF" w:rsidR="00B94707" w:rsidRPr="005001D6" w:rsidRDefault="001A3688"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0.85 (0.7)</w:t>
            </w:r>
          </w:p>
        </w:tc>
      </w:tr>
      <w:tr w:rsidR="005001D6" w:rsidRPr="005001D6" w14:paraId="753CB1BD" w14:textId="77777777" w:rsidTr="00BF4696">
        <w:tc>
          <w:tcPr>
            <w:tcW w:w="1015" w:type="pct"/>
            <w:tcBorders>
              <w:top w:val="nil"/>
              <w:left w:val="nil"/>
              <w:bottom w:val="nil"/>
              <w:right w:val="nil"/>
            </w:tcBorders>
          </w:tcPr>
          <w:p w14:paraId="54BE7B9F" w14:textId="34E27233" w:rsidR="00B94707" w:rsidRPr="005001D6" w:rsidRDefault="00B94707" w:rsidP="00173FAF">
            <w:pPr>
              <w:widowControl w:val="0"/>
              <w:autoSpaceDE w:val="0"/>
              <w:autoSpaceDN w:val="0"/>
              <w:adjustRightInd w:val="0"/>
              <w:spacing w:line="360" w:lineRule="auto"/>
              <w:jc w:val="both"/>
              <w:rPr>
                <w:rFonts w:ascii="Arial" w:hAnsi="Arial" w:cs="Arial"/>
                <w:sz w:val="14"/>
                <w:szCs w:val="14"/>
                <w:lang w:val="es-ES"/>
              </w:rPr>
            </w:pPr>
            <w:r w:rsidRPr="005001D6">
              <w:rPr>
                <w:rFonts w:ascii="Arial" w:hAnsi="Arial" w:cs="Arial"/>
                <w:sz w:val="14"/>
                <w:szCs w:val="14"/>
                <w:lang w:val="es-ES"/>
              </w:rPr>
              <w:t>N-</w:t>
            </w:r>
            <w:proofErr w:type="spellStart"/>
            <w:r w:rsidRPr="005001D6">
              <w:rPr>
                <w:rFonts w:ascii="Arial" w:hAnsi="Arial" w:cs="Arial"/>
                <w:sz w:val="14"/>
                <w:szCs w:val="14"/>
                <w:lang w:val="es-ES"/>
              </w:rPr>
              <w:t>acetylglucosaminidase</w:t>
            </w:r>
            <w:proofErr w:type="spellEnd"/>
            <w:r w:rsidRPr="005001D6">
              <w:rPr>
                <w:rFonts w:ascii="Arial" w:hAnsi="Arial" w:cs="Arial"/>
                <w:sz w:val="14"/>
                <w:szCs w:val="14"/>
              </w:rPr>
              <w:t>*</w:t>
            </w:r>
          </w:p>
        </w:tc>
        <w:tc>
          <w:tcPr>
            <w:tcW w:w="705" w:type="pct"/>
            <w:tcBorders>
              <w:top w:val="nil"/>
              <w:left w:val="nil"/>
              <w:bottom w:val="nil"/>
              <w:right w:val="nil"/>
            </w:tcBorders>
            <w:shd w:val="clear" w:color="auto" w:fill="auto"/>
            <w:vAlign w:val="bottom"/>
          </w:tcPr>
          <w:p w14:paraId="2A995BDA" w14:textId="77777777" w:rsidR="00B94707" w:rsidRPr="005001D6" w:rsidRDefault="00B94707"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249.3 ± 18.0</w:t>
            </w:r>
          </w:p>
        </w:tc>
        <w:tc>
          <w:tcPr>
            <w:tcW w:w="625" w:type="pct"/>
            <w:tcBorders>
              <w:top w:val="nil"/>
              <w:left w:val="nil"/>
              <w:bottom w:val="nil"/>
              <w:right w:val="nil"/>
            </w:tcBorders>
            <w:shd w:val="clear" w:color="auto" w:fill="auto"/>
            <w:vAlign w:val="bottom"/>
          </w:tcPr>
          <w:p w14:paraId="586592E9" w14:textId="77777777" w:rsidR="00B94707" w:rsidRPr="005001D6" w:rsidRDefault="00B94707"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267.6 ± 17.7</w:t>
            </w:r>
          </w:p>
        </w:tc>
        <w:tc>
          <w:tcPr>
            <w:tcW w:w="620" w:type="pct"/>
            <w:tcBorders>
              <w:top w:val="nil"/>
              <w:left w:val="nil"/>
              <w:bottom w:val="nil"/>
              <w:right w:val="nil"/>
            </w:tcBorders>
            <w:shd w:val="clear" w:color="auto" w:fill="auto"/>
            <w:vAlign w:val="bottom"/>
          </w:tcPr>
          <w:p w14:paraId="4BC1D0E2" w14:textId="77777777" w:rsidR="00B94707" w:rsidRPr="005001D6" w:rsidRDefault="00B94707"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249.8 ± 26.1</w:t>
            </w:r>
          </w:p>
        </w:tc>
        <w:tc>
          <w:tcPr>
            <w:tcW w:w="393" w:type="pct"/>
            <w:tcBorders>
              <w:top w:val="nil"/>
              <w:left w:val="nil"/>
              <w:bottom w:val="nil"/>
              <w:right w:val="nil"/>
            </w:tcBorders>
            <w:shd w:val="clear" w:color="auto" w:fill="auto"/>
            <w:vAlign w:val="bottom"/>
          </w:tcPr>
          <w:p w14:paraId="65773894" w14:textId="77777777" w:rsidR="00B94707" w:rsidRPr="005001D6" w:rsidRDefault="00B94707"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-7</w:t>
            </w:r>
          </w:p>
        </w:tc>
        <w:tc>
          <w:tcPr>
            <w:tcW w:w="547" w:type="pct"/>
            <w:tcBorders>
              <w:top w:val="nil"/>
              <w:left w:val="nil"/>
              <w:bottom w:val="nil"/>
              <w:right w:val="nil"/>
            </w:tcBorders>
            <w:shd w:val="clear" w:color="auto" w:fill="auto"/>
            <w:vAlign w:val="bottom"/>
          </w:tcPr>
          <w:p w14:paraId="0EFC2B5A" w14:textId="4D4C84C3" w:rsidR="00B94707" w:rsidRPr="005001D6" w:rsidRDefault="001A3688"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0.10 (6.3)</w:t>
            </w:r>
          </w:p>
        </w:tc>
        <w:tc>
          <w:tcPr>
            <w:tcW w:w="546" w:type="pct"/>
            <w:tcBorders>
              <w:top w:val="nil"/>
              <w:left w:val="nil"/>
              <w:bottom w:val="nil"/>
              <w:right w:val="nil"/>
            </w:tcBorders>
          </w:tcPr>
          <w:p w14:paraId="66E898AD" w14:textId="0EC0B487" w:rsidR="00B94707" w:rsidRPr="005001D6" w:rsidRDefault="001A3688"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0.60 (1.0)</w:t>
            </w:r>
          </w:p>
        </w:tc>
        <w:tc>
          <w:tcPr>
            <w:tcW w:w="549" w:type="pct"/>
            <w:tcBorders>
              <w:top w:val="nil"/>
              <w:left w:val="nil"/>
              <w:bottom w:val="nil"/>
              <w:right w:val="nil"/>
            </w:tcBorders>
            <w:shd w:val="clear" w:color="auto" w:fill="auto"/>
            <w:vAlign w:val="bottom"/>
          </w:tcPr>
          <w:p w14:paraId="4EFC1B32" w14:textId="30E5F4E7" w:rsidR="00B94707" w:rsidRPr="005001D6" w:rsidRDefault="00B94707" w:rsidP="00173FAF">
            <w:pPr>
              <w:widowControl w:val="0"/>
              <w:autoSpaceDE w:val="0"/>
              <w:autoSpaceDN w:val="0"/>
              <w:adjustRightInd w:val="0"/>
              <w:spacing w:line="360" w:lineRule="auto"/>
              <w:jc w:val="both"/>
              <w:rPr>
                <w:rFonts w:ascii="Arial" w:hAnsi="Arial" w:cs="Arial"/>
                <w:b/>
                <w:bCs/>
                <w:sz w:val="14"/>
                <w:szCs w:val="14"/>
              </w:rPr>
            </w:pPr>
            <w:r w:rsidRPr="005001D6">
              <w:rPr>
                <w:rFonts w:ascii="Arial" w:hAnsi="Arial" w:cs="Arial"/>
                <w:b/>
                <w:bCs/>
                <w:sz w:val="14"/>
                <w:szCs w:val="14"/>
              </w:rPr>
              <w:t>0.02 (10.9)</w:t>
            </w:r>
          </w:p>
        </w:tc>
      </w:tr>
      <w:tr w:rsidR="005001D6" w:rsidRPr="005001D6" w14:paraId="28625CB4" w14:textId="77777777" w:rsidTr="00BF4696">
        <w:tc>
          <w:tcPr>
            <w:tcW w:w="1015" w:type="pct"/>
            <w:tcBorders>
              <w:top w:val="nil"/>
              <w:left w:val="nil"/>
              <w:bottom w:val="nil"/>
              <w:right w:val="nil"/>
            </w:tcBorders>
          </w:tcPr>
          <w:p w14:paraId="347B8ACF" w14:textId="4A546CF5" w:rsidR="00B94707" w:rsidRPr="005001D6" w:rsidRDefault="00B94707"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Phosphatase</w:t>
            </w:r>
          </w:p>
        </w:tc>
        <w:tc>
          <w:tcPr>
            <w:tcW w:w="705" w:type="pct"/>
            <w:tcBorders>
              <w:top w:val="nil"/>
              <w:left w:val="nil"/>
              <w:bottom w:val="nil"/>
              <w:right w:val="nil"/>
            </w:tcBorders>
            <w:shd w:val="clear" w:color="auto" w:fill="auto"/>
            <w:vAlign w:val="bottom"/>
          </w:tcPr>
          <w:p w14:paraId="0288F774" w14:textId="77777777" w:rsidR="00B94707" w:rsidRPr="005001D6" w:rsidRDefault="00B94707"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16522 ± 1883</w:t>
            </w:r>
          </w:p>
        </w:tc>
        <w:tc>
          <w:tcPr>
            <w:tcW w:w="625" w:type="pct"/>
            <w:tcBorders>
              <w:top w:val="nil"/>
              <w:left w:val="nil"/>
              <w:bottom w:val="nil"/>
              <w:right w:val="nil"/>
            </w:tcBorders>
            <w:shd w:val="clear" w:color="auto" w:fill="auto"/>
            <w:vAlign w:val="bottom"/>
          </w:tcPr>
          <w:p w14:paraId="5B89BEDB" w14:textId="77777777" w:rsidR="00B94707" w:rsidRPr="005001D6" w:rsidRDefault="00B94707"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18645 ± 1793</w:t>
            </w:r>
          </w:p>
        </w:tc>
        <w:tc>
          <w:tcPr>
            <w:tcW w:w="620" w:type="pct"/>
            <w:tcBorders>
              <w:top w:val="nil"/>
              <w:left w:val="nil"/>
              <w:bottom w:val="nil"/>
              <w:right w:val="nil"/>
            </w:tcBorders>
            <w:shd w:val="clear" w:color="auto" w:fill="auto"/>
            <w:vAlign w:val="bottom"/>
          </w:tcPr>
          <w:p w14:paraId="4E6BCDB9" w14:textId="77777777" w:rsidR="00B94707" w:rsidRPr="005001D6" w:rsidRDefault="00B94707"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14081 ± 1365</w:t>
            </w:r>
          </w:p>
        </w:tc>
        <w:tc>
          <w:tcPr>
            <w:tcW w:w="393" w:type="pct"/>
            <w:tcBorders>
              <w:top w:val="nil"/>
              <w:left w:val="nil"/>
              <w:bottom w:val="nil"/>
              <w:right w:val="nil"/>
            </w:tcBorders>
            <w:shd w:val="clear" w:color="auto" w:fill="auto"/>
            <w:vAlign w:val="bottom"/>
          </w:tcPr>
          <w:p w14:paraId="18C00DD9" w14:textId="77777777" w:rsidR="00B94707" w:rsidRPr="005001D6" w:rsidRDefault="00B94707"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-11</w:t>
            </w:r>
          </w:p>
        </w:tc>
        <w:tc>
          <w:tcPr>
            <w:tcW w:w="547" w:type="pct"/>
            <w:tcBorders>
              <w:top w:val="nil"/>
              <w:left w:val="nil"/>
              <w:bottom w:val="nil"/>
              <w:right w:val="nil"/>
            </w:tcBorders>
            <w:shd w:val="clear" w:color="auto" w:fill="auto"/>
            <w:vAlign w:val="bottom"/>
          </w:tcPr>
          <w:p w14:paraId="5E1FC960" w14:textId="654C5CFE" w:rsidR="00B94707" w:rsidRPr="005001D6" w:rsidRDefault="00BA7FA8" w:rsidP="00173FAF">
            <w:pPr>
              <w:widowControl w:val="0"/>
              <w:autoSpaceDE w:val="0"/>
              <w:autoSpaceDN w:val="0"/>
              <w:adjustRightInd w:val="0"/>
              <w:spacing w:line="360" w:lineRule="auto"/>
              <w:jc w:val="both"/>
              <w:rPr>
                <w:rFonts w:ascii="Arial" w:hAnsi="Arial" w:cs="Arial"/>
                <w:b/>
                <w:bCs/>
                <w:sz w:val="14"/>
                <w:szCs w:val="14"/>
              </w:rPr>
            </w:pPr>
            <w:r w:rsidRPr="005001D6">
              <w:rPr>
                <w:rFonts w:ascii="Arial" w:hAnsi="Arial" w:cs="Arial"/>
                <w:b/>
                <w:bCs/>
                <w:sz w:val="14"/>
                <w:szCs w:val="14"/>
              </w:rPr>
              <w:t>&lt;0.01 (14.7)</w:t>
            </w:r>
          </w:p>
        </w:tc>
        <w:tc>
          <w:tcPr>
            <w:tcW w:w="546" w:type="pct"/>
            <w:tcBorders>
              <w:top w:val="nil"/>
              <w:left w:val="nil"/>
              <w:bottom w:val="nil"/>
              <w:right w:val="nil"/>
            </w:tcBorders>
          </w:tcPr>
          <w:p w14:paraId="2780EBB7" w14:textId="26628F1A" w:rsidR="00B94707" w:rsidRPr="005001D6" w:rsidRDefault="00BA7FA8"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0.34 (2.7)</w:t>
            </w:r>
          </w:p>
        </w:tc>
        <w:tc>
          <w:tcPr>
            <w:tcW w:w="549" w:type="pct"/>
            <w:tcBorders>
              <w:top w:val="nil"/>
              <w:left w:val="nil"/>
              <w:bottom w:val="nil"/>
              <w:right w:val="nil"/>
            </w:tcBorders>
            <w:shd w:val="clear" w:color="auto" w:fill="auto"/>
            <w:vAlign w:val="bottom"/>
          </w:tcPr>
          <w:p w14:paraId="3FD6FDBC" w14:textId="48C0F576" w:rsidR="00B94707" w:rsidRPr="005001D6" w:rsidRDefault="00B94707" w:rsidP="00173FAF">
            <w:pPr>
              <w:widowControl w:val="0"/>
              <w:autoSpaceDE w:val="0"/>
              <w:autoSpaceDN w:val="0"/>
              <w:adjustRightInd w:val="0"/>
              <w:spacing w:line="360" w:lineRule="auto"/>
              <w:jc w:val="both"/>
              <w:rPr>
                <w:rFonts w:ascii="Arial" w:hAnsi="Arial" w:cs="Arial"/>
                <w:b/>
                <w:bCs/>
                <w:sz w:val="14"/>
                <w:szCs w:val="14"/>
              </w:rPr>
            </w:pPr>
            <w:r w:rsidRPr="005001D6">
              <w:rPr>
                <w:rFonts w:ascii="Arial" w:hAnsi="Arial" w:cs="Arial"/>
                <w:b/>
                <w:bCs/>
                <w:sz w:val="14"/>
                <w:szCs w:val="14"/>
              </w:rPr>
              <w:t>0.02 (11.5)</w:t>
            </w:r>
          </w:p>
        </w:tc>
      </w:tr>
      <w:tr w:rsidR="005001D6" w:rsidRPr="005001D6" w14:paraId="59D62851" w14:textId="77777777" w:rsidTr="00BF4696">
        <w:tc>
          <w:tcPr>
            <w:tcW w:w="1015" w:type="pct"/>
            <w:tcBorders>
              <w:top w:val="nil"/>
              <w:left w:val="nil"/>
              <w:bottom w:val="nil"/>
              <w:right w:val="nil"/>
            </w:tcBorders>
            <w:shd w:val="clear" w:color="auto" w:fill="auto"/>
          </w:tcPr>
          <w:p w14:paraId="7E0DD2C6" w14:textId="3D537989" w:rsidR="00B94707" w:rsidRPr="005001D6" w:rsidRDefault="00B94707"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Urease</w:t>
            </w:r>
            <w:r w:rsidR="001A3688" w:rsidRPr="005001D6">
              <w:rPr>
                <w:rFonts w:ascii="Arial" w:hAnsi="Arial" w:cs="Arial"/>
                <w:sz w:val="14"/>
                <w:szCs w:val="14"/>
              </w:rPr>
              <w:t>*</w:t>
            </w:r>
          </w:p>
        </w:tc>
        <w:tc>
          <w:tcPr>
            <w:tcW w:w="705" w:type="pct"/>
            <w:tcBorders>
              <w:top w:val="nil"/>
              <w:left w:val="nil"/>
              <w:bottom w:val="nil"/>
              <w:right w:val="nil"/>
            </w:tcBorders>
            <w:shd w:val="clear" w:color="auto" w:fill="auto"/>
            <w:vAlign w:val="bottom"/>
          </w:tcPr>
          <w:p w14:paraId="735BE4E5" w14:textId="77777777" w:rsidR="00B94707" w:rsidRPr="005001D6" w:rsidRDefault="00B94707"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20.6 ± 4.2</w:t>
            </w:r>
          </w:p>
        </w:tc>
        <w:tc>
          <w:tcPr>
            <w:tcW w:w="625" w:type="pct"/>
            <w:tcBorders>
              <w:top w:val="nil"/>
              <w:left w:val="nil"/>
              <w:bottom w:val="nil"/>
              <w:right w:val="nil"/>
            </w:tcBorders>
            <w:shd w:val="clear" w:color="auto" w:fill="auto"/>
            <w:vAlign w:val="bottom"/>
          </w:tcPr>
          <w:p w14:paraId="276925D8" w14:textId="77777777" w:rsidR="00B94707" w:rsidRPr="005001D6" w:rsidRDefault="00B94707"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19.3 ± 2.4</w:t>
            </w:r>
          </w:p>
        </w:tc>
        <w:tc>
          <w:tcPr>
            <w:tcW w:w="620" w:type="pct"/>
            <w:tcBorders>
              <w:top w:val="nil"/>
              <w:left w:val="nil"/>
              <w:bottom w:val="nil"/>
              <w:right w:val="nil"/>
            </w:tcBorders>
            <w:shd w:val="clear" w:color="auto" w:fill="auto"/>
            <w:vAlign w:val="bottom"/>
          </w:tcPr>
          <w:p w14:paraId="07DDA4AA" w14:textId="77777777" w:rsidR="00B94707" w:rsidRPr="005001D6" w:rsidRDefault="00B94707"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15.3 ± 1.5</w:t>
            </w:r>
          </w:p>
        </w:tc>
        <w:tc>
          <w:tcPr>
            <w:tcW w:w="393" w:type="pct"/>
            <w:tcBorders>
              <w:top w:val="nil"/>
              <w:left w:val="nil"/>
              <w:bottom w:val="nil"/>
              <w:right w:val="nil"/>
            </w:tcBorders>
            <w:shd w:val="clear" w:color="auto" w:fill="auto"/>
            <w:vAlign w:val="bottom"/>
          </w:tcPr>
          <w:p w14:paraId="5D02D563" w14:textId="77777777" w:rsidR="00B94707" w:rsidRPr="005001D6" w:rsidRDefault="00B94707"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7</w:t>
            </w:r>
          </w:p>
        </w:tc>
        <w:tc>
          <w:tcPr>
            <w:tcW w:w="547" w:type="pct"/>
            <w:tcBorders>
              <w:top w:val="nil"/>
              <w:left w:val="nil"/>
              <w:bottom w:val="nil"/>
              <w:right w:val="nil"/>
            </w:tcBorders>
            <w:shd w:val="clear" w:color="auto" w:fill="auto"/>
            <w:vAlign w:val="bottom"/>
          </w:tcPr>
          <w:p w14:paraId="58EF25DE" w14:textId="78F354E0" w:rsidR="00B94707" w:rsidRPr="005001D6" w:rsidRDefault="001A3688"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0.38 (2.9)</w:t>
            </w:r>
          </w:p>
        </w:tc>
        <w:tc>
          <w:tcPr>
            <w:tcW w:w="546" w:type="pct"/>
            <w:tcBorders>
              <w:top w:val="nil"/>
              <w:left w:val="nil"/>
              <w:bottom w:val="nil"/>
              <w:right w:val="nil"/>
            </w:tcBorders>
          </w:tcPr>
          <w:p w14:paraId="74B187B0" w14:textId="669E8F1D" w:rsidR="00B94707" w:rsidRPr="005001D6" w:rsidRDefault="001A3688"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0.68 (0.5)</w:t>
            </w:r>
          </w:p>
        </w:tc>
        <w:tc>
          <w:tcPr>
            <w:tcW w:w="549" w:type="pct"/>
            <w:tcBorders>
              <w:top w:val="nil"/>
              <w:left w:val="nil"/>
              <w:bottom w:val="nil"/>
              <w:right w:val="nil"/>
            </w:tcBorders>
            <w:shd w:val="clear" w:color="auto" w:fill="auto"/>
            <w:vAlign w:val="bottom"/>
          </w:tcPr>
          <w:p w14:paraId="290E9EEF" w14:textId="52A8D30C" w:rsidR="00B94707" w:rsidRPr="005001D6" w:rsidRDefault="00B94707" w:rsidP="00173FAF">
            <w:pPr>
              <w:widowControl w:val="0"/>
              <w:autoSpaceDE w:val="0"/>
              <w:autoSpaceDN w:val="0"/>
              <w:adjustRightInd w:val="0"/>
              <w:spacing w:line="360" w:lineRule="auto"/>
              <w:jc w:val="both"/>
              <w:rPr>
                <w:rFonts w:ascii="Arial" w:hAnsi="Arial" w:cs="Arial"/>
                <w:b/>
                <w:bCs/>
                <w:sz w:val="14"/>
                <w:szCs w:val="14"/>
              </w:rPr>
            </w:pPr>
            <w:r w:rsidRPr="005001D6">
              <w:rPr>
                <w:rFonts w:ascii="Arial" w:hAnsi="Arial" w:cs="Arial"/>
                <w:b/>
                <w:bCs/>
                <w:sz w:val="14"/>
                <w:szCs w:val="14"/>
              </w:rPr>
              <w:t>&lt;0.01 (17.4)</w:t>
            </w:r>
          </w:p>
        </w:tc>
      </w:tr>
      <w:tr w:rsidR="005001D6" w:rsidRPr="005001D6" w14:paraId="212EE047" w14:textId="77777777" w:rsidTr="00BF4696">
        <w:tc>
          <w:tcPr>
            <w:tcW w:w="1720" w:type="pct"/>
            <w:gridSpan w:val="2"/>
            <w:tcBorders>
              <w:top w:val="nil"/>
              <w:left w:val="nil"/>
              <w:bottom w:val="single" w:sz="4" w:space="0" w:color="auto"/>
              <w:right w:val="nil"/>
            </w:tcBorders>
          </w:tcPr>
          <w:p w14:paraId="4912E7F8" w14:textId="77777777" w:rsidR="005E6CC5" w:rsidRPr="005001D6" w:rsidRDefault="005E6CC5" w:rsidP="00173FAF">
            <w:pPr>
              <w:widowControl w:val="0"/>
              <w:autoSpaceDE w:val="0"/>
              <w:autoSpaceDN w:val="0"/>
              <w:adjustRightInd w:val="0"/>
              <w:spacing w:line="360" w:lineRule="auto"/>
              <w:jc w:val="both"/>
              <w:rPr>
                <w:rFonts w:ascii="Arial" w:hAnsi="Arial" w:cs="Arial"/>
                <w:sz w:val="14"/>
                <w:szCs w:val="14"/>
              </w:rPr>
            </w:pPr>
          </w:p>
          <w:p w14:paraId="071290A8" w14:textId="7559EB55" w:rsidR="005E6CC5" w:rsidRPr="005001D6" w:rsidRDefault="005E6CC5" w:rsidP="00173FAF">
            <w:pPr>
              <w:widowControl w:val="0"/>
              <w:autoSpaceDE w:val="0"/>
              <w:autoSpaceDN w:val="0"/>
              <w:adjustRightInd w:val="0"/>
              <w:spacing w:line="360" w:lineRule="auto"/>
              <w:jc w:val="both"/>
              <w:rPr>
                <w:rFonts w:ascii="Arial" w:hAnsi="Arial" w:cs="Arial"/>
                <w:b/>
                <w:bCs/>
                <w:sz w:val="14"/>
                <w:szCs w:val="14"/>
              </w:rPr>
            </w:pPr>
            <w:r w:rsidRPr="005001D6">
              <w:rPr>
                <w:rFonts w:ascii="Arial" w:hAnsi="Arial" w:cs="Arial"/>
                <w:sz w:val="14"/>
                <w:szCs w:val="14"/>
              </w:rPr>
              <w:t>MB-SPECIFIC ENZYME ACTIVITY</w:t>
            </w:r>
          </w:p>
        </w:tc>
        <w:tc>
          <w:tcPr>
            <w:tcW w:w="625" w:type="pct"/>
            <w:tcBorders>
              <w:top w:val="nil"/>
              <w:left w:val="nil"/>
              <w:bottom w:val="nil"/>
              <w:right w:val="nil"/>
            </w:tcBorders>
          </w:tcPr>
          <w:p w14:paraId="6E443FA4" w14:textId="77777777" w:rsidR="005E6CC5" w:rsidRPr="005001D6" w:rsidRDefault="005E6CC5" w:rsidP="00173FAF">
            <w:pPr>
              <w:widowControl w:val="0"/>
              <w:autoSpaceDE w:val="0"/>
              <w:autoSpaceDN w:val="0"/>
              <w:adjustRightInd w:val="0"/>
              <w:spacing w:line="360" w:lineRule="auto"/>
              <w:jc w:val="both"/>
              <w:rPr>
                <w:rFonts w:ascii="Arial" w:hAnsi="Arial" w:cs="Arial"/>
                <w:b/>
                <w:bCs/>
                <w:sz w:val="14"/>
                <w:szCs w:val="14"/>
              </w:rPr>
            </w:pPr>
          </w:p>
        </w:tc>
        <w:tc>
          <w:tcPr>
            <w:tcW w:w="620" w:type="pct"/>
            <w:tcBorders>
              <w:top w:val="nil"/>
              <w:left w:val="nil"/>
              <w:bottom w:val="nil"/>
              <w:right w:val="nil"/>
            </w:tcBorders>
          </w:tcPr>
          <w:p w14:paraId="4B4A62C6" w14:textId="77777777" w:rsidR="005E6CC5" w:rsidRPr="005001D6" w:rsidRDefault="005E6CC5" w:rsidP="00173FAF">
            <w:pPr>
              <w:widowControl w:val="0"/>
              <w:autoSpaceDE w:val="0"/>
              <w:autoSpaceDN w:val="0"/>
              <w:adjustRightInd w:val="0"/>
              <w:spacing w:line="360" w:lineRule="auto"/>
              <w:jc w:val="both"/>
              <w:rPr>
                <w:rFonts w:ascii="Arial" w:hAnsi="Arial" w:cs="Arial"/>
                <w:b/>
                <w:bCs/>
                <w:sz w:val="14"/>
                <w:szCs w:val="14"/>
              </w:rPr>
            </w:pPr>
          </w:p>
        </w:tc>
        <w:tc>
          <w:tcPr>
            <w:tcW w:w="393" w:type="pct"/>
            <w:tcBorders>
              <w:top w:val="nil"/>
              <w:left w:val="nil"/>
              <w:bottom w:val="nil"/>
              <w:right w:val="nil"/>
            </w:tcBorders>
          </w:tcPr>
          <w:p w14:paraId="7FBC2ADB" w14:textId="77777777" w:rsidR="005E6CC5" w:rsidRPr="005001D6" w:rsidRDefault="005E6CC5" w:rsidP="00173FAF">
            <w:pPr>
              <w:widowControl w:val="0"/>
              <w:autoSpaceDE w:val="0"/>
              <w:autoSpaceDN w:val="0"/>
              <w:adjustRightInd w:val="0"/>
              <w:spacing w:line="360" w:lineRule="auto"/>
              <w:jc w:val="both"/>
              <w:rPr>
                <w:rFonts w:ascii="Arial" w:hAnsi="Arial" w:cs="Arial"/>
                <w:b/>
                <w:bCs/>
                <w:sz w:val="14"/>
                <w:szCs w:val="14"/>
              </w:rPr>
            </w:pPr>
          </w:p>
        </w:tc>
        <w:tc>
          <w:tcPr>
            <w:tcW w:w="547" w:type="pct"/>
            <w:tcBorders>
              <w:top w:val="nil"/>
              <w:left w:val="nil"/>
              <w:bottom w:val="nil"/>
              <w:right w:val="nil"/>
            </w:tcBorders>
          </w:tcPr>
          <w:p w14:paraId="549C8FB7" w14:textId="77777777" w:rsidR="005E6CC5" w:rsidRPr="005001D6" w:rsidRDefault="005E6CC5" w:rsidP="00173FAF">
            <w:pPr>
              <w:widowControl w:val="0"/>
              <w:autoSpaceDE w:val="0"/>
              <w:autoSpaceDN w:val="0"/>
              <w:adjustRightInd w:val="0"/>
              <w:spacing w:line="360" w:lineRule="auto"/>
              <w:jc w:val="both"/>
              <w:rPr>
                <w:rFonts w:ascii="Arial" w:hAnsi="Arial" w:cs="Arial"/>
                <w:b/>
                <w:bCs/>
                <w:i/>
                <w:iCs/>
                <w:sz w:val="14"/>
                <w:szCs w:val="14"/>
              </w:rPr>
            </w:pPr>
          </w:p>
        </w:tc>
        <w:tc>
          <w:tcPr>
            <w:tcW w:w="546" w:type="pct"/>
            <w:tcBorders>
              <w:top w:val="nil"/>
              <w:left w:val="nil"/>
              <w:bottom w:val="nil"/>
              <w:right w:val="nil"/>
            </w:tcBorders>
          </w:tcPr>
          <w:p w14:paraId="3AC20969" w14:textId="698CAB82" w:rsidR="005E6CC5" w:rsidRPr="005001D6" w:rsidRDefault="005E6CC5" w:rsidP="00173FAF">
            <w:pPr>
              <w:widowControl w:val="0"/>
              <w:autoSpaceDE w:val="0"/>
              <w:autoSpaceDN w:val="0"/>
              <w:adjustRightInd w:val="0"/>
              <w:spacing w:line="360" w:lineRule="auto"/>
              <w:jc w:val="both"/>
              <w:rPr>
                <w:rFonts w:ascii="Arial" w:hAnsi="Arial" w:cs="Arial"/>
                <w:b/>
                <w:bCs/>
                <w:i/>
                <w:iCs/>
                <w:sz w:val="14"/>
                <w:szCs w:val="14"/>
              </w:rPr>
            </w:pPr>
          </w:p>
        </w:tc>
        <w:tc>
          <w:tcPr>
            <w:tcW w:w="549" w:type="pct"/>
            <w:tcBorders>
              <w:top w:val="nil"/>
              <w:left w:val="nil"/>
              <w:bottom w:val="nil"/>
              <w:right w:val="nil"/>
            </w:tcBorders>
          </w:tcPr>
          <w:p w14:paraId="1D6F8419" w14:textId="59AF7255" w:rsidR="005E6CC5" w:rsidRPr="005001D6" w:rsidRDefault="005E6CC5" w:rsidP="00173FAF">
            <w:pPr>
              <w:widowControl w:val="0"/>
              <w:autoSpaceDE w:val="0"/>
              <w:autoSpaceDN w:val="0"/>
              <w:adjustRightInd w:val="0"/>
              <w:spacing w:line="360" w:lineRule="auto"/>
              <w:jc w:val="both"/>
              <w:rPr>
                <w:rFonts w:ascii="Arial" w:hAnsi="Arial" w:cs="Arial"/>
                <w:b/>
                <w:bCs/>
                <w:i/>
                <w:iCs/>
                <w:sz w:val="14"/>
                <w:szCs w:val="14"/>
              </w:rPr>
            </w:pPr>
          </w:p>
        </w:tc>
      </w:tr>
      <w:tr w:rsidR="005001D6" w:rsidRPr="005001D6" w14:paraId="4F313B87" w14:textId="77777777" w:rsidTr="00BF4696">
        <w:tc>
          <w:tcPr>
            <w:tcW w:w="1015" w:type="pct"/>
            <w:tcBorders>
              <w:top w:val="single" w:sz="4" w:space="0" w:color="auto"/>
              <w:left w:val="nil"/>
              <w:bottom w:val="nil"/>
              <w:right w:val="nil"/>
            </w:tcBorders>
          </w:tcPr>
          <w:p w14:paraId="1E5EB7CC" w14:textId="049A8773" w:rsidR="00B94707" w:rsidRPr="005001D6" w:rsidRDefault="00B94707" w:rsidP="00173FAF">
            <w:pPr>
              <w:widowControl w:val="0"/>
              <w:autoSpaceDE w:val="0"/>
              <w:autoSpaceDN w:val="0"/>
              <w:adjustRightInd w:val="0"/>
              <w:spacing w:line="360" w:lineRule="auto"/>
              <w:jc w:val="both"/>
              <w:rPr>
                <w:rFonts w:ascii="Arial" w:hAnsi="Arial" w:cs="Arial"/>
                <w:sz w:val="14"/>
                <w:szCs w:val="14"/>
                <w:lang w:val="es-ES"/>
              </w:rPr>
            </w:pPr>
            <w:r w:rsidRPr="005001D6">
              <w:rPr>
                <w:rFonts w:ascii="Arial" w:hAnsi="Arial" w:cs="Arial"/>
                <w:sz w:val="14"/>
                <w:szCs w:val="14"/>
              </w:rPr>
              <w:t>β</w:t>
            </w:r>
            <w:r w:rsidRPr="005001D6">
              <w:rPr>
                <w:rFonts w:ascii="Arial" w:hAnsi="Arial" w:cs="Arial"/>
                <w:sz w:val="14"/>
                <w:szCs w:val="14"/>
                <w:lang w:val="es-ES"/>
              </w:rPr>
              <w:t>-</w:t>
            </w:r>
            <w:proofErr w:type="spellStart"/>
            <w:r w:rsidRPr="005001D6">
              <w:rPr>
                <w:rFonts w:ascii="Arial" w:hAnsi="Arial" w:cs="Arial"/>
                <w:sz w:val="14"/>
                <w:szCs w:val="14"/>
                <w:lang w:val="es-ES"/>
              </w:rPr>
              <w:t>glucosidase</w:t>
            </w:r>
            <w:proofErr w:type="spellEnd"/>
            <w:r w:rsidRPr="005001D6">
              <w:rPr>
                <w:rFonts w:ascii="Arial" w:hAnsi="Arial" w:cs="Arial"/>
                <w:sz w:val="14"/>
                <w:szCs w:val="14"/>
                <w:lang w:val="es-ES"/>
              </w:rPr>
              <w:t xml:space="preserve">* </w:t>
            </w:r>
          </w:p>
        </w:tc>
        <w:tc>
          <w:tcPr>
            <w:tcW w:w="705" w:type="pct"/>
            <w:tcBorders>
              <w:top w:val="single" w:sz="4" w:space="0" w:color="auto"/>
              <w:left w:val="nil"/>
              <w:bottom w:val="nil"/>
              <w:right w:val="nil"/>
            </w:tcBorders>
            <w:shd w:val="clear" w:color="auto" w:fill="auto"/>
            <w:vAlign w:val="bottom"/>
          </w:tcPr>
          <w:p w14:paraId="32BDC2D6" w14:textId="77777777" w:rsidR="00B94707" w:rsidRPr="005001D6" w:rsidRDefault="00B94707"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0.47 ± 0.06</w:t>
            </w:r>
          </w:p>
        </w:tc>
        <w:tc>
          <w:tcPr>
            <w:tcW w:w="625" w:type="pct"/>
            <w:tcBorders>
              <w:top w:val="nil"/>
              <w:left w:val="nil"/>
              <w:bottom w:val="nil"/>
              <w:right w:val="nil"/>
            </w:tcBorders>
            <w:shd w:val="clear" w:color="auto" w:fill="auto"/>
            <w:vAlign w:val="bottom"/>
          </w:tcPr>
          <w:p w14:paraId="34E84849" w14:textId="77777777" w:rsidR="00B94707" w:rsidRPr="005001D6" w:rsidRDefault="00B94707"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0.31 ± 0.03</w:t>
            </w:r>
          </w:p>
        </w:tc>
        <w:tc>
          <w:tcPr>
            <w:tcW w:w="620" w:type="pct"/>
            <w:tcBorders>
              <w:top w:val="nil"/>
              <w:left w:val="nil"/>
              <w:bottom w:val="nil"/>
              <w:right w:val="nil"/>
            </w:tcBorders>
            <w:shd w:val="clear" w:color="auto" w:fill="auto"/>
            <w:vAlign w:val="bottom"/>
          </w:tcPr>
          <w:p w14:paraId="4E29E95E" w14:textId="77777777" w:rsidR="00B94707" w:rsidRPr="005001D6" w:rsidRDefault="00B94707"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0.51 ± 0.07</w:t>
            </w:r>
          </w:p>
        </w:tc>
        <w:tc>
          <w:tcPr>
            <w:tcW w:w="393" w:type="pct"/>
            <w:tcBorders>
              <w:top w:val="nil"/>
              <w:left w:val="nil"/>
              <w:bottom w:val="nil"/>
              <w:right w:val="nil"/>
            </w:tcBorders>
            <w:shd w:val="clear" w:color="auto" w:fill="auto"/>
            <w:vAlign w:val="bottom"/>
          </w:tcPr>
          <w:p w14:paraId="38EA949D" w14:textId="77777777" w:rsidR="00B94707" w:rsidRPr="005001D6" w:rsidRDefault="00B94707"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53</w:t>
            </w:r>
          </w:p>
        </w:tc>
        <w:tc>
          <w:tcPr>
            <w:tcW w:w="547" w:type="pct"/>
            <w:tcBorders>
              <w:top w:val="nil"/>
              <w:left w:val="nil"/>
              <w:bottom w:val="nil"/>
              <w:right w:val="nil"/>
            </w:tcBorders>
            <w:shd w:val="clear" w:color="auto" w:fill="auto"/>
            <w:vAlign w:val="bottom"/>
          </w:tcPr>
          <w:p w14:paraId="2789DCE1" w14:textId="33B71C4F" w:rsidR="00B94707" w:rsidRPr="005001D6" w:rsidRDefault="00B94707" w:rsidP="00173FAF">
            <w:pPr>
              <w:widowControl w:val="0"/>
              <w:autoSpaceDE w:val="0"/>
              <w:autoSpaceDN w:val="0"/>
              <w:adjustRightInd w:val="0"/>
              <w:spacing w:line="360" w:lineRule="auto"/>
              <w:jc w:val="both"/>
              <w:rPr>
                <w:rFonts w:ascii="Arial" w:hAnsi="Arial" w:cs="Arial"/>
                <w:b/>
                <w:bCs/>
                <w:sz w:val="14"/>
                <w:szCs w:val="14"/>
              </w:rPr>
            </w:pPr>
            <w:r w:rsidRPr="005001D6">
              <w:rPr>
                <w:rFonts w:ascii="Arial" w:hAnsi="Arial" w:cs="Arial"/>
                <w:b/>
                <w:bCs/>
                <w:sz w:val="14"/>
                <w:szCs w:val="14"/>
              </w:rPr>
              <w:t>&lt;0.01 (30.6)</w:t>
            </w:r>
          </w:p>
        </w:tc>
        <w:tc>
          <w:tcPr>
            <w:tcW w:w="546" w:type="pct"/>
            <w:tcBorders>
              <w:top w:val="nil"/>
              <w:left w:val="nil"/>
              <w:bottom w:val="nil"/>
              <w:right w:val="nil"/>
            </w:tcBorders>
          </w:tcPr>
          <w:p w14:paraId="4BDEF0A9" w14:textId="4BFF6340" w:rsidR="00B94707" w:rsidRPr="005001D6" w:rsidRDefault="001A3688"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0.68 (</w:t>
            </w:r>
            <w:r w:rsidR="00BA7FA8" w:rsidRPr="005001D6">
              <w:rPr>
                <w:rFonts w:ascii="Arial" w:hAnsi="Arial" w:cs="Arial"/>
                <w:sz w:val="14"/>
                <w:szCs w:val="14"/>
              </w:rPr>
              <w:t>0.5)</w:t>
            </w:r>
          </w:p>
        </w:tc>
        <w:tc>
          <w:tcPr>
            <w:tcW w:w="549" w:type="pct"/>
            <w:tcBorders>
              <w:top w:val="nil"/>
              <w:left w:val="nil"/>
              <w:bottom w:val="nil"/>
              <w:right w:val="nil"/>
            </w:tcBorders>
          </w:tcPr>
          <w:p w14:paraId="4F1B6156" w14:textId="0F155F69" w:rsidR="00B94707" w:rsidRPr="005001D6" w:rsidRDefault="00BA7FA8"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0.25 (4.1)</w:t>
            </w:r>
          </w:p>
        </w:tc>
      </w:tr>
      <w:tr w:rsidR="005001D6" w:rsidRPr="005001D6" w14:paraId="004A366E" w14:textId="77777777" w:rsidTr="00BF4696">
        <w:tc>
          <w:tcPr>
            <w:tcW w:w="1015" w:type="pct"/>
            <w:tcBorders>
              <w:top w:val="nil"/>
              <w:left w:val="nil"/>
              <w:bottom w:val="nil"/>
              <w:right w:val="nil"/>
            </w:tcBorders>
          </w:tcPr>
          <w:p w14:paraId="2EC58768" w14:textId="342D99B6" w:rsidR="00B94707" w:rsidRPr="005001D6" w:rsidRDefault="00B94707" w:rsidP="00173FAF">
            <w:pPr>
              <w:widowControl w:val="0"/>
              <w:autoSpaceDE w:val="0"/>
              <w:autoSpaceDN w:val="0"/>
              <w:adjustRightInd w:val="0"/>
              <w:spacing w:line="360" w:lineRule="auto"/>
              <w:jc w:val="both"/>
              <w:rPr>
                <w:rFonts w:ascii="Arial" w:hAnsi="Arial" w:cs="Arial"/>
                <w:sz w:val="14"/>
                <w:szCs w:val="14"/>
                <w:lang w:val="es-ES"/>
              </w:rPr>
            </w:pPr>
            <w:proofErr w:type="spellStart"/>
            <w:r w:rsidRPr="005001D6">
              <w:rPr>
                <w:rFonts w:ascii="Arial" w:hAnsi="Arial" w:cs="Arial"/>
                <w:sz w:val="14"/>
                <w:szCs w:val="14"/>
                <w:lang w:val="es-ES"/>
              </w:rPr>
              <w:t>Cellobiohydrolase</w:t>
            </w:r>
            <w:proofErr w:type="spellEnd"/>
            <w:r w:rsidRPr="005001D6">
              <w:rPr>
                <w:rFonts w:ascii="Arial" w:hAnsi="Arial" w:cs="Arial"/>
                <w:sz w:val="14"/>
                <w:szCs w:val="14"/>
                <w:lang w:val="es-ES"/>
              </w:rPr>
              <w:t xml:space="preserve">* </w:t>
            </w:r>
          </w:p>
        </w:tc>
        <w:tc>
          <w:tcPr>
            <w:tcW w:w="705" w:type="pct"/>
            <w:tcBorders>
              <w:top w:val="nil"/>
              <w:left w:val="nil"/>
              <w:bottom w:val="nil"/>
              <w:right w:val="nil"/>
            </w:tcBorders>
            <w:shd w:val="clear" w:color="auto" w:fill="auto"/>
            <w:vAlign w:val="bottom"/>
          </w:tcPr>
          <w:p w14:paraId="6AE860B1" w14:textId="77777777" w:rsidR="00B94707" w:rsidRPr="005001D6" w:rsidRDefault="00B94707"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0.08 ± 0.01</w:t>
            </w:r>
          </w:p>
        </w:tc>
        <w:tc>
          <w:tcPr>
            <w:tcW w:w="625" w:type="pct"/>
            <w:tcBorders>
              <w:top w:val="nil"/>
              <w:left w:val="nil"/>
              <w:bottom w:val="nil"/>
              <w:right w:val="nil"/>
            </w:tcBorders>
            <w:shd w:val="clear" w:color="auto" w:fill="auto"/>
            <w:vAlign w:val="bottom"/>
          </w:tcPr>
          <w:p w14:paraId="6FD2642D" w14:textId="77777777" w:rsidR="00B94707" w:rsidRPr="005001D6" w:rsidRDefault="00B94707"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0.05 ± 0.01</w:t>
            </w:r>
          </w:p>
        </w:tc>
        <w:tc>
          <w:tcPr>
            <w:tcW w:w="620" w:type="pct"/>
            <w:tcBorders>
              <w:top w:val="nil"/>
              <w:left w:val="nil"/>
              <w:bottom w:val="nil"/>
              <w:right w:val="nil"/>
            </w:tcBorders>
            <w:shd w:val="clear" w:color="auto" w:fill="auto"/>
            <w:vAlign w:val="bottom"/>
          </w:tcPr>
          <w:p w14:paraId="755A188B" w14:textId="77777777" w:rsidR="00B94707" w:rsidRPr="005001D6" w:rsidRDefault="00B94707"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0.09 ± 0.01</w:t>
            </w:r>
          </w:p>
        </w:tc>
        <w:tc>
          <w:tcPr>
            <w:tcW w:w="393" w:type="pct"/>
            <w:tcBorders>
              <w:top w:val="nil"/>
              <w:left w:val="nil"/>
              <w:bottom w:val="nil"/>
              <w:right w:val="nil"/>
            </w:tcBorders>
            <w:shd w:val="clear" w:color="auto" w:fill="auto"/>
            <w:vAlign w:val="bottom"/>
          </w:tcPr>
          <w:p w14:paraId="1C6C72A0" w14:textId="77777777" w:rsidR="00B94707" w:rsidRPr="005001D6" w:rsidRDefault="00B94707"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50</w:t>
            </w:r>
          </w:p>
        </w:tc>
        <w:tc>
          <w:tcPr>
            <w:tcW w:w="547" w:type="pct"/>
            <w:tcBorders>
              <w:top w:val="nil"/>
              <w:left w:val="nil"/>
              <w:bottom w:val="nil"/>
              <w:right w:val="nil"/>
            </w:tcBorders>
            <w:shd w:val="clear" w:color="auto" w:fill="auto"/>
            <w:vAlign w:val="bottom"/>
          </w:tcPr>
          <w:p w14:paraId="573856BC" w14:textId="10D36510" w:rsidR="00B94707" w:rsidRPr="005001D6" w:rsidRDefault="00B94707" w:rsidP="00173FAF">
            <w:pPr>
              <w:widowControl w:val="0"/>
              <w:autoSpaceDE w:val="0"/>
              <w:autoSpaceDN w:val="0"/>
              <w:adjustRightInd w:val="0"/>
              <w:spacing w:line="360" w:lineRule="auto"/>
              <w:jc w:val="both"/>
              <w:rPr>
                <w:rFonts w:ascii="Arial" w:hAnsi="Arial" w:cs="Arial"/>
                <w:b/>
                <w:bCs/>
                <w:sz w:val="14"/>
                <w:szCs w:val="14"/>
              </w:rPr>
            </w:pPr>
            <w:r w:rsidRPr="005001D6">
              <w:rPr>
                <w:rFonts w:ascii="Arial" w:hAnsi="Arial" w:cs="Arial"/>
                <w:b/>
                <w:bCs/>
                <w:sz w:val="14"/>
                <w:szCs w:val="14"/>
              </w:rPr>
              <w:t>&lt;0.01 (27.0)</w:t>
            </w:r>
          </w:p>
        </w:tc>
        <w:tc>
          <w:tcPr>
            <w:tcW w:w="546" w:type="pct"/>
            <w:tcBorders>
              <w:top w:val="nil"/>
              <w:left w:val="nil"/>
              <w:bottom w:val="nil"/>
              <w:right w:val="nil"/>
            </w:tcBorders>
          </w:tcPr>
          <w:p w14:paraId="5AE283B8" w14:textId="0D647334" w:rsidR="00B94707" w:rsidRPr="005001D6" w:rsidRDefault="00BA7FA8"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0.78 (0.2)</w:t>
            </w:r>
          </w:p>
        </w:tc>
        <w:tc>
          <w:tcPr>
            <w:tcW w:w="549" w:type="pct"/>
            <w:tcBorders>
              <w:top w:val="nil"/>
              <w:left w:val="nil"/>
              <w:bottom w:val="nil"/>
              <w:right w:val="nil"/>
            </w:tcBorders>
          </w:tcPr>
          <w:p w14:paraId="7654B7A7" w14:textId="73499E43" w:rsidR="00B94707" w:rsidRPr="005001D6" w:rsidRDefault="00BA7FA8"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1.0 (0.2)</w:t>
            </w:r>
          </w:p>
        </w:tc>
      </w:tr>
      <w:tr w:rsidR="005001D6" w:rsidRPr="005001D6" w14:paraId="3DFB3EDB" w14:textId="77777777" w:rsidTr="00BF4696">
        <w:tc>
          <w:tcPr>
            <w:tcW w:w="1015" w:type="pct"/>
            <w:tcBorders>
              <w:top w:val="nil"/>
              <w:left w:val="nil"/>
              <w:bottom w:val="nil"/>
              <w:right w:val="nil"/>
            </w:tcBorders>
          </w:tcPr>
          <w:p w14:paraId="3A16BDA1" w14:textId="3568AFC5" w:rsidR="00B94707" w:rsidRPr="005001D6" w:rsidRDefault="00B94707"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β-</w:t>
            </w:r>
            <w:proofErr w:type="spellStart"/>
            <w:r w:rsidRPr="005001D6">
              <w:rPr>
                <w:rFonts w:ascii="Arial" w:hAnsi="Arial" w:cs="Arial"/>
                <w:sz w:val="14"/>
                <w:szCs w:val="14"/>
              </w:rPr>
              <w:t>xylosidase</w:t>
            </w:r>
            <w:proofErr w:type="spellEnd"/>
            <w:r w:rsidRPr="005001D6">
              <w:rPr>
                <w:rFonts w:ascii="Arial" w:hAnsi="Arial" w:cs="Arial"/>
                <w:sz w:val="14"/>
                <w:szCs w:val="14"/>
              </w:rPr>
              <w:t>*</w:t>
            </w:r>
          </w:p>
        </w:tc>
        <w:tc>
          <w:tcPr>
            <w:tcW w:w="705" w:type="pct"/>
            <w:tcBorders>
              <w:top w:val="nil"/>
              <w:left w:val="nil"/>
              <w:bottom w:val="nil"/>
              <w:right w:val="nil"/>
            </w:tcBorders>
            <w:shd w:val="clear" w:color="auto" w:fill="auto"/>
            <w:vAlign w:val="bottom"/>
          </w:tcPr>
          <w:p w14:paraId="15758EA7" w14:textId="77777777" w:rsidR="00B94707" w:rsidRPr="005001D6" w:rsidRDefault="00B94707"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0.43 ± 0.04</w:t>
            </w:r>
          </w:p>
        </w:tc>
        <w:tc>
          <w:tcPr>
            <w:tcW w:w="625" w:type="pct"/>
            <w:tcBorders>
              <w:top w:val="nil"/>
              <w:left w:val="nil"/>
              <w:bottom w:val="nil"/>
              <w:right w:val="nil"/>
            </w:tcBorders>
            <w:shd w:val="clear" w:color="auto" w:fill="auto"/>
            <w:vAlign w:val="bottom"/>
          </w:tcPr>
          <w:p w14:paraId="59EE5144" w14:textId="77777777" w:rsidR="00B94707" w:rsidRPr="005001D6" w:rsidRDefault="00B94707"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0.35 ± 0.03</w:t>
            </w:r>
          </w:p>
        </w:tc>
        <w:tc>
          <w:tcPr>
            <w:tcW w:w="620" w:type="pct"/>
            <w:tcBorders>
              <w:top w:val="nil"/>
              <w:left w:val="nil"/>
              <w:bottom w:val="nil"/>
              <w:right w:val="nil"/>
            </w:tcBorders>
            <w:shd w:val="clear" w:color="auto" w:fill="auto"/>
            <w:vAlign w:val="bottom"/>
          </w:tcPr>
          <w:p w14:paraId="26B08B2D" w14:textId="77777777" w:rsidR="00B94707" w:rsidRPr="005001D6" w:rsidRDefault="00B94707"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0.41 ± 0.04</w:t>
            </w:r>
          </w:p>
        </w:tc>
        <w:tc>
          <w:tcPr>
            <w:tcW w:w="393" w:type="pct"/>
            <w:tcBorders>
              <w:top w:val="nil"/>
              <w:left w:val="nil"/>
              <w:bottom w:val="nil"/>
              <w:right w:val="nil"/>
            </w:tcBorders>
            <w:shd w:val="clear" w:color="auto" w:fill="auto"/>
            <w:vAlign w:val="bottom"/>
          </w:tcPr>
          <w:p w14:paraId="5DD7FF48" w14:textId="77777777" w:rsidR="00B94707" w:rsidRPr="005001D6" w:rsidRDefault="00B94707"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23</w:t>
            </w:r>
          </w:p>
        </w:tc>
        <w:tc>
          <w:tcPr>
            <w:tcW w:w="547" w:type="pct"/>
            <w:tcBorders>
              <w:top w:val="nil"/>
              <w:left w:val="nil"/>
              <w:bottom w:val="nil"/>
              <w:right w:val="nil"/>
            </w:tcBorders>
            <w:shd w:val="clear" w:color="auto" w:fill="auto"/>
            <w:vAlign w:val="bottom"/>
          </w:tcPr>
          <w:p w14:paraId="4F2626E6" w14:textId="1D38E436" w:rsidR="00B94707" w:rsidRPr="005001D6" w:rsidRDefault="00B94707" w:rsidP="00173FAF">
            <w:pPr>
              <w:widowControl w:val="0"/>
              <w:autoSpaceDE w:val="0"/>
              <w:autoSpaceDN w:val="0"/>
              <w:adjustRightInd w:val="0"/>
              <w:spacing w:line="360" w:lineRule="auto"/>
              <w:jc w:val="both"/>
              <w:rPr>
                <w:rFonts w:ascii="Arial" w:hAnsi="Arial" w:cs="Arial"/>
                <w:b/>
                <w:bCs/>
                <w:sz w:val="14"/>
                <w:szCs w:val="14"/>
              </w:rPr>
            </w:pPr>
            <w:r w:rsidRPr="005001D6">
              <w:rPr>
                <w:rFonts w:ascii="Arial" w:hAnsi="Arial" w:cs="Arial"/>
                <w:b/>
                <w:bCs/>
                <w:sz w:val="14"/>
                <w:szCs w:val="14"/>
              </w:rPr>
              <w:t>0.0</w:t>
            </w:r>
            <w:r w:rsidR="00BA7FA8" w:rsidRPr="005001D6">
              <w:rPr>
                <w:rFonts w:ascii="Arial" w:hAnsi="Arial" w:cs="Arial"/>
                <w:b/>
                <w:bCs/>
                <w:sz w:val="14"/>
                <w:szCs w:val="14"/>
              </w:rPr>
              <w:t>2</w:t>
            </w:r>
            <w:r w:rsidRPr="005001D6">
              <w:rPr>
                <w:rFonts w:ascii="Arial" w:hAnsi="Arial" w:cs="Arial"/>
                <w:b/>
                <w:bCs/>
                <w:sz w:val="14"/>
                <w:szCs w:val="14"/>
              </w:rPr>
              <w:t xml:space="preserve"> (10.3)</w:t>
            </w:r>
          </w:p>
        </w:tc>
        <w:tc>
          <w:tcPr>
            <w:tcW w:w="546" w:type="pct"/>
            <w:tcBorders>
              <w:top w:val="nil"/>
              <w:left w:val="nil"/>
              <w:bottom w:val="nil"/>
              <w:right w:val="nil"/>
            </w:tcBorders>
          </w:tcPr>
          <w:p w14:paraId="4E59AC21" w14:textId="620B71EB" w:rsidR="00B94707" w:rsidRPr="005001D6" w:rsidRDefault="00BA7FA8"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0.70 (0.3)</w:t>
            </w:r>
          </w:p>
        </w:tc>
        <w:tc>
          <w:tcPr>
            <w:tcW w:w="549" w:type="pct"/>
            <w:tcBorders>
              <w:top w:val="nil"/>
              <w:left w:val="nil"/>
              <w:bottom w:val="nil"/>
              <w:right w:val="nil"/>
            </w:tcBorders>
          </w:tcPr>
          <w:p w14:paraId="18FFBFA8" w14:textId="4C076962" w:rsidR="00B94707" w:rsidRPr="005001D6" w:rsidRDefault="00BA7FA8"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1.0 (&lt;0.1)</w:t>
            </w:r>
          </w:p>
        </w:tc>
      </w:tr>
      <w:tr w:rsidR="005001D6" w:rsidRPr="005001D6" w14:paraId="65443297" w14:textId="77777777" w:rsidTr="00BF4696">
        <w:tc>
          <w:tcPr>
            <w:tcW w:w="1015" w:type="pct"/>
            <w:tcBorders>
              <w:top w:val="nil"/>
              <w:left w:val="nil"/>
              <w:bottom w:val="nil"/>
              <w:right w:val="nil"/>
            </w:tcBorders>
            <w:shd w:val="clear" w:color="auto" w:fill="auto"/>
          </w:tcPr>
          <w:p w14:paraId="7C1A459D" w14:textId="12D3DB6B" w:rsidR="00B94707" w:rsidRPr="005001D6" w:rsidRDefault="00B94707"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Urease</w:t>
            </w:r>
          </w:p>
        </w:tc>
        <w:tc>
          <w:tcPr>
            <w:tcW w:w="705" w:type="pct"/>
            <w:tcBorders>
              <w:top w:val="nil"/>
              <w:left w:val="nil"/>
              <w:bottom w:val="nil"/>
              <w:right w:val="nil"/>
            </w:tcBorders>
            <w:shd w:val="clear" w:color="auto" w:fill="auto"/>
            <w:vAlign w:val="bottom"/>
          </w:tcPr>
          <w:p w14:paraId="16ED93AB" w14:textId="0D472D28" w:rsidR="00B94707" w:rsidRPr="005001D6" w:rsidRDefault="00B94707"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0.006 ± 0.00</w:t>
            </w:r>
            <w:r w:rsidR="00B820F8" w:rsidRPr="005001D6">
              <w:rPr>
                <w:rFonts w:ascii="Arial" w:hAnsi="Arial" w:cs="Arial"/>
                <w:sz w:val="14"/>
                <w:szCs w:val="14"/>
              </w:rPr>
              <w:t>1</w:t>
            </w:r>
          </w:p>
        </w:tc>
        <w:tc>
          <w:tcPr>
            <w:tcW w:w="625" w:type="pct"/>
            <w:tcBorders>
              <w:top w:val="nil"/>
              <w:left w:val="nil"/>
              <w:bottom w:val="nil"/>
              <w:right w:val="nil"/>
            </w:tcBorders>
            <w:shd w:val="clear" w:color="auto" w:fill="auto"/>
            <w:vAlign w:val="bottom"/>
          </w:tcPr>
          <w:p w14:paraId="3346D5DF" w14:textId="77777777" w:rsidR="00B94707" w:rsidRPr="005001D6" w:rsidRDefault="00B94707"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0.005 ± 0.0003</w:t>
            </w:r>
          </w:p>
        </w:tc>
        <w:tc>
          <w:tcPr>
            <w:tcW w:w="620" w:type="pct"/>
            <w:tcBorders>
              <w:top w:val="nil"/>
              <w:left w:val="nil"/>
              <w:bottom w:val="nil"/>
              <w:right w:val="nil"/>
            </w:tcBorders>
            <w:shd w:val="clear" w:color="auto" w:fill="auto"/>
            <w:vAlign w:val="bottom"/>
          </w:tcPr>
          <w:p w14:paraId="3F87A22E" w14:textId="5A1982C2" w:rsidR="00B94707" w:rsidRPr="005001D6" w:rsidRDefault="00B94707"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0.005 ± 0.00</w:t>
            </w:r>
            <w:r w:rsidR="00B820F8" w:rsidRPr="005001D6">
              <w:rPr>
                <w:rFonts w:ascii="Arial" w:hAnsi="Arial" w:cs="Arial"/>
                <w:sz w:val="14"/>
                <w:szCs w:val="14"/>
              </w:rPr>
              <w:t>1</w:t>
            </w:r>
          </w:p>
        </w:tc>
        <w:tc>
          <w:tcPr>
            <w:tcW w:w="393" w:type="pct"/>
            <w:tcBorders>
              <w:top w:val="nil"/>
              <w:left w:val="nil"/>
              <w:bottom w:val="nil"/>
              <w:right w:val="nil"/>
            </w:tcBorders>
            <w:shd w:val="clear" w:color="auto" w:fill="auto"/>
            <w:vAlign w:val="bottom"/>
          </w:tcPr>
          <w:p w14:paraId="51659434" w14:textId="77777777" w:rsidR="00B94707" w:rsidRPr="005001D6" w:rsidRDefault="00B94707"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20</w:t>
            </w:r>
          </w:p>
        </w:tc>
        <w:tc>
          <w:tcPr>
            <w:tcW w:w="547" w:type="pct"/>
            <w:tcBorders>
              <w:top w:val="nil"/>
              <w:left w:val="nil"/>
              <w:bottom w:val="nil"/>
              <w:right w:val="nil"/>
            </w:tcBorders>
            <w:shd w:val="clear" w:color="auto" w:fill="auto"/>
            <w:vAlign w:val="bottom"/>
          </w:tcPr>
          <w:p w14:paraId="2D2E5684" w14:textId="18084251" w:rsidR="00B94707" w:rsidRPr="005001D6" w:rsidRDefault="00BA7FA8"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0.23 (4.1)</w:t>
            </w:r>
          </w:p>
        </w:tc>
        <w:tc>
          <w:tcPr>
            <w:tcW w:w="546" w:type="pct"/>
            <w:tcBorders>
              <w:top w:val="nil"/>
              <w:left w:val="nil"/>
              <w:bottom w:val="nil"/>
              <w:right w:val="nil"/>
            </w:tcBorders>
          </w:tcPr>
          <w:p w14:paraId="24B898B1" w14:textId="124A02F3" w:rsidR="00B94707" w:rsidRPr="005001D6" w:rsidRDefault="00BA7FA8"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0.56 (0.6)</w:t>
            </w:r>
          </w:p>
        </w:tc>
        <w:tc>
          <w:tcPr>
            <w:tcW w:w="549" w:type="pct"/>
            <w:tcBorders>
              <w:top w:val="nil"/>
              <w:left w:val="nil"/>
              <w:bottom w:val="nil"/>
              <w:right w:val="nil"/>
            </w:tcBorders>
            <w:shd w:val="clear" w:color="auto" w:fill="auto"/>
            <w:vAlign w:val="bottom"/>
          </w:tcPr>
          <w:p w14:paraId="0A03B79E" w14:textId="17C7DD4B" w:rsidR="00B94707" w:rsidRPr="005001D6" w:rsidRDefault="00B94707" w:rsidP="00173FAF">
            <w:pPr>
              <w:widowControl w:val="0"/>
              <w:autoSpaceDE w:val="0"/>
              <w:autoSpaceDN w:val="0"/>
              <w:adjustRightInd w:val="0"/>
              <w:spacing w:line="360" w:lineRule="auto"/>
              <w:jc w:val="both"/>
              <w:rPr>
                <w:rFonts w:ascii="Arial" w:hAnsi="Arial" w:cs="Arial"/>
                <w:b/>
                <w:bCs/>
                <w:sz w:val="14"/>
                <w:szCs w:val="14"/>
              </w:rPr>
            </w:pPr>
            <w:r w:rsidRPr="005001D6">
              <w:rPr>
                <w:rFonts w:ascii="Arial" w:hAnsi="Arial" w:cs="Arial"/>
                <w:b/>
                <w:bCs/>
                <w:sz w:val="14"/>
                <w:szCs w:val="14"/>
              </w:rPr>
              <w:t>&lt;0.01 (24.1)</w:t>
            </w:r>
          </w:p>
        </w:tc>
      </w:tr>
      <w:tr w:rsidR="005001D6" w:rsidRPr="005001D6" w14:paraId="0DEF3C29" w14:textId="77777777" w:rsidTr="00BF4696">
        <w:tc>
          <w:tcPr>
            <w:tcW w:w="1015" w:type="pct"/>
            <w:tcBorders>
              <w:top w:val="nil"/>
              <w:left w:val="nil"/>
              <w:bottom w:val="single" w:sz="4" w:space="0" w:color="auto"/>
              <w:right w:val="nil"/>
            </w:tcBorders>
            <w:shd w:val="clear" w:color="auto" w:fill="auto"/>
            <w:vAlign w:val="bottom"/>
          </w:tcPr>
          <w:p w14:paraId="7F94029F" w14:textId="77777777" w:rsidR="00B94707" w:rsidRPr="005001D6" w:rsidRDefault="00B94707" w:rsidP="00173FAF">
            <w:pPr>
              <w:widowControl w:val="0"/>
              <w:autoSpaceDE w:val="0"/>
              <w:autoSpaceDN w:val="0"/>
              <w:adjustRightInd w:val="0"/>
              <w:spacing w:line="360" w:lineRule="auto"/>
              <w:jc w:val="both"/>
              <w:rPr>
                <w:rFonts w:ascii="Arial" w:hAnsi="Arial" w:cs="Arial"/>
                <w:sz w:val="14"/>
                <w:szCs w:val="14"/>
              </w:rPr>
            </w:pPr>
          </w:p>
          <w:p w14:paraId="24D97906" w14:textId="1FBCAC27" w:rsidR="00B94707" w:rsidRPr="005001D6" w:rsidRDefault="00B94707"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 xml:space="preserve">MICROBIAL BIOMASS </w:t>
            </w:r>
          </w:p>
        </w:tc>
        <w:tc>
          <w:tcPr>
            <w:tcW w:w="705" w:type="pct"/>
            <w:tcBorders>
              <w:top w:val="nil"/>
              <w:left w:val="nil"/>
              <w:bottom w:val="nil"/>
              <w:right w:val="nil"/>
            </w:tcBorders>
            <w:shd w:val="clear" w:color="auto" w:fill="auto"/>
            <w:vAlign w:val="bottom"/>
          </w:tcPr>
          <w:p w14:paraId="4604B060" w14:textId="77777777" w:rsidR="00B94707" w:rsidRPr="005001D6" w:rsidRDefault="00B94707" w:rsidP="00173FAF">
            <w:pPr>
              <w:widowControl w:val="0"/>
              <w:autoSpaceDE w:val="0"/>
              <w:autoSpaceDN w:val="0"/>
              <w:adjustRightInd w:val="0"/>
              <w:spacing w:line="360" w:lineRule="auto"/>
              <w:jc w:val="both"/>
              <w:rPr>
                <w:rFonts w:ascii="Arial" w:hAnsi="Arial" w:cs="Arial"/>
                <w:sz w:val="14"/>
                <w:szCs w:val="14"/>
              </w:rPr>
            </w:pPr>
          </w:p>
        </w:tc>
        <w:tc>
          <w:tcPr>
            <w:tcW w:w="625" w:type="pct"/>
            <w:tcBorders>
              <w:top w:val="nil"/>
              <w:left w:val="nil"/>
              <w:bottom w:val="nil"/>
              <w:right w:val="nil"/>
            </w:tcBorders>
            <w:shd w:val="clear" w:color="auto" w:fill="auto"/>
            <w:vAlign w:val="bottom"/>
          </w:tcPr>
          <w:p w14:paraId="3CEF1A82" w14:textId="77777777" w:rsidR="00B94707" w:rsidRPr="005001D6" w:rsidRDefault="00B94707" w:rsidP="00173FAF">
            <w:pPr>
              <w:widowControl w:val="0"/>
              <w:autoSpaceDE w:val="0"/>
              <w:autoSpaceDN w:val="0"/>
              <w:adjustRightInd w:val="0"/>
              <w:spacing w:line="360" w:lineRule="auto"/>
              <w:jc w:val="both"/>
              <w:rPr>
                <w:rFonts w:ascii="Arial" w:hAnsi="Arial" w:cs="Arial"/>
                <w:sz w:val="14"/>
                <w:szCs w:val="14"/>
              </w:rPr>
            </w:pPr>
          </w:p>
        </w:tc>
        <w:tc>
          <w:tcPr>
            <w:tcW w:w="620" w:type="pct"/>
            <w:tcBorders>
              <w:top w:val="nil"/>
              <w:left w:val="nil"/>
              <w:bottom w:val="nil"/>
              <w:right w:val="nil"/>
            </w:tcBorders>
            <w:shd w:val="clear" w:color="auto" w:fill="auto"/>
            <w:vAlign w:val="bottom"/>
          </w:tcPr>
          <w:p w14:paraId="3BD8B994" w14:textId="77777777" w:rsidR="00B94707" w:rsidRPr="005001D6" w:rsidRDefault="00B94707" w:rsidP="00173FAF">
            <w:pPr>
              <w:widowControl w:val="0"/>
              <w:autoSpaceDE w:val="0"/>
              <w:autoSpaceDN w:val="0"/>
              <w:adjustRightInd w:val="0"/>
              <w:spacing w:line="360" w:lineRule="auto"/>
              <w:jc w:val="both"/>
              <w:rPr>
                <w:rFonts w:ascii="Arial" w:hAnsi="Arial" w:cs="Arial"/>
                <w:sz w:val="14"/>
                <w:szCs w:val="14"/>
              </w:rPr>
            </w:pPr>
          </w:p>
        </w:tc>
        <w:tc>
          <w:tcPr>
            <w:tcW w:w="393" w:type="pct"/>
            <w:tcBorders>
              <w:top w:val="nil"/>
              <w:left w:val="nil"/>
              <w:bottom w:val="nil"/>
              <w:right w:val="nil"/>
            </w:tcBorders>
            <w:shd w:val="clear" w:color="auto" w:fill="auto"/>
            <w:vAlign w:val="bottom"/>
          </w:tcPr>
          <w:p w14:paraId="04544021" w14:textId="77777777" w:rsidR="00B94707" w:rsidRPr="005001D6" w:rsidRDefault="00B94707" w:rsidP="00173FAF">
            <w:pPr>
              <w:widowControl w:val="0"/>
              <w:autoSpaceDE w:val="0"/>
              <w:autoSpaceDN w:val="0"/>
              <w:adjustRightInd w:val="0"/>
              <w:spacing w:line="360" w:lineRule="auto"/>
              <w:jc w:val="both"/>
              <w:rPr>
                <w:rFonts w:ascii="Arial" w:hAnsi="Arial" w:cs="Arial"/>
                <w:sz w:val="14"/>
                <w:szCs w:val="14"/>
              </w:rPr>
            </w:pPr>
          </w:p>
        </w:tc>
        <w:tc>
          <w:tcPr>
            <w:tcW w:w="547" w:type="pct"/>
            <w:tcBorders>
              <w:top w:val="nil"/>
              <w:left w:val="nil"/>
              <w:bottom w:val="nil"/>
              <w:right w:val="nil"/>
            </w:tcBorders>
            <w:shd w:val="clear" w:color="auto" w:fill="auto"/>
            <w:vAlign w:val="bottom"/>
          </w:tcPr>
          <w:p w14:paraId="25165414" w14:textId="77777777" w:rsidR="00B94707" w:rsidRPr="005001D6" w:rsidRDefault="00B94707" w:rsidP="00173FAF">
            <w:pPr>
              <w:widowControl w:val="0"/>
              <w:autoSpaceDE w:val="0"/>
              <w:autoSpaceDN w:val="0"/>
              <w:adjustRightInd w:val="0"/>
              <w:spacing w:line="360" w:lineRule="auto"/>
              <w:jc w:val="both"/>
              <w:rPr>
                <w:rFonts w:ascii="Arial" w:hAnsi="Arial" w:cs="Arial"/>
                <w:sz w:val="14"/>
                <w:szCs w:val="14"/>
              </w:rPr>
            </w:pPr>
          </w:p>
        </w:tc>
        <w:tc>
          <w:tcPr>
            <w:tcW w:w="546" w:type="pct"/>
            <w:tcBorders>
              <w:top w:val="nil"/>
              <w:left w:val="nil"/>
              <w:bottom w:val="nil"/>
              <w:right w:val="nil"/>
            </w:tcBorders>
          </w:tcPr>
          <w:p w14:paraId="55689304" w14:textId="65B9D467" w:rsidR="00B94707" w:rsidRPr="005001D6" w:rsidRDefault="00B94707" w:rsidP="00173FAF">
            <w:pPr>
              <w:widowControl w:val="0"/>
              <w:autoSpaceDE w:val="0"/>
              <w:autoSpaceDN w:val="0"/>
              <w:adjustRightInd w:val="0"/>
              <w:spacing w:line="360" w:lineRule="auto"/>
              <w:jc w:val="both"/>
              <w:rPr>
                <w:rFonts w:ascii="Arial" w:hAnsi="Arial" w:cs="Arial"/>
                <w:sz w:val="14"/>
                <w:szCs w:val="14"/>
              </w:rPr>
            </w:pPr>
          </w:p>
        </w:tc>
        <w:tc>
          <w:tcPr>
            <w:tcW w:w="549" w:type="pct"/>
            <w:tcBorders>
              <w:top w:val="nil"/>
              <w:left w:val="nil"/>
              <w:bottom w:val="nil"/>
              <w:right w:val="nil"/>
            </w:tcBorders>
          </w:tcPr>
          <w:p w14:paraId="006BE068" w14:textId="58C695AA" w:rsidR="00B94707" w:rsidRPr="005001D6" w:rsidRDefault="00B94707" w:rsidP="00173FAF">
            <w:pPr>
              <w:widowControl w:val="0"/>
              <w:autoSpaceDE w:val="0"/>
              <w:autoSpaceDN w:val="0"/>
              <w:adjustRightInd w:val="0"/>
              <w:spacing w:line="360" w:lineRule="auto"/>
              <w:jc w:val="both"/>
              <w:rPr>
                <w:rFonts w:ascii="Arial" w:hAnsi="Arial" w:cs="Arial"/>
                <w:sz w:val="14"/>
                <w:szCs w:val="14"/>
              </w:rPr>
            </w:pPr>
          </w:p>
        </w:tc>
      </w:tr>
      <w:tr w:rsidR="005001D6" w:rsidRPr="005001D6" w14:paraId="6D434504" w14:textId="77777777" w:rsidTr="00BF4696">
        <w:tc>
          <w:tcPr>
            <w:tcW w:w="1015" w:type="pct"/>
            <w:tcBorders>
              <w:top w:val="single" w:sz="4" w:space="0" w:color="auto"/>
              <w:left w:val="nil"/>
              <w:bottom w:val="nil"/>
              <w:right w:val="nil"/>
            </w:tcBorders>
          </w:tcPr>
          <w:p w14:paraId="177FA4CD" w14:textId="4EC48705" w:rsidR="00B94707" w:rsidRPr="005001D6" w:rsidRDefault="00B94707"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Carbon (C; µg C g soil</w:t>
            </w:r>
            <w:r w:rsidRPr="005001D6">
              <w:rPr>
                <w:rFonts w:ascii="Arial" w:hAnsi="Arial" w:cs="Arial"/>
                <w:sz w:val="14"/>
                <w:szCs w:val="14"/>
                <w:vertAlign w:val="superscript"/>
              </w:rPr>
              <w:t>-1</w:t>
            </w:r>
            <w:r w:rsidRPr="005001D6">
              <w:rPr>
                <w:rFonts w:ascii="Arial" w:hAnsi="Arial" w:cs="Arial"/>
                <w:sz w:val="14"/>
                <w:szCs w:val="14"/>
              </w:rPr>
              <w:t>) *</w:t>
            </w:r>
          </w:p>
        </w:tc>
        <w:tc>
          <w:tcPr>
            <w:tcW w:w="705" w:type="pct"/>
            <w:tcBorders>
              <w:top w:val="nil"/>
              <w:left w:val="nil"/>
              <w:bottom w:val="nil"/>
              <w:right w:val="nil"/>
            </w:tcBorders>
          </w:tcPr>
          <w:p w14:paraId="16E1FEE7" w14:textId="12B98C8B" w:rsidR="00B94707" w:rsidRPr="005001D6" w:rsidRDefault="00B94707"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3550 ± 381</w:t>
            </w:r>
          </w:p>
        </w:tc>
        <w:tc>
          <w:tcPr>
            <w:tcW w:w="625" w:type="pct"/>
            <w:tcBorders>
              <w:top w:val="nil"/>
              <w:left w:val="nil"/>
              <w:bottom w:val="nil"/>
              <w:right w:val="nil"/>
            </w:tcBorders>
          </w:tcPr>
          <w:p w14:paraId="76FCA0C2" w14:textId="735177FA" w:rsidR="00B94707" w:rsidRPr="005001D6" w:rsidRDefault="00B94707"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4372 ± 460</w:t>
            </w:r>
          </w:p>
        </w:tc>
        <w:tc>
          <w:tcPr>
            <w:tcW w:w="620" w:type="pct"/>
            <w:tcBorders>
              <w:top w:val="nil"/>
              <w:left w:val="nil"/>
              <w:bottom w:val="nil"/>
              <w:right w:val="nil"/>
            </w:tcBorders>
          </w:tcPr>
          <w:p w14:paraId="54B01F32" w14:textId="1774969A" w:rsidR="00B94707" w:rsidRPr="005001D6" w:rsidRDefault="00B94707"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3359 ± 365</w:t>
            </w:r>
          </w:p>
        </w:tc>
        <w:tc>
          <w:tcPr>
            <w:tcW w:w="393" w:type="pct"/>
            <w:tcBorders>
              <w:top w:val="nil"/>
              <w:left w:val="nil"/>
              <w:bottom w:val="nil"/>
              <w:right w:val="nil"/>
            </w:tcBorders>
          </w:tcPr>
          <w:p w14:paraId="03A9B096" w14:textId="6EC25142" w:rsidR="00B94707" w:rsidRPr="005001D6" w:rsidRDefault="00B94707"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-19</w:t>
            </w:r>
          </w:p>
        </w:tc>
        <w:tc>
          <w:tcPr>
            <w:tcW w:w="547" w:type="pct"/>
            <w:tcBorders>
              <w:top w:val="nil"/>
              <w:left w:val="nil"/>
              <w:bottom w:val="nil"/>
              <w:right w:val="nil"/>
            </w:tcBorders>
          </w:tcPr>
          <w:p w14:paraId="0CA693BF" w14:textId="237C1E2A" w:rsidR="00B94707" w:rsidRPr="005001D6" w:rsidRDefault="00B94707" w:rsidP="00173FAF">
            <w:pPr>
              <w:widowControl w:val="0"/>
              <w:autoSpaceDE w:val="0"/>
              <w:autoSpaceDN w:val="0"/>
              <w:adjustRightInd w:val="0"/>
              <w:spacing w:line="360" w:lineRule="auto"/>
              <w:jc w:val="both"/>
              <w:rPr>
                <w:rFonts w:ascii="Arial" w:hAnsi="Arial" w:cs="Arial"/>
                <w:b/>
                <w:bCs/>
                <w:sz w:val="14"/>
                <w:szCs w:val="14"/>
              </w:rPr>
            </w:pPr>
            <w:r w:rsidRPr="005001D6">
              <w:rPr>
                <w:rFonts w:ascii="Arial" w:hAnsi="Arial" w:cs="Arial"/>
                <w:b/>
                <w:bCs/>
                <w:sz w:val="14"/>
                <w:szCs w:val="14"/>
              </w:rPr>
              <w:t>&lt;0.01 (11.5)</w:t>
            </w:r>
          </w:p>
        </w:tc>
        <w:tc>
          <w:tcPr>
            <w:tcW w:w="546" w:type="pct"/>
            <w:tcBorders>
              <w:top w:val="nil"/>
              <w:left w:val="nil"/>
              <w:bottom w:val="nil"/>
              <w:right w:val="nil"/>
            </w:tcBorders>
          </w:tcPr>
          <w:p w14:paraId="61BFFD9C" w14:textId="628089CF" w:rsidR="00B94707" w:rsidRPr="005001D6" w:rsidRDefault="0033746C"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0.97 (&lt;0.1)</w:t>
            </w:r>
          </w:p>
        </w:tc>
        <w:tc>
          <w:tcPr>
            <w:tcW w:w="549" w:type="pct"/>
            <w:tcBorders>
              <w:top w:val="nil"/>
              <w:left w:val="nil"/>
              <w:bottom w:val="nil"/>
              <w:right w:val="nil"/>
            </w:tcBorders>
          </w:tcPr>
          <w:p w14:paraId="3FC4C078" w14:textId="259A3F2B" w:rsidR="00B94707" w:rsidRPr="005001D6" w:rsidRDefault="0033746C"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0.79 (0.5)</w:t>
            </w:r>
          </w:p>
        </w:tc>
      </w:tr>
      <w:tr w:rsidR="005001D6" w:rsidRPr="005001D6" w14:paraId="16205211" w14:textId="77777777" w:rsidTr="00BF4696">
        <w:tc>
          <w:tcPr>
            <w:tcW w:w="1015" w:type="pct"/>
            <w:tcBorders>
              <w:top w:val="nil"/>
              <w:left w:val="nil"/>
              <w:bottom w:val="nil"/>
              <w:right w:val="nil"/>
            </w:tcBorders>
          </w:tcPr>
          <w:p w14:paraId="43FF3C93" w14:textId="647CBA3C" w:rsidR="00B94707" w:rsidRPr="005001D6" w:rsidRDefault="00B94707" w:rsidP="00173FAF">
            <w:pPr>
              <w:widowControl w:val="0"/>
              <w:autoSpaceDE w:val="0"/>
              <w:autoSpaceDN w:val="0"/>
              <w:adjustRightInd w:val="0"/>
              <w:spacing w:line="360" w:lineRule="auto"/>
              <w:jc w:val="both"/>
              <w:rPr>
                <w:rFonts w:ascii="Arial" w:hAnsi="Arial" w:cs="Arial"/>
                <w:sz w:val="14"/>
                <w:szCs w:val="14"/>
                <w:lang w:val="de-AT"/>
              </w:rPr>
            </w:pPr>
            <w:r w:rsidRPr="005001D6">
              <w:rPr>
                <w:rFonts w:ascii="Arial" w:hAnsi="Arial" w:cs="Arial"/>
                <w:sz w:val="14"/>
                <w:szCs w:val="14"/>
                <w:lang w:val="de-DE"/>
              </w:rPr>
              <w:t>Nitrogen (N; µg N g soil</w:t>
            </w:r>
            <w:r w:rsidRPr="005001D6">
              <w:rPr>
                <w:rFonts w:ascii="Arial" w:hAnsi="Arial" w:cs="Arial"/>
                <w:sz w:val="14"/>
                <w:szCs w:val="14"/>
                <w:vertAlign w:val="superscript"/>
                <w:lang w:val="de-DE"/>
              </w:rPr>
              <w:t>-1</w:t>
            </w:r>
            <w:r w:rsidRPr="005001D6">
              <w:rPr>
                <w:rFonts w:ascii="Arial" w:hAnsi="Arial" w:cs="Arial"/>
                <w:sz w:val="14"/>
                <w:szCs w:val="14"/>
                <w:lang w:val="de-DE"/>
              </w:rPr>
              <w:t xml:space="preserve">) </w:t>
            </w:r>
          </w:p>
        </w:tc>
        <w:tc>
          <w:tcPr>
            <w:tcW w:w="705" w:type="pct"/>
            <w:tcBorders>
              <w:top w:val="nil"/>
              <w:left w:val="nil"/>
              <w:bottom w:val="nil"/>
              <w:right w:val="nil"/>
            </w:tcBorders>
          </w:tcPr>
          <w:p w14:paraId="31C3BC3A" w14:textId="51A25C2C" w:rsidR="00B94707" w:rsidRPr="005001D6" w:rsidRDefault="00B94707"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383.9 ± 39.7</w:t>
            </w:r>
          </w:p>
        </w:tc>
        <w:tc>
          <w:tcPr>
            <w:tcW w:w="625" w:type="pct"/>
            <w:tcBorders>
              <w:top w:val="nil"/>
              <w:left w:val="nil"/>
              <w:bottom w:val="nil"/>
              <w:right w:val="nil"/>
            </w:tcBorders>
          </w:tcPr>
          <w:p w14:paraId="3D18DB55" w14:textId="5CB6D535" w:rsidR="00B94707" w:rsidRPr="005001D6" w:rsidRDefault="00B94707"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546.5 ± 46.5</w:t>
            </w:r>
          </w:p>
        </w:tc>
        <w:tc>
          <w:tcPr>
            <w:tcW w:w="620" w:type="pct"/>
            <w:tcBorders>
              <w:top w:val="nil"/>
              <w:left w:val="nil"/>
              <w:bottom w:val="nil"/>
              <w:right w:val="nil"/>
            </w:tcBorders>
          </w:tcPr>
          <w:p w14:paraId="7DA312AF" w14:textId="6D1E2832" w:rsidR="00B94707" w:rsidRPr="005001D6" w:rsidRDefault="00B94707"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409.7 ± 34.5</w:t>
            </w:r>
          </w:p>
        </w:tc>
        <w:tc>
          <w:tcPr>
            <w:tcW w:w="393" w:type="pct"/>
            <w:tcBorders>
              <w:top w:val="nil"/>
              <w:left w:val="nil"/>
              <w:bottom w:val="nil"/>
              <w:right w:val="nil"/>
            </w:tcBorders>
          </w:tcPr>
          <w:p w14:paraId="7410B65D" w14:textId="38F8ED1E" w:rsidR="00B94707" w:rsidRPr="005001D6" w:rsidRDefault="00B94707"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-30</w:t>
            </w:r>
          </w:p>
        </w:tc>
        <w:tc>
          <w:tcPr>
            <w:tcW w:w="547" w:type="pct"/>
            <w:tcBorders>
              <w:top w:val="nil"/>
              <w:left w:val="nil"/>
              <w:bottom w:val="nil"/>
              <w:right w:val="nil"/>
            </w:tcBorders>
          </w:tcPr>
          <w:p w14:paraId="350B7E29" w14:textId="2D3E7A34" w:rsidR="00B94707" w:rsidRPr="005001D6" w:rsidRDefault="00B94707" w:rsidP="00173FAF">
            <w:pPr>
              <w:widowControl w:val="0"/>
              <w:autoSpaceDE w:val="0"/>
              <w:autoSpaceDN w:val="0"/>
              <w:adjustRightInd w:val="0"/>
              <w:spacing w:line="360" w:lineRule="auto"/>
              <w:jc w:val="both"/>
              <w:rPr>
                <w:rFonts w:ascii="Arial" w:hAnsi="Arial" w:cs="Arial"/>
                <w:b/>
                <w:bCs/>
                <w:sz w:val="14"/>
                <w:szCs w:val="14"/>
              </w:rPr>
            </w:pPr>
            <w:r w:rsidRPr="005001D6">
              <w:rPr>
                <w:rFonts w:ascii="Arial" w:hAnsi="Arial" w:cs="Arial"/>
                <w:b/>
                <w:bCs/>
                <w:sz w:val="14"/>
                <w:szCs w:val="14"/>
              </w:rPr>
              <w:t>&lt;0.01 (31.9)</w:t>
            </w:r>
          </w:p>
        </w:tc>
        <w:tc>
          <w:tcPr>
            <w:tcW w:w="546" w:type="pct"/>
            <w:tcBorders>
              <w:top w:val="nil"/>
              <w:left w:val="nil"/>
              <w:bottom w:val="nil"/>
              <w:right w:val="nil"/>
            </w:tcBorders>
          </w:tcPr>
          <w:p w14:paraId="1C3A9E6C" w14:textId="3E651AAD" w:rsidR="00B94707" w:rsidRPr="005001D6" w:rsidRDefault="0033746C"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0.88 (&lt;0.1)</w:t>
            </w:r>
          </w:p>
        </w:tc>
        <w:tc>
          <w:tcPr>
            <w:tcW w:w="549" w:type="pct"/>
            <w:tcBorders>
              <w:top w:val="nil"/>
              <w:left w:val="nil"/>
              <w:bottom w:val="nil"/>
              <w:right w:val="nil"/>
            </w:tcBorders>
          </w:tcPr>
          <w:p w14:paraId="1CDBCCFB" w14:textId="4C9C7DBE" w:rsidR="00B94707" w:rsidRPr="005001D6" w:rsidRDefault="0033746C"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0.26 (2.7)</w:t>
            </w:r>
          </w:p>
        </w:tc>
      </w:tr>
      <w:tr w:rsidR="005001D6" w:rsidRPr="005001D6" w14:paraId="59040F62" w14:textId="77777777" w:rsidTr="00715DEE">
        <w:tc>
          <w:tcPr>
            <w:tcW w:w="1015" w:type="pct"/>
            <w:tcBorders>
              <w:top w:val="nil"/>
              <w:left w:val="nil"/>
              <w:bottom w:val="nil"/>
              <w:right w:val="nil"/>
            </w:tcBorders>
          </w:tcPr>
          <w:p w14:paraId="289447D9" w14:textId="2C950AE3" w:rsidR="00B94707" w:rsidRPr="005001D6" w:rsidRDefault="00B94707"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 xml:space="preserve">C: N ratio </w:t>
            </w:r>
          </w:p>
        </w:tc>
        <w:tc>
          <w:tcPr>
            <w:tcW w:w="705" w:type="pct"/>
            <w:tcBorders>
              <w:top w:val="nil"/>
              <w:left w:val="nil"/>
              <w:bottom w:val="nil"/>
              <w:right w:val="nil"/>
            </w:tcBorders>
          </w:tcPr>
          <w:p w14:paraId="5B952480" w14:textId="6CCF707E" w:rsidR="00B94707" w:rsidRPr="005001D6" w:rsidRDefault="00B94707"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9.3 ± 0.3</w:t>
            </w:r>
          </w:p>
        </w:tc>
        <w:tc>
          <w:tcPr>
            <w:tcW w:w="625" w:type="pct"/>
            <w:tcBorders>
              <w:top w:val="nil"/>
              <w:left w:val="nil"/>
              <w:bottom w:val="nil"/>
              <w:right w:val="nil"/>
            </w:tcBorders>
          </w:tcPr>
          <w:p w14:paraId="03A62615" w14:textId="6D1B7D4B" w:rsidR="00B94707" w:rsidRPr="005001D6" w:rsidRDefault="00B94707"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7.8 ± 0.2</w:t>
            </w:r>
          </w:p>
        </w:tc>
        <w:tc>
          <w:tcPr>
            <w:tcW w:w="620" w:type="pct"/>
            <w:tcBorders>
              <w:top w:val="nil"/>
              <w:left w:val="nil"/>
              <w:bottom w:val="nil"/>
              <w:right w:val="nil"/>
            </w:tcBorders>
          </w:tcPr>
          <w:p w14:paraId="180FB678" w14:textId="52A29943" w:rsidR="00B94707" w:rsidRPr="005001D6" w:rsidRDefault="00B94707"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8 ± 0.3</w:t>
            </w:r>
          </w:p>
        </w:tc>
        <w:tc>
          <w:tcPr>
            <w:tcW w:w="393" w:type="pct"/>
            <w:tcBorders>
              <w:top w:val="nil"/>
              <w:left w:val="nil"/>
              <w:bottom w:val="nil"/>
              <w:right w:val="nil"/>
            </w:tcBorders>
          </w:tcPr>
          <w:p w14:paraId="2DD7CDF8" w14:textId="42DE7249" w:rsidR="00B94707" w:rsidRPr="005001D6" w:rsidRDefault="00B94707"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18</w:t>
            </w:r>
          </w:p>
        </w:tc>
        <w:tc>
          <w:tcPr>
            <w:tcW w:w="547" w:type="pct"/>
            <w:tcBorders>
              <w:top w:val="nil"/>
              <w:left w:val="nil"/>
              <w:bottom w:val="nil"/>
              <w:right w:val="nil"/>
            </w:tcBorders>
          </w:tcPr>
          <w:p w14:paraId="6576417C" w14:textId="22CDECAD" w:rsidR="00B94707" w:rsidRPr="005001D6" w:rsidRDefault="00B94707" w:rsidP="00173FAF">
            <w:pPr>
              <w:widowControl w:val="0"/>
              <w:autoSpaceDE w:val="0"/>
              <w:autoSpaceDN w:val="0"/>
              <w:adjustRightInd w:val="0"/>
              <w:spacing w:line="360" w:lineRule="auto"/>
              <w:jc w:val="both"/>
              <w:rPr>
                <w:rFonts w:ascii="Arial" w:hAnsi="Arial" w:cs="Arial"/>
                <w:b/>
                <w:bCs/>
                <w:sz w:val="14"/>
                <w:szCs w:val="14"/>
              </w:rPr>
            </w:pPr>
            <w:r w:rsidRPr="005001D6">
              <w:rPr>
                <w:rFonts w:ascii="Arial" w:hAnsi="Arial" w:cs="Arial"/>
                <w:b/>
                <w:bCs/>
                <w:sz w:val="14"/>
                <w:szCs w:val="14"/>
              </w:rPr>
              <w:t>&lt;0.01 (36.1)</w:t>
            </w:r>
          </w:p>
        </w:tc>
        <w:tc>
          <w:tcPr>
            <w:tcW w:w="546" w:type="pct"/>
            <w:tcBorders>
              <w:top w:val="nil"/>
              <w:left w:val="nil"/>
              <w:bottom w:val="nil"/>
              <w:right w:val="nil"/>
            </w:tcBorders>
          </w:tcPr>
          <w:p w14:paraId="142879E6" w14:textId="30E690BA" w:rsidR="00B94707" w:rsidRPr="005001D6" w:rsidRDefault="0033746C"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0.65 (0.2)</w:t>
            </w:r>
          </w:p>
        </w:tc>
        <w:tc>
          <w:tcPr>
            <w:tcW w:w="549" w:type="pct"/>
            <w:tcBorders>
              <w:top w:val="nil"/>
              <w:left w:val="nil"/>
              <w:bottom w:val="nil"/>
              <w:right w:val="nil"/>
            </w:tcBorders>
          </w:tcPr>
          <w:p w14:paraId="185F4B58" w14:textId="7FF8669D" w:rsidR="00B94707" w:rsidRPr="005001D6" w:rsidRDefault="0033746C"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0.15 (3.8)</w:t>
            </w:r>
          </w:p>
        </w:tc>
      </w:tr>
      <w:tr w:rsidR="005001D6" w:rsidRPr="005001D6" w14:paraId="5C92412D" w14:textId="77777777" w:rsidTr="00BF4696">
        <w:tc>
          <w:tcPr>
            <w:tcW w:w="1720" w:type="pct"/>
            <w:gridSpan w:val="2"/>
            <w:tcBorders>
              <w:top w:val="nil"/>
              <w:left w:val="nil"/>
              <w:bottom w:val="single" w:sz="4" w:space="0" w:color="auto"/>
              <w:right w:val="nil"/>
            </w:tcBorders>
            <w:shd w:val="clear" w:color="auto" w:fill="auto"/>
            <w:vAlign w:val="bottom"/>
          </w:tcPr>
          <w:p w14:paraId="3A1FFA20" w14:textId="77777777" w:rsidR="005E6CC5" w:rsidRPr="005001D6" w:rsidRDefault="005E6CC5" w:rsidP="00173FAF">
            <w:pPr>
              <w:widowControl w:val="0"/>
              <w:autoSpaceDE w:val="0"/>
              <w:autoSpaceDN w:val="0"/>
              <w:adjustRightInd w:val="0"/>
              <w:spacing w:line="360" w:lineRule="auto"/>
              <w:jc w:val="both"/>
              <w:rPr>
                <w:rFonts w:ascii="Arial" w:hAnsi="Arial" w:cs="Arial"/>
                <w:sz w:val="14"/>
                <w:szCs w:val="14"/>
              </w:rPr>
            </w:pPr>
          </w:p>
          <w:p w14:paraId="653EF50E" w14:textId="77CB7A9C" w:rsidR="005E6CC5" w:rsidRPr="005001D6" w:rsidRDefault="005E6CC5"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 xml:space="preserve">BIOGEOCHEMICAL SOIL PROPERTIES </w:t>
            </w:r>
          </w:p>
        </w:tc>
        <w:tc>
          <w:tcPr>
            <w:tcW w:w="625" w:type="pct"/>
            <w:tcBorders>
              <w:top w:val="nil"/>
              <w:left w:val="nil"/>
              <w:bottom w:val="nil"/>
              <w:right w:val="nil"/>
            </w:tcBorders>
            <w:shd w:val="clear" w:color="auto" w:fill="auto"/>
            <w:vAlign w:val="bottom"/>
          </w:tcPr>
          <w:p w14:paraId="3B4C066F" w14:textId="77777777" w:rsidR="005E6CC5" w:rsidRPr="005001D6" w:rsidRDefault="005E6CC5" w:rsidP="00173FAF">
            <w:pPr>
              <w:widowControl w:val="0"/>
              <w:autoSpaceDE w:val="0"/>
              <w:autoSpaceDN w:val="0"/>
              <w:adjustRightInd w:val="0"/>
              <w:spacing w:line="360" w:lineRule="auto"/>
              <w:jc w:val="both"/>
              <w:rPr>
                <w:rFonts w:ascii="Arial" w:hAnsi="Arial" w:cs="Arial"/>
                <w:sz w:val="14"/>
                <w:szCs w:val="14"/>
              </w:rPr>
            </w:pPr>
          </w:p>
        </w:tc>
        <w:tc>
          <w:tcPr>
            <w:tcW w:w="620" w:type="pct"/>
            <w:tcBorders>
              <w:top w:val="nil"/>
              <w:left w:val="nil"/>
              <w:bottom w:val="nil"/>
              <w:right w:val="nil"/>
            </w:tcBorders>
            <w:shd w:val="clear" w:color="auto" w:fill="auto"/>
            <w:vAlign w:val="bottom"/>
          </w:tcPr>
          <w:p w14:paraId="6E9F9CD3" w14:textId="77777777" w:rsidR="005E6CC5" w:rsidRPr="005001D6" w:rsidRDefault="005E6CC5" w:rsidP="00173FAF">
            <w:pPr>
              <w:widowControl w:val="0"/>
              <w:autoSpaceDE w:val="0"/>
              <w:autoSpaceDN w:val="0"/>
              <w:adjustRightInd w:val="0"/>
              <w:spacing w:line="360" w:lineRule="auto"/>
              <w:jc w:val="both"/>
              <w:rPr>
                <w:rFonts w:ascii="Arial" w:hAnsi="Arial" w:cs="Arial"/>
                <w:sz w:val="14"/>
                <w:szCs w:val="14"/>
              </w:rPr>
            </w:pPr>
          </w:p>
        </w:tc>
        <w:tc>
          <w:tcPr>
            <w:tcW w:w="393" w:type="pct"/>
            <w:tcBorders>
              <w:top w:val="nil"/>
              <w:left w:val="nil"/>
              <w:bottom w:val="nil"/>
              <w:right w:val="nil"/>
            </w:tcBorders>
            <w:shd w:val="clear" w:color="auto" w:fill="auto"/>
            <w:vAlign w:val="bottom"/>
          </w:tcPr>
          <w:p w14:paraId="7C5035F2" w14:textId="77777777" w:rsidR="005E6CC5" w:rsidRPr="005001D6" w:rsidRDefault="005E6CC5" w:rsidP="00173FAF">
            <w:pPr>
              <w:widowControl w:val="0"/>
              <w:autoSpaceDE w:val="0"/>
              <w:autoSpaceDN w:val="0"/>
              <w:adjustRightInd w:val="0"/>
              <w:spacing w:line="360" w:lineRule="auto"/>
              <w:jc w:val="both"/>
              <w:rPr>
                <w:rFonts w:ascii="Arial" w:hAnsi="Arial" w:cs="Arial"/>
                <w:sz w:val="14"/>
                <w:szCs w:val="14"/>
              </w:rPr>
            </w:pPr>
          </w:p>
        </w:tc>
        <w:tc>
          <w:tcPr>
            <w:tcW w:w="547" w:type="pct"/>
            <w:tcBorders>
              <w:top w:val="nil"/>
              <w:left w:val="nil"/>
              <w:bottom w:val="nil"/>
              <w:right w:val="nil"/>
            </w:tcBorders>
            <w:shd w:val="clear" w:color="auto" w:fill="auto"/>
            <w:vAlign w:val="bottom"/>
          </w:tcPr>
          <w:p w14:paraId="1BD15AF1" w14:textId="77777777" w:rsidR="005E6CC5" w:rsidRPr="005001D6" w:rsidRDefault="005E6CC5" w:rsidP="00173FAF">
            <w:pPr>
              <w:widowControl w:val="0"/>
              <w:autoSpaceDE w:val="0"/>
              <w:autoSpaceDN w:val="0"/>
              <w:adjustRightInd w:val="0"/>
              <w:spacing w:line="360" w:lineRule="auto"/>
              <w:jc w:val="both"/>
              <w:rPr>
                <w:rFonts w:ascii="Arial" w:hAnsi="Arial" w:cs="Arial"/>
                <w:sz w:val="14"/>
                <w:szCs w:val="14"/>
              </w:rPr>
            </w:pPr>
          </w:p>
        </w:tc>
        <w:tc>
          <w:tcPr>
            <w:tcW w:w="546" w:type="pct"/>
            <w:tcBorders>
              <w:top w:val="nil"/>
              <w:left w:val="nil"/>
              <w:bottom w:val="nil"/>
              <w:right w:val="nil"/>
            </w:tcBorders>
          </w:tcPr>
          <w:p w14:paraId="7AA2A290" w14:textId="04BB2D9C" w:rsidR="005E6CC5" w:rsidRPr="005001D6" w:rsidRDefault="005E6CC5" w:rsidP="00173FAF">
            <w:pPr>
              <w:widowControl w:val="0"/>
              <w:autoSpaceDE w:val="0"/>
              <w:autoSpaceDN w:val="0"/>
              <w:adjustRightInd w:val="0"/>
              <w:spacing w:line="360" w:lineRule="auto"/>
              <w:jc w:val="both"/>
              <w:rPr>
                <w:rFonts w:ascii="Arial" w:hAnsi="Arial" w:cs="Arial"/>
                <w:sz w:val="14"/>
                <w:szCs w:val="14"/>
              </w:rPr>
            </w:pPr>
          </w:p>
        </w:tc>
        <w:tc>
          <w:tcPr>
            <w:tcW w:w="549" w:type="pct"/>
            <w:tcBorders>
              <w:top w:val="nil"/>
              <w:left w:val="nil"/>
              <w:bottom w:val="nil"/>
              <w:right w:val="nil"/>
            </w:tcBorders>
          </w:tcPr>
          <w:p w14:paraId="3D1204F7" w14:textId="6FD933BC" w:rsidR="005E6CC5" w:rsidRPr="005001D6" w:rsidRDefault="005E6CC5" w:rsidP="00173FAF">
            <w:pPr>
              <w:widowControl w:val="0"/>
              <w:autoSpaceDE w:val="0"/>
              <w:autoSpaceDN w:val="0"/>
              <w:adjustRightInd w:val="0"/>
              <w:spacing w:line="360" w:lineRule="auto"/>
              <w:jc w:val="both"/>
              <w:rPr>
                <w:rFonts w:ascii="Arial" w:hAnsi="Arial" w:cs="Arial"/>
                <w:sz w:val="14"/>
                <w:szCs w:val="14"/>
              </w:rPr>
            </w:pPr>
          </w:p>
        </w:tc>
      </w:tr>
      <w:tr w:rsidR="005001D6" w:rsidRPr="005001D6" w14:paraId="1922D136" w14:textId="77777777" w:rsidTr="00715DEE">
        <w:tc>
          <w:tcPr>
            <w:tcW w:w="1015" w:type="pct"/>
            <w:tcBorders>
              <w:top w:val="nil"/>
              <w:left w:val="nil"/>
              <w:bottom w:val="nil"/>
              <w:right w:val="nil"/>
            </w:tcBorders>
            <w:shd w:val="clear" w:color="auto" w:fill="auto"/>
          </w:tcPr>
          <w:p w14:paraId="7D89BB5A" w14:textId="77777777" w:rsidR="00BF4696" w:rsidRPr="005001D6" w:rsidRDefault="00BF4696"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Available NH</w:t>
            </w:r>
            <w:r w:rsidRPr="005001D6">
              <w:rPr>
                <w:rFonts w:ascii="Arial" w:hAnsi="Arial" w:cs="Arial"/>
                <w:sz w:val="14"/>
                <w:szCs w:val="14"/>
                <w:vertAlign w:val="subscript"/>
              </w:rPr>
              <w:t>4</w:t>
            </w:r>
            <w:r w:rsidRPr="005001D6">
              <w:rPr>
                <w:rFonts w:ascii="Arial" w:hAnsi="Arial" w:cs="Arial"/>
                <w:sz w:val="14"/>
                <w:szCs w:val="14"/>
                <w:vertAlign w:val="superscript"/>
              </w:rPr>
              <w:t>+</w:t>
            </w:r>
            <w:r w:rsidRPr="005001D6">
              <w:rPr>
                <w:rFonts w:ascii="Arial" w:hAnsi="Arial" w:cs="Arial"/>
                <w:sz w:val="14"/>
                <w:szCs w:val="14"/>
              </w:rPr>
              <w:t xml:space="preserve"> </w:t>
            </w:r>
          </w:p>
          <w:p w14:paraId="71DB3A6E" w14:textId="27E56B9A" w:rsidR="00BF4696" w:rsidRPr="005001D6" w:rsidRDefault="00BF4696"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(µg N g</w:t>
            </w:r>
            <w:r w:rsidRPr="005001D6">
              <w:rPr>
                <w:rFonts w:ascii="Arial" w:hAnsi="Arial" w:cs="Arial"/>
                <w:sz w:val="14"/>
                <w:szCs w:val="14"/>
                <w:vertAlign w:val="superscript"/>
              </w:rPr>
              <w:t>-1</w:t>
            </w:r>
            <w:r w:rsidRPr="005001D6">
              <w:rPr>
                <w:rFonts w:ascii="Arial" w:hAnsi="Arial" w:cs="Arial"/>
                <w:sz w:val="14"/>
                <w:szCs w:val="14"/>
              </w:rPr>
              <w:t xml:space="preserve"> dry soil) * </w:t>
            </w:r>
          </w:p>
        </w:tc>
        <w:tc>
          <w:tcPr>
            <w:tcW w:w="705" w:type="pct"/>
            <w:tcBorders>
              <w:top w:val="nil"/>
              <w:left w:val="nil"/>
              <w:bottom w:val="nil"/>
              <w:right w:val="nil"/>
            </w:tcBorders>
            <w:shd w:val="clear" w:color="auto" w:fill="auto"/>
            <w:vAlign w:val="bottom"/>
          </w:tcPr>
          <w:p w14:paraId="025D7B10" w14:textId="4F224AC4" w:rsidR="00BF4696" w:rsidRPr="005001D6" w:rsidRDefault="00BF4696"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1.6 ± 0.3</w:t>
            </w:r>
          </w:p>
        </w:tc>
        <w:tc>
          <w:tcPr>
            <w:tcW w:w="625" w:type="pct"/>
            <w:tcBorders>
              <w:top w:val="nil"/>
              <w:left w:val="nil"/>
              <w:bottom w:val="nil"/>
              <w:right w:val="nil"/>
            </w:tcBorders>
            <w:shd w:val="clear" w:color="auto" w:fill="auto"/>
            <w:vAlign w:val="bottom"/>
          </w:tcPr>
          <w:p w14:paraId="5746B3E8" w14:textId="6993E232" w:rsidR="00BF4696" w:rsidRPr="005001D6" w:rsidRDefault="00BF4696"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2.3 ± 0.2</w:t>
            </w:r>
          </w:p>
        </w:tc>
        <w:tc>
          <w:tcPr>
            <w:tcW w:w="620" w:type="pct"/>
            <w:tcBorders>
              <w:top w:val="nil"/>
              <w:left w:val="nil"/>
              <w:bottom w:val="nil"/>
              <w:right w:val="nil"/>
            </w:tcBorders>
            <w:shd w:val="clear" w:color="auto" w:fill="auto"/>
            <w:vAlign w:val="bottom"/>
          </w:tcPr>
          <w:p w14:paraId="4E70B3BC" w14:textId="2B76B3FF" w:rsidR="00BF4696" w:rsidRPr="005001D6" w:rsidRDefault="00BF4696"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2.7 ± 0.4</w:t>
            </w:r>
          </w:p>
        </w:tc>
        <w:tc>
          <w:tcPr>
            <w:tcW w:w="393" w:type="pct"/>
            <w:tcBorders>
              <w:top w:val="nil"/>
              <w:left w:val="nil"/>
              <w:bottom w:val="nil"/>
              <w:right w:val="nil"/>
            </w:tcBorders>
            <w:shd w:val="clear" w:color="auto" w:fill="auto"/>
            <w:vAlign w:val="bottom"/>
          </w:tcPr>
          <w:p w14:paraId="54AC05B8" w14:textId="5EEFC5CE" w:rsidR="00BF4696" w:rsidRPr="005001D6" w:rsidRDefault="00BF4696"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-28</w:t>
            </w:r>
          </w:p>
        </w:tc>
        <w:tc>
          <w:tcPr>
            <w:tcW w:w="547" w:type="pct"/>
            <w:tcBorders>
              <w:top w:val="nil"/>
              <w:left w:val="nil"/>
              <w:bottom w:val="nil"/>
              <w:right w:val="nil"/>
            </w:tcBorders>
            <w:shd w:val="clear" w:color="auto" w:fill="auto"/>
            <w:vAlign w:val="bottom"/>
          </w:tcPr>
          <w:p w14:paraId="4B5BCA47" w14:textId="4BC197E7" w:rsidR="00BF4696" w:rsidRPr="005001D6" w:rsidRDefault="00BF4696"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b/>
                <w:bCs/>
                <w:sz w:val="14"/>
                <w:szCs w:val="14"/>
              </w:rPr>
              <w:t>0.0</w:t>
            </w:r>
            <w:r w:rsidR="00175303" w:rsidRPr="005001D6">
              <w:rPr>
                <w:rFonts w:ascii="Arial" w:hAnsi="Arial" w:cs="Arial"/>
                <w:b/>
                <w:bCs/>
                <w:sz w:val="14"/>
                <w:szCs w:val="14"/>
              </w:rPr>
              <w:t>1</w:t>
            </w:r>
            <w:r w:rsidRPr="005001D6">
              <w:rPr>
                <w:rFonts w:ascii="Arial" w:hAnsi="Arial" w:cs="Arial"/>
                <w:b/>
                <w:bCs/>
                <w:sz w:val="14"/>
                <w:szCs w:val="14"/>
              </w:rPr>
              <w:t xml:space="preserve"> (</w:t>
            </w:r>
            <w:r w:rsidR="00C93A16" w:rsidRPr="005001D6">
              <w:rPr>
                <w:rFonts w:ascii="Arial" w:hAnsi="Arial" w:cs="Arial"/>
                <w:b/>
                <w:bCs/>
                <w:sz w:val="14"/>
                <w:szCs w:val="14"/>
              </w:rPr>
              <w:t>11.6</w:t>
            </w:r>
            <w:r w:rsidRPr="005001D6">
              <w:rPr>
                <w:rFonts w:ascii="Arial" w:hAnsi="Arial" w:cs="Arial"/>
                <w:b/>
                <w:bCs/>
                <w:sz w:val="14"/>
                <w:szCs w:val="14"/>
              </w:rPr>
              <w:t>)</w:t>
            </w:r>
          </w:p>
        </w:tc>
        <w:tc>
          <w:tcPr>
            <w:tcW w:w="546" w:type="pct"/>
            <w:tcBorders>
              <w:top w:val="nil"/>
              <w:left w:val="nil"/>
              <w:bottom w:val="nil"/>
              <w:right w:val="nil"/>
            </w:tcBorders>
          </w:tcPr>
          <w:p w14:paraId="50FFAE7D" w14:textId="77777777" w:rsidR="007D4ABB" w:rsidRPr="005001D6" w:rsidRDefault="007D4ABB" w:rsidP="00173FAF">
            <w:pPr>
              <w:widowControl w:val="0"/>
              <w:autoSpaceDE w:val="0"/>
              <w:autoSpaceDN w:val="0"/>
              <w:adjustRightInd w:val="0"/>
              <w:spacing w:line="360" w:lineRule="auto"/>
              <w:jc w:val="both"/>
              <w:rPr>
                <w:rFonts w:ascii="Arial" w:hAnsi="Arial" w:cs="Arial"/>
                <w:sz w:val="14"/>
                <w:szCs w:val="14"/>
              </w:rPr>
            </w:pPr>
          </w:p>
          <w:p w14:paraId="50726107" w14:textId="4F9525EC" w:rsidR="00BF4696" w:rsidRPr="005001D6" w:rsidRDefault="007D4ABB"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0</w:t>
            </w:r>
            <w:r w:rsidR="00C93A16" w:rsidRPr="005001D6">
              <w:rPr>
                <w:rFonts w:ascii="Arial" w:hAnsi="Arial" w:cs="Arial"/>
                <w:sz w:val="14"/>
                <w:szCs w:val="14"/>
              </w:rPr>
              <w:t>.</w:t>
            </w:r>
            <w:r w:rsidR="00175303" w:rsidRPr="005001D6">
              <w:rPr>
                <w:rFonts w:ascii="Arial" w:hAnsi="Arial" w:cs="Arial"/>
                <w:sz w:val="14"/>
                <w:szCs w:val="14"/>
              </w:rPr>
              <w:t>60</w:t>
            </w:r>
            <w:r w:rsidR="00C93A16" w:rsidRPr="005001D6">
              <w:rPr>
                <w:rFonts w:ascii="Arial" w:hAnsi="Arial" w:cs="Arial"/>
                <w:sz w:val="14"/>
                <w:szCs w:val="14"/>
              </w:rPr>
              <w:t xml:space="preserve"> (0.9)</w:t>
            </w:r>
          </w:p>
        </w:tc>
        <w:tc>
          <w:tcPr>
            <w:tcW w:w="549" w:type="pct"/>
            <w:tcBorders>
              <w:top w:val="nil"/>
              <w:left w:val="nil"/>
              <w:bottom w:val="nil"/>
              <w:right w:val="nil"/>
            </w:tcBorders>
          </w:tcPr>
          <w:p w14:paraId="52C0D4FC" w14:textId="77777777" w:rsidR="007D4ABB" w:rsidRPr="005001D6" w:rsidRDefault="007D4ABB" w:rsidP="00173FAF">
            <w:pPr>
              <w:widowControl w:val="0"/>
              <w:autoSpaceDE w:val="0"/>
              <w:autoSpaceDN w:val="0"/>
              <w:adjustRightInd w:val="0"/>
              <w:spacing w:line="360" w:lineRule="auto"/>
              <w:jc w:val="both"/>
              <w:rPr>
                <w:rFonts w:ascii="Arial" w:hAnsi="Arial" w:cs="Arial"/>
                <w:sz w:val="14"/>
                <w:szCs w:val="14"/>
              </w:rPr>
            </w:pPr>
          </w:p>
          <w:p w14:paraId="205D91BF" w14:textId="4A92C624" w:rsidR="00BF4696" w:rsidRPr="005001D6" w:rsidRDefault="004A110E"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0.</w:t>
            </w:r>
            <w:r w:rsidR="00175303" w:rsidRPr="005001D6">
              <w:rPr>
                <w:rFonts w:ascii="Arial" w:hAnsi="Arial" w:cs="Arial"/>
                <w:sz w:val="14"/>
                <w:szCs w:val="14"/>
              </w:rPr>
              <w:t>77</w:t>
            </w:r>
            <w:r w:rsidR="007D4ABB" w:rsidRPr="005001D6">
              <w:rPr>
                <w:rFonts w:ascii="Arial" w:hAnsi="Arial" w:cs="Arial"/>
                <w:sz w:val="14"/>
                <w:szCs w:val="14"/>
              </w:rPr>
              <w:t xml:space="preserve"> </w:t>
            </w:r>
            <w:r w:rsidRPr="005001D6">
              <w:rPr>
                <w:rFonts w:ascii="Arial" w:hAnsi="Arial" w:cs="Arial"/>
                <w:sz w:val="14"/>
                <w:szCs w:val="14"/>
              </w:rPr>
              <w:t>(1.2)</w:t>
            </w:r>
          </w:p>
        </w:tc>
      </w:tr>
      <w:tr w:rsidR="00BF4696" w:rsidRPr="005001D6" w14:paraId="4763CCB7" w14:textId="77777777" w:rsidTr="00715DEE">
        <w:tc>
          <w:tcPr>
            <w:tcW w:w="1015" w:type="pct"/>
            <w:tcBorders>
              <w:top w:val="nil"/>
              <w:left w:val="nil"/>
              <w:bottom w:val="single" w:sz="4" w:space="0" w:color="auto"/>
              <w:right w:val="nil"/>
            </w:tcBorders>
            <w:shd w:val="clear" w:color="auto" w:fill="auto"/>
          </w:tcPr>
          <w:p w14:paraId="2E0F2257" w14:textId="53AD1429" w:rsidR="00BF4696" w:rsidRPr="005001D6" w:rsidRDefault="00BF4696"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 xml:space="preserve">Soil C:N ratio </w:t>
            </w:r>
          </w:p>
        </w:tc>
        <w:tc>
          <w:tcPr>
            <w:tcW w:w="705" w:type="pct"/>
            <w:tcBorders>
              <w:top w:val="nil"/>
              <w:left w:val="nil"/>
              <w:bottom w:val="single" w:sz="4" w:space="0" w:color="auto"/>
              <w:right w:val="nil"/>
            </w:tcBorders>
            <w:shd w:val="clear" w:color="auto" w:fill="auto"/>
            <w:vAlign w:val="bottom"/>
          </w:tcPr>
          <w:p w14:paraId="15A5282B" w14:textId="2AD067EF" w:rsidR="00BF4696" w:rsidRPr="005001D6" w:rsidRDefault="00BF4696"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18.3 ± 0.3</w:t>
            </w:r>
          </w:p>
        </w:tc>
        <w:tc>
          <w:tcPr>
            <w:tcW w:w="625" w:type="pct"/>
            <w:tcBorders>
              <w:top w:val="nil"/>
              <w:left w:val="nil"/>
              <w:bottom w:val="single" w:sz="4" w:space="0" w:color="auto"/>
              <w:right w:val="nil"/>
            </w:tcBorders>
            <w:shd w:val="clear" w:color="auto" w:fill="auto"/>
            <w:vAlign w:val="bottom"/>
          </w:tcPr>
          <w:p w14:paraId="7C02B4D0" w14:textId="05D3426B" w:rsidR="00BF4696" w:rsidRPr="005001D6" w:rsidRDefault="00BF4696"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17.0 ± 0.4</w:t>
            </w:r>
          </w:p>
        </w:tc>
        <w:tc>
          <w:tcPr>
            <w:tcW w:w="620" w:type="pct"/>
            <w:tcBorders>
              <w:top w:val="nil"/>
              <w:left w:val="nil"/>
              <w:bottom w:val="single" w:sz="4" w:space="0" w:color="auto"/>
              <w:right w:val="nil"/>
            </w:tcBorders>
            <w:shd w:val="clear" w:color="auto" w:fill="auto"/>
            <w:vAlign w:val="bottom"/>
          </w:tcPr>
          <w:p w14:paraId="0EDF7C70" w14:textId="027B3574" w:rsidR="00BF4696" w:rsidRPr="005001D6" w:rsidRDefault="00BF4696"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17.8 ± 0.4</w:t>
            </w:r>
          </w:p>
        </w:tc>
        <w:tc>
          <w:tcPr>
            <w:tcW w:w="393" w:type="pct"/>
            <w:tcBorders>
              <w:top w:val="nil"/>
              <w:left w:val="nil"/>
              <w:bottom w:val="single" w:sz="4" w:space="0" w:color="auto"/>
              <w:right w:val="nil"/>
            </w:tcBorders>
            <w:shd w:val="clear" w:color="auto" w:fill="auto"/>
            <w:vAlign w:val="bottom"/>
          </w:tcPr>
          <w:p w14:paraId="2EB58551" w14:textId="616C6D4B" w:rsidR="00BF4696" w:rsidRPr="005001D6" w:rsidRDefault="00BF4696"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8</w:t>
            </w:r>
          </w:p>
        </w:tc>
        <w:tc>
          <w:tcPr>
            <w:tcW w:w="547" w:type="pct"/>
            <w:tcBorders>
              <w:top w:val="nil"/>
              <w:left w:val="nil"/>
              <w:bottom w:val="single" w:sz="4" w:space="0" w:color="auto"/>
              <w:right w:val="nil"/>
            </w:tcBorders>
            <w:shd w:val="clear" w:color="auto" w:fill="auto"/>
            <w:vAlign w:val="bottom"/>
          </w:tcPr>
          <w:p w14:paraId="0CE05874" w14:textId="40082D53" w:rsidR="00BF4696" w:rsidRPr="005001D6" w:rsidRDefault="00BF4696"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b/>
                <w:bCs/>
                <w:sz w:val="14"/>
                <w:szCs w:val="14"/>
              </w:rPr>
              <w:t>&lt;0.01 (25.</w:t>
            </w:r>
            <w:r w:rsidR="00C93A16" w:rsidRPr="005001D6">
              <w:rPr>
                <w:rFonts w:ascii="Arial" w:hAnsi="Arial" w:cs="Arial"/>
                <w:b/>
                <w:bCs/>
                <w:sz w:val="14"/>
                <w:szCs w:val="14"/>
              </w:rPr>
              <w:t>1</w:t>
            </w:r>
            <w:r w:rsidRPr="005001D6">
              <w:rPr>
                <w:rFonts w:ascii="Arial" w:hAnsi="Arial" w:cs="Arial"/>
                <w:b/>
                <w:bCs/>
                <w:sz w:val="14"/>
                <w:szCs w:val="14"/>
              </w:rPr>
              <w:t>)</w:t>
            </w:r>
          </w:p>
        </w:tc>
        <w:tc>
          <w:tcPr>
            <w:tcW w:w="546" w:type="pct"/>
            <w:tcBorders>
              <w:top w:val="nil"/>
              <w:left w:val="nil"/>
              <w:bottom w:val="single" w:sz="4" w:space="0" w:color="auto"/>
              <w:right w:val="nil"/>
            </w:tcBorders>
          </w:tcPr>
          <w:p w14:paraId="5E00217A" w14:textId="5C3C0F6F" w:rsidR="00BF4696" w:rsidRPr="005001D6" w:rsidRDefault="004A110E"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0.</w:t>
            </w:r>
            <w:r w:rsidR="00175303" w:rsidRPr="005001D6">
              <w:rPr>
                <w:rFonts w:ascii="Arial" w:hAnsi="Arial" w:cs="Arial"/>
                <w:sz w:val="14"/>
                <w:szCs w:val="14"/>
              </w:rPr>
              <w:t>49</w:t>
            </w:r>
            <w:r w:rsidRPr="005001D6">
              <w:rPr>
                <w:rFonts w:ascii="Arial" w:hAnsi="Arial" w:cs="Arial"/>
                <w:sz w:val="14"/>
                <w:szCs w:val="14"/>
              </w:rPr>
              <w:t xml:space="preserve"> (2.6)</w:t>
            </w:r>
          </w:p>
        </w:tc>
        <w:tc>
          <w:tcPr>
            <w:tcW w:w="549" w:type="pct"/>
            <w:tcBorders>
              <w:top w:val="nil"/>
              <w:left w:val="nil"/>
              <w:bottom w:val="single" w:sz="4" w:space="0" w:color="auto"/>
              <w:right w:val="nil"/>
            </w:tcBorders>
          </w:tcPr>
          <w:p w14:paraId="5E8565E4" w14:textId="297F5157" w:rsidR="00BF4696" w:rsidRPr="005001D6" w:rsidRDefault="004A110E"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0.</w:t>
            </w:r>
            <w:r w:rsidR="00175303" w:rsidRPr="005001D6">
              <w:rPr>
                <w:rFonts w:ascii="Arial" w:hAnsi="Arial" w:cs="Arial"/>
                <w:sz w:val="14"/>
                <w:szCs w:val="14"/>
              </w:rPr>
              <w:t>79</w:t>
            </w:r>
            <w:r w:rsidRPr="005001D6">
              <w:rPr>
                <w:rFonts w:ascii="Arial" w:hAnsi="Arial" w:cs="Arial"/>
                <w:sz w:val="14"/>
                <w:szCs w:val="14"/>
              </w:rPr>
              <w:t xml:space="preserve"> (1.0)</w:t>
            </w:r>
          </w:p>
        </w:tc>
      </w:tr>
    </w:tbl>
    <w:p w14:paraId="4342E51A" w14:textId="3AA5B6CD" w:rsidR="00A451C2" w:rsidRPr="005001D6" w:rsidRDefault="00A451C2" w:rsidP="00173FAF">
      <w:pPr>
        <w:spacing w:line="480" w:lineRule="auto"/>
        <w:jc w:val="both"/>
        <w:rPr>
          <w:b/>
          <w:bCs/>
        </w:rPr>
      </w:pPr>
    </w:p>
    <w:p w14:paraId="0262AF44" w14:textId="1EEA808C" w:rsidR="00BF4696" w:rsidRPr="005001D6" w:rsidRDefault="00BF4696" w:rsidP="00173FAF">
      <w:pPr>
        <w:spacing w:line="480" w:lineRule="auto"/>
        <w:jc w:val="both"/>
        <w:rPr>
          <w:b/>
          <w:bCs/>
        </w:rPr>
      </w:pPr>
    </w:p>
    <w:p w14:paraId="25524139" w14:textId="5F9CE153" w:rsidR="00BF4696" w:rsidRPr="005001D6" w:rsidRDefault="00BF4696" w:rsidP="00173FAF">
      <w:pPr>
        <w:spacing w:line="480" w:lineRule="auto"/>
        <w:jc w:val="both"/>
        <w:rPr>
          <w:b/>
          <w:bCs/>
        </w:rPr>
      </w:pPr>
    </w:p>
    <w:p w14:paraId="207D2125" w14:textId="77777777" w:rsidR="00BF4696" w:rsidRPr="005001D6" w:rsidRDefault="00BF4696" w:rsidP="00173FAF">
      <w:pPr>
        <w:spacing w:line="480" w:lineRule="auto"/>
        <w:jc w:val="both"/>
        <w:rPr>
          <w:b/>
          <w:bCs/>
        </w:rPr>
      </w:pPr>
    </w:p>
    <w:p w14:paraId="0643EBC2" w14:textId="77777777" w:rsidR="007D4ABB" w:rsidRPr="005001D6" w:rsidRDefault="007D4ABB" w:rsidP="00173FAF">
      <w:pPr>
        <w:spacing w:line="480" w:lineRule="auto"/>
        <w:jc w:val="both"/>
        <w:rPr>
          <w:b/>
          <w:bCs/>
        </w:rPr>
      </w:pPr>
    </w:p>
    <w:p w14:paraId="4AA71033" w14:textId="4E907193" w:rsidR="007F6C8B" w:rsidRPr="005001D6" w:rsidRDefault="00A451C2" w:rsidP="00173FAF">
      <w:pPr>
        <w:spacing w:line="480" w:lineRule="auto"/>
        <w:jc w:val="both"/>
      </w:pPr>
      <w:r w:rsidRPr="005001D6">
        <w:rPr>
          <w:b/>
          <w:bCs/>
        </w:rPr>
        <w:lastRenderedPageBreak/>
        <w:t xml:space="preserve">Table </w:t>
      </w:r>
      <w:r w:rsidR="009A358E" w:rsidRPr="005001D6">
        <w:rPr>
          <w:b/>
          <w:bCs/>
        </w:rPr>
        <w:t>S</w:t>
      </w:r>
      <w:r w:rsidRPr="005001D6">
        <w:rPr>
          <w:b/>
          <w:bCs/>
        </w:rPr>
        <w:t xml:space="preserve">3 | </w:t>
      </w:r>
      <w:bookmarkStart w:id="15" w:name="_Hlk48231118"/>
      <w:r w:rsidR="003828E6" w:rsidRPr="005001D6">
        <w:rPr>
          <w:b/>
          <w:bCs/>
        </w:rPr>
        <w:t>S</w:t>
      </w:r>
      <w:r w:rsidRPr="005001D6">
        <w:rPr>
          <w:b/>
          <w:bCs/>
        </w:rPr>
        <w:t xml:space="preserve">oil microbial communities in the </w:t>
      </w:r>
      <w:r w:rsidR="00744DC6" w:rsidRPr="005001D6">
        <w:rPr>
          <w:b/>
          <w:bCs/>
        </w:rPr>
        <w:t>s</w:t>
      </w:r>
      <w:r w:rsidR="00465543" w:rsidRPr="005001D6">
        <w:rPr>
          <w:b/>
          <w:bCs/>
        </w:rPr>
        <w:t>now cover manipulation experiment</w:t>
      </w:r>
      <w:r w:rsidRPr="005001D6">
        <w:rPr>
          <w:b/>
          <w:bCs/>
        </w:rPr>
        <w:t>.</w:t>
      </w:r>
      <w:r w:rsidRPr="005001D6">
        <w:t xml:space="preserve"> </w:t>
      </w:r>
      <w:r w:rsidR="007F6C8B" w:rsidRPr="005001D6">
        <w:t xml:space="preserve">Means (± SE; n = 8), </w:t>
      </w:r>
      <w:r w:rsidR="007F6C8B" w:rsidRPr="005001D6">
        <w:rPr>
          <w:i/>
          <w:iCs/>
        </w:rPr>
        <w:t>p</w:t>
      </w:r>
      <w:r w:rsidR="007F6C8B" w:rsidRPr="005001D6">
        <w:t>, and χ2 values for the vegetation</w:t>
      </w:r>
      <w:r w:rsidR="0040480A" w:rsidRPr="005001D6">
        <w:t xml:space="preserve"> (</w:t>
      </w:r>
      <w:proofErr w:type="spellStart"/>
      <w:proofErr w:type="gramStart"/>
      <w:r w:rsidR="0040480A" w:rsidRPr="005001D6">
        <w:t>Df</w:t>
      </w:r>
      <w:proofErr w:type="spellEnd"/>
      <w:proofErr w:type="gramEnd"/>
      <w:r w:rsidR="0040480A" w:rsidRPr="005001D6">
        <w:t xml:space="preserve"> = 2)</w:t>
      </w:r>
      <w:r w:rsidR="0044195B" w:rsidRPr="005001D6">
        <w:t xml:space="preserve"> and</w:t>
      </w:r>
      <w:r w:rsidR="007F6C8B" w:rsidRPr="005001D6">
        <w:t xml:space="preserve"> </w:t>
      </w:r>
      <w:r w:rsidR="0044195B" w:rsidRPr="005001D6">
        <w:t>snow manipulation treatments</w:t>
      </w:r>
      <w:r w:rsidR="0040480A" w:rsidRPr="005001D6">
        <w:t xml:space="preserve"> (</w:t>
      </w:r>
      <w:proofErr w:type="spellStart"/>
      <w:r w:rsidR="0040480A" w:rsidRPr="005001D6">
        <w:t>Df</w:t>
      </w:r>
      <w:proofErr w:type="spellEnd"/>
      <w:r w:rsidR="0040480A" w:rsidRPr="005001D6">
        <w:t xml:space="preserve"> = 1)</w:t>
      </w:r>
      <w:r w:rsidR="007F6C8B" w:rsidRPr="005001D6">
        <w:t>, and their interaction</w:t>
      </w:r>
      <w:r w:rsidR="0040480A" w:rsidRPr="005001D6">
        <w:t xml:space="preserve"> (</w:t>
      </w:r>
      <w:proofErr w:type="spellStart"/>
      <w:r w:rsidR="0040480A" w:rsidRPr="005001D6">
        <w:t>Df</w:t>
      </w:r>
      <w:proofErr w:type="spellEnd"/>
      <w:r w:rsidR="0040480A" w:rsidRPr="005001D6">
        <w:t xml:space="preserve"> = 2)</w:t>
      </w:r>
      <w:r w:rsidR="007F6C8B" w:rsidRPr="005001D6">
        <w:t xml:space="preserve">. All biomasses in </w:t>
      </w:r>
      <w:r w:rsidR="00B01D82" w:rsidRPr="005001D6">
        <w:t>p</w:t>
      </w:r>
      <w:r w:rsidR="007F6C8B" w:rsidRPr="005001D6">
        <w:t xml:space="preserve">hospholipid </w:t>
      </w:r>
      <w:r w:rsidR="00B01D82" w:rsidRPr="005001D6">
        <w:t>f</w:t>
      </w:r>
      <w:r w:rsidR="007F6C8B" w:rsidRPr="005001D6">
        <w:t xml:space="preserve">atty </w:t>
      </w:r>
      <w:r w:rsidR="00B01D82" w:rsidRPr="005001D6">
        <w:t>a</w:t>
      </w:r>
      <w:r w:rsidR="007F6C8B" w:rsidRPr="005001D6">
        <w:t xml:space="preserve">cid (PLFA) analyses are in </w:t>
      </w:r>
      <w:proofErr w:type="spellStart"/>
      <w:r w:rsidR="007F6C8B" w:rsidRPr="005001D6">
        <w:t>nmol</w:t>
      </w:r>
      <w:proofErr w:type="spellEnd"/>
      <w:r w:rsidR="007F6C8B" w:rsidRPr="005001D6">
        <w:t xml:space="preserve"> PLFA g</w:t>
      </w:r>
      <w:r w:rsidR="007F6C8B" w:rsidRPr="005001D6">
        <w:rPr>
          <w:vertAlign w:val="superscript"/>
        </w:rPr>
        <w:t>-1</w:t>
      </w:r>
      <w:r w:rsidR="007F6C8B" w:rsidRPr="005001D6">
        <w:t xml:space="preserve"> dry soil. Due to the large number of microbial families analysed, only those </w:t>
      </w:r>
      <w:r w:rsidR="003828E6" w:rsidRPr="005001D6">
        <w:t>with</w:t>
      </w:r>
      <w:r w:rsidR="007F6C8B" w:rsidRPr="005001D6">
        <w:t xml:space="preserve"> significant effects are shown. Significant differences (</w:t>
      </w:r>
      <w:r w:rsidR="007F6C8B" w:rsidRPr="005001D6">
        <w:rPr>
          <w:i/>
          <w:iCs/>
        </w:rPr>
        <w:t>p</w:t>
      </w:r>
      <w:r w:rsidR="007F6C8B" w:rsidRPr="005001D6">
        <w:t xml:space="preserve"> &lt; 0.05) in bold, *log</w:t>
      </w:r>
      <w:r w:rsidR="007F6C8B" w:rsidRPr="005001D6">
        <w:rPr>
          <w:vertAlign w:val="subscript"/>
        </w:rPr>
        <w:t>10</w:t>
      </w:r>
      <w:r w:rsidR="007F6C8B" w:rsidRPr="005001D6">
        <w:t xml:space="preserve"> transformed for analysis. </w:t>
      </w:r>
    </w:p>
    <w:bookmarkEnd w:id="15"/>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83"/>
        <w:gridCol w:w="807"/>
        <w:gridCol w:w="807"/>
        <w:gridCol w:w="809"/>
        <w:gridCol w:w="807"/>
        <w:gridCol w:w="807"/>
        <w:gridCol w:w="812"/>
        <w:gridCol w:w="693"/>
        <w:gridCol w:w="693"/>
        <w:gridCol w:w="608"/>
      </w:tblGrid>
      <w:tr w:rsidR="005001D6" w:rsidRPr="005001D6" w14:paraId="1239C52E" w14:textId="77777777" w:rsidTr="00F23B69">
        <w:tc>
          <w:tcPr>
            <w:tcW w:w="1209" w:type="pct"/>
            <w:tcBorders>
              <w:top w:val="single" w:sz="4" w:space="0" w:color="auto"/>
            </w:tcBorders>
          </w:tcPr>
          <w:p w14:paraId="5BF54D48" w14:textId="77777777" w:rsidR="00A451C2" w:rsidRPr="005001D6" w:rsidRDefault="00A451C2" w:rsidP="00173FAF">
            <w:pPr>
              <w:widowControl w:val="0"/>
              <w:autoSpaceDE w:val="0"/>
              <w:autoSpaceDN w:val="0"/>
              <w:adjustRightInd w:val="0"/>
              <w:spacing w:line="360" w:lineRule="auto"/>
              <w:jc w:val="both"/>
              <w:rPr>
                <w:rFonts w:ascii="Arial" w:hAnsi="Arial" w:cs="Arial"/>
                <w:sz w:val="14"/>
                <w:szCs w:val="14"/>
              </w:rPr>
            </w:pPr>
          </w:p>
          <w:p w14:paraId="6CA2B3C5" w14:textId="77777777" w:rsidR="00A451C2" w:rsidRPr="005001D6" w:rsidRDefault="00A451C2" w:rsidP="00173FAF">
            <w:pPr>
              <w:widowControl w:val="0"/>
              <w:autoSpaceDE w:val="0"/>
              <w:autoSpaceDN w:val="0"/>
              <w:adjustRightInd w:val="0"/>
              <w:spacing w:line="360" w:lineRule="auto"/>
              <w:jc w:val="both"/>
              <w:rPr>
                <w:rFonts w:ascii="Arial" w:hAnsi="Arial" w:cs="Arial"/>
                <w:sz w:val="14"/>
                <w:szCs w:val="14"/>
              </w:rPr>
            </w:pPr>
          </w:p>
        </w:tc>
        <w:tc>
          <w:tcPr>
            <w:tcW w:w="1342" w:type="pct"/>
            <w:gridSpan w:val="3"/>
            <w:tcBorders>
              <w:top w:val="single" w:sz="4" w:space="0" w:color="auto"/>
            </w:tcBorders>
          </w:tcPr>
          <w:p w14:paraId="38D78CFF" w14:textId="77777777" w:rsidR="00A451C2" w:rsidRPr="005001D6" w:rsidRDefault="00A451C2"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Means (± SE)</w:t>
            </w:r>
          </w:p>
          <w:p w14:paraId="4048D300" w14:textId="77777777" w:rsidR="00A451C2" w:rsidRPr="005001D6" w:rsidRDefault="00A451C2"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 xml:space="preserve">Control </w:t>
            </w:r>
          </w:p>
        </w:tc>
        <w:tc>
          <w:tcPr>
            <w:tcW w:w="1344" w:type="pct"/>
            <w:gridSpan w:val="3"/>
            <w:tcBorders>
              <w:top w:val="single" w:sz="4" w:space="0" w:color="auto"/>
            </w:tcBorders>
          </w:tcPr>
          <w:p w14:paraId="44D381F7" w14:textId="77777777" w:rsidR="00A451C2" w:rsidRPr="005001D6" w:rsidRDefault="00A451C2" w:rsidP="00173FAF">
            <w:pPr>
              <w:widowControl w:val="0"/>
              <w:autoSpaceDE w:val="0"/>
              <w:autoSpaceDN w:val="0"/>
              <w:adjustRightInd w:val="0"/>
              <w:spacing w:line="360" w:lineRule="auto"/>
              <w:jc w:val="both"/>
              <w:rPr>
                <w:rFonts w:ascii="Arial" w:hAnsi="Arial" w:cs="Arial"/>
                <w:sz w:val="14"/>
                <w:szCs w:val="14"/>
              </w:rPr>
            </w:pPr>
          </w:p>
          <w:p w14:paraId="012DA7D7" w14:textId="77777777" w:rsidR="00A451C2" w:rsidRPr="005001D6" w:rsidRDefault="00A451C2"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 xml:space="preserve">Snow removal </w:t>
            </w:r>
          </w:p>
        </w:tc>
        <w:tc>
          <w:tcPr>
            <w:tcW w:w="384" w:type="pct"/>
            <w:vMerge w:val="restart"/>
            <w:tcBorders>
              <w:top w:val="single" w:sz="4" w:space="0" w:color="auto"/>
            </w:tcBorders>
          </w:tcPr>
          <w:p w14:paraId="4F8CA50B" w14:textId="77777777" w:rsidR="00A451C2" w:rsidRPr="005001D6" w:rsidRDefault="00A451C2" w:rsidP="00173FAF">
            <w:pPr>
              <w:widowControl w:val="0"/>
              <w:autoSpaceDE w:val="0"/>
              <w:autoSpaceDN w:val="0"/>
              <w:adjustRightInd w:val="0"/>
              <w:spacing w:line="360" w:lineRule="auto"/>
              <w:jc w:val="both"/>
              <w:rPr>
                <w:rFonts w:ascii="Arial" w:hAnsi="Arial" w:cs="Arial"/>
                <w:i/>
                <w:iCs/>
                <w:sz w:val="14"/>
                <w:szCs w:val="14"/>
              </w:rPr>
            </w:pPr>
          </w:p>
          <w:p w14:paraId="61A46AD7" w14:textId="77777777" w:rsidR="00A451C2" w:rsidRPr="005001D6" w:rsidRDefault="00A451C2" w:rsidP="00173FAF">
            <w:pPr>
              <w:widowControl w:val="0"/>
              <w:autoSpaceDE w:val="0"/>
              <w:autoSpaceDN w:val="0"/>
              <w:adjustRightInd w:val="0"/>
              <w:spacing w:line="360" w:lineRule="auto"/>
              <w:jc w:val="both"/>
              <w:rPr>
                <w:rFonts w:ascii="Arial" w:hAnsi="Arial" w:cs="Arial"/>
                <w:i/>
                <w:iCs/>
                <w:sz w:val="14"/>
                <w:szCs w:val="14"/>
              </w:rPr>
            </w:pPr>
            <w:r w:rsidRPr="005001D6">
              <w:rPr>
                <w:rFonts w:ascii="Arial" w:hAnsi="Arial" w:cs="Arial"/>
                <w:i/>
                <w:iCs/>
                <w:sz w:val="14"/>
                <w:szCs w:val="14"/>
              </w:rPr>
              <w:t>Veg</w:t>
            </w:r>
          </w:p>
          <w:p w14:paraId="7BA3A939" w14:textId="77777777" w:rsidR="00A451C2" w:rsidRPr="005001D6" w:rsidRDefault="00A451C2" w:rsidP="00173FAF">
            <w:pPr>
              <w:widowControl w:val="0"/>
              <w:autoSpaceDE w:val="0"/>
              <w:autoSpaceDN w:val="0"/>
              <w:adjustRightInd w:val="0"/>
              <w:spacing w:line="360" w:lineRule="auto"/>
              <w:jc w:val="both"/>
              <w:rPr>
                <w:rFonts w:ascii="Arial" w:hAnsi="Arial" w:cs="Arial"/>
                <w:i/>
                <w:iCs/>
                <w:sz w:val="14"/>
                <w:szCs w:val="14"/>
              </w:rPr>
            </w:pPr>
            <w:r w:rsidRPr="005001D6">
              <w:rPr>
                <w:rFonts w:ascii="Arial" w:hAnsi="Arial" w:cs="Arial"/>
                <w:i/>
                <w:iCs/>
                <w:sz w:val="14"/>
                <w:szCs w:val="14"/>
              </w:rPr>
              <w:t xml:space="preserve">p </w:t>
            </w:r>
          </w:p>
          <w:p w14:paraId="509FD7DB" w14:textId="77777777" w:rsidR="00A451C2" w:rsidRPr="005001D6" w:rsidRDefault="00A451C2" w:rsidP="00173FAF">
            <w:pPr>
              <w:widowControl w:val="0"/>
              <w:autoSpaceDE w:val="0"/>
              <w:autoSpaceDN w:val="0"/>
              <w:adjustRightInd w:val="0"/>
              <w:spacing w:line="360" w:lineRule="auto"/>
              <w:jc w:val="both"/>
              <w:rPr>
                <w:rFonts w:ascii="Arial" w:hAnsi="Arial" w:cs="Arial"/>
                <w:i/>
                <w:iCs/>
                <w:sz w:val="14"/>
                <w:szCs w:val="14"/>
              </w:rPr>
            </w:pPr>
            <w:r w:rsidRPr="005001D6">
              <w:rPr>
                <w:rFonts w:ascii="Arial" w:hAnsi="Arial" w:cs="Arial"/>
                <w:i/>
                <w:iCs/>
                <w:sz w:val="14"/>
                <w:szCs w:val="14"/>
              </w:rPr>
              <w:t>(</w:t>
            </w:r>
            <w:r w:rsidRPr="005001D6">
              <w:rPr>
                <w:rFonts w:ascii="Arial" w:hAnsi="Arial" w:cs="Arial"/>
                <w:sz w:val="14"/>
                <w:szCs w:val="14"/>
              </w:rPr>
              <w:t>Χ</w:t>
            </w:r>
            <w:r w:rsidRPr="005001D6">
              <w:rPr>
                <w:rFonts w:ascii="Arial" w:hAnsi="Arial" w:cs="Arial"/>
                <w:sz w:val="14"/>
                <w:szCs w:val="14"/>
                <w:vertAlign w:val="superscript"/>
              </w:rPr>
              <w:t>2</w:t>
            </w:r>
            <w:r w:rsidRPr="005001D6">
              <w:rPr>
                <w:rFonts w:ascii="Arial" w:hAnsi="Arial" w:cs="Arial"/>
                <w:sz w:val="14"/>
                <w:szCs w:val="14"/>
              </w:rPr>
              <w:t>)</w:t>
            </w:r>
          </w:p>
        </w:tc>
        <w:tc>
          <w:tcPr>
            <w:tcW w:w="384" w:type="pct"/>
            <w:vMerge w:val="restart"/>
            <w:tcBorders>
              <w:top w:val="single" w:sz="4" w:space="0" w:color="auto"/>
            </w:tcBorders>
          </w:tcPr>
          <w:p w14:paraId="1F28D8FB" w14:textId="77777777" w:rsidR="00A451C2" w:rsidRPr="005001D6" w:rsidRDefault="00A451C2" w:rsidP="00173FAF">
            <w:pPr>
              <w:widowControl w:val="0"/>
              <w:autoSpaceDE w:val="0"/>
              <w:autoSpaceDN w:val="0"/>
              <w:adjustRightInd w:val="0"/>
              <w:spacing w:line="360" w:lineRule="auto"/>
              <w:jc w:val="both"/>
              <w:rPr>
                <w:rFonts w:ascii="Arial" w:hAnsi="Arial" w:cs="Arial"/>
                <w:i/>
                <w:iCs/>
                <w:sz w:val="14"/>
                <w:szCs w:val="14"/>
              </w:rPr>
            </w:pPr>
          </w:p>
          <w:p w14:paraId="7D18E8A6" w14:textId="77777777" w:rsidR="00A451C2" w:rsidRPr="005001D6" w:rsidRDefault="00A451C2" w:rsidP="00173FAF">
            <w:pPr>
              <w:widowControl w:val="0"/>
              <w:autoSpaceDE w:val="0"/>
              <w:autoSpaceDN w:val="0"/>
              <w:adjustRightInd w:val="0"/>
              <w:spacing w:line="360" w:lineRule="auto"/>
              <w:jc w:val="both"/>
              <w:rPr>
                <w:rFonts w:ascii="Arial" w:hAnsi="Arial" w:cs="Arial"/>
                <w:i/>
                <w:iCs/>
                <w:sz w:val="14"/>
                <w:szCs w:val="14"/>
              </w:rPr>
            </w:pPr>
            <w:r w:rsidRPr="005001D6">
              <w:rPr>
                <w:rFonts w:ascii="Arial" w:hAnsi="Arial" w:cs="Arial"/>
                <w:i/>
                <w:iCs/>
                <w:sz w:val="14"/>
                <w:szCs w:val="14"/>
              </w:rPr>
              <w:t>Snow</w:t>
            </w:r>
          </w:p>
          <w:p w14:paraId="3FA235D8" w14:textId="77777777" w:rsidR="00A451C2" w:rsidRPr="005001D6" w:rsidRDefault="00A451C2" w:rsidP="00173FAF">
            <w:pPr>
              <w:widowControl w:val="0"/>
              <w:autoSpaceDE w:val="0"/>
              <w:autoSpaceDN w:val="0"/>
              <w:adjustRightInd w:val="0"/>
              <w:spacing w:line="360" w:lineRule="auto"/>
              <w:jc w:val="both"/>
              <w:rPr>
                <w:rFonts w:ascii="Arial" w:hAnsi="Arial" w:cs="Arial"/>
                <w:i/>
                <w:iCs/>
                <w:sz w:val="14"/>
                <w:szCs w:val="14"/>
              </w:rPr>
            </w:pPr>
            <w:r w:rsidRPr="005001D6">
              <w:rPr>
                <w:rFonts w:ascii="Arial" w:hAnsi="Arial" w:cs="Arial"/>
                <w:i/>
                <w:iCs/>
                <w:sz w:val="14"/>
                <w:szCs w:val="14"/>
              </w:rPr>
              <w:t xml:space="preserve">p </w:t>
            </w:r>
          </w:p>
          <w:p w14:paraId="4CF87DF4" w14:textId="77777777" w:rsidR="00A451C2" w:rsidRPr="005001D6" w:rsidRDefault="00A451C2" w:rsidP="00173FAF">
            <w:pPr>
              <w:widowControl w:val="0"/>
              <w:autoSpaceDE w:val="0"/>
              <w:autoSpaceDN w:val="0"/>
              <w:adjustRightInd w:val="0"/>
              <w:spacing w:line="360" w:lineRule="auto"/>
              <w:jc w:val="both"/>
              <w:rPr>
                <w:rFonts w:ascii="Arial" w:hAnsi="Arial" w:cs="Arial"/>
                <w:i/>
                <w:iCs/>
                <w:sz w:val="14"/>
                <w:szCs w:val="14"/>
              </w:rPr>
            </w:pPr>
            <w:r w:rsidRPr="005001D6">
              <w:rPr>
                <w:rFonts w:ascii="Arial" w:hAnsi="Arial" w:cs="Arial"/>
                <w:i/>
                <w:iCs/>
                <w:sz w:val="14"/>
                <w:szCs w:val="14"/>
              </w:rPr>
              <w:t>(</w:t>
            </w:r>
            <w:r w:rsidRPr="005001D6">
              <w:rPr>
                <w:rFonts w:ascii="Arial" w:hAnsi="Arial" w:cs="Arial"/>
                <w:sz w:val="14"/>
                <w:szCs w:val="14"/>
              </w:rPr>
              <w:t>Χ</w:t>
            </w:r>
            <w:r w:rsidRPr="005001D6">
              <w:rPr>
                <w:rFonts w:ascii="Arial" w:hAnsi="Arial" w:cs="Arial"/>
                <w:sz w:val="14"/>
                <w:szCs w:val="14"/>
                <w:vertAlign w:val="superscript"/>
              </w:rPr>
              <w:t>2</w:t>
            </w:r>
            <w:r w:rsidRPr="005001D6">
              <w:rPr>
                <w:rFonts w:ascii="Arial" w:hAnsi="Arial" w:cs="Arial"/>
                <w:sz w:val="14"/>
                <w:szCs w:val="14"/>
              </w:rPr>
              <w:t>)</w:t>
            </w:r>
          </w:p>
        </w:tc>
        <w:tc>
          <w:tcPr>
            <w:tcW w:w="337" w:type="pct"/>
            <w:vMerge w:val="restart"/>
            <w:tcBorders>
              <w:top w:val="single" w:sz="4" w:space="0" w:color="auto"/>
            </w:tcBorders>
          </w:tcPr>
          <w:p w14:paraId="7404D55A" w14:textId="77777777" w:rsidR="00A451C2" w:rsidRPr="005001D6" w:rsidRDefault="00A451C2" w:rsidP="00173FAF">
            <w:pPr>
              <w:widowControl w:val="0"/>
              <w:autoSpaceDE w:val="0"/>
              <w:autoSpaceDN w:val="0"/>
              <w:adjustRightInd w:val="0"/>
              <w:spacing w:line="360" w:lineRule="auto"/>
              <w:jc w:val="both"/>
              <w:rPr>
                <w:rFonts w:ascii="Arial" w:hAnsi="Arial" w:cs="Arial"/>
                <w:sz w:val="14"/>
                <w:szCs w:val="14"/>
              </w:rPr>
            </w:pPr>
          </w:p>
          <w:p w14:paraId="7879C41F" w14:textId="77777777" w:rsidR="00A451C2" w:rsidRPr="005001D6" w:rsidRDefault="00A451C2"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Int.</w:t>
            </w:r>
          </w:p>
          <w:p w14:paraId="7265BEC9" w14:textId="49E182E4" w:rsidR="00A451C2" w:rsidRPr="005001D6" w:rsidRDefault="00213F73" w:rsidP="00173FAF">
            <w:pPr>
              <w:widowControl w:val="0"/>
              <w:autoSpaceDE w:val="0"/>
              <w:autoSpaceDN w:val="0"/>
              <w:adjustRightInd w:val="0"/>
              <w:spacing w:line="360" w:lineRule="auto"/>
              <w:jc w:val="both"/>
              <w:rPr>
                <w:rFonts w:ascii="Arial" w:hAnsi="Arial" w:cs="Arial"/>
                <w:i/>
                <w:iCs/>
                <w:sz w:val="14"/>
                <w:szCs w:val="14"/>
              </w:rPr>
            </w:pPr>
            <w:r w:rsidRPr="005001D6">
              <w:rPr>
                <w:rFonts w:ascii="Arial" w:hAnsi="Arial" w:cs="Arial"/>
                <w:i/>
                <w:iCs/>
                <w:sz w:val="14"/>
                <w:szCs w:val="14"/>
              </w:rPr>
              <w:t>p</w:t>
            </w:r>
          </w:p>
          <w:p w14:paraId="44552A04" w14:textId="77777777" w:rsidR="00A451C2" w:rsidRPr="005001D6" w:rsidRDefault="00A451C2"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i/>
                <w:iCs/>
                <w:sz w:val="14"/>
                <w:szCs w:val="14"/>
              </w:rPr>
              <w:t xml:space="preserve"> (</w:t>
            </w:r>
            <w:r w:rsidRPr="005001D6">
              <w:rPr>
                <w:rFonts w:ascii="Arial" w:hAnsi="Arial" w:cs="Arial"/>
                <w:sz w:val="14"/>
                <w:szCs w:val="14"/>
              </w:rPr>
              <w:t>Χ</w:t>
            </w:r>
            <w:r w:rsidRPr="005001D6">
              <w:rPr>
                <w:rFonts w:ascii="Arial" w:hAnsi="Arial" w:cs="Arial"/>
                <w:sz w:val="14"/>
                <w:szCs w:val="14"/>
                <w:vertAlign w:val="superscript"/>
              </w:rPr>
              <w:t>2</w:t>
            </w:r>
            <w:r w:rsidRPr="005001D6">
              <w:rPr>
                <w:rFonts w:ascii="Arial" w:hAnsi="Arial" w:cs="Arial"/>
                <w:sz w:val="14"/>
                <w:szCs w:val="14"/>
              </w:rPr>
              <w:t>)</w:t>
            </w:r>
          </w:p>
        </w:tc>
      </w:tr>
      <w:tr w:rsidR="005001D6" w:rsidRPr="005001D6" w14:paraId="7951F9F5" w14:textId="77777777" w:rsidTr="00A40FAD">
        <w:tc>
          <w:tcPr>
            <w:tcW w:w="1209" w:type="pct"/>
            <w:tcBorders>
              <w:bottom w:val="single" w:sz="4" w:space="0" w:color="auto"/>
            </w:tcBorders>
          </w:tcPr>
          <w:p w14:paraId="4D4E3480" w14:textId="77777777" w:rsidR="0044195B" w:rsidRPr="005001D6" w:rsidRDefault="0044195B" w:rsidP="00173FAF">
            <w:pPr>
              <w:widowControl w:val="0"/>
              <w:autoSpaceDE w:val="0"/>
              <w:autoSpaceDN w:val="0"/>
              <w:adjustRightInd w:val="0"/>
              <w:spacing w:line="360" w:lineRule="auto"/>
              <w:jc w:val="both"/>
              <w:rPr>
                <w:rFonts w:ascii="Arial" w:hAnsi="Arial" w:cs="Arial"/>
                <w:sz w:val="14"/>
                <w:szCs w:val="14"/>
              </w:rPr>
            </w:pPr>
          </w:p>
        </w:tc>
        <w:tc>
          <w:tcPr>
            <w:tcW w:w="447" w:type="pct"/>
            <w:tcBorders>
              <w:bottom w:val="single" w:sz="4" w:space="0" w:color="auto"/>
            </w:tcBorders>
            <w:shd w:val="clear" w:color="auto" w:fill="auto"/>
          </w:tcPr>
          <w:p w14:paraId="72F3C90C" w14:textId="0CEDBFE3" w:rsidR="0044195B" w:rsidRPr="005001D6" w:rsidRDefault="0044195B"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Shrub-invaded</w:t>
            </w:r>
          </w:p>
        </w:tc>
        <w:tc>
          <w:tcPr>
            <w:tcW w:w="447" w:type="pct"/>
            <w:tcBorders>
              <w:bottom w:val="single" w:sz="4" w:space="0" w:color="auto"/>
            </w:tcBorders>
          </w:tcPr>
          <w:p w14:paraId="569547AD" w14:textId="40FEA5DD" w:rsidR="0044195B" w:rsidRPr="005001D6" w:rsidRDefault="0044195B"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Grass-control</w:t>
            </w:r>
          </w:p>
        </w:tc>
        <w:tc>
          <w:tcPr>
            <w:tcW w:w="448" w:type="pct"/>
            <w:tcBorders>
              <w:bottom w:val="single" w:sz="4" w:space="0" w:color="auto"/>
            </w:tcBorders>
          </w:tcPr>
          <w:p w14:paraId="37EBAD30" w14:textId="77777777" w:rsidR="0044195B" w:rsidRPr="005001D6" w:rsidRDefault="0044195B"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Shrub removal</w:t>
            </w:r>
          </w:p>
        </w:tc>
        <w:tc>
          <w:tcPr>
            <w:tcW w:w="447" w:type="pct"/>
            <w:tcBorders>
              <w:bottom w:val="single" w:sz="4" w:space="0" w:color="auto"/>
            </w:tcBorders>
            <w:shd w:val="clear" w:color="auto" w:fill="auto"/>
          </w:tcPr>
          <w:p w14:paraId="619AADEF" w14:textId="23E6208F" w:rsidR="0044195B" w:rsidRPr="005001D6" w:rsidRDefault="0044195B"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Shrub-invaded</w:t>
            </w:r>
          </w:p>
        </w:tc>
        <w:tc>
          <w:tcPr>
            <w:tcW w:w="447" w:type="pct"/>
            <w:tcBorders>
              <w:bottom w:val="single" w:sz="4" w:space="0" w:color="auto"/>
            </w:tcBorders>
          </w:tcPr>
          <w:p w14:paraId="1DD8CFCF" w14:textId="7F72C4D7" w:rsidR="0044195B" w:rsidRPr="005001D6" w:rsidRDefault="0044195B"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Grass-control</w:t>
            </w:r>
          </w:p>
        </w:tc>
        <w:tc>
          <w:tcPr>
            <w:tcW w:w="450" w:type="pct"/>
            <w:tcBorders>
              <w:bottom w:val="single" w:sz="4" w:space="0" w:color="auto"/>
            </w:tcBorders>
          </w:tcPr>
          <w:p w14:paraId="21A8FF9C" w14:textId="37FC4C01" w:rsidR="0044195B" w:rsidRPr="005001D6" w:rsidRDefault="0044195B"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Shrub removal</w:t>
            </w:r>
          </w:p>
        </w:tc>
        <w:tc>
          <w:tcPr>
            <w:tcW w:w="384" w:type="pct"/>
            <w:vMerge/>
            <w:tcBorders>
              <w:bottom w:val="single" w:sz="4" w:space="0" w:color="auto"/>
            </w:tcBorders>
          </w:tcPr>
          <w:p w14:paraId="6B62BB1E" w14:textId="77777777" w:rsidR="0044195B" w:rsidRPr="005001D6" w:rsidRDefault="0044195B" w:rsidP="00173FAF">
            <w:pPr>
              <w:widowControl w:val="0"/>
              <w:autoSpaceDE w:val="0"/>
              <w:autoSpaceDN w:val="0"/>
              <w:adjustRightInd w:val="0"/>
              <w:spacing w:line="360" w:lineRule="auto"/>
              <w:jc w:val="both"/>
              <w:rPr>
                <w:rFonts w:ascii="Arial" w:hAnsi="Arial" w:cs="Arial"/>
                <w:sz w:val="14"/>
                <w:szCs w:val="14"/>
              </w:rPr>
            </w:pPr>
          </w:p>
        </w:tc>
        <w:tc>
          <w:tcPr>
            <w:tcW w:w="384" w:type="pct"/>
            <w:vMerge/>
            <w:tcBorders>
              <w:bottom w:val="single" w:sz="4" w:space="0" w:color="auto"/>
            </w:tcBorders>
          </w:tcPr>
          <w:p w14:paraId="45B1579F" w14:textId="77777777" w:rsidR="0044195B" w:rsidRPr="005001D6" w:rsidRDefault="0044195B" w:rsidP="00173FAF">
            <w:pPr>
              <w:widowControl w:val="0"/>
              <w:autoSpaceDE w:val="0"/>
              <w:autoSpaceDN w:val="0"/>
              <w:adjustRightInd w:val="0"/>
              <w:spacing w:line="360" w:lineRule="auto"/>
              <w:jc w:val="both"/>
              <w:rPr>
                <w:rFonts w:ascii="Arial" w:hAnsi="Arial" w:cs="Arial"/>
                <w:sz w:val="14"/>
                <w:szCs w:val="14"/>
              </w:rPr>
            </w:pPr>
          </w:p>
        </w:tc>
        <w:tc>
          <w:tcPr>
            <w:tcW w:w="337" w:type="pct"/>
            <w:vMerge/>
            <w:tcBorders>
              <w:bottom w:val="single" w:sz="4" w:space="0" w:color="auto"/>
            </w:tcBorders>
          </w:tcPr>
          <w:p w14:paraId="3F7B53FD" w14:textId="77777777" w:rsidR="0044195B" w:rsidRPr="005001D6" w:rsidRDefault="0044195B" w:rsidP="00173FAF">
            <w:pPr>
              <w:widowControl w:val="0"/>
              <w:autoSpaceDE w:val="0"/>
              <w:autoSpaceDN w:val="0"/>
              <w:adjustRightInd w:val="0"/>
              <w:spacing w:line="360" w:lineRule="auto"/>
              <w:jc w:val="both"/>
              <w:rPr>
                <w:rFonts w:ascii="Arial" w:hAnsi="Arial" w:cs="Arial"/>
                <w:sz w:val="14"/>
                <w:szCs w:val="14"/>
              </w:rPr>
            </w:pPr>
          </w:p>
        </w:tc>
      </w:tr>
      <w:tr w:rsidR="005001D6" w:rsidRPr="005001D6" w14:paraId="3E35E95A" w14:textId="77777777" w:rsidTr="00A40FAD">
        <w:tc>
          <w:tcPr>
            <w:tcW w:w="1209" w:type="pct"/>
            <w:tcBorders>
              <w:top w:val="single" w:sz="4" w:space="0" w:color="auto"/>
              <w:bottom w:val="single" w:sz="4" w:space="0" w:color="auto"/>
            </w:tcBorders>
          </w:tcPr>
          <w:p w14:paraId="06CA2949" w14:textId="468AB10A" w:rsidR="00A451C2" w:rsidRPr="005001D6" w:rsidRDefault="00A451C2"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 xml:space="preserve">PHOSPHOLIPID FATTY ACID ANALYSIS </w:t>
            </w:r>
          </w:p>
        </w:tc>
        <w:tc>
          <w:tcPr>
            <w:tcW w:w="447" w:type="pct"/>
            <w:shd w:val="clear" w:color="auto" w:fill="auto"/>
          </w:tcPr>
          <w:p w14:paraId="149E99EF" w14:textId="77777777" w:rsidR="00A451C2" w:rsidRPr="005001D6" w:rsidRDefault="00A451C2" w:rsidP="00173FAF">
            <w:pPr>
              <w:widowControl w:val="0"/>
              <w:autoSpaceDE w:val="0"/>
              <w:autoSpaceDN w:val="0"/>
              <w:adjustRightInd w:val="0"/>
              <w:spacing w:line="360" w:lineRule="auto"/>
              <w:jc w:val="both"/>
              <w:rPr>
                <w:rFonts w:ascii="Arial" w:hAnsi="Arial" w:cs="Arial"/>
                <w:sz w:val="14"/>
                <w:szCs w:val="14"/>
              </w:rPr>
            </w:pPr>
          </w:p>
        </w:tc>
        <w:tc>
          <w:tcPr>
            <w:tcW w:w="447" w:type="pct"/>
            <w:shd w:val="clear" w:color="auto" w:fill="auto"/>
          </w:tcPr>
          <w:p w14:paraId="23842A14" w14:textId="77777777" w:rsidR="00A451C2" w:rsidRPr="005001D6" w:rsidRDefault="00A451C2" w:rsidP="00173FAF">
            <w:pPr>
              <w:widowControl w:val="0"/>
              <w:autoSpaceDE w:val="0"/>
              <w:autoSpaceDN w:val="0"/>
              <w:adjustRightInd w:val="0"/>
              <w:spacing w:line="360" w:lineRule="auto"/>
              <w:jc w:val="both"/>
              <w:rPr>
                <w:rFonts w:ascii="Arial" w:hAnsi="Arial" w:cs="Arial"/>
                <w:sz w:val="14"/>
                <w:szCs w:val="14"/>
              </w:rPr>
            </w:pPr>
          </w:p>
        </w:tc>
        <w:tc>
          <w:tcPr>
            <w:tcW w:w="448" w:type="pct"/>
          </w:tcPr>
          <w:p w14:paraId="204EF7B4" w14:textId="77777777" w:rsidR="00A451C2" w:rsidRPr="005001D6" w:rsidRDefault="00A451C2" w:rsidP="00173FAF">
            <w:pPr>
              <w:widowControl w:val="0"/>
              <w:autoSpaceDE w:val="0"/>
              <w:autoSpaceDN w:val="0"/>
              <w:adjustRightInd w:val="0"/>
              <w:spacing w:line="360" w:lineRule="auto"/>
              <w:jc w:val="both"/>
              <w:rPr>
                <w:rFonts w:ascii="Arial" w:hAnsi="Arial" w:cs="Arial"/>
                <w:sz w:val="14"/>
                <w:szCs w:val="14"/>
              </w:rPr>
            </w:pPr>
          </w:p>
        </w:tc>
        <w:tc>
          <w:tcPr>
            <w:tcW w:w="447" w:type="pct"/>
            <w:shd w:val="clear" w:color="auto" w:fill="auto"/>
          </w:tcPr>
          <w:p w14:paraId="10817997" w14:textId="77777777" w:rsidR="00A451C2" w:rsidRPr="005001D6" w:rsidRDefault="00A451C2" w:rsidP="00173FAF">
            <w:pPr>
              <w:widowControl w:val="0"/>
              <w:autoSpaceDE w:val="0"/>
              <w:autoSpaceDN w:val="0"/>
              <w:adjustRightInd w:val="0"/>
              <w:spacing w:line="360" w:lineRule="auto"/>
              <w:jc w:val="both"/>
              <w:rPr>
                <w:rFonts w:ascii="Arial" w:hAnsi="Arial" w:cs="Arial"/>
                <w:sz w:val="14"/>
                <w:szCs w:val="14"/>
              </w:rPr>
            </w:pPr>
          </w:p>
        </w:tc>
        <w:tc>
          <w:tcPr>
            <w:tcW w:w="447" w:type="pct"/>
            <w:shd w:val="clear" w:color="auto" w:fill="auto"/>
          </w:tcPr>
          <w:p w14:paraId="522252BC" w14:textId="77777777" w:rsidR="00A451C2" w:rsidRPr="005001D6" w:rsidRDefault="00A451C2" w:rsidP="00173FAF">
            <w:pPr>
              <w:widowControl w:val="0"/>
              <w:autoSpaceDE w:val="0"/>
              <w:autoSpaceDN w:val="0"/>
              <w:adjustRightInd w:val="0"/>
              <w:spacing w:line="360" w:lineRule="auto"/>
              <w:jc w:val="both"/>
              <w:rPr>
                <w:rFonts w:ascii="Arial" w:hAnsi="Arial" w:cs="Arial"/>
                <w:sz w:val="14"/>
                <w:szCs w:val="14"/>
              </w:rPr>
            </w:pPr>
          </w:p>
        </w:tc>
        <w:tc>
          <w:tcPr>
            <w:tcW w:w="450" w:type="pct"/>
          </w:tcPr>
          <w:p w14:paraId="09CCD353" w14:textId="77777777" w:rsidR="00A451C2" w:rsidRPr="005001D6" w:rsidRDefault="00A451C2" w:rsidP="00173FAF">
            <w:pPr>
              <w:widowControl w:val="0"/>
              <w:autoSpaceDE w:val="0"/>
              <w:autoSpaceDN w:val="0"/>
              <w:adjustRightInd w:val="0"/>
              <w:spacing w:line="360" w:lineRule="auto"/>
              <w:jc w:val="both"/>
              <w:rPr>
                <w:rFonts w:ascii="Arial" w:hAnsi="Arial" w:cs="Arial"/>
                <w:sz w:val="14"/>
                <w:szCs w:val="14"/>
              </w:rPr>
            </w:pPr>
          </w:p>
        </w:tc>
        <w:tc>
          <w:tcPr>
            <w:tcW w:w="384" w:type="pct"/>
            <w:shd w:val="clear" w:color="auto" w:fill="auto"/>
          </w:tcPr>
          <w:p w14:paraId="11D3CADB" w14:textId="77777777" w:rsidR="00A451C2" w:rsidRPr="005001D6" w:rsidRDefault="00A451C2" w:rsidP="00173FAF">
            <w:pPr>
              <w:widowControl w:val="0"/>
              <w:autoSpaceDE w:val="0"/>
              <w:autoSpaceDN w:val="0"/>
              <w:adjustRightInd w:val="0"/>
              <w:spacing w:line="360" w:lineRule="auto"/>
              <w:jc w:val="both"/>
              <w:rPr>
                <w:rFonts w:ascii="Arial" w:hAnsi="Arial" w:cs="Arial"/>
                <w:sz w:val="14"/>
                <w:szCs w:val="14"/>
              </w:rPr>
            </w:pPr>
          </w:p>
        </w:tc>
        <w:tc>
          <w:tcPr>
            <w:tcW w:w="384" w:type="pct"/>
          </w:tcPr>
          <w:p w14:paraId="0519F3C7" w14:textId="77777777" w:rsidR="00A451C2" w:rsidRPr="005001D6" w:rsidRDefault="00A451C2" w:rsidP="00173FAF">
            <w:pPr>
              <w:widowControl w:val="0"/>
              <w:autoSpaceDE w:val="0"/>
              <w:autoSpaceDN w:val="0"/>
              <w:adjustRightInd w:val="0"/>
              <w:spacing w:line="360" w:lineRule="auto"/>
              <w:jc w:val="both"/>
              <w:rPr>
                <w:rFonts w:ascii="Arial" w:hAnsi="Arial" w:cs="Arial"/>
                <w:sz w:val="14"/>
                <w:szCs w:val="14"/>
              </w:rPr>
            </w:pPr>
          </w:p>
        </w:tc>
        <w:tc>
          <w:tcPr>
            <w:tcW w:w="337" w:type="pct"/>
          </w:tcPr>
          <w:p w14:paraId="4FA9BFF5" w14:textId="77777777" w:rsidR="00A451C2" w:rsidRPr="005001D6" w:rsidRDefault="00A451C2" w:rsidP="00173FAF">
            <w:pPr>
              <w:widowControl w:val="0"/>
              <w:autoSpaceDE w:val="0"/>
              <w:autoSpaceDN w:val="0"/>
              <w:adjustRightInd w:val="0"/>
              <w:spacing w:line="360" w:lineRule="auto"/>
              <w:jc w:val="both"/>
              <w:rPr>
                <w:rFonts w:ascii="Arial" w:hAnsi="Arial" w:cs="Arial"/>
                <w:sz w:val="14"/>
                <w:szCs w:val="14"/>
              </w:rPr>
            </w:pPr>
          </w:p>
        </w:tc>
      </w:tr>
      <w:tr w:rsidR="005001D6" w:rsidRPr="005001D6" w14:paraId="593799A4" w14:textId="77777777" w:rsidTr="00326A9E">
        <w:tc>
          <w:tcPr>
            <w:tcW w:w="1209" w:type="pct"/>
            <w:tcBorders>
              <w:top w:val="single" w:sz="4" w:space="0" w:color="auto"/>
            </w:tcBorders>
          </w:tcPr>
          <w:p w14:paraId="43D081AA" w14:textId="78069D4E" w:rsidR="00F51D0B" w:rsidRPr="005001D6" w:rsidRDefault="00F51D0B"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Fungal: bacterial ratio</w:t>
            </w:r>
          </w:p>
        </w:tc>
        <w:tc>
          <w:tcPr>
            <w:tcW w:w="447" w:type="pct"/>
            <w:tcBorders>
              <w:top w:val="nil"/>
              <w:left w:val="nil"/>
              <w:bottom w:val="nil"/>
              <w:right w:val="nil"/>
            </w:tcBorders>
            <w:shd w:val="clear" w:color="auto" w:fill="auto"/>
            <w:vAlign w:val="bottom"/>
          </w:tcPr>
          <w:p w14:paraId="310B33BF" w14:textId="39F7FF2E" w:rsidR="00F51D0B" w:rsidRPr="005001D6" w:rsidRDefault="00F51D0B"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0.4 ± 0.02</w:t>
            </w:r>
          </w:p>
        </w:tc>
        <w:tc>
          <w:tcPr>
            <w:tcW w:w="447" w:type="pct"/>
            <w:tcBorders>
              <w:top w:val="nil"/>
              <w:left w:val="nil"/>
              <w:bottom w:val="nil"/>
              <w:right w:val="nil"/>
            </w:tcBorders>
            <w:shd w:val="clear" w:color="auto" w:fill="auto"/>
            <w:vAlign w:val="bottom"/>
          </w:tcPr>
          <w:p w14:paraId="15CCE9D3" w14:textId="2AF4D8E0" w:rsidR="00F51D0B" w:rsidRPr="005001D6" w:rsidRDefault="00F51D0B"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0.4 ± 0.03</w:t>
            </w:r>
          </w:p>
        </w:tc>
        <w:tc>
          <w:tcPr>
            <w:tcW w:w="448" w:type="pct"/>
            <w:tcBorders>
              <w:top w:val="nil"/>
              <w:left w:val="nil"/>
              <w:bottom w:val="nil"/>
              <w:right w:val="nil"/>
            </w:tcBorders>
            <w:shd w:val="clear" w:color="auto" w:fill="auto"/>
            <w:vAlign w:val="bottom"/>
          </w:tcPr>
          <w:p w14:paraId="71330968" w14:textId="7374F060" w:rsidR="00F51D0B" w:rsidRPr="005001D6" w:rsidRDefault="00F51D0B"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0.4 ± 0.03</w:t>
            </w:r>
          </w:p>
        </w:tc>
        <w:tc>
          <w:tcPr>
            <w:tcW w:w="447" w:type="pct"/>
            <w:tcBorders>
              <w:top w:val="nil"/>
              <w:left w:val="nil"/>
              <w:bottom w:val="nil"/>
              <w:right w:val="nil"/>
            </w:tcBorders>
            <w:shd w:val="clear" w:color="auto" w:fill="auto"/>
            <w:vAlign w:val="bottom"/>
          </w:tcPr>
          <w:p w14:paraId="4DFCDF1B" w14:textId="7883EA32" w:rsidR="00F51D0B" w:rsidRPr="005001D6" w:rsidRDefault="00F51D0B"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0.5 ± 0.04</w:t>
            </w:r>
          </w:p>
        </w:tc>
        <w:tc>
          <w:tcPr>
            <w:tcW w:w="447" w:type="pct"/>
            <w:tcBorders>
              <w:top w:val="nil"/>
              <w:left w:val="nil"/>
              <w:bottom w:val="nil"/>
              <w:right w:val="nil"/>
            </w:tcBorders>
            <w:shd w:val="clear" w:color="auto" w:fill="auto"/>
            <w:vAlign w:val="bottom"/>
          </w:tcPr>
          <w:p w14:paraId="7907E041" w14:textId="50BA7353" w:rsidR="00F51D0B" w:rsidRPr="005001D6" w:rsidRDefault="00F51D0B"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0.4 ± 0.02</w:t>
            </w:r>
          </w:p>
        </w:tc>
        <w:tc>
          <w:tcPr>
            <w:tcW w:w="450" w:type="pct"/>
            <w:tcBorders>
              <w:top w:val="nil"/>
              <w:left w:val="nil"/>
              <w:bottom w:val="nil"/>
              <w:right w:val="nil"/>
            </w:tcBorders>
            <w:shd w:val="clear" w:color="auto" w:fill="auto"/>
            <w:vAlign w:val="bottom"/>
          </w:tcPr>
          <w:p w14:paraId="3E330876" w14:textId="24581B16" w:rsidR="00F51D0B" w:rsidRPr="005001D6" w:rsidRDefault="00F51D0B"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0.4 ± 0.03</w:t>
            </w:r>
          </w:p>
        </w:tc>
        <w:tc>
          <w:tcPr>
            <w:tcW w:w="384" w:type="pct"/>
            <w:shd w:val="clear" w:color="auto" w:fill="auto"/>
          </w:tcPr>
          <w:p w14:paraId="46D8719B" w14:textId="45F18014" w:rsidR="00F51D0B" w:rsidRPr="005001D6" w:rsidRDefault="00F51D0B"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0.74 (0.6)</w:t>
            </w:r>
          </w:p>
        </w:tc>
        <w:tc>
          <w:tcPr>
            <w:tcW w:w="384" w:type="pct"/>
            <w:tcBorders>
              <w:top w:val="nil"/>
              <w:left w:val="nil"/>
              <w:bottom w:val="nil"/>
              <w:right w:val="nil"/>
            </w:tcBorders>
            <w:shd w:val="clear" w:color="auto" w:fill="auto"/>
            <w:vAlign w:val="bottom"/>
          </w:tcPr>
          <w:p w14:paraId="788B1FDF" w14:textId="3D9D7771" w:rsidR="00F51D0B" w:rsidRPr="005001D6" w:rsidRDefault="00F51D0B"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0.83 (&lt;0.01)</w:t>
            </w:r>
          </w:p>
        </w:tc>
        <w:tc>
          <w:tcPr>
            <w:tcW w:w="337" w:type="pct"/>
            <w:tcBorders>
              <w:top w:val="nil"/>
              <w:left w:val="nil"/>
              <w:bottom w:val="nil"/>
              <w:right w:val="nil"/>
            </w:tcBorders>
            <w:shd w:val="clear" w:color="auto" w:fill="auto"/>
            <w:vAlign w:val="bottom"/>
          </w:tcPr>
          <w:p w14:paraId="0C52A2AE" w14:textId="57645364" w:rsidR="00F51D0B" w:rsidRPr="005001D6" w:rsidRDefault="00F51D0B"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0.43 (1.9)</w:t>
            </w:r>
          </w:p>
        </w:tc>
      </w:tr>
      <w:tr w:rsidR="005001D6" w:rsidRPr="005001D6" w14:paraId="5B76CF5B" w14:textId="77777777" w:rsidTr="00326A9E">
        <w:tc>
          <w:tcPr>
            <w:tcW w:w="1209" w:type="pct"/>
          </w:tcPr>
          <w:p w14:paraId="3546093F" w14:textId="77777777" w:rsidR="00F51D0B" w:rsidRPr="005001D6" w:rsidRDefault="00F51D0B"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Gram positive: gram negative bacterial ratio</w:t>
            </w:r>
          </w:p>
        </w:tc>
        <w:tc>
          <w:tcPr>
            <w:tcW w:w="447" w:type="pct"/>
            <w:shd w:val="clear" w:color="auto" w:fill="auto"/>
          </w:tcPr>
          <w:p w14:paraId="5ADD90C6" w14:textId="77777777" w:rsidR="00F51D0B" w:rsidRPr="005001D6" w:rsidRDefault="00F51D0B"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3.2 ± 0.2</w:t>
            </w:r>
          </w:p>
        </w:tc>
        <w:tc>
          <w:tcPr>
            <w:tcW w:w="447" w:type="pct"/>
            <w:shd w:val="clear" w:color="auto" w:fill="auto"/>
          </w:tcPr>
          <w:p w14:paraId="0107E270" w14:textId="77777777" w:rsidR="00F51D0B" w:rsidRPr="005001D6" w:rsidRDefault="00F51D0B"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3.0 ± 0.2</w:t>
            </w:r>
          </w:p>
        </w:tc>
        <w:tc>
          <w:tcPr>
            <w:tcW w:w="448" w:type="pct"/>
          </w:tcPr>
          <w:p w14:paraId="26868262" w14:textId="77777777" w:rsidR="00F51D0B" w:rsidRPr="005001D6" w:rsidRDefault="00F51D0B"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2.9 ± 0.1</w:t>
            </w:r>
          </w:p>
        </w:tc>
        <w:tc>
          <w:tcPr>
            <w:tcW w:w="447" w:type="pct"/>
            <w:shd w:val="clear" w:color="auto" w:fill="auto"/>
          </w:tcPr>
          <w:p w14:paraId="1144BD13" w14:textId="77777777" w:rsidR="00F51D0B" w:rsidRPr="005001D6" w:rsidRDefault="00F51D0B"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3.0 ± 0.2</w:t>
            </w:r>
          </w:p>
        </w:tc>
        <w:tc>
          <w:tcPr>
            <w:tcW w:w="447" w:type="pct"/>
            <w:shd w:val="clear" w:color="auto" w:fill="auto"/>
          </w:tcPr>
          <w:p w14:paraId="15164E38" w14:textId="77777777" w:rsidR="00F51D0B" w:rsidRPr="005001D6" w:rsidRDefault="00F51D0B"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2.6 ± 0.1</w:t>
            </w:r>
          </w:p>
        </w:tc>
        <w:tc>
          <w:tcPr>
            <w:tcW w:w="450" w:type="pct"/>
          </w:tcPr>
          <w:p w14:paraId="13C3810B" w14:textId="77777777" w:rsidR="00F51D0B" w:rsidRPr="005001D6" w:rsidRDefault="00F51D0B"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2.9 ± 0.3</w:t>
            </w:r>
          </w:p>
        </w:tc>
        <w:tc>
          <w:tcPr>
            <w:tcW w:w="384" w:type="pct"/>
            <w:shd w:val="clear" w:color="auto" w:fill="auto"/>
          </w:tcPr>
          <w:p w14:paraId="4E3A31CA" w14:textId="459065AC" w:rsidR="00F51D0B" w:rsidRPr="005001D6" w:rsidRDefault="00F51D0B"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0.48 (5.1)</w:t>
            </w:r>
          </w:p>
        </w:tc>
        <w:tc>
          <w:tcPr>
            <w:tcW w:w="384" w:type="pct"/>
            <w:tcBorders>
              <w:top w:val="nil"/>
              <w:left w:val="nil"/>
              <w:bottom w:val="nil"/>
              <w:right w:val="nil"/>
            </w:tcBorders>
            <w:shd w:val="clear" w:color="auto" w:fill="auto"/>
            <w:vAlign w:val="bottom"/>
          </w:tcPr>
          <w:p w14:paraId="2994E9B7" w14:textId="4DACED9A" w:rsidR="00F51D0B" w:rsidRPr="005001D6" w:rsidRDefault="00F51D0B" w:rsidP="00173FAF">
            <w:pPr>
              <w:widowControl w:val="0"/>
              <w:autoSpaceDE w:val="0"/>
              <w:autoSpaceDN w:val="0"/>
              <w:adjustRightInd w:val="0"/>
              <w:spacing w:line="360" w:lineRule="auto"/>
              <w:jc w:val="both"/>
              <w:rPr>
                <w:rFonts w:ascii="Arial" w:hAnsi="Arial" w:cs="Arial"/>
                <w:b/>
                <w:bCs/>
                <w:sz w:val="14"/>
                <w:szCs w:val="14"/>
              </w:rPr>
            </w:pPr>
            <w:r w:rsidRPr="005001D6">
              <w:rPr>
                <w:rFonts w:ascii="Arial" w:hAnsi="Arial" w:cs="Arial"/>
                <w:b/>
                <w:bCs/>
                <w:sz w:val="14"/>
                <w:szCs w:val="14"/>
              </w:rPr>
              <w:t>0.01 (9.4)</w:t>
            </w:r>
          </w:p>
        </w:tc>
        <w:tc>
          <w:tcPr>
            <w:tcW w:w="337" w:type="pct"/>
            <w:tcBorders>
              <w:top w:val="nil"/>
              <w:left w:val="nil"/>
              <w:bottom w:val="nil"/>
              <w:right w:val="nil"/>
            </w:tcBorders>
            <w:shd w:val="clear" w:color="auto" w:fill="auto"/>
            <w:vAlign w:val="bottom"/>
          </w:tcPr>
          <w:p w14:paraId="50D6CCAC" w14:textId="47F34BF3" w:rsidR="00F51D0B" w:rsidRPr="005001D6" w:rsidRDefault="00F51D0B"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0.43 (1.7)</w:t>
            </w:r>
          </w:p>
        </w:tc>
      </w:tr>
      <w:tr w:rsidR="005001D6" w:rsidRPr="005001D6" w14:paraId="7A15F4BA" w14:textId="77777777" w:rsidTr="00326A9E">
        <w:tc>
          <w:tcPr>
            <w:tcW w:w="1209" w:type="pct"/>
            <w:tcBorders>
              <w:top w:val="nil"/>
              <w:left w:val="nil"/>
              <w:bottom w:val="nil"/>
              <w:right w:val="nil"/>
            </w:tcBorders>
          </w:tcPr>
          <w:p w14:paraId="61742D65" w14:textId="30A25485" w:rsidR="00F51D0B" w:rsidRPr="005001D6" w:rsidRDefault="00F51D0B"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 xml:space="preserve">Fungal biomass </w:t>
            </w:r>
          </w:p>
        </w:tc>
        <w:tc>
          <w:tcPr>
            <w:tcW w:w="447" w:type="pct"/>
            <w:shd w:val="clear" w:color="auto" w:fill="auto"/>
          </w:tcPr>
          <w:p w14:paraId="40FE6F75" w14:textId="0FBF4FA5" w:rsidR="00F51D0B" w:rsidRPr="005001D6" w:rsidRDefault="00F51D0B"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229.4 ± 35.5</w:t>
            </w:r>
          </w:p>
        </w:tc>
        <w:tc>
          <w:tcPr>
            <w:tcW w:w="447" w:type="pct"/>
            <w:shd w:val="clear" w:color="auto" w:fill="auto"/>
          </w:tcPr>
          <w:p w14:paraId="7C06A754" w14:textId="28094B52" w:rsidR="00F51D0B" w:rsidRPr="005001D6" w:rsidRDefault="00F51D0B"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437.0 ± 120.1</w:t>
            </w:r>
          </w:p>
        </w:tc>
        <w:tc>
          <w:tcPr>
            <w:tcW w:w="448" w:type="pct"/>
          </w:tcPr>
          <w:p w14:paraId="264E3AD4" w14:textId="5818C428" w:rsidR="00F51D0B" w:rsidRPr="005001D6" w:rsidRDefault="00F51D0B"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303.1 ± 66.2</w:t>
            </w:r>
          </w:p>
        </w:tc>
        <w:tc>
          <w:tcPr>
            <w:tcW w:w="447" w:type="pct"/>
            <w:shd w:val="clear" w:color="auto" w:fill="auto"/>
          </w:tcPr>
          <w:p w14:paraId="22338D7E" w14:textId="3288DB68" w:rsidR="00F51D0B" w:rsidRPr="005001D6" w:rsidRDefault="00F51D0B"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396.4 ± 188.1</w:t>
            </w:r>
          </w:p>
        </w:tc>
        <w:tc>
          <w:tcPr>
            <w:tcW w:w="447" w:type="pct"/>
            <w:shd w:val="clear" w:color="auto" w:fill="auto"/>
          </w:tcPr>
          <w:p w14:paraId="2EC7D046" w14:textId="5121A434" w:rsidR="00F51D0B" w:rsidRPr="005001D6" w:rsidRDefault="00F51D0B"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255.3 ± 45.0</w:t>
            </w:r>
          </w:p>
        </w:tc>
        <w:tc>
          <w:tcPr>
            <w:tcW w:w="450" w:type="pct"/>
          </w:tcPr>
          <w:p w14:paraId="428DDB6E" w14:textId="7259B21C" w:rsidR="00F51D0B" w:rsidRPr="005001D6" w:rsidRDefault="00F51D0B"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261.2 ± 50.7</w:t>
            </w:r>
          </w:p>
        </w:tc>
        <w:tc>
          <w:tcPr>
            <w:tcW w:w="384" w:type="pct"/>
            <w:shd w:val="clear" w:color="auto" w:fill="auto"/>
          </w:tcPr>
          <w:p w14:paraId="5727E82C" w14:textId="494D3AEC" w:rsidR="00F51D0B" w:rsidRPr="005001D6" w:rsidRDefault="00F51D0B"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0.74 (0.7)</w:t>
            </w:r>
          </w:p>
        </w:tc>
        <w:tc>
          <w:tcPr>
            <w:tcW w:w="384" w:type="pct"/>
            <w:tcBorders>
              <w:top w:val="nil"/>
              <w:left w:val="nil"/>
              <w:bottom w:val="nil"/>
              <w:right w:val="nil"/>
            </w:tcBorders>
            <w:shd w:val="clear" w:color="auto" w:fill="auto"/>
            <w:vAlign w:val="bottom"/>
          </w:tcPr>
          <w:p w14:paraId="3102B853" w14:textId="37BFB1B8" w:rsidR="00F51D0B" w:rsidRPr="005001D6" w:rsidRDefault="00F51D0B" w:rsidP="00173FAF">
            <w:pPr>
              <w:widowControl w:val="0"/>
              <w:autoSpaceDE w:val="0"/>
              <w:autoSpaceDN w:val="0"/>
              <w:adjustRightInd w:val="0"/>
              <w:spacing w:line="360" w:lineRule="auto"/>
              <w:jc w:val="both"/>
              <w:rPr>
                <w:rFonts w:ascii="Arial" w:hAnsi="Arial" w:cs="Arial"/>
                <w:b/>
                <w:bCs/>
                <w:sz w:val="14"/>
                <w:szCs w:val="14"/>
              </w:rPr>
            </w:pPr>
            <w:r w:rsidRPr="005001D6">
              <w:rPr>
                <w:rFonts w:ascii="Arial" w:hAnsi="Arial" w:cs="Arial"/>
                <w:sz w:val="14"/>
                <w:szCs w:val="14"/>
              </w:rPr>
              <w:t>0.57 (0.5)</w:t>
            </w:r>
          </w:p>
        </w:tc>
        <w:tc>
          <w:tcPr>
            <w:tcW w:w="337" w:type="pct"/>
            <w:tcBorders>
              <w:top w:val="nil"/>
              <w:left w:val="nil"/>
              <w:bottom w:val="nil"/>
              <w:right w:val="nil"/>
            </w:tcBorders>
            <w:shd w:val="clear" w:color="auto" w:fill="auto"/>
            <w:vAlign w:val="bottom"/>
          </w:tcPr>
          <w:p w14:paraId="506627E9" w14:textId="0E0B5E68" w:rsidR="00F51D0B" w:rsidRPr="005001D6" w:rsidRDefault="00F51D0B"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0.42 (2.8)</w:t>
            </w:r>
          </w:p>
        </w:tc>
      </w:tr>
      <w:tr w:rsidR="005001D6" w:rsidRPr="005001D6" w14:paraId="02A58728" w14:textId="77777777" w:rsidTr="00326A9E">
        <w:tc>
          <w:tcPr>
            <w:tcW w:w="1209" w:type="pct"/>
            <w:tcBorders>
              <w:top w:val="nil"/>
              <w:left w:val="nil"/>
              <w:bottom w:val="nil"/>
              <w:right w:val="nil"/>
            </w:tcBorders>
          </w:tcPr>
          <w:p w14:paraId="36FBC012" w14:textId="5E913B5F" w:rsidR="00F51D0B" w:rsidRPr="005001D6" w:rsidRDefault="00F51D0B"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Bacterial biomass</w:t>
            </w:r>
          </w:p>
        </w:tc>
        <w:tc>
          <w:tcPr>
            <w:tcW w:w="447" w:type="pct"/>
            <w:shd w:val="clear" w:color="auto" w:fill="auto"/>
          </w:tcPr>
          <w:p w14:paraId="730445EE" w14:textId="6F426FE2" w:rsidR="00F51D0B" w:rsidRPr="005001D6" w:rsidRDefault="00F51D0B"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 xml:space="preserve">511.5 ± 62.7 </w:t>
            </w:r>
          </w:p>
        </w:tc>
        <w:tc>
          <w:tcPr>
            <w:tcW w:w="447" w:type="pct"/>
            <w:shd w:val="clear" w:color="auto" w:fill="auto"/>
          </w:tcPr>
          <w:p w14:paraId="05FBC209" w14:textId="397CE95C" w:rsidR="00F51D0B" w:rsidRPr="005001D6" w:rsidRDefault="00F51D0B"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923.4 ± 193.5</w:t>
            </w:r>
          </w:p>
        </w:tc>
        <w:tc>
          <w:tcPr>
            <w:tcW w:w="448" w:type="pct"/>
          </w:tcPr>
          <w:p w14:paraId="264F8F70" w14:textId="48DECB21" w:rsidR="00F51D0B" w:rsidRPr="005001D6" w:rsidRDefault="00F51D0B"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706.5 ± 143.0</w:t>
            </w:r>
          </w:p>
        </w:tc>
        <w:tc>
          <w:tcPr>
            <w:tcW w:w="447" w:type="pct"/>
            <w:shd w:val="clear" w:color="auto" w:fill="auto"/>
          </w:tcPr>
          <w:p w14:paraId="553E900E" w14:textId="2F69DA15" w:rsidR="00F51D0B" w:rsidRPr="005001D6" w:rsidRDefault="00F51D0B"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782.7 ± 332.1</w:t>
            </w:r>
          </w:p>
        </w:tc>
        <w:tc>
          <w:tcPr>
            <w:tcW w:w="447" w:type="pct"/>
            <w:shd w:val="clear" w:color="auto" w:fill="auto"/>
          </w:tcPr>
          <w:p w14:paraId="5C295727" w14:textId="14204090" w:rsidR="00F51D0B" w:rsidRPr="005001D6" w:rsidRDefault="00F51D0B"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614.7 ± 100.8</w:t>
            </w:r>
          </w:p>
        </w:tc>
        <w:tc>
          <w:tcPr>
            <w:tcW w:w="450" w:type="pct"/>
          </w:tcPr>
          <w:p w14:paraId="39016CDA" w14:textId="777CF7A2" w:rsidR="00F51D0B" w:rsidRPr="005001D6" w:rsidRDefault="00F51D0B"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577.5 ± 90.7</w:t>
            </w:r>
          </w:p>
        </w:tc>
        <w:tc>
          <w:tcPr>
            <w:tcW w:w="384" w:type="pct"/>
            <w:shd w:val="clear" w:color="auto" w:fill="auto"/>
          </w:tcPr>
          <w:p w14:paraId="06B9C070" w14:textId="4A5C7FF3" w:rsidR="00F51D0B" w:rsidRPr="005001D6" w:rsidRDefault="00F51D0B"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0.74 (1.0)</w:t>
            </w:r>
          </w:p>
        </w:tc>
        <w:tc>
          <w:tcPr>
            <w:tcW w:w="384" w:type="pct"/>
            <w:tcBorders>
              <w:top w:val="nil"/>
              <w:left w:val="nil"/>
              <w:bottom w:val="nil"/>
              <w:right w:val="nil"/>
            </w:tcBorders>
            <w:shd w:val="clear" w:color="auto" w:fill="auto"/>
            <w:vAlign w:val="bottom"/>
          </w:tcPr>
          <w:p w14:paraId="1F1848FA" w14:textId="162F1ACE" w:rsidR="00F51D0B" w:rsidRPr="005001D6" w:rsidRDefault="00F51D0B" w:rsidP="00173FAF">
            <w:pPr>
              <w:widowControl w:val="0"/>
              <w:autoSpaceDE w:val="0"/>
              <w:autoSpaceDN w:val="0"/>
              <w:adjustRightInd w:val="0"/>
              <w:spacing w:line="360" w:lineRule="auto"/>
              <w:jc w:val="both"/>
              <w:rPr>
                <w:rFonts w:ascii="Arial" w:hAnsi="Arial" w:cs="Arial"/>
                <w:b/>
                <w:bCs/>
                <w:sz w:val="14"/>
                <w:szCs w:val="14"/>
              </w:rPr>
            </w:pPr>
            <w:r w:rsidRPr="005001D6">
              <w:rPr>
                <w:rFonts w:ascii="Arial" w:hAnsi="Arial" w:cs="Arial"/>
                <w:sz w:val="14"/>
                <w:szCs w:val="14"/>
              </w:rPr>
              <w:t>0.53 (0.9)</w:t>
            </w:r>
          </w:p>
        </w:tc>
        <w:tc>
          <w:tcPr>
            <w:tcW w:w="337" w:type="pct"/>
            <w:tcBorders>
              <w:top w:val="nil"/>
              <w:left w:val="nil"/>
              <w:bottom w:val="nil"/>
              <w:right w:val="nil"/>
            </w:tcBorders>
            <w:shd w:val="clear" w:color="auto" w:fill="auto"/>
            <w:vAlign w:val="bottom"/>
          </w:tcPr>
          <w:p w14:paraId="01B472D2" w14:textId="0322CBA3" w:rsidR="00F51D0B" w:rsidRPr="005001D6" w:rsidRDefault="00F51D0B"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0.42 (2.5)</w:t>
            </w:r>
          </w:p>
        </w:tc>
      </w:tr>
      <w:tr w:rsidR="005001D6" w:rsidRPr="005001D6" w14:paraId="1BCF243C" w14:textId="77777777" w:rsidTr="0038052B">
        <w:tc>
          <w:tcPr>
            <w:tcW w:w="1209" w:type="pct"/>
            <w:tcBorders>
              <w:top w:val="nil"/>
              <w:left w:val="nil"/>
              <w:right w:val="nil"/>
            </w:tcBorders>
          </w:tcPr>
          <w:p w14:paraId="15E15D4A" w14:textId="049F892D" w:rsidR="00F51D0B" w:rsidRPr="005001D6" w:rsidRDefault="00F51D0B" w:rsidP="00173FAF">
            <w:pPr>
              <w:widowControl w:val="0"/>
              <w:autoSpaceDE w:val="0"/>
              <w:autoSpaceDN w:val="0"/>
              <w:adjustRightInd w:val="0"/>
              <w:spacing w:line="360" w:lineRule="auto"/>
              <w:jc w:val="both"/>
              <w:rPr>
                <w:rFonts w:ascii="Arial" w:hAnsi="Arial" w:cs="Arial"/>
                <w:sz w:val="14"/>
                <w:szCs w:val="14"/>
              </w:rPr>
            </w:pPr>
            <w:proofErr w:type="spellStart"/>
            <w:r w:rsidRPr="005001D6">
              <w:rPr>
                <w:rFonts w:ascii="Arial" w:hAnsi="Arial" w:cs="Arial"/>
                <w:sz w:val="14"/>
                <w:szCs w:val="14"/>
              </w:rPr>
              <w:t>Actinomycete</w:t>
            </w:r>
            <w:proofErr w:type="spellEnd"/>
            <w:r w:rsidRPr="005001D6">
              <w:rPr>
                <w:rFonts w:ascii="Arial" w:hAnsi="Arial" w:cs="Arial"/>
                <w:sz w:val="14"/>
                <w:szCs w:val="14"/>
              </w:rPr>
              <w:t xml:space="preserve"> biomass</w:t>
            </w:r>
          </w:p>
        </w:tc>
        <w:tc>
          <w:tcPr>
            <w:tcW w:w="447" w:type="pct"/>
            <w:shd w:val="clear" w:color="auto" w:fill="auto"/>
          </w:tcPr>
          <w:p w14:paraId="01C49F5A" w14:textId="5748E01C" w:rsidR="00F51D0B" w:rsidRPr="005001D6" w:rsidRDefault="00F51D0B"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318.8 ± 42.6</w:t>
            </w:r>
          </w:p>
        </w:tc>
        <w:tc>
          <w:tcPr>
            <w:tcW w:w="447" w:type="pct"/>
            <w:shd w:val="clear" w:color="auto" w:fill="auto"/>
          </w:tcPr>
          <w:p w14:paraId="6F21ED66" w14:textId="00C835D4" w:rsidR="00F51D0B" w:rsidRPr="005001D6" w:rsidRDefault="00F51D0B"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527.3 ± 91.9</w:t>
            </w:r>
          </w:p>
        </w:tc>
        <w:tc>
          <w:tcPr>
            <w:tcW w:w="448" w:type="pct"/>
          </w:tcPr>
          <w:p w14:paraId="039D5A9F" w14:textId="61CB55D9" w:rsidR="00F51D0B" w:rsidRPr="005001D6" w:rsidRDefault="00F51D0B"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410.1 ± 85.8</w:t>
            </w:r>
          </w:p>
        </w:tc>
        <w:tc>
          <w:tcPr>
            <w:tcW w:w="447" w:type="pct"/>
            <w:shd w:val="clear" w:color="auto" w:fill="auto"/>
          </w:tcPr>
          <w:p w14:paraId="46AA33D8" w14:textId="024EB072" w:rsidR="00F51D0B" w:rsidRPr="005001D6" w:rsidRDefault="00F51D0B"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457.9 ± 181.2</w:t>
            </w:r>
          </w:p>
        </w:tc>
        <w:tc>
          <w:tcPr>
            <w:tcW w:w="447" w:type="pct"/>
            <w:shd w:val="clear" w:color="auto" w:fill="auto"/>
          </w:tcPr>
          <w:p w14:paraId="0A93B426" w14:textId="4F2D6F84" w:rsidR="00F51D0B" w:rsidRPr="005001D6" w:rsidRDefault="00F51D0B"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349.9 ± 62.9</w:t>
            </w:r>
          </w:p>
        </w:tc>
        <w:tc>
          <w:tcPr>
            <w:tcW w:w="450" w:type="pct"/>
          </w:tcPr>
          <w:p w14:paraId="5F72BEA4" w14:textId="61B31252" w:rsidR="00F51D0B" w:rsidRPr="005001D6" w:rsidRDefault="00F51D0B"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340.6 ± 58.7</w:t>
            </w:r>
          </w:p>
        </w:tc>
        <w:tc>
          <w:tcPr>
            <w:tcW w:w="384" w:type="pct"/>
            <w:shd w:val="clear" w:color="auto" w:fill="auto"/>
          </w:tcPr>
          <w:p w14:paraId="50087331" w14:textId="22136E64" w:rsidR="00F51D0B" w:rsidRPr="005001D6" w:rsidRDefault="00F51D0B"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0.74 (0.8)</w:t>
            </w:r>
          </w:p>
        </w:tc>
        <w:tc>
          <w:tcPr>
            <w:tcW w:w="384" w:type="pct"/>
            <w:tcBorders>
              <w:top w:val="nil"/>
              <w:left w:val="nil"/>
              <w:bottom w:val="nil"/>
              <w:right w:val="nil"/>
            </w:tcBorders>
            <w:shd w:val="clear" w:color="auto" w:fill="auto"/>
            <w:vAlign w:val="bottom"/>
          </w:tcPr>
          <w:p w14:paraId="6F3801EE" w14:textId="0AE3CF38" w:rsidR="00F51D0B" w:rsidRPr="005001D6" w:rsidRDefault="00F51D0B" w:rsidP="00173FAF">
            <w:pPr>
              <w:widowControl w:val="0"/>
              <w:autoSpaceDE w:val="0"/>
              <w:autoSpaceDN w:val="0"/>
              <w:adjustRightInd w:val="0"/>
              <w:spacing w:line="360" w:lineRule="auto"/>
              <w:jc w:val="both"/>
              <w:rPr>
                <w:rFonts w:ascii="Arial" w:hAnsi="Arial" w:cs="Arial"/>
                <w:b/>
                <w:bCs/>
                <w:sz w:val="14"/>
                <w:szCs w:val="14"/>
              </w:rPr>
            </w:pPr>
            <w:r w:rsidRPr="005001D6">
              <w:rPr>
                <w:rFonts w:ascii="Arial" w:hAnsi="Arial" w:cs="Arial"/>
                <w:sz w:val="14"/>
                <w:szCs w:val="14"/>
              </w:rPr>
              <w:t>0.53 (1.1)</w:t>
            </w:r>
          </w:p>
        </w:tc>
        <w:tc>
          <w:tcPr>
            <w:tcW w:w="337" w:type="pct"/>
            <w:tcBorders>
              <w:top w:val="nil"/>
              <w:left w:val="nil"/>
              <w:bottom w:val="nil"/>
              <w:right w:val="nil"/>
            </w:tcBorders>
            <w:shd w:val="clear" w:color="auto" w:fill="auto"/>
            <w:vAlign w:val="bottom"/>
          </w:tcPr>
          <w:p w14:paraId="52AEED36" w14:textId="0791D86A" w:rsidR="00F51D0B" w:rsidRPr="005001D6" w:rsidRDefault="00F51D0B"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0.42 (2.6)</w:t>
            </w:r>
          </w:p>
        </w:tc>
      </w:tr>
      <w:tr w:rsidR="005001D6" w:rsidRPr="005001D6" w14:paraId="3F77DD63" w14:textId="77777777" w:rsidTr="00326A9E">
        <w:tc>
          <w:tcPr>
            <w:tcW w:w="1209" w:type="pct"/>
            <w:tcBorders>
              <w:top w:val="nil"/>
              <w:left w:val="nil"/>
              <w:bottom w:val="nil"/>
              <w:right w:val="nil"/>
            </w:tcBorders>
          </w:tcPr>
          <w:p w14:paraId="06531DD1" w14:textId="775E38C5" w:rsidR="00F51D0B" w:rsidRPr="005001D6" w:rsidRDefault="00F51D0B"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Total biomass</w:t>
            </w:r>
          </w:p>
        </w:tc>
        <w:tc>
          <w:tcPr>
            <w:tcW w:w="447" w:type="pct"/>
            <w:tcBorders>
              <w:top w:val="nil"/>
              <w:left w:val="nil"/>
              <w:bottom w:val="nil"/>
              <w:right w:val="nil"/>
            </w:tcBorders>
            <w:shd w:val="clear" w:color="auto" w:fill="auto"/>
            <w:vAlign w:val="bottom"/>
          </w:tcPr>
          <w:p w14:paraId="3DAB8D34" w14:textId="2E6A043C" w:rsidR="00F51D0B" w:rsidRPr="005001D6" w:rsidRDefault="00F51D0B"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1076.4 ± 136.2</w:t>
            </w:r>
          </w:p>
        </w:tc>
        <w:tc>
          <w:tcPr>
            <w:tcW w:w="447" w:type="pct"/>
            <w:tcBorders>
              <w:top w:val="nil"/>
              <w:left w:val="nil"/>
              <w:bottom w:val="nil"/>
              <w:right w:val="nil"/>
            </w:tcBorders>
            <w:shd w:val="clear" w:color="auto" w:fill="auto"/>
            <w:vAlign w:val="bottom"/>
          </w:tcPr>
          <w:p w14:paraId="7954D928" w14:textId="6BA622F3" w:rsidR="00F51D0B" w:rsidRPr="005001D6" w:rsidRDefault="00F51D0B"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2012.9 ± 461.2</w:t>
            </w:r>
          </w:p>
        </w:tc>
        <w:tc>
          <w:tcPr>
            <w:tcW w:w="448" w:type="pct"/>
            <w:tcBorders>
              <w:top w:val="nil"/>
              <w:left w:val="nil"/>
              <w:bottom w:val="nil"/>
              <w:right w:val="nil"/>
            </w:tcBorders>
            <w:shd w:val="clear" w:color="auto" w:fill="auto"/>
            <w:vAlign w:val="bottom"/>
          </w:tcPr>
          <w:p w14:paraId="471BC87F" w14:textId="67BDC1DE" w:rsidR="00F51D0B" w:rsidRPr="005001D6" w:rsidRDefault="00F51D0B"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1485.1 ± 294.8</w:t>
            </w:r>
          </w:p>
        </w:tc>
        <w:tc>
          <w:tcPr>
            <w:tcW w:w="447" w:type="pct"/>
            <w:tcBorders>
              <w:top w:val="nil"/>
              <w:left w:val="nil"/>
              <w:bottom w:val="nil"/>
              <w:right w:val="nil"/>
            </w:tcBorders>
            <w:shd w:val="clear" w:color="auto" w:fill="auto"/>
            <w:vAlign w:val="bottom"/>
          </w:tcPr>
          <w:p w14:paraId="0FE77872" w14:textId="069CF155" w:rsidR="00F51D0B" w:rsidRPr="005001D6" w:rsidRDefault="00F51D0B"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1752.5 ± 785.8</w:t>
            </w:r>
          </w:p>
        </w:tc>
        <w:tc>
          <w:tcPr>
            <w:tcW w:w="447" w:type="pct"/>
            <w:tcBorders>
              <w:top w:val="nil"/>
              <w:left w:val="nil"/>
              <w:bottom w:val="nil"/>
              <w:right w:val="nil"/>
            </w:tcBorders>
            <w:shd w:val="clear" w:color="auto" w:fill="auto"/>
            <w:vAlign w:val="bottom"/>
          </w:tcPr>
          <w:p w14:paraId="3E046BC1" w14:textId="62C9BF48" w:rsidR="00F51D0B" w:rsidRPr="005001D6" w:rsidRDefault="00F51D0B"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1288.6 ± 210.3</w:t>
            </w:r>
          </w:p>
        </w:tc>
        <w:tc>
          <w:tcPr>
            <w:tcW w:w="450" w:type="pct"/>
            <w:tcBorders>
              <w:top w:val="nil"/>
              <w:left w:val="nil"/>
              <w:bottom w:val="nil"/>
              <w:right w:val="nil"/>
            </w:tcBorders>
            <w:shd w:val="clear" w:color="auto" w:fill="auto"/>
            <w:vAlign w:val="bottom"/>
          </w:tcPr>
          <w:p w14:paraId="4AA6A9BF" w14:textId="5868A9D4" w:rsidR="00F51D0B" w:rsidRPr="005001D6" w:rsidRDefault="00F51D0B"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1225.8 ± 195.6</w:t>
            </w:r>
          </w:p>
        </w:tc>
        <w:tc>
          <w:tcPr>
            <w:tcW w:w="384" w:type="pct"/>
            <w:shd w:val="clear" w:color="auto" w:fill="auto"/>
          </w:tcPr>
          <w:p w14:paraId="76CAEE08" w14:textId="6A8EC453" w:rsidR="00F51D0B" w:rsidRPr="005001D6" w:rsidRDefault="00F51D0B"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0.74 (1.0)</w:t>
            </w:r>
          </w:p>
        </w:tc>
        <w:tc>
          <w:tcPr>
            <w:tcW w:w="384" w:type="pct"/>
            <w:tcBorders>
              <w:top w:val="nil"/>
              <w:left w:val="nil"/>
              <w:bottom w:val="nil"/>
              <w:right w:val="nil"/>
            </w:tcBorders>
            <w:shd w:val="clear" w:color="auto" w:fill="auto"/>
            <w:vAlign w:val="bottom"/>
          </w:tcPr>
          <w:p w14:paraId="621AAD74" w14:textId="412713FB" w:rsidR="00F51D0B" w:rsidRPr="005001D6" w:rsidRDefault="00F51D0B" w:rsidP="00173FAF">
            <w:pPr>
              <w:widowControl w:val="0"/>
              <w:autoSpaceDE w:val="0"/>
              <w:autoSpaceDN w:val="0"/>
              <w:adjustRightInd w:val="0"/>
              <w:spacing w:line="360" w:lineRule="auto"/>
              <w:jc w:val="both"/>
              <w:rPr>
                <w:rFonts w:ascii="Arial" w:hAnsi="Arial" w:cs="Arial"/>
                <w:b/>
                <w:bCs/>
                <w:sz w:val="14"/>
                <w:szCs w:val="14"/>
              </w:rPr>
            </w:pPr>
            <w:r w:rsidRPr="005001D6">
              <w:rPr>
                <w:rFonts w:ascii="Arial" w:hAnsi="Arial" w:cs="Arial"/>
                <w:sz w:val="14"/>
                <w:szCs w:val="14"/>
              </w:rPr>
              <w:t>0.53 (0.9)</w:t>
            </w:r>
          </w:p>
        </w:tc>
        <w:tc>
          <w:tcPr>
            <w:tcW w:w="337" w:type="pct"/>
            <w:tcBorders>
              <w:top w:val="nil"/>
              <w:left w:val="nil"/>
              <w:bottom w:val="nil"/>
              <w:right w:val="nil"/>
            </w:tcBorders>
            <w:shd w:val="clear" w:color="auto" w:fill="auto"/>
            <w:vAlign w:val="bottom"/>
          </w:tcPr>
          <w:p w14:paraId="347D216B" w14:textId="2F888273" w:rsidR="00F51D0B" w:rsidRPr="005001D6" w:rsidRDefault="00F51D0B"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0.42 (2.7)</w:t>
            </w:r>
          </w:p>
        </w:tc>
      </w:tr>
      <w:tr w:rsidR="005001D6" w:rsidRPr="005001D6" w14:paraId="37716729" w14:textId="77777777" w:rsidTr="0038052B">
        <w:tc>
          <w:tcPr>
            <w:tcW w:w="1209" w:type="pct"/>
          </w:tcPr>
          <w:p w14:paraId="17D5D509" w14:textId="77777777" w:rsidR="00DD442A" w:rsidRPr="005001D6" w:rsidRDefault="00DD442A" w:rsidP="00173FAF">
            <w:pPr>
              <w:widowControl w:val="0"/>
              <w:autoSpaceDE w:val="0"/>
              <w:autoSpaceDN w:val="0"/>
              <w:adjustRightInd w:val="0"/>
              <w:spacing w:line="360" w:lineRule="auto"/>
              <w:jc w:val="both"/>
              <w:rPr>
                <w:rFonts w:ascii="Arial" w:hAnsi="Arial" w:cs="Arial"/>
                <w:sz w:val="14"/>
                <w:szCs w:val="14"/>
              </w:rPr>
            </w:pPr>
          </w:p>
        </w:tc>
        <w:tc>
          <w:tcPr>
            <w:tcW w:w="447" w:type="pct"/>
            <w:shd w:val="clear" w:color="auto" w:fill="auto"/>
          </w:tcPr>
          <w:p w14:paraId="015A7A0A" w14:textId="77777777" w:rsidR="00DD442A" w:rsidRPr="005001D6" w:rsidRDefault="00DD442A" w:rsidP="00173FAF">
            <w:pPr>
              <w:widowControl w:val="0"/>
              <w:autoSpaceDE w:val="0"/>
              <w:autoSpaceDN w:val="0"/>
              <w:adjustRightInd w:val="0"/>
              <w:spacing w:line="360" w:lineRule="auto"/>
              <w:jc w:val="both"/>
              <w:rPr>
                <w:rFonts w:ascii="Arial" w:hAnsi="Arial" w:cs="Arial"/>
                <w:sz w:val="14"/>
                <w:szCs w:val="14"/>
              </w:rPr>
            </w:pPr>
          </w:p>
        </w:tc>
        <w:tc>
          <w:tcPr>
            <w:tcW w:w="447" w:type="pct"/>
            <w:shd w:val="clear" w:color="auto" w:fill="auto"/>
          </w:tcPr>
          <w:p w14:paraId="070874DA" w14:textId="77777777" w:rsidR="00DD442A" w:rsidRPr="005001D6" w:rsidRDefault="00DD442A" w:rsidP="00173FAF">
            <w:pPr>
              <w:widowControl w:val="0"/>
              <w:autoSpaceDE w:val="0"/>
              <w:autoSpaceDN w:val="0"/>
              <w:adjustRightInd w:val="0"/>
              <w:spacing w:line="360" w:lineRule="auto"/>
              <w:jc w:val="both"/>
              <w:rPr>
                <w:rFonts w:ascii="Arial" w:hAnsi="Arial" w:cs="Arial"/>
                <w:sz w:val="14"/>
                <w:szCs w:val="14"/>
              </w:rPr>
            </w:pPr>
          </w:p>
        </w:tc>
        <w:tc>
          <w:tcPr>
            <w:tcW w:w="448" w:type="pct"/>
          </w:tcPr>
          <w:p w14:paraId="6A7790E8" w14:textId="77777777" w:rsidR="00DD442A" w:rsidRPr="005001D6" w:rsidRDefault="00DD442A" w:rsidP="00173FAF">
            <w:pPr>
              <w:widowControl w:val="0"/>
              <w:autoSpaceDE w:val="0"/>
              <w:autoSpaceDN w:val="0"/>
              <w:adjustRightInd w:val="0"/>
              <w:spacing w:line="360" w:lineRule="auto"/>
              <w:jc w:val="both"/>
              <w:rPr>
                <w:rFonts w:ascii="Arial" w:hAnsi="Arial" w:cs="Arial"/>
                <w:sz w:val="14"/>
                <w:szCs w:val="14"/>
              </w:rPr>
            </w:pPr>
          </w:p>
        </w:tc>
        <w:tc>
          <w:tcPr>
            <w:tcW w:w="447" w:type="pct"/>
            <w:shd w:val="clear" w:color="auto" w:fill="auto"/>
          </w:tcPr>
          <w:p w14:paraId="07FF0517" w14:textId="77777777" w:rsidR="00DD442A" w:rsidRPr="005001D6" w:rsidRDefault="00DD442A" w:rsidP="00173FAF">
            <w:pPr>
              <w:widowControl w:val="0"/>
              <w:autoSpaceDE w:val="0"/>
              <w:autoSpaceDN w:val="0"/>
              <w:adjustRightInd w:val="0"/>
              <w:spacing w:line="360" w:lineRule="auto"/>
              <w:jc w:val="both"/>
              <w:rPr>
                <w:rFonts w:ascii="Arial" w:hAnsi="Arial" w:cs="Arial"/>
                <w:sz w:val="14"/>
                <w:szCs w:val="14"/>
              </w:rPr>
            </w:pPr>
          </w:p>
        </w:tc>
        <w:tc>
          <w:tcPr>
            <w:tcW w:w="447" w:type="pct"/>
            <w:shd w:val="clear" w:color="auto" w:fill="auto"/>
          </w:tcPr>
          <w:p w14:paraId="5D72F542" w14:textId="77777777" w:rsidR="00DD442A" w:rsidRPr="005001D6" w:rsidRDefault="00DD442A" w:rsidP="00173FAF">
            <w:pPr>
              <w:widowControl w:val="0"/>
              <w:autoSpaceDE w:val="0"/>
              <w:autoSpaceDN w:val="0"/>
              <w:adjustRightInd w:val="0"/>
              <w:spacing w:line="360" w:lineRule="auto"/>
              <w:jc w:val="both"/>
              <w:rPr>
                <w:rFonts w:ascii="Arial" w:hAnsi="Arial" w:cs="Arial"/>
                <w:sz w:val="14"/>
                <w:szCs w:val="14"/>
              </w:rPr>
            </w:pPr>
          </w:p>
        </w:tc>
        <w:tc>
          <w:tcPr>
            <w:tcW w:w="450" w:type="pct"/>
          </w:tcPr>
          <w:p w14:paraId="1E37BDC5" w14:textId="77777777" w:rsidR="00DD442A" w:rsidRPr="005001D6" w:rsidRDefault="00DD442A" w:rsidP="00173FAF">
            <w:pPr>
              <w:widowControl w:val="0"/>
              <w:autoSpaceDE w:val="0"/>
              <w:autoSpaceDN w:val="0"/>
              <w:adjustRightInd w:val="0"/>
              <w:spacing w:line="360" w:lineRule="auto"/>
              <w:jc w:val="both"/>
              <w:rPr>
                <w:rFonts w:ascii="Arial" w:hAnsi="Arial" w:cs="Arial"/>
                <w:sz w:val="14"/>
                <w:szCs w:val="14"/>
              </w:rPr>
            </w:pPr>
          </w:p>
        </w:tc>
        <w:tc>
          <w:tcPr>
            <w:tcW w:w="384" w:type="pct"/>
            <w:shd w:val="clear" w:color="auto" w:fill="auto"/>
          </w:tcPr>
          <w:p w14:paraId="5B77EB68" w14:textId="77777777" w:rsidR="00DD442A" w:rsidRPr="005001D6" w:rsidRDefault="00DD442A" w:rsidP="00173FAF">
            <w:pPr>
              <w:widowControl w:val="0"/>
              <w:autoSpaceDE w:val="0"/>
              <w:autoSpaceDN w:val="0"/>
              <w:adjustRightInd w:val="0"/>
              <w:spacing w:line="360" w:lineRule="auto"/>
              <w:jc w:val="both"/>
              <w:rPr>
                <w:rFonts w:ascii="Arial" w:hAnsi="Arial" w:cs="Arial"/>
                <w:sz w:val="14"/>
                <w:szCs w:val="14"/>
              </w:rPr>
            </w:pPr>
          </w:p>
        </w:tc>
        <w:tc>
          <w:tcPr>
            <w:tcW w:w="384" w:type="pct"/>
          </w:tcPr>
          <w:p w14:paraId="228EE181" w14:textId="77777777" w:rsidR="00DD442A" w:rsidRPr="005001D6" w:rsidRDefault="00DD442A" w:rsidP="00173FAF">
            <w:pPr>
              <w:widowControl w:val="0"/>
              <w:autoSpaceDE w:val="0"/>
              <w:autoSpaceDN w:val="0"/>
              <w:adjustRightInd w:val="0"/>
              <w:spacing w:line="360" w:lineRule="auto"/>
              <w:jc w:val="both"/>
              <w:rPr>
                <w:rFonts w:ascii="Arial" w:hAnsi="Arial" w:cs="Arial"/>
                <w:b/>
                <w:bCs/>
                <w:sz w:val="14"/>
                <w:szCs w:val="14"/>
              </w:rPr>
            </w:pPr>
          </w:p>
        </w:tc>
        <w:tc>
          <w:tcPr>
            <w:tcW w:w="337" w:type="pct"/>
          </w:tcPr>
          <w:p w14:paraId="5E6DDAD8" w14:textId="77777777" w:rsidR="00DD442A" w:rsidRPr="005001D6" w:rsidRDefault="00DD442A" w:rsidP="00173FAF">
            <w:pPr>
              <w:widowControl w:val="0"/>
              <w:autoSpaceDE w:val="0"/>
              <w:autoSpaceDN w:val="0"/>
              <w:adjustRightInd w:val="0"/>
              <w:spacing w:line="360" w:lineRule="auto"/>
              <w:jc w:val="both"/>
              <w:rPr>
                <w:rFonts w:ascii="Arial" w:hAnsi="Arial" w:cs="Arial"/>
                <w:sz w:val="14"/>
                <w:szCs w:val="14"/>
              </w:rPr>
            </w:pPr>
          </w:p>
        </w:tc>
      </w:tr>
      <w:tr w:rsidR="005001D6" w:rsidRPr="005001D6" w14:paraId="46D43B2D" w14:textId="77777777" w:rsidTr="0038052B">
        <w:tc>
          <w:tcPr>
            <w:tcW w:w="1209" w:type="pct"/>
            <w:tcBorders>
              <w:bottom w:val="single" w:sz="4" w:space="0" w:color="auto"/>
            </w:tcBorders>
          </w:tcPr>
          <w:p w14:paraId="77FDACF9" w14:textId="77777777" w:rsidR="00DD442A" w:rsidRPr="005001D6" w:rsidRDefault="00DD442A" w:rsidP="00173FAF">
            <w:pPr>
              <w:widowControl w:val="0"/>
              <w:autoSpaceDE w:val="0"/>
              <w:autoSpaceDN w:val="0"/>
              <w:adjustRightInd w:val="0"/>
              <w:spacing w:line="360" w:lineRule="auto"/>
              <w:jc w:val="both"/>
              <w:rPr>
                <w:rFonts w:ascii="Arial" w:hAnsi="Arial" w:cs="Arial"/>
                <w:sz w:val="14"/>
                <w:szCs w:val="14"/>
              </w:rPr>
            </w:pPr>
          </w:p>
          <w:p w14:paraId="59E1C145" w14:textId="1FF8FF4E" w:rsidR="00DD442A" w:rsidRPr="005001D6" w:rsidRDefault="00DD442A"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 xml:space="preserve">BACTERIAL FAMILY RELATIVE ABUNDANCE (%) </w:t>
            </w:r>
          </w:p>
        </w:tc>
        <w:tc>
          <w:tcPr>
            <w:tcW w:w="447" w:type="pct"/>
            <w:shd w:val="clear" w:color="auto" w:fill="auto"/>
          </w:tcPr>
          <w:p w14:paraId="44C054CD" w14:textId="77777777" w:rsidR="00DD442A" w:rsidRPr="005001D6" w:rsidRDefault="00DD442A" w:rsidP="00173FAF">
            <w:pPr>
              <w:widowControl w:val="0"/>
              <w:autoSpaceDE w:val="0"/>
              <w:autoSpaceDN w:val="0"/>
              <w:adjustRightInd w:val="0"/>
              <w:spacing w:line="360" w:lineRule="auto"/>
              <w:jc w:val="both"/>
              <w:rPr>
                <w:rFonts w:ascii="Arial" w:hAnsi="Arial" w:cs="Arial"/>
                <w:sz w:val="14"/>
                <w:szCs w:val="14"/>
              </w:rPr>
            </w:pPr>
          </w:p>
        </w:tc>
        <w:tc>
          <w:tcPr>
            <w:tcW w:w="447" w:type="pct"/>
          </w:tcPr>
          <w:p w14:paraId="2182030F" w14:textId="77777777" w:rsidR="00DD442A" w:rsidRPr="005001D6" w:rsidRDefault="00DD442A" w:rsidP="00173FAF">
            <w:pPr>
              <w:widowControl w:val="0"/>
              <w:autoSpaceDE w:val="0"/>
              <w:autoSpaceDN w:val="0"/>
              <w:adjustRightInd w:val="0"/>
              <w:spacing w:line="360" w:lineRule="auto"/>
              <w:jc w:val="both"/>
              <w:rPr>
                <w:rFonts w:ascii="Arial" w:hAnsi="Arial" w:cs="Arial"/>
                <w:sz w:val="14"/>
                <w:szCs w:val="14"/>
              </w:rPr>
            </w:pPr>
          </w:p>
        </w:tc>
        <w:tc>
          <w:tcPr>
            <w:tcW w:w="448" w:type="pct"/>
          </w:tcPr>
          <w:p w14:paraId="13BC0DF9" w14:textId="77777777" w:rsidR="00DD442A" w:rsidRPr="005001D6" w:rsidRDefault="00DD442A" w:rsidP="00173FAF">
            <w:pPr>
              <w:widowControl w:val="0"/>
              <w:autoSpaceDE w:val="0"/>
              <w:autoSpaceDN w:val="0"/>
              <w:adjustRightInd w:val="0"/>
              <w:spacing w:line="360" w:lineRule="auto"/>
              <w:jc w:val="both"/>
              <w:rPr>
                <w:rFonts w:ascii="Arial" w:hAnsi="Arial" w:cs="Arial"/>
                <w:sz w:val="14"/>
                <w:szCs w:val="14"/>
              </w:rPr>
            </w:pPr>
          </w:p>
        </w:tc>
        <w:tc>
          <w:tcPr>
            <w:tcW w:w="447" w:type="pct"/>
            <w:shd w:val="clear" w:color="auto" w:fill="auto"/>
          </w:tcPr>
          <w:p w14:paraId="3070D3CA" w14:textId="77777777" w:rsidR="00DD442A" w:rsidRPr="005001D6" w:rsidRDefault="00DD442A" w:rsidP="00173FAF">
            <w:pPr>
              <w:widowControl w:val="0"/>
              <w:autoSpaceDE w:val="0"/>
              <w:autoSpaceDN w:val="0"/>
              <w:adjustRightInd w:val="0"/>
              <w:spacing w:line="360" w:lineRule="auto"/>
              <w:jc w:val="both"/>
              <w:rPr>
                <w:rFonts w:ascii="Arial" w:hAnsi="Arial" w:cs="Arial"/>
                <w:sz w:val="14"/>
                <w:szCs w:val="14"/>
              </w:rPr>
            </w:pPr>
          </w:p>
        </w:tc>
        <w:tc>
          <w:tcPr>
            <w:tcW w:w="447" w:type="pct"/>
            <w:shd w:val="clear" w:color="auto" w:fill="auto"/>
          </w:tcPr>
          <w:p w14:paraId="7379A70D" w14:textId="77777777" w:rsidR="00DD442A" w:rsidRPr="005001D6" w:rsidRDefault="00DD442A" w:rsidP="00173FAF">
            <w:pPr>
              <w:widowControl w:val="0"/>
              <w:autoSpaceDE w:val="0"/>
              <w:autoSpaceDN w:val="0"/>
              <w:adjustRightInd w:val="0"/>
              <w:spacing w:line="360" w:lineRule="auto"/>
              <w:jc w:val="both"/>
              <w:rPr>
                <w:rFonts w:ascii="Arial" w:hAnsi="Arial" w:cs="Arial"/>
                <w:sz w:val="14"/>
                <w:szCs w:val="14"/>
              </w:rPr>
            </w:pPr>
          </w:p>
        </w:tc>
        <w:tc>
          <w:tcPr>
            <w:tcW w:w="450" w:type="pct"/>
          </w:tcPr>
          <w:p w14:paraId="1D0A802E" w14:textId="77777777" w:rsidR="00DD442A" w:rsidRPr="005001D6" w:rsidRDefault="00DD442A" w:rsidP="00173FAF">
            <w:pPr>
              <w:widowControl w:val="0"/>
              <w:autoSpaceDE w:val="0"/>
              <w:autoSpaceDN w:val="0"/>
              <w:adjustRightInd w:val="0"/>
              <w:spacing w:line="360" w:lineRule="auto"/>
              <w:jc w:val="both"/>
              <w:rPr>
                <w:rFonts w:ascii="Arial" w:hAnsi="Arial" w:cs="Arial"/>
                <w:sz w:val="14"/>
                <w:szCs w:val="14"/>
              </w:rPr>
            </w:pPr>
          </w:p>
        </w:tc>
        <w:tc>
          <w:tcPr>
            <w:tcW w:w="384" w:type="pct"/>
          </w:tcPr>
          <w:p w14:paraId="36E43243" w14:textId="77777777" w:rsidR="00DD442A" w:rsidRPr="005001D6" w:rsidRDefault="00DD442A" w:rsidP="00173FAF">
            <w:pPr>
              <w:widowControl w:val="0"/>
              <w:autoSpaceDE w:val="0"/>
              <w:autoSpaceDN w:val="0"/>
              <w:adjustRightInd w:val="0"/>
              <w:spacing w:line="360" w:lineRule="auto"/>
              <w:jc w:val="both"/>
              <w:rPr>
                <w:rFonts w:ascii="Arial" w:hAnsi="Arial" w:cs="Arial"/>
                <w:sz w:val="14"/>
                <w:szCs w:val="14"/>
              </w:rPr>
            </w:pPr>
          </w:p>
        </w:tc>
        <w:tc>
          <w:tcPr>
            <w:tcW w:w="384" w:type="pct"/>
          </w:tcPr>
          <w:p w14:paraId="6B690E1A" w14:textId="77777777" w:rsidR="00DD442A" w:rsidRPr="005001D6" w:rsidRDefault="00DD442A" w:rsidP="00173FAF">
            <w:pPr>
              <w:widowControl w:val="0"/>
              <w:autoSpaceDE w:val="0"/>
              <w:autoSpaceDN w:val="0"/>
              <w:adjustRightInd w:val="0"/>
              <w:spacing w:line="360" w:lineRule="auto"/>
              <w:jc w:val="both"/>
              <w:rPr>
                <w:rFonts w:ascii="Arial" w:hAnsi="Arial" w:cs="Arial"/>
                <w:sz w:val="14"/>
                <w:szCs w:val="14"/>
              </w:rPr>
            </w:pPr>
          </w:p>
        </w:tc>
        <w:tc>
          <w:tcPr>
            <w:tcW w:w="337" w:type="pct"/>
          </w:tcPr>
          <w:p w14:paraId="384EEC83" w14:textId="77777777" w:rsidR="00DD442A" w:rsidRPr="005001D6" w:rsidRDefault="00DD442A" w:rsidP="00173FAF">
            <w:pPr>
              <w:widowControl w:val="0"/>
              <w:autoSpaceDE w:val="0"/>
              <w:autoSpaceDN w:val="0"/>
              <w:adjustRightInd w:val="0"/>
              <w:spacing w:line="360" w:lineRule="auto"/>
              <w:jc w:val="both"/>
              <w:rPr>
                <w:rFonts w:ascii="Arial" w:hAnsi="Arial" w:cs="Arial"/>
                <w:sz w:val="14"/>
                <w:szCs w:val="14"/>
              </w:rPr>
            </w:pPr>
          </w:p>
        </w:tc>
      </w:tr>
      <w:tr w:rsidR="005001D6" w:rsidRPr="005001D6" w14:paraId="5808F151" w14:textId="77777777" w:rsidTr="0038052B">
        <w:tc>
          <w:tcPr>
            <w:tcW w:w="1209" w:type="pct"/>
            <w:tcBorders>
              <w:top w:val="single" w:sz="4" w:space="0" w:color="auto"/>
            </w:tcBorders>
          </w:tcPr>
          <w:p w14:paraId="56EF022A" w14:textId="77777777" w:rsidR="00DD442A" w:rsidRPr="005001D6" w:rsidRDefault="00DD442A" w:rsidP="00173FAF">
            <w:pPr>
              <w:widowControl w:val="0"/>
              <w:autoSpaceDE w:val="0"/>
              <w:autoSpaceDN w:val="0"/>
              <w:adjustRightInd w:val="0"/>
              <w:spacing w:line="360" w:lineRule="auto"/>
              <w:jc w:val="both"/>
              <w:rPr>
                <w:rFonts w:ascii="Arial" w:hAnsi="Arial" w:cs="Arial"/>
                <w:sz w:val="14"/>
                <w:szCs w:val="14"/>
              </w:rPr>
            </w:pPr>
            <w:proofErr w:type="spellStart"/>
            <w:r w:rsidRPr="005001D6">
              <w:rPr>
                <w:rFonts w:ascii="Arial" w:hAnsi="Arial" w:cs="Arial"/>
                <w:sz w:val="14"/>
                <w:szCs w:val="14"/>
              </w:rPr>
              <w:t>Bacillaceae</w:t>
            </w:r>
            <w:proofErr w:type="spellEnd"/>
          </w:p>
        </w:tc>
        <w:tc>
          <w:tcPr>
            <w:tcW w:w="447" w:type="pct"/>
          </w:tcPr>
          <w:p w14:paraId="2A32F6C7" w14:textId="77777777" w:rsidR="00DD442A" w:rsidRPr="005001D6" w:rsidRDefault="00DD442A"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2.1 ± 0.4</w:t>
            </w:r>
          </w:p>
        </w:tc>
        <w:tc>
          <w:tcPr>
            <w:tcW w:w="447" w:type="pct"/>
          </w:tcPr>
          <w:p w14:paraId="0031EAE4" w14:textId="77777777" w:rsidR="00DD442A" w:rsidRPr="005001D6" w:rsidRDefault="00DD442A"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 xml:space="preserve">2.7 ± 1.0 </w:t>
            </w:r>
          </w:p>
        </w:tc>
        <w:tc>
          <w:tcPr>
            <w:tcW w:w="448" w:type="pct"/>
          </w:tcPr>
          <w:p w14:paraId="160CE1F5" w14:textId="77777777" w:rsidR="00DD442A" w:rsidRPr="005001D6" w:rsidRDefault="00DD442A"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1.5 ± 0.3</w:t>
            </w:r>
          </w:p>
        </w:tc>
        <w:tc>
          <w:tcPr>
            <w:tcW w:w="447" w:type="pct"/>
          </w:tcPr>
          <w:p w14:paraId="07451F2B" w14:textId="77777777" w:rsidR="00DD442A" w:rsidRPr="005001D6" w:rsidRDefault="00DD442A"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4.4 ± 1.5</w:t>
            </w:r>
          </w:p>
        </w:tc>
        <w:tc>
          <w:tcPr>
            <w:tcW w:w="447" w:type="pct"/>
          </w:tcPr>
          <w:p w14:paraId="01C96815" w14:textId="77777777" w:rsidR="00DD442A" w:rsidRPr="005001D6" w:rsidRDefault="00DD442A"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4.4 ± 1.4</w:t>
            </w:r>
          </w:p>
        </w:tc>
        <w:tc>
          <w:tcPr>
            <w:tcW w:w="450" w:type="pct"/>
          </w:tcPr>
          <w:p w14:paraId="26AAA0CA" w14:textId="77777777" w:rsidR="00DD442A" w:rsidRPr="005001D6" w:rsidRDefault="00DD442A"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3.7 ± 0.9</w:t>
            </w:r>
          </w:p>
        </w:tc>
        <w:tc>
          <w:tcPr>
            <w:tcW w:w="384" w:type="pct"/>
          </w:tcPr>
          <w:p w14:paraId="7AE72307" w14:textId="77777777" w:rsidR="00DD442A" w:rsidRPr="005001D6" w:rsidRDefault="00DD442A"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0.71 (1.4)</w:t>
            </w:r>
          </w:p>
        </w:tc>
        <w:tc>
          <w:tcPr>
            <w:tcW w:w="384" w:type="pct"/>
          </w:tcPr>
          <w:p w14:paraId="1037CF06" w14:textId="77777777" w:rsidR="00DD442A" w:rsidRPr="005001D6" w:rsidRDefault="00DD442A" w:rsidP="00173FAF">
            <w:pPr>
              <w:widowControl w:val="0"/>
              <w:autoSpaceDE w:val="0"/>
              <w:autoSpaceDN w:val="0"/>
              <w:adjustRightInd w:val="0"/>
              <w:spacing w:line="360" w:lineRule="auto"/>
              <w:jc w:val="both"/>
              <w:rPr>
                <w:rFonts w:ascii="Arial" w:hAnsi="Arial" w:cs="Arial"/>
                <w:b/>
                <w:bCs/>
                <w:sz w:val="14"/>
                <w:szCs w:val="14"/>
              </w:rPr>
            </w:pPr>
            <w:r w:rsidRPr="005001D6">
              <w:rPr>
                <w:rFonts w:ascii="Arial" w:hAnsi="Arial" w:cs="Arial"/>
                <w:b/>
                <w:bCs/>
                <w:sz w:val="14"/>
                <w:szCs w:val="14"/>
              </w:rPr>
              <w:t>0.02 (10.3)</w:t>
            </w:r>
          </w:p>
        </w:tc>
        <w:tc>
          <w:tcPr>
            <w:tcW w:w="337" w:type="pct"/>
          </w:tcPr>
          <w:p w14:paraId="480DE4A2" w14:textId="77777777" w:rsidR="00DD442A" w:rsidRPr="005001D6" w:rsidRDefault="00DD442A"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0.99 (0.1)</w:t>
            </w:r>
          </w:p>
        </w:tc>
      </w:tr>
      <w:tr w:rsidR="005001D6" w:rsidRPr="005001D6" w14:paraId="6EF4533D" w14:textId="77777777" w:rsidTr="00F23B69">
        <w:tc>
          <w:tcPr>
            <w:tcW w:w="1209" w:type="pct"/>
          </w:tcPr>
          <w:p w14:paraId="6A1EA1CA" w14:textId="77777777" w:rsidR="00DD442A" w:rsidRPr="005001D6" w:rsidRDefault="00DD442A" w:rsidP="00173FAF">
            <w:pPr>
              <w:widowControl w:val="0"/>
              <w:autoSpaceDE w:val="0"/>
              <w:autoSpaceDN w:val="0"/>
              <w:adjustRightInd w:val="0"/>
              <w:spacing w:line="360" w:lineRule="auto"/>
              <w:jc w:val="both"/>
              <w:rPr>
                <w:rFonts w:ascii="Arial" w:hAnsi="Arial" w:cs="Arial"/>
                <w:sz w:val="14"/>
                <w:szCs w:val="14"/>
              </w:rPr>
            </w:pPr>
            <w:proofErr w:type="spellStart"/>
            <w:r w:rsidRPr="005001D6">
              <w:rPr>
                <w:rFonts w:ascii="Arial" w:hAnsi="Arial" w:cs="Arial"/>
                <w:sz w:val="14"/>
                <w:szCs w:val="14"/>
              </w:rPr>
              <w:t>Gemmataceae</w:t>
            </w:r>
            <w:proofErr w:type="spellEnd"/>
          </w:p>
        </w:tc>
        <w:tc>
          <w:tcPr>
            <w:tcW w:w="447" w:type="pct"/>
            <w:shd w:val="clear" w:color="auto" w:fill="auto"/>
          </w:tcPr>
          <w:p w14:paraId="3431BBC5" w14:textId="77777777" w:rsidR="00DD442A" w:rsidRPr="005001D6" w:rsidRDefault="00DD442A"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3.0 ± 0.4</w:t>
            </w:r>
          </w:p>
        </w:tc>
        <w:tc>
          <w:tcPr>
            <w:tcW w:w="447" w:type="pct"/>
            <w:shd w:val="clear" w:color="auto" w:fill="auto"/>
          </w:tcPr>
          <w:p w14:paraId="72FD31EE" w14:textId="77777777" w:rsidR="00DD442A" w:rsidRPr="005001D6" w:rsidRDefault="00DD442A"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4.6 ± 0.7</w:t>
            </w:r>
          </w:p>
        </w:tc>
        <w:tc>
          <w:tcPr>
            <w:tcW w:w="448" w:type="pct"/>
          </w:tcPr>
          <w:p w14:paraId="76716E98" w14:textId="77777777" w:rsidR="00DD442A" w:rsidRPr="005001D6" w:rsidRDefault="00DD442A"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2.9 ± 0.4</w:t>
            </w:r>
          </w:p>
        </w:tc>
        <w:tc>
          <w:tcPr>
            <w:tcW w:w="447" w:type="pct"/>
            <w:shd w:val="clear" w:color="auto" w:fill="auto"/>
          </w:tcPr>
          <w:p w14:paraId="78ACB63A" w14:textId="77777777" w:rsidR="00DD442A" w:rsidRPr="005001D6" w:rsidRDefault="00DD442A"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3.1 ± 0.4</w:t>
            </w:r>
          </w:p>
        </w:tc>
        <w:tc>
          <w:tcPr>
            <w:tcW w:w="447" w:type="pct"/>
            <w:shd w:val="clear" w:color="auto" w:fill="auto"/>
          </w:tcPr>
          <w:p w14:paraId="14D7B666" w14:textId="77777777" w:rsidR="00DD442A" w:rsidRPr="005001D6" w:rsidRDefault="00DD442A"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4.1 ± 0.7</w:t>
            </w:r>
          </w:p>
        </w:tc>
        <w:tc>
          <w:tcPr>
            <w:tcW w:w="450" w:type="pct"/>
          </w:tcPr>
          <w:p w14:paraId="327D2D1D" w14:textId="77777777" w:rsidR="00DD442A" w:rsidRPr="005001D6" w:rsidRDefault="00DD442A"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2.9 ± 0.4</w:t>
            </w:r>
          </w:p>
        </w:tc>
        <w:tc>
          <w:tcPr>
            <w:tcW w:w="384" w:type="pct"/>
            <w:shd w:val="clear" w:color="auto" w:fill="auto"/>
          </w:tcPr>
          <w:p w14:paraId="07388502" w14:textId="77777777" w:rsidR="00DD442A" w:rsidRPr="005001D6" w:rsidRDefault="00DD442A" w:rsidP="00173FAF">
            <w:pPr>
              <w:widowControl w:val="0"/>
              <w:autoSpaceDE w:val="0"/>
              <w:autoSpaceDN w:val="0"/>
              <w:adjustRightInd w:val="0"/>
              <w:spacing w:line="360" w:lineRule="auto"/>
              <w:jc w:val="both"/>
              <w:rPr>
                <w:rFonts w:ascii="Arial" w:hAnsi="Arial" w:cs="Arial"/>
                <w:b/>
                <w:bCs/>
                <w:sz w:val="14"/>
                <w:szCs w:val="14"/>
              </w:rPr>
            </w:pPr>
            <w:r w:rsidRPr="005001D6">
              <w:rPr>
                <w:rFonts w:ascii="Arial" w:hAnsi="Arial" w:cs="Arial"/>
                <w:b/>
                <w:bCs/>
                <w:sz w:val="14"/>
                <w:szCs w:val="14"/>
              </w:rPr>
              <w:t>0.01 (14.2)</w:t>
            </w:r>
          </w:p>
        </w:tc>
        <w:tc>
          <w:tcPr>
            <w:tcW w:w="384" w:type="pct"/>
          </w:tcPr>
          <w:p w14:paraId="1E535E8B" w14:textId="77777777" w:rsidR="00DD442A" w:rsidRPr="005001D6" w:rsidRDefault="00DD442A"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0.91 (0.2)</w:t>
            </w:r>
          </w:p>
        </w:tc>
        <w:tc>
          <w:tcPr>
            <w:tcW w:w="337" w:type="pct"/>
          </w:tcPr>
          <w:p w14:paraId="7F5EB28A" w14:textId="77777777" w:rsidR="00DD442A" w:rsidRPr="005001D6" w:rsidRDefault="00DD442A"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0.93 (0.6)</w:t>
            </w:r>
          </w:p>
        </w:tc>
      </w:tr>
      <w:tr w:rsidR="005001D6" w:rsidRPr="005001D6" w14:paraId="35D525C3" w14:textId="77777777" w:rsidTr="00F23B69">
        <w:tc>
          <w:tcPr>
            <w:tcW w:w="1209" w:type="pct"/>
          </w:tcPr>
          <w:p w14:paraId="2E2A35C9" w14:textId="77777777" w:rsidR="00DD442A" w:rsidRPr="005001D6" w:rsidRDefault="00DD442A" w:rsidP="00173FAF">
            <w:pPr>
              <w:widowControl w:val="0"/>
              <w:autoSpaceDE w:val="0"/>
              <w:autoSpaceDN w:val="0"/>
              <w:adjustRightInd w:val="0"/>
              <w:spacing w:line="360" w:lineRule="auto"/>
              <w:jc w:val="both"/>
              <w:rPr>
                <w:rFonts w:ascii="Arial" w:hAnsi="Arial" w:cs="Arial"/>
                <w:sz w:val="14"/>
                <w:szCs w:val="14"/>
              </w:rPr>
            </w:pPr>
            <w:proofErr w:type="spellStart"/>
            <w:r w:rsidRPr="005001D6">
              <w:rPr>
                <w:rFonts w:ascii="Arial" w:hAnsi="Arial" w:cs="Arial"/>
                <w:sz w:val="14"/>
                <w:szCs w:val="14"/>
              </w:rPr>
              <w:t>Solirubrobacteraceae</w:t>
            </w:r>
            <w:proofErr w:type="spellEnd"/>
          </w:p>
        </w:tc>
        <w:tc>
          <w:tcPr>
            <w:tcW w:w="447" w:type="pct"/>
          </w:tcPr>
          <w:p w14:paraId="245E25C8" w14:textId="77777777" w:rsidR="00DD442A" w:rsidRPr="005001D6" w:rsidRDefault="00DD442A"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3.4 ± 0.8</w:t>
            </w:r>
          </w:p>
        </w:tc>
        <w:tc>
          <w:tcPr>
            <w:tcW w:w="447" w:type="pct"/>
          </w:tcPr>
          <w:p w14:paraId="4ADC2141" w14:textId="77777777" w:rsidR="00DD442A" w:rsidRPr="005001D6" w:rsidRDefault="00DD442A"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2.0 ± 0.3</w:t>
            </w:r>
          </w:p>
        </w:tc>
        <w:tc>
          <w:tcPr>
            <w:tcW w:w="448" w:type="pct"/>
          </w:tcPr>
          <w:p w14:paraId="79F48BE8" w14:textId="77777777" w:rsidR="00DD442A" w:rsidRPr="005001D6" w:rsidRDefault="00DD442A"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3.2 ± 0.4</w:t>
            </w:r>
          </w:p>
        </w:tc>
        <w:tc>
          <w:tcPr>
            <w:tcW w:w="447" w:type="pct"/>
          </w:tcPr>
          <w:p w14:paraId="35A8468E" w14:textId="77777777" w:rsidR="00DD442A" w:rsidRPr="005001D6" w:rsidRDefault="00DD442A"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3.0 ± 0.5</w:t>
            </w:r>
          </w:p>
        </w:tc>
        <w:tc>
          <w:tcPr>
            <w:tcW w:w="447" w:type="pct"/>
          </w:tcPr>
          <w:p w14:paraId="13A7986B" w14:textId="77777777" w:rsidR="00DD442A" w:rsidRPr="005001D6" w:rsidRDefault="00DD442A"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2.1 ± 0.3</w:t>
            </w:r>
          </w:p>
        </w:tc>
        <w:tc>
          <w:tcPr>
            <w:tcW w:w="450" w:type="pct"/>
          </w:tcPr>
          <w:p w14:paraId="1F8F0AC1" w14:textId="77777777" w:rsidR="00DD442A" w:rsidRPr="005001D6" w:rsidRDefault="00DD442A"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3.4 ± 0.7</w:t>
            </w:r>
          </w:p>
        </w:tc>
        <w:tc>
          <w:tcPr>
            <w:tcW w:w="384" w:type="pct"/>
          </w:tcPr>
          <w:p w14:paraId="4D9C4556" w14:textId="77777777" w:rsidR="00DD442A" w:rsidRPr="005001D6" w:rsidRDefault="00DD442A" w:rsidP="00173FAF">
            <w:pPr>
              <w:widowControl w:val="0"/>
              <w:autoSpaceDE w:val="0"/>
              <w:autoSpaceDN w:val="0"/>
              <w:adjustRightInd w:val="0"/>
              <w:spacing w:line="360" w:lineRule="auto"/>
              <w:jc w:val="both"/>
              <w:rPr>
                <w:rFonts w:ascii="Arial" w:hAnsi="Arial" w:cs="Arial"/>
                <w:b/>
                <w:bCs/>
                <w:sz w:val="14"/>
                <w:szCs w:val="14"/>
              </w:rPr>
            </w:pPr>
            <w:r w:rsidRPr="005001D6">
              <w:rPr>
                <w:rFonts w:ascii="Arial" w:hAnsi="Arial" w:cs="Arial"/>
                <w:b/>
                <w:bCs/>
                <w:sz w:val="14"/>
                <w:szCs w:val="14"/>
              </w:rPr>
              <w:t>&lt;0.01 (16.2)</w:t>
            </w:r>
          </w:p>
        </w:tc>
        <w:tc>
          <w:tcPr>
            <w:tcW w:w="384" w:type="pct"/>
          </w:tcPr>
          <w:p w14:paraId="7F1CC90F" w14:textId="77777777" w:rsidR="00DD442A" w:rsidRPr="005001D6" w:rsidRDefault="00DD442A"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0.83 (0.2)</w:t>
            </w:r>
          </w:p>
        </w:tc>
        <w:tc>
          <w:tcPr>
            <w:tcW w:w="337" w:type="pct"/>
          </w:tcPr>
          <w:p w14:paraId="0E5A35F8" w14:textId="77777777" w:rsidR="00DD442A" w:rsidRPr="005001D6" w:rsidRDefault="00DD442A"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0.99 (0.5)</w:t>
            </w:r>
          </w:p>
        </w:tc>
      </w:tr>
      <w:tr w:rsidR="005001D6" w:rsidRPr="005001D6" w14:paraId="01CB2CFD" w14:textId="77777777" w:rsidTr="00F23B69">
        <w:tc>
          <w:tcPr>
            <w:tcW w:w="1209" w:type="pct"/>
            <w:tcBorders>
              <w:bottom w:val="single" w:sz="4" w:space="0" w:color="auto"/>
            </w:tcBorders>
          </w:tcPr>
          <w:p w14:paraId="4D168C4C" w14:textId="77777777" w:rsidR="00DD442A" w:rsidRPr="005001D6" w:rsidRDefault="00DD442A" w:rsidP="00173FAF">
            <w:pPr>
              <w:widowControl w:val="0"/>
              <w:autoSpaceDE w:val="0"/>
              <w:autoSpaceDN w:val="0"/>
              <w:adjustRightInd w:val="0"/>
              <w:spacing w:line="360" w:lineRule="auto"/>
              <w:jc w:val="both"/>
              <w:rPr>
                <w:rFonts w:ascii="Arial" w:hAnsi="Arial" w:cs="Arial"/>
                <w:sz w:val="14"/>
                <w:szCs w:val="14"/>
              </w:rPr>
            </w:pPr>
          </w:p>
          <w:p w14:paraId="75110D02" w14:textId="2E672888" w:rsidR="00DD442A" w:rsidRPr="005001D6" w:rsidRDefault="00DD442A"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 xml:space="preserve">FUNGAL FAMILY RELATIVE ABUNDANCE (%) </w:t>
            </w:r>
          </w:p>
        </w:tc>
        <w:tc>
          <w:tcPr>
            <w:tcW w:w="447" w:type="pct"/>
          </w:tcPr>
          <w:p w14:paraId="2A2CF7EB" w14:textId="77777777" w:rsidR="00DD442A" w:rsidRPr="005001D6" w:rsidRDefault="00DD442A" w:rsidP="00173FAF">
            <w:pPr>
              <w:widowControl w:val="0"/>
              <w:autoSpaceDE w:val="0"/>
              <w:autoSpaceDN w:val="0"/>
              <w:adjustRightInd w:val="0"/>
              <w:spacing w:line="360" w:lineRule="auto"/>
              <w:jc w:val="both"/>
              <w:rPr>
                <w:rFonts w:ascii="Arial" w:hAnsi="Arial" w:cs="Arial"/>
                <w:sz w:val="14"/>
                <w:szCs w:val="14"/>
                <w:highlight w:val="yellow"/>
              </w:rPr>
            </w:pPr>
          </w:p>
        </w:tc>
        <w:tc>
          <w:tcPr>
            <w:tcW w:w="447" w:type="pct"/>
          </w:tcPr>
          <w:p w14:paraId="1A2FC552" w14:textId="77777777" w:rsidR="00DD442A" w:rsidRPr="005001D6" w:rsidRDefault="00DD442A" w:rsidP="00173FAF">
            <w:pPr>
              <w:widowControl w:val="0"/>
              <w:autoSpaceDE w:val="0"/>
              <w:autoSpaceDN w:val="0"/>
              <w:adjustRightInd w:val="0"/>
              <w:spacing w:line="360" w:lineRule="auto"/>
              <w:jc w:val="both"/>
              <w:rPr>
                <w:rFonts w:ascii="Arial" w:hAnsi="Arial" w:cs="Arial"/>
                <w:sz w:val="14"/>
                <w:szCs w:val="14"/>
                <w:highlight w:val="yellow"/>
              </w:rPr>
            </w:pPr>
          </w:p>
        </w:tc>
        <w:tc>
          <w:tcPr>
            <w:tcW w:w="448" w:type="pct"/>
          </w:tcPr>
          <w:p w14:paraId="35B19130" w14:textId="77777777" w:rsidR="00DD442A" w:rsidRPr="005001D6" w:rsidRDefault="00DD442A" w:rsidP="00173FAF">
            <w:pPr>
              <w:widowControl w:val="0"/>
              <w:autoSpaceDE w:val="0"/>
              <w:autoSpaceDN w:val="0"/>
              <w:adjustRightInd w:val="0"/>
              <w:spacing w:line="360" w:lineRule="auto"/>
              <w:jc w:val="both"/>
              <w:rPr>
                <w:rFonts w:ascii="Arial" w:hAnsi="Arial" w:cs="Arial"/>
                <w:sz w:val="14"/>
                <w:szCs w:val="14"/>
                <w:highlight w:val="yellow"/>
              </w:rPr>
            </w:pPr>
          </w:p>
        </w:tc>
        <w:tc>
          <w:tcPr>
            <w:tcW w:w="447" w:type="pct"/>
            <w:shd w:val="clear" w:color="auto" w:fill="auto"/>
          </w:tcPr>
          <w:p w14:paraId="781BB354" w14:textId="77777777" w:rsidR="00DD442A" w:rsidRPr="005001D6" w:rsidRDefault="00DD442A" w:rsidP="00173FAF">
            <w:pPr>
              <w:widowControl w:val="0"/>
              <w:autoSpaceDE w:val="0"/>
              <w:autoSpaceDN w:val="0"/>
              <w:adjustRightInd w:val="0"/>
              <w:spacing w:line="360" w:lineRule="auto"/>
              <w:jc w:val="both"/>
              <w:rPr>
                <w:rFonts w:ascii="Arial" w:hAnsi="Arial" w:cs="Arial"/>
                <w:sz w:val="14"/>
                <w:szCs w:val="14"/>
                <w:highlight w:val="yellow"/>
              </w:rPr>
            </w:pPr>
          </w:p>
        </w:tc>
        <w:tc>
          <w:tcPr>
            <w:tcW w:w="447" w:type="pct"/>
          </w:tcPr>
          <w:p w14:paraId="59BB9600" w14:textId="77777777" w:rsidR="00DD442A" w:rsidRPr="005001D6" w:rsidRDefault="00DD442A" w:rsidP="00173FAF">
            <w:pPr>
              <w:widowControl w:val="0"/>
              <w:autoSpaceDE w:val="0"/>
              <w:autoSpaceDN w:val="0"/>
              <w:adjustRightInd w:val="0"/>
              <w:spacing w:line="360" w:lineRule="auto"/>
              <w:jc w:val="both"/>
              <w:rPr>
                <w:rFonts w:ascii="Arial" w:hAnsi="Arial" w:cs="Arial"/>
                <w:sz w:val="14"/>
                <w:szCs w:val="14"/>
                <w:highlight w:val="yellow"/>
              </w:rPr>
            </w:pPr>
          </w:p>
        </w:tc>
        <w:tc>
          <w:tcPr>
            <w:tcW w:w="450" w:type="pct"/>
          </w:tcPr>
          <w:p w14:paraId="0C765AD7" w14:textId="77777777" w:rsidR="00DD442A" w:rsidRPr="005001D6" w:rsidRDefault="00DD442A" w:rsidP="00173FAF">
            <w:pPr>
              <w:widowControl w:val="0"/>
              <w:autoSpaceDE w:val="0"/>
              <w:autoSpaceDN w:val="0"/>
              <w:adjustRightInd w:val="0"/>
              <w:spacing w:line="360" w:lineRule="auto"/>
              <w:jc w:val="both"/>
              <w:rPr>
                <w:rFonts w:ascii="Arial" w:hAnsi="Arial" w:cs="Arial"/>
                <w:sz w:val="14"/>
                <w:szCs w:val="14"/>
                <w:highlight w:val="yellow"/>
              </w:rPr>
            </w:pPr>
          </w:p>
        </w:tc>
        <w:tc>
          <w:tcPr>
            <w:tcW w:w="384" w:type="pct"/>
          </w:tcPr>
          <w:p w14:paraId="33879F9B" w14:textId="77777777" w:rsidR="00DD442A" w:rsidRPr="005001D6" w:rsidRDefault="00DD442A" w:rsidP="00173FAF">
            <w:pPr>
              <w:widowControl w:val="0"/>
              <w:autoSpaceDE w:val="0"/>
              <w:autoSpaceDN w:val="0"/>
              <w:adjustRightInd w:val="0"/>
              <w:spacing w:line="360" w:lineRule="auto"/>
              <w:jc w:val="both"/>
              <w:rPr>
                <w:rFonts w:ascii="Arial" w:hAnsi="Arial" w:cs="Arial"/>
                <w:sz w:val="14"/>
                <w:szCs w:val="14"/>
                <w:highlight w:val="yellow"/>
              </w:rPr>
            </w:pPr>
          </w:p>
        </w:tc>
        <w:tc>
          <w:tcPr>
            <w:tcW w:w="384" w:type="pct"/>
          </w:tcPr>
          <w:p w14:paraId="7502CB4E" w14:textId="77777777" w:rsidR="00DD442A" w:rsidRPr="005001D6" w:rsidRDefault="00DD442A" w:rsidP="00173FAF">
            <w:pPr>
              <w:widowControl w:val="0"/>
              <w:autoSpaceDE w:val="0"/>
              <w:autoSpaceDN w:val="0"/>
              <w:adjustRightInd w:val="0"/>
              <w:spacing w:line="360" w:lineRule="auto"/>
              <w:jc w:val="both"/>
              <w:rPr>
                <w:rFonts w:ascii="Arial" w:hAnsi="Arial" w:cs="Arial"/>
                <w:sz w:val="14"/>
                <w:szCs w:val="14"/>
              </w:rPr>
            </w:pPr>
          </w:p>
        </w:tc>
        <w:tc>
          <w:tcPr>
            <w:tcW w:w="337" w:type="pct"/>
          </w:tcPr>
          <w:p w14:paraId="073E72EA" w14:textId="77777777" w:rsidR="00DD442A" w:rsidRPr="005001D6" w:rsidRDefault="00DD442A" w:rsidP="00173FAF">
            <w:pPr>
              <w:widowControl w:val="0"/>
              <w:autoSpaceDE w:val="0"/>
              <w:autoSpaceDN w:val="0"/>
              <w:adjustRightInd w:val="0"/>
              <w:spacing w:line="360" w:lineRule="auto"/>
              <w:jc w:val="both"/>
              <w:rPr>
                <w:rFonts w:ascii="Arial" w:hAnsi="Arial" w:cs="Arial"/>
                <w:sz w:val="14"/>
                <w:szCs w:val="14"/>
              </w:rPr>
            </w:pPr>
          </w:p>
        </w:tc>
      </w:tr>
      <w:tr w:rsidR="005001D6" w:rsidRPr="005001D6" w14:paraId="3CBFFF74" w14:textId="77777777" w:rsidTr="00F23B69">
        <w:tc>
          <w:tcPr>
            <w:tcW w:w="1209" w:type="pct"/>
            <w:tcBorders>
              <w:top w:val="single" w:sz="4" w:space="0" w:color="auto"/>
            </w:tcBorders>
          </w:tcPr>
          <w:p w14:paraId="6A899F4E" w14:textId="77777777" w:rsidR="00DD442A" w:rsidRPr="005001D6" w:rsidRDefault="00DD442A" w:rsidP="00173FAF">
            <w:pPr>
              <w:widowControl w:val="0"/>
              <w:autoSpaceDE w:val="0"/>
              <w:autoSpaceDN w:val="0"/>
              <w:adjustRightInd w:val="0"/>
              <w:spacing w:line="360" w:lineRule="auto"/>
              <w:jc w:val="both"/>
              <w:rPr>
                <w:rFonts w:ascii="Arial" w:hAnsi="Arial" w:cs="Arial"/>
                <w:sz w:val="14"/>
                <w:szCs w:val="14"/>
              </w:rPr>
            </w:pPr>
            <w:proofErr w:type="spellStart"/>
            <w:r w:rsidRPr="005001D6">
              <w:rPr>
                <w:rFonts w:ascii="Arial" w:hAnsi="Arial" w:cs="Arial"/>
                <w:sz w:val="14"/>
                <w:szCs w:val="14"/>
              </w:rPr>
              <w:t>Hygrophoraceae</w:t>
            </w:r>
            <w:proofErr w:type="spellEnd"/>
          </w:p>
        </w:tc>
        <w:tc>
          <w:tcPr>
            <w:tcW w:w="447" w:type="pct"/>
            <w:shd w:val="clear" w:color="auto" w:fill="auto"/>
          </w:tcPr>
          <w:p w14:paraId="3CB1526C" w14:textId="77777777" w:rsidR="00DD442A" w:rsidRPr="005001D6" w:rsidRDefault="00DD442A"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11.7 ± 5.2</w:t>
            </w:r>
          </w:p>
        </w:tc>
        <w:tc>
          <w:tcPr>
            <w:tcW w:w="447" w:type="pct"/>
            <w:shd w:val="clear" w:color="auto" w:fill="auto"/>
          </w:tcPr>
          <w:p w14:paraId="79B3D6F7" w14:textId="77777777" w:rsidR="00DD442A" w:rsidRPr="005001D6" w:rsidRDefault="00DD442A"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42.9 ± 8.9</w:t>
            </w:r>
          </w:p>
        </w:tc>
        <w:tc>
          <w:tcPr>
            <w:tcW w:w="448" w:type="pct"/>
          </w:tcPr>
          <w:p w14:paraId="034ACADA" w14:textId="77777777" w:rsidR="00DD442A" w:rsidRPr="005001D6" w:rsidRDefault="00DD442A"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16.0 ± 7.6</w:t>
            </w:r>
          </w:p>
        </w:tc>
        <w:tc>
          <w:tcPr>
            <w:tcW w:w="447" w:type="pct"/>
            <w:shd w:val="clear" w:color="auto" w:fill="auto"/>
          </w:tcPr>
          <w:p w14:paraId="6754D041" w14:textId="77777777" w:rsidR="00DD442A" w:rsidRPr="005001D6" w:rsidRDefault="00DD442A"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9.7 ± 4.5</w:t>
            </w:r>
          </w:p>
        </w:tc>
        <w:tc>
          <w:tcPr>
            <w:tcW w:w="447" w:type="pct"/>
            <w:shd w:val="clear" w:color="auto" w:fill="auto"/>
          </w:tcPr>
          <w:p w14:paraId="3BC63D42" w14:textId="77777777" w:rsidR="00DD442A" w:rsidRPr="005001D6" w:rsidRDefault="00DD442A"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35.2 ± 8.0</w:t>
            </w:r>
          </w:p>
        </w:tc>
        <w:tc>
          <w:tcPr>
            <w:tcW w:w="450" w:type="pct"/>
          </w:tcPr>
          <w:p w14:paraId="3F28F02F" w14:textId="77777777" w:rsidR="00DD442A" w:rsidRPr="005001D6" w:rsidRDefault="00DD442A"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4.8 ± 2.2</w:t>
            </w:r>
          </w:p>
        </w:tc>
        <w:tc>
          <w:tcPr>
            <w:tcW w:w="384" w:type="pct"/>
            <w:shd w:val="clear" w:color="auto" w:fill="auto"/>
          </w:tcPr>
          <w:p w14:paraId="2093016F" w14:textId="77777777" w:rsidR="00DD442A" w:rsidRPr="005001D6" w:rsidRDefault="00DD442A" w:rsidP="00173FAF">
            <w:pPr>
              <w:widowControl w:val="0"/>
              <w:autoSpaceDE w:val="0"/>
              <w:autoSpaceDN w:val="0"/>
              <w:adjustRightInd w:val="0"/>
              <w:spacing w:line="360" w:lineRule="auto"/>
              <w:jc w:val="both"/>
              <w:rPr>
                <w:rFonts w:ascii="Arial" w:hAnsi="Arial" w:cs="Arial"/>
                <w:b/>
                <w:bCs/>
                <w:sz w:val="14"/>
                <w:szCs w:val="14"/>
              </w:rPr>
            </w:pPr>
            <w:r w:rsidRPr="005001D6">
              <w:rPr>
                <w:rFonts w:ascii="Arial" w:hAnsi="Arial" w:cs="Arial"/>
                <w:b/>
                <w:bCs/>
                <w:sz w:val="14"/>
                <w:szCs w:val="14"/>
              </w:rPr>
              <w:t>&lt;0.01 (25.7)</w:t>
            </w:r>
          </w:p>
        </w:tc>
        <w:tc>
          <w:tcPr>
            <w:tcW w:w="384" w:type="pct"/>
          </w:tcPr>
          <w:p w14:paraId="42AAC84E" w14:textId="77777777" w:rsidR="00DD442A" w:rsidRPr="005001D6" w:rsidRDefault="00DD442A"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0.76 (1.7)</w:t>
            </w:r>
          </w:p>
        </w:tc>
        <w:tc>
          <w:tcPr>
            <w:tcW w:w="337" w:type="pct"/>
          </w:tcPr>
          <w:p w14:paraId="2CD32F08" w14:textId="77777777" w:rsidR="00DD442A" w:rsidRPr="005001D6" w:rsidRDefault="00DD442A"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0.82 (0.5)</w:t>
            </w:r>
          </w:p>
        </w:tc>
      </w:tr>
      <w:tr w:rsidR="005001D6" w:rsidRPr="005001D6" w14:paraId="5B64FF36" w14:textId="77777777" w:rsidTr="00F23B69">
        <w:tc>
          <w:tcPr>
            <w:tcW w:w="1209" w:type="pct"/>
          </w:tcPr>
          <w:p w14:paraId="2CB7CBCD" w14:textId="77777777" w:rsidR="00DD442A" w:rsidRPr="005001D6" w:rsidRDefault="00DD442A" w:rsidP="00173FAF">
            <w:pPr>
              <w:widowControl w:val="0"/>
              <w:autoSpaceDE w:val="0"/>
              <w:autoSpaceDN w:val="0"/>
              <w:adjustRightInd w:val="0"/>
              <w:spacing w:line="360" w:lineRule="auto"/>
              <w:jc w:val="both"/>
              <w:rPr>
                <w:rFonts w:ascii="Arial" w:hAnsi="Arial" w:cs="Arial"/>
                <w:sz w:val="14"/>
                <w:szCs w:val="14"/>
              </w:rPr>
            </w:pPr>
            <w:proofErr w:type="spellStart"/>
            <w:r w:rsidRPr="005001D6">
              <w:rPr>
                <w:rFonts w:ascii="Arial" w:hAnsi="Arial" w:cs="Arial"/>
                <w:sz w:val="14"/>
                <w:szCs w:val="14"/>
              </w:rPr>
              <w:t>Herpotrichiellaceae</w:t>
            </w:r>
            <w:proofErr w:type="spellEnd"/>
            <w:r w:rsidRPr="005001D6">
              <w:rPr>
                <w:rFonts w:ascii="Arial" w:hAnsi="Arial" w:cs="Arial"/>
                <w:sz w:val="14"/>
                <w:szCs w:val="14"/>
              </w:rPr>
              <w:t>*</w:t>
            </w:r>
          </w:p>
        </w:tc>
        <w:tc>
          <w:tcPr>
            <w:tcW w:w="447" w:type="pct"/>
            <w:shd w:val="clear" w:color="auto" w:fill="auto"/>
          </w:tcPr>
          <w:p w14:paraId="221235F7" w14:textId="77777777" w:rsidR="00DD442A" w:rsidRPr="005001D6" w:rsidRDefault="00DD442A"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 xml:space="preserve">23.7 ± 4.3 </w:t>
            </w:r>
          </w:p>
        </w:tc>
        <w:tc>
          <w:tcPr>
            <w:tcW w:w="447" w:type="pct"/>
            <w:shd w:val="clear" w:color="auto" w:fill="auto"/>
          </w:tcPr>
          <w:p w14:paraId="2FAD0AF1" w14:textId="77777777" w:rsidR="00DD442A" w:rsidRPr="005001D6" w:rsidRDefault="00DD442A"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5.6 ± 1.3</w:t>
            </w:r>
          </w:p>
        </w:tc>
        <w:tc>
          <w:tcPr>
            <w:tcW w:w="448" w:type="pct"/>
          </w:tcPr>
          <w:p w14:paraId="1C897A99" w14:textId="77777777" w:rsidR="00DD442A" w:rsidRPr="005001D6" w:rsidRDefault="00DD442A"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20.9 ± 2.9</w:t>
            </w:r>
          </w:p>
        </w:tc>
        <w:tc>
          <w:tcPr>
            <w:tcW w:w="447" w:type="pct"/>
            <w:shd w:val="clear" w:color="auto" w:fill="auto"/>
          </w:tcPr>
          <w:p w14:paraId="6130F827" w14:textId="77777777" w:rsidR="00DD442A" w:rsidRPr="005001D6" w:rsidRDefault="00DD442A"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20.7 ± 3.3</w:t>
            </w:r>
          </w:p>
        </w:tc>
        <w:tc>
          <w:tcPr>
            <w:tcW w:w="447" w:type="pct"/>
            <w:shd w:val="clear" w:color="auto" w:fill="auto"/>
          </w:tcPr>
          <w:p w14:paraId="2EACCF54" w14:textId="77777777" w:rsidR="00DD442A" w:rsidRPr="005001D6" w:rsidRDefault="00DD442A"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10.6 ± 4.2</w:t>
            </w:r>
          </w:p>
        </w:tc>
        <w:tc>
          <w:tcPr>
            <w:tcW w:w="450" w:type="pct"/>
          </w:tcPr>
          <w:p w14:paraId="369A9738" w14:textId="77777777" w:rsidR="00DD442A" w:rsidRPr="005001D6" w:rsidRDefault="00DD442A"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24.1 ± 3.4</w:t>
            </w:r>
          </w:p>
        </w:tc>
        <w:tc>
          <w:tcPr>
            <w:tcW w:w="384" w:type="pct"/>
            <w:shd w:val="clear" w:color="auto" w:fill="auto"/>
          </w:tcPr>
          <w:p w14:paraId="63A800AE" w14:textId="77777777" w:rsidR="00DD442A" w:rsidRPr="005001D6" w:rsidRDefault="00DD442A" w:rsidP="00173FAF">
            <w:pPr>
              <w:widowControl w:val="0"/>
              <w:autoSpaceDE w:val="0"/>
              <w:autoSpaceDN w:val="0"/>
              <w:adjustRightInd w:val="0"/>
              <w:spacing w:line="360" w:lineRule="auto"/>
              <w:jc w:val="both"/>
              <w:rPr>
                <w:rFonts w:ascii="Arial" w:hAnsi="Arial" w:cs="Arial"/>
                <w:b/>
                <w:bCs/>
                <w:sz w:val="14"/>
                <w:szCs w:val="14"/>
              </w:rPr>
            </w:pPr>
            <w:r w:rsidRPr="005001D6">
              <w:rPr>
                <w:rFonts w:ascii="Arial" w:hAnsi="Arial" w:cs="Arial"/>
                <w:b/>
                <w:bCs/>
                <w:sz w:val="14"/>
                <w:szCs w:val="14"/>
              </w:rPr>
              <w:t>&lt;0.01 (54.4)</w:t>
            </w:r>
          </w:p>
        </w:tc>
        <w:tc>
          <w:tcPr>
            <w:tcW w:w="384" w:type="pct"/>
          </w:tcPr>
          <w:p w14:paraId="3F2EFC09" w14:textId="77777777" w:rsidR="00DD442A" w:rsidRPr="005001D6" w:rsidRDefault="00DD442A"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0.77 (0.9)</w:t>
            </w:r>
          </w:p>
        </w:tc>
        <w:tc>
          <w:tcPr>
            <w:tcW w:w="337" w:type="pct"/>
          </w:tcPr>
          <w:p w14:paraId="0887C388" w14:textId="77777777" w:rsidR="00DD442A" w:rsidRPr="005001D6" w:rsidRDefault="00DD442A"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0.71 (2.1)</w:t>
            </w:r>
          </w:p>
        </w:tc>
      </w:tr>
      <w:tr w:rsidR="00DD442A" w:rsidRPr="005001D6" w14:paraId="0A4504E0" w14:textId="77777777" w:rsidTr="00F23B69">
        <w:tc>
          <w:tcPr>
            <w:tcW w:w="1209" w:type="pct"/>
            <w:tcBorders>
              <w:bottom w:val="single" w:sz="4" w:space="0" w:color="auto"/>
            </w:tcBorders>
          </w:tcPr>
          <w:p w14:paraId="4C9FAD68" w14:textId="77777777" w:rsidR="00DD442A" w:rsidRPr="005001D6" w:rsidRDefault="00DD442A" w:rsidP="00173FAF">
            <w:pPr>
              <w:widowControl w:val="0"/>
              <w:autoSpaceDE w:val="0"/>
              <w:autoSpaceDN w:val="0"/>
              <w:adjustRightInd w:val="0"/>
              <w:spacing w:line="360" w:lineRule="auto"/>
              <w:jc w:val="both"/>
              <w:rPr>
                <w:rFonts w:ascii="Arial" w:hAnsi="Arial" w:cs="Arial"/>
                <w:sz w:val="14"/>
                <w:szCs w:val="14"/>
              </w:rPr>
            </w:pPr>
            <w:proofErr w:type="spellStart"/>
            <w:r w:rsidRPr="005001D6">
              <w:rPr>
                <w:rFonts w:ascii="Arial" w:hAnsi="Arial" w:cs="Arial"/>
                <w:sz w:val="14"/>
                <w:szCs w:val="14"/>
              </w:rPr>
              <w:t>Leotiaceae</w:t>
            </w:r>
            <w:proofErr w:type="spellEnd"/>
            <w:r w:rsidRPr="005001D6">
              <w:rPr>
                <w:rFonts w:ascii="Arial" w:hAnsi="Arial" w:cs="Arial"/>
                <w:sz w:val="14"/>
                <w:szCs w:val="14"/>
              </w:rPr>
              <w:t>*</w:t>
            </w:r>
          </w:p>
        </w:tc>
        <w:tc>
          <w:tcPr>
            <w:tcW w:w="447" w:type="pct"/>
            <w:tcBorders>
              <w:bottom w:val="single" w:sz="4" w:space="0" w:color="auto"/>
            </w:tcBorders>
            <w:shd w:val="clear" w:color="auto" w:fill="auto"/>
          </w:tcPr>
          <w:p w14:paraId="24CC531D" w14:textId="77777777" w:rsidR="00DD442A" w:rsidRPr="005001D6" w:rsidRDefault="00DD442A"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6.1 ± 2.8</w:t>
            </w:r>
          </w:p>
        </w:tc>
        <w:tc>
          <w:tcPr>
            <w:tcW w:w="447" w:type="pct"/>
            <w:tcBorders>
              <w:bottom w:val="single" w:sz="4" w:space="0" w:color="auto"/>
            </w:tcBorders>
            <w:shd w:val="clear" w:color="auto" w:fill="auto"/>
          </w:tcPr>
          <w:p w14:paraId="4D9D3B54" w14:textId="77777777" w:rsidR="00DD442A" w:rsidRPr="005001D6" w:rsidRDefault="00DD442A"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0.4 ± 0.2</w:t>
            </w:r>
          </w:p>
        </w:tc>
        <w:tc>
          <w:tcPr>
            <w:tcW w:w="448" w:type="pct"/>
            <w:tcBorders>
              <w:bottom w:val="single" w:sz="4" w:space="0" w:color="auto"/>
            </w:tcBorders>
          </w:tcPr>
          <w:p w14:paraId="23F9DD69" w14:textId="77777777" w:rsidR="00DD442A" w:rsidRPr="005001D6" w:rsidRDefault="00DD442A"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9.6 ± 3.1</w:t>
            </w:r>
          </w:p>
        </w:tc>
        <w:tc>
          <w:tcPr>
            <w:tcW w:w="447" w:type="pct"/>
            <w:tcBorders>
              <w:bottom w:val="single" w:sz="4" w:space="0" w:color="auto"/>
            </w:tcBorders>
            <w:shd w:val="clear" w:color="auto" w:fill="auto"/>
          </w:tcPr>
          <w:p w14:paraId="43AFBB18" w14:textId="77777777" w:rsidR="00DD442A" w:rsidRPr="005001D6" w:rsidRDefault="00DD442A"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4.7 ± 1.1</w:t>
            </w:r>
          </w:p>
        </w:tc>
        <w:tc>
          <w:tcPr>
            <w:tcW w:w="447" w:type="pct"/>
            <w:tcBorders>
              <w:bottom w:val="single" w:sz="4" w:space="0" w:color="auto"/>
            </w:tcBorders>
            <w:shd w:val="clear" w:color="auto" w:fill="auto"/>
          </w:tcPr>
          <w:p w14:paraId="47A9592A" w14:textId="77777777" w:rsidR="00DD442A" w:rsidRPr="005001D6" w:rsidRDefault="00DD442A"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0.6 ± 0.3</w:t>
            </w:r>
          </w:p>
        </w:tc>
        <w:tc>
          <w:tcPr>
            <w:tcW w:w="450" w:type="pct"/>
            <w:tcBorders>
              <w:bottom w:val="single" w:sz="4" w:space="0" w:color="auto"/>
            </w:tcBorders>
          </w:tcPr>
          <w:p w14:paraId="46CE8B1B" w14:textId="77777777" w:rsidR="00DD442A" w:rsidRPr="005001D6" w:rsidRDefault="00DD442A"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4.9 ± 1.4</w:t>
            </w:r>
          </w:p>
        </w:tc>
        <w:tc>
          <w:tcPr>
            <w:tcW w:w="384" w:type="pct"/>
            <w:tcBorders>
              <w:bottom w:val="single" w:sz="4" w:space="0" w:color="auto"/>
            </w:tcBorders>
            <w:shd w:val="clear" w:color="auto" w:fill="auto"/>
          </w:tcPr>
          <w:p w14:paraId="7CBB6565" w14:textId="77777777" w:rsidR="00DD442A" w:rsidRPr="005001D6" w:rsidRDefault="00DD442A" w:rsidP="00173FAF">
            <w:pPr>
              <w:widowControl w:val="0"/>
              <w:autoSpaceDE w:val="0"/>
              <w:autoSpaceDN w:val="0"/>
              <w:adjustRightInd w:val="0"/>
              <w:spacing w:line="360" w:lineRule="auto"/>
              <w:jc w:val="both"/>
              <w:rPr>
                <w:rFonts w:ascii="Arial" w:hAnsi="Arial" w:cs="Arial"/>
                <w:b/>
                <w:bCs/>
                <w:sz w:val="14"/>
                <w:szCs w:val="14"/>
              </w:rPr>
            </w:pPr>
            <w:r w:rsidRPr="005001D6">
              <w:rPr>
                <w:rFonts w:ascii="Arial" w:hAnsi="Arial" w:cs="Arial"/>
                <w:b/>
                <w:bCs/>
                <w:sz w:val="14"/>
                <w:szCs w:val="14"/>
              </w:rPr>
              <w:t>&lt;0.01 (70.6)</w:t>
            </w:r>
          </w:p>
        </w:tc>
        <w:tc>
          <w:tcPr>
            <w:tcW w:w="384" w:type="pct"/>
            <w:tcBorders>
              <w:bottom w:val="single" w:sz="4" w:space="0" w:color="auto"/>
            </w:tcBorders>
          </w:tcPr>
          <w:p w14:paraId="3C2DC4AF" w14:textId="77777777" w:rsidR="00DD442A" w:rsidRPr="005001D6" w:rsidRDefault="00DD442A"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0.77 (&lt;0.01)</w:t>
            </w:r>
          </w:p>
        </w:tc>
        <w:tc>
          <w:tcPr>
            <w:tcW w:w="337" w:type="pct"/>
            <w:tcBorders>
              <w:bottom w:val="single" w:sz="4" w:space="0" w:color="auto"/>
            </w:tcBorders>
          </w:tcPr>
          <w:p w14:paraId="42DF441E" w14:textId="77777777" w:rsidR="00DD442A" w:rsidRPr="005001D6" w:rsidRDefault="00DD442A"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0.71 (1.4)</w:t>
            </w:r>
          </w:p>
        </w:tc>
      </w:tr>
    </w:tbl>
    <w:p w14:paraId="14D8ADEA" w14:textId="77777777" w:rsidR="00A451C2" w:rsidRPr="005001D6" w:rsidRDefault="00A451C2" w:rsidP="00173FAF">
      <w:pPr>
        <w:spacing w:line="360" w:lineRule="auto"/>
        <w:jc w:val="both"/>
      </w:pPr>
    </w:p>
    <w:p w14:paraId="5794A7BF" w14:textId="77777777" w:rsidR="00A451C2" w:rsidRPr="005001D6" w:rsidRDefault="00A451C2" w:rsidP="00173FAF">
      <w:pPr>
        <w:spacing w:line="480" w:lineRule="auto"/>
        <w:jc w:val="both"/>
      </w:pPr>
    </w:p>
    <w:p w14:paraId="7CF43DFF" w14:textId="77777777" w:rsidR="00A451C2" w:rsidRPr="005001D6" w:rsidRDefault="00A451C2" w:rsidP="00173FAF">
      <w:pPr>
        <w:spacing w:line="480" w:lineRule="auto"/>
        <w:jc w:val="both"/>
      </w:pPr>
    </w:p>
    <w:p w14:paraId="08281AF4" w14:textId="3570DFF6" w:rsidR="00A451C2" w:rsidRPr="005001D6" w:rsidRDefault="00A451C2" w:rsidP="00173FAF">
      <w:pPr>
        <w:spacing w:line="480" w:lineRule="auto"/>
        <w:jc w:val="both"/>
      </w:pPr>
      <w:r w:rsidRPr="005001D6">
        <w:rPr>
          <w:b/>
          <w:bCs/>
        </w:rPr>
        <w:lastRenderedPageBreak/>
        <w:t xml:space="preserve">Table </w:t>
      </w:r>
      <w:r w:rsidR="009A358E" w:rsidRPr="005001D6">
        <w:rPr>
          <w:b/>
          <w:bCs/>
        </w:rPr>
        <w:t>S</w:t>
      </w:r>
      <w:r w:rsidRPr="005001D6">
        <w:rPr>
          <w:b/>
          <w:bCs/>
        </w:rPr>
        <w:t xml:space="preserve">4 | </w:t>
      </w:r>
      <w:r w:rsidR="003828E6" w:rsidRPr="005001D6">
        <w:rPr>
          <w:b/>
          <w:bCs/>
        </w:rPr>
        <w:t>S</w:t>
      </w:r>
      <w:r w:rsidRPr="005001D6">
        <w:rPr>
          <w:b/>
          <w:bCs/>
        </w:rPr>
        <w:t>oil functioning</w:t>
      </w:r>
      <w:r w:rsidR="00CC1C3E" w:rsidRPr="005001D6">
        <w:rPr>
          <w:b/>
          <w:bCs/>
        </w:rPr>
        <w:t xml:space="preserve"> and biogeochemistry</w:t>
      </w:r>
      <w:r w:rsidRPr="005001D6">
        <w:rPr>
          <w:b/>
          <w:bCs/>
        </w:rPr>
        <w:t xml:space="preserve"> in the </w:t>
      </w:r>
      <w:r w:rsidR="00744DC6" w:rsidRPr="005001D6">
        <w:rPr>
          <w:b/>
          <w:bCs/>
        </w:rPr>
        <w:t>s</w:t>
      </w:r>
      <w:r w:rsidR="00465543" w:rsidRPr="005001D6">
        <w:rPr>
          <w:b/>
          <w:bCs/>
        </w:rPr>
        <w:t>now cover manipulation experiment</w:t>
      </w:r>
      <w:r w:rsidRPr="005001D6">
        <w:rPr>
          <w:b/>
          <w:bCs/>
        </w:rPr>
        <w:t>.</w:t>
      </w:r>
      <w:r w:rsidRPr="005001D6">
        <w:t xml:space="preserve"> </w:t>
      </w:r>
      <w:r w:rsidR="0044195B" w:rsidRPr="005001D6">
        <w:t xml:space="preserve">Means (± SE; n = 8), </w:t>
      </w:r>
      <w:r w:rsidR="0044195B" w:rsidRPr="005001D6">
        <w:rPr>
          <w:i/>
          <w:iCs/>
        </w:rPr>
        <w:t>p</w:t>
      </w:r>
      <w:r w:rsidR="0044195B" w:rsidRPr="005001D6">
        <w:t>, and χ2 values for the vegetation</w:t>
      </w:r>
      <w:r w:rsidR="00510434" w:rsidRPr="005001D6">
        <w:t xml:space="preserve"> (</w:t>
      </w:r>
      <w:proofErr w:type="spellStart"/>
      <w:proofErr w:type="gramStart"/>
      <w:r w:rsidR="00510434" w:rsidRPr="005001D6">
        <w:t>Df</w:t>
      </w:r>
      <w:proofErr w:type="spellEnd"/>
      <w:proofErr w:type="gramEnd"/>
      <w:r w:rsidR="00510434" w:rsidRPr="005001D6">
        <w:t xml:space="preserve"> = 2)</w:t>
      </w:r>
      <w:r w:rsidR="0044195B" w:rsidRPr="005001D6">
        <w:t xml:space="preserve"> and snow manipulation treatments</w:t>
      </w:r>
      <w:r w:rsidR="00510434" w:rsidRPr="005001D6">
        <w:t xml:space="preserve"> (</w:t>
      </w:r>
      <w:proofErr w:type="spellStart"/>
      <w:r w:rsidR="00510434" w:rsidRPr="005001D6">
        <w:t>Df</w:t>
      </w:r>
      <w:proofErr w:type="spellEnd"/>
      <w:r w:rsidR="00510434" w:rsidRPr="005001D6">
        <w:t xml:space="preserve"> = 1)</w:t>
      </w:r>
      <w:r w:rsidR="0044195B" w:rsidRPr="005001D6">
        <w:t>, and their interaction</w:t>
      </w:r>
      <w:r w:rsidR="00510434" w:rsidRPr="005001D6">
        <w:t xml:space="preserve"> (</w:t>
      </w:r>
      <w:proofErr w:type="spellStart"/>
      <w:r w:rsidR="00510434" w:rsidRPr="005001D6">
        <w:t>Df</w:t>
      </w:r>
      <w:proofErr w:type="spellEnd"/>
      <w:r w:rsidR="00510434" w:rsidRPr="005001D6">
        <w:t xml:space="preserve"> = 2)</w:t>
      </w:r>
      <w:r w:rsidRPr="005001D6">
        <w:t>.</w:t>
      </w:r>
      <w:r w:rsidR="00744DC6" w:rsidRPr="005001D6">
        <w:t xml:space="preserve"> Potential enzyme activities in </w:t>
      </w:r>
      <w:proofErr w:type="spellStart"/>
      <w:r w:rsidR="00744DC6" w:rsidRPr="005001D6">
        <w:t>nmol</w:t>
      </w:r>
      <w:proofErr w:type="spellEnd"/>
      <w:r w:rsidR="00744DC6" w:rsidRPr="005001D6">
        <w:t xml:space="preserve"> prod. </w:t>
      </w:r>
      <w:proofErr w:type="gramStart"/>
      <w:r w:rsidR="00744DC6" w:rsidRPr="005001D6">
        <w:t>g</w:t>
      </w:r>
      <w:r w:rsidR="00744DC6" w:rsidRPr="005001D6">
        <w:rPr>
          <w:vertAlign w:val="superscript"/>
        </w:rPr>
        <w:t>-1</w:t>
      </w:r>
      <w:proofErr w:type="gramEnd"/>
      <w:r w:rsidR="00744DC6" w:rsidRPr="005001D6">
        <w:t xml:space="preserve"> dry soil h</w:t>
      </w:r>
      <w:r w:rsidR="00744DC6" w:rsidRPr="005001D6">
        <w:rPr>
          <w:vertAlign w:val="superscript"/>
        </w:rPr>
        <w:t>-1</w:t>
      </w:r>
      <w:r w:rsidR="00744DC6" w:rsidRPr="005001D6">
        <w:t xml:space="preserve">. Microbial biomass (MB)-specific enzyme activities in </w:t>
      </w:r>
      <w:proofErr w:type="spellStart"/>
      <w:r w:rsidR="00744DC6" w:rsidRPr="005001D6">
        <w:t>nmol</w:t>
      </w:r>
      <w:proofErr w:type="spellEnd"/>
      <w:r w:rsidR="00744DC6" w:rsidRPr="005001D6">
        <w:t xml:space="preserve"> prod µg</w:t>
      </w:r>
      <w:r w:rsidR="00744DC6" w:rsidRPr="005001D6">
        <w:rPr>
          <w:vertAlign w:val="superscript"/>
        </w:rPr>
        <w:t>-1</w:t>
      </w:r>
      <w:r w:rsidR="00744DC6" w:rsidRPr="005001D6">
        <w:t xml:space="preserve"> MBC h</w:t>
      </w:r>
      <w:r w:rsidR="00744DC6" w:rsidRPr="005001D6">
        <w:rPr>
          <w:vertAlign w:val="superscript"/>
        </w:rPr>
        <w:t>-1</w:t>
      </w:r>
      <w:r w:rsidR="00744DC6" w:rsidRPr="005001D6">
        <w:t xml:space="preserve">. Due to the large number of </w:t>
      </w:r>
      <w:r w:rsidR="003828E6" w:rsidRPr="005001D6">
        <w:t xml:space="preserve">variables </w:t>
      </w:r>
      <w:r w:rsidR="00744DC6" w:rsidRPr="005001D6">
        <w:t xml:space="preserve">analysed, only </w:t>
      </w:r>
      <w:r w:rsidR="003828E6" w:rsidRPr="005001D6">
        <w:t xml:space="preserve">those </w:t>
      </w:r>
      <w:r w:rsidR="00744DC6" w:rsidRPr="005001D6">
        <w:t>with significant effects are shown</w:t>
      </w:r>
      <w:r w:rsidR="00E80E67" w:rsidRPr="005001D6">
        <w:t>.</w:t>
      </w:r>
      <w:r w:rsidR="00B01D82" w:rsidRPr="005001D6">
        <w:t xml:space="preserve"> </w:t>
      </w:r>
      <w:r w:rsidR="00744DC6" w:rsidRPr="005001D6">
        <w:t>Significant differences (</w:t>
      </w:r>
      <w:r w:rsidR="00744DC6" w:rsidRPr="005001D6">
        <w:rPr>
          <w:i/>
          <w:iCs/>
        </w:rPr>
        <w:t>p</w:t>
      </w:r>
      <w:r w:rsidR="00744DC6" w:rsidRPr="005001D6">
        <w:t xml:space="preserve"> &lt; 0.05) in bold</w:t>
      </w:r>
      <w:r w:rsidR="00E80E67" w:rsidRPr="005001D6">
        <w:t>.</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43"/>
        <w:gridCol w:w="993"/>
        <w:gridCol w:w="993"/>
        <w:gridCol w:w="715"/>
        <w:gridCol w:w="843"/>
        <w:gridCol w:w="850"/>
        <w:gridCol w:w="715"/>
        <w:gridCol w:w="592"/>
        <w:gridCol w:w="709"/>
        <w:gridCol w:w="773"/>
      </w:tblGrid>
      <w:tr w:rsidR="005001D6" w:rsidRPr="005001D6" w14:paraId="2B098B1A" w14:textId="77777777" w:rsidTr="00395C51">
        <w:tc>
          <w:tcPr>
            <w:tcW w:w="1021" w:type="pct"/>
            <w:tcBorders>
              <w:top w:val="single" w:sz="4" w:space="0" w:color="auto"/>
            </w:tcBorders>
          </w:tcPr>
          <w:p w14:paraId="059EC63B" w14:textId="77777777" w:rsidR="00A55598" w:rsidRPr="005001D6" w:rsidRDefault="00A55598" w:rsidP="00173FAF">
            <w:pPr>
              <w:widowControl w:val="0"/>
              <w:autoSpaceDE w:val="0"/>
              <w:autoSpaceDN w:val="0"/>
              <w:adjustRightInd w:val="0"/>
              <w:spacing w:line="360" w:lineRule="auto"/>
              <w:jc w:val="both"/>
              <w:rPr>
                <w:rFonts w:ascii="Arial" w:hAnsi="Arial" w:cs="Arial"/>
                <w:sz w:val="14"/>
                <w:szCs w:val="14"/>
              </w:rPr>
            </w:pPr>
          </w:p>
          <w:p w14:paraId="372772C4" w14:textId="77777777" w:rsidR="00A55598" w:rsidRPr="005001D6" w:rsidRDefault="00A55598" w:rsidP="00173FAF">
            <w:pPr>
              <w:widowControl w:val="0"/>
              <w:autoSpaceDE w:val="0"/>
              <w:autoSpaceDN w:val="0"/>
              <w:adjustRightInd w:val="0"/>
              <w:spacing w:line="360" w:lineRule="auto"/>
              <w:jc w:val="both"/>
              <w:rPr>
                <w:rFonts w:ascii="Arial" w:hAnsi="Arial" w:cs="Arial"/>
                <w:sz w:val="14"/>
                <w:szCs w:val="14"/>
              </w:rPr>
            </w:pPr>
          </w:p>
        </w:tc>
        <w:tc>
          <w:tcPr>
            <w:tcW w:w="1496" w:type="pct"/>
            <w:gridSpan w:val="3"/>
            <w:tcBorders>
              <w:top w:val="single" w:sz="4" w:space="0" w:color="auto"/>
            </w:tcBorders>
          </w:tcPr>
          <w:p w14:paraId="3B523AF6" w14:textId="77777777" w:rsidR="00A55598" w:rsidRPr="005001D6" w:rsidRDefault="00A55598"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Means (± SE)</w:t>
            </w:r>
          </w:p>
          <w:p w14:paraId="385F95C8" w14:textId="39C12113" w:rsidR="00A55598" w:rsidRPr="005001D6" w:rsidRDefault="00A55598"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 xml:space="preserve">Snow Control </w:t>
            </w:r>
          </w:p>
        </w:tc>
        <w:tc>
          <w:tcPr>
            <w:tcW w:w="1334" w:type="pct"/>
            <w:gridSpan w:val="3"/>
            <w:tcBorders>
              <w:top w:val="single" w:sz="4" w:space="0" w:color="auto"/>
            </w:tcBorders>
          </w:tcPr>
          <w:p w14:paraId="6F9262BA" w14:textId="77777777" w:rsidR="00A55598" w:rsidRPr="005001D6" w:rsidRDefault="00A55598" w:rsidP="00173FAF">
            <w:pPr>
              <w:widowControl w:val="0"/>
              <w:autoSpaceDE w:val="0"/>
              <w:autoSpaceDN w:val="0"/>
              <w:adjustRightInd w:val="0"/>
              <w:spacing w:line="360" w:lineRule="auto"/>
              <w:jc w:val="both"/>
              <w:rPr>
                <w:rFonts w:ascii="Arial" w:hAnsi="Arial" w:cs="Arial"/>
                <w:sz w:val="14"/>
                <w:szCs w:val="14"/>
              </w:rPr>
            </w:pPr>
          </w:p>
          <w:p w14:paraId="5351A788" w14:textId="5DE260F8" w:rsidR="00A55598" w:rsidRPr="005001D6" w:rsidRDefault="00A55598"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 xml:space="preserve">Snow removal </w:t>
            </w:r>
          </w:p>
        </w:tc>
        <w:tc>
          <w:tcPr>
            <w:tcW w:w="328" w:type="pct"/>
            <w:vMerge w:val="restart"/>
            <w:tcBorders>
              <w:top w:val="single" w:sz="4" w:space="0" w:color="auto"/>
            </w:tcBorders>
          </w:tcPr>
          <w:p w14:paraId="643C6D86" w14:textId="77777777" w:rsidR="00A55598" w:rsidRPr="005001D6" w:rsidRDefault="00A55598" w:rsidP="00173FAF">
            <w:pPr>
              <w:widowControl w:val="0"/>
              <w:autoSpaceDE w:val="0"/>
              <w:autoSpaceDN w:val="0"/>
              <w:adjustRightInd w:val="0"/>
              <w:spacing w:line="360" w:lineRule="auto"/>
              <w:jc w:val="both"/>
              <w:rPr>
                <w:rFonts w:ascii="Arial" w:hAnsi="Arial" w:cs="Arial"/>
                <w:i/>
                <w:iCs/>
                <w:sz w:val="14"/>
                <w:szCs w:val="14"/>
              </w:rPr>
            </w:pPr>
          </w:p>
          <w:p w14:paraId="7D429959" w14:textId="77777777" w:rsidR="00A55598" w:rsidRPr="005001D6" w:rsidRDefault="00A55598" w:rsidP="00173FAF">
            <w:pPr>
              <w:widowControl w:val="0"/>
              <w:autoSpaceDE w:val="0"/>
              <w:autoSpaceDN w:val="0"/>
              <w:adjustRightInd w:val="0"/>
              <w:spacing w:line="360" w:lineRule="auto"/>
              <w:jc w:val="both"/>
              <w:rPr>
                <w:rFonts w:ascii="Arial" w:hAnsi="Arial" w:cs="Arial"/>
                <w:i/>
                <w:iCs/>
                <w:sz w:val="14"/>
                <w:szCs w:val="14"/>
              </w:rPr>
            </w:pPr>
            <w:r w:rsidRPr="005001D6">
              <w:rPr>
                <w:rFonts w:ascii="Arial" w:hAnsi="Arial" w:cs="Arial"/>
                <w:i/>
                <w:iCs/>
                <w:sz w:val="14"/>
                <w:szCs w:val="14"/>
              </w:rPr>
              <w:t>Veg</w:t>
            </w:r>
          </w:p>
          <w:p w14:paraId="7F01EC35" w14:textId="77777777" w:rsidR="00A55598" w:rsidRPr="005001D6" w:rsidRDefault="00A55598" w:rsidP="00173FAF">
            <w:pPr>
              <w:widowControl w:val="0"/>
              <w:autoSpaceDE w:val="0"/>
              <w:autoSpaceDN w:val="0"/>
              <w:adjustRightInd w:val="0"/>
              <w:spacing w:line="360" w:lineRule="auto"/>
              <w:jc w:val="both"/>
              <w:rPr>
                <w:rFonts w:ascii="Arial" w:hAnsi="Arial" w:cs="Arial"/>
                <w:i/>
                <w:iCs/>
                <w:sz w:val="14"/>
                <w:szCs w:val="14"/>
              </w:rPr>
            </w:pPr>
            <w:r w:rsidRPr="005001D6">
              <w:rPr>
                <w:rFonts w:ascii="Arial" w:hAnsi="Arial" w:cs="Arial"/>
                <w:i/>
                <w:iCs/>
                <w:sz w:val="14"/>
                <w:szCs w:val="14"/>
              </w:rPr>
              <w:t xml:space="preserve">p </w:t>
            </w:r>
          </w:p>
          <w:p w14:paraId="26880E72" w14:textId="07CF9748" w:rsidR="00A55598" w:rsidRPr="005001D6" w:rsidRDefault="00A55598"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i/>
                <w:iCs/>
                <w:sz w:val="14"/>
                <w:szCs w:val="14"/>
              </w:rPr>
              <w:t>(</w:t>
            </w:r>
            <w:r w:rsidRPr="005001D6">
              <w:rPr>
                <w:rFonts w:ascii="Arial" w:hAnsi="Arial" w:cs="Arial"/>
                <w:sz w:val="14"/>
                <w:szCs w:val="14"/>
              </w:rPr>
              <w:t>Χ</w:t>
            </w:r>
            <w:r w:rsidRPr="005001D6">
              <w:rPr>
                <w:rFonts w:ascii="Arial" w:hAnsi="Arial" w:cs="Arial"/>
                <w:sz w:val="14"/>
                <w:szCs w:val="14"/>
                <w:vertAlign w:val="superscript"/>
              </w:rPr>
              <w:t>2</w:t>
            </w:r>
            <w:r w:rsidRPr="005001D6">
              <w:rPr>
                <w:rFonts w:ascii="Arial" w:hAnsi="Arial" w:cs="Arial"/>
                <w:sz w:val="14"/>
                <w:szCs w:val="14"/>
              </w:rPr>
              <w:t>)</w:t>
            </w:r>
          </w:p>
        </w:tc>
        <w:tc>
          <w:tcPr>
            <w:tcW w:w="393" w:type="pct"/>
            <w:vMerge w:val="restart"/>
            <w:tcBorders>
              <w:top w:val="single" w:sz="4" w:space="0" w:color="auto"/>
            </w:tcBorders>
          </w:tcPr>
          <w:p w14:paraId="7CD68EF8" w14:textId="77777777" w:rsidR="00A55598" w:rsidRPr="005001D6" w:rsidRDefault="00A55598" w:rsidP="00173FAF">
            <w:pPr>
              <w:widowControl w:val="0"/>
              <w:autoSpaceDE w:val="0"/>
              <w:autoSpaceDN w:val="0"/>
              <w:adjustRightInd w:val="0"/>
              <w:spacing w:line="360" w:lineRule="auto"/>
              <w:jc w:val="both"/>
              <w:rPr>
                <w:rFonts w:ascii="Arial" w:hAnsi="Arial" w:cs="Arial"/>
                <w:i/>
                <w:iCs/>
                <w:sz w:val="14"/>
                <w:szCs w:val="14"/>
              </w:rPr>
            </w:pPr>
          </w:p>
          <w:p w14:paraId="4E37B4C2" w14:textId="77777777" w:rsidR="00A55598" w:rsidRPr="005001D6" w:rsidRDefault="00A55598" w:rsidP="00173FAF">
            <w:pPr>
              <w:widowControl w:val="0"/>
              <w:autoSpaceDE w:val="0"/>
              <w:autoSpaceDN w:val="0"/>
              <w:adjustRightInd w:val="0"/>
              <w:spacing w:line="360" w:lineRule="auto"/>
              <w:jc w:val="both"/>
              <w:rPr>
                <w:rFonts w:ascii="Arial" w:hAnsi="Arial" w:cs="Arial"/>
                <w:i/>
                <w:iCs/>
                <w:sz w:val="14"/>
                <w:szCs w:val="14"/>
              </w:rPr>
            </w:pPr>
            <w:r w:rsidRPr="005001D6">
              <w:rPr>
                <w:rFonts w:ascii="Arial" w:hAnsi="Arial" w:cs="Arial"/>
                <w:i/>
                <w:iCs/>
                <w:sz w:val="14"/>
                <w:szCs w:val="14"/>
              </w:rPr>
              <w:t>Snow</w:t>
            </w:r>
          </w:p>
          <w:p w14:paraId="4A1E4946" w14:textId="77777777" w:rsidR="00A55598" w:rsidRPr="005001D6" w:rsidRDefault="00A55598" w:rsidP="00173FAF">
            <w:pPr>
              <w:widowControl w:val="0"/>
              <w:autoSpaceDE w:val="0"/>
              <w:autoSpaceDN w:val="0"/>
              <w:adjustRightInd w:val="0"/>
              <w:spacing w:line="360" w:lineRule="auto"/>
              <w:jc w:val="both"/>
              <w:rPr>
                <w:rFonts w:ascii="Arial" w:hAnsi="Arial" w:cs="Arial"/>
                <w:i/>
                <w:iCs/>
                <w:sz w:val="14"/>
                <w:szCs w:val="14"/>
              </w:rPr>
            </w:pPr>
            <w:r w:rsidRPr="005001D6">
              <w:rPr>
                <w:rFonts w:ascii="Arial" w:hAnsi="Arial" w:cs="Arial"/>
                <w:i/>
                <w:iCs/>
                <w:sz w:val="14"/>
                <w:szCs w:val="14"/>
              </w:rPr>
              <w:t xml:space="preserve">p </w:t>
            </w:r>
          </w:p>
          <w:p w14:paraId="19B518F8" w14:textId="06EDD142" w:rsidR="00A55598" w:rsidRPr="005001D6" w:rsidRDefault="00A55598" w:rsidP="00173FAF">
            <w:pPr>
              <w:widowControl w:val="0"/>
              <w:autoSpaceDE w:val="0"/>
              <w:autoSpaceDN w:val="0"/>
              <w:adjustRightInd w:val="0"/>
              <w:spacing w:line="360" w:lineRule="auto"/>
              <w:jc w:val="both"/>
              <w:rPr>
                <w:rFonts w:ascii="Arial" w:hAnsi="Arial" w:cs="Arial"/>
                <w:i/>
                <w:iCs/>
                <w:sz w:val="14"/>
                <w:szCs w:val="14"/>
              </w:rPr>
            </w:pPr>
            <w:r w:rsidRPr="005001D6">
              <w:rPr>
                <w:rFonts w:ascii="Arial" w:hAnsi="Arial" w:cs="Arial"/>
                <w:i/>
                <w:iCs/>
                <w:sz w:val="14"/>
                <w:szCs w:val="14"/>
              </w:rPr>
              <w:t>(</w:t>
            </w:r>
            <w:r w:rsidRPr="005001D6">
              <w:rPr>
                <w:rFonts w:ascii="Arial" w:hAnsi="Arial" w:cs="Arial"/>
                <w:sz w:val="14"/>
                <w:szCs w:val="14"/>
              </w:rPr>
              <w:t>Χ</w:t>
            </w:r>
            <w:r w:rsidRPr="005001D6">
              <w:rPr>
                <w:rFonts w:ascii="Arial" w:hAnsi="Arial" w:cs="Arial"/>
                <w:sz w:val="14"/>
                <w:szCs w:val="14"/>
                <w:vertAlign w:val="superscript"/>
              </w:rPr>
              <w:t>2</w:t>
            </w:r>
            <w:r w:rsidRPr="005001D6">
              <w:rPr>
                <w:rFonts w:ascii="Arial" w:hAnsi="Arial" w:cs="Arial"/>
                <w:sz w:val="14"/>
                <w:szCs w:val="14"/>
              </w:rPr>
              <w:t>)</w:t>
            </w:r>
          </w:p>
        </w:tc>
        <w:tc>
          <w:tcPr>
            <w:tcW w:w="428" w:type="pct"/>
            <w:vMerge w:val="restart"/>
            <w:tcBorders>
              <w:top w:val="single" w:sz="4" w:space="0" w:color="auto"/>
            </w:tcBorders>
          </w:tcPr>
          <w:p w14:paraId="4041A21F" w14:textId="77777777" w:rsidR="00A55598" w:rsidRPr="005001D6" w:rsidRDefault="00A55598" w:rsidP="00173FAF">
            <w:pPr>
              <w:widowControl w:val="0"/>
              <w:autoSpaceDE w:val="0"/>
              <w:autoSpaceDN w:val="0"/>
              <w:adjustRightInd w:val="0"/>
              <w:spacing w:line="360" w:lineRule="auto"/>
              <w:jc w:val="both"/>
              <w:rPr>
                <w:rFonts w:ascii="Arial" w:hAnsi="Arial" w:cs="Arial"/>
                <w:sz w:val="14"/>
                <w:szCs w:val="14"/>
              </w:rPr>
            </w:pPr>
          </w:p>
          <w:p w14:paraId="30F5634B" w14:textId="77777777" w:rsidR="00A55598" w:rsidRPr="005001D6" w:rsidRDefault="00A55598"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Int.</w:t>
            </w:r>
          </w:p>
          <w:p w14:paraId="50EEFA87" w14:textId="77777777" w:rsidR="00A55598" w:rsidRPr="005001D6" w:rsidRDefault="00A55598" w:rsidP="00173FAF">
            <w:pPr>
              <w:widowControl w:val="0"/>
              <w:autoSpaceDE w:val="0"/>
              <w:autoSpaceDN w:val="0"/>
              <w:adjustRightInd w:val="0"/>
              <w:spacing w:line="360" w:lineRule="auto"/>
              <w:jc w:val="both"/>
              <w:rPr>
                <w:rFonts w:ascii="Arial" w:hAnsi="Arial" w:cs="Arial"/>
                <w:i/>
                <w:iCs/>
                <w:sz w:val="14"/>
                <w:szCs w:val="14"/>
              </w:rPr>
            </w:pPr>
            <w:r w:rsidRPr="005001D6">
              <w:rPr>
                <w:rFonts w:ascii="Arial" w:hAnsi="Arial" w:cs="Arial"/>
                <w:i/>
                <w:iCs/>
                <w:sz w:val="14"/>
                <w:szCs w:val="14"/>
              </w:rPr>
              <w:t>p</w:t>
            </w:r>
          </w:p>
          <w:p w14:paraId="61F5BABB" w14:textId="7B0DF56A" w:rsidR="00A55598" w:rsidRPr="005001D6" w:rsidRDefault="00A55598"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i/>
                <w:iCs/>
                <w:sz w:val="14"/>
                <w:szCs w:val="14"/>
              </w:rPr>
              <w:t xml:space="preserve"> (</w:t>
            </w:r>
            <w:r w:rsidRPr="005001D6">
              <w:rPr>
                <w:rFonts w:ascii="Arial" w:hAnsi="Arial" w:cs="Arial"/>
                <w:sz w:val="14"/>
                <w:szCs w:val="14"/>
              </w:rPr>
              <w:t>Χ</w:t>
            </w:r>
            <w:r w:rsidRPr="005001D6">
              <w:rPr>
                <w:rFonts w:ascii="Arial" w:hAnsi="Arial" w:cs="Arial"/>
                <w:sz w:val="14"/>
                <w:szCs w:val="14"/>
                <w:vertAlign w:val="superscript"/>
              </w:rPr>
              <w:t>2</w:t>
            </w:r>
            <w:r w:rsidRPr="005001D6">
              <w:rPr>
                <w:rFonts w:ascii="Arial" w:hAnsi="Arial" w:cs="Arial"/>
                <w:sz w:val="14"/>
                <w:szCs w:val="14"/>
              </w:rPr>
              <w:t>)</w:t>
            </w:r>
          </w:p>
        </w:tc>
      </w:tr>
      <w:tr w:rsidR="005001D6" w:rsidRPr="005001D6" w14:paraId="3FC7CE0D" w14:textId="77777777" w:rsidTr="00395C51">
        <w:tc>
          <w:tcPr>
            <w:tcW w:w="1021" w:type="pct"/>
            <w:tcBorders>
              <w:bottom w:val="single" w:sz="4" w:space="0" w:color="auto"/>
            </w:tcBorders>
          </w:tcPr>
          <w:p w14:paraId="03713626" w14:textId="77777777" w:rsidR="00A55598" w:rsidRPr="005001D6" w:rsidRDefault="00A55598" w:rsidP="00173FAF">
            <w:pPr>
              <w:widowControl w:val="0"/>
              <w:autoSpaceDE w:val="0"/>
              <w:autoSpaceDN w:val="0"/>
              <w:adjustRightInd w:val="0"/>
              <w:spacing w:line="360" w:lineRule="auto"/>
              <w:jc w:val="both"/>
              <w:rPr>
                <w:rFonts w:ascii="Arial" w:hAnsi="Arial" w:cs="Arial"/>
                <w:sz w:val="14"/>
                <w:szCs w:val="14"/>
              </w:rPr>
            </w:pPr>
          </w:p>
          <w:p w14:paraId="282A1EE4" w14:textId="71F29CAB" w:rsidR="00A55598" w:rsidRPr="005001D6" w:rsidRDefault="00A55598"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MICROBIAL BIOMASS</w:t>
            </w:r>
          </w:p>
        </w:tc>
        <w:tc>
          <w:tcPr>
            <w:tcW w:w="550" w:type="pct"/>
            <w:tcBorders>
              <w:bottom w:val="single" w:sz="4" w:space="0" w:color="auto"/>
            </w:tcBorders>
            <w:shd w:val="clear" w:color="auto" w:fill="auto"/>
          </w:tcPr>
          <w:p w14:paraId="77330900" w14:textId="0CCA10F7" w:rsidR="00A55598" w:rsidRPr="005001D6" w:rsidRDefault="00A55598"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Shrub-invaded</w:t>
            </w:r>
          </w:p>
        </w:tc>
        <w:tc>
          <w:tcPr>
            <w:tcW w:w="550" w:type="pct"/>
            <w:tcBorders>
              <w:bottom w:val="single" w:sz="4" w:space="0" w:color="auto"/>
            </w:tcBorders>
          </w:tcPr>
          <w:p w14:paraId="5645C780" w14:textId="089EED15" w:rsidR="00A55598" w:rsidRPr="005001D6" w:rsidRDefault="00A55598"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Grass-control</w:t>
            </w:r>
          </w:p>
        </w:tc>
        <w:tc>
          <w:tcPr>
            <w:tcW w:w="396" w:type="pct"/>
            <w:tcBorders>
              <w:bottom w:val="single" w:sz="4" w:space="0" w:color="auto"/>
            </w:tcBorders>
          </w:tcPr>
          <w:p w14:paraId="4E036C84" w14:textId="3514DB24" w:rsidR="00A55598" w:rsidRPr="005001D6" w:rsidRDefault="00A55598"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Shrub removal</w:t>
            </w:r>
          </w:p>
        </w:tc>
        <w:tc>
          <w:tcPr>
            <w:tcW w:w="467" w:type="pct"/>
            <w:tcBorders>
              <w:bottom w:val="single" w:sz="4" w:space="0" w:color="auto"/>
            </w:tcBorders>
            <w:shd w:val="clear" w:color="auto" w:fill="auto"/>
          </w:tcPr>
          <w:p w14:paraId="284C3272" w14:textId="1A256F4F" w:rsidR="00A55598" w:rsidRPr="005001D6" w:rsidRDefault="00A55598"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Shrub-invaded</w:t>
            </w:r>
          </w:p>
        </w:tc>
        <w:tc>
          <w:tcPr>
            <w:tcW w:w="471" w:type="pct"/>
            <w:tcBorders>
              <w:bottom w:val="single" w:sz="4" w:space="0" w:color="auto"/>
            </w:tcBorders>
          </w:tcPr>
          <w:p w14:paraId="1910E595" w14:textId="162F323A" w:rsidR="00A55598" w:rsidRPr="005001D6" w:rsidRDefault="00A55598"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Grass-control</w:t>
            </w:r>
          </w:p>
        </w:tc>
        <w:tc>
          <w:tcPr>
            <w:tcW w:w="396" w:type="pct"/>
            <w:tcBorders>
              <w:bottom w:val="single" w:sz="4" w:space="0" w:color="auto"/>
            </w:tcBorders>
          </w:tcPr>
          <w:p w14:paraId="38443B01" w14:textId="2E58B24F" w:rsidR="00A55598" w:rsidRPr="005001D6" w:rsidRDefault="00A55598"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Shrub removal</w:t>
            </w:r>
          </w:p>
        </w:tc>
        <w:tc>
          <w:tcPr>
            <w:tcW w:w="328" w:type="pct"/>
            <w:vMerge/>
            <w:tcBorders>
              <w:bottom w:val="single" w:sz="4" w:space="0" w:color="auto"/>
            </w:tcBorders>
          </w:tcPr>
          <w:p w14:paraId="2C985FD8" w14:textId="77777777" w:rsidR="00A55598" w:rsidRPr="005001D6" w:rsidRDefault="00A55598" w:rsidP="00173FAF">
            <w:pPr>
              <w:widowControl w:val="0"/>
              <w:autoSpaceDE w:val="0"/>
              <w:autoSpaceDN w:val="0"/>
              <w:adjustRightInd w:val="0"/>
              <w:spacing w:line="360" w:lineRule="auto"/>
              <w:jc w:val="both"/>
              <w:rPr>
                <w:rFonts w:ascii="Arial" w:hAnsi="Arial" w:cs="Arial"/>
                <w:sz w:val="14"/>
                <w:szCs w:val="14"/>
              </w:rPr>
            </w:pPr>
          </w:p>
        </w:tc>
        <w:tc>
          <w:tcPr>
            <w:tcW w:w="393" w:type="pct"/>
            <w:vMerge/>
            <w:tcBorders>
              <w:bottom w:val="single" w:sz="4" w:space="0" w:color="auto"/>
            </w:tcBorders>
          </w:tcPr>
          <w:p w14:paraId="6CA1AA12" w14:textId="77777777" w:rsidR="00A55598" w:rsidRPr="005001D6" w:rsidRDefault="00A55598" w:rsidP="00173FAF">
            <w:pPr>
              <w:widowControl w:val="0"/>
              <w:autoSpaceDE w:val="0"/>
              <w:autoSpaceDN w:val="0"/>
              <w:adjustRightInd w:val="0"/>
              <w:spacing w:line="360" w:lineRule="auto"/>
              <w:jc w:val="both"/>
              <w:rPr>
                <w:rFonts w:ascii="Arial" w:hAnsi="Arial" w:cs="Arial"/>
                <w:sz w:val="14"/>
                <w:szCs w:val="14"/>
              </w:rPr>
            </w:pPr>
          </w:p>
        </w:tc>
        <w:tc>
          <w:tcPr>
            <w:tcW w:w="428" w:type="pct"/>
            <w:vMerge/>
            <w:tcBorders>
              <w:bottom w:val="single" w:sz="4" w:space="0" w:color="auto"/>
            </w:tcBorders>
          </w:tcPr>
          <w:p w14:paraId="1106751F" w14:textId="77777777" w:rsidR="00A55598" w:rsidRPr="005001D6" w:rsidRDefault="00A55598" w:rsidP="00173FAF">
            <w:pPr>
              <w:widowControl w:val="0"/>
              <w:autoSpaceDE w:val="0"/>
              <w:autoSpaceDN w:val="0"/>
              <w:adjustRightInd w:val="0"/>
              <w:spacing w:line="360" w:lineRule="auto"/>
              <w:jc w:val="both"/>
              <w:rPr>
                <w:rFonts w:ascii="Arial" w:hAnsi="Arial" w:cs="Arial"/>
                <w:sz w:val="14"/>
                <w:szCs w:val="14"/>
              </w:rPr>
            </w:pPr>
          </w:p>
        </w:tc>
      </w:tr>
      <w:tr w:rsidR="005001D6" w:rsidRPr="005001D6" w14:paraId="3B03DC97" w14:textId="77777777" w:rsidTr="00395C51">
        <w:tc>
          <w:tcPr>
            <w:tcW w:w="1021" w:type="pct"/>
            <w:tcBorders>
              <w:top w:val="single" w:sz="4" w:space="0" w:color="auto"/>
            </w:tcBorders>
          </w:tcPr>
          <w:p w14:paraId="5EC89FC5" w14:textId="5B752830" w:rsidR="007F6C8B" w:rsidRPr="005001D6" w:rsidRDefault="00744DC6"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Nitrogen</w:t>
            </w:r>
            <w:r w:rsidR="007F6C8B" w:rsidRPr="005001D6">
              <w:rPr>
                <w:rFonts w:ascii="Arial" w:hAnsi="Arial" w:cs="Arial"/>
                <w:sz w:val="14"/>
                <w:szCs w:val="14"/>
              </w:rPr>
              <w:t xml:space="preserve"> (µg N g</w:t>
            </w:r>
            <w:r w:rsidRPr="005001D6">
              <w:rPr>
                <w:rFonts w:ascii="Arial" w:hAnsi="Arial" w:cs="Arial"/>
                <w:sz w:val="14"/>
                <w:szCs w:val="14"/>
                <w:vertAlign w:val="superscript"/>
              </w:rPr>
              <w:t>-1</w:t>
            </w:r>
            <w:r w:rsidR="007F6C8B" w:rsidRPr="005001D6">
              <w:rPr>
                <w:rFonts w:ascii="Arial" w:hAnsi="Arial" w:cs="Arial"/>
                <w:sz w:val="14"/>
                <w:szCs w:val="14"/>
              </w:rPr>
              <w:t xml:space="preserve"> </w:t>
            </w:r>
            <w:r w:rsidRPr="005001D6">
              <w:rPr>
                <w:rFonts w:ascii="Arial" w:hAnsi="Arial" w:cs="Arial"/>
                <w:sz w:val="14"/>
                <w:szCs w:val="14"/>
              </w:rPr>
              <w:t xml:space="preserve">dry </w:t>
            </w:r>
            <w:r w:rsidR="007F6C8B" w:rsidRPr="005001D6">
              <w:rPr>
                <w:rFonts w:ascii="Arial" w:hAnsi="Arial" w:cs="Arial"/>
                <w:sz w:val="14"/>
                <w:szCs w:val="14"/>
              </w:rPr>
              <w:t>soil)</w:t>
            </w:r>
          </w:p>
        </w:tc>
        <w:tc>
          <w:tcPr>
            <w:tcW w:w="550" w:type="pct"/>
            <w:shd w:val="clear" w:color="auto" w:fill="auto"/>
          </w:tcPr>
          <w:p w14:paraId="51A62387" w14:textId="77777777" w:rsidR="007F6C8B" w:rsidRPr="005001D6" w:rsidRDefault="007F6C8B"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 xml:space="preserve">246.0 ± 20.2 </w:t>
            </w:r>
          </w:p>
        </w:tc>
        <w:tc>
          <w:tcPr>
            <w:tcW w:w="550" w:type="pct"/>
            <w:shd w:val="clear" w:color="auto" w:fill="auto"/>
          </w:tcPr>
          <w:p w14:paraId="6DADDF83" w14:textId="77777777" w:rsidR="007F6C8B" w:rsidRPr="005001D6" w:rsidRDefault="007F6C8B"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407.4 ± 54.8</w:t>
            </w:r>
          </w:p>
        </w:tc>
        <w:tc>
          <w:tcPr>
            <w:tcW w:w="396" w:type="pct"/>
          </w:tcPr>
          <w:p w14:paraId="42648CE4" w14:textId="77777777" w:rsidR="007F6C8B" w:rsidRPr="005001D6" w:rsidRDefault="007F6C8B"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280.5 ± 17.4</w:t>
            </w:r>
          </w:p>
        </w:tc>
        <w:tc>
          <w:tcPr>
            <w:tcW w:w="467" w:type="pct"/>
            <w:shd w:val="clear" w:color="auto" w:fill="auto"/>
          </w:tcPr>
          <w:p w14:paraId="267DDAAD" w14:textId="77777777" w:rsidR="007F6C8B" w:rsidRPr="005001D6" w:rsidRDefault="007F6C8B"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279.7 40.4</w:t>
            </w:r>
          </w:p>
        </w:tc>
        <w:tc>
          <w:tcPr>
            <w:tcW w:w="471" w:type="pct"/>
            <w:shd w:val="clear" w:color="auto" w:fill="auto"/>
          </w:tcPr>
          <w:p w14:paraId="453ADC24" w14:textId="77777777" w:rsidR="007F6C8B" w:rsidRPr="005001D6" w:rsidRDefault="007F6C8B"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270.8 ± 23.1</w:t>
            </w:r>
          </w:p>
        </w:tc>
        <w:tc>
          <w:tcPr>
            <w:tcW w:w="396" w:type="pct"/>
          </w:tcPr>
          <w:p w14:paraId="7E1C1AE1" w14:textId="77777777" w:rsidR="007F6C8B" w:rsidRPr="005001D6" w:rsidRDefault="007F6C8B"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245.8 ± 38.5</w:t>
            </w:r>
          </w:p>
        </w:tc>
        <w:tc>
          <w:tcPr>
            <w:tcW w:w="328" w:type="pct"/>
            <w:shd w:val="clear" w:color="auto" w:fill="auto"/>
          </w:tcPr>
          <w:p w14:paraId="174026B9" w14:textId="77777777" w:rsidR="007F6C8B" w:rsidRPr="005001D6" w:rsidRDefault="007F6C8B" w:rsidP="00173FAF">
            <w:pPr>
              <w:widowControl w:val="0"/>
              <w:autoSpaceDE w:val="0"/>
              <w:autoSpaceDN w:val="0"/>
              <w:adjustRightInd w:val="0"/>
              <w:spacing w:line="360" w:lineRule="auto"/>
              <w:jc w:val="both"/>
              <w:rPr>
                <w:rFonts w:ascii="Arial" w:hAnsi="Arial" w:cs="Arial"/>
                <w:b/>
                <w:bCs/>
                <w:sz w:val="14"/>
                <w:szCs w:val="14"/>
              </w:rPr>
            </w:pPr>
            <w:r w:rsidRPr="005001D6">
              <w:rPr>
                <w:rFonts w:ascii="Arial" w:hAnsi="Arial" w:cs="Arial"/>
                <w:b/>
                <w:bCs/>
                <w:sz w:val="14"/>
                <w:szCs w:val="14"/>
              </w:rPr>
              <w:t>0.02 (8.0)</w:t>
            </w:r>
          </w:p>
        </w:tc>
        <w:tc>
          <w:tcPr>
            <w:tcW w:w="393" w:type="pct"/>
          </w:tcPr>
          <w:p w14:paraId="131A39C9" w14:textId="77777777" w:rsidR="007F6C8B" w:rsidRPr="005001D6" w:rsidRDefault="007F6C8B"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0.07 (3.3)</w:t>
            </w:r>
          </w:p>
        </w:tc>
        <w:tc>
          <w:tcPr>
            <w:tcW w:w="428" w:type="pct"/>
          </w:tcPr>
          <w:p w14:paraId="70279ECC" w14:textId="77777777" w:rsidR="007F6C8B" w:rsidRPr="005001D6" w:rsidRDefault="007F6C8B" w:rsidP="00173FAF">
            <w:pPr>
              <w:widowControl w:val="0"/>
              <w:autoSpaceDE w:val="0"/>
              <w:autoSpaceDN w:val="0"/>
              <w:adjustRightInd w:val="0"/>
              <w:spacing w:line="360" w:lineRule="auto"/>
              <w:jc w:val="both"/>
              <w:rPr>
                <w:rFonts w:ascii="Arial" w:hAnsi="Arial" w:cs="Arial"/>
                <w:b/>
                <w:bCs/>
                <w:sz w:val="14"/>
                <w:szCs w:val="14"/>
              </w:rPr>
            </w:pPr>
            <w:r w:rsidRPr="005001D6">
              <w:rPr>
                <w:rFonts w:ascii="Arial" w:hAnsi="Arial" w:cs="Arial"/>
                <w:b/>
                <w:bCs/>
                <w:sz w:val="14"/>
                <w:szCs w:val="14"/>
              </w:rPr>
              <w:t>0.02 (7.7)</w:t>
            </w:r>
          </w:p>
        </w:tc>
      </w:tr>
      <w:tr w:rsidR="005001D6" w:rsidRPr="005001D6" w14:paraId="0990D868" w14:textId="77777777" w:rsidTr="00395C51">
        <w:tc>
          <w:tcPr>
            <w:tcW w:w="1021" w:type="pct"/>
          </w:tcPr>
          <w:p w14:paraId="1E3256AA" w14:textId="01DFED81" w:rsidR="007F6C8B" w:rsidRPr="005001D6" w:rsidRDefault="007F6C8B"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C:N ratio</w:t>
            </w:r>
          </w:p>
        </w:tc>
        <w:tc>
          <w:tcPr>
            <w:tcW w:w="550" w:type="pct"/>
            <w:shd w:val="clear" w:color="auto" w:fill="auto"/>
          </w:tcPr>
          <w:p w14:paraId="0C336804" w14:textId="77777777" w:rsidR="007F6C8B" w:rsidRPr="005001D6" w:rsidRDefault="007F6C8B"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8.8 ± 0.5</w:t>
            </w:r>
          </w:p>
        </w:tc>
        <w:tc>
          <w:tcPr>
            <w:tcW w:w="550" w:type="pct"/>
            <w:shd w:val="clear" w:color="auto" w:fill="auto"/>
          </w:tcPr>
          <w:p w14:paraId="2B2A1408" w14:textId="77777777" w:rsidR="007F6C8B" w:rsidRPr="005001D6" w:rsidRDefault="007F6C8B"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7.3 ± 0.3</w:t>
            </w:r>
          </w:p>
        </w:tc>
        <w:tc>
          <w:tcPr>
            <w:tcW w:w="396" w:type="pct"/>
          </w:tcPr>
          <w:p w14:paraId="084F41B0" w14:textId="77777777" w:rsidR="007F6C8B" w:rsidRPr="005001D6" w:rsidRDefault="007F6C8B"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7.4 ± 0.5</w:t>
            </w:r>
          </w:p>
        </w:tc>
        <w:tc>
          <w:tcPr>
            <w:tcW w:w="467" w:type="pct"/>
            <w:shd w:val="clear" w:color="auto" w:fill="auto"/>
          </w:tcPr>
          <w:p w14:paraId="6397BB0D" w14:textId="77777777" w:rsidR="007F6C8B" w:rsidRPr="005001D6" w:rsidRDefault="007F6C8B"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8.0 ± 0.5</w:t>
            </w:r>
          </w:p>
        </w:tc>
        <w:tc>
          <w:tcPr>
            <w:tcW w:w="471" w:type="pct"/>
            <w:shd w:val="clear" w:color="auto" w:fill="auto"/>
          </w:tcPr>
          <w:p w14:paraId="4EEFD1D1" w14:textId="77777777" w:rsidR="007F6C8B" w:rsidRPr="005001D6" w:rsidRDefault="007F6C8B"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7.6 ± 0.3</w:t>
            </w:r>
          </w:p>
        </w:tc>
        <w:tc>
          <w:tcPr>
            <w:tcW w:w="396" w:type="pct"/>
          </w:tcPr>
          <w:p w14:paraId="61510E93" w14:textId="77777777" w:rsidR="007F6C8B" w:rsidRPr="005001D6" w:rsidRDefault="007F6C8B"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7.9 ± 0.4</w:t>
            </w:r>
          </w:p>
        </w:tc>
        <w:tc>
          <w:tcPr>
            <w:tcW w:w="328" w:type="pct"/>
            <w:shd w:val="clear" w:color="auto" w:fill="auto"/>
          </w:tcPr>
          <w:p w14:paraId="7DA8FA76" w14:textId="77777777" w:rsidR="007F6C8B" w:rsidRPr="005001D6" w:rsidRDefault="007F6C8B" w:rsidP="00173FAF">
            <w:pPr>
              <w:widowControl w:val="0"/>
              <w:autoSpaceDE w:val="0"/>
              <w:autoSpaceDN w:val="0"/>
              <w:adjustRightInd w:val="0"/>
              <w:spacing w:line="360" w:lineRule="auto"/>
              <w:jc w:val="both"/>
              <w:rPr>
                <w:rFonts w:ascii="Arial" w:hAnsi="Arial" w:cs="Arial"/>
                <w:b/>
                <w:bCs/>
                <w:sz w:val="14"/>
                <w:szCs w:val="14"/>
              </w:rPr>
            </w:pPr>
            <w:r w:rsidRPr="005001D6">
              <w:rPr>
                <w:rFonts w:ascii="Arial" w:hAnsi="Arial" w:cs="Arial"/>
                <w:b/>
                <w:bCs/>
                <w:sz w:val="14"/>
                <w:szCs w:val="14"/>
              </w:rPr>
              <w:t>&lt;0.01 (10.2)</w:t>
            </w:r>
          </w:p>
        </w:tc>
        <w:tc>
          <w:tcPr>
            <w:tcW w:w="393" w:type="pct"/>
          </w:tcPr>
          <w:p w14:paraId="569D71A2" w14:textId="77777777" w:rsidR="007F6C8B" w:rsidRPr="005001D6" w:rsidRDefault="007F6C8B"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0.98 (&lt;0.01)</w:t>
            </w:r>
          </w:p>
        </w:tc>
        <w:tc>
          <w:tcPr>
            <w:tcW w:w="428" w:type="pct"/>
          </w:tcPr>
          <w:p w14:paraId="711D3BED" w14:textId="39172D9A" w:rsidR="007F6C8B" w:rsidRPr="005001D6" w:rsidRDefault="007F6C8B"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0.1</w:t>
            </w:r>
            <w:r w:rsidR="00A55598" w:rsidRPr="005001D6">
              <w:rPr>
                <w:rFonts w:ascii="Arial" w:hAnsi="Arial" w:cs="Arial"/>
                <w:sz w:val="14"/>
                <w:szCs w:val="14"/>
              </w:rPr>
              <w:t>0</w:t>
            </w:r>
            <w:r w:rsidRPr="005001D6">
              <w:rPr>
                <w:rFonts w:ascii="Arial" w:hAnsi="Arial" w:cs="Arial"/>
                <w:sz w:val="14"/>
                <w:szCs w:val="14"/>
              </w:rPr>
              <w:t xml:space="preserve"> (4.6)</w:t>
            </w:r>
          </w:p>
        </w:tc>
      </w:tr>
      <w:tr w:rsidR="005001D6" w:rsidRPr="005001D6" w14:paraId="0ACA9946" w14:textId="77777777" w:rsidTr="00395C51">
        <w:tc>
          <w:tcPr>
            <w:tcW w:w="1571" w:type="pct"/>
            <w:gridSpan w:val="2"/>
            <w:tcBorders>
              <w:bottom w:val="single" w:sz="4" w:space="0" w:color="auto"/>
            </w:tcBorders>
            <w:shd w:val="clear" w:color="auto" w:fill="auto"/>
          </w:tcPr>
          <w:p w14:paraId="5948A414" w14:textId="77777777" w:rsidR="00A55598" w:rsidRPr="005001D6" w:rsidRDefault="00A55598" w:rsidP="00173FAF">
            <w:pPr>
              <w:widowControl w:val="0"/>
              <w:autoSpaceDE w:val="0"/>
              <w:autoSpaceDN w:val="0"/>
              <w:adjustRightInd w:val="0"/>
              <w:spacing w:line="360" w:lineRule="auto"/>
              <w:jc w:val="both"/>
              <w:rPr>
                <w:rFonts w:ascii="Arial" w:hAnsi="Arial" w:cs="Arial"/>
                <w:sz w:val="14"/>
                <w:szCs w:val="14"/>
              </w:rPr>
            </w:pPr>
          </w:p>
          <w:p w14:paraId="225E33FF" w14:textId="32F76E21" w:rsidR="00A55598" w:rsidRPr="005001D6" w:rsidRDefault="00A55598"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 xml:space="preserve">POTENTIAL ENZYME ACTIVITY </w:t>
            </w:r>
          </w:p>
        </w:tc>
        <w:tc>
          <w:tcPr>
            <w:tcW w:w="550" w:type="pct"/>
            <w:shd w:val="clear" w:color="auto" w:fill="auto"/>
          </w:tcPr>
          <w:p w14:paraId="12FD935C" w14:textId="77777777" w:rsidR="00A55598" w:rsidRPr="005001D6" w:rsidRDefault="00A55598" w:rsidP="00173FAF">
            <w:pPr>
              <w:widowControl w:val="0"/>
              <w:autoSpaceDE w:val="0"/>
              <w:autoSpaceDN w:val="0"/>
              <w:adjustRightInd w:val="0"/>
              <w:spacing w:line="360" w:lineRule="auto"/>
              <w:jc w:val="both"/>
              <w:rPr>
                <w:rFonts w:ascii="Arial" w:hAnsi="Arial" w:cs="Arial"/>
                <w:sz w:val="14"/>
                <w:szCs w:val="14"/>
              </w:rPr>
            </w:pPr>
          </w:p>
        </w:tc>
        <w:tc>
          <w:tcPr>
            <w:tcW w:w="396" w:type="pct"/>
          </w:tcPr>
          <w:p w14:paraId="250ADC1B" w14:textId="77777777" w:rsidR="00A55598" w:rsidRPr="005001D6" w:rsidRDefault="00A55598" w:rsidP="00173FAF">
            <w:pPr>
              <w:widowControl w:val="0"/>
              <w:autoSpaceDE w:val="0"/>
              <w:autoSpaceDN w:val="0"/>
              <w:adjustRightInd w:val="0"/>
              <w:spacing w:line="360" w:lineRule="auto"/>
              <w:jc w:val="both"/>
              <w:rPr>
                <w:rFonts w:ascii="Arial" w:hAnsi="Arial" w:cs="Arial"/>
                <w:sz w:val="14"/>
                <w:szCs w:val="14"/>
              </w:rPr>
            </w:pPr>
          </w:p>
        </w:tc>
        <w:tc>
          <w:tcPr>
            <w:tcW w:w="467" w:type="pct"/>
            <w:shd w:val="clear" w:color="auto" w:fill="auto"/>
          </w:tcPr>
          <w:p w14:paraId="2CAACDAE" w14:textId="77777777" w:rsidR="00A55598" w:rsidRPr="005001D6" w:rsidRDefault="00A55598" w:rsidP="00173FAF">
            <w:pPr>
              <w:widowControl w:val="0"/>
              <w:autoSpaceDE w:val="0"/>
              <w:autoSpaceDN w:val="0"/>
              <w:adjustRightInd w:val="0"/>
              <w:spacing w:line="360" w:lineRule="auto"/>
              <w:jc w:val="both"/>
              <w:rPr>
                <w:rFonts w:ascii="Arial" w:hAnsi="Arial" w:cs="Arial"/>
                <w:sz w:val="14"/>
                <w:szCs w:val="14"/>
              </w:rPr>
            </w:pPr>
          </w:p>
        </w:tc>
        <w:tc>
          <w:tcPr>
            <w:tcW w:w="471" w:type="pct"/>
            <w:shd w:val="clear" w:color="auto" w:fill="auto"/>
          </w:tcPr>
          <w:p w14:paraId="2FA145D5" w14:textId="77777777" w:rsidR="00A55598" w:rsidRPr="005001D6" w:rsidRDefault="00A55598" w:rsidP="00173FAF">
            <w:pPr>
              <w:widowControl w:val="0"/>
              <w:autoSpaceDE w:val="0"/>
              <w:autoSpaceDN w:val="0"/>
              <w:adjustRightInd w:val="0"/>
              <w:spacing w:line="360" w:lineRule="auto"/>
              <w:jc w:val="both"/>
              <w:rPr>
                <w:rFonts w:ascii="Arial" w:hAnsi="Arial" w:cs="Arial"/>
                <w:sz w:val="14"/>
                <w:szCs w:val="14"/>
              </w:rPr>
            </w:pPr>
          </w:p>
        </w:tc>
        <w:tc>
          <w:tcPr>
            <w:tcW w:w="396" w:type="pct"/>
          </w:tcPr>
          <w:p w14:paraId="5900CA01" w14:textId="77777777" w:rsidR="00A55598" w:rsidRPr="005001D6" w:rsidRDefault="00A55598" w:rsidP="00173FAF">
            <w:pPr>
              <w:widowControl w:val="0"/>
              <w:autoSpaceDE w:val="0"/>
              <w:autoSpaceDN w:val="0"/>
              <w:adjustRightInd w:val="0"/>
              <w:spacing w:line="360" w:lineRule="auto"/>
              <w:jc w:val="both"/>
              <w:rPr>
                <w:rFonts w:ascii="Arial" w:hAnsi="Arial" w:cs="Arial"/>
                <w:sz w:val="14"/>
                <w:szCs w:val="14"/>
              </w:rPr>
            </w:pPr>
          </w:p>
        </w:tc>
        <w:tc>
          <w:tcPr>
            <w:tcW w:w="328" w:type="pct"/>
            <w:shd w:val="clear" w:color="auto" w:fill="auto"/>
          </w:tcPr>
          <w:p w14:paraId="0E526919" w14:textId="77777777" w:rsidR="00A55598" w:rsidRPr="005001D6" w:rsidRDefault="00A55598" w:rsidP="00173FAF">
            <w:pPr>
              <w:widowControl w:val="0"/>
              <w:autoSpaceDE w:val="0"/>
              <w:autoSpaceDN w:val="0"/>
              <w:adjustRightInd w:val="0"/>
              <w:spacing w:line="360" w:lineRule="auto"/>
              <w:jc w:val="both"/>
              <w:rPr>
                <w:rFonts w:ascii="Arial" w:hAnsi="Arial" w:cs="Arial"/>
                <w:sz w:val="14"/>
                <w:szCs w:val="14"/>
              </w:rPr>
            </w:pPr>
          </w:p>
        </w:tc>
        <w:tc>
          <w:tcPr>
            <w:tcW w:w="393" w:type="pct"/>
          </w:tcPr>
          <w:p w14:paraId="0A96AAAB" w14:textId="77777777" w:rsidR="00A55598" w:rsidRPr="005001D6" w:rsidRDefault="00A55598" w:rsidP="00173FAF">
            <w:pPr>
              <w:widowControl w:val="0"/>
              <w:autoSpaceDE w:val="0"/>
              <w:autoSpaceDN w:val="0"/>
              <w:adjustRightInd w:val="0"/>
              <w:spacing w:line="360" w:lineRule="auto"/>
              <w:jc w:val="both"/>
              <w:rPr>
                <w:rFonts w:ascii="Arial" w:hAnsi="Arial" w:cs="Arial"/>
                <w:sz w:val="14"/>
                <w:szCs w:val="14"/>
              </w:rPr>
            </w:pPr>
          </w:p>
        </w:tc>
        <w:tc>
          <w:tcPr>
            <w:tcW w:w="428" w:type="pct"/>
          </w:tcPr>
          <w:p w14:paraId="511E19A4" w14:textId="77777777" w:rsidR="00A55598" w:rsidRPr="005001D6" w:rsidRDefault="00A55598" w:rsidP="00173FAF">
            <w:pPr>
              <w:widowControl w:val="0"/>
              <w:autoSpaceDE w:val="0"/>
              <w:autoSpaceDN w:val="0"/>
              <w:adjustRightInd w:val="0"/>
              <w:spacing w:line="360" w:lineRule="auto"/>
              <w:jc w:val="both"/>
              <w:rPr>
                <w:rFonts w:ascii="Arial" w:hAnsi="Arial" w:cs="Arial"/>
                <w:sz w:val="14"/>
                <w:szCs w:val="14"/>
              </w:rPr>
            </w:pPr>
          </w:p>
        </w:tc>
      </w:tr>
      <w:tr w:rsidR="005001D6" w:rsidRPr="005001D6" w14:paraId="2CC3C4FB" w14:textId="77777777" w:rsidTr="00395C51">
        <w:tc>
          <w:tcPr>
            <w:tcW w:w="1021" w:type="pct"/>
            <w:tcBorders>
              <w:top w:val="single" w:sz="4" w:space="0" w:color="auto"/>
            </w:tcBorders>
          </w:tcPr>
          <w:p w14:paraId="17D71A8A" w14:textId="2826A7A7" w:rsidR="00A451C2" w:rsidRPr="005001D6" w:rsidRDefault="00A451C2"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 xml:space="preserve">β-glucosidase  </w:t>
            </w:r>
          </w:p>
        </w:tc>
        <w:tc>
          <w:tcPr>
            <w:tcW w:w="550" w:type="pct"/>
            <w:shd w:val="clear" w:color="auto" w:fill="auto"/>
          </w:tcPr>
          <w:p w14:paraId="3221ED89" w14:textId="77777777" w:rsidR="00A451C2" w:rsidRPr="005001D6" w:rsidRDefault="00A451C2"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 xml:space="preserve">1518.0 ± 107.4 </w:t>
            </w:r>
          </w:p>
        </w:tc>
        <w:tc>
          <w:tcPr>
            <w:tcW w:w="550" w:type="pct"/>
            <w:shd w:val="clear" w:color="auto" w:fill="auto"/>
          </w:tcPr>
          <w:p w14:paraId="5AA26C98" w14:textId="77777777" w:rsidR="00A451C2" w:rsidRPr="005001D6" w:rsidRDefault="00A451C2"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1202.1 ± 112.6</w:t>
            </w:r>
          </w:p>
        </w:tc>
        <w:tc>
          <w:tcPr>
            <w:tcW w:w="396" w:type="pct"/>
          </w:tcPr>
          <w:p w14:paraId="242CFC88" w14:textId="77777777" w:rsidR="00A451C2" w:rsidRPr="005001D6" w:rsidRDefault="00A451C2"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NA</w:t>
            </w:r>
          </w:p>
        </w:tc>
        <w:tc>
          <w:tcPr>
            <w:tcW w:w="467" w:type="pct"/>
            <w:shd w:val="clear" w:color="auto" w:fill="auto"/>
          </w:tcPr>
          <w:p w14:paraId="6CE0A3CD" w14:textId="77777777" w:rsidR="00A451C2" w:rsidRPr="005001D6" w:rsidRDefault="00A451C2"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1657.9 ± 108.9</w:t>
            </w:r>
          </w:p>
        </w:tc>
        <w:tc>
          <w:tcPr>
            <w:tcW w:w="471" w:type="pct"/>
            <w:shd w:val="clear" w:color="auto" w:fill="auto"/>
          </w:tcPr>
          <w:p w14:paraId="00F8EABC" w14:textId="77777777" w:rsidR="00A451C2" w:rsidRPr="005001D6" w:rsidRDefault="00A451C2"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1128.8 ± 74.3</w:t>
            </w:r>
          </w:p>
        </w:tc>
        <w:tc>
          <w:tcPr>
            <w:tcW w:w="396" w:type="pct"/>
          </w:tcPr>
          <w:p w14:paraId="6851DA21" w14:textId="77777777" w:rsidR="00A451C2" w:rsidRPr="005001D6" w:rsidRDefault="00A451C2"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NA</w:t>
            </w:r>
          </w:p>
        </w:tc>
        <w:tc>
          <w:tcPr>
            <w:tcW w:w="328" w:type="pct"/>
            <w:shd w:val="clear" w:color="auto" w:fill="auto"/>
          </w:tcPr>
          <w:p w14:paraId="272A07CC" w14:textId="77777777" w:rsidR="00A451C2" w:rsidRPr="005001D6" w:rsidRDefault="00A451C2" w:rsidP="00173FAF">
            <w:pPr>
              <w:widowControl w:val="0"/>
              <w:autoSpaceDE w:val="0"/>
              <w:autoSpaceDN w:val="0"/>
              <w:adjustRightInd w:val="0"/>
              <w:spacing w:line="360" w:lineRule="auto"/>
              <w:jc w:val="both"/>
              <w:rPr>
                <w:rFonts w:ascii="Arial" w:hAnsi="Arial" w:cs="Arial"/>
                <w:b/>
                <w:bCs/>
                <w:sz w:val="14"/>
                <w:szCs w:val="14"/>
              </w:rPr>
            </w:pPr>
            <w:r w:rsidRPr="005001D6">
              <w:rPr>
                <w:rFonts w:ascii="Arial" w:hAnsi="Arial" w:cs="Arial"/>
                <w:b/>
                <w:bCs/>
                <w:sz w:val="14"/>
                <w:szCs w:val="14"/>
              </w:rPr>
              <w:t>&lt;0.01 (17.2)</w:t>
            </w:r>
          </w:p>
        </w:tc>
        <w:tc>
          <w:tcPr>
            <w:tcW w:w="393" w:type="pct"/>
          </w:tcPr>
          <w:p w14:paraId="1279D9F4" w14:textId="77777777" w:rsidR="00A451C2" w:rsidRPr="005001D6" w:rsidRDefault="00A451C2"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0.90 (0.04)</w:t>
            </w:r>
          </w:p>
        </w:tc>
        <w:tc>
          <w:tcPr>
            <w:tcW w:w="428" w:type="pct"/>
          </w:tcPr>
          <w:p w14:paraId="67AB2BFF" w14:textId="560280E1" w:rsidR="00A451C2" w:rsidRPr="005001D6" w:rsidRDefault="00A451C2"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0.83</w:t>
            </w:r>
            <w:r w:rsidR="00A55598" w:rsidRPr="005001D6">
              <w:rPr>
                <w:rFonts w:ascii="Arial" w:hAnsi="Arial" w:cs="Arial"/>
                <w:sz w:val="14"/>
                <w:szCs w:val="14"/>
              </w:rPr>
              <w:t xml:space="preserve"> (</w:t>
            </w:r>
            <w:r w:rsidRPr="005001D6">
              <w:rPr>
                <w:rFonts w:ascii="Arial" w:hAnsi="Arial" w:cs="Arial"/>
                <w:sz w:val="14"/>
                <w:szCs w:val="14"/>
              </w:rPr>
              <w:t>1.1)</w:t>
            </w:r>
          </w:p>
        </w:tc>
      </w:tr>
      <w:tr w:rsidR="005001D6" w:rsidRPr="005001D6" w14:paraId="5EE9C8F4" w14:textId="77777777" w:rsidTr="00395C51">
        <w:tc>
          <w:tcPr>
            <w:tcW w:w="1021" w:type="pct"/>
          </w:tcPr>
          <w:p w14:paraId="62FD1C48" w14:textId="317824F7" w:rsidR="00A451C2" w:rsidRPr="005001D6" w:rsidRDefault="00A451C2" w:rsidP="00173FAF">
            <w:pPr>
              <w:widowControl w:val="0"/>
              <w:autoSpaceDE w:val="0"/>
              <w:autoSpaceDN w:val="0"/>
              <w:adjustRightInd w:val="0"/>
              <w:spacing w:line="360" w:lineRule="auto"/>
              <w:jc w:val="both"/>
              <w:rPr>
                <w:rFonts w:ascii="Arial" w:hAnsi="Arial" w:cs="Arial"/>
                <w:sz w:val="14"/>
                <w:szCs w:val="14"/>
              </w:rPr>
            </w:pPr>
            <w:proofErr w:type="spellStart"/>
            <w:r w:rsidRPr="005001D6">
              <w:rPr>
                <w:rFonts w:ascii="Arial" w:hAnsi="Arial" w:cs="Arial"/>
                <w:sz w:val="14"/>
                <w:szCs w:val="14"/>
              </w:rPr>
              <w:t>Cellobiohydrolase</w:t>
            </w:r>
            <w:proofErr w:type="spellEnd"/>
            <w:r w:rsidRPr="005001D6">
              <w:rPr>
                <w:rFonts w:ascii="Arial" w:hAnsi="Arial" w:cs="Arial"/>
                <w:sz w:val="14"/>
                <w:szCs w:val="14"/>
              </w:rPr>
              <w:t xml:space="preserve">  </w:t>
            </w:r>
          </w:p>
        </w:tc>
        <w:tc>
          <w:tcPr>
            <w:tcW w:w="550" w:type="pct"/>
            <w:shd w:val="clear" w:color="auto" w:fill="auto"/>
          </w:tcPr>
          <w:p w14:paraId="2332E32E" w14:textId="77777777" w:rsidR="00A451C2" w:rsidRPr="005001D6" w:rsidRDefault="00A451C2"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245.9 ± 18.7</w:t>
            </w:r>
          </w:p>
        </w:tc>
        <w:tc>
          <w:tcPr>
            <w:tcW w:w="550" w:type="pct"/>
            <w:shd w:val="clear" w:color="auto" w:fill="auto"/>
          </w:tcPr>
          <w:p w14:paraId="72421A33" w14:textId="77777777" w:rsidR="00A451C2" w:rsidRPr="005001D6" w:rsidRDefault="00A451C2"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198.0 ± 21.8</w:t>
            </w:r>
          </w:p>
        </w:tc>
        <w:tc>
          <w:tcPr>
            <w:tcW w:w="396" w:type="pct"/>
          </w:tcPr>
          <w:p w14:paraId="6CF40319" w14:textId="77777777" w:rsidR="00A451C2" w:rsidRPr="005001D6" w:rsidRDefault="00A451C2"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NA</w:t>
            </w:r>
          </w:p>
        </w:tc>
        <w:tc>
          <w:tcPr>
            <w:tcW w:w="467" w:type="pct"/>
            <w:shd w:val="clear" w:color="auto" w:fill="auto"/>
          </w:tcPr>
          <w:p w14:paraId="6827B790" w14:textId="77777777" w:rsidR="00A451C2" w:rsidRPr="005001D6" w:rsidRDefault="00A451C2"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302.1 ± 33.1</w:t>
            </w:r>
          </w:p>
        </w:tc>
        <w:tc>
          <w:tcPr>
            <w:tcW w:w="471" w:type="pct"/>
            <w:shd w:val="clear" w:color="auto" w:fill="auto"/>
          </w:tcPr>
          <w:p w14:paraId="56B9F54A" w14:textId="77777777" w:rsidR="00A451C2" w:rsidRPr="005001D6" w:rsidRDefault="00A451C2"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165.3 ± 18.0</w:t>
            </w:r>
          </w:p>
        </w:tc>
        <w:tc>
          <w:tcPr>
            <w:tcW w:w="396" w:type="pct"/>
          </w:tcPr>
          <w:p w14:paraId="3703F9E4" w14:textId="77777777" w:rsidR="00A451C2" w:rsidRPr="005001D6" w:rsidRDefault="00A451C2"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NA</w:t>
            </w:r>
          </w:p>
        </w:tc>
        <w:tc>
          <w:tcPr>
            <w:tcW w:w="328" w:type="pct"/>
            <w:shd w:val="clear" w:color="auto" w:fill="auto"/>
          </w:tcPr>
          <w:p w14:paraId="2E9669C9" w14:textId="77777777" w:rsidR="00A451C2" w:rsidRPr="005001D6" w:rsidRDefault="00A451C2" w:rsidP="00173FAF">
            <w:pPr>
              <w:widowControl w:val="0"/>
              <w:autoSpaceDE w:val="0"/>
              <w:autoSpaceDN w:val="0"/>
              <w:adjustRightInd w:val="0"/>
              <w:spacing w:line="360" w:lineRule="auto"/>
              <w:jc w:val="both"/>
              <w:rPr>
                <w:rFonts w:ascii="Arial" w:hAnsi="Arial" w:cs="Arial"/>
                <w:b/>
                <w:bCs/>
                <w:sz w:val="14"/>
                <w:szCs w:val="14"/>
              </w:rPr>
            </w:pPr>
            <w:r w:rsidRPr="005001D6">
              <w:rPr>
                <w:rFonts w:ascii="Arial" w:hAnsi="Arial" w:cs="Arial"/>
                <w:b/>
                <w:bCs/>
                <w:sz w:val="14"/>
                <w:szCs w:val="14"/>
              </w:rPr>
              <w:t>&lt;0.01 (15.2)</w:t>
            </w:r>
          </w:p>
        </w:tc>
        <w:tc>
          <w:tcPr>
            <w:tcW w:w="393" w:type="pct"/>
          </w:tcPr>
          <w:p w14:paraId="5B650235" w14:textId="77777777" w:rsidR="00A451C2" w:rsidRPr="005001D6" w:rsidRDefault="00A451C2"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0.96 (&lt;0.01)</w:t>
            </w:r>
          </w:p>
        </w:tc>
        <w:tc>
          <w:tcPr>
            <w:tcW w:w="428" w:type="pct"/>
          </w:tcPr>
          <w:p w14:paraId="4D12A251" w14:textId="77777777" w:rsidR="00A451C2" w:rsidRPr="005001D6" w:rsidRDefault="00A451C2"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0.83 (3.5)</w:t>
            </w:r>
          </w:p>
        </w:tc>
      </w:tr>
      <w:tr w:rsidR="005001D6" w:rsidRPr="005001D6" w14:paraId="5CB6EF2C" w14:textId="77777777" w:rsidTr="00395C51">
        <w:tc>
          <w:tcPr>
            <w:tcW w:w="1021" w:type="pct"/>
          </w:tcPr>
          <w:p w14:paraId="288EC426" w14:textId="187BA69D" w:rsidR="00A451C2" w:rsidRPr="005001D6" w:rsidRDefault="00A451C2" w:rsidP="00173FAF">
            <w:pPr>
              <w:widowControl w:val="0"/>
              <w:autoSpaceDE w:val="0"/>
              <w:autoSpaceDN w:val="0"/>
              <w:adjustRightInd w:val="0"/>
              <w:spacing w:line="360" w:lineRule="auto"/>
              <w:jc w:val="both"/>
              <w:rPr>
                <w:rFonts w:ascii="Arial" w:hAnsi="Arial" w:cs="Arial"/>
                <w:sz w:val="14"/>
                <w:szCs w:val="14"/>
                <w:lang w:val="es-ES"/>
              </w:rPr>
            </w:pPr>
            <w:r w:rsidRPr="005001D6">
              <w:rPr>
                <w:rFonts w:ascii="Arial" w:hAnsi="Arial" w:cs="Arial"/>
                <w:sz w:val="14"/>
                <w:szCs w:val="14"/>
                <w:lang w:val="es-ES"/>
              </w:rPr>
              <w:t>N-</w:t>
            </w:r>
            <w:proofErr w:type="spellStart"/>
            <w:r w:rsidRPr="005001D6">
              <w:rPr>
                <w:rFonts w:ascii="Arial" w:hAnsi="Arial" w:cs="Arial"/>
                <w:sz w:val="14"/>
                <w:szCs w:val="14"/>
                <w:lang w:val="es-ES"/>
              </w:rPr>
              <w:t>acetylglucosaminidase</w:t>
            </w:r>
            <w:proofErr w:type="spellEnd"/>
            <w:r w:rsidRPr="005001D6">
              <w:rPr>
                <w:rFonts w:ascii="Arial" w:hAnsi="Arial" w:cs="Arial"/>
                <w:sz w:val="14"/>
                <w:szCs w:val="14"/>
                <w:lang w:val="es-ES"/>
              </w:rPr>
              <w:t xml:space="preserve"> </w:t>
            </w:r>
          </w:p>
        </w:tc>
        <w:tc>
          <w:tcPr>
            <w:tcW w:w="550" w:type="pct"/>
          </w:tcPr>
          <w:p w14:paraId="0807B934" w14:textId="77777777" w:rsidR="00A451C2" w:rsidRPr="005001D6" w:rsidRDefault="00A451C2"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268.4 ± 13.8</w:t>
            </w:r>
          </w:p>
        </w:tc>
        <w:tc>
          <w:tcPr>
            <w:tcW w:w="550" w:type="pct"/>
          </w:tcPr>
          <w:p w14:paraId="2B58B9BD" w14:textId="77777777" w:rsidR="00A451C2" w:rsidRPr="005001D6" w:rsidRDefault="00A451C2"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299.2 ± 28.9</w:t>
            </w:r>
          </w:p>
        </w:tc>
        <w:tc>
          <w:tcPr>
            <w:tcW w:w="396" w:type="pct"/>
          </w:tcPr>
          <w:p w14:paraId="05DA43D5" w14:textId="77777777" w:rsidR="00A451C2" w:rsidRPr="005001D6" w:rsidRDefault="00A451C2"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NA</w:t>
            </w:r>
          </w:p>
        </w:tc>
        <w:tc>
          <w:tcPr>
            <w:tcW w:w="467" w:type="pct"/>
          </w:tcPr>
          <w:p w14:paraId="2168F063" w14:textId="77777777" w:rsidR="00A451C2" w:rsidRPr="005001D6" w:rsidRDefault="00A451C2"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221.5 ± 18.7</w:t>
            </w:r>
          </w:p>
        </w:tc>
        <w:tc>
          <w:tcPr>
            <w:tcW w:w="471" w:type="pct"/>
          </w:tcPr>
          <w:p w14:paraId="51DACDAC" w14:textId="77777777" w:rsidR="00A451C2" w:rsidRPr="005001D6" w:rsidRDefault="00A451C2"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267.6 ± 36.5</w:t>
            </w:r>
          </w:p>
        </w:tc>
        <w:tc>
          <w:tcPr>
            <w:tcW w:w="396" w:type="pct"/>
          </w:tcPr>
          <w:p w14:paraId="521112CE" w14:textId="77777777" w:rsidR="00A451C2" w:rsidRPr="005001D6" w:rsidRDefault="00A451C2"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NA</w:t>
            </w:r>
          </w:p>
        </w:tc>
        <w:tc>
          <w:tcPr>
            <w:tcW w:w="328" w:type="pct"/>
          </w:tcPr>
          <w:p w14:paraId="740B4213" w14:textId="77777777" w:rsidR="00A451C2" w:rsidRPr="005001D6" w:rsidRDefault="00A451C2"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0.27 (2.7)</w:t>
            </w:r>
          </w:p>
        </w:tc>
        <w:tc>
          <w:tcPr>
            <w:tcW w:w="393" w:type="pct"/>
          </w:tcPr>
          <w:p w14:paraId="6EF2B98D" w14:textId="77777777" w:rsidR="00A451C2" w:rsidRPr="005001D6" w:rsidRDefault="00A451C2" w:rsidP="00173FAF">
            <w:pPr>
              <w:widowControl w:val="0"/>
              <w:autoSpaceDE w:val="0"/>
              <w:autoSpaceDN w:val="0"/>
              <w:adjustRightInd w:val="0"/>
              <w:spacing w:line="360" w:lineRule="auto"/>
              <w:jc w:val="both"/>
              <w:rPr>
                <w:rFonts w:ascii="Arial" w:hAnsi="Arial" w:cs="Arial"/>
                <w:b/>
                <w:bCs/>
                <w:sz w:val="14"/>
                <w:szCs w:val="14"/>
              </w:rPr>
            </w:pPr>
            <w:r w:rsidRPr="005001D6">
              <w:rPr>
                <w:rFonts w:ascii="Arial" w:hAnsi="Arial" w:cs="Arial"/>
                <w:b/>
                <w:bCs/>
                <w:sz w:val="14"/>
                <w:szCs w:val="14"/>
              </w:rPr>
              <w:t>0.048 (8.3)</w:t>
            </w:r>
          </w:p>
        </w:tc>
        <w:tc>
          <w:tcPr>
            <w:tcW w:w="428" w:type="pct"/>
          </w:tcPr>
          <w:p w14:paraId="70C550BA" w14:textId="77777777" w:rsidR="00A451C2" w:rsidRPr="005001D6" w:rsidRDefault="00A451C2"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0.83 (0.1)</w:t>
            </w:r>
          </w:p>
        </w:tc>
      </w:tr>
      <w:tr w:rsidR="005001D6" w:rsidRPr="005001D6" w14:paraId="2DD3A763" w14:textId="77777777" w:rsidTr="00395C51">
        <w:tc>
          <w:tcPr>
            <w:tcW w:w="1021" w:type="pct"/>
          </w:tcPr>
          <w:p w14:paraId="01058E16" w14:textId="7EED1A3C" w:rsidR="00A451C2" w:rsidRPr="005001D6" w:rsidRDefault="00A451C2"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 xml:space="preserve">Phosphatase </w:t>
            </w:r>
          </w:p>
        </w:tc>
        <w:tc>
          <w:tcPr>
            <w:tcW w:w="550" w:type="pct"/>
            <w:shd w:val="clear" w:color="auto" w:fill="auto"/>
          </w:tcPr>
          <w:p w14:paraId="4D2882E3" w14:textId="5CC1BC1D" w:rsidR="00A451C2" w:rsidRPr="005001D6" w:rsidRDefault="00A451C2"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10866 ± 422.2</w:t>
            </w:r>
          </w:p>
        </w:tc>
        <w:tc>
          <w:tcPr>
            <w:tcW w:w="550" w:type="pct"/>
            <w:shd w:val="clear" w:color="auto" w:fill="auto"/>
          </w:tcPr>
          <w:p w14:paraId="26320E57" w14:textId="2288C2AE" w:rsidR="00A451C2" w:rsidRPr="005001D6" w:rsidRDefault="00A451C2"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13312 ± 965.3</w:t>
            </w:r>
          </w:p>
        </w:tc>
        <w:tc>
          <w:tcPr>
            <w:tcW w:w="396" w:type="pct"/>
          </w:tcPr>
          <w:p w14:paraId="695CF6AC" w14:textId="77777777" w:rsidR="00A451C2" w:rsidRPr="005001D6" w:rsidRDefault="00A451C2"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NA</w:t>
            </w:r>
          </w:p>
        </w:tc>
        <w:tc>
          <w:tcPr>
            <w:tcW w:w="467" w:type="pct"/>
            <w:shd w:val="clear" w:color="auto" w:fill="auto"/>
          </w:tcPr>
          <w:p w14:paraId="2E7000DF" w14:textId="0F940B13" w:rsidR="00A451C2" w:rsidRPr="005001D6" w:rsidRDefault="00A451C2"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9711 ± 781.0</w:t>
            </w:r>
          </w:p>
        </w:tc>
        <w:tc>
          <w:tcPr>
            <w:tcW w:w="471" w:type="pct"/>
            <w:shd w:val="clear" w:color="auto" w:fill="auto"/>
          </w:tcPr>
          <w:p w14:paraId="19DE436E" w14:textId="77777777" w:rsidR="00A451C2" w:rsidRPr="005001D6" w:rsidRDefault="00A451C2"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11563 ± 571.0</w:t>
            </w:r>
          </w:p>
        </w:tc>
        <w:tc>
          <w:tcPr>
            <w:tcW w:w="396" w:type="pct"/>
          </w:tcPr>
          <w:p w14:paraId="7ECD9352" w14:textId="77777777" w:rsidR="00A451C2" w:rsidRPr="005001D6" w:rsidRDefault="00A451C2"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NA</w:t>
            </w:r>
          </w:p>
        </w:tc>
        <w:tc>
          <w:tcPr>
            <w:tcW w:w="328" w:type="pct"/>
            <w:shd w:val="clear" w:color="auto" w:fill="auto"/>
          </w:tcPr>
          <w:p w14:paraId="2F99B21E" w14:textId="77777777" w:rsidR="00A451C2" w:rsidRPr="005001D6" w:rsidRDefault="00A451C2" w:rsidP="00173FAF">
            <w:pPr>
              <w:widowControl w:val="0"/>
              <w:autoSpaceDE w:val="0"/>
              <w:autoSpaceDN w:val="0"/>
              <w:adjustRightInd w:val="0"/>
              <w:spacing w:line="360" w:lineRule="auto"/>
              <w:jc w:val="both"/>
              <w:rPr>
                <w:rFonts w:ascii="Arial" w:hAnsi="Arial" w:cs="Arial"/>
                <w:b/>
                <w:bCs/>
                <w:sz w:val="14"/>
                <w:szCs w:val="14"/>
              </w:rPr>
            </w:pPr>
            <w:r w:rsidRPr="005001D6">
              <w:rPr>
                <w:rFonts w:ascii="Arial" w:hAnsi="Arial" w:cs="Arial"/>
                <w:b/>
                <w:bCs/>
                <w:sz w:val="14"/>
                <w:szCs w:val="14"/>
              </w:rPr>
              <w:t>&lt;0.01 (9.0)</w:t>
            </w:r>
          </w:p>
        </w:tc>
        <w:tc>
          <w:tcPr>
            <w:tcW w:w="393" w:type="pct"/>
          </w:tcPr>
          <w:p w14:paraId="3652F028" w14:textId="77777777" w:rsidR="00A451C2" w:rsidRPr="005001D6" w:rsidRDefault="00A451C2"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0.12 (4.0)</w:t>
            </w:r>
          </w:p>
        </w:tc>
        <w:tc>
          <w:tcPr>
            <w:tcW w:w="428" w:type="pct"/>
          </w:tcPr>
          <w:p w14:paraId="26D3FE68" w14:textId="77777777" w:rsidR="00A451C2" w:rsidRPr="005001D6" w:rsidRDefault="00A451C2"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0.83 (0.2)</w:t>
            </w:r>
          </w:p>
        </w:tc>
      </w:tr>
      <w:tr w:rsidR="005001D6" w:rsidRPr="005001D6" w14:paraId="1038C0DB" w14:textId="77777777" w:rsidTr="00395C51">
        <w:tc>
          <w:tcPr>
            <w:tcW w:w="1571" w:type="pct"/>
            <w:gridSpan w:val="2"/>
            <w:tcBorders>
              <w:bottom w:val="single" w:sz="4" w:space="0" w:color="auto"/>
            </w:tcBorders>
          </w:tcPr>
          <w:p w14:paraId="643AD770" w14:textId="77777777" w:rsidR="00A55598" w:rsidRPr="005001D6" w:rsidRDefault="00A55598" w:rsidP="00173FAF">
            <w:pPr>
              <w:widowControl w:val="0"/>
              <w:autoSpaceDE w:val="0"/>
              <w:autoSpaceDN w:val="0"/>
              <w:adjustRightInd w:val="0"/>
              <w:spacing w:line="360" w:lineRule="auto"/>
              <w:jc w:val="both"/>
              <w:rPr>
                <w:rFonts w:ascii="Arial" w:hAnsi="Arial" w:cs="Arial"/>
                <w:sz w:val="14"/>
                <w:szCs w:val="14"/>
              </w:rPr>
            </w:pPr>
          </w:p>
          <w:p w14:paraId="549D792E" w14:textId="4067BE6D" w:rsidR="00A55598" w:rsidRPr="005001D6" w:rsidRDefault="00A55598"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MB-SPECIFIC ENZYME ACTIVITY</w:t>
            </w:r>
          </w:p>
        </w:tc>
        <w:tc>
          <w:tcPr>
            <w:tcW w:w="550" w:type="pct"/>
          </w:tcPr>
          <w:p w14:paraId="383EB666" w14:textId="77777777" w:rsidR="00A55598" w:rsidRPr="005001D6" w:rsidRDefault="00A55598" w:rsidP="00173FAF">
            <w:pPr>
              <w:widowControl w:val="0"/>
              <w:autoSpaceDE w:val="0"/>
              <w:autoSpaceDN w:val="0"/>
              <w:adjustRightInd w:val="0"/>
              <w:spacing w:line="360" w:lineRule="auto"/>
              <w:jc w:val="both"/>
              <w:rPr>
                <w:rFonts w:ascii="Arial" w:hAnsi="Arial" w:cs="Arial"/>
                <w:sz w:val="14"/>
                <w:szCs w:val="14"/>
              </w:rPr>
            </w:pPr>
          </w:p>
        </w:tc>
        <w:tc>
          <w:tcPr>
            <w:tcW w:w="396" w:type="pct"/>
          </w:tcPr>
          <w:p w14:paraId="58E834FB" w14:textId="77777777" w:rsidR="00A55598" w:rsidRPr="005001D6" w:rsidRDefault="00A55598" w:rsidP="00173FAF">
            <w:pPr>
              <w:widowControl w:val="0"/>
              <w:autoSpaceDE w:val="0"/>
              <w:autoSpaceDN w:val="0"/>
              <w:adjustRightInd w:val="0"/>
              <w:spacing w:line="360" w:lineRule="auto"/>
              <w:jc w:val="both"/>
              <w:rPr>
                <w:rFonts w:ascii="Arial" w:hAnsi="Arial" w:cs="Arial"/>
                <w:sz w:val="14"/>
                <w:szCs w:val="14"/>
              </w:rPr>
            </w:pPr>
          </w:p>
        </w:tc>
        <w:tc>
          <w:tcPr>
            <w:tcW w:w="467" w:type="pct"/>
          </w:tcPr>
          <w:p w14:paraId="5F45576D" w14:textId="77777777" w:rsidR="00A55598" w:rsidRPr="005001D6" w:rsidRDefault="00A55598" w:rsidP="00173FAF">
            <w:pPr>
              <w:widowControl w:val="0"/>
              <w:autoSpaceDE w:val="0"/>
              <w:autoSpaceDN w:val="0"/>
              <w:adjustRightInd w:val="0"/>
              <w:spacing w:line="360" w:lineRule="auto"/>
              <w:jc w:val="both"/>
              <w:rPr>
                <w:rFonts w:ascii="Arial" w:hAnsi="Arial" w:cs="Arial"/>
                <w:sz w:val="14"/>
                <w:szCs w:val="14"/>
              </w:rPr>
            </w:pPr>
          </w:p>
        </w:tc>
        <w:tc>
          <w:tcPr>
            <w:tcW w:w="471" w:type="pct"/>
          </w:tcPr>
          <w:p w14:paraId="0237CD10" w14:textId="77777777" w:rsidR="00A55598" w:rsidRPr="005001D6" w:rsidRDefault="00A55598" w:rsidP="00173FAF">
            <w:pPr>
              <w:widowControl w:val="0"/>
              <w:autoSpaceDE w:val="0"/>
              <w:autoSpaceDN w:val="0"/>
              <w:adjustRightInd w:val="0"/>
              <w:spacing w:line="360" w:lineRule="auto"/>
              <w:jc w:val="both"/>
              <w:rPr>
                <w:rFonts w:ascii="Arial" w:hAnsi="Arial" w:cs="Arial"/>
                <w:sz w:val="14"/>
                <w:szCs w:val="14"/>
              </w:rPr>
            </w:pPr>
          </w:p>
        </w:tc>
        <w:tc>
          <w:tcPr>
            <w:tcW w:w="396" w:type="pct"/>
          </w:tcPr>
          <w:p w14:paraId="31C297D6" w14:textId="77777777" w:rsidR="00A55598" w:rsidRPr="005001D6" w:rsidRDefault="00A55598" w:rsidP="00173FAF">
            <w:pPr>
              <w:widowControl w:val="0"/>
              <w:autoSpaceDE w:val="0"/>
              <w:autoSpaceDN w:val="0"/>
              <w:adjustRightInd w:val="0"/>
              <w:spacing w:line="360" w:lineRule="auto"/>
              <w:jc w:val="both"/>
              <w:rPr>
                <w:rFonts w:ascii="Arial" w:hAnsi="Arial" w:cs="Arial"/>
                <w:sz w:val="14"/>
                <w:szCs w:val="14"/>
              </w:rPr>
            </w:pPr>
          </w:p>
        </w:tc>
        <w:tc>
          <w:tcPr>
            <w:tcW w:w="328" w:type="pct"/>
          </w:tcPr>
          <w:p w14:paraId="1147A8FD" w14:textId="77777777" w:rsidR="00A55598" w:rsidRPr="005001D6" w:rsidRDefault="00A55598" w:rsidP="00173FAF">
            <w:pPr>
              <w:widowControl w:val="0"/>
              <w:autoSpaceDE w:val="0"/>
              <w:autoSpaceDN w:val="0"/>
              <w:adjustRightInd w:val="0"/>
              <w:spacing w:line="360" w:lineRule="auto"/>
              <w:jc w:val="both"/>
              <w:rPr>
                <w:rFonts w:ascii="Arial" w:hAnsi="Arial" w:cs="Arial"/>
                <w:sz w:val="14"/>
                <w:szCs w:val="14"/>
              </w:rPr>
            </w:pPr>
          </w:p>
        </w:tc>
        <w:tc>
          <w:tcPr>
            <w:tcW w:w="393" w:type="pct"/>
          </w:tcPr>
          <w:p w14:paraId="052ABDE4" w14:textId="77777777" w:rsidR="00A55598" w:rsidRPr="005001D6" w:rsidRDefault="00A55598" w:rsidP="00173FAF">
            <w:pPr>
              <w:widowControl w:val="0"/>
              <w:autoSpaceDE w:val="0"/>
              <w:autoSpaceDN w:val="0"/>
              <w:adjustRightInd w:val="0"/>
              <w:spacing w:line="360" w:lineRule="auto"/>
              <w:jc w:val="both"/>
              <w:rPr>
                <w:rFonts w:ascii="Arial" w:hAnsi="Arial" w:cs="Arial"/>
                <w:sz w:val="14"/>
                <w:szCs w:val="14"/>
              </w:rPr>
            </w:pPr>
          </w:p>
        </w:tc>
        <w:tc>
          <w:tcPr>
            <w:tcW w:w="428" w:type="pct"/>
          </w:tcPr>
          <w:p w14:paraId="53C38E59" w14:textId="77777777" w:rsidR="00A55598" w:rsidRPr="005001D6" w:rsidRDefault="00A55598" w:rsidP="00173FAF">
            <w:pPr>
              <w:widowControl w:val="0"/>
              <w:autoSpaceDE w:val="0"/>
              <w:autoSpaceDN w:val="0"/>
              <w:adjustRightInd w:val="0"/>
              <w:spacing w:line="360" w:lineRule="auto"/>
              <w:jc w:val="both"/>
              <w:rPr>
                <w:rFonts w:ascii="Arial" w:hAnsi="Arial" w:cs="Arial"/>
                <w:sz w:val="14"/>
                <w:szCs w:val="14"/>
              </w:rPr>
            </w:pPr>
          </w:p>
        </w:tc>
      </w:tr>
      <w:tr w:rsidR="005001D6" w:rsidRPr="005001D6" w14:paraId="2BCC11AF" w14:textId="77777777" w:rsidTr="00395C51">
        <w:tc>
          <w:tcPr>
            <w:tcW w:w="1021" w:type="pct"/>
            <w:tcBorders>
              <w:top w:val="single" w:sz="4" w:space="0" w:color="auto"/>
            </w:tcBorders>
          </w:tcPr>
          <w:p w14:paraId="1E034330" w14:textId="13561554" w:rsidR="00A451C2" w:rsidRPr="005001D6" w:rsidRDefault="00A451C2" w:rsidP="00173FAF">
            <w:pPr>
              <w:widowControl w:val="0"/>
              <w:autoSpaceDE w:val="0"/>
              <w:autoSpaceDN w:val="0"/>
              <w:adjustRightInd w:val="0"/>
              <w:spacing w:line="360" w:lineRule="auto"/>
              <w:jc w:val="both"/>
              <w:rPr>
                <w:rFonts w:ascii="Arial" w:hAnsi="Arial" w:cs="Arial"/>
                <w:sz w:val="14"/>
                <w:szCs w:val="14"/>
                <w:lang w:val="es-ES"/>
              </w:rPr>
            </w:pPr>
            <w:r w:rsidRPr="005001D6">
              <w:rPr>
                <w:rFonts w:ascii="Arial" w:hAnsi="Arial" w:cs="Arial"/>
                <w:sz w:val="14"/>
                <w:szCs w:val="14"/>
              </w:rPr>
              <w:t>β</w:t>
            </w:r>
            <w:r w:rsidRPr="005001D6">
              <w:rPr>
                <w:rFonts w:ascii="Arial" w:hAnsi="Arial" w:cs="Arial"/>
                <w:sz w:val="14"/>
                <w:szCs w:val="14"/>
                <w:lang w:val="es-ES"/>
              </w:rPr>
              <w:t>-</w:t>
            </w:r>
            <w:proofErr w:type="spellStart"/>
            <w:r w:rsidRPr="005001D6">
              <w:rPr>
                <w:rFonts w:ascii="Arial" w:hAnsi="Arial" w:cs="Arial"/>
                <w:sz w:val="14"/>
                <w:szCs w:val="14"/>
                <w:lang w:val="es-ES"/>
              </w:rPr>
              <w:t>glucosidase</w:t>
            </w:r>
            <w:proofErr w:type="spellEnd"/>
            <w:r w:rsidRPr="005001D6">
              <w:rPr>
                <w:rFonts w:ascii="Arial" w:hAnsi="Arial" w:cs="Arial"/>
                <w:sz w:val="14"/>
                <w:szCs w:val="14"/>
                <w:lang w:val="es-ES"/>
              </w:rPr>
              <w:t xml:space="preserve"> </w:t>
            </w:r>
          </w:p>
        </w:tc>
        <w:tc>
          <w:tcPr>
            <w:tcW w:w="550" w:type="pct"/>
          </w:tcPr>
          <w:p w14:paraId="7E353C36" w14:textId="77777777" w:rsidR="00A451C2" w:rsidRPr="005001D6" w:rsidRDefault="00A451C2"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0.7 ± 0.1</w:t>
            </w:r>
          </w:p>
        </w:tc>
        <w:tc>
          <w:tcPr>
            <w:tcW w:w="550" w:type="pct"/>
          </w:tcPr>
          <w:p w14:paraId="5B53D129" w14:textId="77777777" w:rsidR="00A451C2" w:rsidRPr="005001D6" w:rsidRDefault="00A451C2"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0.5 ± 0.04</w:t>
            </w:r>
          </w:p>
        </w:tc>
        <w:tc>
          <w:tcPr>
            <w:tcW w:w="396" w:type="pct"/>
          </w:tcPr>
          <w:p w14:paraId="398C0150" w14:textId="77777777" w:rsidR="00A451C2" w:rsidRPr="005001D6" w:rsidRDefault="00A451C2"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NA</w:t>
            </w:r>
          </w:p>
        </w:tc>
        <w:tc>
          <w:tcPr>
            <w:tcW w:w="467" w:type="pct"/>
          </w:tcPr>
          <w:p w14:paraId="4B1B37B9" w14:textId="77777777" w:rsidR="00A451C2" w:rsidRPr="005001D6" w:rsidRDefault="00A451C2"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0.9 ± 0.1</w:t>
            </w:r>
          </w:p>
        </w:tc>
        <w:tc>
          <w:tcPr>
            <w:tcW w:w="471" w:type="pct"/>
          </w:tcPr>
          <w:p w14:paraId="6E358FFE" w14:textId="77777777" w:rsidR="00A451C2" w:rsidRPr="005001D6" w:rsidRDefault="00A451C2"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0.6 ± 0.1</w:t>
            </w:r>
          </w:p>
        </w:tc>
        <w:tc>
          <w:tcPr>
            <w:tcW w:w="396" w:type="pct"/>
          </w:tcPr>
          <w:p w14:paraId="17E1F0AC" w14:textId="77777777" w:rsidR="00A451C2" w:rsidRPr="005001D6" w:rsidRDefault="00A451C2"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NA</w:t>
            </w:r>
          </w:p>
        </w:tc>
        <w:tc>
          <w:tcPr>
            <w:tcW w:w="328" w:type="pct"/>
          </w:tcPr>
          <w:p w14:paraId="51DAB174" w14:textId="77777777" w:rsidR="00A451C2" w:rsidRPr="005001D6" w:rsidRDefault="00A451C2" w:rsidP="00173FAF">
            <w:pPr>
              <w:widowControl w:val="0"/>
              <w:autoSpaceDE w:val="0"/>
              <w:autoSpaceDN w:val="0"/>
              <w:adjustRightInd w:val="0"/>
              <w:spacing w:line="360" w:lineRule="auto"/>
              <w:jc w:val="both"/>
              <w:rPr>
                <w:rFonts w:ascii="Arial" w:hAnsi="Arial" w:cs="Arial"/>
                <w:b/>
                <w:bCs/>
                <w:sz w:val="14"/>
                <w:szCs w:val="14"/>
              </w:rPr>
            </w:pPr>
            <w:r w:rsidRPr="005001D6">
              <w:rPr>
                <w:rFonts w:ascii="Arial" w:hAnsi="Arial" w:cs="Arial"/>
                <w:b/>
                <w:bCs/>
                <w:sz w:val="14"/>
                <w:szCs w:val="14"/>
              </w:rPr>
              <w:t>&lt;0.01 (12.0)</w:t>
            </w:r>
          </w:p>
        </w:tc>
        <w:tc>
          <w:tcPr>
            <w:tcW w:w="393" w:type="pct"/>
          </w:tcPr>
          <w:p w14:paraId="4DD6871B" w14:textId="77777777" w:rsidR="00A451C2" w:rsidRPr="005001D6" w:rsidRDefault="00A451C2"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0.09 (5.2)</w:t>
            </w:r>
          </w:p>
        </w:tc>
        <w:tc>
          <w:tcPr>
            <w:tcW w:w="428" w:type="pct"/>
          </w:tcPr>
          <w:p w14:paraId="3A09FA17" w14:textId="77777777" w:rsidR="00A451C2" w:rsidRPr="005001D6" w:rsidRDefault="00A451C2"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0.96 (&lt;0.01)</w:t>
            </w:r>
          </w:p>
        </w:tc>
      </w:tr>
      <w:tr w:rsidR="005001D6" w:rsidRPr="005001D6" w14:paraId="6A2C045F" w14:textId="77777777" w:rsidTr="00395C51">
        <w:tc>
          <w:tcPr>
            <w:tcW w:w="1021" w:type="pct"/>
          </w:tcPr>
          <w:p w14:paraId="7CC21863" w14:textId="17F63987" w:rsidR="00A451C2" w:rsidRPr="005001D6" w:rsidRDefault="00A451C2" w:rsidP="00173FAF">
            <w:pPr>
              <w:widowControl w:val="0"/>
              <w:autoSpaceDE w:val="0"/>
              <w:autoSpaceDN w:val="0"/>
              <w:adjustRightInd w:val="0"/>
              <w:spacing w:line="360" w:lineRule="auto"/>
              <w:jc w:val="both"/>
              <w:rPr>
                <w:rFonts w:ascii="Arial" w:hAnsi="Arial" w:cs="Arial"/>
                <w:sz w:val="14"/>
                <w:szCs w:val="14"/>
                <w:lang w:val="es-ES"/>
              </w:rPr>
            </w:pPr>
            <w:proofErr w:type="spellStart"/>
            <w:r w:rsidRPr="005001D6">
              <w:rPr>
                <w:rFonts w:ascii="Arial" w:hAnsi="Arial" w:cs="Arial"/>
                <w:sz w:val="14"/>
                <w:szCs w:val="14"/>
                <w:lang w:val="es-ES"/>
              </w:rPr>
              <w:t>Cellobiohydrolase</w:t>
            </w:r>
            <w:proofErr w:type="spellEnd"/>
            <w:r w:rsidRPr="005001D6">
              <w:rPr>
                <w:rFonts w:ascii="Arial" w:hAnsi="Arial" w:cs="Arial"/>
                <w:sz w:val="14"/>
                <w:szCs w:val="14"/>
                <w:lang w:val="es-ES"/>
              </w:rPr>
              <w:t xml:space="preserve"> </w:t>
            </w:r>
          </w:p>
        </w:tc>
        <w:tc>
          <w:tcPr>
            <w:tcW w:w="550" w:type="pct"/>
          </w:tcPr>
          <w:p w14:paraId="3D2E90B7" w14:textId="77777777" w:rsidR="00A451C2" w:rsidRPr="005001D6" w:rsidRDefault="00A451C2"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0.11 ± 0.1</w:t>
            </w:r>
          </w:p>
        </w:tc>
        <w:tc>
          <w:tcPr>
            <w:tcW w:w="550" w:type="pct"/>
          </w:tcPr>
          <w:p w14:paraId="3E7294F9" w14:textId="77777777" w:rsidR="00A451C2" w:rsidRPr="005001D6" w:rsidRDefault="00A451C2"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0.08 ± 0.01</w:t>
            </w:r>
          </w:p>
        </w:tc>
        <w:tc>
          <w:tcPr>
            <w:tcW w:w="396" w:type="pct"/>
          </w:tcPr>
          <w:p w14:paraId="4CC9DBCA" w14:textId="77777777" w:rsidR="00A451C2" w:rsidRPr="005001D6" w:rsidRDefault="00A451C2"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NA</w:t>
            </w:r>
          </w:p>
        </w:tc>
        <w:tc>
          <w:tcPr>
            <w:tcW w:w="467" w:type="pct"/>
            <w:shd w:val="clear" w:color="auto" w:fill="auto"/>
          </w:tcPr>
          <w:p w14:paraId="7701AB39" w14:textId="77777777" w:rsidR="00A451C2" w:rsidRPr="005001D6" w:rsidRDefault="00A451C2"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0.16 ± 0.02</w:t>
            </w:r>
          </w:p>
        </w:tc>
        <w:tc>
          <w:tcPr>
            <w:tcW w:w="471" w:type="pct"/>
          </w:tcPr>
          <w:p w14:paraId="1612978E" w14:textId="77777777" w:rsidR="00A451C2" w:rsidRPr="005001D6" w:rsidRDefault="00A451C2"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0.09 ± 0.01</w:t>
            </w:r>
          </w:p>
        </w:tc>
        <w:tc>
          <w:tcPr>
            <w:tcW w:w="396" w:type="pct"/>
          </w:tcPr>
          <w:p w14:paraId="624CE126" w14:textId="77777777" w:rsidR="00A451C2" w:rsidRPr="005001D6" w:rsidRDefault="00A451C2"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NA</w:t>
            </w:r>
          </w:p>
        </w:tc>
        <w:tc>
          <w:tcPr>
            <w:tcW w:w="328" w:type="pct"/>
          </w:tcPr>
          <w:p w14:paraId="3A666258" w14:textId="77777777" w:rsidR="00A451C2" w:rsidRPr="005001D6" w:rsidRDefault="00A451C2" w:rsidP="00173FAF">
            <w:pPr>
              <w:widowControl w:val="0"/>
              <w:autoSpaceDE w:val="0"/>
              <w:autoSpaceDN w:val="0"/>
              <w:adjustRightInd w:val="0"/>
              <w:spacing w:line="360" w:lineRule="auto"/>
              <w:jc w:val="both"/>
              <w:rPr>
                <w:rFonts w:ascii="Arial" w:hAnsi="Arial" w:cs="Arial"/>
                <w:b/>
                <w:bCs/>
                <w:sz w:val="14"/>
                <w:szCs w:val="14"/>
              </w:rPr>
            </w:pPr>
            <w:r w:rsidRPr="005001D6">
              <w:rPr>
                <w:rFonts w:ascii="Arial" w:hAnsi="Arial" w:cs="Arial"/>
                <w:b/>
                <w:bCs/>
                <w:sz w:val="14"/>
                <w:szCs w:val="14"/>
              </w:rPr>
              <w:t>&lt;0.01 (14.5)</w:t>
            </w:r>
          </w:p>
        </w:tc>
        <w:tc>
          <w:tcPr>
            <w:tcW w:w="393" w:type="pct"/>
          </w:tcPr>
          <w:p w14:paraId="04D7A742" w14:textId="77777777" w:rsidR="00A451C2" w:rsidRPr="005001D6" w:rsidRDefault="00A451C2"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0.15 (3.4)</w:t>
            </w:r>
          </w:p>
        </w:tc>
        <w:tc>
          <w:tcPr>
            <w:tcW w:w="428" w:type="pct"/>
          </w:tcPr>
          <w:p w14:paraId="603847EC" w14:textId="77777777" w:rsidR="00A451C2" w:rsidRPr="005001D6" w:rsidRDefault="00A451C2"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0.83 (1.5)</w:t>
            </w:r>
          </w:p>
        </w:tc>
      </w:tr>
      <w:tr w:rsidR="005001D6" w:rsidRPr="005001D6" w14:paraId="558C6FA9" w14:textId="77777777" w:rsidTr="00395C51">
        <w:tc>
          <w:tcPr>
            <w:tcW w:w="1021" w:type="pct"/>
            <w:shd w:val="clear" w:color="auto" w:fill="auto"/>
          </w:tcPr>
          <w:p w14:paraId="519006AB" w14:textId="0BE3C71B" w:rsidR="00A451C2" w:rsidRPr="005001D6" w:rsidRDefault="00A451C2" w:rsidP="00173FAF">
            <w:pPr>
              <w:widowControl w:val="0"/>
              <w:autoSpaceDE w:val="0"/>
              <w:autoSpaceDN w:val="0"/>
              <w:adjustRightInd w:val="0"/>
              <w:spacing w:line="360" w:lineRule="auto"/>
              <w:jc w:val="both"/>
              <w:rPr>
                <w:rFonts w:ascii="Arial" w:hAnsi="Arial" w:cs="Arial"/>
                <w:sz w:val="14"/>
                <w:szCs w:val="14"/>
                <w:lang w:val="es-ES"/>
              </w:rPr>
            </w:pPr>
            <w:proofErr w:type="spellStart"/>
            <w:r w:rsidRPr="005001D6">
              <w:rPr>
                <w:rFonts w:ascii="Arial" w:hAnsi="Arial" w:cs="Arial"/>
                <w:sz w:val="14"/>
                <w:szCs w:val="14"/>
                <w:lang w:val="es-ES"/>
              </w:rPr>
              <w:t>Peroxidase</w:t>
            </w:r>
            <w:proofErr w:type="spellEnd"/>
            <w:r w:rsidRPr="005001D6">
              <w:rPr>
                <w:rFonts w:ascii="Arial" w:hAnsi="Arial" w:cs="Arial"/>
                <w:sz w:val="14"/>
                <w:szCs w:val="14"/>
                <w:lang w:val="es-ES"/>
              </w:rPr>
              <w:t xml:space="preserve"> </w:t>
            </w:r>
          </w:p>
        </w:tc>
        <w:tc>
          <w:tcPr>
            <w:tcW w:w="550" w:type="pct"/>
          </w:tcPr>
          <w:p w14:paraId="1D5CA557" w14:textId="25DC2CA6" w:rsidR="00A451C2" w:rsidRPr="005001D6" w:rsidRDefault="00A451C2" w:rsidP="00173FAF">
            <w:pPr>
              <w:widowControl w:val="0"/>
              <w:autoSpaceDE w:val="0"/>
              <w:autoSpaceDN w:val="0"/>
              <w:adjustRightInd w:val="0"/>
              <w:spacing w:line="360" w:lineRule="auto"/>
              <w:jc w:val="both"/>
              <w:rPr>
                <w:rFonts w:ascii="Arial" w:hAnsi="Arial" w:cs="Arial"/>
                <w:sz w:val="14"/>
                <w:szCs w:val="14"/>
                <w:lang w:val="es-ES"/>
              </w:rPr>
            </w:pPr>
            <w:r w:rsidRPr="005001D6">
              <w:rPr>
                <w:rFonts w:ascii="Arial" w:hAnsi="Arial" w:cs="Arial"/>
                <w:sz w:val="14"/>
                <w:szCs w:val="14"/>
                <w:lang w:val="es-ES"/>
              </w:rPr>
              <w:t>3</w:t>
            </w:r>
            <w:r w:rsidR="00744DC6" w:rsidRPr="005001D6">
              <w:rPr>
                <w:rFonts w:ascii="Arial" w:hAnsi="Arial" w:cs="Arial"/>
                <w:sz w:val="14"/>
                <w:szCs w:val="14"/>
                <w:lang w:val="es-ES"/>
              </w:rPr>
              <w:t>.</w:t>
            </w:r>
            <w:r w:rsidRPr="005001D6">
              <w:rPr>
                <w:rFonts w:ascii="Arial" w:hAnsi="Arial" w:cs="Arial"/>
                <w:sz w:val="14"/>
                <w:szCs w:val="14"/>
                <w:lang w:val="es-ES"/>
              </w:rPr>
              <w:t xml:space="preserve">4 </w:t>
            </w:r>
            <w:r w:rsidRPr="005001D6">
              <w:rPr>
                <w:rFonts w:ascii="Arial" w:hAnsi="Arial" w:cs="Arial"/>
                <w:sz w:val="14"/>
                <w:szCs w:val="14"/>
              </w:rPr>
              <w:t>± 0</w:t>
            </w:r>
            <w:r w:rsidR="00744DC6" w:rsidRPr="005001D6">
              <w:rPr>
                <w:rFonts w:ascii="Arial" w:hAnsi="Arial" w:cs="Arial"/>
                <w:sz w:val="14"/>
                <w:szCs w:val="14"/>
              </w:rPr>
              <w:t>.</w:t>
            </w:r>
            <w:r w:rsidRPr="005001D6">
              <w:rPr>
                <w:rFonts w:ascii="Arial" w:hAnsi="Arial" w:cs="Arial"/>
                <w:sz w:val="14"/>
                <w:szCs w:val="14"/>
              </w:rPr>
              <w:t>3</w:t>
            </w:r>
          </w:p>
        </w:tc>
        <w:tc>
          <w:tcPr>
            <w:tcW w:w="550" w:type="pct"/>
          </w:tcPr>
          <w:p w14:paraId="063FBE92" w14:textId="49BC98B0" w:rsidR="00A451C2" w:rsidRPr="005001D6" w:rsidRDefault="00A451C2" w:rsidP="00173FAF">
            <w:pPr>
              <w:widowControl w:val="0"/>
              <w:autoSpaceDE w:val="0"/>
              <w:autoSpaceDN w:val="0"/>
              <w:adjustRightInd w:val="0"/>
              <w:spacing w:line="360" w:lineRule="auto"/>
              <w:jc w:val="both"/>
              <w:rPr>
                <w:rFonts w:ascii="Arial" w:hAnsi="Arial" w:cs="Arial"/>
                <w:sz w:val="14"/>
                <w:szCs w:val="14"/>
                <w:lang w:val="es-ES"/>
              </w:rPr>
            </w:pPr>
            <w:r w:rsidRPr="005001D6">
              <w:rPr>
                <w:rFonts w:ascii="Arial" w:hAnsi="Arial" w:cs="Arial"/>
                <w:sz w:val="14"/>
                <w:szCs w:val="14"/>
                <w:lang w:val="es-ES"/>
              </w:rPr>
              <w:t>2</w:t>
            </w:r>
            <w:r w:rsidR="00744DC6" w:rsidRPr="005001D6">
              <w:rPr>
                <w:rFonts w:ascii="Arial" w:hAnsi="Arial" w:cs="Arial"/>
                <w:sz w:val="14"/>
                <w:szCs w:val="14"/>
                <w:lang w:val="es-ES"/>
              </w:rPr>
              <w:t>.</w:t>
            </w:r>
            <w:r w:rsidRPr="005001D6">
              <w:rPr>
                <w:rFonts w:ascii="Arial" w:hAnsi="Arial" w:cs="Arial"/>
                <w:sz w:val="14"/>
                <w:szCs w:val="14"/>
                <w:lang w:val="es-ES"/>
              </w:rPr>
              <w:t xml:space="preserve">8 </w:t>
            </w:r>
            <w:r w:rsidRPr="005001D6">
              <w:rPr>
                <w:rFonts w:ascii="Arial" w:hAnsi="Arial" w:cs="Arial"/>
                <w:sz w:val="14"/>
                <w:szCs w:val="14"/>
              </w:rPr>
              <w:t>± 0</w:t>
            </w:r>
            <w:r w:rsidR="00744DC6" w:rsidRPr="005001D6">
              <w:rPr>
                <w:rFonts w:ascii="Arial" w:hAnsi="Arial" w:cs="Arial"/>
                <w:sz w:val="14"/>
                <w:szCs w:val="14"/>
              </w:rPr>
              <w:t>.</w:t>
            </w:r>
            <w:r w:rsidRPr="005001D6">
              <w:rPr>
                <w:rFonts w:ascii="Arial" w:hAnsi="Arial" w:cs="Arial"/>
                <w:sz w:val="14"/>
                <w:szCs w:val="14"/>
              </w:rPr>
              <w:t>2</w:t>
            </w:r>
          </w:p>
        </w:tc>
        <w:tc>
          <w:tcPr>
            <w:tcW w:w="396" w:type="pct"/>
          </w:tcPr>
          <w:p w14:paraId="567E90D9" w14:textId="77777777" w:rsidR="00A451C2" w:rsidRPr="005001D6" w:rsidRDefault="00A451C2" w:rsidP="00173FAF">
            <w:pPr>
              <w:widowControl w:val="0"/>
              <w:autoSpaceDE w:val="0"/>
              <w:autoSpaceDN w:val="0"/>
              <w:adjustRightInd w:val="0"/>
              <w:spacing w:line="360" w:lineRule="auto"/>
              <w:jc w:val="both"/>
              <w:rPr>
                <w:rFonts w:ascii="Arial" w:hAnsi="Arial" w:cs="Arial"/>
                <w:sz w:val="14"/>
                <w:szCs w:val="14"/>
                <w:lang w:val="es-ES"/>
              </w:rPr>
            </w:pPr>
            <w:r w:rsidRPr="005001D6">
              <w:rPr>
                <w:rFonts w:ascii="Arial" w:hAnsi="Arial" w:cs="Arial"/>
                <w:sz w:val="14"/>
                <w:szCs w:val="14"/>
              </w:rPr>
              <w:t>NA</w:t>
            </w:r>
          </w:p>
        </w:tc>
        <w:tc>
          <w:tcPr>
            <w:tcW w:w="467" w:type="pct"/>
            <w:shd w:val="clear" w:color="auto" w:fill="auto"/>
          </w:tcPr>
          <w:p w14:paraId="5087BC4F" w14:textId="3B7A15CC" w:rsidR="00A451C2" w:rsidRPr="005001D6" w:rsidRDefault="00A451C2" w:rsidP="00173FAF">
            <w:pPr>
              <w:widowControl w:val="0"/>
              <w:autoSpaceDE w:val="0"/>
              <w:autoSpaceDN w:val="0"/>
              <w:adjustRightInd w:val="0"/>
              <w:spacing w:line="360" w:lineRule="auto"/>
              <w:jc w:val="both"/>
              <w:rPr>
                <w:rFonts w:ascii="Arial" w:hAnsi="Arial" w:cs="Arial"/>
                <w:sz w:val="14"/>
                <w:szCs w:val="14"/>
                <w:lang w:val="es-ES"/>
              </w:rPr>
            </w:pPr>
            <w:r w:rsidRPr="005001D6">
              <w:rPr>
                <w:rFonts w:ascii="Arial" w:hAnsi="Arial" w:cs="Arial"/>
                <w:sz w:val="14"/>
                <w:szCs w:val="14"/>
                <w:lang w:val="es-ES"/>
              </w:rPr>
              <w:t>4</w:t>
            </w:r>
            <w:r w:rsidR="00744DC6" w:rsidRPr="005001D6">
              <w:rPr>
                <w:rFonts w:ascii="Arial" w:hAnsi="Arial" w:cs="Arial"/>
                <w:sz w:val="14"/>
                <w:szCs w:val="14"/>
                <w:lang w:val="es-ES"/>
              </w:rPr>
              <w:t>.</w:t>
            </w:r>
            <w:r w:rsidRPr="005001D6">
              <w:rPr>
                <w:rFonts w:ascii="Arial" w:hAnsi="Arial" w:cs="Arial"/>
                <w:sz w:val="14"/>
                <w:szCs w:val="14"/>
                <w:lang w:val="es-ES"/>
              </w:rPr>
              <w:t xml:space="preserve">2 </w:t>
            </w:r>
            <w:r w:rsidRPr="005001D6">
              <w:rPr>
                <w:rFonts w:ascii="Arial" w:hAnsi="Arial" w:cs="Arial"/>
                <w:sz w:val="14"/>
                <w:szCs w:val="14"/>
              </w:rPr>
              <w:t>± 0</w:t>
            </w:r>
            <w:r w:rsidR="00744DC6" w:rsidRPr="005001D6">
              <w:rPr>
                <w:rFonts w:ascii="Arial" w:hAnsi="Arial" w:cs="Arial"/>
                <w:sz w:val="14"/>
                <w:szCs w:val="14"/>
              </w:rPr>
              <w:t>.</w:t>
            </w:r>
            <w:r w:rsidRPr="005001D6">
              <w:rPr>
                <w:rFonts w:ascii="Arial" w:hAnsi="Arial" w:cs="Arial"/>
                <w:sz w:val="14"/>
                <w:szCs w:val="14"/>
              </w:rPr>
              <w:t>5</w:t>
            </w:r>
          </w:p>
        </w:tc>
        <w:tc>
          <w:tcPr>
            <w:tcW w:w="471" w:type="pct"/>
          </w:tcPr>
          <w:p w14:paraId="024FF69F" w14:textId="5E5CCFB4" w:rsidR="00A451C2" w:rsidRPr="005001D6" w:rsidRDefault="00A451C2" w:rsidP="00173FAF">
            <w:pPr>
              <w:widowControl w:val="0"/>
              <w:autoSpaceDE w:val="0"/>
              <w:autoSpaceDN w:val="0"/>
              <w:adjustRightInd w:val="0"/>
              <w:spacing w:line="360" w:lineRule="auto"/>
              <w:jc w:val="both"/>
              <w:rPr>
                <w:rFonts w:ascii="Arial" w:hAnsi="Arial" w:cs="Arial"/>
                <w:sz w:val="14"/>
                <w:szCs w:val="14"/>
                <w:lang w:val="es-ES"/>
              </w:rPr>
            </w:pPr>
            <w:r w:rsidRPr="005001D6">
              <w:rPr>
                <w:rFonts w:ascii="Arial" w:hAnsi="Arial" w:cs="Arial"/>
                <w:sz w:val="14"/>
                <w:szCs w:val="14"/>
                <w:lang w:val="es-ES"/>
              </w:rPr>
              <w:t>4</w:t>
            </w:r>
            <w:r w:rsidR="00744DC6" w:rsidRPr="005001D6">
              <w:rPr>
                <w:rFonts w:ascii="Arial" w:hAnsi="Arial" w:cs="Arial"/>
                <w:sz w:val="14"/>
                <w:szCs w:val="14"/>
                <w:lang w:val="es-ES"/>
              </w:rPr>
              <w:t>.</w:t>
            </w:r>
            <w:r w:rsidRPr="005001D6">
              <w:rPr>
                <w:rFonts w:ascii="Arial" w:hAnsi="Arial" w:cs="Arial"/>
                <w:sz w:val="14"/>
                <w:szCs w:val="14"/>
                <w:lang w:val="es-ES"/>
              </w:rPr>
              <w:t xml:space="preserve">5 </w:t>
            </w:r>
            <w:r w:rsidRPr="005001D6">
              <w:rPr>
                <w:rFonts w:ascii="Arial" w:hAnsi="Arial" w:cs="Arial"/>
                <w:sz w:val="14"/>
                <w:szCs w:val="14"/>
              </w:rPr>
              <w:t>± 0</w:t>
            </w:r>
            <w:r w:rsidR="00744DC6" w:rsidRPr="005001D6">
              <w:rPr>
                <w:rFonts w:ascii="Arial" w:hAnsi="Arial" w:cs="Arial"/>
                <w:sz w:val="14"/>
                <w:szCs w:val="14"/>
              </w:rPr>
              <w:t>.</w:t>
            </w:r>
            <w:r w:rsidRPr="005001D6">
              <w:rPr>
                <w:rFonts w:ascii="Arial" w:hAnsi="Arial" w:cs="Arial"/>
                <w:sz w:val="14"/>
                <w:szCs w:val="14"/>
              </w:rPr>
              <w:t>6</w:t>
            </w:r>
          </w:p>
        </w:tc>
        <w:tc>
          <w:tcPr>
            <w:tcW w:w="396" w:type="pct"/>
          </w:tcPr>
          <w:p w14:paraId="50B4F605" w14:textId="77777777" w:rsidR="00A451C2" w:rsidRPr="005001D6" w:rsidRDefault="00A451C2" w:rsidP="00173FAF">
            <w:pPr>
              <w:widowControl w:val="0"/>
              <w:autoSpaceDE w:val="0"/>
              <w:autoSpaceDN w:val="0"/>
              <w:adjustRightInd w:val="0"/>
              <w:spacing w:line="360" w:lineRule="auto"/>
              <w:jc w:val="both"/>
              <w:rPr>
                <w:rFonts w:ascii="Arial" w:hAnsi="Arial" w:cs="Arial"/>
                <w:sz w:val="14"/>
                <w:szCs w:val="14"/>
                <w:lang w:val="es-ES"/>
              </w:rPr>
            </w:pPr>
            <w:r w:rsidRPr="005001D6">
              <w:rPr>
                <w:rFonts w:ascii="Arial" w:hAnsi="Arial" w:cs="Arial"/>
                <w:sz w:val="14"/>
                <w:szCs w:val="14"/>
              </w:rPr>
              <w:t>NA</w:t>
            </w:r>
          </w:p>
        </w:tc>
        <w:tc>
          <w:tcPr>
            <w:tcW w:w="328" w:type="pct"/>
          </w:tcPr>
          <w:p w14:paraId="494F09DD" w14:textId="77777777" w:rsidR="00A451C2" w:rsidRPr="005001D6" w:rsidRDefault="00A451C2" w:rsidP="00173FAF">
            <w:pPr>
              <w:widowControl w:val="0"/>
              <w:autoSpaceDE w:val="0"/>
              <w:autoSpaceDN w:val="0"/>
              <w:adjustRightInd w:val="0"/>
              <w:spacing w:line="360" w:lineRule="auto"/>
              <w:jc w:val="both"/>
              <w:rPr>
                <w:rFonts w:ascii="Arial" w:hAnsi="Arial" w:cs="Arial"/>
                <w:sz w:val="14"/>
                <w:szCs w:val="14"/>
                <w:lang w:val="es-ES"/>
              </w:rPr>
            </w:pPr>
            <w:r w:rsidRPr="005001D6">
              <w:rPr>
                <w:rFonts w:ascii="Arial" w:hAnsi="Arial" w:cs="Arial"/>
                <w:sz w:val="14"/>
                <w:szCs w:val="14"/>
                <w:lang w:val="es-ES"/>
              </w:rPr>
              <w:t>0.92 (0.1)</w:t>
            </w:r>
          </w:p>
        </w:tc>
        <w:tc>
          <w:tcPr>
            <w:tcW w:w="393" w:type="pct"/>
          </w:tcPr>
          <w:p w14:paraId="783A5147" w14:textId="77777777" w:rsidR="00A451C2" w:rsidRPr="005001D6" w:rsidRDefault="00A451C2" w:rsidP="00173FAF">
            <w:pPr>
              <w:widowControl w:val="0"/>
              <w:autoSpaceDE w:val="0"/>
              <w:autoSpaceDN w:val="0"/>
              <w:adjustRightInd w:val="0"/>
              <w:spacing w:line="360" w:lineRule="auto"/>
              <w:jc w:val="both"/>
              <w:rPr>
                <w:rFonts w:ascii="Arial" w:hAnsi="Arial" w:cs="Arial"/>
                <w:b/>
                <w:bCs/>
                <w:sz w:val="14"/>
                <w:szCs w:val="14"/>
                <w:lang w:val="es-ES"/>
              </w:rPr>
            </w:pPr>
            <w:r w:rsidRPr="005001D6">
              <w:rPr>
                <w:rFonts w:ascii="Arial" w:hAnsi="Arial" w:cs="Arial"/>
                <w:b/>
                <w:bCs/>
                <w:sz w:val="14"/>
                <w:szCs w:val="14"/>
                <w:lang w:val="es-ES"/>
              </w:rPr>
              <w:t>0.048 (7.5)</w:t>
            </w:r>
          </w:p>
        </w:tc>
        <w:tc>
          <w:tcPr>
            <w:tcW w:w="428" w:type="pct"/>
          </w:tcPr>
          <w:p w14:paraId="704D0381" w14:textId="77777777" w:rsidR="00A451C2" w:rsidRPr="005001D6" w:rsidRDefault="00A451C2" w:rsidP="00173FAF">
            <w:pPr>
              <w:widowControl w:val="0"/>
              <w:autoSpaceDE w:val="0"/>
              <w:autoSpaceDN w:val="0"/>
              <w:adjustRightInd w:val="0"/>
              <w:spacing w:line="360" w:lineRule="auto"/>
              <w:jc w:val="both"/>
              <w:rPr>
                <w:rFonts w:ascii="Arial" w:hAnsi="Arial" w:cs="Arial"/>
                <w:sz w:val="14"/>
                <w:szCs w:val="14"/>
                <w:lang w:val="es-ES"/>
              </w:rPr>
            </w:pPr>
            <w:r w:rsidRPr="005001D6">
              <w:rPr>
                <w:rFonts w:ascii="Arial" w:hAnsi="Arial" w:cs="Arial"/>
                <w:sz w:val="14"/>
                <w:szCs w:val="14"/>
                <w:lang w:val="es-ES"/>
              </w:rPr>
              <w:t>0.83 (1.3)</w:t>
            </w:r>
          </w:p>
        </w:tc>
      </w:tr>
      <w:tr w:rsidR="005001D6" w:rsidRPr="005001D6" w14:paraId="7818B4AA" w14:textId="77777777" w:rsidTr="00395C51">
        <w:tc>
          <w:tcPr>
            <w:tcW w:w="1571" w:type="pct"/>
            <w:gridSpan w:val="2"/>
            <w:tcBorders>
              <w:bottom w:val="single" w:sz="4" w:space="0" w:color="auto"/>
            </w:tcBorders>
          </w:tcPr>
          <w:p w14:paraId="650809BB" w14:textId="77777777" w:rsidR="00A55598" w:rsidRPr="005001D6" w:rsidRDefault="00A55598" w:rsidP="00173FAF">
            <w:pPr>
              <w:widowControl w:val="0"/>
              <w:autoSpaceDE w:val="0"/>
              <w:autoSpaceDN w:val="0"/>
              <w:adjustRightInd w:val="0"/>
              <w:spacing w:line="360" w:lineRule="auto"/>
              <w:jc w:val="both"/>
              <w:rPr>
                <w:rFonts w:ascii="Arial" w:hAnsi="Arial" w:cs="Arial"/>
                <w:sz w:val="14"/>
                <w:szCs w:val="14"/>
              </w:rPr>
            </w:pPr>
          </w:p>
          <w:p w14:paraId="0A15E4D4" w14:textId="52CB8707" w:rsidR="00A55598" w:rsidRPr="005001D6" w:rsidRDefault="00A55598"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BIOGEOCHEMICAL SOIL PROPERTIES</w:t>
            </w:r>
          </w:p>
        </w:tc>
        <w:tc>
          <w:tcPr>
            <w:tcW w:w="550" w:type="pct"/>
          </w:tcPr>
          <w:p w14:paraId="04F84334" w14:textId="77777777" w:rsidR="00A55598" w:rsidRPr="005001D6" w:rsidRDefault="00A55598" w:rsidP="00173FAF">
            <w:pPr>
              <w:widowControl w:val="0"/>
              <w:autoSpaceDE w:val="0"/>
              <w:autoSpaceDN w:val="0"/>
              <w:adjustRightInd w:val="0"/>
              <w:spacing w:line="360" w:lineRule="auto"/>
              <w:jc w:val="both"/>
              <w:rPr>
                <w:rFonts w:ascii="Arial" w:hAnsi="Arial" w:cs="Arial"/>
                <w:sz w:val="14"/>
                <w:szCs w:val="14"/>
              </w:rPr>
            </w:pPr>
          </w:p>
        </w:tc>
        <w:tc>
          <w:tcPr>
            <w:tcW w:w="396" w:type="pct"/>
          </w:tcPr>
          <w:p w14:paraId="4336DF7B" w14:textId="77777777" w:rsidR="00A55598" w:rsidRPr="005001D6" w:rsidRDefault="00A55598" w:rsidP="00173FAF">
            <w:pPr>
              <w:widowControl w:val="0"/>
              <w:autoSpaceDE w:val="0"/>
              <w:autoSpaceDN w:val="0"/>
              <w:adjustRightInd w:val="0"/>
              <w:spacing w:line="360" w:lineRule="auto"/>
              <w:jc w:val="both"/>
              <w:rPr>
                <w:rFonts w:ascii="Arial" w:hAnsi="Arial" w:cs="Arial"/>
                <w:sz w:val="14"/>
                <w:szCs w:val="14"/>
              </w:rPr>
            </w:pPr>
          </w:p>
        </w:tc>
        <w:tc>
          <w:tcPr>
            <w:tcW w:w="467" w:type="pct"/>
            <w:shd w:val="clear" w:color="auto" w:fill="auto"/>
          </w:tcPr>
          <w:p w14:paraId="2B28575D" w14:textId="77777777" w:rsidR="00A55598" w:rsidRPr="005001D6" w:rsidRDefault="00A55598" w:rsidP="00173FAF">
            <w:pPr>
              <w:widowControl w:val="0"/>
              <w:autoSpaceDE w:val="0"/>
              <w:autoSpaceDN w:val="0"/>
              <w:adjustRightInd w:val="0"/>
              <w:spacing w:line="360" w:lineRule="auto"/>
              <w:jc w:val="both"/>
              <w:rPr>
                <w:rFonts w:ascii="Arial" w:hAnsi="Arial" w:cs="Arial"/>
                <w:sz w:val="14"/>
                <w:szCs w:val="14"/>
              </w:rPr>
            </w:pPr>
          </w:p>
        </w:tc>
        <w:tc>
          <w:tcPr>
            <w:tcW w:w="471" w:type="pct"/>
            <w:shd w:val="clear" w:color="auto" w:fill="auto"/>
          </w:tcPr>
          <w:p w14:paraId="45AC50EB" w14:textId="77777777" w:rsidR="00A55598" w:rsidRPr="005001D6" w:rsidRDefault="00A55598" w:rsidP="00173FAF">
            <w:pPr>
              <w:widowControl w:val="0"/>
              <w:autoSpaceDE w:val="0"/>
              <w:autoSpaceDN w:val="0"/>
              <w:adjustRightInd w:val="0"/>
              <w:spacing w:line="360" w:lineRule="auto"/>
              <w:jc w:val="both"/>
              <w:rPr>
                <w:rFonts w:ascii="Arial" w:hAnsi="Arial" w:cs="Arial"/>
                <w:sz w:val="14"/>
                <w:szCs w:val="14"/>
              </w:rPr>
            </w:pPr>
          </w:p>
        </w:tc>
        <w:tc>
          <w:tcPr>
            <w:tcW w:w="396" w:type="pct"/>
          </w:tcPr>
          <w:p w14:paraId="7EA921CE" w14:textId="77777777" w:rsidR="00A55598" w:rsidRPr="005001D6" w:rsidRDefault="00A55598" w:rsidP="00173FAF">
            <w:pPr>
              <w:widowControl w:val="0"/>
              <w:autoSpaceDE w:val="0"/>
              <w:autoSpaceDN w:val="0"/>
              <w:adjustRightInd w:val="0"/>
              <w:spacing w:line="360" w:lineRule="auto"/>
              <w:jc w:val="both"/>
              <w:rPr>
                <w:rFonts w:ascii="Arial" w:hAnsi="Arial" w:cs="Arial"/>
                <w:sz w:val="14"/>
                <w:szCs w:val="14"/>
              </w:rPr>
            </w:pPr>
          </w:p>
        </w:tc>
        <w:tc>
          <w:tcPr>
            <w:tcW w:w="328" w:type="pct"/>
          </w:tcPr>
          <w:p w14:paraId="3982E541" w14:textId="77777777" w:rsidR="00A55598" w:rsidRPr="005001D6" w:rsidRDefault="00A55598" w:rsidP="00173FAF">
            <w:pPr>
              <w:widowControl w:val="0"/>
              <w:autoSpaceDE w:val="0"/>
              <w:autoSpaceDN w:val="0"/>
              <w:adjustRightInd w:val="0"/>
              <w:spacing w:line="360" w:lineRule="auto"/>
              <w:jc w:val="both"/>
              <w:rPr>
                <w:rFonts w:ascii="Arial" w:hAnsi="Arial" w:cs="Arial"/>
                <w:sz w:val="14"/>
                <w:szCs w:val="14"/>
              </w:rPr>
            </w:pPr>
          </w:p>
        </w:tc>
        <w:tc>
          <w:tcPr>
            <w:tcW w:w="393" w:type="pct"/>
          </w:tcPr>
          <w:p w14:paraId="6DA1CD8C" w14:textId="77777777" w:rsidR="00A55598" w:rsidRPr="005001D6" w:rsidRDefault="00A55598" w:rsidP="00173FAF">
            <w:pPr>
              <w:widowControl w:val="0"/>
              <w:autoSpaceDE w:val="0"/>
              <w:autoSpaceDN w:val="0"/>
              <w:adjustRightInd w:val="0"/>
              <w:spacing w:line="360" w:lineRule="auto"/>
              <w:jc w:val="both"/>
              <w:rPr>
                <w:rFonts w:ascii="Arial" w:hAnsi="Arial" w:cs="Arial"/>
                <w:sz w:val="14"/>
                <w:szCs w:val="14"/>
              </w:rPr>
            </w:pPr>
          </w:p>
        </w:tc>
        <w:tc>
          <w:tcPr>
            <w:tcW w:w="428" w:type="pct"/>
          </w:tcPr>
          <w:p w14:paraId="73575304" w14:textId="77777777" w:rsidR="00A55598" w:rsidRPr="005001D6" w:rsidRDefault="00A55598" w:rsidP="00173FAF">
            <w:pPr>
              <w:widowControl w:val="0"/>
              <w:autoSpaceDE w:val="0"/>
              <w:autoSpaceDN w:val="0"/>
              <w:adjustRightInd w:val="0"/>
              <w:spacing w:line="360" w:lineRule="auto"/>
              <w:jc w:val="both"/>
              <w:rPr>
                <w:rFonts w:ascii="Arial" w:hAnsi="Arial" w:cs="Arial"/>
                <w:sz w:val="14"/>
                <w:szCs w:val="14"/>
              </w:rPr>
            </w:pPr>
          </w:p>
        </w:tc>
      </w:tr>
      <w:tr w:rsidR="005001D6" w:rsidRPr="005001D6" w14:paraId="4837D865" w14:textId="77777777" w:rsidTr="00395C51">
        <w:tc>
          <w:tcPr>
            <w:tcW w:w="1021" w:type="pct"/>
            <w:tcBorders>
              <w:top w:val="single" w:sz="4" w:space="0" w:color="auto"/>
            </w:tcBorders>
          </w:tcPr>
          <w:p w14:paraId="00D88A39" w14:textId="507EA5E5" w:rsidR="007F6C8B" w:rsidRPr="005001D6" w:rsidRDefault="007F6C8B"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 xml:space="preserve">Soil </w:t>
            </w:r>
            <w:r w:rsidR="00DD328E" w:rsidRPr="005001D6">
              <w:rPr>
                <w:rFonts w:ascii="Arial" w:hAnsi="Arial" w:cs="Arial"/>
                <w:sz w:val="14"/>
                <w:szCs w:val="14"/>
              </w:rPr>
              <w:t>%</w:t>
            </w:r>
            <w:r w:rsidRPr="005001D6">
              <w:rPr>
                <w:rFonts w:ascii="Arial" w:hAnsi="Arial" w:cs="Arial"/>
                <w:sz w:val="14"/>
                <w:szCs w:val="14"/>
              </w:rPr>
              <w:t>C</w:t>
            </w:r>
          </w:p>
        </w:tc>
        <w:tc>
          <w:tcPr>
            <w:tcW w:w="550" w:type="pct"/>
            <w:tcBorders>
              <w:top w:val="single" w:sz="4" w:space="0" w:color="auto"/>
            </w:tcBorders>
            <w:shd w:val="clear" w:color="auto" w:fill="auto"/>
          </w:tcPr>
          <w:p w14:paraId="0E3B6834" w14:textId="12E3BFAC" w:rsidR="007F6C8B" w:rsidRPr="005001D6" w:rsidRDefault="00E32C67"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11.1</w:t>
            </w:r>
            <w:r w:rsidR="007F6C8B" w:rsidRPr="005001D6">
              <w:rPr>
                <w:rFonts w:ascii="Arial" w:hAnsi="Arial" w:cs="Arial"/>
                <w:sz w:val="14"/>
                <w:szCs w:val="14"/>
              </w:rPr>
              <w:t xml:space="preserve"> ± </w:t>
            </w:r>
            <w:r w:rsidRPr="005001D6">
              <w:rPr>
                <w:rFonts w:ascii="Arial" w:hAnsi="Arial" w:cs="Arial"/>
                <w:sz w:val="14"/>
                <w:szCs w:val="14"/>
              </w:rPr>
              <w:t>0</w:t>
            </w:r>
            <w:r w:rsidR="0066094F" w:rsidRPr="005001D6">
              <w:rPr>
                <w:rFonts w:ascii="Arial" w:hAnsi="Arial" w:cs="Arial"/>
                <w:sz w:val="14"/>
                <w:szCs w:val="14"/>
              </w:rPr>
              <w:t>.9</w:t>
            </w:r>
          </w:p>
        </w:tc>
        <w:tc>
          <w:tcPr>
            <w:tcW w:w="550" w:type="pct"/>
            <w:shd w:val="clear" w:color="auto" w:fill="auto"/>
          </w:tcPr>
          <w:p w14:paraId="18194EEA" w14:textId="0494DE80" w:rsidR="007F6C8B" w:rsidRPr="005001D6" w:rsidRDefault="00E32C67"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9.6</w:t>
            </w:r>
            <w:r w:rsidR="007F6C8B" w:rsidRPr="005001D6">
              <w:rPr>
                <w:rFonts w:ascii="Arial" w:hAnsi="Arial" w:cs="Arial"/>
                <w:sz w:val="14"/>
                <w:szCs w:val="14"/>
              </w:rPr>
              <w:t xml:space="preserve"> ± </w:t>
            </w:r>
            <w:r w:rsidRPr="005001D6">
              <w:rPr>
                <w:rFonts w:ascii="Arial" w:hAnsi="Arial" w:cs="Arial"/>
                <w:sz w:val="14"/>
                <w:szCs w:val="14"/>
              </w:rPr>
              <w:t>0.</w:t>
            </w:r>
            <w:r w:rsidR="0066094F" w:rsidRPr="005001D6">
              <w:rPr>
                <w:rFonts w:ascii="Arial" w:hAnsi="Arial" w:cs="Arial"/>
                <w:sz w:val="14"/>
                <w:szCs w:val="14"/>
              </w:rPr>
              <w:t>9</w:t>
            </w:r>
          </w:p>
        </w:tc>
        <w:tc>
          <w:tcPr>
            <w:tcW w:w="396" w:type="pct"/>
          </w:tcPr>
          <w:p w14:paraId="1DF51295" w14:textId="70A1EC48" w:rsidR="007F6C8B" w:rsidRPr="005001D6" w:rsidRDefault="00E32C67"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10.4</w:t>
            </w:r>
            <w:r w:rsidR="0066094F" w:rsidRPr="005001D6">
              <w:rPr>
                <w:rFonts w:ascii="Arial" w:hAnsi="Arial" w:cs="Arial"/>
                <w:sz w:val="14"/>
                <w:szCs w:val="14"/>
              </w:rPr>
              <w:t xml:space="preserve"> ± </w:t>
            </w:r>
            <w:r w:rsidRPr="005001D6">
              <w:rPr>
                <w:rFonts w:ascii="Arial" w:hAnsi="Arial" w:cs="Arial"/>
                <w:sz w:val="14"/>
                <w:szCs w:val="14"/>
              </w:rPr>
              <w:t>0.8</w:t>
            </w:r>
          </w:p>
        </w:tc>
        <w:tc>
          <w:tcPr>
            <w:tcW w:w="467" w:type="pct"/>
            <w:shd w:val="clear" w:color="auto" w:fill="auto"/>
          </w:tcPr>
          <w:p w14:paraId="5DD6965C" w14:textId="68DB54B1" w:rsidR="007F6C8B" w:rsidRPr="005001D6" w:rsidRDefault="00E32C67"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10.0</w:t>
            </w:r>
            <w:r w:rsidR="007F6C8B" w:rsidRPr="005001D6">
              <w:rPr>
                <w:rFonts w:ascii="Arial" w:hAnsi="Arial" w:cs="Arial"/>
                <w:sz w:val="14"/>
                <w:szCs w:val="14"/>
              </w:rPr>
              <w:t xml:space="preserve"> ± </w:t>
            </w:r>
            <w:r w:rsidR="0066094F" w:rsidRPr="005001D6">
              <w:rPr>
                <w:rFonts w:ascii="Arial" w:hAnsi="Arial" w:cs="Arial"/>
                <w:sz w:val="14"/>
                <w:szCs w:val="14"/>
              </w:rPr>
              <w:t>0</w:t>
            </w:r>
            <w:r w:rsidRPr="005001D6">
              <w:rPr>
                <w:rFonts w:ascii="Arial" w:hAnsi="Arial" w:cs="Arial"/>
                <w:sz w:val="14"/>
                <w:szCs w:val="14"/>
              </w:rPr>
              <w:t>.9</w:t>
            </w:r>
          </w:p>
        </w:tc>
        <w:tc>
          <w:tcPr>
            <w:tcW w:w="471" w:type="pct"/>
            <w:shd w:val="clear" w:color="auto" w:fill="auto"/>
          </w:tcPr>
          <w:p w14:paraId="0C5340C6" w14:textId="72EB41B3" w:rsidR="007F6C8B" w:rsidRPr="005001D6" w:rsidRDefault="00E32C67"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7.9</w:t>
            </w:r>
            <w:r w:rsidR="007F6C8B" w:rsidRPr="005001D6">
              <w:rPr>
                <w:rFonts w:ascii="Arial" w:hAnsi="Arial" w:cs="Arial"/>
                <w:sz w:val="14"/>
                <w:szCs w:val="14"/>
              </w:rPr>
              <w:t xml:space="preserve"> ± </w:t>
            </w:r>
            <w:r w:rsidRPr="005001D6">
              <w:rPr>
                <w:rFonts w:ascii="Arial" w:hAnsi="Arial" w:cs="Arial"/>
                <w:sz w:val="14"/>
                <w:szCs w:val="14"/>
              </w:rPr>
              <w:t>0.5</w:t>
            </w:r>
          </w:p>
        </w:tc>
        <w:tc>
          <w:tcPr>
            <w:tcW w:w="396" w:type="pct"/>
          </w:tcPr>
          <w:p w14:paraId="70E89297" w14:textId="2256608A" w:rsidR="007F6C8B" w:rsidRPr="005001D6" w:rsidRDefault="00E32C67"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9.1</w:t>
            </w:r>
            <w:r w:rsidR="0066094F" w:rsidRPr="005001D6">
              <w:rPr>
                <w:rFonts w:ascii="Arial" w:hAnsi="Arial" w:cs="Arial"/>
                <w:sz w:val="14"/>
                <w:szCs w:val="14"/>
              </w:rPr>
              <w:t xml:space="preserve"> ± </w:t>
            </w:r>
            <w:r w:rsidRPr="005001D6">
              <w:rPr>
                <w:rFonts w:ascii="Arial" w:hAnsi="Arial" w:cs="Arial"/>
                <w:sz w:val="14"/>
                <w:szCs w:val="14"/>
              </w:rPr>
              <w:t>0.8</w:t>
            </w:r>
          </w:p>
        </w:tc>
        <w:tc>
          <w:tcPr>
            <w:tcW w:w="328" w:type="pct"/>
            <w:shd w:val="clear" w:color="auto" w:fill="auto"/>
          </w:tcPr>
          <w:p w14:paraId="254CA092" w14:textId="366A57D5" w:rsidR="007F6C8B" w:rsidRPr="005001D6" w:rsidRDefault="007F6C8B" w:rsidP="00173FAF">
            <w:pPr>
              <w:widowControl w:val="0"/>
              <w:autoSpaceDE w:val="0"/>
              <w:autoSpaceDN w:val="0"/>
              <w:adjustRightInd w:val="0"/>
              <w:spacing w:line="360" w:lineRule="auto"/>
              <w:jc w:val="both"/>
              <w:rPr>
                <w:rFonts w:ascii="Arial" w:hAnsi="Arial" w:cs="Arial"/>
                <w:b/>
                <w:bCs/>
                <w:sz w:val="14"/>
                <w:szCs w:val="14"/>
              </w:rPr>
            </w:pPr>
            <w:r w:rsidRPr="005001D6">
              <w:rPr>
                <w:rFonts w:ascii="Arial" w:hAnsi="Arial" w:cs="Arial"/>
                <w:b/>
                <w:bCs/>
                <w:sz w:val="14"/>
                <w:szCs w:val="14"/>
              </w:rPr>
              <w:t>0.0</w:t>
            </w:r>
            <w:r w:rsidR="00D3197A" w:rsidRPr="005001D6">
              <w:rPr>
                <w:rFonts w:ascii="Arial" w:hAnsi="Arial" w:cs="Arial"/>
                <w:b/>
                <w:bCs/>
                <w:sz w:val="14"/>
                <w:szCs w:val="14"/>
              </w:rPr>
              <w:t>3</w:t>
            </w:r>
            <w:r w:rsidRPr="005001D6">
              <w:rPr>
                <w:rFonts w:ascii="Arial" w:hAnsi="Arial" w:cs="Arial"/>
                <w:b/>
                <w:bCs/>
                <w:sz w:val="14"/>
                <w:szCs w:val="14"/>
              </w:rPr>
              <w:t xml:space="preserve"> (</w:t>
            </w:r>
            <w:r w:rsidR="00D3197A" w:rsidRPr="005001D6">
              <w:rPr>
                <w:rFonts w:ascii="Arial" w:hAnsi="Arial" w:cs="Arial"/>
                <w:b/>
                <w:bCs/>
                <w:sz w:val="14"/>
                <w:szCs w:val="14"/>
              </w:rPr>
              <w:t>9.7</w:t>
            </w:r>
            <w:r w:rsidRPr="005001D6">
              <w:rPr>
                <w:rFonts w:ascii="Arial" w:hAnsi="Arial" w:cs="Arial"/>
                <w:b/>
                <w:bCs/>
                <w:sz w:val="14"/>
                <w:szCs w:val="14"/>
              </w:rPr>
              <w:t>)</w:t>
            </w:r>
          </w:p>
        </w:tc>
        <w:tc>
          <w:tcPr>
            <w:tcW w:w="393" w:type="pct"/>
          </w:tcPr>
          <w:p w14:paraId="07B8C24E" w14:textId="311BD6F6" w:rsidR="007F6C8B" w:rsidRPr="005001D6" w:rsidRDefault="007F6C8B" w:rsidP="00173FAF">
            <w:pPr>
              <w:widowControl w:val="0"/>
              <w:autoSpaceDE w:val="0"/>
              <w:autoSpaceDN w:val="0"/>
              <w:adjustRightInd w:val="0"/>
              <w:spacing w:line="360" w:lineRule="auto"/>
              <w:jc w:val="both"/>
              <w:rPr>
                <w:rFonts w:ascii="Arial" w:hAnsi="Arial" w:cs="Arial"/>
                <w:b/>
                <w:bCs/>
                <w:sz w:val="14"/>
                <w:szCs w:val="14"/>
              </w:rPr>
            </w:pPr>
            <w:r w:rsidRPr="005001D6">
              <w:rPr>
                <w:rFonts w:ascii="Arial" w:hAnsi="Arial" w:cs="Arial"/>
                <w:b/>
                <w:bCs/>
                <w:sz w:val="14"/>
                <w:szCs w:val="14"/>
              </w:rPr>
              <w:t>0.0</w:t>
            </w:r>
            <w:r w:rsidR="00D3197A" w:rsidRPr="005001D6">
              <w:rPr>
                <w:rFonts w:ascii="Arial" w:hAnsi="Arial" w:cs="Arial"/>
                <w:b/>
                <w:bCs/>
                <w:sz w:val="14"/>
                <w:szCs w:val="14"/>
              </w:rPr>
              <w:t>47</w:t>
            </w:r>
            <w:r w:rsidRPr="005001D6">
              <w:rPr>
                <w:rFonts w:ascii="Arial" w:hAnsi="Arial" w:cs="Arial"/>
                <w:b/>
                <w:bCs/>
                <w:sz w:val="14"/>
                <w:szCs w:val="14"/>
              </w:rPr>
              <w:t xml:space="preserve"> (</w:t>
            </w:r>
            <w:r w:rsidR="00D3197A" w:rsidRPr="005001D6">
              <w:rPr>
                <w:rFonts w:ascii="Arial" w:hAnsi="Arial" w:cs="Arial"/>
                <w:b/>
                <w:bCs/>
                <w:sz w:val="14"/>
                <w:szCs w:val="14"/>
              </w:rPr>
              <w:t>7.3</w:t>
            </w:r>
            <w:r w:rsidRPr="005001D6">
              <w:rPr>
                <w:rFonts w:ascii="Arial" w:hAnsi="Arial" w:cs="Arial"/>
                <w:b/>
                <w:bCs/>
                <w:sz w:val="14"/>
                <w:szCs w:val="14"/>
              </w:rPr>
              <w:t>)</w:t>
            </w:r>
          </w:p>
        </w:tc>
        <w:tc>
          <w:tcPr>
            <w:tcW w:w="428" w:type="pct"/>
          </w:tcPr>
          <w:p w14:paraId="5602E5D4" w14:textId="60024F90" w:rsidR="007F6C8B" w:rsidRPr="005001D6" w:rsidRDefault="00D3197A"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0.95</w:t>
            </w:r>
            <w:r w:rsidR="007F6C8B" w:rsidRPr="005001D6">
              <w:rPr>
                <w:rFonts w:ascii="Arial" w:hAnsi="Arial" w:cs="Arial"/>
                <w:sz w:val="14"/>
                <w:szCs w:val="14"/>
              </w:rPr>
              <w:t xml:space="preserve"> (0.</w:t>
            </w:r>
            <w:r w:rsidRPr="005001D6">
              <w:rPr>
                <w:rFonts w:ascii="Arial" w:hAnsi="Arial" w:cs="Arial"/>
                <w:sz w:val="14"/>
                <w:szCs w:val="14"/>
              </w:rPr>
              <w:t>3</w:t>
            </w:r>
            <w:r w:rsidR="007F6C8B" w:rsidRPr="005001D6">
              <w:rPr>
                <w:rFonts w:ascii="Arial" w:hAnsi="Arial" w:cs="Arial"/>
                <w:sz w:val="14"/>
                <w:szCs w:val="14"/>
              </w:rPr>
              <w:t>)</w:t>
            </w:r>
          </w:p>
        </w:tc>
      </w:tr>
      <w:tr w:rsidR="005001D6" w:rsidRPr="005001D6" w14:paraId="1A556C70" w14:textId="77777777" w:rsidTr="00395C51">
        <w:tc>
          <w:tcPr>
            <w:tcW w:w="1021" w:type="pct"/>
            <w:shd w:val="clear" w:color="auto" w:fill="auto"/>
          </w:tcPr>
          <w:p w14:paraId="46FBA617" w14:textId="77777777" w:rsidR="007F6C8B" w:rsidRPr="005001D6" w:rsidRDefault="007F6C8B"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Soil C:N ratio</w:t>
            </w:r>
          </w:p>
        </w:tc>
        <w:tc>
          <w:tcPr>
            <w:tcW w:w="550" w:type="pct"/>
            <w:shd w:val="clear" w:color="auto" w:fill="auto"/>
          </w:tcPr>
          <w:p w14:paraId="3F1F9E2B" w14:textId="77777777" w:rsidR="007F6C8B" w:rsidRPr="005001D6" w:rsidRDefault="007F6C8B"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 xml:space="preserve">17.9 ± 0.3 </w:t>
            </w:r>
          </w:p>
        </w:tc>
        <w:tc>
          <w:tcPr>
            <w:tcW w:w="550" w:type="pct"/>
            <w:shd w:val="clear" w:color="auto" w:fill="auto"/>
          </w:tcPr>
          <w:p w14:paraId="3B039AFB" w14:textId="77777777" w:rsidR="007F6C8B" w:rsidRPr="005001D6" w:rsidRDefault="007F6C8B"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16.3 ± 0.5</w:t>
            </w:r>
          </w:p>
        </w:tc>
        <w:tc>
          <w:tcPr>
            <w:tcW w:w="396" w:type="pct"/>
          </w:tcPr>
          <w:p w14:paraId="145D7457" w14:textId="77777777" w:rsidR="007F6C8B" w:rsidRPr="005001D6" w:rsidRDefault="007F6C8B"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17.1 ± 0.4</w:t>
            </w:r>
          </w:p>
        </w:tc>
        <w:tc>
          <w:tcPr>
            <w:tcW w:w="467" w:type="pct"/>
            <w:shd w:val="clear" w:color="auto" w:fill="auto"/>
          </w:tcPr>
          <w:p w14:paraId="6044E952" w14:textId="77777777" w:rsidR="007F6C8B" w:rsidRPr="005001D6" w:rsidRDefault="007F6C8B"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17.2 ± 0.4</w:t>
            </w:r>
          </w:p>
        </w:tc>
        <w:tc>
          <w:tcPr>
            <w:tcW w:w="471" w:type="pct"/>
            <w:shd w:val="clear" w:color="auto" w:fill="auto"/>
          </w:tcPr>
          <w:p w14:paraId="4EB7E613" w14:textId="77777777" w:rsidR="007F6C8B" w:rsidRPr="005001D6" w:rsidRDefault="007F6C8B"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16.4 ± 0.3</w:t>
            </w:r>
          </w:p>
        </w:tc>
        <w:tc>
          <w:tcPr>
            <w:tcW w:w="396" w:type="pct"/>
          </w:tcPr>
          <w:p w14:paraId="00024757" w14:textId="77777777" w:rsidR="007F6C8B" w:rsidRPr="005001D6" w:rsidRDefault="007F6C8B"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17.5 ± 0.2</w:t>
            </w:r>
          </w:p>
        </w:tc>
        <w:tc>
          <w:tcPr>
            <w:tcW w:w="328" w:type="pct"/>
            <w:shd w:val="clear" w:color="auto" w:fill="auto"/>
          </w:tcPr>
          <w:p w14:paraId="72777F50" w14:textId="77777777" w:rsidR="007F6C8B" w:rsidRPr="005001D6" w:rsidRDefault="007F6C8B" w:rsidP="00173FAF">
            <w:pPr>
              <w:widowControl w:val="0"/>
              <w:autoSpaceDE w:val="0"/>
              <w:autoSpaceDN w:val="0"/>
              <w:adjustRightInd w:val="0"/>
              <w:spacing w:line="360" w:lineRule="auto"/>
              <w:jc w:val="both"/>
              <w:rPr>
                <w:rFonts w:ascii="Arial" w:hAnsi="Arial" w:cs="Arial"/>
                <w:b/>
                <w:bCs/>
                <w:sz w:val="14"/>
                <w:szCs w:val="14"/>
              </w:rPr>
            </w:pPr>
            <w:r w:rsidRPr="005001D6">
              <w:rPr>
                <w:rFonts w:ascii="Arial" w:hAnsi="Arial" w:cs="Arial"/>
                <w:b/>
                <w:bCs/>
                <w:sz w:val="14"/>
                <w:szCs w:val="14"/>
              </w:rPr>
              <w:t>&lt;0.01 (15.5)</w:t>
            </w:r>
          </w:p>
        </w:tc>
        <w:tc>
          <w:tcPr>
            <w:tcW w:w="393" w:type="pct"/>
          </w:tcPr>
          <w:p w14:paraId="6D5C0E6E" w14:textId="7D62CA25" w:rsidR="007F6C8B" w:rsidRPr="005001D6" w:rsidRDefault="007F6C8B"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0.</w:t>
            </w:r>
            <w:r w:rsidR="00405EBE" w:rsidRPr="005001D6">
              <w:rPr>
                <w:rFonts w:ascii="Arial" w:hAnsi="Arial" w:cs="Arial"/>
                <w:sz w:val="14"/>
                <w:szCs w:val="14"/>
              </w:rPr>
              <w:t>9</w:t>
            </w:r>
            <w:r w:rsidR="00D3197A" w:rsidRPr="005001D6">
              <w:rPr>
                <w:rFonts w:ascii="Arial" w:hAnsi="Arial" w:cs="Arial"/>
                <w:sz w:val="14"/>
                <w:szCs w:val="14"/>
              </w:rPr>
              <w:t>0</w:t>
            </w:r>
            <w:r w:rsidRPr="005001D6">
              <w:rPr>
                <w:rFonts w:ascii="Arial" w:hAnsi="Arial" w:cs="Arial"/>
                <w:sz w:val="14"/>
                <w:szCs w:val="14"/>
              </w:rPr>
              <w:t xml:space="preserve"> (0.2)</w:t>
            </w:r>
          </w:p>
        </w:tc>
        <w:tc>
          <w:tcPr>
            <w:tcW w:w="428" w:type="pct"/>
          </w:tcPr>
          <w:p w14:paraId="7FA28F03" w14:textId="2F27E630" w:rsidR="007F6C8B" w:rsidRPr="005001D6" w:rsidRDefault="007F6C8B"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0.</w:t>
            </w:r>
            <w:r w:rsidR="00D3197A" w:rsidRPr="005001D6">
              <w:rPr>
                <w:rFonts w:ascii="Arial" w:hAnsi="Arial" w:cs="Arial"/>
                <w:sz w:val="14"/>
                <w:szCs w:val="14"/>
              </w:rPr>
              <w:t>94</w:t>
            </w:r>
            <w:r w:rsidRPr="005001D6">
              <w:rPr>
                <w:rFonts w:ascii="Arial" w:hAnsi="Arial" w:cs="Arial"/>
                <w:sz w:val="14"/>
                <w:szCs w:val="14"/>
              </w:rPr>
              <w:t xml:space="preserve"> (2.8)</w:t>
            </w:r>
          </w:p>
        </w:tc>
      </w:tr>
      <w:tr w:rsidR="005001D6" w:rsidRPr="005001D6" w14:paraId="36576237" w14:textId="77777777" w:rsidTr="00395C51">
        <w:tc>
          <w:tcPr>
            <w:tcW w:w="1021" w:type="pct"/>
            <w:shd w:val="clear" w:color="auto" w:fill="auto"/>
          </w:tcPr>
          <w:p w14:paraId="703B32E0" w14:textId="2F2F057C" w:rsidR="00395C51" w:rsidRPr="005001D6" w:rsidRDefault="007F6C8B"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Available NH</w:t>
            </w:r>
            <w:r w:rsidRPr="005001D6">
              <w:rPr>
                <w:rFonts w:ascii="Arial" w:hAnsi="Arial" w:cs="Arial"/>
                <w:sz w:val="14"/>
                <w:szCs w:val="14"/>
                <w:vertAlign w:val="subscript"/>
              </w:rPr>
              <w:t>4</w:t>
            </w:r>
            <w:r w:rsidRPr="005001D6">
              <w:rPr>
                <w:rFonts w:ascii="Arial" w:hAnsi="Arial" w:cs="Arial"/>
                <w:sz w:val="14"/>
                <w:szCs w:val="14"/>
              </w:rPr>
              <w:t xml:space="preserve"> </w:t>
            </w:r>
          </w:p>
          <w:p w14:paraId="5A2DD263" w14:textId="6C6A0294" w:rsidR="007F6C8B" w:rsidRPr="005001D6" w:rsidRDefault="007F6C8B"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 xml:space="preserve">(µg </w:t>
            </w:r>
            <w:r w:rsidR="005872C7" w:rsidRPr="005001D6">
              <w:rPr>
                <w:rFonts w:ascii="Arial" w:hAnsi="Arial" w:cs="Arial"/>
                <w:sz w:val="14"/>
                <w:szCs w:val="14"/>
              </w:rPr>
              <w:t>N g</w:t>
            </w:r>
            <w:r w:rsidR="005872C7" w:rsidRPr="005001D6">
              <w:rPr>
                <w:rFonts w:ascii="Arial" w:hAnsi="Arial" w:cs="Arial"/>
                <w:sz w:val="14"/>
                <w:szCs w:val="14"/>
                <w:vertAlign w:val="superscript"/>
              </w:rPr>
              <w:t>-1</w:t>
            </w:r>
            <w:r w:rsidR="005872C7" w:rsidRPr="005001D6">
              <w:rPr>
                <w:rFonts w:ascii="Arial" w:hAnsi="Arial" w:cs="Arial"/>
                <w:sz w:val="14"/>
                <w:szCs w:val="14"/>
              </w:rPr>
              <w:t xml:space="preserve"> dry soil</w:t>
            </w:r>
            <w:r w:rsidRPr="005001D6">
              <w:rPr>
                <w:rFonts w:ascii="Arial" w:hAnsi="Arial" w:cs="Arial"/>
                <w:sz w:val="14"/>
                <w:szCs w:val="14"/>
              </w:rPr>
              <w:t xml:space="preserve">) </w:t>
            </w:r>
          </w:p>
        </w:tc>
        <w:tc>
          <w:tcPr>
            <w:tcW w:w="550" w:type="pct"/>
            <w:shd w:val="clear" w:color="auto" w:fill="auto"/>
          </w:tcPr>
          <w:p w14:paraId="2AED07AB" w14:textId="77777777" w:rsidR="007F6C8B" w:rsidRPr="005001D6" w:rsidRDefault="007F6C8B"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0.6 ± 0.3</w:t>
            </w:r>
          </w:p>
        </w:tc>
        <w:tc>
          <w:tcPr>
            <w:tcW w:w="550" w:type="pct"/>
            <w:shd w:val="clear" w:color="auto" w:fill="auto"/>
          </w:tcPr>
          <w:p w14:paraId="624BED95" w14:textId="77777777" w:rsidR="007F6C8B" w:rsidRPr="005001D6" w:rsidRDefault="007F6C8B"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1.6 ± 0.4</w:t>
            </w:r>
          </w:p>
        </w:tc>
        <w:tc>
          <w:tcPr>
            <w:tcW w:w="396" w:type="pct"/>
          </w:tcPr>
          <w:p w14:paraId="15E64B64" w14:textId="77777777" w:rsidR="007F6C8B" w:rsidRPr="005001D6" w:rsidRDefault="007F6C8B"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1.6 ± 0.9</w:t>
            </w:r>
          </w:p>
        </w:tc>
        <w:tc>
          <w:tcPr>
            <w:tcW w:w="467" w:type="pct"/>
            <w:shd w:val="clear" w:color="auto" w:fill="auto"/>
          </w:tcPr>
          <w:p w14:paraId="3EE70223" w14:textId="77777777" w:rsidR="007F6C8B" w:rsidRPr="005001D6" w:rsidRDefault="007F6C8B"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0.2 ± 0.1</w:t>
            </w:r>
          </w:p>
        </w:tc>
        <w:tc>
          <w:tcPr>
            <w:tcW w:w="471" w:type="pct"/>
            <w:shd w:val="clear" w:color="auto" w:fill="auto"/>
          </w:tcPr>
          <w:p w14:paraId="3F49C524" w14:textId="77777777" w:rsidR="007F6C8B" w:rsidRPr="005001D6" w:rsidRDefault="007F6C8B"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1.4 ± 0.6</w:t>
            </w:r>
          </w:p>
        </w:tc>
        <w:tc>
          <w:tcPr>
            <w:tcW w:w="396" w:type="pct"/>
          </w:tcPr>
          <w:p w14:paraId="0C1CDA69" w14:textId="77777777" w:rsidR="007F6C8B" w:rsidRPr="005001D6" w:rsidRDefault="007F6C8B"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1.1 ± 0.8</w:t>
            </w:r>
          </w:p>
        </w:tc>
        <w:tc>
          <w:tcPr>
            <w:tcW w:w="328" w:type="pct"/>
            <w:shd w:val="clear" w:color="auto" w:fill="auto"/>
          </w:tcPr>
          <w:p w14:paraId="49F3A9F0" w14:textId="0073177A" w:rsidR="007F6C8B" w:rsidRPr="005001D6" w:rsidRDefault="007F6C8B" w:rsidP="00173FAF">
            <w:pPr>
              <w:widowControl w:val="0"/>
              <w:autoSpaceDE w:val="0"/>
              <w:autoSpaceDN w:val="0"/>
              <w:adjustRightInd w:val="0"/>
              <w:spacing w:line="360" w:lineRule="auto"/>
              <w:jc w:val="both"/>
              <w:rPr>
                <w:rFonts w:ascii="Arial" w:hAnsi="Arial" w:cs="Arial"/>
                <w:b/>
                <w:bCs/>
                <w:sz w:val="14"/>
                <w:szCs w:val="14"/>
              </w:rPr>
            </w:pPr>
            <w:r w:rsidRPr="005001D6">
              <w:rPr>
                <w:rFonts w:ascii="Arial" w:hAnsi="Arial" w:cs="Arial"/>
                <w:b/>
                <w:bCs/>
                <w:sz w:val="14"/>
                <w:szCs w:val="14"/>
              </w:rPr>
              <w:t>0.03 (</w:t>
            </w:r>
            <w:r w:rsidR="0057744F" w:rsidRPr="005001D6">
              <w:rPr>
                <w:rFonts w:ascii="Arial" w:hAnsi="Arial" w:cs="Arial"/>
                <w:b/>
                <w:bCs/>
                <w:sz w:val="14"/>
                <w:szCs w:val="14"/>
              </w:rPr>
              <w:t>8.6</w:t>
            </w:r>
            <w:r w:rsidRPr="005001D6">
              <w:rPr>
                <w:rFonts w:ascii="Arial" w:hAnsi="Arial" w:cs="Arial"/>
                <w:b/>
                <w:bCs/>
                <w:sz w:val="14"/>
                <w:szCs w:val="14"/>
              </w:rPr>
              <w:t>)</w:t>
            </w:r>
          </w:p>
        </w:tc>
        <w:tc>
          <w:tcPr>
            <w:tcW w:w="393" w:type="pct"/>
          </w:tcPr>
          <w:p w14:paraId="23CB3415" w14:textId="07D05B43" w:rsidR="007F6C8B" w:rsidRPr="005001D6" w:rsidRDefault="007F6C8B"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0.4</w:t>
            </w:r>
            <w:r w:rsidR="00D3197A" w:rsidRPr="005001D6">
              <w:rPr>
                <w:rFonts w:ascii="Arial" w:hAnsi="Arial" w:cs="Arial"/>
                <w:sz w:val="14"/>
                <w:szCs w:val="14"/>
              </w:rPr>
              <w:t>2</w:t>
            </w:r>
            <w:r w:rsidRPr="005001D6">
              <w:rPr>
                <w:rFonts w:ascii="Arial" w:hAnsi="Arial" w:cs="Arial"/>
                <w:sz w:val="14"/>
                <w:szCs w:val="14"/>
              </w:rPr>
              <w:t xml:space="preserve"> (1.</w:t>
            </w:r>
            <w:r w:rsidR="0057744F" w:rsidRPr="005001D6">
              <w:rPr>
                <w:rFonts w:ascii="Arial" w:hAnsi="Arial" w:cs="Arial"/>
                <w:sz w:val="14"/>
                <w:szCs w:val="14"/>
              </w:rPr>
              <w:t>4</w:t>
            </w:r>
            <w:r w:rsidRPr="005001D6">
              <w:rPr>
                <w:rFonts w:ascii="Arial" w:hAnsi="Arial" w:cs="Arial"/>
                <w:sz w:val="14"/>
                <w:szCs w:val="14"/>
              </w:rPr>
              <w:t>)</w:t>
            </w:r>
          </w:p>
        </w:tc>
        <w:tc>
          <w:tcPr>
            <w:tcW w:w="428" w:type="pct"/>
          </w:tcPr>
          <w:p w14:paraId="4599BF94" w14:textId="373BFA0E" w:rsidR="007F6C8B" w:rsidRPr="005001D6" w:rsidRDefault="00D3197A"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 xml:space="preserve">0.95 </w:t>
            </w:r>
            <w:r w:rsidR="007F6C8B" w:rsidRPr="005001D6">
              <w:rPr>
                <w:rFonts w:ascii="Arial" w:hAnsi="Arial" w:cs="Arial"/>
                <w:sz w:val="14"/>
                <w:szCs w:val="14"/>
              </w:rPr>
              <w:t>(0.1)</w:t>
            </w:r>
          </w:p>
        </w:tc>
      </w:tr>
      <w:tr w:rsidR="005001D6" w:rsidRPr="005001D6" w14:paraId="28F2A2F3" w14:textId="77777777" w:rsidTr="00395C51">
        <w:tc>
          <w:tcPr>
            <w:tcW w:w="1571" w:type="pct"/>
            <w:gridSpan w:val="2"/>
            <w:tcBorders>
              <w:bottom w:val="single" w:sz="4" w:space="0" w:color="auto"/>
            </w:tcBorders>
          </w:tcPr>
          <w:p w14:paraId="5E323B4B" w14:textId="77777777" w:rsidR="00A55598" w:rsidRPr="005001D6" w:rsidRDefault="00A55598" w:rsidP="00173FAF">
            <w:pPr>
              <w:widowControl w:val="0"/>
              <w:autoSpaceDE w:val="0"/>
              <w:autoSpaceDN w:val="0"/>
              <w:adjustRightInd w:val="0"/>
              <w:spacing w:line="360" w:lineRule="auto"/>
              <w:jc w:val="both"/>
              <w:rPr>
                <w:rFonts w:ascii="Arial" w:hAnsi="Arial" w:cs="Arial"/>
                <w:sz w:val="14"/>
                <w:szCs w:val="14"/>
              </w:rPr>
            </w:pPr>
          </w:p>
          <w:p w14:paraId="20F1138F" w14:textId="19229170" w:rsidR="00A55598" w:rsidRPr="005001D6" w:rsidRDefault="00A55598"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ADDITIONAL MEASURES</w:t>
            </w:r>
          </w:p>
        </w:tc>
        <w:tc>
          <w:tcPr>
            <w:tcW w:w="550" w:type="pct"/>
            <w:shd w:val="clear" w:color="auto" w:fill="auto"/>
          </w:tcPr>
          <w:p w14:paraId="5B88117D" w14:textId="77777777" w:rsidR="00A55598" w:rsidRPr="005001D6" w:rsidRDefault="00A55598" w:rsidP="00173FAF">
            <w:pPr>
              <w:widowControl w:val="0"/>
              <w:autoSpaceDE w:val="0"/>
              <w:autoSpaceDN w:val="0"/>
              <w:adjustRightInd w:val="0"/>
              <w:spacing w:line="360" w:lineRule="auto"/>
              <w:jc w:val="both"/>
              <w:rPr>
                <w:rFonts w:ascii="Arial" w:hAnsi="Arial" w:cs="Arial"/>
                <w:sz w:val="14"/>
                <w:szCs w:val="14"/>
              </w:rPr>
            </w:pPr>
          </w:p>
        </w:tc>
        <w:tc>
          <w:tcPr>
            <w:tcW w:w="396" w:type="pct"/>
          </w:tcPr>
          <w:p w14:paraId="0E13DFA0" w14:textId="77777777" w:rsidR="00A55598" w:rsidRPr="005001D6" w:rsidRDefault="00A55598" w:rsidP="00173FAF">
            <w:pPr>
              <w:widowControl w:val="0"/>
              <w:autoSpaceDE w:val="0"/>
              <w:autoSpaceDN w:val="0"/>
              <w:adjustRightInd w:val="0"/>
              <w:spacing w:line="360" w:lineRule="auto"/>
              <w:jc w:val="both"/>
              <w:rPr>
                <w:rFonts w:ascii="Arial" w:hAnsi="Arial" w:cs="Arial"/>
                <w:sz w:val="14"/>
                <w:szCs w:val="14"/>
              </w:rPr>
            </w:pPr>
          </w:p>
        </w:tc>
        <w:tc>
          <w:tcPr>
            <w:tcW w:w="467" w:type="pct"/>
            <w:shd w:val="clear" w:color="auto" w:fill="auto"/>
          </w:tcPr>
          <w:p w14:paraId="2B76B03A" w14:textId="77777777" w:rsidR="00A55598" w:rsidRPr="005001D6" w:rsidRDefault="00A55598" w:rsidP="00173FAF">
            <w:pPr>
              <w:widowControl w:val="0"/>
              <w:autoSpaceDE w:val="0"/>
              <w:autoSpaceDN w:val="0"/>
              <w:adjustRightInd w:val="0"/>
              <w:spacing w:line="360" w:lineRule="auto"/>
              <w:jc w:val="both"/>
              <w:rPr>
                <w:rFonts w:ascii="Arial" w:hAnsi="Arial" w:cs="Arial"/>
                <w:sz w:val="14"/>
                <w:szCs w:val="14"/>
              </w:rPr>
            </w:pPr>
          </w:p>
        </w:tc>
        <w:tc>
          <w:tcPr>
            <w:tcW w:w="471" w:type="pct"/>
            <w:shd w:val="clear" w:color="auto" w:fill="auto"/>
          </w:tcPr>
          <w:p w14:paraId="03537645" w14:textId="77777777" w:rsidR="00A55598" w:rsidRPr="005001D6" w:rsidRDefault="00A55598" w:rsidP="00173FAF">
            <w:pPr>
              <w:widowControl w:val="0"/>
              <w:autoSpaceDE w:val="0"/>
              <w:autoSpaceDN w:val="0"/>
              <w:adjustRightInd w:val="0"/>
              <w:spacing w:line="360" w:lineRule="auto"/>
              <w:jc w:val="both"/>
              <w:rPr>
                <w:rFonts w:ascii="Arial" w:hAnsi="Arial" w:cs="Arial"/>
                <w:sz w:val="14"/>
                <w:szCs w:val="14"/>
              </w:rPr>
            </w:pPr>
          </w:p>
        </w:tc>
        <w:tc>
          <w:tcPr>
            <w:tcW w:w="396" w:type="pct"/>
          </w:tcPr>
          <w:p w14:paraId="33ECD656" w14:textId="77777777" w:rsidR="00A55598" w:rsidRPr="005001D6" w:rsidRDefault="00A55598" w:rsidP="00173FAF">
            <w:pPr>
              <w:widowControl w:val="0"/>
              <w:autoSpaceDE w:val="0"/>
              <w:autoSpaceDN w:val="0"/>
              <w:adjustRightInd w:val="0"/>
              <w:spacing w:line="360" w:lineRule="auto"/>
              <w:jc w:val="both"/>
              <w:rPr>
                <w:rFonts w:ascii="Arial" w:hAnsi="Arial" w:cs="Arial"/>
                <w:sz w:val="14"/>
                <w:szCs w:val="14"/>
              </w:rPr>
            </w:pPr>
          </w:p>
        </w:tc>
        <w:tc>
          <w:tcPr>
            <w:tcW w:w="328" w:type="pct"/>
            <w:shd w:val="clear" w:color="auto" w:fill="auto"/>
          </w:tcPr>
          <w:p w14:paraId="1FE76D99" w14:textId="77777777" w:rsidR="00A55598" w:rsidRPr="005001D6" w:rsidRDefault="00A55598" w:rsidP="00173FAF">
            <w:pPr>
              <w:widowControl w:val="0"/>
              <w:autoSpaceDE w:val="0"/>
              <w:autoSpaceDN w:val="0"/>
              <w:adjustRightInd w:val="0"/>
              <w:spacing w:line="360" w:lineRule="auto"/>
              <w:jc w:val="both"/>
              <w:rPr>
                <w:rFonts w:ascii="Arial" w:hAnsi="Arial" w:cs="Arial"/>
                <w:sz w:val="14"/>
                <w:szCs w:val="14"/>
              </w:rPr>
            </w:pPr>
          </w:p>
        </w:tc>
        <w:tc>
          <w:tcPr>
            <w:tcW w:w="393" w:type="pct"/>
          </w:tcPr>
          <w:p w14:paraId="0C645496" w14:textId="77777777" w:rsidR="00A55598" w:rsidRPr="005001D6" w:rsidRDefault="00A55598" w:rsidP="00173FAF">
            <w:pPr>
              <w:widowControl w:val="0"/>
              <w:autoSpaceDE w:val="0"/>
              <w:autoSpaceDN w:val="0"/>
              <w:adjustRightInd w:val="0"/>
              <w:spacing w:line="360" w:lineRule="auto"/>
              <w:jc w:val="both"/>
              <w:rPr>
                <w:rFonts w:ascii="Arial" w:hAnsi="Arial" w:cs="Arial"/>
                <w:sz w:val="14"/>
                <w:szCs w:val="14"/>
              </w:rPr>
            </w:pPr>
          </w:p>
        </w:tc>
        <w:tc>
          <w:tcPr>
            <w:tcW w:w="428" w:type="pct"/>
          </w:tcPr>
          <w:p w14:paraId="000DB558" w14:textId="77777777" w:rsidR="00A55598" w:rsidRPr="005001D6" w:rsidRDefault="00A55598" w:rsidP="00173FAF">
            <w:pPr>
              <w:widowControl w:val="0"/>
              <w:autoSpaceDE w:val="0"/>
              <w:autoSpaceDN w:val="0"/>
              <w:adjustRightInd w:val="0"/>
              <w:spacing w:line="360" w:lineRule="auto"/>
              <w:jc w:val="both"/>
              <w:rPr>
                <w:rFonts w:ascii="Arial" w:hAnsi="Arial" w:cs="Arial"/>
                <w:sz w:val="14"/>
                <w:szCs w:val="14"/>
              </w:rPr>
            </w:pPr>
          </w:p>
        </w:tc>
      </w:tr>
      <w:tr w:rsidR="0012794B" w:rsidRPr="005001D6" w14:paraId="7BD6B6B2" w14:textId="77777777" w:rsidTr="000C5D1F">
        <w:tc>
          <w:tcPr>
            <w:tcW w:w="1021" w:type="pct"/>
            <w:tcBorders>
              <w:top w:val="single" w:sz="4" w:space="0" w:color="auto"/>
              <w:bottom w:val="single" w:sz="4" w:space="0" w:color="auto"/>
            </w:tcBorders>
            <w:shd w:val="clear" w:color="auto" w:fill="auto"/>
          </w:tcPr>
          <w:p w14:paraId="01269A7D" w14:textId="77777777" w:rsidR="00395C51" w:rsidRPr="005001D6" w:rsidRDefault="00A451C2"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 xml:space="preserve">Soil respiration </w:t>
            </w:r>
          </w:p>
          <w:p w14:paraId="6D4D9C34" w14:textId="57E73843" w:rsidR="00A451C2" w:rsidRPr="005001D6" w:rsidRDefault="00A451C2"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(g CO</w:t>
            </w:r>
            <w:r w:rsidRPr="005001D6">
              <w:rPr>
                <w:rFonts w:ascii="Arial" w:hAnsi="Arial" w:cs="Arial"/>
                <w:sz w:val="14"/>
                <w:szCs w:val="14"/>
                <w:vertAlign w:val="subscript"/>
              </w:rPr>
              <w:t>2</w:t>
            </w:r>
            <w:r w:rsidRPr="005001D6">
              <w:rPr>
                <w:rFonts w:ascii="Arial" w:hAnsi="Arial" w:cs="Arial"/>
                <w:sz w:val="14"/>
                <w:szCs w:val="14"/>
              </w:rPr>
              <w:t xml:space="preserve"> m</w:t>
            </w:r>
            <w:r w:rsidRPr="005001D6">
              <w:rPr>
                <w:rFonts w:ascii="Arial" w:hAnsi="Arial" w:cs="Arial"/>
                <w:sz w:val="14"/>
                <w:szCs w:val="14"/>
                <w:vertAlign w:val="superscript"/>
              </w:rPr>
              <w:t>-2</w:t>
            </w:r>
            <w:r w:rsidRPr="005001D6">
              <w:rPr>
                <w:rFonts w:ascii="Arial" w:hAnsi="Arial" w:cs="Arial"/>
                <w:sz w:val="14"/>
                <w:szCs w:val="14"/>
              </w:rPr>
              <w:t xml:space="preserve"> h</w:t>
            </w:r>
            <w:r w:rsidRPr="005001D6">
              <w:rPr>
                <w:rFonts w:ascii="Arial" w:hAnsi="Arial" w:cs="Arial"/>
                <w:sz w:val="14"/>
                <w:szCs w:val="14"/>
                <w:vertAlign w:val="superscript"/>
              </w:rPr>
              <w:t>-1</w:t>
            </w:r>
            <w:r w:rsidRPr="005001D6">
              <w:rPr>
                <w:rFonts w:ascii="Arial" w:hAnsi="Arial" w:cs="Arial"/>
                <w:sz w:val="14"/>
                <w:szCs w:val="14"/>
              </w:rPr>
              <w:t>)</w:t>
            </w:r>
          </w:p>
        </w:tc>
        <w:tc>
          <w:tcPr>
            <w:tcW w:w="550" w:type="pct"/>
            <w:tcBorders>
              <w:bottom w:val="single" w:sz="4" w:space="0" w:color="auto"/>
            </w:tcBorders>
            <w:shd w:val="clear" w:color="auto" w:fill="auto"/>
          </w:tcPr>
          <w:p w14:paraId="556E664F" w14:textId="77777777" w:rsidR="00A451C2" w:rsidRPr="005001D6" w:rsidRDefault="00A451C2"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0.66 ± 0.07</w:t>
            </w:r>
          </w:p>
        </w:tc>
        <w:tc>
          <w:tcPr>
            <w:tcW w:w="550" w:type="pct"/>
            <w:tcBorders>
              <w:bottom w:val="single" w:sz="4" w:space="0" w:color="auto"/>
            </w:tcBorders>
            <w:shd w:val="clear" w:color="auto" w:fill="auto"/>
          </w:tcPr>
          <w:p w14:paraId="0757C270" w14:textId="77777777" w:rsidR="00A451C2" w:rsidRPr="005001D6" w:rsidRDefault="00A451C2"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0.87 ± 0.10</w:t>
            </w:r>
          </w:p>
        </w:tc>
        <w:tc>
          <w:tcPr>
            <w:tcW w:w="396" w:type="pct"/>
            <w:tcBorders>
              <w:bottom w:val="single" w:sz="4" w:space="0" w:color="auto"/>
            </w:tcBorders>
          </w:tcPr>
          <w:p w14:paraId="4CCAFF14" w14:textId="77777777" w:rsidR="00A451C2" w:rsidRPr="005001D6" w:rsidRDefault="00A451C2"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NA</w:t>
            </w:r>
          </w:p>
        </w:tc>
        <w:tc>
          <w:tcPr>
            <w:tcW w:w="467" w:type="pct"/>
            <w:tcBorders>
              <w:bottom w:val="single" w:sz="4" w:space="0" w:color="auto"/>
            </w:tcBorders>
            <w:shd w:val="clear" w:color="auto" w:fill="auto"/>
          </w:tcPr>
          <w:p w14:paraId="22A88B8B" w14:textId="77777777" w:rsidR="00A451C2" w:rsidRPr="005001D6" w:rsidRDefault="00A451C2"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0.45 ± 0.07</w:t>
            </w:r>
          </w:p>
        </w:tc>
        <w:tc>
          <w:tcPr>
            <w:tcW w:w="471" w:type="pct"/>
            <w:tcBorders>
              <w:bottom w:val="single" w:sz="4" w:space="0" w:color="auto"/>
            </w:tcBorders>
            <w:shd w:val="clear" w:color="auto" w:fill="auto"/>
          </w:tcPr>
          <w:p w14:paraId="36FE0ED7" w14:textId="77777777" w:rsidR="00A451C2" w:rsidRPr="005001D6" w:rsidRDefault="00A451C2"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0.73 ± 0.08</w:t>
            </w:r>
          </w:p>
        </w:tc>
        <w:tc>
          <w:tcPr>
            <w:tcW w:w="396" w:type="pct"/>
            <w:tcBorders>
              <w:bottom w:val="single" w:sz="4" w:space="0" w:color="auto"/>
            </w:tcBorders>
          </w:tcPr>
          <w:p w14:paraId="4B8C228D" w14:textId="77777777" w:rsidR="00A451C2" w:rsidRPr="005001D6" w:rsidRDefault="00A451C2"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NA</w:t>
            </w:r>
          </w:p>
        </w:tc>
        <w:tc>
          <w:tcPr>
            <w:tcW w:w="328" w:type="pct"/>
            <w:tcBorders>
              <w:bottom w:val="single" w:sz="4" w:space="0" w:color="auto"/>
            </w:tcBorders>
            <w:shd w:val="clear" w:color="auto" w:fill="auto"/>
          </w:tcPr>
          <w:p w14:paraId="5A1649E5" w14:textId="77777777" w:rsidR="00A451C2" w:rsidRPr="005001D6" w:rsidRDefault="00A451C2" w:rsidP="00173FAF">
            <w:pPr>
              <w:widowControl w:val="0"/>
              <w:autoSpaceDE w:val="0"/>
              <w:autoSpaceDN w:val="0"/>
              <w:adjustRightInd w:val="0"/>
              <w:spacing w:line="360" w:lineRule="auto"/>
              <w:jc w:val="both"/>
              <w:rPr>
                <w:rFonts w:ascii="Arial" w:hAnsi="Arial" w:cs="Arial"/>
                <w:b/>
                <w:bCs/>
                <w:sz w:val="14"/>
                <w:szCs w:val="14"/>
              </w:rPr>
            </w:pPr>
            <w:r w:rsidRPr="005001D6">
              <w:rPr>
                <w:rFonts w:ascii="Arial" w:hAnsi="Arial" w:cs="Arial"/>
                <w:b/>
                <w:bCs/>
                <w:sz w:val="14"/>
                <w:szCs w:val="14"/>
              </w:rPr>
              <w:t>&lt;0.01 (9.4)</w:t>
            </w:r>
          </w:p>
        </w:tc>
        <w:tc>
          <w:tcPr>
            <w:tcW w:w="393" w:type="pct"/>
            <w:tcBorders>
              <w:bottom w:val="single" w:sz="4" w:space="0" w:color="auto"/>
            </w:tcBorders>
          </w:tcPr>
          <w:p w14:paraId="241DCBC2" w14:textId="77777777" w:rsidR="00A451C2" w:rsidRPr="005001D6" w:rsidRDefault="00A451C2" w:rsidP="00173FAF">
            <w:pPr>
              <w:widowControl w:val="0"/>
              <w:autoSpaceDE w:val="0"/>
              <w:autoSpaceDN w:val="0"/>
              <w:adjustRightInd w:val="0"/>
              <w:spacing w:line="360" w:lineRule="auto"/>
              <w:jc w:val="both"/>
              <w:rPr>
                <w:rFonts w:ascii="Arial" w:hAnsi="Arial" w:cs="Arial"/>
                <w:b/>
                <w:bCs/>
                <w:sz w:val="14"/>
                <w:szCs w:val="14"/>
              </w:rPr>
            </w:pPr>
            <w:r w:rsidRPr="005001D6">
              <w:rPr>
                <w:rFonts w:ascii="Arial" w:hAnsi="Arial" w:cs="Arial"/>
                <w:b/>
                <w:bCs/>
                <w:sz w:val="14"/>
                <w:szCs w:val="14"/>
              </w:rPr>
              <w:t>0.03 (4.8)</w:t>
            </w:r>
          </w:p>
        </w:tc>
        <w:tc>
          <w:tcPr>
            <w:tcW w:w="428" w:type="pct"/>
            <w:tcBorders>
              <w:bottom w:val="single" w:sz="4" w:space="0" w:color="auto"/>
            </w:tcBorders>
          </w:tcPr>
          <w:p w14:paraId="261E84BB" w14:textId="77777777" w:rsidR="00A451C2" w:rsidRPr="005001D6" w:rsidRDefault="00A451C2"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0.62 (0.2)</w:t>
            </w:r>
          </w:p>
        </w:tc>
      </w:tr>
    </w:tbl>
    <w:p w14:paraId="74909908" w14:textId="3C711757" w:rsidR="00A451C2" w:rsidRPr="005001D6" w:rsidRDefault="00A451C2" w:rsidP="00173FAF">
      <w:pPr>
        <w:spacing w:line="480" w:lineRule="auto"/>
        <w:jc w:val="both"/>
      </w:pPr>
    </w:p>
    <w:p w14:paraId="6A4BADA8" w14:textId="494465A1" w:rsidR="00A451C2" w:rsidRPr="005001D6" w:rsidRDefault="00A451C2" w:rsidP="00173FAF">
      <w:pPr>
        <w:spacing w:line="480" w:lineRule="auto"/>
        <w:jc w:val="both"/>
      </w:pPr>
      <w:r w:rsidRPr="005001D6">
        <w:rPr>
          <w:b/>
          <w:bCs/>
        </w:rPr>
        <w:lastRenderedPageBreak/>
        <w:t xml:space="preserve">Table </w:t>
      </w:r>
      <w:r w:rsidR="009A358E" w:rsidRPr="005001D6">
        <w:rPr>
          <w:b/>
          <w:bCs/>
        </w:rPr>
        <w:t>S</w:t>
      </w:r>
      <w:r w:rsidR="00833B65" w:rsidRPr="005001D6">
        <w:rPr>
          <w:b/>
          <w:bCs/>
        </w:rPr>
        <w:t>5</w:t>
      </w:r>
      <w:r w:rsidRPr="005001D6">
        <w:rPr>
          <w:b/>
          <w:bCs/>
        </w:rPr>
        <w:t xml:space="preserve"> | </w:t>
      </w:r>
      <w:r w:rsidR="00E37537" w:rsidRPr="005001D6">
        <w:rPr>
          <w:b/>
          <w:bCs/>
        </w:rPr>
        <w:t>S</w:t>
      </w:r>
      <w:r w:rsidRPr="005001D6">
        <w:rPr>
          <w:b/>
          <w:bCs/>
        </w:rPr>
        <w:t>oil microbial and plant</w:t>
      </w:r>
      <w:r w:rsidR="00CD1C42" w:rsidRPr="005001D6">
        <w:rPr>
          <w:b/>
          <w:bCs/>
        </w:rPr>
        <w:t xml:space="preserve"> </w:t>
      </w:r>
      <w:r w:rsidR="00CD1C42" w:rsidRPr="005001D6">
        <w:rPr>
          <w:b/>
          <w:bCs/>
          <w:vertAlign w:val="superscript"/>
        </w:rPr>
        <w:t>15</w:t>
      </w:r>
      <w:r w:rsidR="00CD1C42" w:rsidRPr="005001D6">
        <w:rPr>
          <w:b/>
          <w:bCs/>
        </w:rPr>
        <w:t xml:space="preserve">N content after </w:t>
      </w:r>
      <w:r w:rsidR="00CD1C42" w:rsidRPr="005001D6">
        <w:rPr>
          <w:b/>
          <w:bCs/>
          <w:vertAlign w:val="superscript"/>
        </w:rPr>
        <w:t>15</w:t>
      </w:r>
      <w:r w:rsidR="00CD1C42" w:rsidRPr="005001D6">
        <w:rPr>
          <w:b/>
          <w:bCs/>
        </w:rPr>
        <w:t>N labelling</w:t>
      </w:r>
      <w:r w:rsidR="00F173E1" w:rsidRPr="005001D6">
        <w:rPr>
          <w:b/>
          <w:bCs/>
        </w:rPr>
        <w:t xml:space="preserve"> </w:t>
      </w:r>
      <w:r w:rsidRPr="005001D6">
        <w:rPr>
          <w:b/>
          <w:bCs/>
        </w:rPr>
        <w:t xml:space="preserve">in the </w:t>
      </w:r>
      <w:r w:rsidR="00E37537" w:rsidRPr="005001D6">
        <w:rPr>
          <w:b/>
          <w:bCs/>
        </w:rPr>
        <w:t>s</w:t>
      </w:r>
      <w:r w:rsidR="00465543" w:rsidRPr="005001D6">
        <w:rPr>
          <w:b/>
          <w:bCs/>
        </w:rPr>
        <w:t>now cover manipulation experiment</w:t>
      </w:r>
      <w:r w:rsidRPr="005001D6">
        <w:rPr>
          <w:b/>
          <w:bCs/>
        </w:rPr>
        <w:t>.</w:t>
      </w:r>
      <w:r w:rsidR="00047D8D" w:rsidRPr="005001D6">
        <w:rPr>
          <w:b/>
          <w:bCs/>
        </w:rPr>
        <w:t xml:space="preserve"> </w:t>
      </w:r>
      <w:r w:rsidR="00CD1C42" w:rsidRPr="005001D6">
        <w:t xml:space="preserve">Means (± SE) for vegetation treatments and change (Δ) from grass to shrub (as % of grass, based on unrounded means). </w:t>
      </w:r>
      <w:proofErr w:type="gramStart"/>
      <w:r w:rsidRPr="005001D6">
        <w:rPr>
          <w:i/>
          <w:iCs/>
        </w:rPr>
        <w:t>p</w:t>
      </w:r>
      <w:proofErr w:type="gramEnd"/>
      <w:r w:rsidRPr="005001D6">
        <w:t xml:space="preserve"> and χ2 values from Wald tests</w:t>
      </w:r>
      <w:r w:rsidR="00047D8D" w:rsidRPr="005001D6">
        <w:t xml:space="preserve"> for vegetation and snow manipulation treatments, N-form (i.e., inorganic and organic), and their interactions</w:t>
      </w:r>
      <w:r w:rsidRPr="005001D6">
        <w:t>.</w:t>
      </w:r>
      <w:r w:rsidR="00047D8D" w:rsidRPr="005001D6">
        <w:t xml:space="preserve"> </w:t>
      </w:r>
      <w:r w:rsidR="00CD47F9" w:rsidRPr="005001D6">
        <w:t>S</w:t>
      </w:r>
      <w:r w:rsidR="00F173E1" w:rsidRPr="005001D6">
        <w:t>ignificant effects in bold</w:t>
      </w:r>
      <w:r w:rsidR="00CD1C42" w:rsidRPr="005001D6">
        <w:t xml:space="preserve">, </w:t>
      </w:r>
      <w:r w:rsidR="00757B9F" w:rsidRPr="005001D6">
        <w:t>*log</w:t>
      </w:r>
      <w:r w:rsidR="00757B9F" w:rsidRPr="005001D6">
        <w:rPr>
          <w:vertAlign w:val="subscript"/>
        </w:rPr>
        <w:t>10</w:t>
      </w:r>
      <w:r w:rsidR="00757B9F" w:rsidRPr="005001D6">
        <w:t xml:space="preserve"> transformed for analysis</w:t>
      </w:r>
      <w:r w:rsidR="00CD47F9" w:rsidRPr="005001D6">
        <w:t>.</w:t>
      </w:r>
      <w:r w:rsidR="00047D8D" w:rsidRPr="005001D6">
        <w:t xml:space="preserve"> </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7"/>
        <w:gridCol w:w="955"/>
        <w:gridCol w:w="677"/>
        <w:gridCol w:w="850"/>
        <w:gridCol w:w="688"/>
        <w:gridCol w:w="888"/>
        <w:gridCol w:w="983"/>
        <w:gridCol w:w="664"/>
        <w:gridCol w:w="586"/>
        <w:gridCol w:w="595"/>
        <w:gridCol w:w="613"/>
      </w:tblGrid>
      <w:tr w:rsidR="005001D6" w:rsidRPr="005001D6" w14:paraId="5BC62B29" w14:textId="77777777" w:rsidTr="00090CE3">
        <w:tc>
          <w:tcPr>
            <w:tcW w:w="851" w:type="pct"/>
            <w:tcBorders>
              <w:top w:val="single" w:sz="4" w:space="0" w:color="auto"/>
              <w:bottom w:val="single" w:sz="4" w:space="0" w:color="auto"/>
            </w:tcBorders>
          </w:tcPr>
          <w:p w14:paraId="38EE3D2C" w14:textId="77777777" w:rsidR="00CD1C42" w:rsidRPr="005001D6" w:rsidRDefault="00CD1C42" w:rsidP="00173FAF">
            <w:pPr>
              <w:widowControl w:val="0"/>
              <w:autoSpaceDE w:val="0"/>
              <w:autoSpaceDN w:val="0"/>
              <w:adjustRightInd w:val="0"/>
              <w:spacing w:line="360" w:lineRule="auto"/>
              <w:jc w:val="both"/>
              <w:rPr>
                <w:rFonts w:ascii="Arial" w:hAnsi="Arial" w:cs="Arial"/>
                <w:sz w:val="14"/>
                <w:szCs w:val="14"/>
              </w:rPr>
            </w:pPr>
          </w:p>
          <w:p w14:paraId="26AD9162" w14:textId="3A4BEB8A" w:rsidR="00CD1C42" w:rsidRPr="005001D6" w:rsidRDefault="00CD1C42" w:rsidP="00173FAF">
            <w:pPr>
              <w:widowControl w:val="0"/>
              <w:autoSpaceDE w:val="0"/>
              <w:autoSpaceDN w:val="0"/>
              <w:adjustRightInd w:val="0"/>
              <w:spacing w:line="360" w:lineRule="auto"/>
              <w:jc w:val="both"/>
              <w:rPr>
                <w:rFonts w:ascii="Arial" w:hAnsi="Arial" w:cs="Arial"/>
                <w:sz w:val="14"/>
                <w:szCs w:val="14"/>
              </w:rPr>
            </w:pPr>
          </w:p>
        </w:tc>
        <w:tc>
          <w:tcPr>
            <w:tcW w:w="534" w:type="pct"/>
            <w:tcBorders>
              <w:top w:val="single" w:sz="4" w:space="0" w:color="auto"/>
              <w:bottom w:val="single" w:sz="4" w:space="0" w:color="auto"/>
            </w:tcBorders>
          </w:tcPr>
          <w:p w14:paraId="6BAF329E" w14:textId="77777777" w:rsidR="00CD1C42" w:rsidRPr="005001D6" w:rsidRDefault="00CD1C42"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Means ± SE</w:t>
            </w:r>
          </w:p>
          <w:p w14:paraId="3B35C552" w14:textId="77777777" w:rsidR="00CD1C42" w:rsidRPr="005001D6" w:rsidRDefault="00CD1C42"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 xml:space="preserve">Shrub </w:t>
            </w:r>
          </w:p>
          <w:p w14:paraId="18DFA040" w14:textId="77777777" w:rsidR="00CD1C42" w:rsidRPr="005001D6" w:rsidRDefault="00CD1C42"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(n = 20)</w:t>
            </w:r>
          </w:p>
        </w:tc>
        <w:tc>
          <w:tcPr>
            <w:tcW w:w="380" w:type="pct"/>
            <w:tcBorders>
              <w:top w:val="single" w:sz="4" w:space="0" w:color="auto"/>
              <w:bottom w:val="single" w:sz="4" w:space="0" w:color="auto"/>
            </w:tcBorders>
          </w:tcPr>
          <w:p w14:paraId="56137956" w14:textId="77777777" w:rsidR="00CD1C42" w:rsidRPr="005001D6" w:rsidRDefault="00CD1C42" w:rsidP="00173FAF">
            <w:pPr>
              <w:widowControl w:val="0"/>
              <w:autoSpaceDE w:val="0"/>
              <w:autoSpaceDN w:val="0"/>
              <w:adjustRightInd w:val="0"/>
              <w:spacing w:line="360" w:lineRule="auto"/>
              <w:jc w:val="both"/>
              <w:rPr>
                <w:rFonts w:ascii="Arial" w:hAnsi="Arial" w:cs="Arial"/>
                <w:sz w:val="14"/>
                <w:szCs w:val="14"/>
              </w:rPr>
            </w:pPr>
          </w:p>
          <w:p w14:paraId="4422BA06" w14:textId="77777777" w:rsidR="00CD1C42" w:rsidRPr="005001D6" w:rsidRDefault="00CD1C42"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 xml:space="preserve">Grass </w:t>
            </w:r>
          </w:p>
          <w:p w14:paraId="03475399" w14:textId="77777777" w:rsidR="00CD1C42" w:rsidRPr="005001D6" w:rsidRDefault="00CD1C42"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(n = 20)</w:t>
            </w:r>
          </w:p>
        </w:tc>
        <w:tc>
          <w:tcPr>
            <w:tcW w:w="476" w:type="pct"/>
            <w:tcBorders>
              <w:top w:val="single" w:sz="4" w:space="0" w:color="auto"/>
              <w:bottom w:val="single" w:sz="4" w:space="0" w:color="auto"/>
            </w:tcBorders>
          </w:tcPr>
          <w:p w14:paraId="625EB8C5" w14:textId="77777777" w:rsidR="00CD1C42" w:rsidRPr="005001D6" w:rsidRDefault="00CD1C42"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Δ grass to shrub (%)</w:t>
            </w:r>
          </w:p>
        </w:tc>
        <w:tc>
          <w:tcPr>
            <w:tcW w:w="386" w:type="pct"/>
            <w:tcBorders>
              <w:top w:val="single" w:sz="4" w:space="0" w:color="auto"/>
              <w:bottom w:val="single" w:sz="4" w:space="0" w:color="auto"/>
            </w:tcBorders>
          </w:tcPr>
          <w:p w14:paraId="66E35381" w14:textId="77777777" w:rsidR="00CD1C42" w:rsidRPr="005001D6" w:rsidRDefault="00CD1C42" w:rsidP="00173FAF">
            <w:pPr>
              <w:widowControl w:val="0"/>
              <w:autoSpaceDE w:val="0"/>
              <w:autoSpaceDN w:val="0"/>
              <w:adjustRightInd w:val="0"/>
              <w:spacing w:line="360" w:lineRule="auto"/>
              <w:jc w:val="both"/>
              <w:rPr>
                <w:rFonts w:ascii="Arial" w:hAnsi="Arial" w:cs="Arial"/>
                <w:i/>
                <w:iCs/>
                <w:sz w:val="14"/>
                <w:szCs w:val="14"/>
              </w:rPr>
            </w:pPr>
            <w:r w:rsidRPr="005001D6">
              <w:rPr>
                <w:rFonts w:ascii="Arial" w:hAnsi="Arial" w:cs="Arial"/>
                <w:i/>
                <w:iCs/>
                <w:sz w:val="14"/>
                <w:szCs w:val="14"/>
              </w:rPr>
              <w:t>Veg (V)</w:t>
            </w:r>
          </w:p>
          <w:p w14:paraId="3A0768F6" w14:textId="77777777" w:rsidR="00CD1C42" w:rsidRPr="005001D6" w:rsidRDefault="00CD1C42"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i/>
                <w:iCs/>
                <w:sz w:val="14"/>
                <w:szCs w:val="14"/>
              </w:rPr>
              <w:t xml:space="preserve">p </w:t>
            </w:r>
            <w:r w:rsidRPr="005001D6">
              <w:rPr>
                <w:rFonts w:ascii="Arial" w:hAnsi="Arial" w:cs="Arial"/>
                <w:sz w:val="14"/>
                <w:szCs w:val="14"/>
              </w:rPr>
              <w:t>(χ</w:t>
            </w:r>
            <w:r w:rsidRPr="005001D6">
              <w:rPr>
                <w:rFonts w:ascii="Arial" w:hAnsi="Arial" w:cs="Arial"/>
                <w:sz w:val="14"/>
                <w:szCs w:val="14"/>
                <w:vertAlign w:val="superscript"/>
              </w:rPr>
              <w:t>2</w:t>
            </w:r>
            <w:r w:rsidRPr="005001D6">
              <w:rPr>
                <w:rFonts w:ascii="Arial" w:hAnsi="Arial" w:cs="Arial"/>
                <w:sz w:val="14"/>
                <w:szCs w:val="14"/>
              </w:rPr>
              <w:t>)</w:t>
            </w:r>
          </w:p>
        </w:tc>
        <w:tc>
          <w:tcPr>
            <w:tcW w:w="497" w:type="pct"/>
            <w:tcBorders>
              <w:top w:val="single" w:sz="4" w:space="0" w:color="auto"/>
              <w:bottom w:val="single" w:sz="4" w:space="0" w:color="auto"/>
            </w:tcBorders>
          </w:tcPr>
          <w:p w14:paraId="49526AD3" w14:textId="77777777" w:rsidR="00CD1C42" w:rsidRPr="005001D6" w:rsidRDefault="00CD1C42" w:rsidP="00173FAF">
            <w:pPr>
              <w:widowControl w:val="0"/>
              <w:autoSpaceDE w:val="0"/>
              <w:autoSpaceDN w:val="0"/>
              <w:adjustRightInd w:val="0"/>
              <w:spacing w:line="360" w:lineRule="auto"/>
              <w:jc w:val="both"/>
              <w:rPr>
                <w:rFonts w:ascii="Arial" w:hAnsi="Arial" w:cs="Arial"/>
                <w:i/>
                <w:iCs/>
                <w:sz w:val="14"/>
                <w:szCs w:val="14"/>
              </w:rPr>
            </w:pPr>
            <w:r w:rsidRPr="005001D6">
              <w:rPr>
                <w:rFonts w:ascii="Arial" w:hAnsi="Arial" w:cs="Arial"/>
                <w:i/>
                <w:iCs/>
                <w:sz w:val="14"/>
                <w:szCs w:val="14"/>
              </w:rPr>
              <w:t>Snow (S)</w:t>
            </w:r>
          </w:p>
          <w:p w14:paraId="79D90919" w14:textId="77777777" w:rsidR="00CD1C42" w:rsidRPr="005001D6" w:rsidRDefault="00CD1C42"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i/>
                <w:iCs/>
                <w:sz w:val="14"/>
                <w:szCs w:val="14"/>
              </w:rPr>
              <w:t xml:space="preserve">p </w:t>
            </w:r>
            <w:r w:rsidRPr="005001D6">
              <w:rPr>
                <w:rFonts w:ascii="Arial" w:hAnsi="Arial" w:cs="Arial"/>
                <w:sz w:val="14"/>
                <w:szCs w:val="14"/>
              </w:rPr>
              <w:t>(χ</w:t>
            </w:r>
            <w:r w:rsidRPr="005001D6">
              <w:rPr>
                <w:rFonts w:ascii="Arial" w:hAnsi="Arial" w:cs="Arial"/>
                <w:sz w:val="14"/>
                <w:szCs w:val="14"/>
                <w:vertAlign w:val="superscript"/>
              </w:rPr>
              <w:t>2</w:t>
            </w:r>
            <w:r w:rsidRPr="005001D6">
              <w:rPr>
                <w:rFonts w:ascii="Arial" w:hAnsi="Arial" w:cs="Arial"/>
                <w:sz w:val="14"/>
                <w:szCs w:val="14"/>
              </w:rPr>
              <w:t>)</w:t>
            </w:r>
          </w:p>
        </w:tc>
        <w:tc>
          <w:tcPr>
            <w:tcW w:w="549" w:type="pct"/>
            <w:tcBorders>
              <w:top w:val="single" w:sz="4" w:space="0" w:color="auto"/>
              <w:bottom w:val="single" w:sz="4" w:space="0" w:color="auto"/>
            </w:tcBorders>
          </w:tcPr>
          <w:p w14:paraId="163F0C3B" w14:textId="77777777" w:rsidR="00CD1C42" w:rsidRPr="005001D6" w:rsidRDefault="00CD1C42" w:rsidP="00173FAF">
            <w:pPr>
              <w:widowControl w:val="0"/>
              <w:autoSpaceDE w:val="0"/>
              <w:autoSpaceDN w:val="0"/>
              <w:adjustRightInd w:val="0"/>
              <w:spacing w:line="360" w:lineRule="auto"/>
              <w:jc w:val="both"/>
              <w:rPr>
                <w:rFonts w:ascii="Arial" w:hAnsi="Arial" w:cs="Arial"/>
                <w:i/>
                <w:iCs/>
                <w:sz w:val="14"/>
                <w:szCs w:val="14"/>
              </w:rPr>
            </w:pPr>
            <w:r w:rsidRPr="005001D6">
              <w:rPr>
                <w:rFonts w:ascii="Arial" w:hAnsi="Arial" w:cs="Arial"/>
                <w:i/>
                <w:iCs/>
                <w:sz w:val="14"/>
                <w:szCs w:val="14"/>
              </w:rPr>
              <w:t>N-form (N)</w:t>
            </w:r>
          </w:p>
          <w:p w14:paraId="0BC4E890" w14:textId="77777777" w:rsidR="00CD1C42" w:rsidRPr="005001D6" w:rsidRDefault="00CD1C42" w:rsidP="00173FAF">
            <w:pPr>
              <w:widowControl w:val="0"/>
              <w:autoSpaceDE w:val="0"/>
              <w:autoSpaceDN w:val="0"/>
              <w:adjustRightInd w:val="0"/>
              <w:spacing w:line="360" w:lineRule="auto"/>
              <w:jc w:val="both"/>
              <w:rPr>
                <w:rFonts w:ascii="Arial" w:hAnsi="Arial" w:cs="Arial"/>
                <w:i/>
                <w:iCs/>
                <w:sz w:val="14"/>
                <w:szCs w:val="14"/>
              </w:rPr>
            </w:pPr>
            <w:r w:rsidRPr="005001D6">
              <w:rPr>
                <w:rFonts w:ascii="Arial" w:hAnsi="Arial" w:cs="Arial"/>
                <w:i/>
                <w:iCs/>
                <w:sz w:val="14"/>
                <w:szCs w:val="14"/>
              </w:rPr>
              <w:t xml:space="preserve"> p </w:t>
            </w:r>
            <w:r w:rsidRPr="005001D6">
              <w:rPr>
                <w:rFonts w:ascii="Arial" w:hAnsi="Arial" w:cs="Arial"/>
                <w:sz w:val="14"/>
                <w:szCs w:val="14"/>
              </w:rPr>
              <w:t>(χ</w:t>
            </w:r>
            <w:r w:rsidRPr="005001D6">
              <w:rPr>
                <w:rFonts w:ascii="Arial" w:hAnsi="Arial" w:cs="Arial"/>
                <w:sz w:val="14"/>
                <w:szCs w:val="14"/>
                <w:vertAlign w:val="superscript"/>
              </w:rPr>
              <w:t>2</w:t>
            </w:r>
            <w:r w:rsidRPr="005001D6">
              <w:rPr>
                <w:rFonts w:ascii="Arial" w:hAnsi="Arial" w:cs="Arial"/>
                <w:sz w:val="14"/>
                <w:szCs w:val="14"/>
              </w:rPr>
              <w:t>)</w:t>
            </w:r>
          </w:p>
        </w:tc>
        <w:tc>
          <w:tcPr>
            <w:tcW w:w="325" w:type="pct"/>
            <w:tcBorders>
              <w:top w:val="single" w:sz="4" w:space="0" w:color="auto"/>
              <w:bottom w:val="single" w:sz="4" w:space="0" w:color="auto"/>
            </w:tcBorders>
          </w:tcPr>
          <w:p w14:paraId="1C1A8779" w14:textId="77777777" w:rsidR="00CD1C42" w:rsidRPr="005001D6" w:rsidRDefault="00CD1C42" w:rsidP="00173FAF">
            <w:pPr>
              <w:widowControl w:val="0"/>
              <w:autoSpaceDE w:val="0"/>
              <w:autoSpaceDN w:val="0"/>
              <w:adjustRightInd w:val="0"/>
              <w:spacing w:line="360" w:lineRule="auto"/>
              <w:jc w:val="both"/>
              <w:rPr>
                <w:rFonts w:ascii="Arial" w:hAnsi="Arial" w:cs="Arial"/>
                <w:i/>
                <w:iCs/>
                <w:sz w:val="14"/>
                <w:szCs w:val="14"/>
              </w:rPr>
            </w:pPr>
            <w:r w:rsidRPr="005001D6">
              <w:rPr>
                <w:rFonts w:ascii="Arial" w:hAnsi="Arial" w:cs="Arial"/>
                <w:i/>
                <w:iCs/>
                <w:sz w:val="14"/>
                <w:szCs w:val="14"/>
              </w:rPr>
              <w:t>V*S</w:t>
            </w:r>
          </w:p>
          <w:p w14:paraId="40CBF869" w14:textId="77777777" w:rsidR="00CD1C42" w:rsidRPr="005001D6" w:rsidRDefault="00CD1C42" w:rsidP="00173FAF">
            <w:pPr>
              <w:widowControl w:val="0"/>
              <w:autoSpaceDE w:val="0"/>
              <w:autoSpaceDN w:val="0"/>
              <w:adjustRightInd w:val="0"/>
              <w:spacing w:line="360" w:lineRule="auto"/>
              <w:jc w:val="both"/>
              <w:rPr>
                <w:rFonts w:ascii="Arial" w:hAnsi="Arial" w:cs="Arial"/>
                <w:i/>
                <w:iCs/>
                <w:sz w:val="14"/>
                <w:szCs w:val="14"/>
              </w:rPr>
            </w:pPr>
            <w:r w:rsidRPr="005001D6">
              <w:rPr>
                <w:rFonts w:ascii="Arial" w:hAnsi="Arial" w:cs="Arial"/>
                <w:i/>
                <w:iCs/>
                <w:sz w:val="14"/>
                <w:szCs w:val="14"/>
              </w:rPr>
              <w:t xml:space="preserve">p </w:t>
            </w:r>
            <w:r w:rsidRPr="005001D6">
              <w:rPr>
                <w:rFonts w:ascii="Arial" w:hAnsi="Arial" w:cs="Arial"/>
                <w:sz w:val="14"/>
                <w:szCs w:val="14"/>
              </w:rPr>
              <w:t>(χ</w:t>
            </w:r>
            <w:r w:rsidRPr="005001D6">
              <w:rPr>
                <w:rFonts w:ascii="Arial" w:hAnsi="Arial" w:cs="Arial"/>
                <w:sz w:val="14"/>
                <w:szCs w:val="14"/>
                <w:vertAlign w:val="superscript"/>
              </w:rPr>
              <w:t>2</w:t>
            </w:r>
            <w:r w:rsidRPr="005001D6">
              <w:rPr>
                <w:rFonts w:ascii="Arial" w:hAnsi="Arial" w:cs="Arial"/>
                <w:sz w:val="14"/>
                <w:szCs w:val="14"/>
              </w:rPr>
              <w:t>)</w:t>
            </w:r>
          </w:p>
        </w:tc>
        <w:tc>
          <w:tcPr>
            <w:tcW w:w="325" w:type="pct"/>
            <w:tcBorders>
              <w:top w:val="single" w:sz="4" w:space="0" w:color="auto"/>
              <w:bottom w:val="single" w:sz="4" w:space="0" w:color="auto"/>
            </w:tcBorders>
          </w:tcPr>
          <w:p w14:paraId="6C05AA9C" w14:textId="77777777" w:rsidR="00CD1C42" w:rsidRPr="005001D6" w:rsidRDefault="00CD1C42" w:rsidP="00173FAF">
            <w:pPr>
              <w:widowControl w:val="0"/>
              <w:autoSpaceDE w:val="0"/>
              <w:autoSpaceDN w:val="0"/>
              <w:adjustRightInd w:val="0"/>
              <w:spacing w:line="360" w:lineRule="auto"/>
              <w:jc w:val="both"/>
              <w:rPr>
                <w:rFonts w:ascii="Arial" w:hAnsi="Arial" w:cs="Arial"/>
                <w:i/>
                <w:iCs/>
                <w:sz w:val="14"/>
                <w:szCs w:val="14"/>
              </w:rPr>
            </w:pPr>
            <w:r w:rsidRPr="005001D6">
              <w:rPr>
                <w:rFonts w:ascii="Arial" w:hAnsi="Arial" w:cs="Arial"/>
                <w:i/>
                <w:iCs/>
                <w:sz w:val="14"/>
                <w:szCs w:val="14"/>
              </w:rPr>
              <w:t>V*N</w:t>
            </w:r>
          </w:p>
          <w:p w14:paraId="306F140A" w14:textId="77777777" w:rsidR="00CD1C42" w:rsidRPr="005001D6" w:rsidRDefault="00CD1C42" w:rsidP="00173FAF">
            <w:pPr>
              <w:widowControl w:val="0"/>
              <w:autoSpaceDE w:val="0"/>
              <w:autoSpaceDN w:val="0"/>
              <w:adjustRightInd w:val="0"/>
              <w:spacing w:line="360" w:lineRule="auto"/>
              <w:jc w:val="both"/>
              <w:rPr>
                <w:rFonts w:ascii="Arial" w:hAnsi="Arial" w:cs="Arial"/>
                <w:i/>
                <w:iCs/>
                <w:sz w:val="14"/>
                <w:szCs w:val="14"/>
              </w:rPr>
            </w:pPr>
            <w:r w:rsidRPr="005001D6">
              <w:rPr>
                <w:rFonts w:ascii="Arial" w:hAnsi="Arial" w:cs="Arial"/>
                <w:i/>
                <w:iCs/>
                <w:sz w:val="14"/>
                <w:szCs w:val="14"/>
              </w:rPr>
              <w:t xml:space="preserve">p </w:t>
            </w:r>
            <w:r w:rsidRPr="005001D6">
              <w:rPr>
                <w:rFonts w:ascii="Arial" w:hAnsi="Arial" w:cs="Arial"/>
                <w:sz w:val="14"/>
                <w:szCs w:val="14"/>
              </w:rPr>
              <w:t>(χ</w:t>
            </w:r>
            <w:r w:rsidRPr="005001D6">
              <w:rPr>
                <w:rFonts w:ascii="Arial" w:hAnsi="Arial" w:cs="Arial"/>
                <w:sz w:val="14"/>
                <w:szCs w:val="14"/>
                <w:vertAlign w:val="superscript"/>
              </w:rPr>
              <w:t>2</w:t>
            </w:r>
            <w:r w:rsidRPr="005001D6">
              <w:rPr>
                <w:rFonts w:ascii="Arial" w:hAnsi="Arial" w:cs="Arial"/>
                <w:sz w:val="14"/>
                <w:szCs w:val="14"/>
              </w:rPr>
              <w:t>)</w:t>
            </w:r>
          </w:p>
        </w:tc>
        <w:tc>
          <w:tcPr>
            <w:tcW w:w="337" w:type="pct"/>
            <w:tcBorders>
              <w:top w:val="single" w:sz="4" w:space="0" w:color="auto"/>
              <w:bottom w:val="single" w:sz="4" w:space="0" w:color="auto"/>
            </w:tcBorders>
          </w:tcPr>
          <w:p w14:paraId="306096BB" w14:textId="77777777" w:rsidR="00CD1C42" w:rsidRPr="005001D6" w:rsidRDefault="00CD1C42" w:rsidP="00173FAF">
            <w:pPr>
              <w:widowControl w:val="0"/>
              <w:autoSpaceDE w:val="0"/>
              <w:autoSpaceDN w:val="0"/>
              <w:adjustRightInd w:val="0"/>
              <w:spacing w:line="360" w:lineRule="auto"/>
              <w:jc w:val="both"/>
              <w:rPr>
                <w:rFonts w:ascii="Arial" w:hAnsi="Arial" w:cs="Arial"/>
                <w:i/>
                <w:iCs/>
                <w:sz w:val="14"/>
                <w:szCs w:val="14"/>
              </w:rPr>
            </w:pPr>
            <w:r w:rsidRPr="005001D6">
              <w:rPr>
                <w:rFonts w:ascii="Arial" w:hAnsi="Arial" w:cs="Arial"/>
                <w:i/>
                <w:iCs/>
                <w:sz w:val="14"/>
                <w:szCs w:val="14"/>
              </w:rPr>
              <w:t>S*N</w:t>
            </w:r>
          </w:p>
          <w:p w14:paraId="04834846" w14:textId="77777777" w:rsidR="00CD1C42" w:rsidRPr="005001D6" w:rsidRDefault="00CD1C42" w:rsidP="00173FAF">
            <w:pPr>
              <w:widowControl w:val="0"/>
              <w:autoSpaceDE w:val="0"/>
              <w:autoSpaceDN w:val="0"/>
              <w:adjustRightInd w:val="0"/>
              <w:spacing w:line="360" w:lineRule="auto"/>
              <w:jc w:val="both"/>
              <w:rPr>
                <w:rFonts w:ascii="Arial" w:hAnsi="Arial" w:cs="Arial"/>
                <w:i/>
                <w:iCs/>
                <w:sz w:val="14"/>
                <w:szCs w:val="14"/>
              </w:rPr>
            </w:pPr>
            <w:r w:rsidRPr="005001D6">
              <w:rPr>
                <w:rFonts w:ascii="Arial" w:hAnsi="Arial" w:cs="Arial"/>
                <w:i/>
                <w:iCs/>
                <w:sz w:val="14"/>
                <w:szCs w:val="14"/>
              </w:rPr>
              <w:t xml:space="preserve">p </w:t>
            </w:r>
            <w:r w:rsidRPr="005001D6">
              <w:rPr>
                <w:rFonts w:ascii="Arial" w:hAnsi="Arial" w:cs="Arial"/>
                <w:sz w:val="14"/>
                <w:szCs w:val="14"/>
              </w:rPr>
              <w:t>(χ</w:t>
            </w:r>
            <w:r w:rsidRPr="005001D6">
              <w:rPr>
                <w:rFonts w:ascii="Arial" w:hAnsi="Arial" w:cs="Arial"/>
                <w:sz w:val="14"/>
                <w:szCs w:val="14"/>
                <w:vertAlign w:val="superscript"/>
              </w:rPr>
              <w:t>2</w:t>
            </w:r>
            <w:r w:rsidRPr="005001D6">
              <w:rPr>
                <w:rFonts w:ascii="Arial" w:hAnsi="Arial" w:cs="Arial"/>
                <w:sz w:val="14"/>
                <w:szCs w:val="14"/>
              </w:rPr>
              <w:t>)</w:t>
            </w:r>
          </w:p>
          <w:p w14:paraId="3B784BB8" w14:textId="77777777" w:rsidR="00CD1C42" w:rsidRPr="005001D6" w:rsidRDefault="00CD1C42" w:rsidP="00173FAF">
            <w:pPr>
              <w:widowControl w:val="0"/>
              <w:autoSpaceDE w:val="0"/>
              <w:autoSpaceDN w:val="0"/>
              <w:adjustRightInd w:val="0"/>
              <w:spacing w:line="360" w:lineRule="auto"/>
              <w:jc w:val="both"/>
              <w:rPr>
                <w:rFonts w:ascii="Arial" w:hAnsi="Arial" w:cs="Arial"/>
                <w:i/>
                <w:iCs/>
                <w:sz w:val="14"/>
                <w:szCs w:val="14"/>
              </w:rPr>
            </w:pPr>
          </w:p>
        </w:tc>
        <w:tc>
          <w:tcPr>
            <w:tcW w:w="340" w:type="pct"/>
            <w:tcBorders>
              <w:top w:val="single" w:sz="4" w:space="0" w:color="auto"/>
              <w:bottom w:val="single" w:sz="4" w:space="0" w:color="auto"/>
            </w:tcBorders>
          </w:tcPr>
          <w:p w14:paraId="10FDA4B8" w14:textId="77777777" w:rsidR="00CD1C42" w:rsidRPr="005001D6" w:rsidRDefault="00CD1C42" w:rsidP="00173FAF">
            <w:pPr>
              <w:widowControl w:val="0"/>
              <w:autoSpaceDE w:val="0"/>
              <w:autoSpaceDN w:val="0"/>
              <w:adjustRightInd w:val="0"/>
              <w:spacing w:line="360" w:lineRule="auto"/>
              <w:jc w:val="both"/>
              <w:rPr>
                <w:rFonts w:ascii="Arial" w:hAnsi="Arial" w:cs="Arial"/>
                <w:i/>
                <w:iCs/>
                <w:sz w:val="14"/>
                <w:szCs w:val="14"/>
              </w:rPr>
            </w:pPr>
            <w:r w:rsidRPr="005001D6">
              <w:rPr>
                <w:rFonts w:ascii="Arial" w:hAnsi="Arial" w:cs="Arial"/>
                <w:i/>
                <w:iCs/>
                <w:sz w:val="14"/>
                <w:szCs w:val="14"/>
              </w:rPr>
              <w:t>V*S*N</w:t>
            </w:r>
          </w:p>
          <w:p w14:paraId="6DA4D645" w14:textId="77777777" w:rsidR="00CD1C42" w:rsidRPr="005001D6" w:rsidRDefault="00CD1C42" w:rsidP="00173FAF">
            <w:pPr>
              <w:widowControl w:val="0"/>
              <w:autoSpaceDE w:val="0"/>
              <w:autoSpaceDN w:val="0"/>
              <w:adjustRightInd w:val="0"/>
              <w:spacing w:line="360" w:lineRule="auto"/>
              <w:jc w:val="both"/>
              <w:rPr>
                <w:rFonts w:ascii="Arial" w:hAnsi="Arial" w:cs="Arial"/>
                <w:i/>
                <w:iCs/>
                <w:sz w:val="14"/>
                <w:szCs w:val="14"/>
              </w:rPr>
            </w:pPr>
            <w:r w:rsidRPr="005001D6">
              <w:rPr>
                <w:rFonts w:ascii="Arial" w:hAnsi="Arial" w:cs="Arial"/>
                <w:i/>
                <w:iCs/>
                <w:sz w:val="14"/>
                <w:szCs w:val="14"/>
              </w:rPr>
              <w:t xml:space="preserve">p </w:t>
            </w:r>
            <w:r w:rsidRPr="005001D6">
              <w:rPr>
                <w:rFonts w:ascii="Arial" w:hAnsi="Arial" w:cs="Arial"/>
                <w:sz w:val="14"/>
                <w:szCs w:val="14"/>
              </w:rPr>
              <w:t>(χ</w:t>
            </w:r>
            <w:r w:rsidRPr="005001D6">
              <w:rPr>
                <w:rFonts w:ascii="Arial" w:hAnsi="Arial" w:cs="Arial"/>
                <w:sz w:val="14"/>
                <w:szCs w:val="14"/>
                <w:vertAlign w:val="superscript"/>
              </w:rPr>
              <w:t>2</w:t>
            </w:r>
            <w:r w:rsidRPr="005001D6">
              <w:rPr>
                <w:rFonts w:ascii="Arial" w:hAnsi="Arial" w:cs="Arial"/>
                <w:sz w:val="14"/>
                <w:szCs w:val="14"/>
              </w:rPr>
              <w:t>)</w:t>
            </w:r>
          </w:p>
          <w:p w14:paraId="67BD1471" w14:textId="77777777" w:rsidR="00CD1C42" w:rsidRPr="005001D6" w:rsidRDefault="00CD1C42" w:rsidP="00173FAF">
            <w:pPr>
              <w:widowControl w:val="0"/>
              <w:autoSpaceDE w:val="0"/>
              <w:autoSpaceDN w:val="0"/>
              <w:adjustRightInd w:val="0"/>
              <w:spacing w:line="360" w:lineRule="auto"/>
              <w:jc w:val="both"/>
              <w:rPr>
                <w:rFonts w:ascii="Arial" w:hAnsi="Arial" w:cs="Arial"/>
                <w:i/>
                <w:iCs/>
                <w:sz w:val="14"/>
                <w:szCs w:val="14"/>
              </w:rPr>
            </w:pPr>
          </w:p>
        </w:tc>
      </w:tr>
      <w:tr w:rsidR="005001D6" w:rsidRPr="005001D6" w14:paraId="307CF29C" w14:textId="77777777" w:rsidTr="0020367E">
        <w:trPr>
          <w:gridAfter w:val="1"/>
          <w:wAfter w:w="340" w:type="pct"/>
        </w:trPr>
        <w:tc>
          <w:tcPr>
            <w:tcW w:w="1385" w:type="pct"/>
            <w:gridSpan w:val="2"/>
            <w:tcBorders>
              <w:bottom w:val="single" w:sz="4" w:space="0" w:color="auto"/>
            </w:tcBorders>
          </w:tcPr>
          <w:p w14:paraId="42A084DF" w14:textId="77777777" w:rsidR="00CD1C42" w:rsidRPr="005001D6" w:rsidRDefault="00CD1C42" w:rsidP="00173FAF">
            <w:pPr>
              <w:widowControl w:val="0"/>
              <w:autoSpaceDE w:val="0"/>
              <w:autoSpaceDN w:val="0"/>
              <w:adjustRightInd w:val="0"/>
              <w:spacing w:line="360" w:lineRule="auto"/>
              <w:jc w:val="both"/>
              <w:rPr>
                <w:rFonts w:ascii="Arial" w:hAnsi="Arial" w:cs="Arial"/>
                <w:sz w:val="14"/>
                <w:szCs w:val="14"/>
              </w:rPr>
            </w:pPr>
          </w:p>
          <w:p w14:paraId="78327389" w14:textId="23163A34" w:rsidR="00CD1C42" w:rsidRPr="005001D6" w:rsidRDefault="00CD1C42" w:rsidP="00173FAF">
            <w:pPr>
              <w:widowControl w:val="0"/>
              <w:autoSpaceDE w:val="0"/>
              <w:autoSpaceDN w:val="0"/>
              <w:adjustRightInd w:val="0"/>
              <w:spacing w:line="360" w:lineRule="auto"/>
              <w:jc w:val="both"/>
              <w:rPr>
                <w:rFonts w:ascii="Arial" w:hAnsi="Arial" w:cs="Arial"/>
                <w:b/>
                <w:bCs/>
                <w:sz w:val="14"/>
                <w:szCs w:val="14"/>
              </w:rPr>
            </w:pPr>
            <w:r w:rsidRPr="005001D6">
              <w:rPr>
                <w:rFonts w:ascii="Arial" w:hAnsi="Arial" w:cs="Arial"/>
                <w:sz w:val="14"/>
                <w:szCs w:val="14"/>
              </w:rPr>
              <w:t xml:space="preserve">TOTAL </w:t>
            </w:r>
            <w:r w:rsidRPr="005001D6">
              <w:rPr>
                <w:rFonts w:ascii="Arial" w:hAnsi="Arial" w:cs="Arial"/>
                <w:sz w:val="14"/>
                <w:szCs w:val="14"/>
                <w:vertAlign w:val="superscript"/>
              </w:rPr>
              <w:t>15</w:t>
            </w:r>
            <w:r w:rsidRPr="005001D6">
              <w:rPr>
                <w:rFonts w:ascii="Arial" w:hAnsi="Arial" w:cs="Arial"/>
                <w:sz w:val="14"/>
                <w:szCs w:val="14"/>
              </w:rPr>
              <w:t xml:space="preserve">N RECOVERED (%) </w:t>
            </w:r>
          </w:p>
        </w:tc>
        <w:tc>
          <w:tcPr>
            <w:tcW w:w="380" w:type="pct"/>
          </w:tcPr>
          <w:p w14:paraId="42874335" w14:textId="77777777" w:rsidR="00CD1C42" w:rsidRPr="005001D6" w:rsidRDefault="00CD1C42" w:rsidP="00173FAF">
            <w:pPr>
              <w:widowControl w:val="0"/>
              <w:autoSpaceDE w:val="0"/>
              <w:autoSpaceDN w:val="0"/>
              <w:adjustRightInd w:val="0"/>
              <w:spacing w:line="360" w:lineRule="auto"/>
              <w:jc w:val="both"/>
              <w:rPr>
                <w:rFonts w:ascii="Arial" w:hAnsi="Arial" w:cs="Arial"/>
                <w:b/>
                <w:bCs/>
                <w:sz w:val="14"/>
                <w:szCs w:val="14"/>
              </w:rPr>
            </w:pPr>
          </w:p>
        </w:tc>
        <w:tc>
          <w:tcPr>
            <w:tcW w:w="476" w:type="pct"/>
          </w:tcPr>
          <w:p w14:paraId="5A2A2C95" w14:textId="77777777" w:rsidR="00CD1C42" w:rsidRPr="005001D6" w:rsidRDefault="00CD1C42" w:rsidP="00173FAF">
            <w:pPr>
              <w:widowControl w:val="0"/>
              <w:autoSpaceDE w:val="0"/>
              <w:autoSpaceDN w:val="0"/>
              <w:adjustRightInd w:val="0"/>
              <w:spacing w:line="360" w:lineRule="auto"/>
              <w:jc w:val="both"/>
              <w:rPr>
                <w:rFonts w:ascii="Arial" w:hAnsi="Arial" w:cs="Arial"/>
                <w:b/>
                <w:bCs/>
                <w:sz w:val="14"/>
                <w:szCs w:val="14"/>
              </w:rPr>
            </w:pPr>
          </w:p>
        </w:tc>
        <w:tc>
          <w:tcPr>
            <w:tcW w:w="386" w:type="pct"/>
          </w:tcPr>
          <w:p w14:paraId="1EFD324A" w14:textId="77777777" w:rsidR="00CD1C42" w:rsidRPr="005001D6" w:rsidRDefault="00CD1C42" w:rsidP="00173FAF">
            <w:pPr>
              <w:widowControl w:val="0"/>
              <w:autoSpaceDE w:val="0"/>
              <w:autoSpaceDN w:val="0"/>
              <w:adjustRightInd w:val="0"/>
              <w:spacing w:line="360" w:lineRule="auto"/>
              <w:jc w:val="both"/>
              <w:rPr>
                <w:rFonts w:ascii="Arial" w:hAnsi="Arial" w:cs="Arial"/>
                <w:b/>
                <w:bCs/>
                <w:sz w:val="14"/>
                <w:szCs w:val="14"/>
              </w:rPr>
            </w:pPr>
          </w:p>
        </w:tc>
        <w:tc>
          <w:tcPr>
            <w:tcW w:w="497" w:type="pct"/>
          </w:tcPr>
          <w:p w14:paraId="727EF268" w14:textId="77777777" w:rsidR="00CD1C42" w:rsidRPr="005001D6" w:rsidRDefault="00CD1C42" w:rsidP="00173FAF">
            <w:pPr>
              <w:widowControl w:val="0"/>
              <w:autoSpaceDE w:val="0"/>
              <w:autoSpaceDN w:val="0"/>
              <w:adjustRightInd w:val="0"/>
              <w:spacing w:line="360" w:lineRule="auto"/>
              <w:jc w:val="both"/>
              <w:rPr>
                <w:rFonts w:ascii="Arial" w:hAnsi="Arial" w:cs="Arial"/>
                <w:b/>
                <w:bCs/>
                <w:sz w:val="14"/>
                <w:szCs w:val="14"/>
              </w:rPr>
            </w:pPr>
          </w:p>
        </w:tc>
        <w:tc>
          <w:tcPr>
            <w:tcW w:w="549" w:type="pct"/>
          </w:tcPr>
          <w:p w14:paraId="0B268276" w14:textId="77777777" w:rsidR="00CD1C42" w:rsidRPr="005001D6" w:rsidRDefault="00CD1C42" w:rsidP="00173FAF">
            <w:pPr>
              <w:widowControl w:val="0"/>
              <w:autoSpaceDE w:val="0"/>
              <w:autoSpaceDN w:val="0"/>
              <w:adjustRightInd w:val="0"/>
              <w:spacing w:line="360" w:lineRule="auto"/>
              <w:jc w:val="both"/>
              <w:rPr>
                <w:rFonts w:ascii="Arial" w:hAnsi="Arial" w:cs="Arial"/>
                <w:b/>
                <w:bCs/>
                <w:sz w:val="14"/>
                <w:szCs w:val="14"/>
              </w:rPr>
            </w:pPr>
          </w:p>
        </w:tc>
        <w:tc>
          <w:tcPr>
            <w:tcW w:w="325" w:type="pct"/>
          </w:tcPr>
          <w:p w14:paraId="5F6793F3" w14:textId="77777777" w:rsidR="00CD1C42" w:rsidRPr="005001D6" w:rsidRDefault="00CD1C42" w:rsidP="00173FAF">
            <w:pPr>
              <w:widowControl w:val="0"/>
              <w:autoSpaceDE w:val="0"/>
              <w:autoSpaceDN w:val="0"/>
              <w:adjustRightInd w:val="0"/>
              <w:spacing w:line="360" w:lineRule="auto"/>
              <w:jc w:val="both"/>
              <w:rPr>
                <w:rFonts w:ascii="Arial" w:hAnsi="Arial" w:cs="Arial"/>
                <w:b/>
                <w:bCs/>
                <w:sz w:val="14"/>
                <w:szCs w:val="14"/>
              </w:rPr>
            </w:pPr>
          </w:p>
        </w:tc>
        <w:tc>
          <w:tcPr>
            <w:tcW w:w="325" w:type="pct"/>
          </w:tcPr>
          <w:p w14:paraId="23A3BC21" w14:textId="77777777" w:rsidR="00CD1C42" w:rsidRPr="005001D6" w:rsidRDefault="00CD1C42" w:rsidP="00173FAF">
            <w:pPr>
              <w:widowControl w:val="0"/>
              <w:autoSpaceDE w:val="0"/>
              <w:autoSpaceDN w:val="0"/>
              <w:adjustRightInd w:val="0"/>
              <w:spacing w:line="360" w:lineRule="auto"/>
              <w:jc w:val="both"/>
              <w:rPr>
                <w:rFonts w:ascii="Arial" w:hAnsi="Arial" w:cs="Arial"/>
                <w:b/>
                <w:bCs/>
                <w:sz w:val="14"/>
                <w:szCs w:val="14"/>
              </w:rPr>
            </w:pPr>
          </w:p>
        </w:tc>
        <w:tc>
          <w:tcPr>
            <w:tcW w:w="337" w:type="pct"/>
          </w:tcPr>
          <w:p w14:paraId="5B74F236" w14:textId="77777777" w:rsidR="00CD1C42" w:rsidRPr="005001D6" w:rsidRDefault="00CD1C42" w:rsidP="00173FAF">
            <w:pPr>
              <w:widowControl w:val="0"/>
              <w:autoSpaceDE w:val="0"/>
              <w:autoSpaceDN w:val="0"/>
              <w:adjustRightInd w:val="0"/>
              <w:spacing w:line="360" w:lineRule="auto"/>
              <w:jc w:val="both"/>
              <w:rPr>
                <w:rFonts w:ascii="Arial" w:hAnsi="Arial" w:cs="Arial"/>
                <w:b/>
                <w:bCs/>
                <w:sz w:val="14"/>
                <w:szCs w:val="14"/>
              </w:rPr>
            </w:pPr>
          </w:p>
        </w:tc>
      </w:tr>
      <w:tr w:rsidR="005001D6" w:rsidRPr="005001D6" w14:paraId="55A013CE" w14:textId="77777777" w:rsidTr="00090CE3">
        <w:tc>
          <w:tcPr>
            <w:tcW w:w="851" w:type="pct"/>
            <w:tcBorders>
              <w:top w:val="single" w:sz="4" w:space="0" w:color="auto"/>
            </w:tcBorders>
          </w:tcPr>
          <w:p w14:paraId="44742137" w14:textId="77777777" w:rsidR="00CD1C42" w:rsidRPr="005001D6" w:rsidRDefault="00CD1C42"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Microbial biomass</w:t>
            </w:r>
          </w:p>
          <w:p w14:paraId="362B0CF4" w14:textId="77777777" w:rsidR="00CD1C42" w:rsidRPr="005001D6" w:rsidRDefault="00CD1C42"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w:t>
            </w:r>
            <w:r w:rsidRPr="005001D6">
              <w:rPr>
                <w:rFonts w:ascii="Arial" w:hAnsi="Arial" w:cs="Arial"/>
                <w:sz w:val="14"/>
                <w:szCs w:val="14"/>
                <w:vertAlign w:val="superscript"/>
              </w:rPr>
              <w:t>15</w:t>
            </w:r>
            <w:r w:rsidRPr="005001D6">
              <w:rPr>
                <w:rFonts w:ascii="Arial" w:hAnsi="Arial" w:cs="Arial"/>
                <w:sz w:val="14"/>
                <w:szCs w:val="14"/>
              </w:rPr>
              <w:t xml:space="preserve">N excess </w:t>
            </w:r>
          </w:p>
          <w:p w14:paraId="2C9CBB8B" w14:textId="77777777" w:rsidR="00CD1C42" w:rsidRPr="005001D6" w:rsidRDefault="00CD1C42" w:rsidP="00173FAF">
            <w:pPr>
              <w:widowControl w:val="0"/>
              <w:autoSpaceDE w:val="0"/>
              <w:autoSpaceDN w:val="0"/>
              <w:adjustRightInd w:val="0"/>
              <w:spacing w:line="360" w:lineRule="auto"/>
              <w:jc w:val="both"/>
              <w:rPr>
                <w:rFonts w:ascii="Arial" w:hAnsi="Arial" w:cs="Arial"/>
                <w:sz w:val="14"/>
                <w:szCs w:val="14"/>
                <w:lang w:val="es-ES"/>
              </w:rPr>
            </w:pPr>
            <w:r w:rsidRPr="005001D6">
              <w:rPr>
                <w:rFonts w:ascii="Arial" w:hAnsi="Arial" w:cs="Arial"/>
                <w:sz w:val="14"/>
                <w:szCs w:val="14"/>
              </w:rPr>
              <w:t>g</w:t>
            </w:r>
            <w:r w:rsidRPr="005001D6">
              <w:rPr>
                <w:rFonts w:ascii="Arial" w:hAnsi="Arial" w:cs="Arial"/>
                <w:sz w:val="14"/>
                <w:szCs w:val="14"/>
                <w:vertAlign w:val="superscript"/>
              </w:rPr>
              <w:t>-1</w:t>
            </w:r>
            <w:r w:rsidRPr="005001D6">
              <w:rPr>
                <w:rFonts w:ascii="Arial" w:hAnsi="Arial" w:cs="Arial"/>
                <w:sz w:val="14"/>
                <w:szCs w:val="14"/>
              </w:rPr>
              <w:t xml:space="preserve"> dry soil)</w:t>
            </w:r>
          </w:p>
        </w:tc>
        <w:tc>
          <w:tcPr>
            <w:tcW w:w="534" w:type="pct"/>
            <w:tcBorders>
              <w:top w:val="single" w:sz="4" w:space="0" w:color="auto"/>
            </w:tcBorders>
          </w:tcPr>
          <w:p w14:paraId="13D3813D" w14:textId="2D2B7C73" w:rsidR="00CD1C42" w:rsidRPr="005001D6" w:rsidRDefault="00BD5F0E"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27</w:t>
            </w:r>
            <w:r w:rsidR="00CD1C42" w:rsidRPr="005001D6">
              <w:rPr>
                <w:rFonts w:ascii="Arial" w:hAnsi="Arial" w:cs="Arial"/>
                <w:sz w:val="14"/>
                <w:szCs w:val="14"/>
              </w:rPr>
              <w:t xml:space="preserve"> ± </w:t>
            </w:r>
            <w:r w:rsidRPr="005001D6">
              <w:rPr>
                <w:rFonts w:ascii="Arial" w:hAnsi="Arial" w:cs="Arial"/>
                <w:sz w:val="14"/>
                <w:szCs w:val="14"/>
              </w:rPr>
              <w:t>6</w:t>
            </w:r>
          </w:p>
        </w:tc>
        <w:tc>
          <w:tcPr>
            <w:tcW w:w="380" w:type="pct"/>
          </w:tcPr>
          <w:p w14:paraId="3411CE6A" w14:textId="504B65CE" w:rsidR="00CD1C42" w:rsidRPr="005001D6" w:rsidRDefault="00BD5F0E"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14</w:t>
            </w:r>
            <w:r w:rsidR="00CD1C42" w:rsidRPr="005001D6">
              <w:rPr>
                <w:rFonts w:ascii="Arial" w:hAnsi="Arial" w:cs="Arial"/>
                <w:sz w:val="14"/>
                <w:szCs w:val="14"/>
              </w:rPr>
              <w:t xml:space="preserve"> ± </w:t>
            </w:r>
            <w:r w:rsidRPr="005001D6">
              <w:rPr>
                <w:rFonts w:ascii="Arial" w:hAnsi="Arial" w:cs="Arial"/>
                <w:sz w:val="14"/>
                <w:szCs w:val="14"/>
              </w:rPr>
              <w:t>3</w:t>
            </w:r>
          </w:p>
        </w:tc>
        <w:tc>
          <w:tcPr>
            <w:tcW w:w="476" w:type="pct"/>
          </w:tcPr>
          <w:p w14:paraId="2A287666" w14:textId="600D3492" w:rsidR="00CD1C42" w:rsidRPr="005001D6" w:rsidRDefault="00BD5F0E"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106</w:t>
            </w:r>
          </w:p>
        </w:tc>
        <w:tc>
          <w:tcPr>
            <w:tcW w:w="386" w:type="pct"/>
          </w:tcPr>
          <w:p w14:paraId="6D53023D" w14:textId="5AA611B1" w:rsidR="00CD1C42" w:rsidRPr="005001D6" w:rsidRDefault="00CD1C42" w:rsidP="00173FAF">
            <w:pPr>
              <w:widowControl w:val="0"/>
              <w:autoSpaceDE w:val="0"/>
              <w:autoSpaceDN w:val="0"/>
              <w:adjustRightInd w:val="0"/>
              <w:spacing w:line="360" w:lineRule="auto"/>
              <w:jc w:val="both"/>
              <w:rPr>
                <w:rFonts w:ascii="Arial" w:hAnsi="Arial" w:cs="Arial"/>
                <w:b/>
                <w:bCs/>
                <w:sz w:val="14"/>
                <w:szCs w:val="14"/>
              </w:rPr>
            </w:pPr>
            <w:r w:rsidRPr="005001D6">
              <w:rPr>
                <w:rFonts w:ascii="Arial" w:hAnsi="Arial" w:cs="Arial"/>
                <w:b/>
                <w:bCs/>
                <w:sz w:val="14"/>
                <w:szCs w:val="14"/>
              </w:rPr>
              <w:t>0.0</w:t>
            </w:r>
            <w:r w:rsidR="00C565DE" w:rsidRPr="005001D6">
              <w:rPr>
                <w:rFonts w:ascii="Arial" w:hAnsi="Arial" w:cs="Arial"/>
                <w:b/>
                <w:bCs/>
                <w:sz w:val="14"/>
                <w:szCs w:val="14"/>
              </w:rPr>
              <w:t>2</w:t>
            </w:r>
            <w:r w:rsidRPr="005001D6">
              <w:rPr>
                <w:rFonts w:ascii="Arial" w:hAnsi="Arial" w:cs="Arial"/>
                <w:b/>
                <w:bCs/>
                <w:sz w:val="14"/>
                <w:szCs w:val="14"/>
              </w:rPr>
              <w:t xml:space="preserve"> (</w:t>
            </w:r>
            <w:r w:rsidR="00C565DE" w:rsidRPr="005001D6">
              <w:rPr>
                <w:rFonts w:ascii="Arial" w:hAnsi="Arial" w:cs="Arial"/>
                <w:b/>
                <w:bCs/>
                <w:sz w:val="14"/>
                <w:szCs w:val="14"/>
              </w:rPr>
              <w:t>5.1</w:t>
            </w:r>
            <w:r w:rsidRPr="005001D6">
              <w:rPr>
                <w:rFonts w:ascii="Arial" w:hAnsi="Arial" w:cs="Arial"/>
                <w:b/>
                <w:bCs/>
                <w:sz w:val="14"/>
                <w:szCs w:val="14"/>
              </w:rPr>
              <w:t>)</w:t>
            </w:r>
          </w:p>
        </w:tc>
        <w:tc>
          <w:tcPr>
            <w:tcW w:w="497" w:type="pct"/>
          </w:tcPr>
          <w:p w14:paraId="2489E08A" w14:textId="0A11716A" w:rsidR="00CD1C42" w:rsidRPr="005001D6" w:rsidRDefault="00CD1C42"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0.</w:t>
            </w:r>
            <w:r w:rsidR="00C565DE" w:rsidRPr="005001D6">
              <w:rPr>
                <w:rFonts w:ascii="Arial" w:hAnsi="Arial" w:cs="Arial"/>
                <w:sz w:val="14"/>
                <w:szCs w:val="14"/>
              </w:rPr>
              <w:t>11</w:t>
            </w:r>
            <w:r w:rsidRPr="005001D6">
              <w:rPr>
                <w:rFonts w:ascii="Arial" w:hAnsi="Arial" w:cs="Arial"/>
                <w:sz w:val="14"/>
                <w:szCs w:val="14"/>
              </w:rPr>
              <w:t xml:space="preserve"> (</w:t>
            </w:r>
            <w:r w:rsidR="00C565DE" w:rsidRPr="005001D6">
              <w:rPr>
                <w:rFonts w:ascii="Arial" w:hAnsi="Arial" w:cs="Arial"/>
                <w:sz w:val="14"/>
                <w:szCs w:val="14"/>
              </w:rPr>
              <w:t>2.5</w:t>
            </w:r>
            <w:r w:rsidRPr="005001D6">
              <w:rPr>
                <w:rFonts w:ascii="Arial" w:hAnsi="Arial" w:cs="Arial"/>
                <w:sz w:val="14"/>
                <w:szCs w:val="14"/>
              </w:rPr>
              <w:t>)</w:t>
            </w:r>
          </w:p>
        </w:tc>
        <w:tc>
          <w:tcPr>
            <w:tcW w:w="549" w:type="pct"/>
          </w:tcPr>
          <w:p w14:paraId="5877C3B5" w14:textId="79161F77" w:rsidR="00CD1C42" w:rsidRPr="005001D6" w:rsidRDefault="00CD1C42"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0.</w:t>
            </w:r>
            <w:r w:rsidR="00C565DE" w:rsidRPr="005001D6">
              <w:rPr>
                <w:rFonts w:ascii="Arial" w:hAnsi="Arial" w:cs="Arial"/>
                <w:sz w:val="14"/>
                <w:szCs w:val="14"/>
              </w:rPr>
              <w:t>3</w:t>
            </w:r>
            <w:r w:rsidRPr="005001D6">
              <w:rPr>
                <w:rFonts w:ascii="Arial" w:hAnsi="Arial" w:cs="Arial"/>
                <w:sz w:val="14"/>
                <w:szCs w:val="14"/>
              </w:rPr>
              <w:t>3 (</w:t>
            </w:r>
            <w:r w:rsidR="00C565DE" w:rsidRPr="005001D6">
              <w:rPr>
                <w:rFonts w:ascii="Arial" w:hAnsi="Arial" w:cs="Arial"/>
                <w:sz w:val="14"/>
                <w:szCs w:val="14"/>
              </w:rPr>
              <w:t>0.9</w:t>
            </w:r>
            <w:r w:rsidRPr="005001D6">
              <w:rPr>
                <w:rFonts w:ascii="Arial" w:hAnsi="Arial" w:cs="Arial"/>
                <w:sz w:val="14"/>
                <w:szCs w:val="14"/>
              </w:rPr>
              <w:t>)</w:t>
            </w:r>
          </w:p>
        </w:tc>
        <w:tc>
          <w:tcPr>
            <w:tcW w:w="325" w:type="pct"/>
          </w:tcPr>
          <w:p w14:paraId="059BCBBA" w14:textId="5DFFD7EC" w:rsidR="00CD1C42" w:rsidRPr="005001D6" w:rsidRDefault="00CD1C42"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0.</w:t>
            </w:r>
            <w:r w:rsidR="00C565DE" w:rsidRPr="005001D6">
              <w:rPr>
                <w:rFonts w:ascii="Arial" w:hAnsi="Arial" w:cs="Arial"/>
                <w:sz w:val="14"/>
                <w:szCs w:val="14"/>
              </w:rPr>
              <w:t>2</w:t>
            </w:r>
            <w:r w:rsidRPr="005001D6">
              <w:rPr>
                <w:rFonts w:ascii="Arial" w:hAnsi="Arial" w:cs="Arial"/>
                <w:sz w:val="14"/>
                <w:szCs w:val="14"/>
              </w:rPr>
              <w:t>0 (1.</w:t>
            </w:r>
            <w:r w:rsidR="00C565DE" w:rsidRPr="005001D6">
              <w:rPr>
                <w:rFonts w:ascii="Arial" w:hAnsi="Arial" w:cs="Arial"/>
                <w:sz w:val="14"/>
                <w:szCs w:val="14"/>
              </w:rPr>
              <w:t>6</w:t>
            </w:r>
            <w:r w:rsidRPr="005001D6">
              <w:rPr>
                <w:rFonts w:ascii="Arial" w:hAnsi="Arial" w:cs="Arial"/>
                <w:sz w:val="14"/>
                <w:szCs w:val="14"/>
              </w:rPr>
              <w:t>)</w:t>
            </w:r>
          </w:p>
        </w:tc>
        <w:tc>
          <w:tcPr>
            <w:tcW w:w="325" w:type="pct"/>
          </w:tcPr>
          <w:p w14:paraId="44E3514C" w14:textId="00CC9299" w:rsidR="00CD1C42" w:rsidRPr="005001D6" w:rsidRDefault="00CD1C42"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0.</w:t>
            </w:r>
            <w:r w:rsidR="00C565DE" w:rsidRPr="005001D6">
              <w:rPr>
                <w:rFonts w:ascii="Arial" w:hAnsi="Arial" w:cs="Arial"/>
                <w:sz w:val="14"/>
                <w:szCs w:val="14"/>
              </w:rPr>
              <w:t>6</w:t>
            </w:r>
            <w:r w:rsidRPr="005001D6">
              <w:rPr>
                <w:rFonts w:ascii="Arial" w:hAnsi="Arial" w:cs="Arial"/>
                <w:sz w:val="14"/>
                <w:szCs w:val="14"/>
              </w:rPr>
              <w:t>7 (0.</w:t>
            </w:r>
            <w:r w:rsidR="00C565DE" w:rsidRPr="005001D6">
              <w:rPr>
                <w:rFonts w:ascii="Arial" w:hAnsi="Arial" w:cs="Arial"/>
                <w:sz w:val="14"/>
                <w:szCs w:val="14"/>
              </w:rPr>
              <w:t>2</w:t>
            </w:r>
            <w:r w:rsidRPr="005001D6">
              <w:rPr>
                <w:rFonts w:ascii="Arial" w:hAnsi="Arial" w:cs="Arial"/>
                <w:sz w:val="14"/>
                <w:szCs w:val="14"/>
              </w:rPr>
              <w:t>)</w:t>
            </w:r>
          </w:p>
        </w:tc>
        <w:tc>
          <w:tcPr>
            <w:tcW w:w="337" w:type="pct"/>
          </w:tcPr>
          <w:p w14:paraId="5FB2A953" w14:textId="2F13605A" w:rsidR="00CD1C42" w:rsidRPr="005001D6" w:rsidRDefault="00CD1C42"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0.</w:t>
            </w:r>
            <w:r w:rsidR="00C565DE" w:rsidRPr="005001D6">
              <w:rPr>
                <w:rFonts w:ascii="Arial" w:hAnsi="Arial" w:cs="Arial"/>
                <w:sz w:val="14"/>
                <w:szCs w:val="14"/>
              </w:rPr>
              <w:t>82</w:t>
            </w:r>
            <w:r w:rsidRPr="005001D6">
              <w:rPr>
                <w:rFonts w:ascii="Arial" w:hAnsi="Arial" w:cs="Arial"/>
                <w:sz w:val="14"/>
                <w:szCs w:val="14"/>
              </w:rPr>
              <w:t xml:space="preserve"> (</w:t>
            </w:r>
            <w:r w:rsidR="00C565DE" w:rsidRPr="005001D6">
              <w:rPr>
                <w:rFonts w:ascii="Arial" w:hAnsi="Arial" w:cs="Arial"/>
                <w:sz w:val="14"/>
                <w:szCs w:val="14"/>
              </w:rPr>
              <w:t>&lt;0.1</w:t>
            </w:r>
            <w:r w:rsidRPr="005001D6">
              <w:rPr>
                <w:rFonts w:ascii="Arial" w:hAnsi="Arial" w:cs="Arial"/>
                <w:sz w:val="14"/>
                <w:szCs w:val="14"/>
              </w:rPr>
              <w:t>)</w:t>
            </w:r>
          </w:p>
        </w:tc>
        <w:tc>
          <w:tcPr>
            <w:tcW w:w="340" w:type="pct"/>
          </w:tcPr>
          <w:p w14:paraId="6416B163" w14:textId="6FD85D3C" w:rsidR="00CD1C42" w:rsidRPr="005001D6" w:rsidRDefault="00CD1C42"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0.</w:t>
            </w:r>
            <w:r w:rsidR="00C565DE" w:rsidRPr="005001D6">
              <w:rPr>
                <w:rFonts w:ascii="Arial" w:hAnsi="Arial" w:cs="Arial"/>
                <w:sz w:val="14"/>
                <w:szCs w:val="14"/>
              </w:rPr>
              <w:t>2</w:t>
            </w:r>
            <w:r w:rsidRPr="005001D6">
              <w:rPr>
                <w:rFonts w:ascii="Arial" w:hAnsi="Arial" w:cs="Arial"/>
                <w:sz w:val="14"/>
                <w:szCs w:val="14"/>
              </w:rPr>
              <w:t xml:space="preserve"> (</w:t>
            </w:r>
            <w:r w:rsidR="00C565DE" w:rsidRPr="005001D6">
              <w:rPr>
                <w:rFonts w:ascii="Arial" w:hAnsi="Arial" w:cs="Arial"/>
                <w:sz w:val="14"/>
                <w:szCs w:val="14"/>
              </w:rPr>
              <w:t>1.6</w:t>
            </w:r>
            <w:r w:rsidRPr="005001D6">
              <w:rPr>
                <w:rFonts w:ascii="Arial" w:hAnsi="Arial" w:cs="Arial"/>
                <w:sz w:val="14"/>
                <w:szCs w:val="14"/>
              </w:rPr>
              <w:t>)</w:t>
            </w:r>
          </w:p>
        </w:tc>
      </w:tr>
      <w:tr w:rsidR="005001D6" w:rsidRPr="005001D6" w14:paraId="0966ECA0" w14:textId="77777777" w:rsidTr="00090CE3">
        <w:tc>
          <w:tcPr>
            <w:tcW w:w="851" w:type="pct"/>
          </w:tcPr>
          <w:p w14:paraId="7924B4CD" w14:textId="24451ACF" w:rsidR="00CD1C42" w:rsidRPr="005001D6" w:rsidRDefault="00CD1C42"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Shoot biomass</w:t>
            </w:r>
          </w:p>
          <w:p w14:paraId="10391D0E" w14:textId="77777777" w:rsidR="00CD1C42" w:rsidRPr="005001D6" w:rsidRDefault="00CD1C42"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w:t>
            </w:r>
            <w:r w:rsidRPr="005001D6">
              <w:rPr>
                <w:rFonts w:ascii="Arial" w:hAnsi="Arial" w:cs="Arial"/>
                <w:sz w:val="14"/>
                <w:szCs w:val="14"/>
                <w:vertAlign w:val="superscript"/>
              </w:rPr>
              <w:t>15</w:t>
            </w:r>
            <w:r w:rsidRPr="005001D6">
              <w:rPr>
                <w:rFonts w:ascii="Arial" w:hAnsi="Arial" w:cs="Arial"/>
                <w:sz w:val="14"/>
                <w:szCs w:val="14"/>
              </w:rPr>
              <w:t>N excess</w:t>
            </w:r>
          </w:p>
          <w:p w14:paraId="7A1C49DF" w14:textId="77777777" w:rsidR="00CD1C42" w:rsidRPr="005001D6" w:rsidRDefault="00CD1C42" w:rsidP="00173FAF">
            <w:pPr>
              <w:widowControl w:val="0"/>
              <w:autoSpaceDE w:val="0"/>
              <w:autoSpaceDN w:val="0"/>
              <w:adjustRightInd w:val="0"/>
              <w:spacing w:line="360" w:lineRule="auto"/>
              <w:jc w:val="both"/>
              <w:rPr>
                <w:rFonts w:ascii="Arial" w:hAnsi="Arial" w:cs="Arial"/>
                <w:sz w:val="14"/>
                <w:szCs w:val="14"/>
                <w:lang w:val="es-ES"/>
              </w:rPr>
            </w:pPr>
            <w:r w:rsidRPr="005001D6">
              <w:rPr>
                <w:rFonts w:ascii="Arial" w:hAnsi="Arial" w:cs="Arial"/>
                <w:sz w:val="14"/>
                <w:szCs w:val="14"/>
              </w:rPr>
              <w:t>g</w:t>
            </w:r>
            <w:r w:rsidRPr="005001D6">
              <w:rPr>
                <w:rFonts w:ascii="Arial" w:hAnsi="Arial" w:cs="Arial"/>
                <w:sz w:val="14"/>
                <w:szCs w:val="14"/>
                <w:vertAlign w:val="superscript"/>
              </w:rPr>
              <w:t>-1</w:t>
            </w:r>
            <w:r w:rsidRPr="005001D6">
              <w:rPr>
                <w:rFonts w:ascii="Arial" w:hAnsi="Arial" w:cs="Arial"/>
                <w:sz w:val="14"/>
                <w:szCs w:val="14"/>
              </w:rPr>
              <w:t xml:space="preserve"> biomass)</w:t>
            </w:r>
          </w:p>
        </w:tc>
        <w:tc>
          <w:tcPr>
            <w:tcW w:w="534" w:type="pct"/>
          </w:tcPr>
          <w:p w14:paraId="2A4ADB29" w14:textId="6F31FF07" w:rsidR="00CD1C42" w:rsidRPr="005001D6" w:rsidRDefault="00CD1C42"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0.</w:t>
            </w:r>
            <w:r w:rsidR="00BD5F0E" w:rsidRPr="005001D6">
              <w:rPr>
                <w:rFonts w:ascii="Arial" w:hAnsi="Arial" w:cs="Arial"/>
                <w:sz w:val="14"/>
                <w:szCs w:val="14"/>
              </w:rPr>
              <w:t>23</w:t>
            </w:r>
            <w:r w:rsidRPr="005001D6">
              <w:rPr>
                <w:rFonts w:ascii="Arial" w:hAnsi="Arial" w:cs="Arial"/>
                <w:sz w:val="14"/>
                <w:szCs w:val="14"/>
              </w:rPr>
              <w:t xml:space="preserve"> ± 0.0</w:t>
            </w:r>
            <w:r w:rsidR="00BD5F0E" w:rsidRPr="005001D6">
              <w:rPr>
                <w:rFonts w:ascii="Arial" w:hAnsi="Arial" w:cs="Arial"/>
                <w:sz w:val="14"/>
                <w:szCs w:val="14"/>
              </w:rPr>
              <w:t>7</w:t>
            </w:r>
          </w:p>
        </w:tc>
        <w:tc>
          <w:tcPr>
            <w:tcW w:w="380" w:type="pct"/>
          </w:tcPr>
          <w:p w14:paraId="14C68425" w14:textId="637B2351" w:rsidR="00CD1C42" w:rsidRPr="005001D6" w:rsidRDefault="00CD1C42"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0.</w:t>
            </w:r>
            <w:r w:rsidR="00BD5F0E" w:rsidRPr="005001D6">
              <w:rPr>
                <w:rFonts w:ascii="Arial" w:hAnsi="Arial" w:cs="Arial"/>
                <w:sz w:val="14"/>
                <w:szCs w:val="14"/>
              </w:rPr>
              <w:t>6</w:t>
            </w:r>
            <w:r w:rsidRPr="005001D6">
              <w:rPr>
                <w:rFonts w:ascii="Arial" w:hAnsi="Arial" w:cs="Arial"/>
                <w:sz w:val="14"/>
                <w:szCs w:val="14"/>
              </w:rPr>
              <w:t xml:space="preserve"> ± 0.</w:t>
            </w:r>
            <w:r w:rsidR="00BD5F0E" w:rsidRPr="005001D6">
              <w:rPr>
                <w:rFonts w:ascii="Arial" w:hAnsi="Arial" w:cs="Arial"/>
                <w:sz w:val="14"/>
                <w:szCs w:val="14"/>
              </w:rPr>
              <w:t>1</w:t>
            </w:r>
          </w:p>
        </w:tc>
        <w:tc>
          <w:tcPr>
            <w:tcW w:w="476" w:type="pct"/>
          </w:tcPr>
          <w:p w14:paraId="1EC84786" w14:textId="43334737" w:rsidR="00CD1C42" w:rsidRPr="005001D6" w:rsidRDefault="00CD1C42"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w:t>
            </w:r>
            <w:r w:rsidR="00BD5F0E" w:rsidRPr="005001D6">
              <w:rPr>
                <w:rFonts w:ascii="Arial" w:hAnsi="Arial" w:cs="Arial"/>
                <w:sz w:val="14"/>
                <w:szCs w:val="14"/>
              </w:rPr>
              <w:t>59</w:t>
            </w:r>
          </w:p>
        </w:tc>
        <w:tc>
          <w:tcPr>
            <w:tcW w:w="386" w:type="pct"/>
          </w:tcPr>
          <w:p w14:paraId="046CAF7B" w14:textId="1D90F023" w:rsidR="00CD1C42" w:rsidRPr="005001D6" w:rsidRDefault="00CD1C42" w:rsidP="00173FAF">
            <w:pPr>
              <w:widowControl w:val="0"/>
              <w:autoSpaceDE w:val="0"/>
              <w:autoSpaceDN w:val="0"/>
              <w:adjustRightInd w:val="0"/>
              <w:spacing w:line="360" w:lineRule="auto"/>
              <w:jc w:val="both"/>
              <w:rPr>
                <w:rFonts w:ascii="Arial" w:hAnsi="Arial" w:cs="Arial"/>
                <w:b/>
                <w:bCs/>
                <w:sz w:val="14"/>
                <w:szCs w:val="14"/>
              </w:rPr>
            </w:pPr>
            <w:r w:rsidRPr="005001D6">
              <w:rPr>
                <w:rFonts w:ascii="Arial" w:hAnsi="Arial" w:cs="Arial"/>
                <w:b/>
                <w:bCs/>
                <w:sz w:val="14"/>
                <w:szCs w:val="14"/>
              </w:rPr>
              <w:t>0.0</w:t>
            </w:r>
            <w:r w:rsidR="00C565DE" w:rsidRPr="005001D6">
              <w:rPr>
                <w:rFonts w:ascii="Arial" w:hAnsi="Arial" w:cs="Arial"/>
                <w:b/>
                <w:bCs/>
                <w:sz w:val="14"/>
                <w:szCs w:val="14"/>
              </w:rPr>
              <w:t>4</w:t>
            </w:r>
            <w:r w:rsidRPr="005001D6">
              <w:rPr>
                <w:rFonts w:ascii="Arial" w:hAnsi="Arial" w:cs="Arial"/>
                <w:b/>
                <w:bCs/>
                <w:sz w:val="14"/>
                <w:szCs w:val="14"/>
              </w:rPr>
              <w:t xml:space="preserve"> (</w:t>
            </w:r>
            <w:r w:rsidR="00C565DE" w:rsidRPr="005001D6">
              <w:rPr>
                <w:rFonts w:ascii="Arial" w:hAnsi="Arial" w:cs="Arial"/>
                <w:b/>
                <w:bCs/>
                <w:sz w:val="14"/>
                <w:szCs w:val="14"/>
              </w:rPr>
              <w:t>4.</w:t>
            </w:r>
            <w:r w:rsidR="00CC7FC0" w:rsidRPr="005001D6">
              <w:rPr>
                <w:rFonts w:ascii="Arial" w:hAnsi="Arial" w:cs="Arial"/>
                <w:b/>
                <w:bCs/>
                <w:sz w:val="14"/>
                <w:szCs w:val="14"/>
              </w:rPr>
              <w:t>2</w:t>
            </w:r>
            <w:r w:rsidRPr="005001D6">
              <w:rPr>
                <w:rFonts w:ascii="Arial" w:hAnsi="Arial" w:cs="Arial"/>
                <w:b/>
                <w:bCs/>
                <w:sz w:val="14"/>
                <w:szCs w:val="14"/>
              </w:rPr>
              <w:t>)</w:t>
            </w:r>
          </w:p>
        </w:tc>
        <w:tc>
          <w:tcPr>
            <w:tcW w:w="497" w:type="pct"/>
          </w:tcPr>
          <w:p w14:paraId="5894C651" w14:textId="218B87D8" w:rsidR="00CD1C42" w:rsidRPr="005001D6" w:rsidRDefault="00CD1C42"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0.5</w:t>
            </w:r>
            <w:r w:rsidR="00C565DE" w:rsidRPr="005001D6">
              <w:rPr>
                <w:rFonts w:ascii="Arial" w:hAnsi="Arial" w:cs="Arial"/>
                <w:sz w:val="14"/>
                <w:szCs w:val="14"/>
              </w:rPr>
              <w:t>1</w:t>
            </w:r>
            <w:r w:rsidRPr="005001D6">
              <w:rPr>
                <w:rFonts w:ascii="Arial" w:hAnsi="Arial" w:cs="Arial"/>
                <w:sz w:val="14"/>
                <w:szCs w:val="14"/>
              </w:rPr>
              <w:t xml:space="preserve"> (0.4)</w:t>
            </w:r>
          </w:p>
        </w:tc>
        <w:tc>
          <w:tcPr>
            <w:tcW w:w="549" w:type="pct"/>
          </w:tcPr>
          <w:p w14:paraId="5E88F9F3" w14:textId="6AD4229E" w:rsidR="00CD1C42" w:rsidRPr="005001D6" w:rsidRDefault="00CD1C42"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0.</w:t>
            </w:r>
            <w:r w:rsidR="00C565DE" w:rsidRPr="005001D6">
              <w:rPr>
                <w:rFonts w:ascii="Arial" w:hAnsi="Arial" w:cs="Arial"/>
                <w:sz w:val="14"/>
                <w:szCs w:val="14"/>
              </w:rPr>
              <w:t>84</w:t>
            </w:r>
            <w:r w:rsidRPr="005001D6">
              <w:rPr>
                <w:rFonts w:ascii="Arial" w:hAnsi="Arial" w:cs="Arial"/>
                <w:sz w:val="14"/>
                <w:szCs w:val="14"/>
              </w:rPr>
              <w:t xml:space="preserve"> (</w:t>
            </w:r>
            <w:r w:rsidR="00C565DE" w:rsidRPr="005001D6">
              <w:rPr>
                <w:rFonts w:ascii="Arial" w:hAnsi="Arial" w:cs="Arial"/>
                <w:sz w:val="14"/>
                <w:szCs w:val="14"/>
              </w:rPr>
              <w:t>&lt;0.1</w:t>
            </w:r>
            <w:r w:rsidRPr="005001D6">
              <w:rPr>
                <w:rFonts w:ascii="Arial" w:hAnsi="Arial" w:cs="Arial"/>
                <w:sz w:val="14"/>
                <w:szCs w:val="14"/>
              </w:rPr>
              <w:t>)</w:t>
            </w:r>
          </w:p>
        </w:tc>
        <w:tc>
          <w:tcPr>
            <w:tcW w:w="325" w:type="pct"/>
          </w:tcPr>
          <w:p w14:paraId="47E9C807" w14:textId="6321288A" w:rsidR="00CD1C42" w:rsidRPr="005001D6" w:rsidRDefault="00CD1C42"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0.</w:t>
            </w:r>
            <w:r w:rsidR="00C565DE" w:rsidRPr="005001D6">
              <w:rPr>
                <w:rFonts w:ascii="Arial" w:hAnsi="Arial" w:cs="Arial"/>
                <w:sz w:val="14"/>
                <w:szCs w:val="14"/>
              </w:rPr>
              <w:t>41</w:t>
            </w:r>
            <w:r w:rsidRPr="005001D6">
              <w:rPr>
                <w:rFonts w:ascii="Arial" w:hAnsi="Arial" w:cs="Arial"/>
                <w:sz w:val="14"/>
                <w:szCs w:val="14"/>
              </w:rPr>
              <w:t xml:space="preserve"> (0.</w:t>
            </w:r>
            <w:r w:rsidR="00C565DE" w:rsidRPr="005001D6">
              <w:rPr>
                <w:rFonts w:ascii="Arial" w:hAnsi="Arial" w:cs="Arial"/>
                <w:sz w:val="14"/>
                <w:szCs w:val="14"/>
              </w:rPr>
              <w:t>7</w:t>
            </w:r>
            <w:r w:rsidRPr="005001D6">
              <w:rPr>
                <w:rFonts w:ascii="Arial" w:hAnsi="Arial" w:cs="Arial"/>
                <w:sz w:val="14"/>
                <w:szCs w:val="14"/>
              </w:rPr>
              <w:t>)</w:t>
            </w:r>
          </w:p>
        </w:tc>
        <w:tc>
          <w:tcPr>
            <w:tcW w:w="325" w:type="pct"/>
          </w:tcPr>
          <w:p w14:paraId="6EAB8BD5" w14:textId="1825B331" w:rsidR="00CD1C42" w:rsidRPr="005001D6" w:rsidRDefault="00CD1C42"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0.9</w:t>
            </w:r>
            <w:r w:rsidR="00C565DE" w:rsidRPr="005001D6">
              <w:rPr>
                <w:rFonts w:ascii="Arial" w:hAnsi="Arial" w:cs="Arial"/>
                <w:sz w:val="14"/>
                <w:szCs w:val="14"/>
              </w:rPr>
              <w:t>3</w:t>
            </w:r>
            <w:r w:rsidRPr="005001D6">
              <w:rPr>
                <w:rFonts w:ascii="Arial" w:hAnsi="Arial" w:cs="Arial"/>
                <w:sz w:val="14"/>
                <w:szCs w:val="14"/>
              </w:rPr>
              <w:t xml:space="preserve"> (&lt;0.1)</w:t>
            </w:r>
          </w:p>
        </w:tc>
        <w:tc>
          <w:tcPr>
            <w:tcW w:w="337" w:type="pct"/>
          </w:tcPr>
          <w:p w14:paraId="46205BAC" w14:textId="6CF7C5E1" w:rsidR="00CD1C42" w:rsidRPr="005001D6" w:rsidRDefault="00CD1C42" w:rsidP="00173FAF">
            <w:pPr>
              <w:widowControl w:val="0"/>
              <w:autoSpaceDE w:val="0"/>
              <w:autoSpaceDN w:val="0"/>
              <w:adjustRightInd w:val="0"/>
              <w:spacing w:line="360" w:lineRule="auto"/>
              <w:jc w:val="both"/>
              <w:rPr>
                <w:rFonts w:ascii="Arial" w:hAnsi="Arial" w:cs="Arial"/>
                <w:b/>
                <w:bCs/>
                <w:sz w:val="14"/>
                <w:szCs w:val="14"/>
              </w:rPr>
            </w:pPr>
            <w:r w:rsidRPr="005001D6">
              <w:rPr>
                <w:rFonts w:ascii="Arial" w:hAnsi="Arial" w:cs="Arial"/>
                <w:b/>
                <w:bCs/>
                <w:sz w:val="14"/>
                <w:szCs w:val="14"/>
              </w:rPr>
              <w:t>0.0</w:t>
            </w:r>
            <w:r w:rsidR="00C565DE" w:rsidRPr="005001D6">
              <w:rPr>
                <w:rFonts w:ascii="Arial" w:hAnsi="Arial" w:cs="Arial"/>
                <w:b/>
                <w:bCs/>
                <w:sz w:val="14"/>
                <w:szCs w:val="14"/>
              </w:rPr>
              <w:t>4</w:t>
            </w:r>
            <w:r w:rsidRPr="005001D6">
              <w:rPr>
                <w:rFonts w:ascii="Arial" w:hAnsi="Arial" w:cs="Arial"/>
                <w:b/>
                <w:bCs/>
                <w:sz w:val="14"/>
                <w:szCs w:val="14"/>
              </w:rPr>
              <w:t xml:space="preserve"> (</w:t>
            </w:r>
            <w:r w:rsidR="00C565DE" w:rsidRPr="005001D6">
              <w:rPr>
                <w:rFonts w:ascii="Arial" w:hAnsi="Arial" w:cs="Arial"/>
                <w:b/>
                <w:bCs/>
                <w:sz w:val="14"/>
                <w:szCs w:val="14"/>
              </w:rPr>
              <w:t>4</w:t>
            </w:r>
            <w:r w:rsidRPr="005001D6">
              <w:rPr>
                <w:rFonts w:ascii="Arial" w:hAnsi="Arial" w:cs="Arial"/>
                <w:b/>
                <w:bCs/>
                <w:sz w:val="14"/>
                <w:szCs w:val="14"/>
              </w:rPr>
              <w:t>.</w:t>
            </w:r>
            <w:r w:rsidR="00C565DE" w:rsidRPr="005001D6">
              <w:rPr>
                <w:rFonts w:ascii="Arial" w:hAnsi="Arial" w:cs="Arial"/>
                <w:b/>
                <w:bCs/>
                <w:sz w:val="14"/>
                <w:szCs w:val="14"/>
              </w:rPr>
              <w:t>1</w:t>
            </w:r>
            <w:r w:rsidRPr="005001D6">
              <w:rPr>
                <w:rFonts w:ascii="Arial" w:hAnsi="Arial" w:cs="Arial"/>
                <w:b/>
                <w:bCs/>
                <w:sz w:val="14"/>
                <w:szCs w:val="14"/>
              </w:rPr>
              <w:t>)</w:t>
            </w:r>
          </w:p>
        </w:tc>
        <w:tc>
          <w:tcPr>
            <w:tcW w:w="340" w:type="pct"/>
          </w:tcPr>
          <w:p w14:paraId="6269A189" w14:textId="365D872C" w:rsidR="00CD1C42" w:rsidRPr="005001D6" w:rsidRDefault="00CD1C42"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0.</w:t>
            </w:r>
            <w:r w:rsidR="00C565DE" w:rsidRPr="005001D6">
              <w:rPr>
                <w:rFonts w:ascii="Arial" w:hAnsi="Arial" w:cs="Arial"/>
                <w:sz w:val="14"/>
                <w:szCs w:val="14"/>
              </w:rPr>
              <w:t>77</w:t>
            </w:r>
            <w:r w:rsidRPr="005001D6">
              <w:rPr>
                <w:rFonts w:ascii="Arial" w:hAnsi="Arial" w:cs="Arial"/>
                <w:sz w:val="14"/>
                <w:szCs w:val="14"/>
              </w:rPr>
              <w:t xml:space="preserve"> (</w:t>
            </w:r>
            <w:r w:rsidR="00C565DE" w:rsidRPr="005001D6">
              <w:rPr>
                <w:rFonts w:ascii="Arial" w:hAnsi="Arial" w:cs="Arial"/>
                <w:sz w:val="14"/>
                <w:szCs w:val="14"/>
              </w:rPr>
              <w:t>0.1</w:t>
            </w:r>
            <w:r w:rsidRPr="005001D6">
              <w:rPr>
                <w:rFonts w:ascii="Arial" w:hAnsi="Arial" w:cs="Arial"/>
                <w:sz w:val="14"/>
                <w:szCs w:val="14"/>
              </w:rPr>
              <w:t>)</w:t>
            </w:r>
          </w:p>
        </w:tc>
      </w:tr>
      <w:tr w:rsidR="005001D6" w:rsidRPr="005001D6" w14:paraId="13F18E1E" w14:textId="77777777" w:rsidTr="00A77EBD">
        <w:tc>
          <w:tcPr>
            <w:tcW w:w="851" w:type="pct"/>
          </w:tcPr>
          <w:p w14:paraId="4C906029" w14:textId="77777777" w:rsidR="00CD1C42" w:rsidRPr="005001D6" w:rsidRDefault="00CD1C42"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 xml:space="preserve">Root biomass </w:t>
            </w:r>
          </w:p>
          <w:p w14:paraId="59C5DAE9" w14:textId="77777777" w:rsidR="00CD1C42" w:rsidRPr="005001D6" w:rsidRDefault="00CD1C42"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w:t>
            </w:r>
            <w:r w:rsidRPr="005001D6">
              <w:rPr>
                <w:rFonts w:ascii="Arial" w:hAnsi="Arial" w:cs="Arial"/>
                <w:sz w:val="14"/>
                <w:szCs w:val="14"/>
                <w:vertAlign w:val="superscript"/>
              </w:rPr>
              <w:t>15</w:t>
            </w:r>
            <w:r w:rsidRPr="005001D6">
              <w:rPr>
                <w:rFonts w:ascii="Arial" w:hAnsi="Arial" w:cs="Arial"/>
                <w:sz w:val="14"/>
                <w:szCs w:val="14"/>
              </w:rPr>
              <w:t>N excess</w:t>
            </w:r>
          </w:p>
          <w:p w14:paraId="166C0A91" w14:textId="77777777" w:rsidR="00CD1C42" w:rsidRPr="005001D6" w:rsidRDefault="00CD1C42"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g</w:t>
            </w:r>
            <w:r w:rsidRPr="005001D6">
              <w:rPr>
                <w:rFonts w:ascii="Arial" w:hAnsi="Arial" w:cs="Arial"/>
                <w:sz w:val="14"/>
                <w:szCs w:val="14"/>
                <w:vertAlign w:val="superscript"/>
              </w:rPr>
              <w:t>-1</w:t>
            </w:r>
            <w:r w:rsidRPr="005001D6">
              <w:rPr>
                <w:rFonts w:ascii="Arial" w:hAnsi="Arial" w:cs="Arial"/>
                <w:sz w:val="14"/>
                <w:szCs w:val="14"/>
              </w:rPr>
              <w:t xml:space="preserve"> biomass)</w:t>
            </w:r>
          </w:p>
        </w:tc>
        <w:tc>
          <w:tcPr>
            <w:tcW w:w="534" w:type="pct"/>
          </w:tcPr>
          <w:p w14:paraId="49DE220F" w14:textId="763D1B9F" w:rsidR="00CD1C42" w:rsidRPr="005001D6" w:rsidRDefault="00BD5F0E"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1.3</w:t>
            </w:r>
            <w:r w:rsidR="00CD1C42" w:rsidRPr="005001D6">
              <w:rPr>
                <w:rFonts w:ascii="Arial" w:hAnsi="Arial" w:cs="Arial"/>
                <w:sz w:val="14"/>
                <w:szCs w:val="14"/>
              </w:rPr>
              <w:t xml:space="preserve"> ± 0.</w:t>
            </w:r>
            <w:r w:rsidRPr="005001D6">
              <w:rPr>
                <w:rFonts w:ascii="Arial" w:hAnsi="Arial" w:cs="Arial"/>
                <w:sz w:val="14"/>
                <w:szCs w:val="14"/>
              </w:rPr>
              <w:t>3</w:t>
            </w:r>
          </w:p>
        </w:tc>
        <w:tc>
          <w:tcPr>
            <w:tcW w:w="380" w:type="pct"/>
          </w:tcPr>
          <w:p w14:paraId="69CD7AEE" w14:textId="2FC33059" w:rsidR="00CD1C42" w:rsidRPr="005001D6" w:rsidRDefault="00BD5F0E"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2.2</w:t>
            </w:r>
            <w:r w:rsidR="00CD1C42" w:rsidRPr="005001D6">
              <w:rPr>
                <w:rFonts w:ascii="Arial" w:hAnsi="Arial" w:cs="Arial"/>
                <w:sz w:val="14"/>
                <w:szCs w:val="14"/>
              </w:rPr>
              <w:t xml:space="preserve"> ± 0.</w:t>
            </w:r>
            <w:r w:rsidRPr="005001D6">
              <w:rPr>
                <w:rFonts w:ascii="Arial" w:hAnsi="Arial" w:cs="Arial"/>
                <w:sz w:val="14"/>
                <w:szCs w:val="14"/>
              </w:rPr>
              <w:t>5</w:t>
            </w:r>
          </w:p>
        </w:tc>
        <w:tc>
          <w:tcPr>
            <w:tcW w:w="476" w:type="pct"/>
          </w:tcPr>
          <w:p w14:paraId="0AF1E25E" w14:textId="7AB46123" w:rsidR="00CD1C42" w:rsidRPr="005001D6" w:rsidRDefault="00CD1C42" w:rsidP="00173FAF">
            <w:pPr>
              <w:widowControl w:val="0"/>
              <w:autoSpaceDE w:val="0"/>
              <w:autoSpaceDN w:val="0"/>
              <w:adjustRightInd w:val="0"/>
              <w:spacing w:line="360" w:lineRule="auto"/>
              <w:jc w:val="both"/>
              <w:rPr>
                <w:rFonts w:ascii="Arial" w:hAnsi="Arial" w:cs="Arial"/>
                <w:b/>
                <w:bCs/>
                <w:sz w:val="14"/>
                <w:szCs w:val="14"/>
              </w:rPr>
            </w:pPr>
            <w:r w:rsidRPr="005001D6">
              <w:rPr>
                <w:rFonts w:ascii="Arial" w:hAnsi="Arial" w:cs="Arial"/>
                <w:sz w:val="14"/>
                <w:szCs w:val="14"/>
              </w:rPr>
              <w:t>-</w:t>
            </w:r>
            <w:r w:rsidR="00BD5F0E" w:rsidRPr="005001D6">
              <w:rPr>
                <w:rFonts w:ascii="Arial" w:hAnsi="Arial" w:cs="Arial"/>
                <w:sz w:val="14"/>
                <w:szCs w:val="14"/>
              </w:rPr>
              <w:t>39</w:t>
            </w:r>
          </w:p>
        </w:tc>
        <w:tc>
          <w:tcPr>
            <w:tcW w:w="386" w:type="pct"/>
          </w:tcPr>
          <w:p w14:paraId="7C85E4D2" w14:textId="5FFFCE1A" w:rsidR="00CD1C42" w:rsidRPr="005001D6" w:rsidRDefault="00CD1C42"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0.</w:t>
            </w:r>
            <w:r w:rsidR="00C05019" w:rsidRPr="005001D6">
              <w:rPr>
                <w:rFonts w:ascii="Arial" w:hAnsi="Arial" w:cs="Arial"/>
                <w:sz w:val="14"/>
                <w:szCs w:val="14"/>
              </w:rPr>
              <w:t>26</w:t>
            </w:r>
            <w:r w:rsidRPr="005001D6">
              <w:rPr>
                <w:rFonts w:ascii="Arial" w:hAnsi="Arial" w:cs="Arial"/>
                <w:sz w:val="14"/>
                <w:szCs w:val="14"/>
              </w:rPr>
              <w:t xml:space="preserve"> (</w:t>
            </w:r>
            <w:r w:rsidR="00C05019" w:rsidRPr="005001D6">
              <w:rPr>
                <w:rFonts w:ascii="Arial" w:hAnsi="Arial" w:cs="Arial"/>
                <w:sz w:val="14"/>
                <w:szCs w:val="14"/>
              </w:rPr>
              <w:t>1.2</w:t>
            </w:r>
            <w:r w:rsidRPr="005001D6">
              <w:rPr>
                <w:rFonts w:ascii="Arial" w:hAnsi="Arial" w:cs="Arial"/>
                <w:sz w:val="14"/>
                <w:szCs w:val="14"/>
              </w:rPr>
              <w:t>)</w:t>
            </w:r>
          </w:p>
        </w:tc>
        <w:tc>
          <w:tcPr>
            <w:tcW w:w="497" w:type="pct"/>
          </w:tcPr>
          <w:p w14:paraId="37A840BA" w14:textId="19E3AE2D" w:rsidR="00CD1C42" w:rsidRPr="005001D6" w:rsidRDefault="00CD1C42"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0.</w:t>
            </w:r>
            <w:r w:rsidR="00C05019" w:rsidRPr="005001D6">
              <w:rPr>
                <w:rFonts w:ascii="Arial" w:hAnsi="Arial" w:cs="Arial"/>
                <w:sz w:val="14"/>
                <w:szCs w:val="14"/>
              </w:rPr>
              <w:t>62</w:t>
            </w:r>
            <w:r w:rsidRPr="005001D6">
              <w:rPr>
                <w:rFonts w:ascii="Arial" w:hAnsi="Arial" w:cs="Arial"/>
                <w:sz w:val="14"/>
                <w:szCs w:val="14"/>
              </w:rPr>
              <w:t xml:space="preserve"> (0.</w:t>
            </w:r>
            <w:r w:rsidR="00C05019" w:rsidRPr="005001D6">
              <w:rPr>
                <w:rFonts w:ascii="Arial" w:hAnsi="Arial" w:cs="Arial"/>
                <w:sz w:val="14"/>
                <w:szCs w:val="14"/>
              </w:rPr>
              <w:t>2</w:t>
            </w:r>
            <w:r w:rsidRPr="005001D6">
              <w:rPr>
                <w:rFonts w:ascii="Arial" w:hAnsi="Arial" w:cs="Arial"/>
                <w:sz w:val="14"/>
                <w:szCs w:val="14"/>
              </w:rPr>
              <w:t>)</w:t>
            </w:r>
          </w:p>
        </w:tc>
        <w:tc>
          <w:tcPr>
            <w:tcW w:w="549" w:type="pct"/>
          </w:tcPr>
          <w:p w14:paraId="4CC803E6" w14:textId="2BDD0DA1" w:rsidR="00CD1C42" w:rsidRPr="005001D6" w:rsidRDefault="00CD1C42"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0.</w:t>
            </w:r>
            <w:r w:rsidR="00C05019" w:rsidRPr="005001D6">
              <w:rPr>
                <w:rFonts w:ascii="Arial" w:hAnsi="Arial" w:cs="Arial"/>
                <w:sz w:val="14"/>
                <w:szCs w:val="14"/>
              </w:rPr>
              <w:t>16</w:t>
            </w:r>
            <w:r w:rsidRPr="005001D6">
              <w:rPr>
                <w:rFonts w:ascii="Arial" w:hAnsi="Arial" w:cs="Arial"/>
                <w:sz w:val="14"/>
                <w:szCs w:val="14"/>
              </w:rPr>
              <w:t xml:space="preserve"> (1</w:t>
            </w:r>
            <w:r w:rsidR="00C05019" w:rsidRPr="005001D6">
              <w:rPr>
                <w:rFonts w:ascii="Arial" w:hAnsi="Arial" w:cs="Arial"/>
                <w:sz w:val="14"/>
                <w:szCs w:val="14"/>
              </w:rPr>
              <w:t>.9</w:t>
            </w:r>
            <w:r w:rsidRPr="005001D6">
              <w:rPr>
                <w:rFonts w:ascii="Arial" w:hAnsi="Arial" w:cs="Arial"/>
                <w:sz w:val="14"/>
                <w:szCs w:val="14"/>
              </w:rPr>
              <w:t>)</w:t>
            </w:r>
          </w:p>
        </w:tc>
        <w:tc>
          <w:tcPr>
            <w:tcW w:w="325" w:type="pct"/>
          </w:tcPr>
          <w:p w14:paraId="304A70B6" w14:textId="260C7382" w:rsidR="00CD1C42" w:rsidRPr="005001D6" w:rsidRDefault="00CD1C42"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0.</w:t>
            </w:r>
            <w:r w:rsidR="00C05019" w:rsidRPr="005001D6">
              <w:rPr>
                <w:rFonts w:ascii="Arial" w:hAnsi="Arial" w:cs="Arial"/>
                <w:sz w:val="14"/>
                <w:szCs w:val="14"/>
              </w:rPr>
              <w:t>81</w:t>
            </w:r>
            <w:r w:rsidRPr="005001D6">
              <w:rPr>
                <w:rFonts w:ascii="Arial" w:hAnsi="Arial" w:cs="Arial"/>
                <w:sz w:val="14"/>
                <w:szCs w:val="14"/>
              </w:rPr>
              <w:t xml:space="preserve"> (0.</w:t>
            </w:r>
            <w:r w:rsidR="00C05019" w:rsidRPr="005001D6">
              <w:rPr>
                <w:rFonts w:ascii="Arial" w:hAnsi="Arial" w:cs="Arial"/>
                <w:sz w:val="14"/>
                <w:szCs w:val="14"/>
              </w:rPr>
              <w:t>1</w:t>
            </w:r>
            <w:r w:rsidRPr="005001D6">
              <w:rPr>
                <w:rFonts w:ascii="Arial" w:hAnsi="Arial" w:cs="Arial"/>
                <w:sz w:val="14"/>
                <w:szCs w:val="14"/>
              </w:rPr>
              <w:t>)</w:t>
            </w:r>
          </w:p>
        </w:tc>
        <w:tc>
          <w:tcPr>
            <w:tcW w:w="325" w:type="pct"/>
          </w:tcPr>
          <w:p w14:paraId="32D2CE02" w14:textId="08E750BF" w:rsidR="00CD1C42" w:rsidRPr="005001D6" w:rsidRDefault="00CD1C42"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0.4</w:t>
            </w:r>
            <w:r w:rsidR="00C05019" w:rsidRPr="005001D6">
              <w:rPr>
                <w:rFonts w:ascii="Arial" w:hAnsi="Arial" w:cs="Arial"/>
                <w:sz w:val="14"/>
                <w:szCs w:val="14"/>
              </w:rPr>
              <w:t>1</w:t>
            </w:r>
            <w:r w:rsidRPr="005001D6">
              <w:rPr>
                <w:rFonts w:ascii="Arial" w:hAnsi="Arial" w:cs="Arial"/>
                <w:sz w:val="14"/>
                <w:szCs w:val="14"/>
              </w:rPr>
              <w:t xml:space="preserve"> (0.</w:t>
            </w:r>
            <w:r w:rsidR="00C05019" w:rsidRPr="005001D6">
              <w:rPr>
                <w:rFonts w:ascii="Arial" w:hAnsi="Arial" w:cs="Arial"/>
                <w:sz w:val="14"/>
                <w:szCs w:val="14"/>
              </w:rPr>
              <w:t>7</w:t>
            </w:r>
            <w:r w:rsidRPr="005001D6">
              <w:rPr>
                <w:rFonts w:ascii="Arial" w:hAnsi="Arial" w:cs="Arial"/>
                <w:sz w:val="14"/>
                <w:szCs w:val="14"/>
              </w:rPr>
              <w:t>)</w:t>
            </w:r>
          </w:p>
        </w:tc>
        <w:tc>
          <w:tcPr>
            <w:tcW w:w="337" w:type="pct"/>
          </w:tcPr>
          <w:p w14:paraId="5C35FF09" w14:textId="1A362C1C" w:rsidR="00CD1C42" w:rsidRPr="005001D6" w:rsidRDefault="00CD1C42"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0.</w:t>
            </w:r>
            <w:r w:rsidR="00C05019" w:rsidRPr="005001D6">
              <w:rPr>
                <w:rFonts w:ascii="Arial" w:hAnsi="Arial" w:cs="Arial"/>
                <w:sz w:val="14"/>
                <w:szCs w:val="14"/>
              </w:rPr>
              <w:t xml:space="preserve">05 </w:t>
            </w:r>
            <w:r w:rsidRPr="005001D6">
              <w:rPr>
                <w:rFonts w:ascii="Arial" w:hAnsi="Arial" w:cs="Arial"/>
                <w:sz w:val="14"/>
                <w:szCs w:val="14"/>
              </w:rPr>
              <w:t>(</w:t>
            </w:r>
            <w:r w:rsidR="00C05019" w:rsidRPr="005001D6">
              <w:rPr>
                <w:rFonts w:ascii="Arial" w:hAnsi="Arial" w:cs="Arial"/>
                <w:sz w:val="14"/>
                <w:szCs w:val="14"/>
              </w:rPr>
              <w:t>3.8</w:t>
            </w:r>
            <w:r w:rsidRPr="005001D6">
              <w:rPr>
                <w:rFonts w:ascii="Arial" w:hAnsi="Arial" w:cs="Arial"/>
                <w:sz w:val="14"/>
                <w:szCs w:val="14"/>
              </w:rPr>
              <w:t>)</w:t>
            </w:r>
          </w:p>
        </w:tc>
        <w:tc>
          <w:tcPr>
            <w:tcW w:w="340" w:type="pct"/>
          </w:tcPr>
          <w:p w14:paraId="1E85F415" w14:textId="7C0C7A9D" w:rsidR="00CD1C42" w:rsidRPr="005001D6" w:rsidRDefault="00CD1C42"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0.</w:t>
            </w:r>
            <w:r w:rsidR="00C05019" w:rsidRPr="005001D6">
              <w:rPr>
                <w:rFonts w:ascii="Arial" w:hAnsi="Arial" w:cs="Arial"/>
                <w:sz w:val="14"/>
                <w:szCs w:val="14"/>
              </w:rPr>
              <w:t>44</w:t>
            </w:r>
            <w:r w:rsidRPr="005001D6">
              <w:rPr>
                <w:rFonts w:ascii="Arial" w:hAnsi="Arial" w:cs="Arial"/>
                <w:sz w:val="14"/>
                <w:szCs w:val="14"/>
              </w:rPr>
              <w:t xml:space="preserve"> (0.</w:t>
            </w:r>
            <w:r w:rsidR="00C05019" w:rsidRPr="005001D6">
              <w:rPr>
                <w:rFonts w:ascii="Arial" w:hAnsi="Arial" w:cs="Arial"/>
                <w:sz w:val="14"/>
                <w:szCs w:val="14"/>
              </w:rPr>
              <w:t>6</w:t>
            </w:r>
            <w:r w:rsidRPr="005001D6">
              <w:rPr>
                <w:rFonts w:ascii="Arial" w:hAnsi="Arial" w:cs="Arial"/>
                <w:sz w:val="14"/>
                <w:szCs w:val="14"/>
              </w:rPr>
              <w:t>)</w:t>
            </w:r>
          </w:p>
        </w:tc>
      </w:tr>
      <w:tr w:rsidR="005001D6" w:rsidRPr="005001D6" w14:paraId="34A913C8" w14:textId="77777777" w:rsidTr="00090CE3">
        <w:tc>
          <w:tcPr>
            <w:tcW w:w="851" w:type="pct"/>
          </w:tcPr>
          <w:p w14:paraId="2570E8A6" w14:textId="77777777" w:rsidR="00522A83" w:rsidRPr="005001D6" w:rsidRDefault="00522A83" w:rsidP="00173FAF">
            <w:pPr>
              <w:widowControl w:val="0"/>
              <w:autoSpaceDE w:val="0"/>
              <w:autoSpaceDN w:val="0"/>
              <w:adjustRightInd w:val="0"/>
              <w:spacing w:line="360" w:lineRule="auto"/>
              <w:jc w:val="both"/>
              <w:rPr>
                <w:rFonts w:ascii="Arial" w:hAnsi="Arial" w:cs="Arial"/>
                <w:sz w:val="14"/>
                <w:szCs w:val="14"/>
              </w:rPr>
            </w:pPr>
          </w:p>
        </w:tc>
        <w:tc>
          <w:tcPr>
            <w:tcW w:w="534" w:type="pct"/>
          </w:tcPr>
          <w:p w14:paraId="7799DF4D" w14:textId="77777777" w:rsidR="00522A83" w:rsidRPr="005001D6" w:rsidRDefault="00522A83" w:rsidP="00173FAF">
            <w:pPr>
              <w:widowControl w:val="0"/>
              <w:autoSpaceDE w:val="0"/>
              <w:autoSpaceDN w:val="0"/>
              <w:adjustRightInd w:val="0"/>
              <w:spacing w:line="360" w:lineRule="auto"/>
              <w:jc w:val="both"/>
              <w:rPr>
                <w:rFonts w:ascii="Arial" w:hAnsi="Arial" w:cs="Arial"/>
                <w:sz w:val="14"/>
                <w:szCs w:val="14"/>
              </w:rPr>
            </w:pPr>
          </w:p>
        </w:tc>
        <w:tc>
          <w:tcPr>
            <w:tcW w:w="380" w:type="pct"/>
          </w:tcPr>
          <w:p w14:paraId="6518733F" w14:textId="77777777" w:rsidR="00522A83" w:rsidRPr="005001D6" w:rsidRDefault="00522A83" w:rsidP="00173FAF">
            <w:pPr>
              <w:widowControl w:val="0"/>
              <w:autoSpaceDE w:val="0"/>
              <w:autoSpaceDN w:val="0"/>
              <w:adjustRightInd w:val="0"/>
              <w:spacing w:line="360" w:lineRule="auto"/>
              <w:jc w:val="both"/>
              <w:rPr>
                <w:rFonts w:ascii="Arial" w:hAnsi="Arial" w:cs="Arial"/>
                <w:sz w:val="14"/>
                <w:szCs w:val="14"/>
              </w:rPr>
            </w:pPr>
          </w:p>
        </w:tc>
        <w:tc>
          <w:tcPr>
            <w:tcW w:w="476" w:type="pct"/>
          </w:tcPr>
          <w:p w14:paraId="760A35D7" w14:textId="77777777" w:rsidR="00522A83" w:rsidRPr="005001D6" w:rsidRDefault="00522A83" w:rsidP="00173FAF">
            <w:pPr>
              <w:widowControl w:val="0"/>
              <w:autoSpaceDE w:val="0"/>
              <w:autoSpaceDN w:val="0"/>
              <w:adjustRightInd w:val="0"/>
              <w:spacing w:line="360" w:lineRule="auto"/>
              <w:jc w:val="both"/>
              <w:rPr>
                <w:rFonts w:ascii="Arial" w:hAnsi="Arial" w:cs="Arial"/>
                <w:sz w:val="14"/>
                <w:szCs w:val="14"/>
              </w:rPr>
            </w:pPr>
          </w:p>
        </w:tc>
        <w:tc>
          <w:tcPr>
            <w:tcW w:w="386" w:type="pct"/>
          </w:tcPr>
          <w:p w14:paraId="00C05FE9" w14:textId="77777777" w:rsidR="00522A83" w:rsidRPr="005001D6" w:rsidRDefault="00522A83" w:rsidP="00173FAF">
            <w:pPr>
              <w:widowControl w:val="0"/>
              <w:autoSpaceDE w:val="0"/>
              <w:autoSpaceDN w:val="0"/>
              <w:adjustRightInd w:val="0"/>
              <w:spacing w:line="360" w:lineRule="auto"/>
              <w:jc w:val="both"/>
              <w:rPr>
                <w:rFonts w:ascii="Arial" w:hAnsi="Arial" w:cs="Arial"/>
                <w:sz w:val="14"/>
                <w:szCs w:val="14"/>
              </w:rPr>
            </w:pPr>
          </w:p>
        </w:tc>
        <w:tc>
          <w:tcPr>
            <w:tcW w:w="497" w:type="pct"/>
          </w:tcPr>
          <w:p w14:paraId="6F2C2936" w14:textId="77777777" w:rsidR="00522A83" w:rsidRPr="005001D6" w:rsidRDefault="00522A83" w:rsidP="00173FAF">
            <w:pPr>
              <w:widowControl w:val="0"/>
              <w:autoSpaceDE w:val="0"/>
              <w:autoSpaceDN w:val="0"/>
              <w:adjustRightInd w:val="0"/>
              <w:spacing w:line="360" w:lineRule="auto"/>
              <w:jc w:val="both"/>
              <w:rPr>
                <w:rFonts w:ascii="Arial" w:hAnsi="Arial" w:cs="Arial"/>
                <w:sz w:val="14"/>
                <w:szCs w:val="14"/>
              </w:rPr>
            </w:pPr>
          </w:p>
        </w:tc>
        <w:tc>
          <w:tcPr>
            <w:tcW w:w="549" w:type="pct"/>
          </w:tcPr>
          <w:p w14:paraId="0C35E5F9" w14:textId="77777777" w:rsidR="00522A83" w:rsidRPr="005001D6" w:rsidRDefault="00522A83" w:rsidP="00173FAF">
            <w:pPr>
              <w:widowControl w:val="0"/>
              <w:autoSpaceDE w:val="0"/>
              <w:autoSpaceDN w:val="0"/>
              <w:adjustRightInd w:val="0"/>
              <w:spacing w:line="360" w:lineRule="auto"/>
              <w:jc w:val="both"/>
              <w:rPr>
                <w:rFonts w:ascii="Arial" w:hAnsi="Arial" w:cs="Arial"/>
                <w:sz w:val="14"/>
                <w:szCs w:val="14"/>
              </w:rPr>
            </w:pPr>
          </w:p>
        </w:tc>
        <w:tc>
          <w:tcPr>
            <w:tcW w:w="325" w:type="pct"/>
          </w:tcPr>
          <w:p w14:paraId="0AC428F3" w14:textId="77777777" w:rsidR="00522A83" w:rsidRPr="005001D6" w:rsidRDefault="00522A83" w:rsidP="00173FAF">
            <w:pPr>
              <w:widowControl w:val="0"/>
              <w:autoSpaceDE w:val="0"/>
              <w:autoSpaceDN w:val="0"/>
              <w:adjustRightInd w:val="0"/>
              <w:spacing w:line="360" w:lineRule="auto"/>
              <w:jc w:val="both"/>
              <w:rPr>
                <w:rFonts w:ascii="Arial" w:hAnsi="Arial" w:cs="Arial"/>
                <w:sz w:val="14"/>
                <w:szCs w:val="14"/>
              </w:rPr>
            </w:pPr>
          </w:p>
        </w:tc>
        <w:tc>
          <w:tcPr>
            <w:tcW w:w="325" w:type="pct"/>
          </w:tcPr>
          <w:p w14:paraId="22639B31" w14:textId="77777777" w:rsidR="00522A83" w:rsidRPr="005001D6" w:rsidRDefault="00522A83" w:rsidP="00173FAF">
            <w:pPr>
              <w:widowControl w:val="0"/>
              <w:autoSpaceDE w:val="0"/>
              <w:autoSpaceDN w:val="0"/>
              <w:adjustRightInd w:val="0"/>
              <w:spacing w:line="360" w:lineRule="auto"/>
              <w:jc w:val="both"/>
              <w:rPr>
                <w:rFonts w:ascii="Arial" w:hAnsi="Arial" w:cs="Arial"/>
                <w:sz w:val="14"/>
                <w:szCs w:val="14"/>
              </w:rPr>
            </w:pPr>
          </w:p>
        </w:tc>
        <w:tc>
          <w:tcPr>
            <w:tcW w:w="337" w:type="pct"/>
          </w:tcPr>
          <w:p w14:paraId="62456105" w14:textId="77777777" w:rsidR="00522A83" w:rsidRPr="005001D6" w:rsidRDefault="00522A83" w:rsidP="00173FAF">
            <w:pPr>
              <w:widowControl w:val="0"/>
              <w:autoSpaceDE w:val="0"/>
              <w:autoSpaceDN w:val="0"/>
              <w:adjustRightInd w:val="0"/>
              <w:spacing w:line="360" w:lineRule="auto"/>
              <w:jc w:val="both"/>
              <w:rPr>
                <w:rFonts w:ascii="Arial" w:hAnsi="Arial" w:cs="Arial"/>
                <w:b/>
                <w:bCs/>
                <w:sz w:val="14"/>
                <w:szCs w:val="14"/>
              </w:rPr>
            </w:pPr>
          </w:p>
        </w:tc>
        <w:tc>
          <w:tcPr>
            <w:tcW w:w="340" w:type="pct"/>
          </w:tcPr>
          <w:p w14:paraId="1AA7DBD4" w14:textId="77777777" w:rsidR="00522A83" w:rsidRPr="005001D6" w:rsidRDefault="00522A83" w:rsidP="00173FAF">
            <w:pPr>
              <w:widowControl w:val="0"/>
              <w:autoSpaceDE w:val="0"/>
              <w:autoSpaceDN w:val="0"/>
              <w:adjustRightInd w:val="0"/>
              <w:spacing w:line="360" w:lineRule="auto"/>
              <w:jc w:val="both"/>
              <w:rPr>
                <w:rFonts w:ascii="Arial" w:hAnsi="Arial" w:cs="Arial"/>
                <w:sz w:val="14"/>
                <w:szCs w:val="14"/>
              </w:rPr>
            </w:pPr>
          </w:p>
        </w:tc>
      </w:tr>
      <w:tr w:rsidR="005001D6" w:rsidRPr="005001D6" w14:paraId="0DB2AEAB" w14:textId="77777777" w:rsidTr="00A77EBD">
        <w:tc>
          <w:tcPr>
            <w:tcW w:w="851" w:type="pct"/>
          </w:tcPr>
          <w:p w14:paraId="0CC1EF96" w14:textId="6458384A" w:rsidR="00A550EE" w:rsidRPr="005001D6" w:rsidRDefault="00A550EE"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R</w:t>
            </w:r>
            <w:r w:rsidR="00090CE3" w:rsidRPr="005001D6">
              <w:rPr>
                <w:rFonts w:ascii="Arial" w:hAnsi="Arial" w:cs="Arial"/>
                <w:sz w:val="14"/>
                <w:szCs w:val="14"/>
              </w:rPr>
              <w:t>atio</w:t>
            </w:r>
            <w:r w:rsidRPr="005001D6">
              <w:rPr>
                <w:rFonts w:ascii="Arial" w:hAnsi="Arial" w:cs="Arial"/>
                <w:sz w:val="14"/>
                <w:szCs w:val="14"/>
              </w:rPr>
              <w:t xml:space="preserve"> MB: </w:t>
            </w:r>
            <w:r w:rsidR="00090CE3" w:rsidRPr="005001D6">
              <w:rPr>
                <w:rFonts w:ascii="Arial" w:hAnsi="Arial" w:cs="Arial"/>
                <w:sz w:val="14"/>
                <w:szCs w:val="14"/>
              </w:rPr>
              <w:t>plant biomass</w:t>
            </w:r>
            <w:r w:rsidRPr="005001D6">
              <w:rPr>
                <w:rFonts w:ascii="Arial" w:hAnsi="Arial" w:cs="Arial"/>
                <w:sz w:val="14"/>
                <w:szCs w:val="14"/>
              </w:rPr>
              <w:t xml:space="preserve"> </w:t>
            </w:r>
          </w:p>
        </w:tc>
        <w:tc>
          <w:tcPr>
            <w:tcW w:w="534" w:type="pct"/>
          </w:tcPr>
          <w:p w14:paraId="0710F61B" w14:textId="1CA85D55" w:rsidR="00A550EE" w:rsidRPr="005001D6" w:rsidRDefault="00835CB0"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28.6 ± 9.6</w:t>
            </w:r>
          </w:p>
        </w:tc>
        <w:tc>
          <w:tcPr>
            <w:tcW w:w="380" w:type="pct"/>
          </w:tcPr>
          <w:p w14:paraId="30BE2E85" w14:textId="26D34FEA" w:rsidR="00A550EE" w:rsidRPr="005001D6" w:rsidRDefault="00835CB0"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8.9 ± 2.9</w:t>
            </w:r>
          </w:p>
        </w:tc>
        <w:tc>
          <w:tcPr>
            <w:tcW w:w="476" w:type="pct"/>
          </w:tcPr>
          <w:p w14:paraId="0B0B6D73" w14:textId="598BDEB2" w:rsidR="00A550EE" w:rsidRPr="005001D6" w:rsidRDefault="00835CB0"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221</w:t>
            </w:r>
          </w:p>
        </w:tc>
        <w:tc>
          <w:tcPr>
            <w:tcW w:w="386" w:type="pct"/>
          </w:tcPr>
          <w:p w14:paraId="5072930B" w14:textId="4EA5D161" w:rsidR="00A550EE" w:rsidRPr="005001D6" w:rsidRDefault="00835CB0" w:rsidP="00173FAF">
            <w:pPr>
              <w:widowControl w:val="0"/>
              <w:autoSpaceDE w:val="0"/>
              <w:autoSpaceDN w:val="0"/>
              <w:adjustRightInd w:val="0"/>
              <w:spacing w:line="360" w:lineRule="auto"/>
              <w:jc w:val="both"/>
              <w:rPr>
                <w:rFonts w:ascii="Arial" w:hAnsi="Arial" w:cs="Arial"/>
                <w:b/>
                <w:bCs/>
                <w:sz w:val="14"/>
                <w:szCs w:val="14"/>
              </w:rPr>
            </w:pPr>
            <w:r w:rsidRPr="005001D6">
              <w:rPr>
                <w:rFonts w:ascii="Arial" w:hAnsi="Arial" w:cs="Arial"/>
                <w:b/>
                <w:bCs/>
                <w:sz w:val="14"/>
                <w:szCs w:val="14"/>
              </w:rPr>
              <w:t>0.01 (6.3)</w:t>
            </w:r>
          </w:p>
        </w:tc>
        <w:tc>
          <w:tcPr>
            <w:tcW w:w="497" w:type="pct"/>
          </w:tcPr>
          <w:p w14:paraId="567FE4A9" w14:textId="2C17C213" w:rsidR="00A550EE" w:rsidRPr="005001D6" w:rsidRDefault="00835CB0"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0.39 (0.8)</w:t>
            </w:r>
          </w:p>
        </w:tc>
        <w:tc>
          <w:tcPr>
            <w:tcW w:w="549" w:type="pct"/>
          </w:tcPr>
          <w:p w14:paraId="0374152B" w14:textId="716A092C" w:rsidR="00A550EE" w:rsidRPr="005001D6" w:rsidRDefault="00835CB0"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0.91 (&lt;0.1)</w:t>
            </w:r>
          </w:p>
        </w:tc>
        <w:tc>
          <w:tcPr>
            <w:tcW w:w="325" w:type="pct"/>
          </w:tcPr>
          <w:p w14:paraId="175CCA12" w14:textId="49E189A7" w:rsidR="00A550EE" w:rsidRPr="005001D6" w:rsidRDefault="00835CB0"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0.46 (0.5)</w:t>
            </w:r>
          </w:p>
        </w:tc>
        <w:tc>
          <w:tcPr>
            <w:tcW w:w="325" w:type="pct"/>
          </w:tcPr>
          <w:p w14:paraId="5DC0D7E6" w14:textId="71E1DB9A" w:rsidR="00A550EE" w:rsidRPr="005001D6" w:rsidRDefault="00835CB0"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0.87 (&lt;0.1)</w:t>
            </w:r>
          </w:p>
        </w:tc>
        <w:tc>
          <w:tcPr>
            <w:tcW w:w="337" w:type="pct"/>
          </w:tcPr>
          <w:p w14:paraId="4A2777B5" w14:textId="426BBC5C" w:rsidR="00A550EE" w:rsidRPr="005001D6" w:rsidRDefault="00835CB0"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0.88 (&lt;0.1)</w:t>
            </w:r>
          </w:p>
        </w:tc>
        <w:tc>
          <w:tcPr>
            <w:tcW w:w="340" w:type="pct"/>
          </w:tcPr>
          <w:p w14:paraId="67283CD5" w14:textId="0DCAB937" w:rsidR="00A550EE" w:rsidRPr="005001D6" w:rsidRDefault="00835CB0"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0.74 (0.1)</w:t>
            </w:r>
          </w:p>
        </w:tc>
      </w:tr>
      <w:tr w:rsidR="005001D6" w:rsidRPr="005001D6" w14:paraId="352C7FCB" w14:textId="77777777" w:rsidTr="00A77EBD">
        <w:tc>
          <w:tcPr>
            <w:tcW w:w="1385" w:type="pct"/>
            <w:gridSpan w:val="2"/>
            <w:tcBorders>
              <w:bottom w:val="single" w:sz="4" w:space="0" w:color="auto"/>
            </w:tcBorders>
          </w:tcPr>
          <w:p w14:paraId="268C4BBA" w14:textId="77777777" w:rsidR="00090CE3" w:rsidRPr="005001D6" w:rsidRDefault="00090CE3" w:rsidP="00173FAF">
            <w:pPr>
              <w:widowControl w:val="0"/>
              <w:autoSpaceDE w:val="0"/>
              <w:autoSpaceDN w:val="0"/>
              <w:adjustRightInd w:val="0"/>
              <w:spacing w:line="360" w:lineRule="auto"/>
              <w:jc w:val="both"/>
              <w:rPr>
                <w:rFonts w:ascii="Arial" w:hAnsi="Arial" w:cs="Arial"/>
                <w:sz w:val="14"/>
                <w:szCs w:val="14"/>
              </w:rPr>
            </w:pPr>
            <w:bookmarkStart w:id="16" w:name="_Hlk64303383"/>
          </w:p>
          <w:p w14:paraId="6F41ED51" w14:textId="77777777" w:rsidR="00090CE3" w:rsidRPr="005001D6" w:rsidRDefault="00090CE3"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vertAlign w:val="superscript"/>
              </w:rPr>
              <w:t>15</w:t>
            </w:r>
            <w:r w:rsidRPr="005001D6">
              <w:rPr>
                <w:rFonts w:ascii="Arial" w:hAnsi="Arial" w:cs="Arial"/>
                <w:sz w:val="14"/>
                <w:szCs w:val="14"/>
              </w:rPr>
              <w:t xml:space="preserve">N EXCESS </w:t>
            </w:r>
          </w:p>
        </w:tc>
        <w:tc>
          <w:tcPr>
            <w:tcW w:w="380" w:type="pct"/>
          </w:tcPr>
          <w:p w14:paraId="4F3A38F5" w14:textId="77777777" w:rsidR="00090CE3" w:rsidRPr="005001D6" w:rsidRDefault="00090CE3" w:rsidP="00173FAF">
            <w:pPr>
              <w:widowControl w:val="0"/>
              <w:autoSpaceDE w:val="0"/>
              <w:autoSpaceDN w:val="0"/>
              <w:adjustRightInd w:val="0"/>
              <w:spacing w:line="360" w:lineRule="auto"/>
              <w:jc w:val="both"/>
              <w:rPr>
                <w:rFonts w:ascii="Arial" w:hAnsi="Arial" w:cs="Arial"/>
                <w:b/>
                <w:bCs/>
                <w:sz w:val="14"/>
                <w:szCs w:val="14"/>
              </w:rPr>
            </w:pPr>
          </w:p>
        </w:tc>
        <w:tc>
          <w:tcPr>
            <w:tcW w:w="476" w:type="pct"/>
          </w:tcPr>
          <w:p w14:paraId="07A7E4A7" w14:textId="77777777" w:rsidR="00090CE3" w:rsidRPr="005001D6" w:rsidRDefault="00090CE3" w:rsidP="00173FAF">
            <w:pPr>
              <w:widowControl w:val="0"/>
              <w:autoSpaceDE w:val="0"/>
              <w:autoSpaceDN w:val="0"/>
              <w:adjustRightInd w:val="0"/>
              <w:spacing w:line="360" w:lineRule="auto"/>
              <w:jc w:val="both"/>
              <w:rPr>
                <w:rFonts w:ascii="Arial" w:hAnsi="Arial" w:cs="Arial"/>
                <w:b/>
                <w:bCs/>
                <w:sz w:val="14"/>
                <w:szCs w:val="14"/>
              </w:rPr>
            </w:pPr>
          </w:p>
        </w:tc>
        <w:tc>
          <w:tcPr>
            <w:tcW w:w="386" w:type="pct"/>
          </w:tcPr>
          <w:p w14:paraId="4EFB7F62" w14:textId="77777777" w:rsidR="00090CE3" w:rsidRPr="005001D6" w:rsidRDefault="00090CE3" w:rsidP="00173FAF">
            <w:pPr>
              <w:widowControl w:val="0"/>
              <w:autoSpaceDE w:val="0"/>
              <w:autoSpaceDN w:val="0"/>
              <w:adjustRightInd w:val="0"/>
              <w:spacing w:line="360" w:lineRule="auto"/>
              <w:jc w:val="both"/>
              <w:rPr>
                <w:rFonts w:ascii="Arial" w:hAnsi="Arial" w:cs="Arial"/>
                <w:b/>
                <w:bCs/>
                <w:sz w:val="14"/>
                <w:szCs w:val="14"/>
              </w:rPr>
            </w:pPr>
          </w:p>
        </w:tc>
        <w:tc>
          <w:tcPr>
            <w:tcW w:w="497" w:type="pct"/>
          </w:tcPr>
          <w:p w14:paraId="2152AC98" w14:textId="77777777" w:rsidR="00090CE3" w:rsidRPr="005001D6" w:rsidRDefault="00090CE3" w:rsidP="00173FAF">
            <w:pPr>
              <w:widowControl w:val="0"/>
              <w:autoSpaceDE w:val="0"/>
              <w:autoSpaceDN w:val="0"/>
              <w:adjustRightInd w:val="0"/>
              <w:spacing w:line="360" w:lineRule="auto"/>
              <w:jc w:val="both"/>
              <w:rPr>
                <w:rFonts w:ascii="Arial" w:hAnsi="Arial" w:cs="Arial"/>
                <w:b/>
                <w:bCs/>
                <w:sz w:val="14"/>
                <w:szCs w:val="14"/>
              </w:rPr>
            </w:pPr>
          </w:p>
        </w:tc>
        <w:tc>
          <w:tcPr>
            <w:tcW w:w="549" w:type="pct"/>
          </w:tcPr>
          <w:p w14:paraId="7BB3FC76" w14:textId="77777777" w:rsidR="00090CE3" w:rsidRPr="005001D6" w:rsidRDefault="00090CE3" w:rsidP="00173FAF">
            <w:pPr>
              <w:widowControl w:val="0"/>
              <w:autoSpaceDE w:val="0"/>
              <w:autoSpaceDN w:val="0"/>
              <w:adjustRightInd w:val="0"/>
              <w:spacing w:line="360" w:lineRule="auto"/>
              <w:jc w:val="both"/>
              <w:rPr>
                <w:rFonts w:ascii="Arial" w:hAnsi="Arial" w:cs="Arial"/>
                <w:b/>
                <w:bCs/>
                <w:sz w:val="14"/>
                <w:szCs w:val="14"/>
              </w:rPr>
            </w:pPr>
          </w:p>
        </w:tc>
        <w:tc>
          <w:tcPr>
            <w:tcW w:w="325" w:type="pct"/>
          </w:tcPr>
          <w:p w14:paraId="42E93261" w14:textId="77777777" w:rsidR="00090CE3" w:rsidRPr="005001D6" w:rsidRDefault="00090CE3" w:rsidP="00173FAF">
            <w:pPr>
              <w:widowControl w:val="0"/>
              <w:autoSpaceDE w:val="0"/>
              <w:autoSpaceDN w:val="0"/>
              <w:adjustRightInd w:val="0"/>
              <w:spacing w:line="360" w:lineRule="auto"/>
              <w:jc w:val="both"/>
              <w:rPr>
                <w:rFonts w:ascii="Arial" w:hAnsi="Arial" w:cs="Arial"/>
                <w:b/>
                <w:bCs/>
                <w:sz w:val="14"/>
                <w:szCs w:val="14"/>
              </w:rPr>
            </w:pPr>
          </w:p>
        </w:tc>
        <w:tc>
          <w:tcPr>
            <w:tcW w:w="325" w:type="pct"/>
          </w:tcPr>
          <w:p w14:paraId="073E824B" w14:textId="77777777" w:rsidR="00090CE3" w:rsidRPr="005001D6" w:rsidRDefault="00090CE3" w:rsidP="00173FAF">
            <w:pPr>
              <w:widowControl w:val="0"/>
              <w:autoSpaceDE w:val="0"/>
              <w:autoSpaceDN w:val="0"/>
              <w:adjustRightInd w:val="0"/>
              <w:spacing w:line="360" w:lineRule="auto"/>
              <w:jc w:val="both"/>
              <w:rPr>
                <w:rFonts w:ascii="Arial" w:hAnsi="Arial" w:cs="Arial"/>
                <w:b/>
                <w:bCs/>
                <w:sz w:val="14"/>
                <w:szCs w:val="14"/>
              </w:rPr>
            </w:pPr>
          </w:p>
        </w:tc>
        <w:tc>
          <w:tcPr>
            <w:tcW w:w="337" w:type="pct"/>
          </w:tcPr>
          <w:p w14:paraId="04191C90" w14:textId="77777777" w:rsidR="00090CE3" w:rsidRPr="005001D6" w:rsidRDefault="00090CE3" w:rsidP="00173FAF">
            <w:pPr>
              <w:widowControl w:val="0"/>
              <w:autoSpaceDE w:val="0"/>
              <w:autoSpaceDN w:val="0"/>
              <w:adjustRightInd w:val="0"/>
              <w:spacing w:line="360" w:lineRule="auto"/>
              <w:jc w:val="both"/>
              <w:rPr>
                <w:rFonts w:ascii="Arial" w:hAnsi="Arial" w:cs="Arial"/>
                <w:b/>
                <w:bCs/>
                <w:sz w:val="14"/>
                <w:szCs w:val="14"/>
              </w:rPr>
            </w:pPr>
          </w:p>
        </w:tc>
        <w:tc>
          <w:tcPr>
            <w:tcW w:w="340" w:type="pct"/>
          </w:tcPr>
          <w:p w14:paraId="52698552" w14:textId="77777777" w:rsidR="00090CE3" w:rsidRPr="005001D6" w:rsidRDefault="00090CE3" w:rsidP="00173FAF">
            <w:pPr>
              <w:widowControl w:val="0"/>
              <w:autoSpaceDE w:val="0"/>
              <w:autoSpaceDN w:val="0"/>
              <w:adjustRightInd w:val="0"/>
              <w:spacing w:line="360" w:lineRule="auto"/>
              <w:jc w:val="both"/>
              <w:rPr>
                <w:rFonts w:ascii="Arial" w:hAnsi="Arial" w:cs="Arial"/>
                <w:b/>
                <w:bCs/>
                <w:sz w:val="14"/>
                <w:szCs w:val="14"/>
              </w:rPr>
            </w:pPr>
          </w:p>
        </w:tc>
      </w:tr>
      <w:tr w:rsidR="005001D6" w:rsidRPr="005001D6" w14:paraId="73E3D0B7" w14:textId="77777777" w:rsidTr="00090CE3">
        <w:tc>
          <w:tcPr>
            <w:tcW w:w="851" w:type="pct"/>
            <w:tcBorders>
              <w:top w:val="single" w:sz="4" w:space="0" w:color="auto"/>
            </w:tcBorders>
          </w:tcPr>
          <w:p w14:paraId="072F62E5" w14:textId="77777777" w:rsidR="00090CE3" w:rsidRPr="005001D6" w:rsidRDefault="00090CE3"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Microbial biomass</w:t>
            </w:r>
          </w:p>
          <w:p w14:paraId="3FF19DFE" w14:textId="77777777" w:rsidR="00090CE3" w:rsidRPr="005001D6" w:rsidRDefault="00090CE3"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w:t>
            </w:r>
            <w:r w:rsidRPr="005001D6">
              <w:rPr>
                <w:rFonts w:ascii="Arial" w:hAnsi="Arial" w:cs="Arial"/>
                <w:sz w:val="14"/>
                <w:szCs w:val="14"/>
                <w:vertAlign w:val="superscript"/>
              </w:rPr>
              <w:t>15</w:t>
            </w:r>
            <w:r w:rsidRPr="005001D6">
              <w:rPr>
                <w:rFonts w:ascii="Arial" w:hAnsi="Arial" w:cs="Arial"/>
                <w:sz w:val="14"/>
                <w:szCs w:val="14"/>
              </w:rPr>
              <w:t xml:space="preserve">N excess </w:t>
            </w:r>
          </w:p>
          <w:p w14:paraId="3346F8F5" w14:textId="0A2232FF" w:rsidR="00090CE3" w:rsidRPr="005001D6" w:rsidRDefault="00090CE3" w:rsidP="00173FAF">
            <w:pPr>
              <w:widowControl w:val="0"/>
              <w:autoSpaceDE w:val="0"/>
              <w:autoSpaceDN w:val="0"/>
              <w:adjustRightInd w:val="0"/>
              <w:spacing w:line="360" w:lineRule="auto"/>
              <w:jc w:val="both"/>
              <w:rPr>
                <w:rFonts w:ascii="Arial" w:hAnsi="Arial" w:cs="Arial"/>
                <w:sz w:val="14"/>
                <w:szCs w:val="14"/>
                <w:lang w:val="es-ES"/>
              </w:rPr>
            </w:pPr>
            <w:r w:rsidRPr="005001D6">
              <w:rPr>
                <w:rFonts w:ascii="Arial" w:hAnsi="Arial" w:cs="Arial"/>
                <w:sz w:val="14"/>
                <w:szCs w:val="14"/>
              </w:rPr>
              <w:t>g</w:t>
            </w:r>
            <w:r w:rsidRPr="005001D6">
              <w:rPr>
                <w:rFonts w:ascii="Arial" w:hAnsi="Arial" w:cs="Arial"/>
                <w:sz w:val="14"/>
                <w:szCs w:val="14"/>
                <w:vertAlign w:val="superscript"/>
              </w:rPr>
              <w:t>-1</w:t>
            </w:r>
            <w:r w:rsidRPr="005001D6">
              <w:rPr>
                <w:rFonts w:ascii="Arial" w:hAnsi="Arial" w:cs="Arial"/>
                <w:sz w:val="14"/>
                <w:szCs w:val="14"/>
              </w:rPr>
              <w:t xml:space="preserve"> dry soil)</w:t>
            </w:r>
            <w:r w:rsidR="00A7490C" w:rsidRPr="005001D6">
              <w:rPr>
                <w:rFonts w:ascii="Arial" w:hAnsi="Arial" w:cs="Arial"/>
                <w:sz w:val="14"/>
                <w:szCs w:val="14"/>
              </w:rPr>
              <w:t>*</w:t>
            </w:r>
          </w:p>
        </w:tc>
        <w:tc>
          <w:tcPr>
            <w:tcW w:w="534" w:type="pct"/>
            <w:tcBorders>
              <w:top w:val="single" w:sz="4" w:space="0" w:color="auto"/>
            </w:tcBorders>
            <w:shd w:val="clear" w:color="auto" w:fill="auto"/>
          </w:tcPr>
          <w:p w14:paraId="44C9A71F" w14:textId="77777777" w:rsidR="00090CE3" w:rsidRPr="005001D6" w:rsidRDefault="00090CE3"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0.02 ± 0.01</w:t>
            </w:r>
          </w:p>
        </w:tc>
        <w:tc>
          <w:tcPr>
            <w:tcW w:w="380" w:type="pct"/>
            <w:shd w:val="clear" w:color="auto" w:fill="auto"/>
          </w:tcPr>
          <w:p w14:paraId="071D1B1E" w14:textId="77777777" w:rsidR="00090CE3" w:rsidRPr="005001D6" w:rsidRDefault="00090CE3"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0.01 ± 0.003</w:t>
            </w:r>
          </w:p>
        </w:tc>
        <w:tc>
          <w:tcPr>
            <w:tcW w:w="476" w:type="pct"/>
            <w:shd w:val="clear" w:color="auto" w:fill="auto"/>
          </w:tcPr>
          <w:p w14:paraId="02A612FD" w14:textId="77777777" w:rsidR="00090CE3" w:rsidRPr="005001D6" w:rsidRDefault="00090CE3"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106</w:t>
            </w:r>
          </w:p>
        </w:tc>
        <w:tc>
          <w:tcPr>
            <w:tcW w:w="386" w:type="pct"/>
            <w:shd w:val="clear" w:color="auto" w:fill="auto"/>
          </w:tcPr>
          <w:p w14:paraId="38331328" w14:textId="04F1204B" w:rsidR="00090CE3" w:rsidRPr="005001D6" w:rsidRDefault="00090CE3" w:rsidP="00173FAF">
            <w:pPr>
              <w:widowControl w:val="0"/>
              <w:autoSpaceDE w:val="0"/>
              <w:autoSpaceDN w:val="0"/>
              <w:adjustRightInd w:val="0"/>
              <w:spacing w:line="360" w:lineRule="auto"/>
              <w:jc w:val="both"/>
              <w:rPr>
                <w:rFonts w:ascii="Arial" w:hAnsi="Arial" w:cs="Arial"/>
                <w:b/>
                <w:bCs/>
                <w:sz w:val="14"/>
                <w:szCs w:val="14"/>
              </w:rPr>
            </w:pPr>
            <w:r w:rsidRPr="005001D6">
              <w:rPr>
                <w:rFonts w:ascii="Arial" w:hAnsi="Arial" w:cs="Arial"/>
                <w:b/>
                <w:bCs/>
                <w:sz w:val="14"/>
                <w:szCs w:val="14"/>
              </w:rPr>
              <w:t>0.0</w:t>
            </w:r>
            <w:r w:rsidR="00A7490C" w:rsidRPr="005001D6">
              <w:rPr>
                <w:rFonts w:ascii="Arial" w:hAnsi="Arial" w:cs="Arial"/>
                <w:b/>
                <w:bCs/>
                <w:sz w:val="14"/>
                <w:szCs w:val="14"/>
              </w:rPr>
              <w:t>2</w:t>
            </w:r>
            <w:r w:rsidRPr="005001D6">
              <w:rPr>
                <w:rFonts w:ascii="Arial" w:hAnsi="Arial" w:cs="Arial"/>
                <w:b/>
                <w:bCs/>
                <w:sz w:val="14"/>
                <w:szCs w:val="14"/>
              </w:rPr>
              <w:t xml:space="preserve"> (</w:t>
            </w:r>
            <w:r w:rsidR="00A7490C" w:rsidRPr="005001D6">
              <w:rPr>
                <w:rFonts w:ascii="Arial" w:hAnsi="Arial" w:cs="Arial"/>
                <w:b/>
                <w:bCs/>
                <w:sz w:val="14"/>
                <w:szCs w:val="14"/>
              </w:rPr>
              <w:t>5.5</w:t>
            </w:r>
            <w:r w:rsidRPr="005001D6">
              <w:rPr>
                <w:rFonts w:ascii="Arial" w:hAnsi="Arial" w:cs="Arial"/>
                <w:b/>
                <w:bCs/>
                <w:sz w:val="14"/>
                <w:szCs w:val="14"/>
              </w:rPr>
              <w:t>)</w:t>
            </w:r>
          </w:p>
        </w:tc>
        <w:tc>
          <w:tcPr>
            <w:tcW w:w="497" w:type="pct"/>
            <w:shd w:val="clear" w:color="auto" w:fill="auto"/>
          </w:tcPr>
          <w:p w14:paraId="1A72B58F" w14:textId="265A8E50" w:rsidR="00090CE3" w:rsidRPr="005001D6" w:rsidRDefault="00090CE3"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0.2</w:t>
            </w:r>
            <w:r w:rsidR="00A7490C" w:rsidRPr="005001D6">
              <w:rPr>
                <w:rFonts w:ascii="Arial" w:hAnsi="Arial" w:cs="Arial"/>
                <w:sz w:val="14"/>
                <w:szCs w:val="14"/>
              </w:rPr>
              <w:t>1</w:t>
            </w:r>
            <w:r w:rsidRPr="005001D6">
              <w:rPr>
                <w:rFonts w:ascii="Arial" w:hAnsi="Arial" w:cs="Arial"/>
                <w:sz w:val="14"/>
                <w:szCs w:val="14"/>
              </w:rPr>
              <w:t xml:space="preserve"> (1.</w:t>
            </w:r>
            <w:r w:rsidR="00A7490C" w:rsidRPr="005001D6">
              <w:rPr>
                <w:rFonts w:ascii="Arial" w:hAnsi="Arial" w:cs="Arial"/>
                <w:sz w:val="14"/>
                <w:szCs w:val="14"/>
              </w:rPr>
              <w:t>6</w:t>
            </w:r>
            <w:r w:rsidRPr="005001D6">
              <w:rPr>
                <w:rFonts w:ascii="Arial" w:hAnsi="Arial" w:cs="Arial"/>
                <w:sz w:val="14"/>
                <w:szCs w:val="14"/>
              </w:rPr>
              <w:t>)</w:t>
            </w:r>
          </w:p>
        </w:tc>
        <w:tc>
          <w:tcPr>
            <w:tcW w:w="549" w:type="pct"/>
          </w:tcPr>
          <w:p w14:paraId="3DABF921" w14:textId="0E61DBD4" w:rsidR="00090CE3" w:rsidRPr="005001D6" w:rsidRDefault="00090CE3"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0.</w:t>
            </w:r>
            <w:r w:rsidR="00A7490C" w:rsidRPr="005001D6">
              <w:rPr>
                <w:rFonts w:ascii="Arial" w:hAnsi="Arial" w:cs="Arial"/>
                <w:sz w:val="14"/>
                <w:szCs w:val="14"/>
              </w:rPr>
              <w:t>98</w:t>
            </w:r>
            <w:r w:rsidRPr="005001D6">
              <w:rPr>
                <w:rFonts w:ascii="Arial" w:hAnsi="Arial" w:cs="Arial"/>
                <w:sz w:val="14"/>
                <w:szCs w:val="14"/>
              </w:rPr>
              <w:t xml:space="preserve"> (</w:t>
            </w:r>
            <w:r w:rsidR="00A7490C" w:rsidRPr="005001D6">
              <w:rPr>
                <w:rFonts w:ascii="Arial" w:hAnsi="Arial" w:cs="Arial"/>
                <w:sz w:val="14"/>
                <w:szCs w:val="14"/>
              </w:rPr>
              <w:t>&lt;0</w:t>
            </w:r>
            <w:r w:rsidRPr="005001D6">
              <w:rPr>
                <w:rFonts w:ascii="Arial" w:hAnsi="Arial" w:cs="Arial"/>
                <w:sz w:val="14"/>
                <w:szCs w:val="14"/>
              </w:rPr>
              <w:t>.1)</w:t>
            </w:r>
          </w:p>
        </w:tc>
        <w:tc>
          <w:tcPr>
            <w:tcW w:w="325" w:type="pct"/>
          </w:tcPr>
          <w:p w14:paraId="09813A16" w14:textId="13925AC7" w:rsidR="00090CE3" w:rsidRPr="005001D6" w:rsidRDefault="00090CE3"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0.</w:t>
            </w:r>
            <w:r w:rsidR="00A7490C" w:rsidRPr="005001D6">
              <w:rPr>
                <w:rFonts w:ascii="Arial" w:hAnsi="Arial" w:cs="Arial"/>
                <w:sz w:val="14"/>
                <w:szCs w:val="14"/>
              </w:rPr>
              <w:t>16</w:t>
            </w:r>
            <w:r w:rsidRPr="005001D6">
              <w:rPr>
                <w:rFonts w:ascii="Arial" w:hAnsi="Arial" w:cs="Arial"/>
                <w:sz w:val="14"/>
                <w:szCs w:val="14"/>
              </w:rPr>
              <w:t xml:space="preserve"> (1.</w:t>
            </w:r>
            <w:r w:rsidR="00A7490C" w:rsidRPr="005001D6">
              <w:rPr>
                <w:rFonts w:ascii="Arial" w:hAnsi="Arial" w:cs="Arial"/>
                <w:sz w:val="14"/>
                <w:szCs w:val="14"/>
              </w:rPr>
              <w:t>9</w:t>
            </w:r>
            <w:r w:rsidRPr="005001D6">
              <w:rPr>
                <w:rFonts w:ascii="Arial" w:hAnsi="Arial" w:cs="Arial"/>
                <w:sz w:val="14"/>
                <w:szCs w:val="14"/>
              </w:rPr>
              <w:t>)</w:t>
            </w:r>
          </w:p>
        </w:tc>
        <w:tc>
          <w:tcPr>
            <w:tcW w:w="325" w:type="pct"/>
          </w:tcPr>
          <w:p w14:paraId="3D9E2254" w14:textId="23D043DB" w:rsidR="00090CE3" w:rsidRPr="005001D6" w:rsidRDefault="00090CE3"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0.</w:t>
            </w:r>
            <w:r w:rsidR="00A7490C" w:rsidRPr="005001D6">
              <w:rPr>
                <w:rFonts w:ascii="Arial" w:hAnsi="Arial" w:cs="Arial"/>
                <w:sz w:val="14"/>
                <w:szCs w:val="14"/>
              </w:rPr>
              <w:t>73</w:t>
            </w:r>
            <w:r w:rsidRPr="005001D6">
              <w:rPr>
                <w:rFonts w:ascii="Arial" w:hAnsi="Arial" w:cs="Arial"/>
                <w:sz w:val="14"/>
                <w:szCs w:val="14"/>
              </w:rPr>
              <w:t xml:space="preserve"> (0.</w:t>
            </w:r>
            <w:r w:rsidR="00A7490C" w:rsidRPr="005001D6">
              <w:rPr>
                <w:rFonts w:ascii="Arial" w:hAnsi="Arial" w:cs="Arial"/>
                <w:sz w:val="14"/>
                <w:szCs w:val="14"/>
              </w:rPr>
              <w:t>1</w:t>
            </w:r>
            <w:r w:rsidRPr="005001D6">
              <w:rPr>
                <w:rFonts w:ascii="Arial" w:hAnsi="Arial" w:cs="Arial"/>
                <w:sz w:val="14"/>
                <w:szCs w:val="14"/>
              </w:rPr>
              <w:t>)</w:t>
            </w:r>
          </w:p>
        </w:tc>
        <w:tc>
          <w:tcPr>
            <w:tcW w:w="337" w:type="pct"/>
          </w:tcPr>
          <w:p w14:paraId="7697BD2A" w14:textId="21228A65" w:rsidR="00090CE3" w:rsidRPr="005001D6" w:rsidRDefault="00090CE3"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0.</w:t>
            </w:r>
            <w:r w:rsidR="00A7490C" w:rsidRPr="005001D6">
              <w:rPr>
                <w:rFonts w:ascii="Arial" w:hAnsi="Arial" w:cs="Arial"/>
                <w:sz w:val="14"/>
                <w:szCs w:val="14"/>
              </w:rPr>
              <w:t>57</w:t>
            </w:r>
            <w:r w:rsidRPr="005001D6">
              <w:rPr>
                <w:rFonts w:ascii="Arial" w:hAnsi="Arial" w:cs="Arial"/>
                <w:sz w:val="14"/>
                <w:szCs w:val="14"/>
              </w:rPr>
              <w:t xml:space="preserve"> (0.</w:t>
            </w:r>
            <w:r w:rsidR="00A7490C" w:rsidRPr="005001D6">
              <w:rPr>
                <w:rFonts w:ascii="Arial" w:hAnsi="Arial" w:cs="Arial"/>
                <w:sz w:val="14"/>
                <w:szCs w:val="14"/>
              </w:rPr>
              <w:t>3</w:t>
            </w:r>
            <w:r w:rsidRPr="005001D6">
              <w:rPr>
                <w:rFonts w:ascii="Arial" w:hAnsi="Arial" w:cs="Arial"/>
                <w:sz w:val="14"/>
                <w:szCs w:val="14"/>
              </w:rPr>
              <w:t>)</w:t>
            </w:r>
          </w:p>
        </w:tc>
        <w:tc>
          <w:tcPr>
            <w:tcW w:w="340" w:type="pct"/>
          </w:tcPr>
          <w:p w14:paraId="3640ED7E" w14:textId="6A095B08" w:rsidR="00090CE3" w:rsidRPr="005001D6" w:rsidRDefault="00090CE3"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0.</w:t>
            </w:r>
            <w:r w:rsidR="00A7490C" w:rsidRPr="005001D6">
              <w:rPr>
                <w:rFonts w:ascii="Arial" w:hAnsi="Arial" w:cs="Arial"/>
                <w:sz w:val="14"/>
                <w:szCs w:val="14"/>
              </w:rPr>
              <w:t>37</w:t>
            </w:r>
            <w:r w:rsidRPr="005001D6">
              <w:rPr>
                <w:rFonts w:ascii="Arial" w:hAnsi="Arial" w:cs="Arial"/>
                <w:sz w:val="14"/>
                <w:szCs w:val="14"/>
              </w:rPr>
              <w:t xml:space="preserve"> (</w:t>
            </w:r>
            <w:r w:rsidR="00A7490C" w:rsidRPr="005001D6">
              <w:rPr>
                <w:rFonts w:ascii="Arial" w:hAnsi="Arial" w:cs="Arial"/>
                <w:sz w:val="14"/>
                <w:szCs w:val="14"/>
              </w:rPr>
              <w:t>0.8</w:t>
            </w:r>
            <w:r w:rsidRPr="005001D6">
              <w:rPr>
                <w:rFonts w:ascii="Arial" w:hAnsi="Arial" w:cs="Arial"/>
                <w:sz w:val="14"/>
                <w:szCs w:val="14"/>
              </w:rPr>
              <w:t>)</w:t>
            </w:r>
          </w:p>
        </w:tc>
      </w:tr>
      <w:tr w:rsidR="005001D6" w:rsidRPr="005001D6" w14:paraId="3E65F7D7" w14:textId="77777777" w:rsidTr="00090CE3">
        <w:tc>
          <w:tcPr>
            <w:tcW w:w="851" w:type="pct"/>
          </w:tcPr>
          <w:p w14:paraId="05CAE370" w14:textId="5D0B122A" w:rsidR="00090CE3" w:rsidRPr="005001D6" w:rsidRDefault="00090CE3"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Shoot biomass</w:t>
            </w:r>
          </w:p>
          <w:p w14:paraId="5383E2FA" w14:textId="77777777" w:rsidR="00090CE3" w:rsidRPr="005001D6" w:rsidRDefault="00090CE3"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w:t>
            </w:r>
            <w:r w:rsidRPr="005001D6">
              <w:rPr>
                <w:rFonts w:ascii="Arial" w:hAnsi="Arial" w:cs="Arial"/>
                <w:sz w:val="14"/>
                <w:szCs w:val="14"/>
                <w:vertAlign w:val="superscript"/>
              </w:rPr>
              <w:t>15</w:t>
            </w:r>
            <w:r w:rsidRPr="005001D6">
              <w:rPr>
                <w:rFonts w:ascii="Arial" w:hAnsi="Arial" w:cs="Arial"/>
                <w:sz w:val="14"/>
                <w:szCs w:val="14"/>
              </w:rPr>
              <w:t>N excess</w:t>
            </w:r>
          </w:p>
          <w:p w14:paraId="05A77FDE" w14:textId="0CC4B193" w:rsidR="00090CE3" w:rsidRPr="005001D6" w:rsidRDefault="00090CE3" w:rsidP="00173FAF">
            <w:pPr>
              <w:widowControl w:val="0"/>
              <w:autoSpaceDE w:val="0"/>
              <w:autoSpaceDN w:val="0"/>
              <w:adjustRightInd w:val="0"/>
              <w:spacing w:line="360" w:lineRule="auto"/>
              <w:jc w:val="both"/>
              <w:rPr>
                <w:rFonts w:ascii="Arial" w:hAnsi="Arial" w:cs="Arial"/>
                <w:sz w:val="14"/>
                <w:szCs w:val="14"/>
                <w:lang w:val="es-ES"/>
              </w:rPr>
            </w:pPr>
            <w:r w:rsidRPr="005001D6">
              <w:rPr>
                <w:rFonts w:ascii="Arial" w:hAnsi="Arial" w:cs="Arial"/>
                <w:sz w:val="14"/>
                <w:szCs w:val="14"/>
              </w:rPr>
              <w:t>g</w:t>
            </w:r>
            <w:r w:rsidRPr="005001D6">
              <w:rPr>
                <w:rFonts w:ascii="Arial" w:hAnsi="Arial" w:cs="Arial"/>
                <w:sz w:val="14"/>
                <w:szCs w:val="14"/>
                <w:vertAlign w:val="superscript"/>
              </w:rPr>
              <w:t>-1</w:t>
            </w:r>
            <w:r w:rsidRPr="005001D6">
              <w:rPr>
                <w:rFonts w:ascii="Arial" w:hAnsi="Arial" w:cs="Arial"/>
                <w:sz w:val="14"/>
                <w:szCs w:val="14"/>
              </w:rPr>
              <w:t xml:space="preserve"> biomass)</w:t>
            </w:r>
            <w:r w:rsidR="00A7490C" w:rsidRPr="005001D6">
              <w:rPr>
                <w:rFonts w:ascii="Arial" w:hAnsi="Arial" w:cs="Arial"/>
                <w:sz w:val="14"/>
                <w:szCs w:val="14"/>
              </w:rPr>
              <w:t>*</w:t>
            </w:r>
          </w:p>
        </w:tc>
        <w:tc>
          <w:tcPr>
            <w:tcW w:w="534" w:type="pct"/>
            <w:shd w:val="clear" w:color="auto" w:fill="auto"/>
          </w:tcPr>
          <w:p w14:paraId="05E12279" w14:textId="77777777" w:rsidR="00090CE3" w:rsidRPr="005001D6" w:rsidRDefault="00090CE3"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0.007 ± 0.002</w:t>
            </w:r>
          </w:p>
        </w:tc>
        <w:tc>
          <w:tcPr>
            <w:tcW w:w="380" w:type="pct"/>
            <w:shd w:val="clear" w:color="auto" w:fill="auto"/>
          </w:tcPr>
          <w:p w14:paraId="28F41FA0" w14:textId="77777777" w:rsidR="00090CE3" w:rsidRPr="005001D6" w:rsidRDefault="00090CE3"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0.02 ± 0.005</w:t>
            </w:r>
          </w:p>
        </w:tc>
        <w:tc>
          <w:tcPr>
            <w:tcW w:w="476" w:type="pct"/>
            <w:shd w:val="clear" w:color="auto" w:fill="auto"/>
          </w:tcPr>
          <w:p w14:paraId="386E0249" w14:textId="77777777" w:rsidR="00090CE3" w:rsidRPr="005001D6" w:rsidRDefault="00090CE3"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-66</w:t>
            </w:r>
          </w:p>
        </w:tc>
        <w:tc>
          <w:tcPr>
            <w:tcW w:w="386" w:type="pct"/>
            <w:shd w:val="clear" w:color="auto" w:fill="auto"/>
          </w:tcPr>
          <w:p w14:paraId="6F5A7718" w14:textId="6976F6B1" w:rsidR="00090CE3" w:rsidRPr="005001D6" w:rsidRDefault="00090CE3" w:rsidP="00173FAF">
            <w:pPr>
              <w:widowControl w:val="0"/>
              <w:autoSpaceDE w:val="0"/>
              <w:autoSpaceDN w:val="0"/>
              <w:adjustRightInd w:val="0"/>
              <w:spacing w:line="360" w:lineRule="auto"/>
              <w:jc w:val="both"/>
              <w:rPr>
                <w:rFonts w:ascii="Arial" w:hAnsi="Arial" w:cs="Arial"/>
                <w:b/>
                <w:bCs/>
                <w:sz w:val="14"/>
                <w:szCs w:val="14"/>
              </w:rPr>
            </w:pPr>
            <w:r w:rsidRPr="005001D6">
              <w:rPr>
                <w:rFonts w:ascii="Arial" w:hAnsi="Arial" w:cs="Arial"/>
                <w:b/>
                <w:bCs/>
                <w:sz w:val="14"/>
                <w:szCs w:val="14"/>
              </w:rPr>
              <w:t>&lt;0.01 (</w:t>
            </w:r>
            <w:r w:rsidR="00A7490C" w:rsidRPr="005001D6">
              <w:rPr>
                <w:rFonts w:ascii="Arial" w:hAnsi="Arial" w:cs="Arial"/>
                <w:b/>
                <w:bCs/>
                <w:sz w:val="14"/>
                <w:szCs w:val="14"/>
              </w:rPr>
              <w:t>1</w:t>
            </w:r>
            <w:r w:rsidR="00355C0F" w:rsidRPr="005001D6">
              <w:rPr>
                <w:rFonts w:ascii="Arial" w:hAnsi="Arial" w:cs="Arial"/>
                <w:b/>
                <w:bCs/>
                <w:sz w:val="14"/>
                <w:szCs w:val="14"/>
              </w:rPr>
              <w:t>0.0</w:t>
            </w:r>
            <w:r w:rsidRPr="005001D6">
              <w:rPr>
                <w:rFonts w:ascii="Arial" w:hAnsi="Arial" w:cs="Arial"/>
                <w:b/>
                <w:bCs/>
                <w:sz w:val="14"/>
                <w:szCs w:val="14"/>
              </w:rPr>
              <w:t>)</w:t>
            </w:r>
          </w:p>
        </w:tc>
        <w:tc>
          <w:tcPr>
            <w:tcW w:w="497" w:type="pct"/>
            <w:shd w:val="clear" w:color="auto" w:fill="auto"/>
          </w:tcPr>
          <w:p w14:paraId="7C97C5FB" w14:textId="58AE2FE2" w:rsidR="00090CE3" w:rsidRPr="005001D6" w:rsidRDefault="00090CE3" w:rsidP="00173FAF">
            <w:pPr>
              <w:widowControl w:val="0"/>
              <w:autoSpaceDE w:val="0"/>
              <w:autoSpaceDN w:val="0"/>
              <w:adjustRightInd w:val="0"/>
              <w:spacing w:line="360" w:lineRule="auto"/>
              <w:jc w:val="both"/>
              <w:rPr>
                <w:rFonts w:ascii="Arial" w:hAnsi="Arial" w:cs="Arial"/>
                <w:b/>
                <w:bCs/>
                <w:sz w:val="14"/>
                <w:szCs w:val="14"/>
              </w:rPr>
            </w:pPr>
            <w:r w:rsidRPr="005001D6">
              <w:rPr>
                <w:rFonts w:ascii="Arial" w:hAnsi="Arial" w:cs="Arial"/>
                <w:b/>
                <w:bCs/>
                <w:sz w:val="14"/>
                <w:szCs w:val="14"/>
              </w:rPr>
              <w:t>0.0</w:t>
            </w:r>
            <w:r w:rsidR="00355C0F" w:rsidRPr="005001D6">
              <w:rPr>
                <w:rFonts w:ascii="Arial" w:hAnsi="Arial" w:cs="Arial"/>
                <w:b/>
                <w:bCs/>
                <w:sz w:val="14"/>
                <w:szCs w:val="14"/>
              </w:rPr>
              <w:t>1</w:t>
            </w:r>
            <w:r w:rsidRPr="005001D6">
              <w:rPr>
                <w:rFonts w:ascii="Arial" w:hAnsi="Arial" w:cs="Arial"/>
                <w:b/>
                <w:bCs/>
                <w:sz w:val="14"/>
                <w:szCs w:val="14"/>
              </w:rPr>
              <w:t xml:space="preserve"> (</w:t>
            </w:r>
            <w:r w:rsidR="00355C0F" w:rsidRPr="005001D6">
              <w:rPr>
                <w:rFonts w:ascii="Arial" w:hAnsi="Arial" w:cs="Arial"/>
                <w:b/>
                <w:bCs/>
                <w:sz w:val="14"/>
                <w:szCs w:val="14"/>
              </w:rPr>
              <w:t>6.3</w:t>
            </w:r>
            <w:r w:rsidRPr="005001D6">
              <w:rPr>
                <w:rFonts w:ascii="Arial" w:hAnsi="Arial" w:cs="Arial"/>
                <w:b/>
                <w:bCs/>
                <w:sz w:val="14"/>
                <w:szCs w:val="14"/>
              </w:rPr>
              <w:t>)</w:t>
            </w:r>
          </w:p>
        </w:tc>
        <w:tc>
          <w:tcPr>
            <w:tcW w:w="549" w:type="pct"/>
          </w:tcPr>
          <w:p w14:paraId="65932E89" w14:textId="3F27EB6A" w:rsidR="00090CE3" w:rsidRPr="005001D6" w:rsidRDefault="00090CE3"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0.</w:t>
            </w:r>
            <w:r w:rsidR="00355C0F" w:rsidRPr="005001D6">
              <w:rPr>
                <w:rFonts w:ascii="Arial" w:hAnsi="Arial" w:cs="Arial"/>
                <w:sz w:val="14"/>
                <w:szCs w:val="14"/>
              </w:rPr>
              <w:t>2</w:t>
            </w:r>
            <w:r w:rsidR="00A7490C" w:rsidRPr="005001D6">
              <w:rPr>
                <w:rFonts w:ascii="Arial" w:hAnsi="Arial" w:cs="Arial"/>
                <w:sz w:val="14"/>
                <w:szCs w:val="14"/>
              </w:rPr>
              <w:t>7</w:t>
            </w:r>
            <w:r w:rsidRPr="005001D6">
              <w:rPr>
                <w:rFonts w:ascii="Arial" w:hAnsi="Arial" w:cs="Arial"/>
                <w:sz w:val="14"/>
                <w:szCs w:val="14"/>
              </w:rPr>
              <w:t xml:space="preserve"> (</w:t>
            </w:r>
            <w:r w:rsidR="00355C0F" w:rsidRPr="005001D6">
              <w:rPr>
                <w:rFonts w:ascii="Arial" w:hAnsi="Arial" w:cs="Arial"/>
                <w:sz w:val="14"/>
                <w:szCs w:val="14"/>
              </w:rPr>
              <w:t>1.1</w:t>
            </w:r>
            <w:r w:rsidRPr="005001D6">
              <w:rPr>
                <w:rFonts w:ascii="Arial" w:hAnsi="Arial" w:cs="Arial"/>
                <w:sz w:val="14"/>
                <w:szCs w:val="14"/>
              </w:rPr>
              <w:t>)</w:t>
            </w:r>
          </w:p>
        </w:tc>
        <w:tc>
          <w:tcPr>
            <w:tcW w:w="325" w:type="pct"/>
          </w:tcPr>
          <w:p w14:paraId="5A6D1D74" w14:textId="6804D9BB" w:rsidR="00090CE3" w:rsidRPr="005001D6" w:rsidRDefault="00090CE3"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0.</w:t>
            </w:r>
            <w:r w:rsidR="00355C0F" w:rsidRPr="005001D6">
              <w:rPr>
                <w:rFonts w:ascii="Arial" w:hAnsi="Arial" w:cs="Arial"/>
                <w:sz w:val="14"/>
                <w:szCs w:val="14"/>
              </w:rPr>
              <w:t>95</w:t>
            </w:r>
            <w:r w:rsidRPr="005001D6">
              <w:rPr>
                <w:rFonts w:ascii="Arial" w:hAnsi="Arial" w:cs="Arial"/>
                <w:sz w:val="14"/>
                <w:szCs w:val="14"/>
              </w:rPr>
              <w:t xml:space="preserve"> (</w:t>
            </w:r>
            <w:r w:rsidR="00355C0F" w:rsidRPr="005001D6">
              <w:rPr>
                <w:rFonts w:ascii="Arial" w:hAnsi="Arial" w:cs="Arial"/>
                <w:sz w:val="14"/>
                <w:szCs w:val="14"/>
              </w:rPr>
              <w:t>&lt;0.01</w:t>
            </w:r>
            <w:r w:rsidRPr="005001D6">
              <w:rPr>
                <w:rFonts w:ascii="Arial" w:hAnsi="Arial" w:cs="Arial"/>
                <w:sz w:val="14"/>
                <w:szCs w:val="14"/>
              </w:rPr>
              <w:t>)</w:t>
            </w:r>
          </w:p>
        </w:tc>
        <w:tc>
          <w:tcPr>
            <w:tcW w:w="325" w:type="pct"/>
          </w:tcPr>
          <w:p w14:paraId="270FC342" w14:textId="383C2EC8" w:rsidR="00090CE3" w:rsidRPr="005001D6" w:rsidRDefault="00090CE3"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0.</w:t>
            </w:r>
            <w:r w:rsidR="00A7490C" w:rsidRPr="005001D6">
              <w:rPr>
                <w:rFonts w:ascii="Arial" w:hAnsi="Arial" w:cs="Arial"/>
                <w:sz w:val="14"/>
                <w:szCs w:val="14"/>
              </w:rPr>
              <w:t>9</w:t>
            </w:r>
            <w:r w:rsidR="00793F3E" w:rsidRPr="005001D6">
              <w:rPr>
                <w:rFonts w:ascii="Arial" w:hAnsi="Arial" w:cs="Arial"/>
                <w:sz w:val="14"/>
                <w:szCs w:val="14"/>
              </w:rPr>
              <w:t>0</w:t>
            </w:r>
            <w:r w:rsidRPr="005001D6">
              <w:rPr>
                <w:rFonts w:ascii="Arial" w:hAnsi="Arial" w:cs="Arial"/>
                <w:sz w:val="14"/>
                <w:szCs w:val="14"/>
              </w:rPr>
              <w:t xml:space="preserve"> (&lt;0.1)</w:t>
            </w:r>
          </w:p>
        </w:tc>
        <w:tc>
          <w:tcPr>
            <w:tcW w:w="337" w:type="pct"/>
          </w:tcPr>
          <w:p w14:paraId="22C285D5" w14:textId="5D84F744" w:rsidR="00090CE3" w:rsidRPr="005001D6" w:rsidRDefault="00090CE3" w:rsidP="00173FAF">
            <w:pPr>
              <w:widowControl w:val="0"/>
              <w:autoSpaceDE w:val="0"/>
              <w:autoSpaceDN w:val="0"/>
              <w:adjustRightInd w:val="0"/>
              <w:spacing w:line="360" w:lineRule="auto"/>
              <w:jc w:val="both"/>
              <w:rPr>
                <w:rFonts w:ascii="Arial" w:hAnsi="Arial" w:cs="Arial"/>
                <w:b/>
                <w:bCs/>
                <w:sz w:val="14"/>
                <w:szCs w:val="14"/>
              </w:rPr>
            </w:pPr>
            <w:r w:rsidRPr="005001D6">
              <w:rPr>
                <w:rFonts w:ascii="Arial" w:hAnsi="Arial" w:cs="Arial"/>
                <w:b/>
                <w:bCs/>
                <w:sz w:val="14"/>
                <w:szCs w:val="14"/>
              </w:rPr>
              <w:t>0.</w:t>
            </w:r>
            <w:r w:rsidR="00793F3E" w:rsidRPr="005001D6">
              <w:rPr>
                <w:rFonts w:ascii="Arial" w:hAnsi="Arial" w:cs="Arial"/>
                <w:b/>
                <w:bCs/>
                <w:sz w:val="14"/>
                <w:szCs w:val="14"/>
              </w:rPr>
              <w:t>04</w:t>
            </w:r>
            <w:r w:rsidRPr="005001D6">
              <w:rPr>
                <w:rFonts w:ascii="Arial" w:hAnsi="Arial" w:cs="Arial"/>
                <w:b/>
                <w:bCs/>
                <w:sz w:val="14"/>
                <w:szCs w:val="14"/>
              </w:rPr>
              <w:t xml:space="preserve"> (</w:t>
            </w:r>
            <w:r w:rsidR="00793F3E" w:rsidRPr="005001D6">
              <w:rPr>
                <w:rFonts w:ascii="Arial" w:hAnsi="Arial" w:cs="Arial"/>
                <w:b/>
                <w:bCs/>
                <w:sz w:val="14"/>
                <w:szCs w:val="14"/>
              </w:rPr>
              <w:t>4.1</w:t>
            </w:r>
            <w:r w:rsidRPr="005001D6">
              <w:rPr>
                <w:rFonts w:ascii="Arial" w:hAnsi="Arial" w:cs="Arial"/>
                <w:b/>
                <w:bCs/>
                <w:sz w:val="14"/>
                <w:szCs w:val="14"/>
              </w:rPr>
              <w:t>)</w:t>
            </w:r>
          </w:p>
        </w:tc>
        <w:tc>
          <w:tcPr>
            <w:tcW w:w="340" w:type="pct"/>
          </w:tcPr>
          <w:p w14:paraId="1B950177" w14:textId="3A2018F5" w:rsidR="00090CE3" w:rsidRPr="005001D6" w:rsidRDefault="00090CE3"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0.</w:t>
            </w:r>
            <w:r w:rsidR="00793F3E" w:rsidRPr="005001D6">
              <w:rPr>
                <w:rFonts w:ascii="Arial" w:hAnsi="Arial" w:cs="Arial"/>
                <w:sz w:val="14"/>
                <w:szCs w:val="14"/>
              </w:rPr>
              <w:t>76</w:t>
            </w:r>
            <w:r w:rsidRPr="005001D6">
              <w:rPr>
                <w:rFonts w:ascii="Arial" w:hAnsi="Arial" w:cs="Arial"/>
                <w:sz w:val="14"/>
                <w:szCs w:val="14"/>
              </w:rPr>
              <w:t xml:space="preserve"> (0.</w:t>
            </w:r>
            <w:r w:rsidR="00793F3E" w:rsidRPr="005001D6">
              <w:rPr>
                <w:rFonts w:ascii="Arial" w:hAnsi="Arial" w:cs="Arial"/>
                <w:sz w:val="14"/>
                <w:szCs w:val="14"/>
              </w:rPr>
              <w:t>1</w:t>
            </w:r>
            <w:r w:rsidRPr="005001D6">
              <w:rPr>
                <w:rFonts w:ascii="Arial" w:hAnsi="Arial" w:cs="Arial"/>
                <w:sz w:val="14"/>
                <w:szCs w:val="14"/>
              </w:rPr>
              <w:t>)</w:t>
            </w:r>
          </w:p>
        </w:tc>
      </w:tr>
      <w:tr w:rsidR="005001D6" w:rsidRPr="005001D6" w14:paraId="77556EC2" w14:textId="77777777" w:rsidTr="00090CE3">
        <w:tc>
          <w:tcPr>
            <w:tcW w:w="851" w:type="pct"/>
          </w:tcPr>
          <w:p w14:paraId="68E1C320" w14:textId="77777777" w:rsidR="00090CE3" w:rsidRPr="005001D6" w:rsidRDefault="00090CE3"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 xml:space="preserve">Root biomass </w:t>
            </w:r>
          </w:p>
          <w:p w14:paraId="3807A287" w14:textId="77777777" w:rsidR="00090CE3" w:rsidRPr="005001D6" w:rsidRDefault="00090CE3"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w:t>
            </w:r>
            <w:r w:rsidRPr="005001D6">
              <w:rPr>
                <w:rFonts w:ascii="Arial" w:hAnsi="Arial" w:cs="Arial"/>
                <w:sz w:val="14"/>
                <w:szCs w:val="14"/>
                <w:vertAlign w:val="superscript"/>
              </w:rPr>
              <w:t>15</w:t>
            </w:r>
            <w:r w:rsidRPr="005001D6">
              <w:rPr>
                <w:rFonts w:ascii="Arial" w:hAnsi="Arial" w:cs="Arial"/>
                <w:sz w:val="14"/>
                <w:szCs w:val="14"/>
              </w:rPr>
              <w:t>N excess</w:t>
            </w:r>
          </w:p>
          <w:p w14:paraId="17F2F135" w14:textId="77777777" w:rsidR="00090CE3" w:rsidRPr="005001D6" w:rsidRDefault="00090CE3"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g</w:t>
            </w:r>
            <w:r w:rsidRPr="005001D6">
              <w:rPr>
                <w:rFonts w:ascii="Arial" w:hAnsi="Arial" w:cs="Arial"/>
                <w:sz w:val="14"/>
                <w:szCs w:val="14"/>
                <w:vertAlign w:val="superscript"/>
              </w:rPr>
              <w:t>-1</w:t>
            </w:r>
            <w:r w:rsidRPr="005001D6">
              <w:rPr>
                <w:rFonts w:ascii="Arial" w:hAnsi="Arial" w:cs="Arial"/>
                <w:sz w:val="14"/>
                <w:szCs w:val="14"/>
              </w:rPr>
              <w:t xml:space="preserve"> biomass)</w:t>
            </w:r>
          </w:p>
        </w:tc>
        <w:tc>
          <w:tcPr>
            <w:tcW w:w="534" w:type="pct"/>
            <w:shd w:val="clear" w:color="auto" w:fill="auto"/>
          </w:tcPr>
          <w:p w14:paraId="5E1C41C3" w14:textId="77777777" w:rsidR="00090CE3" w:rsidRPr="005001D6" w:rsidRDefault="00090CE3"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0.05 ± 0.01</w:t>
            </w:r>
          </w:p>
        </w:tc>
        <w:tc>
          <w:tcPr>
            <w:tcW w:w="380" w:type="pct"/>
            <w:shd w:val="clear" w:color="auto" w:fill="auto"/>
          </w:tcPr>
          <w:p w14:paraId="7D13C8ED" w14:textId="77777777" w:rsidR="00090CE3" w:rsidRPr="005001D6" w:rsidRDefault="00090CE3"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0.12 ± 0.03</w:t>
            </w:r>
          </w:p>
        </w:tc>
        <w:tc>
          <w:tcPr>
            <w:tcW w:w="476" w:type="pct"/>
            <w:shd w:val="clear" w:color="auto" w:fill="auto"/>
          </w:tcPr>
          <w:p w14:paraId="7B102C4C" w14:textId="77777777" w:rsidR="00090CE3" w:rsidRPr="005001D6" w:rsidRDefault="00090CE3" w:rsidP="00173FAF">
            <w:pPr>
              <w:widowControl w:val="0"/>
              <w:autoSpaceDE w:val="0"/>
              <w:autoSpaceDN w:val="0"/>
              <w:adjustRightInd w:val="0"/>
              <w:spacing w:line="360" w:lineRule="auto"/>
              <w:jc w:val="both"/>
              <w:rPr>
                <w:rFonts w:ascii="Arial" w:hAnsi="Arial" w:cs="Arial"/>
                <w:b/>
                <w:bCs/>
                <w:sz w:val="14"/>
                <w:szCs w:val="14"/>
              </w:rPr>
            </w:pPr>
            <w:r w:rsidRPr="005001D6">
              <w:rPr>
                <w:rFonts w:ascii="Arial" w:hAnsi="Arial" w:cs="Arial"/>
                <w:sz w:val="14"/>
                <w:szCs w:val="14"/>
              </w:rPr>
              <w:t>-54</w:t>
            </w:r>
          </w:p>
        </w:tc>
        <w:tc>
          <w:tcPr>
            <w:tcW w:w="386" w:type="pct"/>
            <w:shd w:val="clear" w:color="auto" w:fill="auto"/>
          </w:tcPr>
          <w:p w14:paraId="368057B8" w14:textId="77777777" w:rsidR="00090CE3" w:rsidRPr="005001D6" w:rsidRDefault="00090CE3" w:rsidP="00173FAF">
            <w:pPr>
              <w:widowControl w:val="0"/>
              <w:autoSpaceDE w:val="0"/>
              <w:autoSpaceDN w:val="0"/>
              <w:adjustRightInd w:val="0"/>
              <w:spacing w:line="360" w:lineRule="auto"/>
              <w:jc w:val="both"/>
              <w:rPr>
                <w:rFonts w:ascii="Arial" w:hAnsi="Arial" w:cs="Arial"/>
                <w:b/>
                <w:bCs/>
                <w:sz w:val="14"/>
                <w:szCs w:val="14"/>
              </w:rPr>
            </w:pPr>
            <w:r w:rsidRPr="005001D6">
              <w:rPr>
                <w:rFonts w:ascii="Arial" w:hAnsi="Arial" w:cs="Arial"/>
                <w:b/>
                <w:bCs/>
                <w:sz w:val="14"/>
                <w:szCs w:val="14"/>
              </w:rPr>
              <w:t>0.03 (5.0)</w:t>
            </w:r>
          </w:p>
        </w:tc>
        <w:tc>
          <w:tcPr>
            <w:tcW w:w="497" w:type="pct"/>
            <w:shd w:val="clear" w:color="auto" w:fill="auto"/>
          </w:tcPr>
          <w:p w14:paraId="74B20E46" w14:textId="7C38616B" w:rsidR="00090CE3" w:rsidRPr="005001D6" w:rsidRDefault="00090CE3"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0.</w:t>
            </w:r>
            <w:r w:rsidR="008C1D52" w:rsidRPr="005001D6">
              <w:rPr>
                <w:rFonts w:ascii="Arial" w:hAnsi="Arial" w:cs="Arial"/>
                <w:sz w:val="14"/>
                <w:szCs w:val="14"/>
              </w:rPr>
              <w:t>60</w:t>
            </w:r>
            <w:r w:rsidRPr="005001D6">
              <w:rPr>
                <w:rFonts w:ascii="Arial" w:hAnsi="Arial" w:cs="Arial"/>
                <w:sz w:val="14"/>
                <w:szCs w:val="14"/>
              </w:rPr>
              <w:t xml:space="preserve"> (0.</w:t>
            </w:r>
            <w:r w:rsidR="008C1D52" w:rsidRPr="005001D6">
              <w:rPr>
                <w:rFonts w:ascii="Arial" w:hAnsi="Arial" w:cs="Arial"/>
                <w:sz w:val="14"/>
                <w:szCs w:val="14"/>
              </w:rPr>
              <w:t>3</w:t>
            </w:r>
            <w:r w:rsidRPr="005001D6">
              <w:rPr>
                <w:rFonts w:ascii="Arial" w:hAnsi="Arial" w:cs="Arial"/>
                <w:sz w:val="14"/>
                <w:szCs w:val="14"/>
              </w:rPr>
              <w:t>)</w:t>
            </w:r>
          </w:p>
        </w:tc>
        <w:tc>
          <w:tcPr>
            <w:tcW w:w="549" w:type="pct"/>
          </w:tcPr>
          <w:p w14:paraId="6DDA8ADD" w14:textId="77777777" w:rsidR="00090CE3" w:rsidRPr="005001D6" w:rsidRDefault="00090CE3"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0.99 (&lt;0.1)</w:t>
            </w:r>
          </w:p>
        </w:tc>
        <w:tc>
          <w:tcPr>
            <w:tcW w:w="325" w:type="pct"/>
          </w:tcPr>
          <w:p w14:paraId="740E2ECD" w14:textId="77777777" w:rsidR="00090CE3" w:rsidRPr="005001D6" w:rsidRDefault="00090CE3"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0.99 (&lt;0.1)</w:t>
            </w:r>
          </w:p>
        </w:tc>
        <w:tc>
          <w:tcPr>
            <w:tcW w:w="325" w:type="pct"/>
          </w:tcPr>
          <w:p w14:paraId="5F266BAD" w14:textId="77777777" w:rsidR="00090CE3" w:rsidRPr="005001D6" w:rsidRDefault="00090CE3"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0.66 (0.2)</w:t>
            </w:r>
          </w:p>
        </w:tc>
        <w:tc>
          <w:tcPr>
            <w:tcW w:w="337" w:type="pct"/>
          </w:tcPr>
          <w:p w14:paraId="5FFDB9C4" w14:textId="77777777" w:rsidR="00090CE3" w:rsidRPr="005001D6" w:rsidRDefault="00090CE3"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0.89 (&lt;0.1)</w:t>
            </w:r>
          </w:p>
        </w:tc>
        <w:tc>
          <w:tcPr>
            <w:tcW w:w="340" w:type="pct"/>
          </w:tcPr>
          <w:p w14:paraId="23CC7FF4" w14:textId="77777777" w:rsidR="00090CE3" w:rsidRPr="005001D6" w:rsidRDefault="00090CE3"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0.32 (1.0)</w:t>
            </w:r>
          </w:p>
        </w:tc>
      </w:tr>
      <w:bookmarkEnd w:id="16"/>
      <w:tr w:rsidR="005001D6" w:rsidRPr="005001D6" w14:paraId="095DC3DA" w14:textId="77777777" w:rsidTr="00090CE3">
        <w:tc>
          <w:tcPr>
            <w:tcW w:w="1385" w:type="pct"/>
            <w:gridSpan w:val="2"/>
            <w:tcBorders>
              <w:bottom w:val="single" w:sz="4" w:space="0" w:color="auto"/>
            </w:tcBorders>
          </w:tcPr>
          <w:p w14:paraId="406BCCFF" w14:textId="77777777" w:rsidR="00090CE3" w:rsidRPr="005001D6" w:rsidRDefault="00090CE3" w:rsidP="00173FAF">
            <w:pPr>
              <w:widowControl w:val="0"/>
              <w:autoSpaceDE w:val="0"/>
              <w:autoSpaceDN w:val="0"/>
              <w:adjustRightInd w:val="0"/>
              <w:spacing w:line="360" w:lineRule="auto"/>
              <w:jc w:val="both"/>
              <w:rPr>
                <w:rFonts w:ascii="Arial" w:hAnsi="Arial" w:cs="Arial"/>
                <w:sz w:val="14"/>
                <w:szCs w:val="14"/>
              </w:rPr>
            </w:pPr>
          </w:p>
          <w:p w14:paraId="02A42B35" w14:textId="18B62129" w:rsidR="00090CE3" w:rsidRPr="005001D6" w:rsidRDefault="00090CE3"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 xml:space="preserve">N </w:t>
            </w:r>
            <w:r w:rsidR="00E50BCB" w:rsidRPr="005001D6">
              <w:rPr>
                <w:rFonts w:ascii="Arial" w:hAnsi="Arial" w:cs="Arial"/>
                <w:sz w:val="14"/>
                <w:szCs w:val="14"/>
              </w:rPr>
              <w:t xml:space="preserve">UPTAKE </w:t>
            </w:r>
            <w:r w:rsidRPr="005001D6">
              <w:rPr>
                <w:rFonts w:ascii="Arial" w:hAnsi="Arial" w:cs="Arial"/>
                <w:sz w:val="14"/>
                <w:szCs w:val="14"/>
              </w:rPr>
              <w:t xml:space="preserve">SCALED BY </w:t>
            </w:r>
            <w:r w:rsidR="00A77EBD" w:rsidRPr="005001D6">
              <w:rPr>
                <w:rFonts w:ascii="Arial" w:hAnsi="Arial" w:cs="Arial"/>
                <w:sz w:val="14"/>
                <w:szCs w:val="14"/>
              </w:rPr>
              <w:t xml:space="preserve">TARGET SOIL </w:t>
            </w:r>
            <w:r w:rsidRPr="005001D6">
              <w:rPr>
                <w:rFonts w:ascii="Arial" w:hAnsi="Arial" w:cs="Arial"/>
                <w:sz w:val="14"/>
                <w:szCs w:val="14"/>
              </w:rPr>
              <w:t>N</w:t>
            </w:r>
            <w:r w:rsidR="00CE5B63" w:rsidRPr="005001D6">
              <w:rPr>
                <w:rFonts w:ascii="Arial" w:hAnsi="Arial" w:cs="Arial"/>
                <w:sz w:val="14"/>
                <w:szCs w:val="14"/>
              </w:rPr>
              <w:t xml:space="preserve"> </w:t>
            </w:r>
            <w:r w:rsidR="00A77EBD" w:rsidRPr="005001D6">
              <w:rPr>
                <w:rFonts w:ascii="Arial" w:hAnsi="Arial" w:cs="Arial"/>
                <w:sz w:val="14"/>
                <w:szCs w:val="14"/>
              </w:rPr>
              <w:t>POOL SIZE</w:t>
            </w:r>
          </w:p>
        </w:tc>
        <w:tc>
          <w:tcPr>
            <w:tcW w:w="380" w:type="pct"/>
          </w:tcPr>
          <w:p w14:paraId="6F1A3830" w14:textId="77777777" w:rsidR="00090CE3" w:rsidRPr="005001D6" w:rsidRDefault="00090CE3" w:rsidP="00173FAF">
            <w:pPr>
              <w:widowControl w:val="0"/>
              <w:autoSpaceDE w:val="0"/>
              <w:autoSpaceDN w:val="0"/>
              <w:adjustRightInd w:val="0"/>
              <w:spacing w:line="360" w:lineRule="auto"/>
              <w:jc w:val="both"/>
              <w:rPr>
                <w:rFonts w:ascii="Arial" w:hAnsi="Arial" w:cs="Arial"/>
                <w:b/>
                <w:bCs/>
                <w:sz w:val="14"/>
                <w:szCs w:val="14"/>
              </w:rPr>
            </w:pPr>
          </w:p>
        </w:tc>
        <w:tc>
          <w:tcPr>
            <w:tcW w:w="476" w:type="pct"/>
          </w:tcPr>
          <w:p w14:paraId="5BEA8286" w14:textId="77777777" w:rsidR="00090CE3" w:rsidRPr="005001D6" w:rsidRDefault="00090CE3" w:rsidP="00173FAF">
            <w:pPr>
              <w:widowControl w:val="0"/>
              <w:autoSpaceDE w:val="0"/>
              <w:autoSpaceDN w:val="0"/>
              <w:adjustRightInd w:val="0"/>
              <w:spacing w:line="360" w:lineRule="auto"/>
              <w:jc w:val="both"/>
              <w:rPr>
                <w:rFonts w:ascii="Arial" w:hAnsi="Arial" w:cs="Arial"/>
                <w:b/>
                <w:bCs/>
                <w:sz w:val="14"/>
                <w:szCs w:val="14"/>
              </w:rPr>
            </w:pPr>
          </w:p>
        </w:tc>
        <w:tc>
          <w:tcPr>
            <w:tcW w:w="386" w:type="pct"/>
          </w:tcPr>
          <w:p w14:paraId="4E9E2D9D" w14:textId="77777777" w:rsidR="00090CE3" w:rsidRPr="005001D6" w:rsidRDefault="00090CE3" w:rsidP="00173FAF">
            <w:pPr>
              <w:widowControl w:val="0"/>
              <w:autoSpaceDE w:val="0"/>
              <w:autoSpaceDN w:val="0"/>
              <w:adjustRightInd w:val="0"/>
              <w:spacing w:line="360" w:lineRule="auto"/>
              <w:jc w:val="both"/>
              <w:rPr>
                <w:rFonts w:ascii="Arial" w:hAnsi="Arial" w:cs="Arial"/>
                <w:b/>
                <w:bCs/>
                <w:sz w:val="14"/>
                <w:szCs w:val="14"/>
              </w:rPr>
            </w:pPr>
          </w:p>
        </w:tc>
        <w:tc>
          <w:tcPr>
            <w:tcW w:w="497" w:type="pct"/>
          </w:tcPr>
          <w:p w14:paraId="2548BF32" w14:textId="77777777" w:rsidR="00090CE3" w:rsidRPr="005001D6" w:rsidRDefault="00090CE3" w:rsidP="00173FAF">
            <w:pPr>
              <w:widowControl w:val="0"/>
              <w:autoSpaceDE w:val="0"/>
              <w:autoSpaceDN w:val="0"/>
              <w:adjustRightInd w:val="0"/>
              <w:spacing w:line="360" w:lineRule="auto"/>
              <w:jc w:val="both"/>
              <w:rPr>
                <w:rFonts w:ascii="Arial" w:hAnsi="Arial" w:cs="Arial"/>
                <w:b/>
                <w:bCs/>
                <w:sz w:val="14"/>
                <w:szCs w:val="14"/>
              </w:rPr>
            </w:pPr>
          </w:p>
        </w:tc>
        <w:tc>
          <w:tcPr>
            <w:tcW w:w="549" w:type="pct"/>
          </w:tcPr>
          <w:p w14:paraId="72DBAEDD" w14:textId="77777777" w:rsidR="00090CE3" w:rsidRPr="005001D6" w:rsidRDefault="00090CE3" w:rsidP="00173FAF">
            <w:pPr>
              <w:widowControl w:val="0"/>
              <w:autoSpaceDE w:val="0"/>
              <w:autoSpaceDN w:val="0"/>
              <w:adjustRightInd w:val="0"/>
              <w:spacing w:line="360" w:lineRule="auto"/>
              <w:jc w:val="both"/>
              <w:rPr>
                <w:rFonts w:ascii="Arial" w:hAnsi="Arial" w:cs="Arial"/>
                <w:b/>
                <w:bCs/>
                <w:sz w:val="14"/>
                <w:szCs w:val="14"/>
              </w:rPr>
            </w:pPr>
          </w:p>
        </w:tc>
        <w:tc>
          <w:tcPr>
            <w:tcW w:w="325" w:type="pct"/>
          </w:tcPr>
          <w:p w14:paraId="70D03BFC" w14:textId="77777777" w:rsidR="00090CE3" w:rsidRPr="005001D6" w:rsidRDefault="00090CE3" w:rsidP="00173FAF">
            <w:pPr>
              <w:widowControl w:val="0"/>
              <w:autoSpaceDE w:val="0"/>
              <w:autoSpaceDN w:val="0"/>
              <w:adjustRightInd w:val="0"/>
              <w:spacing w:line="360" w:lineRule="auto"/>
              <w:jc w:val="both"/>
              <w:rPr>
                <w:rFonts w:ascii="Arial" w:hAnsi="Arial" w:cs="Arial"/>
                <w:b/>
                <w:bCs/>
                <w:sz w:val="14"/>
                <w:szCs w:val="14"/>
              </w:rPr>
            </w:pPr>
          </w:p>
        </w:tc>
        <w:tc>
          <w:tcPr>
            <w:tcW w:w="325" w:type="pct"/>
          </w:tcPr>
          <w:p w14:paraId="7F9A1B5E" w14:textId="77777777" w:rsidR="00090CE3" w:rsidRPr="005001D6" w:rsidRDefault="00090CE3" w:rsidP="00173FAF">
            <w:pPr>
              <w:widowControl w:val="0"/>
              <w:autoSpaceDE w:val="0"/>
              <w:autoSpaceDN w:val="0"/>
              <w:adjustRightInd w:val="0"/>
              <w:spacing w:line="360" w:lineRule="auto"/>
              <w:jc w:val="both"/>
              <w:rPr>
                <w:rFonts w:ascii="Arial" w:hAnsi="Arial" w:cs="Arial"/>
                <w:b/>
                <w:bCs/>
                <w:sz w:val="14"/>
                <w:szCs w:val="14"/>
              </w:rPr>
            </w:pPr>
          </w:p>
        </w:tc>
        <w:tc>
          <w:tcPr>
            <w:tcW w:w="337" w:type="pct"/>
          </w:tcPr>
          <w:p w14:paraId="5618E9D8" w14:textId="77777777" w:rsidR="00090CE3" w:rsidRPr="005001D6" w:rsidRDefault="00090CE3" w:rsidP="00173FAF">
            <w:pPr>
              <w:widowControl w:val="0"/>
              <w:autoSpaceDE w:val="0"/>
              <w:autoSpaceDN w:val="0"/>
              <w:adjustRightInd w:val="0"/>
              <w:spacing w:line="360" w:lineRule="auto"/>
              <w:jc w:val="both"/>
              <w:rPr>
                <w:rFonts w:ascii="Arial" w:hAnsi="Arial" w:cs="Arial"/>
                <w:b/>
                <w:bCs/>
                <w:sz w:val="14"/>
                <w:szCs w:val="14"/>
              </w:rPr>
            </w:pPr>
          </w:p>
        </w:tc>
        <w:tc>
          <w:tcPr>
            <w:tcW w:w="340" w:type="pct"/>
          </w:tcPr>
          <w:p w14:paraId="14CFF7AF" w14:textId="77777777" w:rsidR="00090CE3" w:rsidRPr="005001D6" w:rsidRDefault="00090CE3" w:rsidP="00173FAF">
            <w:pPr>
              <w:widowControl w:val="0"/>
              <w:autoSpaceDE w:val="0"/>
              <w:autoSpaceDN w:val="0"/>
              <w:adjustRightInd w:val="0"/>
              <w:spacing w:line="360" w:lineRule="auto"/>
              <w:jc w:val="both"/>
              <w:rPr>
                <w:rFonts w:ascii="Arial" w:hAnsi="Arial" w:cs="Arial"/>
                <w:b/>
                <w:bCs/>
                <w:sz w:val="14"/>
                <w:szCs w:val="14"/>
              </w:rPr>
            </w:pPr>
          </w:p>
        </w:tc>
      </w:tr>
      <w:tr w:rsidR="005001D6" w:rsidRPr="005001D6" w14:paraId="03CA559E" w14:textId="77777777" w:rsidTr="00B351AF">
        <w:tc>
          <w:tcPr>
            <w:tcW w:w="851" w:type="pct"/>
            <w:tcBorders>
              <w:top w:val="single" w:sz="4" w:space="0" w:color="auto"/>
            </w:tcBorders>
          </w:tcPr>
          <w:p w14:paraId="169AE715" w14:textId="4CBC28DE" w:rsidR="00090CE3" w:rsidRPr="005001D6" w:rsidRDefault="00090CE3" w:rsidP="00173FAF">
            <w:pPr>
              <w:widowControl w:val="0"/>
              <w:autoSpaceDE w:val="0"/>
              <w:autoSpaceDN w:val="0"/>
              <w:adjustRightInd w:val="0"/>
              <w:spacing w:line="360" w:lineRule="auto"/>
              <w:jc w:val="both"/>
              <w:rPr>
                <w:rFonts w:ascii="Arial" w:hAnsi="Arial" w:cs="Arial"/>
                <w:sz w:val="14"/>
                <w:szCs w:val="14"/>
                <w:lang w:val="es-ES"/>
              </w:rPr>
            </w:pPr>
            <w:r w:rsidRPr="005001D6">
              <w:rPr>
                <w:rFonts w:ascii="Arial" w:hAnsi="Arial" w:cs="Arial"/>
                <w:sz w:val="14"/>
                <w:szCs w:val="14"/>
              </w:rPr>
              <w:t>Microbial biomass</w:t>
            </w:r>
            <w:r w:rsidR="00E5319A" w:rsidRPr="005001D6">
              <w:rPr>
                <w:rFonts w:ascii="Arial" w:hAnsi="Arial" w:cs="Arial"/>
                <w:sz w:val="14"/>
                <w:szCs w:val="14"/>
              </w:rPr>
              <w:t>*</w:t>
            </w:r>
          </w:p>
        </w:tc>
        <w:tc>
          <w:tcPr>
            <w:tcW w:w="534" w:type="pct"/>
            <w:tcBorders>
              <w:top w:val="single" w:sz="4" w:space="0" w:color="auto"/>
            </w:tcBorders>
            <w:shd w:val="clear" w:color="auto" w:fill="auto"/>
          </w:tcPr>
          <w:p w14:paraId="4F9FDA35" w14:textId="68413110" w:rsidR="00090CE3" w:rsidRPr="005001D6" w:rsidRDefault="00642B11"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0.16</w:t>
            </w:r>
            <w:r w:rsidR="00090CE3" w:rsidRPr="005001D6">
              <w:rPr>
                <w:rFonts w:ascii="Arial" w:hAnsi="Arial" w:cs="Arial"/>
                <w:sz w:val="14"/>
                <w:szCs w:val="14"/>
              </w:rPr>
              <w:t xml:space="preserve"> ± 0.0</w:t>
            </w:r>
            <w:r w:rsidR="00A77EBD" w:rsidRPr="005001D6">
              <w:rPr>
                <w:rFonts w:ascii="Arial" w:hAnsi="Arial" w:cs="Arial"/>
                <w:sz w:val="14"/>
                <w:szCs w:val="14"/>
              </w:rPr>
              <w:t>7</w:t>
            </w:r>
          </w:p>
        </w:tc>
        <w:tc>
          <w:tcPr>
            <w:tcW w:w="380" w:type="pct"/>
            <w:shd w:val="clear" w:color="auto" w:fill="auto"/>
          </w:tcPr>
          <w:p w14:paraId="42830B54" w14:textId="1507CEB7" w:rsidR="00090CE3" w:rsidRPr="005001D6" w:rsidRDefault="00090CE3"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0.0</w:t>
            </w:r>
            <w:r w:rsidR="00A77EBD" w:rsidRPr="005001D6">
              <w:rPr>
                <w:rFonts w:ascii="Arial" w:hAnsi="Arial" w:cs="Arial"/>
                <w:sz w:val="14"/>
                <w:szCs w:val="14"/>
              </w:rPr>
              <w:t>7</w:t>
            </w:r>
            <w:r w:rsidRPr="005001D6">
              <w:rPr>
                <w:rFonts w:ascii="Arial" w:hAnsi="Arial" w:cs="Arial"/>
                <w:sz w:val="14"/>
                <w:szCs w:val="14"/>
              </w:rPr>
              <w:t xml:space="preserve"> ± 0.0</w:t>
            </w:r>
            <w:r w:rsidR="00A77EBD" w:rsidRPr="005001D6">
              <w:rPr>
                <w:rFonts w:ascii="Arial" w:hAnsi="Arial" w:cs="Arial"/>
                <w:sz w:val="14"/>
                <w:szCs w:val="14"/>
              </w:rPr>
              <w:t>2</w:t>
            </w:r>
          </w:p>
        </w:tc>
        <w:tc>
          <w:tcPr>
            <w:tcW w:w="476" w:type="pct"/>
            <w:shd w:val="clear" w:color="auto" w:fill="auto"/>
          </w:tcPr>
          <w:p w14:paraId="38567AD2" w14:textId="68448AC4" w:rsidR="00090CE3" w:rsidRPr="005001D6" w:rsidRDefault="00090CE3"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1</w:t>
            </w:r>
            <w:r w:rsidR="00A77EBD" w:rsidRPr="005001D6">
              <w:rPr>
                <w:rFonts w:ascii="Arial" w:hAnsi="Arial" w:cs="Arial"/>
                <w:sz w:val="14"/>
                <w:szCs w:val="14"/>
              </w:rPr>
              <w:t>2</w:t>
            </w:r>
            <w:r w:rsidRPr="005001D6">
              <w:rPr>
                <w:rFonts w:ascii="Arial" w:hAnsi="Arial" w:cs="Arial"/>
                <w:sz w:val="14"/>
                <w:szCs w:val="14"/>
              </w:rPr>
              <w:t>6</w:t>
            </w:r>
          </w:p>
        </w:tc>
        <w:tc>
          <w:tcPr>
            <w:tcW w:w="386" w:type="pct"/>
            <w:shd w:val="clear" w:color="auto" w:fill="auto"/>
          </w:tcPr>
          <w:p w14:paraId="68B293F1" w14:textId="42F36A3C" w:rsidR="00090CE3" w:rsidRPr="005001D6" w:rsidRDefault="00090CE3"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0.</w:t>
            </w:r>
            <w:r w:rsidR="007F5F57" w:rsidRPr="005001D6">
              <w:rPr>
                <w:rFonts w:ascii="Arial" w:hAnsi="Arial" w:cs="Arial"/>
                <w:sz w:val="14"/>
                <w:szCs w:val="14"/>
              </w:rPr>
              <w:t>23</w:t>
            </w:r>
            <w:r w:rsidRPr="005001D6">
              <w:rPr>
                <w:rFonts w:ascii="Arial" w:hAnsi="Arial" w:cs="Arial"/>
                <w:sz w:val="14"/>
                <w:szCs w:val="14"/>
              </w:rPr>
              <w:t xml:space="preserve"> (</w:t>
            </w:r>
            <w:r w:rsidR="00B22EC8" w:rsidRPr="005001D6">
              <w:rPr>
                <w:rFonts w:ascii="Arial" w:hAnsi="Arial" w:cs="Arial"/>
                <w:sz w:val="14"/>
                <w:szCs w:val="14"/>
              </w:rPr>
              <w:t>1.</w:t>
            </w:r>
            <w:r w:rsidR="007F5F57" w:rsidRPr="005001D6">
              <w:rPr>
                <w:rFonts w:ascii="Arial" w:hAnsi="Arial" w:cs="Arial"/>
                <w:sz w:val="14"/>
                <w:szCs w:val="14"/>
              </w:rPr>
              <w:t>4</w:t>
            </w:r>
            <w:r w:rsidRPr="005001D6">
              <w:rPr>
                <w:rFonts w:ascii="Arial" w:hAnsi="Arial" w:cs="Arial"/>
                <w:sz w:val="14"/>
                <w:szCs w:val="14"/>
              </w:rPr>
              <w:t>)</w:t>
            </w:r>
          </w:p>
        </w:tc>
        <w:tc>
          <w:tcPr>
            <w:tcW w:w="497" w:type="pct"/>
            <w:shd w:val="clear" w:color="auto" w:fill="auto"/>
          </w:tcPr>
          <w:p w14:paraId="25E27399" w14:textId="35372917" w:rsidR="00090CE3" w:rsidRPr="005001D6" w:rsidRDefault="00090CE3"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0.</w:t>
            </w:r>
            <w:r w:rsidR="007F5F57" w:rsidRPr="005001D6">
              <w:rPr>
                <w:rFonts w:ascii="Arial" w:hAnsi="Arial" w:cs="Arial"/>
                <w:sz w:val="14"/>
                <w:szCs w:val="14"/>
              </w:rPr>
              <w:t>25</w:t>
            </w:r>
            <w:r w:rsidRPr="005001D6">
              <w:rPr>
                <w:rFonts w:ascii="Arial" w:hAnsi="Arial" w:cs="Arial"/>
                <w:sz w:val="14"/>
                <w:szCs w:val="14"/>
              </w:rPr>
              <w:t xml:space="preserve"> (</w:t>
            </w:r>
            <w:r w:rsidR="007F5F57" w:rsidRPr="005001D6">
              <w:rPr>
                <w:rFonts w:ascii="Arial" w:hAnsi="Arial" w:cs="Arial"/>
                <w:sz w:val="14"/>
                <w:szCs w:val="14"/>
              </w:rPr>
              <w:t>1</w:t>
            </w:r>
            <w:r w:rsidR="00B22EC8" w:rsidRPr="005001D6">
              <w:rPr>
                <w:rFonts w:ascii="Arial" w:hAnsi="Arial" w:cs="Arial"/>
                <w:sz w:val="14"/>
                <w:szCs w:val="14"/>
              </w:rPr>
              <w:t>.3</w:t>
            </w:r>
            <w:r w:rsidRPr="005001D6">
              <w:rPr>
                <w:rFonts w:ascii="Arial" w:hAnsi="Arial" w:cs="Arial"/>
                <w:sz w:val="14"/>
                <w:szCs w:val="14"/>
              </w:rPr>
              <w:t>)</w:t>
            </w:r>
          </w:p>
        </w:tc>
        <w:tc>
          <w:tcPr>
            <w:tcW w:w="549" w:type="pct"/>
          </w:tcPr>
          <w:p w14:paraId="7B796F66" w14:textId="381F260A" w:rsidR="00090CE3" w:rsidRPr="005001D6" w:rsidRDefault="00B22EC8" w:rsidP="00173FAF">
            <w:pPr>
              <w:widowControl w:val="0"/>
              <w:autoSpaceDE w:val="0"/>
              <w:autoSpaceDN w:val="0"/>
              <w:adjustRightInd w:val="0"/>
              <w:spacing w:line="360" w:lineRule="auto"/>
              <w:jc w:val="both"/>
              <w:rPr>
                <w:rFonts w:ascii="Arial" w:hAnsi="Arial" w:cs="Arial"/>
                <w:b/>
                <w:bCs/>
                <w:sz w:val="14"/>
                <w:szCs w:val="14"/>
              </w:rPr>
            </w:pPr>
            <w:r w:rsidRPr="005001D6">
              <w:rPr>
                <w:rFonts w:ascii="Arial" w:hAnsi="Arial" w:cs="Arial"/>
                <w:b/>
                <w:bCs/>
                <w:sz w:val="14"/>
                <w:szCs w:val="14"/>
              </w:rPr>
              <w:t>&lt;0.01</w:t>
            </w:r>
            <w:r w:rsidR="00090CE3" w:rsidRPr="005001D6">
              <w:rPr>
                <w:rFonts w:ascii="Arial" w:hAnsi="Arial" w:cs="Arial"/>
                <w:b/>
                <w:bCs/>
                <w:sz w:val="14"/>
                <w:szCs w:val="14"/>
              </w:rPr>
              <w:t xml:space="preserve"> (</w:t>
            </w:r>
            <w:r w:rsidRPr="005001D6">
              <w:rPr>
                <w:rFonts w:ascii="Arial" w:hAnsi="Arial" w:cs="Arial"/>
                <w:b/>
                <w:bCs/>
                <w:sz w:val="14"/>
                <w:szCs w:val="14"/>
              </w:rPr>
              <w:t>1</w:t>
            </w:r>
            <w:r w:rsidR="007F5F57" w:rsidRPr="005001D6">
              <w:rPr>
                <w:rFonts w:ascii="Arial" w:hAnsi="Arial" w:cs="Arial"/>
                <w:b/>
                <w:bCs/>
                <w:sz w:val="14"/>
                <w:szCs w:val="14"/>
              </w:rPr>
              <w:t>2</w:t>
            </w:r>
            <w:r w:rsidRPr="005001D6">
              <w:rPr>
                <w:rFonts w:ascii="Arial" w:hAnsi="Arial" w:cs="Arial"/>
                <w:b/>
                <w:bCs/>
                <w:sz w:val="14"/>
                <w:szCs w:val="14"/>
              </w:rPr>
              <w:t>.</w:t>
            </w:r>
            <w:r w:rsidR="007F5F57" w:rsidRPr="005001D6">
              <w:rPr>
                <w:rFonts w:ascii="Arial" w:hAnsi="Arial" w:cs="Arial"/>
                <w:b/>
                <w:bCs/>
                <w:sz w:val="14"/>
                <w:szCs w:val="14"/>
              </w:rPr>
              <w:t>2</w:t>
            </w:r>
            <w:r w:rsidR="00090CE3" w:rsidRPr="005001D6">
              <w:rPr>
                <w:rFonts w:ascii="Arial" w:hAnsi="Arial" w:cs="Arial"/>
                <w:b/>
                <w:bCs/>
                <w:sz w:val="14"/>
                <w:szCs w:val="14"/>
              </w:rPr>
              <w:t>)</w:t>
            </w:r>
          </w:p>
        </w:tc>
        <w:tc>
          <w:tcPr>
            <w:tcW w:w="325" w:type="pct"/>
          </w:tcPr>
          <w:p w14:paraId="7CB38C72" w14:textId="7429F679" w:rsidR="00090CE3" w:rsidRPr="005001D6" w:rsidRDefault="00090CE3"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0.</w:t>
            </w:r>
            <w:r w:rsidR="007F5F57" w:rsidRPr="005001D6">
              <w:rPr>
                <w:rFonts w:ascii="Arial" w:hAnsi="Arial" w:cs="Arial"/>
                <w:sz w:val="14"/>
                <w:szCs w:val="14"/>
              </w:rPr>
              <w:t>72</w:t>
            </w:r>
            <w:r w:rsidRPr="005001D6">
              <w:rPr>
                <w:rFonts w:ascii="Arial" w:hAnsi="Arial" w:cs="Arial"/>
                <w:sz w:val="14"/>
                <w:szCs w:val="14"/>
              </w:rPr>
              <w:t xml:space="preserve"> </w:t>
            </w:r>
            <w:r w:rsidR="00B22EC8" w:rsidRPr="005001D6">
              <w:rPr>
                <w:rFonts w:ascii="Arial" w:hAnsi="Arial" w:cs="Arial"/>
                <w:sz w:val="14"/>
                <w:szCs w:val="14"/>
              </w:rPr>
              <w:t>(0.</w:t>
            </w:r>
            <w:r w:rsidR="007F5F57" w:rsidRPr="005001D6">
              <w:rPr>
                <w:rFonts w:ascii="Arial" w:hAnsi="Arial" w:cs="Arial"/>
                <w:sz w:val="14"/>
                <w:szCs w:val="14"/>
              </w:rPr>
              <w:t>1</w:t>
            </w:r>
            <w:r w:rsidRPr="005001D6">
              <w:rPr>
                <w:rFonts w:ascii="Arial" w:hAnsi="Arial" w:cs="Arial"/>
                <w:sz w:val="14"/>
                <w:szCs w:val="14"/>
              </w:rPr>
              <w:t>)</w:t>
            </w:r>
          </w:p>
        </w:tc>
        <w:tc>
          <w:tcPr>
            <w:tcW w:w="325" w:type="pct"/>
          </w:tcPr>
          <w:p w14:paraId="0F1FDCF1" w14:textId="03FE569E" w:rsidR="00090CE3" w:rsidRPr="005001D6" w:rsidRDefault="00090CE3"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0.</w:t>
            </w:r>
            <w:r w:rsidR="007F5F57" w:rsidRPr="005001D6">
              <w:rPr>
                <w:rFonts w:ascii="Arial" w:hAnsi="Arial" w:cs="Arial"/>
                <w:sz w:val="14"/>
                <w:szCs w:val="14"/>
              </w:rPr>
              <w:t>14</w:t>
            </w:r>
            <w:r w:rsidRPr="005001D6">
              <w:rPr>
                <w:rFonts w:ascii="Arial" w:hAnsi="Arial" w:cs="Arial"/>
                <w:sz w:val="14"/>
                <w:szCs w:val="14"/>
              </w:rPr>
              <w:t xml:space="preserve"> (</w:t>
            </w:r>
            <w:r w:rsidR="007F5F57" w:rsidRPr="005001D6">
              <w:rPr>
                <w:rFonts w:ascii="Arial" w:hAnsi="Arial" w:cs="Arial"/>
                <w:sz w:val="14"/>
                <w:szCs w:val="14"/>
              </w:rPr>
              <w:t>2.1</w:t>
            </w:r>
            <w:r w:rsidRPr="005001D6">
              <w:rPr>
                <w:rFonts w:ascii="Arial" w:hAnsi="Arial" w:cs="Arial"/>
                <w:sz w:val="14"/>
                <w:szCs w:val="14"/>
              </w:rPr>
              <w:t>)</w:t>
            </w:r>
          </w:p>
        </w:tc>
        <w:tc>
          <w:tcPr>
            <w:tcW w:w="337" w:type="pct"/>
          </w:tcPr>
          <w:p w14:paraId="546BAFD7" w14:textId="456AFB0B" w:rsidR="00090CE3" w:rsidRPr="005001D6" w:rsidRDefault="00090CE3"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0.8</w:t>
            </w:r>
            <w:r w:rsidR="007F5F57" w:rsidRPr="005001D6">
              <w:rPr>
                <w:rFonts w:ascii="Arial" w:hAnsi="Arial" w:cs="Arial"/>
                <w:sz w:val="14"/>
                <w:szCs w:val="14"/>
              </w:rPr>
              <w:t>3</w:t>
            </w:r>
            <w:r w:rsidRPr="005001D6">
              <w:rPr>
                <w:rFonts w:ascii="Arial" w:hAnsi="Arial" w:cs="Arial"/>
                <w:sz w:val="14"/>
                <w:szCs w:val="14"/>
              </w:rPr>
              <w:t xml:space="preserve"> (</w:t>
            </w:r>
            <w:r w:rsidR="007F5F57" w:rsidRPr="005001D6">
              <w:rPr>
                <w:rFonts w:ascii="Arial" w:hAnsi="Arial" w:cs="Arial"/>
                <w:sz w:val="14"/>
                <w:szCs w:val="14"/>
              </w:rPr>
              <w:t>&lt;</w:t>
            </w:r>
            <w:r w:rsidRPr="005001D6">
              <w:rPr>
                <w:rFonts w:ascii="Arial" w:hAnsi="Arial" w:cs="Arial"/>
                <w:sz w:val="14"/>
                <w:szCs w:val="14"/>
              </w:rPr>
              <w:t>0</w:t>
            </w:r>
            <w:r w:rsidR="00B22EC8" w:rsidRPr="005001D6">
              <w:rPr>
                <w:rFonts w:ascii="Arial" w:hAnsi="Arial" w:cs="Arial"/>
                <w:sz w:val="14"/>
                <w:szCs w:val="14"/>
              </w:rPr>
              <w:t>.1</w:t>
            </w:r>
            <w:r w:rsidRPr="005001D6">
              <w:rPr>
                <w:rFonts w:ascii="Arial" w:hAnsi="Arial" w:cs="Arial"/>
                <w:sz w:val="14"/>
                <w:szCs w:val="14"/>
              </w:rPr>
              <w:t>)</w:t>
            </w:r>
          </w:p>
        </w:tc>
        <w:tc>
          <w:tcPr>
            <w:tcW w:w="340" w:type="pct"/>
          </w:tcPr>
          <w:p w14:paraId="42459DFA" w14:textId="6D29C8E0" w:rsidR="00090CE3" w:rsidRPr="005001D6" w:rsidRDefault="00090CE3"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0.</w:t>
            </w:r>
            <w:r w:rsidR="007F5F57" w:rsidRPr="005001D6">
              <w:rPr>
                <w:rFonts w:ascii="Arial" w:hAnsi="Arial" w:cs="Arial"/>
                <w:sz w:val="14"/>
                <w:szCs w:val="14"/>
              </w:rPr>
              <w:t>57</w:t>
            </w:r>
            <w:r w:rsidRPr="005001D6">
              <w:rPr>
                <w:rFonts w:ascii="Arial" w:hAnsi="Arial" w:cs="Arial"/>
                <w:sz w:val="14"/>
                <w:szCs w:val="14"/>
              </w:rPr>
              <w:t xml:space="preserve"> (</w:t>
            </w:r>
            <w:r w:rsidR="00B22EC8" w:rsidRPr="005001D6">
              <w:rPr>
                <w:rFonts w:ascii="Arial" w:hAnsi="Arial" w:cs="Arial"/>
                <w:sz w:val="14"/>
                <w:szCs w:val="14"/>
              </w:rPr>
              <w:t>0.3</w:t>
            </w:r>
            <w:r w:rsidRPr="005001D6">
              <w:rPr>
                <w:rFonts w:ascii="Arial" w:hAnsi="Arial" w:cs="Arial"/>
                <w:sz w:val="14"/>
                <w:szCs w:val="14"/>
              </w:rPr>
              <w:t>)</w:t>
            </w:r>
          </w:p>
        </w:tc>
      </w:tr>
      <w:tr w:rsidR="005001D6" w:rsidRPr="005001D6" w14:paraId="3FEA3889" w14:textId="77777777" w:rsidTr="00B351AF">
        <w:tc>
          <w:tcPr>
            <w:tcW w:w="851" w:type="pct"/>
          </w:tcPr>
          <w:p w14:paraId="1F5F18F4" w14:textId="11FC6B1D" w:rsidR="00090CE3" w:rsidRPr="005001D6" w:rsidRDefault="00090CE3"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Shoot biomass</w:t>
            </w:r>
            <w:r w:rsidR="00E5319A" w:rsidRPr="005001D6">
              <w:rPr>
                <w:rFonts w:ascii="Arial" w:hAnsi="Arial" w:cs="Arial"/>
                <w:sz w:val="14"/>
                <w:szCs w:val="14"/>
              </w:rPr>
              <w:t>*</w:t>
            </w:r>
          </w:p>
        </w:tc>
        <w:tc>
          <w:tcPr>
            <w:tcW w:w="534" w:type="pct"/>
            <w:shd w:val="clear" w:color="auto" w:fill="auto"/>
          </w:tcPr>
          <w:p w14:paraId="1E4D12BF" w14:textId="4E00B89A" w:rsidR="00090CE3" w:rsidRPr="005001D6" w:rsidRDefault="00090CE3"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0.</w:t>
            </w:r>
            <w:r w:rsidR="007555D4" w:rsidRPr="005001D6">
              <w:rPr>
                <w:rFonts w:ascii="Arial" w:hAnsi="Arial" w:cs="Arial"/>
                <w:sz w:val="14"/>
                <w:szCs w:val="14"/>
              </w:rPr>
              <w:t>03</w:t>
            </w:r>
            <w:r w:rsidRPr="005001D6">
              <w:rPr>
                <w:rFonts w:ascii="Arial" w:hAnsi="Arial" w:cs="Arial"/>
                <w:sz w:val="14"/>
                <w:szCs w:val="14"/>
              </w:rPr>
              <w:t xml:space="preserve"> ± 0.0</w:t>
            </w:r>
            <w:r w:rsidR="007555D4" w:rsidRPr="005001D6">
              <w:rPr>
                <w:rFonts w:ascii="Arial" w:hAnsi="Arial" w:cs="Arial"/>
                <w:sz w:val="14"/>
                <w:szCs w:val="14"/>
              </w:rPr>
              <w:t>1</w:t>
            </w:r>
          </w:p>
        </w:tc>
        <w:tc>
          <w:tcPr>
            <w:tcW w:w="380" w:type="pct"/>
            <w:shd w:val="clear" w:color="auto" w:fill="auto"/>
          </w:tcPr>
          <w:p w14:paraId="0DD4F584" w14:textId="2E67E899" w:rsidR="00090CE3" w:rsidRPr="005001D6" w:rsidRDefault="00090CE3"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0.</w:t>
            </w:r>
            <w:r w:rsidR="007555D4" w:rsidRPr="005001D6">
              <w:rPr>
                <w:rFonts w:ascii="Arial" w:hAnsi="Arial" w:cs="Arial"/>
                <w:sz w:val="14"/>
                <w:szCs w:val="14"/>
              </w:rPr>
              <w:t>15</w:t>
            </w:r>
            <w:r w:rsidRPr="005001D6">
              <w:rPr>
                <w:rFonts w:ascii="Arial" w:hAnsi="Arial" w:cs="Arial"/>
                <w:sz w:val="14"/>
                <w:szCs w:val="14"/>
              </w:rPr>
              <w:t xml:space="preserve"> ± 0.05</w:t>
            </w:r>
          </w:p>
        </w:tc>
        <w:tc>
          <w:tcPr>
            <w:tcW w:w="476" w:type="pct"/>
            <w:shd w:val="clear" w:color="auto" w:fill="auto"/>
          </w:tcPr>
          <w:p w14:paraId="3DDB9169" w14:textId="0306C762" w:rsidR="00090CE3" w:rsidRPr="005001D6" w:rsidRDefault="00090CE3"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w:t>
            </w:r>
            <w:r w:rsidR="007555D4" w:rsidRPr="005001D6">
              <w:rPr>
                <w:rFonts w:ascii="Arial" w:hAnsi="Arial" w:cs="Arial"/>
                <w:sz w:val="14"/>
                <w:szCs w:val="14"/>
              </w:rPr>
              <w:t>78</w:t>
            </w:r>
          </w:p>
        </w:tc>
        <w:tc>
          <w:tcPr>
            <w:tcW w:w="386" w:type="pct"/>
            <w:shd w:val="clear" w:color="auto" w:fill="auto"/>
          </w:tcPr>
          <w:p w14:paraId="2B66356C" w14:textId="5EDA8EE6" w:rsidR="00090CE3" w:rsidRPr="005001D6" w:rsidRDefault="00090CE3" w:rsidP="00173FAF">
            <w:pPr>
              <w:widowControl w:val="0"/>
              <w:autoSpaceDE w:val="0"/>
              <w:autoSpaceDN w:val="0"/>
              <w:adjustRightInd w:val="0"/>
              <w:spacing w:line="360" w:lineRule="auto"/>
              <w:jc w:val="both"/>
              <w:rPr>
                <w:rFonts w:ascii="Arial" w:hAnsi="Arial" w:cs="Arial"/>
                <w:b/>
                <w:bCs/>
                <w:sz w:val="14"/>
                <w:szCs w:val="14"/>
              </w:rPr>
            </w:pPr>
            <w:r w:rsidRPr="005001D6">
              <w:rPr>
                <w:rFonts w:ascii="Arial" w:hAnsi="Arial" w:cs="Arial"/>
                <w:b/>
                <w:bCs/>
                <w:sz w:val="14"/>
                <w:szCs w:val="14"/>
              </w:rPr>
              <w:t>&lt;0.01 (</w:t>
            </w:r>
            <w:r w:rsidR="00C4677D" w:rsidRPr="005001D6">
              <w:rPr>
                <w:rFonts w:ascii="Arial" w:hAnsi="Arial" w:cs="Arial"/>
                <w:b/>
                <w:bCs/>
                <w:sz w:val="14"/>
                <w:szCs w:val="14"/>
              </w:rPr>
              <w:t>9.8</w:t>
            </w:r>
            <w:r w:rsidRPr="005001D6">
              <w:rPr>
                <w:rFonts w:ascii="Arial" w:hAnsi="Arial" w:cs="Arial"/>
                <w:b/>
                <w:bCs/>
                <w:sz w:val="14"/>
                <w:szCs w:val="14"/>
              </w:rPr>
              <w:t>)</w:t>
            </w:r>
          </w:p>
        </w:tc>
        <w:tc>
          <w:tcPr>
            <w:tcW w:w="497" w:type="pct"/>
            <w:shd w:val="clear" w:color="auto" w:fill="auto"/>
          </w:tcPr>
          <w:p w14:paraId="0B1C46A1" w14:textId="0719656E" w:rsidR="00090CE3" w:rsidRPr="005001D6" w:rsidRDefault="00090CE3"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0.</w:t>
            </w:r>
            <w:r w:rsidR="00C4677D" w:rsidRPr="005001D6">
              <w:rPr>
                <w:rFonts w:ascii="Arial" w:hAnsi="Arial" w:cs="Arial"/>
                <w:sz w:val="14"/>
                <w:szCs w:val="14"/>
              </w:rPr>
              <w:t>22</w:t>
            </w:r>
            <w:r w:rsidRPr="005001D6">
              <w:rPr>
                <w:rFonts w:ascii="Arial" w:hAnsi="Arial" w:cs="Arial"/>
                <w:sz w:val="14"/>
                <w:szCs w:val="14"/>
              </w:rPr>
              <w:t xml:space="preserve"> (1</w:t>
            </w:r>
            <w:r w:rsidR="00C4677D" w:rsidRPr="005001D6">
              <w:rPr>
                <w:rFonts w:ascii="Arial" w:hAnsi="Arial" w:cs="Arial"/>
                <w:sz w:val="14"/>
                <w:szCs w:val="14"/>
              </w:rPr>
              <w:t>.5</w:t>
            </w:r>
            <w:r w:rsidRPr="005001D6">
              <w:rPr>
                <w:rFonts w:ascii="Arial" w:hAnsi="Arial" w:cs="Arial"/>
                <w:sz w:val="14"/>
                <w:szCs w:val="14"/>
              </w:rPr>
              <w:t>)</w:t>
            </w:r>
          </w:p>
        </w:tc>
        <w:tc>
          <w:tcPr>
            <w:tcW w:w="549" w:type="pct"/>
          </w:tcPr>
          <w:p w14:paraId="56CE5286" w14:textId="06BE346F" w:rsidR="00090CE3" w:rsidRPr="005001D6" w:rsidRDefault="00090CE3"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0.</w:t>
            </w:r>
            <w:r w:rsidR="00C4677D" w:rsidRPr="005001D6">
              <w:rPr>
                <w:rFonts w:ascii="Arial" w:hAnsi="Arial" w:cs="Arial"/>
                <w:sz w:val="14"/>
                <w:szCs w:val="14"/>
              </w:rPr>
              <w:t>09</w:t>
            </w:r>
            <w:r w:rsidRPr="005001D6">
              <w:rPr>
                <w:rFonts w:ascii="Arial" w:hAnsi="Arial" w:cs="Arial"/>
                <w:sz w:val="14"/>
                <w:szCs w:val="14"/>
              </w:rPr>
              <w:t xml:space="preserve"> (</w:t>
            </w:r>
            <w:r w:rsidR="00C4677D" w:rsidRPr="005001D6">
              <w:rPr>
                <w:rFonts w:ascii="Arial" w:hAnsi="Arial" w:cs="Arial"/>
                <w:sz w:val="14"/>
                <w:szCs w:val="14"/>
              </w:rPr>
              <w:t>2.8</w:t>
            </w:r>
            <w:r w:rsidRPr="005001D6">
              <w:rPr>
                <w:rFonts w:ascii="Arial" w:hAnsi="Arial" w:cs="Arial"/>
                <w:sz w:val="14"/>
                <w:szCs w:val="14"/>
              </w:rPr>
              <w:t>)</w:t>
            </w:r>
          </w:p>
        </w:tc>
        <w:tc>
          <w:tcPr>
            <w:tcW w:w="325" w:type="pct"/>
          </w:tcPr>
          <w:p w14:paraId="4440B5D2" w14:textId="62C4415A" w:rsidR="00090CE3" w:rsidRPr="005001D6" w:rsidRDefault="00090CE3"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0.</w:t>
            </w:r>
            <w:r w:rsidR="00C4677D" w:rsidRPr="005001D6">
              <w:rPr>
                <w:rFonts w:ascii="Arial" w:hAnsi="Arial" w:cs="Arial"/>
                <w:sz w:val="14"/>
                <w:szCs w:val="14"/>
              </w:rPr>
              <w:t>34</w:t>
            </w:r>
            <w:r w:rsidRPr="005001D6">
              <w:rPr>
                <w:rFonts w:ascii="Arial" w:hAnsi="Arial" w:cs="Arial"/>
                <w:sz w:val="14"/>
                <w:szCs w:val="14"/>
              </w:rPr>
              <w:t xml:space="preserve"> (</w:t>
            </w:r>
            <w:r w:rsidR="00C4677D" w:rsidRPr="005001D6">
              <w:rPr>
                <w:rFonts w:ascii="Arial" w:hAnsi="Arial" w:cs="Arial"/>
                <w:sz w:val="14"/>
                <w:szCs w:val="14"/>
              </w:rPr>
              <w:t>0.9</w:t>
            </w:r>
            <w:r w:rsidRPr="005001D6">
              <w:rPr>
                <w:rFonts w:ascii="Arial" w:hAnsi="Arial" w:cs="Arial"/>
                <w:sz w:val="14"/>
                <w:szCs w:val="14"/>
              </w:rPr>
              <w:t>)</w:t>
            </w:r>
          </w:p>
        </w:tc>
        <w:tc>
          <w:tcPr>
            <w:tcW w:w="325" w:type="pct"/>
          </w:tcPr>
          <w:p w14:paraId="018C1CA6" w14:textId="1C937B39" w:rsidR="00090CE3" w:rsidRPr="005001D6" w:rsidRDefault="00090CE3"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0.</w:t>
            </w:r>
            <w:r w:rsidR="00C4677D" w:rsidRPr="005001D6">
              <w:rPr>
                <w:rFonts w:ascii="Arial" w:hAnsi="Arial" w:cs="Arial"/>
                <w:sz w:val="14"/>
                <w:szCs w:val="14"/>
              </w:rPr>
              <w:t>55</w:t>
            </w:r>
            <w:r w:rsidRPr="005001D6">
              <w:rPr>
                <w:rFonts w:ascii="Arial" w:hAnsi="Arial" w:cs="Arial"/>
                <w:sz w:val="14"/>
                <w:szCs w:val="14"/>
              </w:rPr>
              <w:t xml:space="preserve"> (</w:t>
            </w:r>
            <w:r w:rsidR="00C4677D" w:rsidRPr="005001D6">
              <w:rPr>
                <w:rFonts w:ascii="Arial" w:hAnsi="Arial" w:cs="Arial"/>
                <w:sz w:val="14"/>
                <w:szCs w:val="14"/>
              </w:rPr>
              <w:t>0.4</w:t>
            </w:r>
            <w:r w:rsidRPr="005001D6">
              <w:rPr>
                <w:rFonts w:ascii="Arial" w:hAnsi="Arial" w:cs="Arial"/>
                <w:sz w:val="14"/>
                <w:szCs w:val="14"/>
              </w:rPr>
              <w:t>)</w:t>
            </w:r>
          </w:p>
        </w:tc>
        <w:tc>
          <w:tcPr>
            <w:tcW w:w="337" w:type="pct"/>
          </w:tcPr>
          <w:p w14:paraId="7733BA3C" w14:textId="56625DBA" w:rsidR="00090CE3" w:rsidRPr="005001D6" w:rsidRDefault="00090CE3"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0.</w:t>
            </w:r>
            <w:r w:rsidR="00C4677D" w:rsidRPr="005001D6">
              <w:rPr>
                <w:rFonts w:ascii="Arial" w:hAnsi="Arial" w:cs="Arial"/>
                <w:sz w:val="14"/>
                <w:szCs w:val="14"/>
              </w:rPr>
              <w:t>70</w:t>
            </w:r>
            <w:r w:rsidRPr="005001D6">
              <w:rPr>
                <w:rFonts w:ascii="Arial" w:hAnsi="Arial" w:cs="Arial"/>
                <w:sz w:val="14"/>
                <w:szCs w:val="14"/>
              </w:rPr>
              <w:t xml:space="preserve"> (</w:t>
            </w:r>
            <w:r w:rsidR="00C4677D" w:rsidRPr="005001D6">
              <w:rPr>
                <w:rFonts w:ascii="Arial" w:hAnsi="Arial" w:cs="Arial"/>
                <w:sz w:val="14"/>
                <w:szCs w:val="14"/>
              </w:rPr>
              <w:t>0.14</w:t>
            </w:r>
            <w:r w:rsidRPr="005001D6">
              <w:rPr>
                <w:rFonts w:ascii="Arial" w:hAnsi="Arial" w:cs="Arial"/>
                <w:sz w:val="14"/>
                <w:szCs w:val="14"/>
              </w:rPr>
              <w:t>)</w:t>
            </w:r>
          </w:p>
        </w:tc>
        <w:tc>
          <w:tcPr>
            <w:tcW w:w="340" w:type="pct"/>
          </w:tcPr>
          <w:p w14:paraId="167C76E7" w14:textId="4671B9C5" w:rsidR="00090CE3" w:rsidRPr="005001D6" w:rsidRDefault="00090CE3"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0.6</w:t>
            </w:r>
            <w:r w:rsidR="00C4677D" w:rsidRPr="005001D6">
              <w:rPr>
                <w:rFonts w:ascii="Arial" w:hAnsi="Arial" w:cs="Arial"/>
                <w:sz w:val="14"/>
                <w:szCs w:val="14"/>
              </w:rPr>
              <w:t>2</w:t>
            </w:r>
            <w:r w:rsidRPr="005001D6">
              <w:rPr>
                <w:rFonts w:ascii="Arial" w:hAnsi="Arial" w:cs="Arial"/>
                <w:sz w:val="14"/>
                <w:szCs w:val="14"/>
              </w:rPr>
              <w:t xml:space="preserve"> (0.</w:t>
            </w:r>
            <w:r w:rsidR="00C4677D" w:rsidRPr="005001D6">
              <w:rPr>
                <w:rFonts w:ascii="Arial" w:hAnsi="Arial" w:cs="Arial"/>
                <w:sz w:val="14"/>
                <w:szCs w:val="14"/>
              </w:rPr>
              <w:t>2</w:t>
            </w:r>
            <w:r w:rsidRPr="005001D6">
              <w:rPr>
                <w:rFonts w:ascii="Arial" w:hAnsi="Arial" w:cs="Arial"/>
                <w:sz w:val="14"/>
                <w:szCs w:val="14"/>
              </w:rPr>
              <w:t>)</w:t>
            </w:r>
          </w:p>
        </w:tc>
      </w:tr>
      <w:tr w:rsidR="00090CE3" w:rsidRPr="005001D6" w14:paraId="2BA56E8D" w14:textId="77777777" w:rsidTr="00B351AF">
        <w:tc>
          <w:tcPr>
            <w:tcW w:w="851" w:type="pct"/>
            <w:tcBorders>
              <w:bottom w:val="single" w:sz="4" w:space="0" w:color="auto"/>
            </w:tcBorders>
          </w:tcPr>
          <w:p w14:paraId="6964494F" w14:textId="4AA81C0F" w:rsidR="00090CE3" w:rsidRPr="005001D6" w:rsidRDefault="00090CE3"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 xml:space="preserve">Root biomass </w:t>
            </w:r>
          </w:p>
        </w:tc>
        <w:tc>
          <w:tcPr>
            <w:tcW w:w="534" w:type="pct"/>
            <w:tcBorders>
              <w:bottom w:val="single" w:sz="4" w:space="0" w:color="auto"/>
            </w:tcBorders>
            <w:shd w:val="clear" w:color="auto" w:fill="auto"/>
          </w:tcPr>
          <w:p w14:paraId="475D462C" w14:textId="51E0729F" w:rsidR="00090CE3" w:rsidRPr="005001D6" w:rsidRDefault="00090CE3"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0.</w:t>
            </w:r>
            <w:r w:rsidR="007555D4" w:rsidRPr="005001D6">
              <w:rPr>
                <w:rFonts w:ascii="Arial" w:hAnsi="Arial" w:cs="Arial"/>
                <w:sz w:val="14"/>
                <w:szCs w:val="14"/>
              </w:rPr>
              <w:t>32</w:t>
            </w:r>
            <w:r w:rsidRPr="005001D6">
              <w:rPr>
                <w:rFonts w:ascii="Arial" w:hAnsi="Arial" w:cs="Arial"/>
                <w:sz w:val="14"/>
                <w:szCs w:val="14"/>
              </w:rPr>
              <w:t xml:space="preserve"> ± 0.0</w:t>
            </w:r>
            <w:r w:rsidR="007555D4" w:rsidRPr="005001D6">
              <w:rPr>
                <w:rFonts w:ascii="Arial" w:hAnsi="Arial" w:cs="Arial"/>
                <w:sz w:val="14"/>
                <w:szCs w:val="14"/>
              </w:rPr>
              <w:t>8</w:t>
            </w:r>
          </w:p>
        </w:tc>
        <w:tc>
          <w:tcPr>
            <w:tcW w:w="380" w:type="pct"/>
            <w:tcBorders>
              <w:bottom w:val="single" w:sz="4" w:space="0" w:color="auto"/>
            </w:tcBorders>
            <w:shd w:val="clear" w:color="auto" w:fill="auto"/>
          </w:tcPr>
          <w:p w14:paraId="6059E418" w14:textId="09F67FF6" w:rsidR="00090CE3" w:rsidRPr="005001D6" w:rsidRDefault="00090CE3"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0.</w:t>
            </w:r>
            <w:r w:rsidR="007555D4" w:rsidRPr="005001D6">
              <w:rPr>
                <w:rFonts w:ascii="Arial" w:hAnsi="Arial" w:cs="Arial"/>
                <w:sz w:val="14"/>
                <w:szCs w:val="14"/>
              </w:rPr>
              <w:t>63</w:t>
            </w:r>
            <w:r w:rsidRPr="005001D6">
              <w:rPr>
                <w:rFonts w:ascii="Arial" w:hAnsi="Arial" w:cs="Arial"/>
                <w:sz w:val="14"/>
                <w:szCs w:val="14"/>
              </w:rPr>
              <w:t xml:space="preserve"> ± 0.</w:t>
            </w:r>
            <w:r w:rsidR="007555D4" w:rsidRPr="005001D6">
              <w:rPr>
                <w:rFonts w:ascii="Arial" w:hAnsi="Arial" w:cs="Arial"/>
                <w:sz w:val="14"/>
                <w:szCs w:val="14"/>
              </w:rPr>
              <w:t>16</w:t>
            </w:r>
          </w:p>
        </w:tc>
        <w:tc>
          <w:tcPr>
            <w:tcW w:w="476" w:type="pct"/>
            <w:tcBorders>
              <w:bottom w:val="single" w:sz="4" w:space="0" w:color="auto"/>
            </w:tcBorders>
            <w:shd w:val="clear" w:color="auto" w:fill="auto"/>
          </w:tcPr>
          <w:p w14:paraId="73904BF3" w14:textId="72C120E2" w:rsidR="00090CE3" w:rsidRPr="005001D6" w:rsidRDefault="00090CE3" w:rsidP="00173FAF">
            <w:pPr>
              <w:widowControl w:val="0"/>
              <w:autoSpaceDE w:val="0"/>
              <w:autoSpaceDN w:val="0"/>
              <w:adjustRightInd w:val="0"/>
              <w:spacing w:line="360" w:lineRule="auto"/>
              <w:jc w:val="both"/>
              <w:rPr>
                <w:rFonts w:ascii="Arial" w:hAnsi="Arial" w:cs="Arial"/>
                <w:b/>
                <w:bCs/>
                <w:sz w:val="14"/>
                <w:szCs w:val="14"/>
              </w:rPr>
            </w:pPr>
            <w:r w:rsidRPr="005001D6">
              <w:rPr>
                <w:rFonts w:ascii="Arial" w:hAnsi="Arial" w:cs="Arial"/>
                <w:sz w:val="14"/>
                <w:szCs w:val="14"/>
              </w:rPr>
              <w:t>-</w:t>
            </w:r>
            <w:r w:rsidR="007555D4" w:rsidRPr="005001D6">
              <w:rPr>
                <w:rFonts w:ascii="Arial" w:hAnsi="Arial" w:cs="Arial"/>
                <w:sz w:val="14"/>
                <w:szCs w:val="14"/>
              </w:rPr>
              <w:t>49</w:t>
            </w:r>
          </w:p>
        </w:tc>
        <w:tc>
          <w:tcPr>
            <w:tcW w:w="386" w:type="pct"/>
            <w:tcBorders>
              <w:bottom w:val="single" w:sz="4" w:space="0" w:color="auto"/>
            </w:tcBorders>
            <w:shd w:val="clear" w:color="auto" w:fill="auto"/>
          </w:tcPr>
          <w:p w14:paraId="01BEA450" w14:textId="300CAE72" w:rsidR="00090CE3" w:rsidRPr="005001D6" w:rsidRDefault="00090CE3" w:rsidP="00173FAF">
            <w:pPr>
              <w:widowControl w:val="0"/>
              <w:autoSpaceDE w:val="0"/>
              <w:autoSpaceDN w:val="0"/>
              <w:adjustRightInd w:val="0"/>
              <w:spacing w:line="360" w:lineRule="auto"/>
              <w:jc w:val="both"/>
              <w:rPr>
                <w:rFonts w:ascii="Arial" w:hAnsi="Arial" w:cs="Arial"/>
                <w:b/>
                <w:bCs/>
                <w:sz w:val="14"/>
                <w:szCs w:val="14"/>
              </w:rPr>
            </w:pPr>
            <w:r w:rsidRPr="005001D6">
              <w:rPr>
                <w:rFonts w:ascii="Arial" w:hAnsi="Arial" w:cs="Arial"/>
                <w:b/>
                <w:bCs/>
                <w:sz w:val="14"/>
                <w:szCs w:val="14"/>
              </w:rPr>
              <w:t>0.0</w:t>
            </w:r>
            <w:r w:rsidR="008C1D52" w:rsidRPr="005001D6">
              <w:rPr>
                <w:rFonts w:ascii="Arial" w:hAnsi="Arial" w:cs="Arial"/>
                <w:b/>
                <w:bCs/>
                <w:sz w:val="14"/>
                <w:szCs w:val="14"/>
              </w:rPr>
              <w:t>2</w:t>
            </w:r>
            <w:r w:rsidRPr="005001D6">
              <w:rPr>
                <w:rFonts w:ascii="Arial" w:hAnsi="Arial" w:cs="Arial"/>
                <w:b/>
                <w:bCs/>
                <w:sz w:val="14"/>
                <w:szCs w:val="14"/>
              </w:rPr>
              <w:t xml:space="preserve"> (5.</w:t>
            </w:r>
            <w:r w:rsidR="008C1D52" w:rsidRPr="005001D6">
              <w:rPr>
                <w:rFonts w:ascii="Arial" w:hAnsi="Arial" w:cs="Arial"/>
                <w:b/>
                <w:bCs/>
                <w:sz w:val="14"/>
                <w:szCs w:val="14"/>
              </w:rPr>
              <w:t>3</w:t>
            </w:r>
            <w:r w:rsidRPr="005001D6">
              <w:rPr>
                <w:rFonts w:ascii="Arial" w:hAnsi="Arial" w:cs="Arial"/>
                <w:b/>
                <w:bCs/>
                <w:sz w:val="14"/>
                <w:szCs w:val="14"/>
              </w:rPr>
              <w:t>)</w:t>
            </w:r>
          </w:p>
        </w:tc>
        <w:tc>
          <w:tcPr>
            <w:tcW w:w="497" w:type="pct"/>
            <w:tcBorders>
              <w:bottom w:val="single" w:sz="4" w:space="0" w:color="auto"/>
            </w:tcBorders>
            <w:shd w:val="clear" w:color="auto" w:fill="auto"/>
          </w:tcPr>
          <w:p w14:paraId="09B24E6F" w14:textId="77027B55" w:rsidR="00090CE3" w:rsidRPr="005001D6" w:rsidRDefault="00090CE3"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0.</w:t>
            </w:r>
            <w:r w:rsidR="008C1D52" w:rsidRPr="005001D6">
              <w:rPr>
                <w:rFonts w:ascii="Arial" w:hAnsi="Arial" w:cs="Arial"/>
                <w:sz w:val="14"/>
                <w:szCs w:val="14"/>
              </w:rPr>
              <w:t>0</w:t>
            </w:r>
            <w:r w:rsidRPr="005001D6">
              <w:rPr>
                <w:rFonts w:ascii="Arial" w:hAnsi="Arial" w:cs="Arial"/>
                <w:sz w:val="14"/>
                <w:szCs w:val="14"/>
              </w:rPr>
              <w:t>9 (2</w:t>
            </w:r>
            <w:r w:rsidR="005A69B4" w:rsidRPr="005001D6">
              <w:rPr>
                <w:rFonts w:ascii="Arial" w:hAnsi="Arial" w:cs="Arial"/>
                <w:sz w:val="14"/>
                <w:szCs w:val="14"/>
              </w:rPr>
              <w:t>.7</w:t>
            </w:r>
            <w:r w:rsidRPr="005001D6">
              <w:rPr>
                <w:rFonts w:ascii="Arial" w:hAnsi="Arial" w:cs="Arial"/>
                <w:sz w:val="14"/>
                <w:szCs w:val="14"/>
              </w:rPr>
              <w:t>)</w:t>
            </w:r>
          </w:p>
        </w:tc>
        <w:tc>
          <w:tcPr>
            <w:tcW w:w="549" w:type="pct"/>
            <w:tcBorders>
              <w:bottom w:val="single" w:sz="4" w:space="0" w:color="auto"/>
            </w:tcBorders>
          </w:tcPr>
          <w:p w14:paraId="1877A2BD" w14:textId="443C597E" w:rsidR="00090CE3" w:rsidRPr="005001D6" w:rsidRDefault="008C1D52" w:rsidP="00173FAF">
            <w:pPr>
              <w:widowControl w:val="0"/>
              <w:autoSpaceDE w:val="0"/>
              <w:autoSpaceDN w:val="0"/>
              <w:adjustRightInd w:val="0"/>
              <w:spacing w:line="360" w:lineRule="auto"/>
              <w:jc w:val="both"/>
              <w:rPr>
                <w:rFonts w:ascii="Arial" w:hAnsi="Arial" w:cs="Arial"/>
                <w:b/>
                <w:bCs/>
                <w:sz w:val="14"/>
                <w:szCs w:val="14"/>
              </w:rPr>
            </w:pPr>
            <w:r w:rsidRPr="005001D6">
              <w:rPr>
                <w:rFonts w:ascii="Arial" w:hAnsi="Arial" w:cs="Arial"/>
                <w:b/>
                <w:bCs/>
                <w:sz w:val="14"/>
                <w:szCs w:val="14"/>
              </w:rPr>
              <w:t>&lt;</w:t>
            </w:r>
            <w:r w:rsidR="00090CE3" w:rsidRPr="005001D6">
              <w:rPr>
                <w:rFonts w:ascii="Arial" w:hAnsi="Arial" w:cs="Arial"/>
                <w:b/>
                <w:bCs/>
                <w:sz w:val="14"/>
                <w:szCs w:val="14"/>
              </w:rPr>
              <w:t>0</w:t>
            </w:r>
            <w:r w:rsidRPr="005001D6">
              <w:rPr>
                <w:rFonts w:ascii="Arial" w:hAnsi="Arial" w:cs="Arial"/>
                <w:b/>
                <w:bCs/>
                <w:sz w:val="14"/>
                <w:szCs w:val="14"/>
              </w:rPr>
              <w:t>.01</w:t>
            </w:r>
            <w:r w:rsidR="00090CE3" w:rsidRPr="005001D6">
              <w:rPr>
                <w:rFonts w:ascii="Arial" w:hAnsi="Arial" w:cs="Arial"/>
                <w:b/>
                <w:bCs/>
                <w:sz w:val="14"/>
                <w:szCs w:val="14"/>
              </w:rPr>
              <w:t xml:space="preserve"> (</w:t>
            </w:r>
            <w:r w:rsidRPr="005001D6">
              <w:rPr>
                <w:rFonts w:ascii="Arial" w:hAnsi="Arial" w:cs="Arial"/>
                <w:b/>
                <w:bCs/>
                <w:sz w:val="14"/>
                <w:szCs w:val="14"/>
              </w:rPr>
              <w:t>11.8</w:t>
            </w:r>
            <w:r w:rsidR="00090CE3" w:rsidRPr="005001D6">
              <w:rPr>
                <w:rFonts w:ascii="Arial" w:hAnsi="Arial" w:cs="Arial"/>
                <w:b/>
                <w:bCs/>
                <w:sz w:val="14"/>
                <w:szCs w:val="14"/>
              </w:rPr>
              <w:t>)</w:t>
            </w:r>
          </w:p>
        </w:tc>
        <w:tc>
          <w:tcPr>
            <w:tcW w:w="325" w:type="pct"/>
            <w:tcBorders>
              <w:bottom w:val="single" w:sz="4" w:space="0" w:color="auto"/>
            </w:tcBorders>
          </w:tcPr>
          <w:p w14:paraId="40AAEFC9" w14:textId="3F31A924" w:rsidR="00090CE3" w:rsidRPr="005001D6" w:rsidRDefault="00090CE3"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0.</w:t>
            </w:r>
            <w:r w:rsidR="008C1D52" w:rsidRPr="005001D6">
              <w:rPr>
                <w:rFonts w:ascii="Arial" w:hAnsi="Arial" w:cs="Arial"/>
                <w:sz w:val="14"/>
                <w:szCs w:val="14"/>
              </w:rPr>
              <w:t>61</w:t>
            </w:r>
            <w:r w:rsidRPr="005001D6">
              <w:rPr>
                <w:rFonts w:ascii="Arial" w:hAnsi="Arial" w:cs="Arial"/>
                <w:sz w:val="14"/>
                <w:szCs w:val="14"/>
              </w:rPr>
              <w:t xml:space="preserve"> (</w:t>
            </w:r>
            <w:r w:rsidR="008C1D52" w:rsidRPr="005001D6">
              <w:rPr>
                <w:rFonts w:ascii="Arial" w:hAnsi="Arial" w:cs="Arial"/>
                <w:sz w:val="14"/>
                <w:szCs w:val="14"/>
              </w:rPr>
              <w:t>0.26</w:t>
            </w:r>
            <w:r w:rsidRPr="005001D6">
              <w:rPr>
                <w:rFonts w:ascii="Arial" w:hAnsi="Arial" w:cs="Arial"/>
                <w:sz w:val="14"/>
                <w:szCs w:val="14"/>
              </w:rPr>
              <w:t>)</w:t>
            </w:r>
          </w:p>
        </w:tc>
        <w:tc>
          <w:tcPr>
            <w:tcW w:w="325" w:type="pct"/>
            <w:tcBorders>
              <w:bottom w:val="single" w:sz="4" w:space="0" w:color="auto"/>
            </w:tcBorders>
          </w:tcPr>
          <w:p w14:paraId="78BDD961" w14:textId="43B8B1E3" w:rsidR="00090CE3" w:rsidRPr="005001D6" w:rsidRDefault="00090CE3"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0.</w:t>
            </w:r>
            <w:r w:rsidR="008C1D52" w:rsidRPr="005001D6">
              <w:rPr>
                <w:rFonts w:ascii="Arial" w:hAnsi="Arial" w:cs="Arial"/>
                <w:sz w:val="14"/>
                <w:szCs w:val="14"/>
              </w:rPr>
              <w:t>99</w:t>
            </w:r>
            <w:r w:rsidRPr="005001D6">
              <w:rPr>
                <w:rFonts w:ascii="Arial" w:hAnsi="Arial" w:cs="Arial"/>
                <w:sz w:val="14"/>
                <w:szCs w:val="14"/>
              </w:rPr>
              <w:t xml:space="preserve"> (</w:t>
            </w:r>
            <w:r w:rsidR="008C1D52" w:rsidRPr="005001D6">
              <w:rPr>
                <w:rFonts w:ascii="Arial" w:hAnsi="Arial" w:cs="Arial"/>
                <w:sz w:val="14"/>
                <w:szCs w:val="14"/>
              </w:rPr>
              <w:t>&lt;0.1</w:t>
            </w:r>
            <w:r w:rsidRPr="005001D6">
              <w:rPr>
                <w:rFonts w:ascii="Arial" w:hAnsi="Arial" w:cs="Arial"/>
                <w:sz w:val="14"/>
                <w:szCs w:val="14"/>
              </w:rPr>
              <w:t>)</w:t>
            </w:r>
          </w:p>
        </w:tc>
        <w:tc>
          <w:tcPr>
            <w:tcW w:w="337" w:type="pct"/>
            <w:tcBorders>
              <w:bottom w:val="single" w:sz="4" w:space="0" w:color="auto"/>
            </w:tcBorders>
          </w:tcPr>
          <w:p w14:paraId="26496137" w14:textId="78BEFA63" w:rsidR="00090CE3" w:rsidRPr="005001D6" w:rsidRDefault="00090CE3"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0.</w:t>
            </w:r>
            <w:r w:rsidR="008C1D52" w:rsidRPr="005001D6">
              <w:rPr>
                <w:rFonts w:ascii="Arial" w:hAnsi="Arial" w:cs="Arial"/>
                <w:sz w:val="14"/>
                <w:szCs w:val="14"/>
              </w:rPr>
              <w:t>94</w:t>
            </w:r>
            <w:r w:rsidRPr="005001D6">
              <w:rPr>
                <w:rFonts w:ascii="Arial" w:hAnsi="Arial" w:cs="Arial"/>
                <w:sz w:val="14"/>
                <w:szCs w:val="14"/>
              </w:rPr>
              <w:t xml:space="preserve"> (&lt;0.1)</w:t>
            </w:r>
          </w:p>
        </w:tc>
        <w:tc>
          <w:tcPr>
            <w:tcW w:w="340" w:type="pct"/>
            <w:tcBorders>
              <w:bottom w:val="single" w:sz="4" w:space="0" w:color="auto"/>
            </w:tcBorders>
          </w:tcPr>
          <w:p w14:paraId="682341EF" w14:textId="74BFC813" w:rsidR="00090CE3" w:rsidRPr="005001D6" w:rsidRDefault="00090CE3" w:rsidP="00173FAF">
            <w:pPr>
              <w:widowControl w:val="0"/>
              <w:autoSpaceDE w:val="0"/>
              <w:autoSpaceDN w:val="0"/>
              <w:adjustRightInd w:val="0"/>
              <w:spacing w:line="360" w:lineRule="auto"/>
              <w:jc w:val="both"/>
              <w:rPr>
                <w:rFonts w:ascii="Arial" w:hAnsi="Arial" w:cs="Arial"/>
                <w:sz w:val="14"/>
                <w:szCs w:val="14"/>
              </w:rPr>
            </w:pPr>
            <w:r w:rsidRPr="005001D6">
              <w:rPr>
                <w:rFonts w:ascii="Arial" w:hAnsi="Arial" w:cs="Arial"/>
                <w:sz w:val="14"/>
                <w:szCs w:val="14"/>
              </w:rPr>
              <w:t>0.</w:t>
            </w:r>
            <w:r w:rsidR="008C1D52" w:rsidRPr="005001D6">
              <w:rPr>
                <w:rFonts w:ascii="Arial" w:hAnsi="Arial" w:cs="Arial"/>
                <w:sz w:val="14"/>
                <w:szCs w:val="14"/>
              </w:rPr>
              <w:t>53</w:t>
            </w:r>
            <w:r w:rsidRPr="005001D6">
              <w:rPr>
                <w:rFonts w:ascii="Arial" w:hAnsi="Arial" w:cs="Arial"/>
                <w:sz w:val="14"/>
                <w:szCs w:val="14"/>
              </w:rPr>
              <w:t xml:space="preserve"> (</w:t>
            </w:r>
            <w:r w:rsidR="008C1D52" w:rsidRPr="005001D6">
              <w:rPr>
                <w:rFonts w:ascii="Arial" w:hAnsi="Arial" w:cs="Arial"/>
                <w:sz w:val="14"/>
                <w:szCs w:val="14"/>
              </w:rPr>
              <w:t>0.4</w:t>
            </w:r>
            <w:r w:rsidRPr="005001D6">
              <w:rPr>
                <w:rFonts w:ascii="Arial" w:hAnsi="Arial" w:cs="Arial"/>
                <w:sz w:val="14"/>
                <w:szCs w:val="14"/>
              </w:rPr>
              <w:t>)</w:t>
            </w:r>
          </w:p>
        </w:tc>
      </w:tr>
    </w:tbl>
    <w:p w14:paraId="7EE6CDA4" w14:textId="6911BF90" w:rsidR="00A451C2" w:rsidRPr="005001D6" w:rsidRDefault="00A451C2" w:rsidP="00173FAF">
      <w:pPr>
        <w:spacing w:line="480" w:lineRule="auto"/>
        <w:jc w:val="both"/>
        <w:rPr>
          <w:b/>
          <w:bCs/>
        </w:rPr>
      </w:pPr>
    </w:p>
    <w:p w14:paraId="23EE48B9" w14:textId="77777777" w:rsidR="00F574F0" w:rsidRPr="005001D6" w:rsidRDefault="00F574F0" w:rsidP="00173FAF">
      <w:pPr>
        <w:spacing w:line="480" w:lineRule="auto"/>
        <w:jc w:val="both"/>
        <w:rPr>
          <w:b/>
          <w:bCs/>
        </w:rPr>
      </w:pPr>
    </w:p>
    <w:p w14:paraId="68EEDAE4" w14:textId="60400116" w:rsidR="002A5BD8" w:rsidRPr="005001D6" w:rsidRDefault="00F574F0" w:rsidP="00173FAF">
      <w:pPr>
        <w:spacing w:line="480" w:lineRule="auto"/>
        <w:jc w:val="both"/>
        <w:rPr>
          <w:bCs/>
        </w:rPr>
      </w:pPr>
      <w:r w:rsidRPr="005001D6">
        <w:rPr>
          <w:b/>
          <w:bCs/>
        </w:rPr>
        <w:lastRenderedPageBreak/>
        <w:t xml:space="preserve">Table S6 | </w:t>
      </w:r>
      <w:r w:rsidRPr="005001D6">
        <w:rPr>
          <w:bCs/>
        </w:rPr>
        <w:t xml:space="preserve">Primer sets and thermal profiles used for the quantification of the selected genes. Asterisks (*) indicate data collection steps. † </w:t>
      </w:r>
      <w:proofErr w:type="gramStart"/>
      <w:r w:rsidRPr="005001D6">
        <w:rPr>
          <w:bCs/>
        </w:rPr>
        <w:t>touchdown</w:t>
      </w:r>
      <w:proofErr w:type="gramEnd"/>
      <w:r w:rsidRPr="005001D6">
        <w:rPr>
          <w:bCs/>
        </w:rPr>
        <w:t>: -1</w:t>
      </w:r>
      <w:r w:rsidRPr="005001D6">
        <w:rPr>
          <w:bCs/>
          <w:vertAlign w:val="superscript"/>
        </w:rPr>
        <w:t>o</w:t>
      </w:r>
      <w:r w:rsidRPr="005001D6">
        <w:rPr>
          <w:bCs/>
        </w:rPr>
        <w:t>C per cycle.</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919"/>
        <w:gridCol w:w="1708"/>
        <w:gridCol w:w="1146"/>
        <w:gridCol w:w="1189"/>
        <w:gridCol w:w="1350"/>
        <w:gridCol w:w="1087"/>
        <w:gridCol w:w="1627"/>
      </w:tblGrid>
      <w:tr w:rsidR="005001D6" w:rsidRPr="005001D6" w14:paraId="24DD11B5" w14:textId="77777777" w:rsidTr="00ED60AF">
        <w:trPr>
          <w:trHeight w:val="498"/>
        </w:trPr>
        <w:tc>
          <w:tcPr>
            <w:tcW w:w="919" w:type="dxa"/>
            <w:vAlign w:val="center"/>
          </w:tcPr>
          <w:p w14:paraId="272518AC" w14:textId="77777777" w:rsidR="0002655F" w:rsidRPr="005001D6" w:rsidRDefault="0002655F" w:rsidP="00173FAF">
            <w:pPr>
              <w:spacing w:after="360"/>
              <w:contextualSpacing/>
              <w:jc w:val="both"/>
              <w:rPr>
                <w:rFonts w:ascii="Arial" w:hAnsi="Arial" w:cs="Arial"/>
                <w:sz w:val="16"/>
                <w:szCs w:val="16"/>
              </w:rPr>
            </w:pPr>
            <w:r w:rsidRPr="005001D6">
              <w:rPr>
                <w:rFonts w:ascii="Arial" w:hAnsi="Arial" w:cs="Arial"/>
                <w:sz w:val="16"/>
                <w:szCs w:val="16"/>
              </w:rPr>
              <w:t>Target gene</w:t>
            </w:r>
          </w:p>
        </w:tc>
        <w:tc>
          <w:tcPr>
            <w:tcW w:w="1708" w:type="dxa"/>
            <w:vAlign w:val="center"/>
          </w:tcPr>
          <w:p w14:paraId="55305507" w14:textId="77777777" w:rsidR="0002655F" w:rsidRPr="005001D6" w:rsidRDefault="0002655F" w:rsidP="00173FAF">
            <w:pPr>
              <w:tabs>
                <w:tab w:val="left" w:pos="284"/>
              </w:tabs>
              <w:spacing w:after="360"/>
              <w:contextualSpacing/>
              <w:jc w:val="both"/>
              <w:rPr>
                <w:rFonts w:ascii="Arial" w:hAnsi="Arial" w:cs="Arial"/>
                <w:sz w:val="16"/>
                <w:szCs w:val="16"/>
                <w:lang w:eastAsia="en-GB"/>
              </w:rPr>
            </w:pPr>
            <w:r w:rsidRPr="005001D6">
              <w:rPr>
                <w:rFonts w:ascii="Arial" w:hAnsi="Arial" w:cs="Arial"/>
                <w:sz w:val="16"/>
                <w:szCs w:val="16"/>
                <w:lang w:eastAsia="en-GB"/>
              </w:rPr>
              <w:t>Primer set</w:t>
            </w:r>
          </w:p>
        </w:tc>
        <w:tc>
          <w:tcPr>
            <w:tcW w:w="1146" w:type="dxa"/>
            <w:vAlign w:val="center"/>
          </w:tcPr>
          <w:p w14:paraId="3A3ABF84" w14:textId="77777777" w:rsidR="0002655F" w:rsidRPr="005001D6" w:rsidRDefault="0002655F" w:rsidP="00173FAF">
            <w:pPr>
              <w:tabs>
                <w:tab w:val="left" w:pos="284"/>
              </w:tabs>
              <w:spacing w:after="360"/>
              <w:contextualSpacing/>
              <w:jc w:val="both"/>
              <w:rPr>
                <w:rFonts w:ascii="Arial" w:hAnsi="Arial" w:cs="Arial"/>
                <w:sz w:val="16"/>
                <w:szCs w:val="16"/>
                <w:lang w:eastAsia="en-GB"/>
              </w:rPr>
            </w:pPr>
            <w:r w:rsidRPr="005001D6">
              <w:rPr>
                <w:rFonts w:ascii="Arial" w:hAnsi="Arial" w:cs="Arial"/>
                <w:sz w:val="16"/>
                <w:szCs w:val="16"/>
                <w:lang w:eastAsia="en-GB"/>
              </w:rPr>
              <w:t>Fragment length (</w:t>
            </w:r>
            <w:proofErr w:type="spellStart"/>
            <w:r w:rsidRPr="005001D6">
              <w:rPr>
                <w:rFonts w:ascii="Arial" w:hAnsi="Arial" w:cs="Arial"/>
                <w:sz w:val="16"/>
                <w:szCs w:val="16"/>
                <w:lang w:eastAsia="en-GB"/>
              </w:rPr>
              <w:t>bp</w:t>
            </w:r>
            <w:proofErr w:type="spellEnd"/>
            <w:r w:rsidRPr="005001D6">
              <w:rPr>
                <w:rFonts w:ascii="Arial" w:hAnsi="Arial" w:cs="Arial"/>
                <w:sz w:val="16"/>
                <w:szCs w:val="16"/>
                <w:lang w:eastAsia="en-GB"/>
              </w:rPr>
              <w:t>)</w:t>
            </w:r>
          </w:p>
        </w:tc>
        <w:tc>
          <w:tcPr>
            <w:tcW w:w="1189" w:type="dxa"/>
            <w:vAlign w:val="center"/>
          </w:tcPr>
          <w:p w14:paraId="7AD1F9D9" w14:textId="77777777" w:rsidR="0002655F" w:rsidRPr="005001D6" w:rsidRDefault="0002655F" w:rsidP="00173FAF">
            <w:pPr>
              <w:tabs>
                <w:tab w:val="left" w:pos="284"/>
              </w:tabs>
              <w:spacing w:after="360"/>
              <w:contextualSpacing/>
              <w:jc w:val="both"/>
              <w:rPr>
                <w:rFonts w:ascii="Arial" w:hAnsi="Arial" w:cs="Arial"/>
                <w:sz w:val="16"/>
                <w:szCs w:val="16"/>
                <w:lang w:eastAsia="en-GB"/>
              </w:rPr>
            </w:pPr>
            <w:r w:rsidRPr="005001D6">
              <w:rPr>
                <w:rFonts w:ascii="Arial" w:hAnsi="Arial" w:cs="Arial"/>
                <w:sz w:val="16"/>
                <w:szCs w:val="16"/>
                <w:lang w:eastAsia="en-GB"/>
              </w:rPr>
              <w:t>Initial denaturation</w:t>
            </w:r>
          </w:p>
        </w:tc>
        <w:tc>
          <w:tcPr>
            <w:tcW w:w="1350" w:type="dxa"/>
            <w:vAlign w:val="center"/>
          </w:tcPr>
          <w:p w14:paraId="646B044C" w14:textId="77777777" w:rsidR="0002655F" w:rsidRPr="005001D6" w:rsidRDefault="0002655F" w:rsidP="00173FAF">
            <w:pPr>
              <w:tabs>
                <w:tab w:val="left" w:pos="284"/>
              </w:tabs>
              <w:spacing w:after="360"/>
              <w:contextualSpacing/>
              <w:jc w:val="both"/>
              <w:rPr>
                <w:rFonts w:ascii="Arial" w:hAnsi="Arial" w:cs="Arial"/>
                <w:sz w:val="16"/>
                <w:szCs w:val="16"/>
                <w:lang w:eastAsia="en-GB"/>
              </w:rPr>
            </w:pPr>
            <w:r w:rsidRPr="005001D6">
              <w:rPr>
                <w:rFonts w:ascii="Arial" w:hAnsi="Arial" w:cs="Arial"/>
                <w:sz w:val="16"/>
                <w:szCs w:val="16"/>
                <w:lang w:eastAsia="en-GB"/>
              </w:rPr>
              <w:t>Thermal profile</w:t>
            </w:r>
          </w:p>
        </w:tc>
        <w:tc>
          <w:tcPr>
            <w:tcW w:w="1087" w:type="dxa"/>
            <w:vAlign w:val="center"/>
          </w:tcPr>
          <w:p w14:paraId="7890CB38" w14:textId="77777777" w:rsidR="0002655F" w:rsidRPr="005001D6" w:rsidRDefault="0002655F" w:rsidP="00173FAF">
            <w:pPr>
              <w:tabs>
                <w:tab w:val="left" w:pos="284"/>
              </w:tabs>
              <w:spacing w:after="360"/>
              <w:contextualSpacing/>
              <w:jc w:val="both"/>
              <w:rPr>
                <w:rFonts w:ascii="Arial" w:hAnsi="Arial" w:cs="Arial"/>
                <w:sz w:val="16"/>
                <w:szCs w:val="16"/>
                <w:lang w:eastAsia="en-GB"/>
              </w:rPr>
            </w:pPr>
            <w:r w:rsidRPr="005001D6">
              <w:rPr>
                <w:rFonts w:ascii="Arial" w:hAnsi="Arial" w:cs="Arial"/>
                <w:sz w:val="16"/>
                <w:szCs w:val="16"/>
                <w:lang w:eastAsia="en-GB"/>
              </w:rPr>
              <w:t>Number of cycles</w:t>
            </w:r>
          </w:p>
        </w:tc>
        <w:tc>
          <w:tcPr>
            <w:tcW w:w="1627" w:type="dxa"/>
            <w:vAlign w:val="center"/>
          </w:tcPr>
          <w:p w14:paraId="65D12DF6" w14:textId="77777777" w:rsidR="0002655F" w:rsidRPr="005001D6" w:rsidRDefault="0002655F" w:rsidP="00173FAF">
            <w:pPr>
              <w:tabs>
                <w:tab w:val="left" w:pos="284"/>
              </w:tabs>
              <w:spacing w:after="360"/>
              <w:contextualSpacing/>
              <w:jc w:val="both"/>
              <w:rPr>
                <w:rFonts w:ascii="Arial" w:hAnsi="Arial" w:cs="Arial"/>
                <w:sz w:val="16"/>
                <w:szCs w:val="16"/>
                <w:lang w:eastAsia="en-GB"/>
              </w:rPr>
            </w:pPr>
            <w:r w:rsidRPr="005001D6">
              <w:rPr>
                <w:rFonts w:ascii="Arial" w:hAnsi="Arial" w:cs="Arial"/>
                <w:sz w:val="16"/>
                <w:szCs w:val="16"/>
                <w:lang w:eastAsia="en-GB"/>
              </w:rPr>
              <w:t>Reference</w:t>
            </w:r>
          </w:p>
        </w:tc>
      </w:tr>
      <w:tr w:rsidR="005001D6" w:rsidRPr="005001D6" w14:paraId="778DDAFE" w14:textId="77777777" w:rsidTr="00ED60AF">
        <w:trPr>
          <w:trHeight w:val="741"/>
        </w:trPr>
        <w:tc>
          <w:tcPr>
            <w:tcW w:w="919" w:type="dxa"/>
            <w:vAlign w:val="center"/>
          </w:tcPr>
          <w:p w14:paraId="4FFD1057" w14:textId="77777777" w:rsidR="0002655F" w:rsidRPr="005001D6" w:rsidRDefault="0002655F" w:rsidP="00173FAF">
            <w:pPr>
              <w:tabs>
                <w:tab w:val="left" w:pos="284"/>
              </w:tabs>
              <w:spacing w:after="360"/>
              <w:contextualSpacing/>
              <w:jc w:val="both"/>
              <w:rPr>
                <w:rFonts w:ascii="Arial" w:hAnsi="Arial" w:cs="Arial"/>
                <w:i/>
                <w:sz w:val="16"/>
                <w:szCs w:val="16"/>
                <w:lang w:eastAsia="en-GB"/>
              </w:rPr>
            </w:pPr>
            <w:proofErr w:type="spellStart"/>
            <w:r w:rsidRPr="005001D6">
              <w:rPr>
                <w:rFonts w:ascii="Arial" w:hAnsi="Arial" w:cs="Arial"/>
                <w:i/>
                <w:sz w:val="16"/>
                <w:szCs w:val="16"/>
                <w:lang w:eastAsia="en-GB"/>
              </w:rPr>
              <w:t>amoA</w:t>
            </w:r>
            <w:proofErr w:type="spellEnd"/>
          </w:p>
          <w:p w14:paraId="3A68AD4D" w14:textId="77777777" w:rsidR="0002655F" w:rsidRPr="005001D6" w:rsidRDefault="0002655F" w:rsidP="00173FAF">
            <w:pPr>
              <w:tabs>
                <w:tab w:val="left" w:pos="284"/>
              </w:tabs>
              <w:spacing w:after="360"/>
              <w:contextualSpacing/>
              <w:jc w:val="both"/>
              <w:rPr>
                <w:rFonts w:ascii="Arial" w:hAnsi="Arial" w:cs="Arial"/>
                <w:sz w:val="16"/>
                <w:szCs w:val="16"/>
                <w:lang w:eastAsia="en-GB"/>
              </w:rPr>
            </w:pPr>
            <w:r w:rsidRPr="005001D6">
              <w:rPr>
                <w:rFonts w:ascii="Arial" w:hAnsi="Arial" w:cs="Arial"/>
                <w:sz w:val="16"/>
                <w:szCs w:val="16"/>
                <w:lang w:eastAsia="en-GB"/>
              </w:rPr>
              <w:t>(Bacteria)</w:t>
            </w:r>
          </w:p>
        </w:tc>
        <w:tc>
          <w:tcPr>
            <w:tcW w:w="1708" w:type="dxa"/>
            <w:vAlign w:val="center"/>
          </w:tcPr>
          <w:p w14:paraId="5CCD38B0" w14:textId="77777777" w:rsidR="0002655F" w:rsidRPr="005001D6" w:rsidRDefault="0002655F" w:rsidP="00173FAF">
            <w:pPr>
              <w:tabs>
                <w:tab w:val="left" w:pos="284"/>
              </w:tabs>
              <w:spacing w:after="360"/>
              <w:contextualSpacing/>
              <w:jc w:val="both"/>
              <w:rPr>
                <w:rFonts w:ascii="Arial" w:hAnsi="Arial" w:cs="Arial"/>
                <w:sz w:val="16"/>
                <w:szCs w:val="16"/>
                <w:lang w:eastAsia="en-GB"/>
              </w:rPr>
            </w:pPr>
            <w:proofErr w:type="spellStart"/>
            <w:r w:rsidRPr="005001D6">
              <w:rPr>
                <w:rFonts w:ascii="Arial" w:hAnsi="Arial" w:cs="Arial"/>
                <w:sz w:val="16"/>
                <w:szCs w:val="16"/>
                <w:lang w:eastAsia="en-GB"/>
              </w:rPr>
              <w:t>amoA</w:t>
            </w:r>
            <w:proofErr w:type="spellEnd"/>
            <w:r w:rsidRPr="005001D6">
              <w:rPr>
                <w:rFonts w:ascii="Arial" w:hAnsi="Arial" w:cs="Arial"/>
                <w:sz w:val="16"/>
                <w:szCs w:val="16"/>
                <w:lang w:eastAsia="en-GB"/>
              </w:rPr>
              <w:t xml:space="preserve"> 1F</w:t>
            </w:r>
          </w:p>
          <w:p w14:paraId="4804B059" w14:textId="77777777" w:rsidR="0002655F" w:rsidRPr="005001D6" w:rsidRDefault="0002655F" w:rsidP="00173FAF">
            <w:pPr>
              <w:tabs>
                <w:tab w:val="left" w:pos="284"/>
              </w:tabs>
              <w:spacing w:after="360"/>
              <w:contextualSpacing/>
              <w:jc w:val="both"/>
              <w:rPr>
                <w:rFonts w:ascii="Arial" w:hAnsi="Arial" w:cs="Arial"/>
                <w:sz w:val="16"/>
                <w:szCs w:val="16"/>
                <w:lang w:eastAsia="en-GB"/>
              </w:rPr>
            </w:pPr>
            <w:proofErr w:type="spellStart"/>
            <w:r w:rsidRPr="005001D6">
              <w:rPr>
                <w:rFonts w:ascii="Arial" w:hAnsi="Arial" w:cs="Arial"/>
                <w:sz w:val="16"/>
                <w:szCs w:val="16"/>
                <w:lang w:eastAsia="en-GB"/>
              </w:rPr>
              <w:t>amoA</w:t>
            </w:r>
            <w:proofErr w:type="spellEnd"/>
            <w:r w:rsidRPr="005001D6">
              <w:rPr>
                <w:rFonts w:ascii="Arial" w:hAnsi="Arial" w:cs="Arial"/>
                <w:sz w:val="16"/>
                <w:szCs w:val="16"/>
                <w:lang w:eastAsia="en-GB"/>
              </w:rPr>
              <w:t xml:space="preserve"> 2R</w:t>
            </w:r>
          </w:p>
        </w:tc>
        <w:tc>
          <w:tcPr>
            <w:tcW w:w="1146" w:type="dxa"/>
            <w:vAlign w:val="center"/>
          </w:tcPr>
          <w:p w14:paraId="76EE1C32" w14:textId="77777777" w:rsidR="0002655F" w:rsidRPr="005001D6" w:rsidRDefault="0002655F" w:rsidP="00173FAF">
            <w:pPr>
              <w:tabs>
                <w:tab w:val="left" w:pos="284"/>
              </w:tabs>
              <w:spacing w:after="360"/>
              <w:contextualSpacing/>
              <w:jc w:val="both"/>
              <w:rPr>
                <w:rFonts w:ascii="Arial" w:hAnsi="Arial" w:cs="Arial"/>
                <w:sz w:val="16"/>
                <w:szCs w:val="16"/>
                <w:lang w:eastAsia="en-GB"/>
              </w:rPr>
            </w:pPr>
            <w:r w:rsidRPr="005001D6">
              <w:rPr>
                <w:rFonts w:ascii="Arial" w:hAnsi="Arial" w:cs="Arial"/>
                <w:sz w:val="16"/>
                <w:szCs w:val="16"/>
                <w:lang w:eastAsia="en-GB"/>
              </w:rPr>
              <w:t>491</w:t>
            </w:r>
          </w:p>
        </w:tc>
        <w:tc>
          <w:tcPr>
            <w:tcW w:w="1189" w:type="dxa"/>
            <w:vAlign w:val="center"/>
          </w:tcPr>
          <w:p w14:paraId="27BCB083" w14:textId="77777777" w:rsidR="0002655F" w:rsidRPr="005001D6" w:rsidRDefault="0002655F" w:rsidP="00173FAF">
            <w:pPr>
              <w:tabs>
                <w:tab w:val="left" w:pos="284"/>
              </w:tabs>
              <w:spacing w:after="360"/>
              <w:contextualSpacing/>
              <w:jc w:val="both"/>
              <w:rPr>
                <w:rFonts w:ascii="Arial" w:hAnsi="Arial" w:cs="Arial"/>
                <w:sz w:val="16"/>
                <w:szCs w:val="16"/>
                <w:lang w:eastAsia="en-GB"/>
              </w:rPr>
            </w:pPr>
            <w:r w:rsidRPr="005001D6">
              <w:rPr>
                <w:rFonts w:ascii="Arial" w:hAnsi="Arial" w:cs="Arial"/>
                <w:sz w:val="16"/>
                <w:szCs w:val="16"/>
                <w:lang w:eastAsia="en-GB"/>
              </w:rPr>
              <w:t>95°C - 10 min</w:t>
            </w:r>
          </w:p>
        </w:tc>
        <w:tc>
          <w:tcPr>
            <w:tcW w:w="1350" w:type="dxa"/>
            <w:vAlign w:val="center"/>
          </w:tcPr>
          <w:p w14:paraId="0CCC5F4B" w14:textId="77777777" w:rsidR="0002655F" w:rsidRPr="005001D6" w:rsidRDefault="0002655F" w:rsidP="00173FAF">
            <w:pPr>
              <w:tabs>
                <w:tab w:val="left" w:pos="74"/>
              </w:tabs>
              <w:spacing w:after="360"/>
              <w:ind w:firstLine="162"/>
              <w:contextualSpacing/>
              <w:jc w:val="both"/>
              <w:rPr>
                <w:rFonts w:ascii="Arial" w:hAnsi="Arial" w:cs="Arial"/>
                <w:sz w:val="16"/>
                <w:szCs w:val="16"/>
                <w:lang w:eastAsia="en-GB"/>
              </w:rPr>
            </w:pPr>
            <w:r w:rsidRPr="005001D6">
              <w:rPr>
                <w:rFonts w:ascii="Arial" w:hAnsi="Arial" w:cs="Arial"/>
                <w:sz w:val="16"/>
                <w:szCs w:val="16"/>
                <w:lang w:eastAsia="en-GB"/>
              </w:rPr>
              <w:t>94°C - 45 s</w:t>
            </w:r>
          </w:p>
          <w:p w14:paraId="17708196" w14:textId="77777777" w:rsidR="0002655F" w:rsidRPr="005001D6" w:rsidRDefault="0002655F" w:rsidP="00173FAF">
            <w:pPr>
              <w:tabs>
                <w:tab w:val="left" w:pos="74"/>
              </w:tabs>
              <w:spacing w:after="360"/>
              <w:ind w:firstLine="162"/>
              <w:contextualSpacing/>
              <w:jc w:val="both"/>
              <w:rPr>
                <w:rFonts w:ascii="Arial" w:hAnsi="Arial" w:cs="Arial"/>
                <w:sz w:val="16"/>
                <w:szCs w:val="16"/>
                <w:lang w:eastAsia="en-GB"/>
              </w:rPr>
            </w:pPr>
            <w:r w:rsidRPr="005001D6">
              <w:rPr>
                <w:rFonts w:ascii="Arial" w:hAnsi="Arial" w:cs="Arial"/>
                <w:sz w:val="16"/>
                <w:szCs w:val="16"/>
                <w:lang w:eastAsia="en-GB"/>
              </w:rPr>
              <w:t>60°C - 45 s</w:t>
            </w:r>
          </w:p>
          <w:p w14:paraId="522819F4" w14:textId="77777777" w:rsidR="0002655F" w:rsidRPr="005001D6" w:rsidRDefault="0002655F" w:rsidP="00173FAF">
            <w:pPr>
              <w:tabs>
                <w:tab w:val="left" w:pos="74"/>
              </w:tabs>
              <w:spacing w:after="360"/>
              <w:ind w:firstLine="162"/>
              <w:contextualSpacing/>
              <w:jc w:val="both"/>
              <w:rPr>
                <w:rFonts w:ascii="Arial" w:hAnsi="Arial" w:cs="Arial"/>
                <w:sz w:val="16"/>
                <w:szCs w:val="16"/>
                <w:lang w:eastAsia="en-GB"/>
              </w:rPr>
            </w:pPr>
            <w:r w:rsidRPr="005001D6">
              <w:rPr>
                <w:rFonts w:ascii="Arial" w:hAnsi="Arial" w:cs="Arial"/>
                <w:sz w:val="16"/>
                <w:szCs w:val="16"/>
                <w:lang w:eastAsia="en-GB"/>
              </w:rPr>
              <w:t>72°C - 45 s*</w:t>
            </w:r>
          </w:p>
        </w:tc>
        <w:tc>
          <w:tcPr>
            <w:tcW w:w="1087" w:type="dxa"/>
            <w:vAlign w:val="center"/>
          </w:tcPr>
          <w:p w14:paraId="677883E6" w14:textId="77777777" w:rsidR="0002655F" w:rsidRPr="005001D6" w:rsidRDefault="0002655F" w:rsidP="00173FAF">
            <w:pPr>
              <w:tabs>
                <w:tab w:val="left" w:pos="284"/>
              </w:tabs>
              <w:spacing w:after="360"/>
              <w:contextualSpacing/>
              <w:jc w:val="both"/>
              <w:rPr>
                <w:rFonts w:ascii="Arial" w:hAnsi="Arial" w:cs="Arial"/>
                <w:sz w:val="16"/>
                <w:szCs w:val="16"/>
                <w:lang w:eastAsia="en-GB"/>
              </w:rPr>
            </w:pPr>
            <w:r w:rsidRPr="005001D6">
              <w:rPr>
                <w:rFonts w:ascii="Arial" w:hAnsi="Arial" w:cs="Arial"/>
                <w:sz w:val="16"/>
                <w:szCs w:val="16"/>
                <w:lang w:eastAsia="en-GB"/>
              </w:rPr>
              <w:t>40</w:t>
            </w:r>
          </w:p>
        </w:tc>
        <w:tc>
          <w:tcPr>
            <w:tcW w:w="1627" w:type="dxa"/>
            <w:vAlign w:val="center"/>
          </w:tcPr>
          <w:p w14:paraId="1568FBBA" w14:textId="6E67D7CE" w:rsidR="0002655F" w:rsidRPr="005001D6" w:rsidRDefault="0002655F" w:rsidP="00173FAF">
            <w:pPr>
              <w:tabs>
                <w:tab w:val="left" w:pos="284"/>
              </w:tabs>
              <w:spacing w:after="360"/>
              <w:contextualSpacing/>
              <w:jc w:val="both"/>
              <w:rPr>
                <w:rFonts w:ascii="Arial" w:hAnsi="Arial" w:cs="Arial"/>
                <w:sz w:val="16"/>
                <w:szCs w:val="16"/>
                <w:lang w:eastAsia="en-GB"/>
              </w:rPr>
            </w:pPr>
            <w:r w:rsidRPr="005001D6">
              <w:rPr>
                <w:rFonts w:ascii="Arial" w:hAnsi="Arial" w:cs="Arial"/>
                <w:sz w:val="16"/>
                <w:szCs w:val="16"/>
                <w:lang w:eastAsia="en-GB"/>
              </w:rPr>
              <w:fldChar w:fldCharType="begin" w:fldLock="1"/>
            </w:r>
            <w:r w:rsidRPr="005001D6">
              <w:rPr>
                <w:rFonts w:ascii="Arial" w:hAnsi="Arial" w:cs="Arial"/>
                <w:sz w:val="16"/>
                <w:szCs w:val="16"/>
                <w:lang w:eastAsia="en-GB"/>
              </w:rPr>
              <w:instrText>ADDIN CSL_CITATION {"citationItems":[{"id":"ITEM-1","itemData":{"DOI":"10.1128/aem.63.12.4704-4712.1997","ISSN":"00992240","PMID":"9406389","abstract":"The naturally occurring genetic heterogeneity of autotrophic ammonia- oxidizing populations belonging to the β subclass of the Proteobacteria was studied by using a newly developed PCR-based assay targeting a partial stretch of the gene which encodes the active-site polypeptide of ammonia monooxygenase (amoA). The PCR yielded a specific 491-bp fragment with all of the nitrifiers tested, but not with the homologous stretch of the particulate methane monooxygenase, a key enzyme of the methane-oxidizing bacteria. The assay also specifically detected amoA in DNA extracted from various aquatic and terrestrial environments. The resulting PCR products retrieved from rice roots, activated sludge, a freshwater sample, and an enrichment culture were used for the generation of amoA gene libraries. No false positives were detected in a set of 47 randomly selected clone sequences that were analyzed further. The majority of the environmental sequences retrieved from rice roots and activated sludge grouped within the phylogenetic radiation defined by cultured strains of the genera Nitrosomonas and Nitrosospira. The comparative analysis identified members of both of these genera in activated sludge; however, only Nitrosospira-like sequences with very similar amino acid patterns were found on rice roots. Further differentiation of these molecular isolates was clearly possible on the nucleic acid level due to the accumulation of synonymous mutations, suggesting that several closely related but distinct Nitrosospira-like populations are the main colonizers of the rhizosphere of rice. Each of the amoA gene libraries obtained from the freshwater sample and the enrichment culture was dominated by a novel lineage that shared a branch with the Nitrosospira cluster but could not be assigned to any of the known pure cultures. Our data suggest that amoA represents a very powerful molecular tool for analyzing indigenous ammonia-oxidizing communities due to (i) its specificity, (ii) its fine-scale resolution of closely related populations, and (iii) the fact that a functional trait rather than a phylogenetic trait is detected.","author":[{"dropping-particle":"","family":"Rotthauwe","given":"Jan Henrich","non-dropping-particle":"","parse-names":false,"suffix":""},{"dropping-particle":"","family":"Witzel","given":"Karl Paul","non-dropping-particle":"","parse-names":false,"suffix":""},{"dropping-particle":"","family":"Liesack","given":"Werner","non-dropping-particle":"","parse-names":false,"suffix":""}],"container-title":"Applied and Environmental Microbiology","id":"ITEM-1","issue":"12","issued":{"date-parts":[["1997"]]},"page":"4704-4712","title":"The ammonia monooxygenase structural gene amoa as a functional marker: Molecular fine-scale analysis of natural ammonia-oxidizing populations","type":"article-journal","volume":"63"},"uris":["http://www.mendeley.com/documents/?uuid=9e3529db-35f0-4698-9752-92087d710c63"]}],"mendeley":{"formattedCitation":"(Rotthauwe &lt;i&gt;et al.&lt;/i&gt; 1997)","plainTextFormattedCitation":"(Rotthauwe et al. 1997)","previouslyFormattedCitation":"(Rotthauwe &lt;i&gt;et al.&lt;/i&gt; 1997)"},"properties":{"noteIndex":0},"schema":"https://github.com/citation-style-language/schema/raw/master/csl-citation.json"}</w:instrText>
            </w:r>
            <w:r w:rsidRPr="005001D6">
              <w:rPr>
                <w:rFonts w:ascii="Arial" w:hAnsi="Arial" w:cs="Arial"/>
                <w:sz w:val="16"/>
                <w:szCs w:val="16"/>
                <w:lang w:eastAsia="en-GB"/>
              </w:rPr>
              <w:fldChar w:fldCharType="separate"/>
            </w:r>
            <w:r w:rsidRPr="005001D6">
              <w:rPr>
                <w:rFonts w:ascii="Arial" w:hAnsi="Arial" w:cs="Arial"/>
                <w:noProof/>
                <w:sz w:val="16"/>
                <w:szCs w:val="16"/>
                <w:lang w:eastAsia="en-GB"/>
              </w:rPr>
              <w:t xml:space="preserve">(Rotthauwe </w:t>
            </w:r>
            <w:r w:rsidRPr="005001D6">
              <w:rPr>
                <w:rFonts w:ascii="Arial" w:hAnsi="Arial" w:cs="Arial"/>
                <w:i/>
                <w:noProof/>
                <w:sz w:val="16"/>
                <w:szCs w:val="16"/>
                <w:lang w:eastAsia="en-GB"/>
              </w:rPr>
              <w:t>et al.</w:t>
            </w:r>
            <w:r w:rsidRPr="005001D6">
              <w:rPr>
                <w:rFonts w:ascii="Arial" w:hAnsi="Arial" w:cs="Arial"/>
                <w:noProof/>
                <w:sz w:val="16"/>
                <w:szCs w:val="16"/>
                <w:lang w:eastAsia="en-GB"/>
              </w:rPr>
              <w:t xml:space="preserve"> 1997)</w:t>
            </w:r>
            <w:r w:rsidRPr="005001D6">
              <w:rPr>
                <w:rFonts w:ascii="Arial" w:hAnsi="Arial" w:cs="Arial"/>
                <w:sz w:val="16"/>
                <w:szCs w:val="16"/>
                <w:lang w:eastAsia="en-GB"/>
              </w:rPr>
              <w:fldChar w:fldCharType="end"/>
            </w:r>
          </w:p>
        </w:tc>
      </w:tr>
      <w:tr w:rsidR="005001D6" w:rsidRPr="005001D6" w14:paraId="05D1AE69" w14:textId="77777777" w:rsidTr="00ED60AF">
        <w:trPr>
          <w:trHeight w:val="1504"/>
        </w:trPr>
        <w:tc>
          <w:tcPr>
            <w:tcW w:w="919" w:type="dxa"/>
            <w:vAlign w:val="center"/>
          </w:tcPr>
          <w:p w14:paraId="18174CF8" w14:textId="77777777" w:rsidR="0002655F" w:rsidRPr="005001D6" w:rsidRDefault="0002655F" w:rsidP="00173FAF">
            <w:pPr>
              <w:tabs>
                <w:tab w:val="left" w:pos="284"/>
              </w:tabs>
              <w:spacing w:after="360"/>
              <w:contextualSpacing/>
              <w:jc w:val="both"/>
              <w:rPr>
                <w:rFonts w:ascii="Arial" w:hAnsi="Arial" w:cs="Arial"/>
                <w:sz w:val="16"/>
                <w:szCs w:val="16"/>
                <w:lang w:eastAsia="en-GB"/>
              </w:rPr>
            </w:pPr>
            <w:proofErr w:type="spellStart"/>
            <w:r w:rsidRPr="005001D6">
              <w:rPr>
                <w:rFonts w:ascii="Arial" w:hAnsi="Arial" w:cs="Arial"/>
                <w:i/>
                <w:sz w:val="16"/>
                <w:szCs w:val="16"/>
                <w:lang w:eastAsia="en-GB"/>
              </w:rPr>
              <w:t>amoA</w:t>
            </w:r>
            <w:proofErr w:type="spellEnd"/>
            <w:r w:rsidRPr="005001D6">
              <w:rPr>
                <w:rFonts w:ascii="Arial" w:hAnsi="Arial" w:cs="Arial"/>
                <w:sz w:val="16"/>
                <w:szCs w:val="16"/>
                <w:lang w:eastAsia="en-GB"/>
              </w:rPr>
              <w:t xml:space="preserve"> (Archaea)</w:t>
            </w:r>
          </w:p>
        </w:tc>
        <w:tc>
          <w:tcPr>
            <w:tcW w:w="1708" w:type="dxa"/>
            <w:vAlign w:val="center"/>
          </w:tcPr>
          <w:p w14:paraId="50F081F6" w14:textId="77777777" w:rsidR="0002655F" w:rsidRPr="005001D6" w:rsidRDefault="0002655F" w:rsidP="00173FAF">
            <w:pPr>
              <w:tabs>
                <w:tab w:val="left" w:pos="284"/>
              </w:tabs>
              <w:spacing w:after="360"/>
              <w:contextualSpacing/>
              <w:jc w:val="both"/>
              <w:rPr>
                <w:rFonts w:ascii="Arial" w:hAnsi="Arial" w:cs="Arial"/>
                <w:sz w:val="16"/>
                <w:szCs w:val="16"/>
                <w:lang w:eastAsia="en-GB"/>
              </w:rPr>
            </w:pPr>
            <w:r w:rsidRPr="005001D6">
              <w:rPr>
                <w:rFonts w:ascii="Arial" w:hAnsi="Arial" w:cs="Arial"/>
                <w:sz w:val="16"/>
                <w:szCs w:val="16"/>
                <w:lang w:eastAsia="en-GB"/>
              </w:rPr>
              <w:t>19F</w:t>
            </w:r>
          </w:p>
          <w:p w14:paraId="35B6993A" w14:textId="77777777" w:rsidR="0002655F" w:rsidRPr="005001D6" w:rsidRDefault="0002655F" w:rsidP="00173FAF">
            <w:pPr>
              <w:tabs>
                <w:tab w:val="left" w:pos="284"/>
              </w:tabs>
              <w:spacing w:after="360"/>
              <w:contextualSpacing/>
              <w:jc w:val="both"/>
              <w:rPr>
                <w:rFonts w:ascii="Arial" w:hAnsi="Arial" w:cs="Arial"/>
                <w:sz w:val="16"/>
                <w:szCs w:val="16"/>
                <w:lang w:eastAsia="en-GB"/>
              </w:rPr>
            </w:pPr>
            <w:r w:rsidRPr="005001D6">
              <w:rPr>
                <w:rFonts w:ascii="Arial" w:hAnsi="Arial" w:cs="Arial"/>
                <w:sz w:val="16"/>
                <w:szCs w:val="16"/>
                <w:lang w:eastAsia="en-GB"/>
              </w:rPr>
              <w:t>CrenamoA616r48x</w:t>
            </w:r>
          </w:p>
        </w:tc>
        <w:tc>
          <w:tcPr>
            <w:tcW w:w="1146" w:type="dxa"/>
            <w:vAlign w:val="center"/>
          </w:tcPr>
          <w:p w14:paraId="39211E43" w14:textId="77777777" w:rsidR="0002655F" w:rsidRPr="005001D6" w:rsidRDefault="0002655F" w:rsidP="00173FAF">
            <w:pPr>
              <w:tabs>
                <w:tab w:val="left" w:pos="284"/>
              </w:tabs>
              <w:spacing w:after="360"/>
              <w:contextualSpacing/>
              <w:jc w:val="both"/>
              <w:rPr>
                <w:rFonts w:ascii="Arial" w:hAnsi="Arial" w:cs="Arial"/>
                <w:sz w:val="16"/>
                <w:szCs w:val="16"/>
                <w:lang w:eastAsia="en-GB"/>
              </w:rPr>
            </w:pPr>
            <w:r w:rsidRPr="005001D6">
              <w:rPr>
                <w:rFonts w:ascii="Arial" w:hAnsi="Arial" w:cs="Arial"/>
                <w:sz w:val="16"/>
                <w:szCs w:val="16"/>
                <w:lang w:eastAsia="en-GB"/>
              </w:rPr>
              <w:t>624</w:t>
            </w:r>
          </w:p>
        </w:tc>
        <w:tc>
          <w:tcPr>
            <w:tcW w:w="1189" w:type="dxa"/>
            <w:vAlign w:val="center"/>
          </w:tcPr>
          <w:p w14:paraId="4692C229" w14:textId="77777777" w:rsidR="0002655F" w:rsidRPr="005001D6" w:rsidRDefault="0002655F" w:rsidP="00173FAF">
            <w:pPr>
              <w:tabs>
                <w:tab w:val="left" w:pos="284"/>
              </w:tabs>
              <w:spacing w:after="360"/>
              <w:contextualSpacing/>
              <w:jc w:val="both"/>
              <w:rPr>
                <w:rFonts w:ascii="Arial" w:hAnsi="Arial" w:cs="Arial"/>
                <w:sz w:val="16"/>
                <w:szCs w:val="16"/>
                <w:lang w:eastAsia="en-GB"/>
              </w:rPr>
            </w:pPr>
            <w:r w:rsidRPr="005001D6">
              <w:rPr>
                <w:rFonts w:ascii="Arial" w:hAnsi="Arial" w:cs="Arial"/>
                <w:sz w:val="16"/>
                <w:szCs w:val="16"/>
                <w:lang w:eastAsia="en-GB"/>
              </w:rPr>
              <w:t>95°C - 10 min</w:t>
            </w:r>
          </w:p>
        </w:tc>
        <w:tc>
          <w:tcPr>
            <w:tcW w:w="1350" w:type="dxa"/>
            <w:vAlign w:val="center"/>
          </w:tcPr>
          <w:p w14:paraId="072F8639" w14:textId="77777777" w:rsidR="0002655F" w:rsidRPr="005001D6" w:rsidRDefault="0002655F" w:rsidP="00173FAF">
            <w:pPr>
              <w:tabs>
                <w:tab w:val="left" w:pos="74"/>
              </w:tabs>
              <w:spacing w:after="360"/>
              <w:ind w:firstLine="162"/>
              <w:contextualSpacing/>
              <w:jc w:val="both"/>
              <w:rPr>
                <w:rFonts w:ascii="Arial" w:hAnsi="Arial" w:cs="Arial"/>
                <w:sz w:val="16"/>
                <w:szCs w:val="16"/>
                <w:lang w:eastAsia="en-GB"/>
              </w:rPr>
            </w:pPr>
            <w:r w:rsidRPr="005001D6">
              <w:rPr>
                <w:rFonts w:ascii="Arial" w:hAnsi="Arial" w:cs="Arial"/>
                <w:sz w:val="16"/>
                <w:szCs w:val="16"/>
                <w:lang w:eastAsia="en-GB"/>
              </w:rPr>
              <w:t>94°C - 45 s</w:t>
            </w:r>
          </w:p>
          <w:p w14:paraId="453CFEB1" w14:textId="77777777" w:rsidR="0002655F" w:rsidRPr="005001D6" w:rsidRDefault="0002655F" w:rsidP="00173FAF">
            <w:pPr>
              <w:tabs>
                <w:tab w:val="left" w:pos="74"/>
              </w:tabs>
              <w:spacing w:after="360"/>
              <w:ind w:firstLine="162"/>
              <w:contextualSpacing/>
              <w:jc w:val="both"/>
              <w:rPr>
                <w:rFonts w:ascii="Arial" w:hAnsi="Arial" w:cs="Arial"/>
                <w:sz w:val="16"/>
                <w:szCs w:val="16"/>
                <w:lang w:eastAsia="en-GB"/>
              </w:rPr>
            </w:pPr>
            <w:r w:rsidRPr="005001D6">
              <w:rPr>
                <w:rFonts w:ascii="Arial" w:hAnsi="Arial" w:cs="Arial"/>
                <w:sz w:val="16"/>
                <w:szCs w:val="16"/>
                <w:lang w:eastAsia="en-GB"/>
              </w:rPr>
              <w:t>55°C - 45 s</w:t>
            </w:r>
          </w:p>
          <w:p w14:paraId="500398CD" w14:textId="77777777" w:rsidR="0002655F" w:rsidRPr="005001D6" w:rsidRDefault="0002655F" w:rsidP="00173FAF">
            <w:pPr>
              <w:tabs>
                <w:tab w:val="left" w:pos="74"/>
              </w:tabs>
              <w:spacing w:after="360"/>
              <w:ind w:firstLine="162"/>
              <w:contextualSpacing/>
              <w:jc w:val="both"/>
              <w:rPr>
                <w:rFonts w:ascii="Arial" w:hAnsi="Arial" w:cs="Arial"/>
                <w:sz w:val="16"/>
                <w:szCs w:val="16"/>
                <w:lang w:eastAsia="en-GB"/>
              </w:rPr>
            </w:pPr>
            <w:r w:rsidRPr="005001D6">
              <w:rPr>
                <w:rFonts w:ascii="Arial" w:hAnsi="Arial" w:cs="Arial"/>
                <w:sz w:val="16"/>
                <w:szCs w:val="16"/>
                <w:lang w:eastAsia="en-GB"/>
              </w:rPr>
              <w:t>72°C - 45 s*</w:t>
            </w:r>
          </w:p>
        </w:tc>
        <w:tc>
          <w:tcPr>
            <w:tcW w:w="1087" w:type="dxa"/>
            <w:vAlign w:val="center"/>
          </w:tcPr>
          <w:p w14:paraId="3509DBC5" w14:textId="77777777" w:rsidR="0002655F" w:rsidRPr="005001D6" w:rsidRDefault="0002655F" w:rsidP="00173FAF">
            <w:pPr>
              <w:tabs>
                <w:tab w:val="left" w:pos="284"/>
              </w:tabs>
              <w:spacing w:after="360"/>
              <w:contextualSpacing/>
              <w:jc w:val="both"/>
              <w:rPr>
                <w:rFonts w:ascii="Arial" w:hAnsi="Arial" w:cs="Arial"/>
                <w:sz w:val="16"/>
                <w:szCs w:val="16"/>
                <w:lang w:eastAsia="en-GB"/>
              </w:rPr>
            </w:pPr>
            <w:r w:rsidRPr="005001D6">
              <w:rPr>
                <w:rFonts w:ascii="Arial" w:hAnsi="Arial" w:cs="Arial"/>
                <w:sz w:val="16"/>
                <w:szCs w:val="16"/>
                <w:lang w:eastAsia="en-GB"/>
              </w:rPr>
              <w:t>40</w:t>
            </w:r>
          </w:p>
        </w:tc>
        <w:tc>
          <w:tcPr>
            <w:tcW w:w="1627" w:type="dxa"/>
            <w:vAlign w:val="center"/>
          </w:tcPr>
          <w:p w14:paraId="14A7D637" w14:textId="0099F89E" w:rsidR="0002655F" w:rsidRPr="005001D6" w:rsidRDefault="0002655F" w:rsidP="00173FAF">
            <w:pPr>
              <w:jc w:val="both"/>
              <w:rPr>
                <w:rFonts w:ascii="Arial" w:hAnsi="Arial" w:cs="Arial"/>
                <w:sz w:val="16"/>
                <w:szCs w:val="16"/>
                <w:lang w:eastAsia="en-GB"/>
              </w:rPr>
            </w:pPr>
            <w:r w:rsidRPr="005001D6">
              <w:rPr>
                <w:rFonts w:ascii="Arial" w:hAnsi="Arial" w:cs="Arial"/>
                <w:sz w:val="16"/>
                <w:szCs w:val="16"/>
                <w:lang w:eastAsia="en-GB"/>
              </w:rPr>
              <w:fldChar w:fldCharType="begin" w:fldLock="1"/>
            </w:r>
            <w:r w:rsidRPr="005001D6">
              <w:rPr>
                <w:rFonts w:ascii="Arial" w:hAnsi="Arial" w:cs="Arial"/>
                <w:sz w:val="16"/>
                <w:szCs w:val="16"/>
                <w:lang w:eastAsia="en-GB"/>
              </w:rPr>
              <w:instrText>ADDIN CSL_CITATION {"citationItems":[{"id":"ITEM-1","itemData":{"DOI":"10.1038/nature04983","ISSN":"14764687","PMID":"16915287","abstract":"Ammonia oxidation is the first step in nitrification, a key process in the global nitrogen cycle that results in the formation of nitrate through microbial activity. The increase in nitrate availability in soils is important for plant nutrition, but it also has considerable impact on groundwater pollution owing to leaching. Here we show that archaeal ammonia oxidizers are more abundant in soils than their well-known bacterial counterparts. We investigated the abundance of the gene encoding a subunit of the key enzyme ammonia monooxygenase (amoA) in 12 pristine and agricultural soils of three climatic zones. amoA gene copies of Crenarchaeota (Archaea) were up to 3,000-fold more abundant than bacterial amoA genes. High amounts of crenarchaeota-specific lipids, including crenarchaeol, correlated with the abundance of archaeal amoA gene copies. Furthermore, reverse transcription quantitative PCR studies and complementary DNA analysis using novel cloning-independent pyrosequencing technology demonstrated the activity of the archaea in situ and supported the numerical dominance of archaeal over bacterial ammonia oxidizers. Our results indicate that crenarchaeota may be the most abundant ammonia-oxidizing organisms in soil ecosystems on Earth. © 2006 Nature Publishing Group.","author":[{"dropping-particle":"","family":"Leininger","given":"S.","non-dropping-particle":"","parse-names":false,"suffix":""},{"dropping-particle":"","family":"Urich","given":"T.","non-dropping-particle":"","parse-names":false,"suffix":""},{"dropping-particle":"","family":"Schloter","given":"M.","non-dropping-particle":"","parse-names":false,"suffix":""},{"dropping-particle":"","family":"Schwark","given":"L.","non-dropping-particle":"","parse-names":false,"suffix":""},{"dropping-particle":"","family":"Qi","given":"J.","non-dropping-particle":"","parse-names":false,"suffix":""},{"dropping-particle":"","family":"Nicol","given":"G. W.","non-dropping-particle":"","parse-names":false,"suffix":""},{"dropping-particle":"","family":"Prosser","given":"J. I.","non-dropping-particle":"","parse-names":false,"suffix":""},{"dropping-particle":"","family":"Schuster","given":"S. C.","non-dropping-particle":"","parse-names":false,"suffix":""},{"dropping-particle":"","family":"Schleper","given":"C.","non-dropping-particle":"","parse-names":false,"suffix":""}],"container-title":"Nature","id":"ITEM-1","issue":"7104","issued":{"date-parts":[["2006"]]},"page":"806-809","title":"Archaea predominate among ammonia-oxidizing prokaryotes in soils","type":"article-journal","volume":"442"},"uris":["http://www.mendeley.com/documents/?uuid=b1b89cc1-ebfd-45fd-84b2-a5b697ef96f0"]}],"mendeley":{"formattedCitation":"(Leininger &lt;i&gt;et al.&lt;/i&gt; 2006)","plainTextFormattedCitation":"(Leininger et al. 2006)","previouslyFormattedCitation":"(Leininger &lt;i&gt;et al.&lt;/i&gt; 2006)"},"properties":{"noteIndex":0},"schema":"https://github.com/citation-style-language/schema/raw/master/csl-citation.json"}</w:instrText>
            </w:r>
            <w:r w:rsidRPr="005001D6">
              <w:rPr>
                <w:rFonts w:ascii="Arial" w:hAnsi="Arial" w:cs="Arial"/>
                <w:sz w:val="16"/>
                <w:szCs w:val="16"/>
                <w:lang w:eastAsia="en-GB"/>
              </w:rPr>
              <w:fldChar w:fldCharType="separate"/>
            </w:r>
            <w:r w:rsidRPr="005001D6">
              <w:rPr>
                <w:rFonts w:ascii="Arial" w:hAnsi="Arial" w:cs="Arial"/>
                <w:noProof/>
                <w:sz w:val="16"/>
                <w:szCs w:val="16"/>
                <w:lang w:eastAsia="en-GB"/>
              </w:rPr>
              <w:t xml:space="preserve">(Leininger </w:t>
            </w:r>
            <w:r w:rsidRPr="005001D6">
              <w:rPr>
                <w:rFonts w:ascii="Arial" w:hAnsi="Arial" w:cs="Arial"/>
                <w:i/>
                <w:noProof/>
                <w:sz w:val="16"/>
                <w:szCs w:val="16"/>
                <w:lang w:eastAsia="en-GB"/>
              </w:rPr>
              <w:t>et al.</w:t>
            </w:r>
            <w:r w:rsidRPr="005001D6">
              <w:rPr>
                <w:rFonts w:ascii="Arial" w:hAnsi="Arial" w:cs="Arial"/>
                <w:noProof/>
                <w:sz w:val="16"/>
                <w:szCs w:val="16"/>
                <w:lang w:eastAsia="en-GB"/>
              </w:rPr>
              <w:t xml:space="preserve"> 2006)</w:t>
            </w:r>
            <w:r w:rsidRPr="005001D6">
              <w:rPr>
                <w:rFonts w:ascii="Arial" w:hAnsi="Arial" w:cs="Arial"/>
                <w:sz w:val="16"/>
                <w:szCs w:val="16"/>
                <w:lang w:eastAsia="en-GB"/>
              </w:rPr>
              <w:fldChar w:fldCharType="end"/>
            </w:r>
          </w:p>
        </w:tc>
      </w:tr>
      <w:tr w:rsidR="005001D6" w:rsidRPr="005001D6" w14:paraId="3EF59102" w14:textId="77777777" w:rsidTr="00ED60AF">
        <w:trPr>
          <w:trHeight w:val="372"/>
        </w:trPr>
        <w:tc>
          <w:tcPr>
            <w:tcW w:w="919" w:type="dxa"/>
            <w:vMerge w:val="restart"/>
            <w:vAlign w:val="center"/>
          </w:tcPr>
          <w:p w14:paraId="581CAEFC" w14:textId="77777777" w:rsidR="0002655F" w:rsidRPr="005001D6" w:rsidRDefault="0002655F" w:rsidP="00173FAF">
            <w:pPr>
              <w:tabs>
                <w:tab w:val="left" w:pos="284"/>
              </w:tabs>
              <w:spacing w:after="360"/>
              <w:contextualSpacing/>
              <w:jc w:val="both"/>
              <w:rPr>
                <w:rFonts w:ascii="Arial" w:hAnsi="Arial" w:cs="Arial"/>
                <w:i/>
                <w:sz w:val="16"/>
                <w:szCs w:val="16"/>
                <w:lang w:eastAsia="en-GB"/>
              </w:rPr>
            </w:pPr>
            <w:proofErr w:type="spellStart"/>
            <w:r w:rsidRPr="005001D6">
              <w:rPr>
                <w:rFonts w:ascii="Arial" w:hAnsi="Arial" w:cs="Arial"/>
                <w:i/>
                <w:sz w:val="16"/>
                <w:szCs w:val="16"/>
                <w:lang w:eastAsia="en-GB"/>
              </w:rPr>
              <w:t>nirK</w:t>
            </w:r>
            <w:proofErr w:type="spellEnd"/>
          </w:p>
        </w:tc>
        <w:tc>
          <w:tcPr>
            <w:tcW w:w="1708" w:type="dxa"/>
            <w:vMerge w:val="restart"/>
            <w:vAlign w:val="center"/>
          </w:tcPr>
          <w:p w14:paraId="5F71E644" w14:textId="77777777" w:rsidR="0002655F" w:rsidRPr="005001D6" w:rsidRDefault="0002655F" w:rsidP="00173FAF">
            <w:pPr>
              <w:tabs>
                <w:tab w:val="left" w:pos="284"/>
              </w:tabs>
              <w:spacing w:after="360"/>
              <w:contextualSpacing/>
              <w:jc w:val="both"/>
              <w:rPr>
                <w:rFonts w:ascii="Arial" w:hAnsi="Arial" w:cs="Arial"/>
                <w:sz w:val="16"/>
                <w:szCs w:val="16"/>
                <w:lang w:eastAsia="en-GB"/>
              </w:rPr>
            </w:pPr>
            <w:proofErr w:type="spellStart"/>
            <w:r w:rsidRPr="005001D6">
              <w:rPr>
                <w:rFonts w:ascii="Arial" w:hAnsi="Arial" w:cs="Arial"/>
                <w:sz w:val="16"/>
                <w:szCs w:val="16"/>
                <w:lang w:eastAsia="en-GB"/>
              </w:rPr>
              <w:t>nirK</w:t>
            </w:r>
            <w:proofErr w:type="spellEnd"/>
            <w:r w:rsidRPr="005001D6">
              <w:rPr>
                <w:rFonts w:ascii="Arial" w:hAnsi="Arial" w:cs="Arial"/>
                <w:sz w:val="16"/>
                <w:szCs w:val="16"/>
                <w:lang w:eastAsia="en-GB"/>
              </w:rPr>
              <w:t xml:space="preserve"> 876</w:t>
            </w:r>
          </w:p>
          <w:p w14:paraId="2F9BAE0C" w14:textId="77777777" w:rsidR="0002655F" w:rsidRPr="005001D6" w:rsidRDefault="0002655F" w:rsidP="00173FAF">
            <w:pPr>
              <w:tabs>
                <w:tab w:val="left" w:pos="284"/>
              </w:tabs>
              <w:spacing w:after="360"/>
              <w:contextualSpacing/>
              <w:jc w:val="both"/>
              <w:rPr>
                <w:rFonts w:ascii="Arial" w:hAnsi="Arial" w:cs="Arial"/>
                <w:sz w:val="16"/>
                <w:szCs w:val="16"/>
                <w:lang w:eastAsia="en-GB"/>
              </w:rPr>
            </w:pPr>
            <w:proofErr w:type="spellStart"/>
            <w:r w:rsidRPr="005001D6">
              <w:rPr>
                <w:rFonts w:ascii="Arial" w:hAnsi="Arial" w:cs="Arial"/>
                <w:sz w:val="16"/>
                <w:szCs w:val="16"/>
                <w:lang w:eastAsia="en-GB"/>
              </w:rPr>
              <w:t>nirK</w:t>
            </w:r>
            <w:proofErr w:type="spellEnd"/>
            <w:r w:rsidRPr="005001D6">
              <w:rPr>
                <w:rFonts w:ascii="Arial" w:hAnsi="Arial" w:cs="Arial"/>
                <w:sz w:val="16"/>
                <w:szCs w:val="16"/>
                <w:lang w:eastAsia="en-GB"/>
              </w:rPr>
              <w:t xml:space="preserve"> 5R</w:t>
            </w:r>
          </w:p>
        </w:tc>
        <w:tc>
          <w:tcPr>
            <w:tcW w:w="1146" w:type="dxa"/>
            <w:vMerge w:val="restart"/>
            <w:vAlign w:val="center"/>
          </w:tcPr>
          <w:p w14:paraId="0270D90E" w14:textId="77777777" w:rsidR="0002655F" w:rsidRPr="005001D6" w:rsidRDefault="0002655F" w:rsidP="00173FAF">
            <w:pPr>
              <w:tabs>
                <w:tab w:val="left" w:pos="284"/>
              </w:tabs>
              <w:spacing w:after="360"/>
              <w:contextualSpacing/>
              <w:jc w:val="both"/>
              <w:rPr>
                <w:rFonts w:ascii="Arial" w:hAnsi="Arial" w:cs="Arial"/>
                <w:sz w:val="16"/>
                <w:szCs w:val="16"/>
                <w:lang w:eastAsia="en-GB"/>
              </w:rPr>
            </w:pPr>
            <w:r w:rsidRPr="005001D6">
              <w:rPr>
                <w:rFonts w:ascii="Arial" w:hAnsi="Arial" w:cs="Arial"/>
                <w:sz w:val="16"/>
                <w:szCs w:val="16"/>
                <w:lang w:eastAsia="en-GB"/>
              </w:rPr>
              <w:t>164</w:t>
            </w:r>
          </w:p>
        </w:tc>
        <w:tc>
          <w:tcPr>
            <w:tcW w:w="1189" w:type="dxa"/>
            <w:vMerge w:val="restart"/>
            <w:vAlign w:val="center"/>
          </w:tcPr>
          <w:p w14:paraId="3E43A7A2" w14:textId="77777777" w:rsidR="0002655F" w:rsidRPr="005001D6" w:rsidRDefault="0002655F" w:rsidP="00173FAF">
            <w:pPr>
              <w:tabs>
                <w:tab w:val="left" w:pos="284"/>
              </w:tabs>
              <w:spacing w:after="360"/>
              <w:contextualSpacing/>
              <w:jc w:val="both"/>
              <w:rPr>
                <w:rFonts w:ascii="Arial" w:hAnsi="Arial" w:cs="Arial"/>
                <w:sz w:val="16"/>
                <w:szCs w:val="16"/>
                <w:lang w:eastAsia="en-GB"/>
              </w:rPr>
            </w:pPr>
            <w:r w:rsidRPr="005001D6">
              <w:rPr>
                <w:rFonts w:ascii="Arial" w:hAnsi="Arial" w:cs="Arial"/>
                <w:sz w:val="16"/>
                <w:szCs w:val="16"/>
                <w:lang w:eastAsia="en-GB"/>
              </w:rPr>
              <w:t>95°C - 10 min</w:t>
            </w:r>
          </w:p>
        </w:tc>
        <w:tc>
          <w:tcPr>
            <w:tcW w:w="1350" w:type="dxa"/>
            <w:vAlign w:val="center"/>
          </w:tcPr>
          <w:p w14:paraId="4482B883" w14:textId="77777777" w:rsidR="0002655F" w:rsidRPr="005001D6" w:rsidRDefault="0002655F" w:rsidP="00173FAF">
            <w:pPr>
              <w:tabs>
                <w:tab w:val="left" w:pos="74"/>
              </w:tabs>
              <w:spacing w:after="360"/>
              <w:ind w:firstLine="162"/>
              <w:contextualSpacing/>
              <w:jc w:val="both"/>
              <w:rPr>
                <w:rFonts w:ascii="Arial" w:hAnsi="Arial" w:cs="Arial"/>
                <w:sz w:val="16"/>
                <w:szCs w:val="16"/>
                <w:lang w:eastAsia="en-GB"/>
              </w:rPr>
            </w:pPr>
            <w:r w:rsidRPr="005001D6">
              <w:rPr>
                <w:rFonts w:ascii="Arial" w:hAnsi="Arial" w:cs="Arial"/>
                <w:sz w:val="16"/>
                <w:szCs w:val="16"/>
                <w:lang w:eastAsia="en-GB"/>
              </w:rPr>
              <w:t>95°C - 15 s</w:t>
            </w:r>
          </w:p>
          <w:p w14:paraId="65ED4F15" w14:textId="77777777" w:rsidR="0002655F" w:rsidRPr="005001D6" w:rsidRDefault="0002655F" w:rsidP="00173FAF">
            <w:pPr>
              <w:tabs>
                <w:tab w:val="left" w:pos="74"/>
              </w:tabs>
              <w:spacing w:after="360"/>
              <w:ind w:firstLine="162"/>
              <w:contextualSpacing/>
              <w:jc w:val="both"/>
              <w:rPr>
                <w:rFonts w:ascii="Arial" w:hAnsi="Arial" w:cs="Arial"/>
                <w:sz w:val="16"/>
                <w:szCs w:val="16"/>
                <w:lang w:eastAsia="en-GB"/>
              </w:rPr>
            </w:pPr>
            <w:r w:rsidRPr="005001D6">
              <w:rPr>
                <w:rFonts w:ascii="Arial" w:hAnsi="Arial" w:cs="Arial"/>
                <w:sz w:val="16"/>
                <w:szCs w:val="16"/>
                <w:lang w:eastAsia="en-GB"/>
              </w:rPr>
              <w:t>63°C - 30 s†</w:t>
            </w:r>
          </w:p>
          <w:p w14:paraId="5BFFBC22" w14:textId="77777777" w:rsidR="0002655F" w:rsidRPr="005001D6" w:rsidRDefault="0002655F" w:rsidP="00173FAF">
            <w:pPr>
              <w:tabs>
                <w:tab w:val="left" w:pos="74"/>
              </w:tabs>
              <w:spacing w:after="360"/>
              <w:ind w:firstLine="162"/>
              <w:contextualSpacing/>
              <w:jc w:val="both"/>
              <w:rPr>
                <w:rFonts w:ascii="Arial" w:hAnsi="Arial" w:cs="Arial"/>
                <w:sz w:val="16"/>
                <w:szCs w:val="16"/>
                <w:lang w:eastAsia="en-GB"/>
              </w:rPr>
            </w:pPr>
            <w:r w:rsidRPr="005001D6">
              <w:rPr>
                <w:rFonts w:ascii="Arial" w:hAnsi="Arial" w:cs="Arial"/>
                <w:sz w:val="16"/>
                <w:szCs w:val="16"/>
                <w:lang w:eastAsia="en-GB"/>
              </w:rPr>
              <w:t>72°C - 30 s</w:t>
            </w:r>
          </w:p>
        </w:tc>
        <w:tc>
          <w:tcPr>
            <w:tcW w:w="1087" w:type="dxa"/>
            <w:vAlign w:val="center"/>
          </w:tcPr>
          <w:p w14:paraId="7CE14694" w14:textId="77777777" w:rsidR="0002655F" w:rsidRPr="005001D6" w:rsidRDefault="0002655F" w:rsidP="00173FAF">
            <w:pPr>
              <w:tabs>
                <w:tab w:val="left" w:pos="284"/>
              </w:tabs>
              <w:spacing w:after="360"/>
              <w:contextualSpacing/>
              <w:jc w:val="both"/>
              <w:rPr>
                <w:rFonts w:ascii="Arial" w:hAnsi="Arial" w:cs="Arial"/>
                <w:sz w:val="16"/>
                <w:szCs w:val="16"/>
                <w:lang w:eastAsia="en-GB"/>
              </w:rPr>
            </w:pPr>
            <w:r w:rsidRPr="005001D6">
              <w:rPr>
                <w:rFonts w:ascii="Arial" w:hAnsi="Arial" w:cs="Arial"/>
                <w:sz w:val="16"/>
                <w:szCs w:val="16"/>
                <w:lang w:eastAsia="en-GB"/>
              </w:rPr>
              <w:t>5</w:t>
            </w:r>
          </w:p>
        </w:tc>
        <w:tc>
          <w:tcPr>
            <w:tcW w:w="1627" w:type="dxa"/>
            <w:vMerge w:val="restart"/>
            <w:vAlign w:val="center"/>
          </w:tcPr>
          <w:p w14:paraId="47F5E240" w14:textId="4FA4C03F" w:rsidR="0002655F" w:rsidRPr="005001D6" w:rsidRDefault="0002655F" w:rsidP="00173FAF">
            <w:pPr>
              <w:jc w:val="both"/>
              <w:rPr>
                <w:rFonts w:ascii="Arial" w:hAnsi="Arial" w:cs="Arial"/>
                <w:sz w:val="16"/>
                <w:szCs w:val="16"/>
              </w:rPr>
            </w:pPr>
            <w:r w:rsidRPr="005001D6">
              <w:rPr>
                <w:rFonts w:ascii="Arial" w:hAnsi="Arial" w:cs="Arial"/>
                <w:sz w:val="16"/>
                <w:szCs w:val="16"/>
              </w:rPr>
              <w:fldChar w:fldCharType="begin" w:fldLock="1"/>
            </w:r>
            <w:r w:rsidR="00490798" w:rsidRPr="005001D6">
              <w:rPr>
                <w:rFonts w:ascii="Arial" w:hAnsi="Arial" w:cs="Arial"/>
                <w:sz w:val="16"/>
                <w:szCs w:val="16"/>
              </w:rPr>
              <w:instrText>ADDIN CSL_CITATION {"citationItems":[{"id":"ITEM-1","itemData":{"DOI":"10.1016/j.mimet.2004.07.002","ISSN":"01677012","PMID":"15488276","abstract":"Denitrification, the reduction of nitrate to nitrous oxide or dinitrogen, is the major biological mechanism by which fixed nitrogen returns to the atmosphere from soil and water. Microorganisms capable of denitrification are widely distributed in the environment but little is known about their abundance since quantification is performed using fastidious and time-consuming MPN-based approaches. We used real-time PCR to quantify the denitrifying nitrite reductase gene (nirK), a key enzyme of the denitrifying pathway catalyzing the reduction of soluble nitrogen oxide to gaseous form. The real-time PCR assay was linear over 7 orders of magnitude and sensitive down to 102 copies by assay. Real-time PCR analysis of different soil samples showed nirK densities of 9.7×104 to 3.9×106 copies per gram of soil. Soil real-time PCR products were cloned and sequenced. Analysis of 56 clone sequences revealed that all cloned real-time PCR products exhibited high similarities to previously described nirK. However, phylogenetic analysis showed that most of environmental sequences are not related to nirK from cultivated denitrifiers. © 2004 Elsevier B.V. All rights reserved.","author":[{"dropping-particle":"","family":"Henry","given":"Sonia","non-dropping-particle":"","parse-names":false,"suffix":""},{"dropping-particle":"","family":"Baudoin","given":"Ezékiel","non-dropping-particle":"","parse-names":false,"suffix":""},{"dropping-particle":"","family":"López-Gutiérrez","given":"Juan C.","non-dropping-particle":"","parse-names":false,"suffix":""},{"dropping-particle":"","family":"Martin-Laurent","given":"Fabrice","non-dropping-particle":"","parse-names":false,"suffix":""},{"dropping-particle":"","family":"Brauman","given":"Alain","non-dropping-particle":"","parse-names":false,"suffix":""},{"dropping-particle":"","family":"Philippot","given":"Laurent","non-dropping-particle":"","parse-names":false,"suffix":""}],"container-title":"Journal of Microbiological Methods","id":"ITEM-1","issue":"3","issued":{"date-parts":[["2004"]]},"page":"327-335","title":"Quantification of denitrifying bacteria in soils by nirK gene targeted real-time PCR","type":"article-journal","volume":"59"},"uris":["http://www.mendeley.com/documents/?uuid=d4d19bc2-bebc-48cc-a971-79de4c66cbfc"]},{"id":"ITEM-2","itemData":{"DOI":"10.1128/aem.64.10.3769-3775.1998","ISSN":"00992240","PMID":"9758798","abstract":"A system was developed for the detection of denitrifying bacteria by the amplification of specific nitrite reductase gene fragments with PCR. Primer sequences were found for the amplification of fragments from both nitrite reductase genes (nirK and nirS) after comparative sequence analysis. Whenever amplification was tried with these primers, the known nir type of denitrifying laboratory cultures could be confirmed. Likewise, the method allowed a determination of the nir type of five laboratory strains. The nirK gene could be amplified from Blastobacter denitrificans, Alcaligenes xylosoxidans, and Alcaligenes sp. (DSM 30128); the nirS gene was amplified from Alcaligenes eutrophus DSM 530 and from the denitrifying isolate IFAM 3698. For each of the two genes, at least one primer combination amplified successfully for all of the test strains. Specific amplification products were not obtained with nondenitrifying bacteria or with strains of the other nir type. The specificity of the amplified products was confirmed by subsequent sequencing. These results suggest the suitability of the method for the qualitative detection of denitrifying bacteria in environmental samples. This was shown by applying one generally amplifying primer combination for each nir gene developed in this study to total DNA preparations from aquatic habitats.","author":[{"dropping-particle":"","family":"Braker","given":"Gesche","non-dropping-particle":"","parse-names":false,"suffix":""},{"dropping-particle":"","family":"Fesefeldt","given":"Andreas","non-dropping-particle":"","parse-names":false,"suffix":""},{"dropping-particle":"","family":"Witzel","given":"Karl Paul","non-dropping-particle":"","parse-names":false,"suffix":""}],"container-title":"Applied and Environmental Microbiology","id":"ITEM-2","issue":"10","issued":{"date-parts":[["1998"]]},"page":"3769-3775","title":"Development of PCR primer systems for amplification of nitrite reductase genes (nirK and nirS) to detect denitrifying bacteria in environmental samples","type":"article-journal","volume":"64"},"uris":["http://www.mendeley.com/documents/?uuid=602bf88b-6a44-4f16-9059-9fde04b2108c"]}],"mendeley":{"formattedCitation":"(Braker &lt;i&gt;et al.&lt;/i&gt; 1998; Henry &lt;i&gt;et al.&lt;/i&gt; 2004)","plainTextFormattedCitation":"(Braker et al. 1998; Henry et al. 2004)","previouslyFormattedCitation":"(Braker &lt;i&gt;et al.&lt;/i&gt; 1998; Henry &lt;i&gt;et al.&lt;/i&gt; 2004)"},"properties":{"noteIndex":0},"schema":"https://github.com/citation-style-language/schema/raw/master/csl-citation.json"}</w:instrText>
            </w:r>
            <w:r w:rsidRPr="005001D6">
              <w:rPr>
                <w:rFonts w:ascii="Arial" w:hAnsi="Arial" w:cs="Arial"/>
                <w:sz w:val="16"/>
                <w:szCs w:val="16"/>
              </w:rPr>
              <w:fldChar w:fldCharType="separate"/>
            </w:r>
            <w:r w:rsidRPr="005001D6">
              <w:rPr>
                <w:rFonts w:ascii="Arial" w:hAnsi="Arial" w:cs="Arial"/>
                <w:noProof/>
                <w:sz w:val="16"/>
                <w:szCs w:val="16"/>
              </w:rPr>
              <w:t xml:space="preserve">(Braker </w:t>
            </w:r>
            <w:r w:rsidRPr="005001D6">
              <w:rPr>
                <w:rFonts w:ascii="Arial" w:hAnsi="Arial" w:cs="Arial"/>
                <w:i/>
                <w:noProof/>
                <w:sz w:val="16"/>
                <w:szCs w:val="16"/>
              </w:rPr>
              <w:t>et al.</w:t>
            </w:r>
            <w:r w:rsidRPr="005001D6">
              <w:rPr>
                <w:rFonts w:ascii="Arial" w:hAnsi="Arial" w:cs="Arial"/>
                <w:noProof/>
                <w:sz w:val="16"/>
                <w:szCs w:val="16"/>
              </w:rPr>
              <w:t xml:space="preserve"> 1998; Henry </w:t>
            </w:r>
            <w:r w:rsidRPr="005001D6">
              <w:rPr>
                <w:rFonts w:ascii="Arial" w:hAnsi="Arial" w:cs="Arial"/>
                <w:i/>
                <w:noProof/>
                <w:sz w:val="16"/>
                <w:szCs w:val="16"/>
              </w:rPr>
              <w:t>et al.</w:t>
            </w:r>
            <w:r w:rsidRPr="005001D6">
              <w:rPr>
                <w:rFonts w:ascii="Arial" w:hAnsi="Arial" w:cs="Arial"/>
                <w:noProof/>
                <w:sz w:val="16"/>
                <w:szCs w:val="16"/>
              </w:rPr>
              <w:t xml:space="preserve"> 2004)</w:t>
            </w:r>
            <w:r w:rsidRPr="005001D6">
              <w:rPr>
                <w:rFonts w:ascii="Arial" w:hAnsi="Arial" w:cs="Arial"/>
                <w:sz w:val="16"/>
                <w:szCs w:val="16"/>
              </w:rPr>
              <w:fldChar w:fldCharType="end"/>
            </w:r>
          </w:p>
        </w:tc>
      </w:tr>
      <w:tr w:rsidR="005001D6" w:rsidRPr="005001D6" w14:paraId="68817B1F" w14:textId="77777777" w:rsidTr="00ED60AF">
        <w:trPr>
          <w:trHeight w:val="372"/>
        </w:trPr>
        <w:tc>
          <w:tcPr>
            <w:tcW w:w="919" w:type="dxa"/>
            <w:vMerge/>
            <w:vAlign w:val="center"/>
          </w:tcPr>
          <w:p w14:paraId="6DC8D8CF" w14:textId="77777777" w:rsidR="0002655F" w:rsidRPr="005001D6" w:rsidRDefault="0002655F" w:rsidP="00173FAF">
            <w:pPr>
              <w:tabs>
                <w:tab w:val="left" w:pos="284"/>
              </w:tabs>
              <w:spacing w:after="360"/>
              <w:contextualSpacing/>
              <w:jc w:val="both"/>
              <w:rPr>
                <w:rFonts w:ascii="Arial" w:hAnsi="Arial" w:cs="Arial"/>
                <w:i/>
                <w:sz w:val="16"/>
                <w:szCs w:val="16"/>
                <w:lang w:eastAsia="en-GB"/>
              </w:rPr>
            </w:pPr>
          </w:p>
        </w:tc>
        <w:tc>
          <w:tcPr>
            <w:tcW w:w="1708" w:type="dxa"/>
            <w:vMerge/>
            <w:vAlign w:val="center"/>
          </w:tcPr>
          <w:p w14:paraId="4D326A4B" w14:textId="77777777" w:rsidR="0002655F" w:rsidRPr="005001D6" w:rsidRDefault="0002655F" w:rsidP="00173FAF">
            <w:pPr>
              <w:tabs>
                <w:tab w:val="left" w:pos="284"/>
              </w:tabs>
              <w:spacing w:after="360"/>
              <w:contextualSpacing/>
              <w:jc w:val="both"/>
              <w:rPr>
                <w:rFonts w:ascii="Arial" w:hAnsi="Arial" w:cs="Arial"/>
                <w:sz w:val="16"/>
                <w:szCs w:val="16"/>
                <w:lang w:eastAsia="en-GB"/>
              </w:rPr>
            </w:pPr>
          </w:p>
        </w:tc>
        <w:tc>
          <w:tcPr>
            <w:tcW w:w="1146" w:type="dxa"/>
            <w:vMerge/>
            <w:vAlign w:val="center"/>
          </w:tcPr>
          <w:p w14:paraId="2224AB12" w14:textId="77777777" w:rsidR="0002655F" w:rsidRPr="005001D6" w:rsidRDefault="0002655F" w:rsidP="00173FAF">
            <w:pPr>
              <w:tabs>
                <w:tab w:val="left" w:pos="284"/>
              </w:tabs>
              <w:spacing w:after="360"/>
              <w:contextualSpacing/>
              <w:jc w:val="both"/>
              <w:rPr>
                <w:rFonts w:ascii="Arial" w:hAnsi="Arial" w:cs="Arial"/>
                <w:sz w:val="16"/>
                <w:szCs w:val="16"/>
                <w:lang w:eastAsia="en-GB"/>
              </w:rPr>
            </w:pPr>
          </w:p>
        </w:tc>
        <w:tc>
          <w:tcPr>
            <w:tcW w:w="1189" w:type="dxa"/>
            <w:vMerge/>
            <w:vAlign w:val="center"/>
          </w:tcPr>
          <w:p w14:paraId="73C3939F" w14:textId="77777777" w:rsidR="0002655F" w:rsidRPr="005001D6" w:rsidRDefault="0002655F" w:rsidP="00173FAF">
            <w:pPr>
              <w:tabs>
                <w:tab w:val="left" w:pos="284"/>
              </w:tabs>
              <w:spacing w:after="360"/>
              <w:contextualSpacing/>
              <w:jc w:val="both"/>
              <w:rPr>
                <w:rFonts w:ascii="Arial" w:hAnsi="Arial" w:cs="Arial"/>
                <w:sz w:val="16"/>
                <w:szCs w:val="16"/>
                <w:lang w:eastAsia="en-GB"/>
              </w:rPr>
            </w:pPr>
          </w:p>
        </w:tc>
        <w:tc>
          <w:tcPr>
            <w:tcW w:w="1350" w:type="dxa"/>
            <w:vAlign w:val="center"/>
          </w:tcPr>
          <w:p w14:paraId="310342E8" w14:textId="77777777" w:rsidR="0002655F" w:rsidRPr="005001D6" w:rsidRDefault="0002655F" w:rsidP="00173FAF">
            <w:pPr>
              <w:tabs>
                <w:tab w:val="left" w:pos="74"/>
              </w:tabs>
              <w:spacing w:after="360"/>
              <w:ind w:firstLine="162"/>
              <w:contextualSpacing/>
              <w:jc w:val="both"/>
              <w:rPr>
                <w:rFonts w:ascii="Arial" w:hAnsi="Arial" w:cs="Arial"/>
                <w:sz w:val="16"/>
                <w:szCs w:val="16"/>
                <w:lang w:eastAsia="en-GB"/>
              </w:rPr>
            </w:pPr>
            <w:r w:rsidRPr="005001D6">
              <w:rPr>
                <w:rFonts w:ascii="Arial" w:hAnsi="Arial" w:cs="Arial"/>
                <w:sz w:val="16"/>
                <w:szCs w:val="16"/>
                <w:lang w:eastAsia="en-GB"/>
              </w:rPr>
              <w:t>95°C - 15 s</w:t>
            </w:r>
          </w:p>
          <w:p w14:paraId="652A99C4" w14:textId="77777777" w:rsidR="0002655F" w:rsidRPr="005001D6" w:rsidRDefault="0002655F" w:rsidP="00173FAF">
            <w:pPr>
              <w:tabs>
                <w:tab w:val="left" w:pos="74"/>
              </w:tabs>
              <w:spacing w:after="360"/>
              <w:ind w:firstLine="162"/>
              <w:contextualSpacing/>
              <w:jc w:val="both"/>
              <w:rPr>
                <w:rFonts w:ascii="Arial" w:hAnsi="Arial" w:cs="Arial"/>
                <w:sz w:val="16"/>
                <w:szCs w:val="16"/>
                <w:lang w:eastAsia="en-GB"/>
              </w:rPr>
            </w:pPr>
            <w:r w:rsidRPr="005001D6">
              <w:rPr>
                <w:rFonts w:ascii="Arial" w:hAnsi="Arial" w:cs="Arial"/>
                <w:sz w:val="16"/>
                <w:szCs w:val="16"/>
                <w:lang w:eastAsia="en-GB"/>
              </w:rPr>
              <w:t>58°C - 30 s</w:t>
            </w:r>
          </w:p>
          <w:p w14:paraId="2E59EC17" w14:textId="77777777" w:rsidR="0002655F" w:rsidRPr="005001D6" w:rsidRDefault="0002655F" w:rsidP="00173FAF">
            <w:pPr>
              <w:tabs>
                <w:tab w:val="left" w:pos="74"/>
              </w:tabs>
              <w:spacing w:after="360"/>
              <w:ind w:firstLine="162"/>
              <w:contextualSpacing/>
              <w:jc w:val="both"/>
              <w:rPr>
                <w:rFonts w:ascii="Arial" w:hAnsi="Arial" w:cs="Arial"/>
                <w:sz w:val="16"/>
                <w:szCs w:val="16"/>
                <w:lang w:eastAsia="en-GB"/>
              </w:rPr>
            </w:pPr>
            <w:r w:rsidRPr="005001D6">
              <w:rPr>
                <w:rFonts w:ascii="Arial" w:hAnsi="Arial" w:cs="Arial"/>
                <w:sz w:val="16"/>
                <w:szCs w:val="16"/>
                <w:lang w:eastAsia="en-GB"/>
              </w:rPr>
              <w:t>72°C - 30 s*</w:t>
            </w:r>
          </w:p>
        </w:tc>
        <w:tc>
          <w:tcPr>
            <w:tcW w:w="1087" w:type="dxa"/>
            <w:vAlign w:val="center"/>
          </w:tcPr>
          <w:p w14:paraId="4AC2F9CF" w14:textId="77777777" w:rsidR="0002655F" w:rsidRPr="005001D6" w:rsidRDefault="0002655F" w:rsidP="00173FAF">
            <w:pPr>
              <w:tabs>
                <w:tab w:val="left" w:pos="284"/>
              </w:tabs>
              <w:spacing w:after="360"/>
              <w:contextualSpacing/>
              <w:jc w:val="both"/>
              <w:rPr>
                <w:rFonts w:ascii="Arial" w:hAnsi="Arial" w:cs="Arial"/>
                <w:sz w:val="16"/>
                <w:szCs w:val="16"/>
                <w:lang w:eastAsia="en-GB"/>
              </w:rPr>
            </w:pPr>
            <w:r w:rsidRPr="005001D6">
              <w:rPr>
                <w:rFonts w:ascii="Arial" w:hAnsi="Arial" w:cs="Arial"/>
                <w:sz w:val="16"/>
                <w:szCs w:val="16"/>
                <w:lang w:eastAsia="en-GB"/>
              </w:rPr>
              <w:t>40</w:t>
            </w:r>
          </w:p>
        </w:tc>
        <w:tc>
          <w:tcPr>
            <w:tcW w:w="1627" w:type="dxa"/>
            <w:vMerge/>
            <w:vAlign w:val="center"/>
          </w:tcPr>
          <w:p w14:paraId="34F650AB" w14:textId="77777777" w:rsidR="0002655F" w:rsidRPr="005001D6" w:rsidRDefault="0002655F" w:rsidP="00173FAF">
            <w:pPr>
              <w:tabs>
                <w:tab w:val="left" w:pos="284"/>
              </w:tabs>
              <w:spacing w:after="360"/>
              <w:contextualSpacing/>
              <w:jc w:val="both"/>
              <w:rPr>
                <w:rFonts w:ascii="Arial" w:hAnsi="Arial" w:cs="Arial"/>
                <w:sz w:val="16"/>
                <w:szCs w:val="16"/>
                <w:lang w:eastAsia="en-GB"/>
              </w:rPr>
            </w:pPr>
          </w:p>
        </w:tc>
      </w:tr>
      <w:tr w:rsidR="0002655F" w:rsidRPr="005001D6" w14:paraId="78B1AB8C" w14:textId="77777777" w:rsidTr="00ED60AF">
        <w:trPr>
          <w:trHeight w:val="741"/>
        </w:trPr>
        <w:tc>
          <w:tcPr>
            <w:tcW w:w="919" w:type="dxa"/>
            <w:vAlign w:val="center"/>
          </w:tcPr>
          <w:p w14:paraId="4A5D4DA5" w14:textId="77777777" w:rsidR="0002655F" w:rsidRPr="005001D6" w:rsidRDefault="0002655F" w:rsidP="00173FAF">
            <w:pPr>
              <w:tabs>
                <w:tab w:val="left" w:pos="284"/>
              </w:tabs>
              <w:spacing w:after="360"/>
              <w:contextualSpacing/>
              <w:jc w:val="both"/>
              <w:rPr>
                <w:rFonts w:ascii="Arial" w:hAnsi="Arial" w:cs="Arial"/>
                <w:i/>
                <w:sz w:val="16"/>
                <w:szCs w:val="16"/>
                <w:lang w:eastAsia="en-GB"/>
              </w:rPr>
            </w:pPr>
            <w:proofErr w:type="spellStart"/>
            <w:r w:rsidRPr="005001D6">
              <w:rPr>
                <w:rFonts w:ascii="Arial" w:hAnsi="Arial" w:cs="Arial"/>
                <w:i/>
                <w:sz w:val="16"/>
                <w:szCs w:val="16"/>
                <w:lang w:eastAsia="en-GB"/>
              </w:rPr>
              <w:t>nirS</w:t>
            </w:r>
            <w:proofErr w:type="spellEnd"/>
          </w:p>
        </w:tc>
        <w:tc>
          <w:tcPr>
            <w:tcW w:w="1708" w:type="dxa"/>
            <w:vAlign w:val="center"/>
          </w:tcPr>
          <w:p w14:paraId="787896AB" w14:textId="77777777" w:rsidR="0002655F" w:rsidRPr="005001D6" w:rsidRDefault="0002655F" w:rsidP="00173FAF">
            <w:pPr>
              <w:tabs>
                <w:tab w:val="left" w:pos="284"/>
              </w:tabs>
              <w:spacing w:after="360"/>
              <w:contextualSpacing/>
              <w:jc w:val="both"/>
              <w:rPr>
                <w:rFonts w:ascii="Arial" w:hAnsi="Arial" w:cs="Arial"/>
                <w:sz w:val="16"/>
                <w:szCs w:val="16"/>
                <w:lang w:eastAsia="en-GB"/>
              </w:rPr>
            </w:pPr>
            <w:proofErr w:type="spellStart"/>
            <w:r w:rsidRPr="005001D6">
              <w:rPr>
                <w:rFonts w:ascii="Arial" w:hAnsi="Arial" w:cs="Arial"/>
                <w:sz w:val="16"/>
                <w:szCs w:val="16"/>
                <w:lang w:eastAsia="en-GB"/>
              </w:rPr>
              <w:t>nirS</w:t>
            </w:r>
            <w:proofErr w:type="spellEnd"/>
            <w:r w:rsidRPr="005001D6">
              <w:rPr>
                <w:rFonts w:ascii="Arial" w:hAnsi="Arial" w:cs="Arial"/>
                <w:sz w:val="16"/>
                <w:szCs w:val="16"/>
                <w:lang w:eastAsia="en-GB"/>
              </w:rPr>
              <w:t xml:space="preserve"> cd3af</w:t>
            </w:r>
          </w:p>
          <w:p w14:paraId="45391542" w14:textId="77777777" w:rsidR="0002655F" w:rsidRPr="005001D6" w:rsidRDefault="0002655F" w:rsidP="00173FAF">
            <w:pPr>
              <w:tabs>
                <w:tab w:val="left" w:pos="284"/>
              </w:tabs>
              <w:spacing w:after="360"/>
              <w:contextualSpacing/>
              <w:jc w:val="both"/>
              <w:rPr>
                <w:rFonts w:ascii="Arial" w:hAnsi="Arial" w:cs="Arial"/>
                <w:sz w:val="16"/>
                <w:szCs w:val="16"/>
                <w:lang w:eastAsia="en-GB"/>
              </w:rPr>
            </w:pPr>
            <w:proofErr w:type="spellStart"/>
            <w:r w:rsidRPr="005001D6">
              <w:rPr>
                <w:rFonts w:ascii="Arial" w:hAnsi="Arial" w:cs="Arial"/>
                <w:sz w:val="16"/>
                <w:szCs w:val="16"/>
                <w:lang w:eastAsia="en-GB"/>
              </w:rPr>
              <w:t>nirS</w:t>
            </w:r>
            <w:proofErr w:type="spellEnd"/>
            <w:r w:rsidRPr="005001D6">
              <w:rPr>
                <w:rFonts w:ascii="Arial" w:hAnsi="Arial" w:cs="Arial"/>
                <w:sz w:val="16"/>
                <w:szCs w:val="16"/>
                <w:lang w:eastAsia="en-GB"/>
              </w:rPr>
              <w:t xml:space="preserve"> R3cd</w:t>
            </w:r>
          </w:p>
        </w:tc>
        <w:tc>
          <w:tcPr>
            <w:tcW w:w="1146" w:type="dxa"/>
            <w:vAlign w:val="center"/>
          </w:tcPr>
          <w:p w14:paraId="39F157A0" w14:textId="77777777" w:rsidR="0002655F" w:rsidRPr="005001D6" w:rsidRDefault="0002655F" w:rsidP="00173FAF">
            <w:pPr>
              <w:tabs>
                <w:tab w:val="left" w:pos="284"/>
              </w:tabs>
              <w:spacing w:after="360"/>
              <w:contextualSpacing/>
              <w:jc w:val="both"/>
              <w:rPr>
                <w:rFonts w:ascii="Arial" w:hAnsi="Arial" w:cs="Arial"/>
                <w:sz w:val="16"/>
                <w:szCs w:val="16"/>
                <w:lang w:eastAsia="en-GB"/>
              </w:rPr>
            </w:pPr>
            <w:r w:rsidRPr="005001D6">
              <w:rPr>
                <w:rFonts w:ascii="Arial" w:hAnsi="Arial" w:cs="Arial"/>
                <w:sz w:val="16"/>
                <w:szCs w:val="16"/>
                <w:lang w:eastAsia="en-GB"/>
              </w:rPr>
              <w:t>4413</w:t>
            </w:r>
          </w:p>
        </w:tc>
        <w:tc>
          <w:tcPr>
            <w:tcW w:w="1189" w:type="dxa"/>
            <w:vAlign w:val="center"/>
          </w:tcPr>
          <w:p w14:paraId="7ABB5602" w14:textId="77777777" w:rsidR="0002655F" w:rsidRPr="005001D6" w:rsidRDefault="0002655F" w:rsidP="00173FAF">
            <w:pPr>
              <w:tabs>
                <w:tab w:val="left" w:pos="284"/>
              </w:tabs>
              <w:spacing w:after="360"/>
              <w:contextualSpacing/>
              <w:jc w:val="both"/>
              <w:rPr>
                <w:rFonts w:ascii="Arial" w:hAnsi="Arial" w:cs="Arial"/>
                <w:sz w:val="16"/>
                <w:szCs w:val="16"/>
                <w:lang w:eastAsia="en-GB"/>
              </w:rPr>
            </w:pPr>
            <w:r w:rsidRPr="005001D6">
              <w:rPr>
                <w:rFonts w:ascii="Arial" w:hAnsi="Arial" w:cs="Arial"/>
                <w:sz w:val="16"/>
                <w:szCs w:val="16"/>
                <w:lang w:eastAsia="en-GB"/>
              </w:rPr>
              <w:t>95°C - 10 min</w:t>
            </w:r>
          </w:p>
        </w:tc>
        <w:tc>
          <w:tcPr>
            <w:tcW w:w="1350" w:type="dxa"/>
            <w:vAlign w:val="center"/>
          </w:tcPr>
          <w:p w14:paraId="7FDF9677" w14:textId="77777777" w:rsidR="0002655F" w:rsidRPr="005001D6" w:rsidRDefault="0002655F" w:rsidP="00173FAF">
            <w:pPr>
              <w:tabs>
                <w:tab w:val="left" w:pos="74"/>
              </w:tabs>
              <w:spacing w:after="360"/>
              <w:ind w:firstLine="162"/>
              <w:contextualSpacing/>
              <w:jc w:val="both"/>
              <w:rPr>
                <w:rFonts w:ascii="Arial" w:hAnsi="Arial" w:cs="Arial"/>
                <w:sz w:val="16"/>
                <w:szCs w:val="16"/>
                <w:lang w:eastAsia="en-GB"/>
              </w:rPr>
            </w:pPr>
            <w:r w:rsidRPr="005001D6">
              <w:rPr>
                <w:rFonts w:ascii="Arial" w:hAnsi="Arial" w:cs="Arial"/>
                <w:sz w:val="16"/>
                <w:szCs w:val="16"/>
                <w:lang w:eastAsia="en-GB"/>
              </w:rPr>
              <w:t>94°C - 45 s</w:t>
            </w:r>
          </w:p>
          <w:p w14:paraId="3F9C4A4B" w14:textId="77777777" w:rsidR="0002655F" w:rsidRPr="005001D6" w:rsidRDefault="0002655F" w:rsidP="00173FAF">
            <w:pPr>
              <w:tabs>
                <w:tab w:val="left" w:pos="74"/>
              </w:tabs>
              <w:spacing w:after="360"/>
              <w:ind w:firstLine="162"/>
              <w:contextualSpacing/>
              <w:jc w:val="both"/>
              <w:rPr>
                <w:rFonts w:ascii="Arial" w:hAnsi="Arial" w:cs="Arial"/>
                <w:sz w:val="16"/>
                <w:szCs w:val="16"/>
                <w:lang w:eastAsia="en-GB"/>
              </w:rPr>
            </w:pPr>
            <w:r w:rsidRPr="005001D6">
              <w:rPr>
                <w:rFonts w:ascii="Arial" w:hAnsi="Arial" w:cs="Arial"/>
                <w:sz w:val="16"/>
                <w:szCs w:val="16"/>
                <w:lang w:eastAsia="en-GB"/>
              </w:rPr>
              <w:t>57°C - 45 s</w:t>
            </w:r>
          </w:p>
          <w:p w14:paraId="69DAEAD9" w14:textId="77777777" w:rsidR="0002655F" w:rsidRPr="005001D6" w:rsidRDefault="0002655F" w:rsidP="00173FAF">
            <w:pPr>
              <w:tabs>
                <w:tab w:val="left" w:pos="74"/>
              </w:tabs>
              <w:spacing w:after="360"/>
              <w:ind w:firstLine="162"/>
              <w:contextualSpacing/>
              <w:jc w:val="both"/>
              <w:rPr>
                <w:rFonts w:ascii="Arial" w:hAnsi="Arial" w:cs="Arial"/>
                <w:sz w:val="16"/>
                <w:szCs w:val="16"/>
                <w:lang w:eastAsia="en-GB"/>
              </w:rPr>
            </w:pPr>
            <w:r w:rsidRPr="005001D6">
              <w:rPr>
                <w:rFonts w:ascii="Arial" w:hAnsi="Arial" w:cs="Arial"/>
                <w:sz w:val="16"/>
                <w:szCs w:val="16"/>
                <w:lang w:eastAsia="en-GB"/>
              </w:rPr>
              <w:t>72°C - 45 s*</w:t>
            </w:r>
          </w:p>
        </w:tc>
        <w:tc>
          <w:tcPr>
            <w:tcW w:w="1087" w:type="dxa"/>
            <w:vAlign w:val="center"/>
          </w:tcPr>
          <w:p w14:paraId="0E706B3D" w14:textId="77777777" w:rsidR="0002655F" w:rsidRPr="005001D6" w:rsidRDefault="0002655F" w:rsidP="00173FAF">
            <w:pPr>
              <w:tabs>
                <w:tab w:val="left" w:pos="284"/>
              </w:tabs>
              <w:spacing w:after="360"/>
              <w:contextualSpacing/>
              <w:jc w:val="both"/>
              <w:rPr>
                <w:rFonts w:ascii="Arial" w:hAnsi="Arial" w:cs="Arial"/>
                <w:sz w:val="16"/>
                <w:szCs w:val="16"/>
                <w:lang w:eastAsia="en-GB"/>
              </w:rPr>
            </w:pPr>
            <w:r w:rsidRPr="005001D6">
              <w:rPr>
                <w:rFonts w:ascii="Arial" w:hAnsi="Arial" w:cs="Arial"/>
                <w:sz w:val="16"/>
                <w:szCs w:val="16"/>
                <w:lang w:eastAsia="en-GB"/>
              </w:rPr>
              <w:t>40</w:t>
            </w:r>
          </w:p>
        </w:tc>
        <w:tc>
          <w:tcPr>
            <w:tcW w:w="1627" w:type="dxa"/>
            <w:vAlign w:val="center"/>
          </w:tcPr>
          <w:p w14:paraId="5C8BC281" w14:textId="1139591C" w:rsidR="0002655F" w:rsidRPr="005001D6" w:rsidRDefault="0002655F" w:rsidP="00173FAF">
            <w:pPr>
              <w:jc w:val="both"/>
              <w:rPr>
                <w:rFonts w:ascii="Arial" w:hAnsi="Arial" w:cs="Arial"/>
                <w:sz w:val="16"/>
                <w:szCs w:val="16"/>
              </w:rPr>
            </w:pPr>
            <w:r w:rsidRPr="005001D6">
              <w:rPr>
                <w:rFonts w:ascii="Arial" w:hAnsi="Arial" w:cs="Arial"/>
                <w:sz w:val="16"/>
                <w:szCs w:val="16"/>
              </w:rPr>
              <w:fldChar w:fldCharType="begin" w:fldLock="1"/>
            </w:r>
            <w:r w:rsidRPr="005001D6">
              <w:rPr>
                <w:rFonts w:ascii="Arial" w:hAnsi="Arial" w:cs="Arial"/>
                <w:sz w:val="16"/>
                <w:szCs w:val="16"/>
              </w:rPr>
              <w:instrText>ADDIN CSL_CITATION {"citationItems":[{"id":"ITEM-1","itemData":{"DOI":"10.1128/AEM.66.4.1564-1571.2000","ISSN":"00992240","PMID":"10742243","abstract":"Two PCR primer sets were developed for the detection and quantification of cytochrome cd1-denitrifying bacteria in environmental marine samples. The specificity and sensitivity of these primers were tested. Both primer sets were suitable for detection, but only one set, cd3F-cd4R, was suitable for the quantification and enumeration of the functional community using most- probable-number PCR and competitive PCR techniques. Quantification of cytochrome cd1 denitrifiers taken from marine sediment and water samples was achieved using two different molecular techniques which target the nirS gene, and the results were compared to those obtained by using the classical cultivation method. Enumerations using both molecular techniques yielded similar results in seawater and sediment samples. However, both molecular techniques showed 1,000 or 10 times more cytochrome cd1 denitrifiers in the sediment or water samples, respectively, than were found by use of the conventional cultivation method for counting.","author":[{"dropping-particle":"","family":"Michotey","given":"Valérie","non-dropping-particle":"","parse-names":false,"suffix":""},{"dropping-particle":"","family":"Méjean","given":"Vincent","non-dropping-particle":"","parse-names":false,"suffix":""},{"dropping-particle":"","family":"Bonin","given":"Patricia","non-dropping-particle":"","parse-names":false,"suffix":""}],"container-title":"Applied and Environmental Microbiology","id":"ITEM-1","issue":"4","issued":{"date-parts":[["2000"]]},"page":"1564-1571","title":"Comparison of methods for quantification of cytochrome cd1-denitrifying bacteria in environmental marine samples","type":"article-journal","volume":"66"},"uris":["http://www.mendeley.com/documents/?uuid=018fec12-3d3f-4847-a4f8-df36abe4a9a0"]},{"id":"ITEM-2","itemData":{"DOI":"10.1016/j.femsec.2004.04.011","ISSN":"01686496","PMID":"19712290","abstract":"We re-evaluated PCR primers targeting nirS, nirK and nosZ genes for denaturing gradient gel electrophoresis as a tool to survey denitrifying community composition in environmental samples. New primers for both nirS and nosZ were combined with existing primers, while for nirK the previously published F1aCu:R3Cu set was chosen for denaturing electrophoresis. All three sets yielded amplicons smaller than 500 bp and amplified the correct fragment in all environmental samples. The denaturing gradient gel electrophoresis worked satisfactorily for nirK and nosZ, but not for nirS. This was probably due to the multiple melting domains in this particular nirS fragment. From the excised and sequenced bands, only sequences related to the target genes were detected and tree analysis showed that the selected primers acted as broad range primers for each of the three genes. By use of the new nirS primers it was demonstrated that agricultural soil harbours a substantial diversity of nirS denitrifiers. © 2004 Published by Elsevier B.V. on behalf of the Federation of European Microbiological Societies.","author":[{"dropping-particle":"","family":"Throbäck","given":"Ingela Noredal","non-dropping-particle":"","parse-names":false,"suffix":""},{"dropping-particle":"","family":"Enwall","given":"Karin","non-dropping-particle":"","parse-names":false,"suffix":""},{"dropping-particle":"","family":"Jarvis","given":"Åsa","non-dropping-particle":"","parse-names":false,"suffix":""},{"dropping-particle":"","family":"Hallin","given":"Sara","non-dropping-particle":"","parse-names":false,"suffix":""}],"container-title":"FEMS Microbiology Ecology","id":"ITEM-2","issue":"3","issued":{"date-parts":[["2004"]]},"page":"401-417","title":"Reassessing PCR primers targeting nirS, nirK and nosZ genes for community surveys of denitrifying bacteria with DGGE","type":"article-journal","volume":"49"},"uris":["http://www.mendeley.com/documents/?uuid=ea79390b-2c5c-4fbe-9f51-f2afb118afb9"]}],"mendeley":{"formattedCitation":"(Michotey &lt;i&gt;et al.&lt;/i&gt; 2000; Throbäck &lt;i&gt;et al.&lt;/i&gt; 2004)","plainTextFormattedCitation":"(Michotey et al. 2000; Throbäck et al. 2004)","previouslyFormattedCitation":"(Michotey &lt;i&gt;et al.&lt;/i&gt; 2000; Throbäck &lt;i&gt;et al.&lt;/i&gt; 2004)"},"properties":{"noteIndex":0},"schema":"https://github.com/citation-style-language/schema/raw/master/csl-citation.json"}</w:instrText>
            </w:r>
            <w:r w:rsidRPr="005001D6">
              <w:rPr>
                <w:rFonts w:ascii="Arial" w:hAnsi="Arial" w:cs="Arial"/>
                <w:sz w:val="16"/>
                <w:szCs w:val="16"/>
              </w:rPr>
              <w:fldChar w:fldCharType="separate"/>
            </w:r>
            <w:r w:rsidRPr="005001D6">
              <w:rPr>
                <w:rFonts w:ascii="Arial" w:hAnsi="Arial" w:cs="Arial"/>
                <w:noProof/>
                <w:sz w:val="16"/>
                <w:szCs w:val="16"/>
              </w:rPr>
              <w:t xml:space="preserve">(Michotey </w:t>
            </w:r>
            <w:r w:rsidRPr="005001D6">
              <w:rPr>
                <w:rFonts w:ascii="Arial" w:hAnsi="Arial" w:cs="Arial"/>
                <w:i/>
                <w:noProof/>
                <w:sz w:val="16"/>
                <w:szCs w:val="16"/>
              </w:rPr>
              <w:t>et al.</w:t>
            </w:r>
            <w:r w:rsidRPr="005001D6">
              <w:rPr>
                <w:rFonts w:ascii="Arial" w:hAnsi="Arial" w:cs="Arial"/>
                <w:noProof/>
                <w:sz w:val="16"/>
                <w:szCs w:val="16"/>
              </w:rPr>
              <w:t xml:space="preserve"> 2000; Throbäck </w:t>
            </w:r>
            <w:r w:rsidRPr="005001D6">
              <w:rPr>
                <w:rFonts w:ascii="Arial" w:hAnsi="Arial" w:cs="Arial"/>
                <w:i/>
                <w:noProof/>
                <w:sz w:val="16"/>
                <w:szCs w:val="16"/>
              </w:rPr>
              <w:t>et al.</w:t>
            </w:r>
            <w:r w:rsidRPr="005001D6">
              <w:rPr>
                <w:rFonts w:ascii="Arial" w:hAnsi="Arial" w:cs="Arial"/>
                <w:noProof/>
                <w:sz w:val="16"/>
                <w:szCs w:val="16"/>
              </w:rPr>
              <w:t xml:space="preserve"> 2004)</w:t>
            </w:r>
            <w:r w:rsidRPr="005001D6">
              <w:rPr>
                <w:rFonts w:ascii="Arial" w:hAnsi="Arial" w:cs="Arial"/>
                <w:sz w:val="16"/>
                <w:szCs w:val="16"/>
              </w:rPr>
              <w:fldChar w:fldCharType="end"/>
            </w:r>
          </w:p>
        </w:tc>
      </w:tr>
    </w:tbl>
    <w:p w14:paraId="102EB083" w14:textId="77777777" w:rsidR="002A5BD8" w:rsidRPr="005001D6" w:rsidRDefault="002A5BD8" w:rsidP="00173FAF">
      <w:pPr>
        <w:spacing w:after="0" w:line="480" w:lineRule="auto"/>
        <w:jc w:val="both"/>
        <w:rPr>
          <w:b/>
          <w:bCs/>
        </w:rPr>
      </w:pPr>
    </w:p>
    <w:sectPr w:rsidR="002A5BD8" w:rsidRPr="005001D6" w:rsidSect="00985166">
      <w:pgSz w:w="11906" w:h="16838"/>
      <w:pgMar w:top="1440" w:right="1440" w:bottom="1440" w:left="1440" w:header="708" w:footer="708" w:gutter="0"/>
      <w:lnNumType w:countBy="1" w:restart="continuou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altName w:val="Arial"/>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F7A63DB"/>
    <w:multiLevelType w:val="hybridMultilevel"/>
    <w:tmpl w:val="1DBE5428"/>
    <w:lvl w:ilvl="0" w:tplc="6C8A687E">
      <w:start w:val="1"/>
      <w:numFmt w:val="decimal"/>
      <w:lvlText w:val="%1."/>
      <w:lvlJc w:val="left"/>
      <w:pPr>
        <w:ind w:left="720" w:hanging="360"/>
      </w:pPr>
      <w:rPr>
        <w:rFonts w:hint="default"/>
        <w:sz w:val="1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ES" w:vendorID="64" w:dllVersion="131078" w:nlCheck="1" w:checkStyle="0"/>
  <w:activeWritingStyle w:appName="MSWord" w:lang="en-GB" w:vendorID="64" w:dllVersion="131078" w:nlCheck="1" w:checkStyle="1"/>
  <w:activeWritingStyle w:appName="MSWord" w:lang="en-US" w:vendorID="64" w:dllVersion="131078" w:nlCheck="1" w:checkStyle="1"/>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3C44"/>
    <w:rsid w:val="00002066"/>
    <w:rsid w:val="00014CF3"/>
    <w:rsid w:val="0002655F"/>
    <w:rsid w:val="00032BF1"/>
    <w:rsid w:val="00035344"/>
    <w:rsid w:val="00036FE7"/>
    <w:rsid w:val="000372E8"/>
    <w:rsid w:val="000438F2"/>
    <w:rsid w:val="00047D8D"/>
    <w:rsid w:val="00052A72"/>
    <w:rsid w:val="00067EA7"/>
    <w:rsid w:val="00071BE5"/>
    <w:rsid w:val="0007301B"/>
    <w:rsid w:val="000752A6"/>
    <w:rsid w:val="00083EEF"/>
    <w:rsid w:val="00090CE3"/>
    <w:rsid w:val="000942AF"/>
    <w:rsid w:val="00094B5B"/>
    <w:rsid w:val="0009651B"/>
    <w:rsid w:val="000A41B1"/>
    <w:rsid w:val="000B261A"/>
    <w:rsid w:val="000C1761"/>
    <w:rsid w:val="000C5D1F"/>
    <w:rsid w:val="000C7D4E"/>
    <w:rsid w:val="000D3737"/>
    <w:rsid w:val="000D6B90"/>
    <w:rsid w:val="000E3A61"/>
    <w:rsid w:val="000F2AF8"/>
    <w:rsid w:val="00101136"/>
    <w:rsid w:val="00103DB6"/>
    <w:rsid w:val="00120C95"/>
    <w:rsid w:val="0012233B"/>
    <w:rsid w:val="001235DC"/>
    <w:rsid w:val="0012794B"/>
    <w:rsid w:val="0015002A"/>
    <w:rsid w:val="001621D7"/>
    <w:rsid w:val="00173FAF"/>
    <w:rsid w:val="00175303"/>
    <w:rsid w:val="001834FC"/>
    <w:rsid w:val="001A0CFD"/>
    <w:rsid w:val="001A3688"/>
    <w:rsid w:val="001A5959"/>
    <w:rsid w:val="001C4A7B"/>
    <w:rsid w:val="001D02DE"/>
    <w:rsid w:val="001E5429"/>
    <w:rsid w:val="001F38FD"/>
    <w:rsid w:val="001F3F25"/>
    <w:rsid w:val="0020367E"/>
    <w:rsid w:val="00212D5B"/>
    <w:rsid w:val="00213F73"/>
    <w:rsid w:val="002148CB"/>
    <w:rsid w:val="00222AD6"/>
    <w:rsid w:val="00225631"/>
    <w:rsid w:val="00240245"/>
    <w:rsid w:val="002404D2"/>
    <w:rsid w:val="00244F8D"/>
    <w:rsid w:val="0025112D"/>
    <w:rsid w:val="00251661"/>
    <w:rsid w:val="0026280F"/>
    <w:rsid w:val="00270E35"/>
    <w:rsid w:val="00287A08"/>
    <w:rsid w:val="002A5BD8"/>
    <w:rsid w:val="002B40FE"/>
    <w:rsid w:val="002C2B07"/>
    <w:rsid w:val="002D0D0C"/>
    <w:rsid w:val="002D560E"/>
    <w:rsid w:val="002D6BF3"/>
    <w:rsid w:val="002D7393"/>
    <w:rsid w:val="002E740F"/>
    <w:rsid w:val="002F1496"/>
    <w:rsid w:val="002F1A5A"/>
    <w:rsid w:val="002F257D"/>
    <w:rsid w:val="00306DFF"/>
    <w:rsid w:val="00307DB9"/>
    <w:rsid w:val="00314ABD"/>
    <w:rsid w:val="0032280B"/>
    <w:rsid w:val="00326A9E"/>
    <w:rsid w:val="00334020"/>
    <w:rsid w:val="0033746C"/>
    <w:rsid w:val="00340EE9"/>
    <w:rsid w:val="00341F79"/>
    <w:rsid w:val="00343AE8"/>
    <w:rsid w:val="003527EC"/>
    <w:rsid w:val="00355C0F"/>
    <w:rsid w:val="003576FD"/>
    <w:rsid w:val="003617D5"/>
    <w:rsid w:val="00361CE6"/>
    <w:rsid w:val="0038052B"/>
    <w:rsid w:val="00380BA0"/>
    <w:rsid w:val="00382611"/>
    <w:rsid w:val="003828E6"/>
    <w:rsid w:val="00387967"/>
    <w:rsid w:val="00392E6B"/>
    <w:rsid w:val="00395C51"/>
    <w:rsid w:val="003B5335"/>
    <w:rsid w:val="003C25D2"/>
    <w:rsid w:val="003C3859"/>
    <w:rsid w:val="003D5ABD"/>
    <w:rsid w:val="003D7B2B"/>
    <w:rsid w:val="003E0667"/>
    <w:rsid w:val="003E69C9"/>
    <w:rsid w:val="00402820"/>
    <w:rsid w:val="0040480A"/>
    <w:rsid w:val="00405EBE"/>
    <w:rsid w:val="00410ABA"/>
    <w:rsid w:val="00412C60"/>
    <w:rsid w:val="004230DF"/>
    <w:rsid w:val="0044195B"/>
    <w:rsid w:val="004459F7"/>
    <w:rsid w:val="00451337"/>
    <w:rsid w:val="004537EF"/>
    <w:rsid w:val="0045776C"/>
    <w:rsid w:val="00465543"/>
    <w:rsid w:val="00472274"/>
    <w:rsid w:val="00473F44"/>
    <w:rsid w:val="00475B02"/>
    <w:rsid w:val="004763BD"/>
    <w:rsid w:val="00490798"/>
    <w:rsid w:val="0049363D"/>
    <w:rsid w:val="004A110E"/>
    <w:rsid w:val="004B62B9"/>
    <w:rsid w:val="005001D6"/>
    <w:rsid w:val="005047B7"/>
    <w:rsid w:val="00506BD6"/>
    <w:rsid w:val="00510434"/>
    <w:rsid w:val="00522A83"/>
    <w:rsid w:val="00532C4E"/>
    <w:rsid w:val="00543974"/>
    <w:rsid w:val="0055038F"/>
    <w:rsid w:val="0055105C"/>
    <w:rsid w:val="005550AD"/>
    <w:rsid w:val="005604E1"/>
    <w:rsid w:val="00570835"/>
    <w:rsid w:val="00572A21"/>
    <w:rsid w:val="00573331"/>
    <w:rsid w:val="0057744F"/>
    <w:rsid w:val="005800F6"/>
    <w:rsid w:val="005810E6"/>
    <w:rsid w:val="00583B54"/>
    <w:rsid w:val="005872C7"/>
    <w:rsid w:val="005972DB"/>
    <w:rsid w:val="005A69B4"/>
    <w:rsid w:val="005B1E6C"/>
    <w:rsid w:val="005C49E9"/>
    <w:rsid w:val="005D59DE"/>
    <w:rsid w:val="005D5A47"/>
    <w:rsid w:val="005E6CC5"/>
    <w:rsid w:val="00606561"/>
    <w:rsid w:val="00616B9D"/>
    <w:rsid w:val="00627DCC"/>
    <w:rsid w:val="0063242A"/>
    <w:rsid w:val="006360BD"/>
    <w:rsid w:val="00642B11"/>
    <w:rsid w:val="00644043"/>
    <w:rsid w:val="00656DC6"/>
    <w:rsid w:val="00660561"/>
    <w:rsid w:val="0066094F"/>
    <w:rsid w:val="00662F4F"/>
    <w:rsid w:val="00671F7E"/>
    <w:rsid w:val="00675574"/>
    <w:rsid w:val="0069304B"/>
    <w:rsid w:val="00693806"/>
    <w:rsid w:val="006947EA"/>
    <w:rsid w:val="006A41AB"/>
    <w:rsid w:val="006C170E"/>
    <w:rsid w:val="006C658F"/>
    <w:rsid w:val="006D09D5"/>
    <w:rsid w:val="006D6F69"/>
    <w:rsid w:val="006F0BC7"/>
    <w:rsid w:val="006F0C45"/>
    <w:rsid w:val="00703F29"/>
    <w:rsid w:val="00705A00"/>
    <w:rsid w:val="00713C44"/>
    <w:rsid w:val="00715DEE"/>
    <w:rsid w:val="00717931"/>
    <w:rsid w:val="007216E2"/>
    <w:rsid w:val="007339D5"/>
    <w:rsid w:val="007342DE"/>
    <w:rsid w:val="007360D0"/>
    <w:rsid w:val="00741CB4"/>
    <w:rsid w:val="00744513"/>
    <w:rsid w:val="00744DC6"/>
    <w:rsid w:val="00745F0F"/>
    <w:rsid w:val="0075092D"/>
    <w:rsid w:val="0075534C"/>
    <w:rsid w:val="007555D4"/>
    <w:rsid w:val="00757B9F"/>
    <w:rsid w:val="007660D2"/>
    <w:rsid w:val="0078053C"/>
    <w:rsid w:val="00782DA5"/>
    <w:rsid w:val="00786089"/>
    <w:rsid w:val="00790DB8"/>
    <w:rsid w:val="00791CE2"/>
    <w:rsid w:val="007924D4"/>
    <w:rsid w:val="00793F3E"/>
    <w:rsid w:val="0079734F"/>
    <w:rsid w:val="007A0652"/>
    <w:rsid w:val="007A0F01"/>
    <w:rsid w:val="007B051F"/>
    <w:rsid w:val="007C3FAF"/>
    <w:rsid w:val="007C67AA"/>
    <w:rsid w:val="007D1893"/>
    <w:rsid w:val="007D4ABB"/>
    <w:rsid w:val="007D57F7"/>
    <w:rsid w:val="007D5819"/>
    <w:rsid w:val="007E1756"/>
    <w:rsid w:val="007E1DB6"/>
    <w:rsid w:val="007E264B"/>
    <w:rsid w:val="007E795C"/>
    <w:rsid w:val="007F5F57"/>
    <w:rsid w:val="007F6C8B"/>
    <w:rsid w:val="00810900"/>
    <w:rsid w:val="00813057"/>
    <w:rsid w:val="0081758A"/>
    <w:rsid w:val="0082228C"/>
    <w:rsid w:val="00823C34"/>
    <w:rsid w:val="00833152"/>
    <w:rsid w:val="00833173"/>
    <w:rsid w:val="00833876"/>
    <w:rsid w:val="00833B65"/>
    <w:rsid w:val="00835CB0"/>
    <w:rsid w:val="00836EC6"/>
    <w:rsid w:val="00840D89"/>
    <w:rsid w:val="00843B20"/>
    <w:rsid w:val="00846720"/>
    <w:rsid w:val="008508C9"/>
    <w:rsid w:val="0086603E"/>
    <w:rsid w:val="00871D43"/>
    <w:rsid w:val="0087369F"/>
    <w:rsid w:val="00874512"/>
    <w:rsid w:val="00880061"/>
    <w:rsid w:val="008921A7"/>
    <w:rsid w:val="0089341B"/>
    <w:rsid w:val="00897EFA"/>
    <w:rsid w:val="008A7CDD"/>
    <w:rsid w:val="008C1D52"/>
    <w:rsid w:val="008F4D9C"/>
    <w:rsid w:val="008F60F3"/>
    <w:rsid w:val="00900128"/>
    <w:rsid w:val="00924D9F"/>
    <w:rsid w:val="00934213"/>
    <w:rsid w:val="0093743B"/>
    <w:rsid w:val="00960FDD"/>
    <w:rsid w:val="00967185"/>
    <w:rsid w:val="00981BC2"/>
    <w:rsid w:val="00983789"/>
    <w:rsid w:val="00985166"/>
    <w:rsid w:val="00996D30"/>
    <w:rsid w:val="009A358E"/>
    <w:rsid w:val="009A44B3"/>
    <w:rsid w:val="009A69FB"/>
    <w:rsid w:val="009B6D8F"/>
    <w:rsid w:val="009C0314"/>
    <w:rsid w:val="009C71AA"/>
    <w:rsid w:val="009E3F1F"/>
    <w:rsid w:val="009E4E27"/>
    <w:rsid w:val="009F4503"/>
    <w:rsid w:val="00A004FB"/>
    <w:rsid w:val="00A0156A"/>
    <w:rsid w:val="00A0635D"/>
    <w:rsid w:val="00A076FF"/>
    <w:rsid w:val="00A1474D"/>
    <w:rsid w:val="00A161BE"/>
    <w:rsid w:val="00A204E3"/>
    <w:rsid w:val="00A21E04"/>
    <w:rsid w:val="00A33A91"/>
    <w:rsid w:val="00A3401B"/>
    <w:rsid w:val="00A40FAD"/>
    <w:rsid w:val="00A451C2"/>
    <w:rsid w:val="00A54F84"/>
    <w:rsid w:val="00A550EE"/>
    <w:rsid w:val="00A55598"/>
    <w:rsid w:val="00A555EA"/>
    <w:rsid w:val="00A70AAB"/>
    <w:rsid w:val="00A7490C"/>
    <w:rsid w:val="00A7525C"/>
    <w:rsid w:val="00A762D4"/>
    <w:rsid w:val="00A77EBD"/>
    <w:rsid w:val="00A81FC4"/>
    <w:rsid w:val="00AB1658"/>
    <w:rsid w:val="00AF08A4"/>
    <w:rsid w:val="00AF5258"/>
    <w:rsid w:val="00B01D82"/>
    <w:rsid w:val="00B022D7"/>
    <w:rsid w:val="00B16257"/>
    <w:rsid w:val="00B226DD"/>
    <w:rsid w:val="00B22EC8"/>
    <w:rsid w:val="00B26C75"/>
    <w:rsid w:val="00B351AF"/>
    <w:rsid w:val="00B458BF"/>
    <w:rsid w:val="00B4774E"/>
    <w:rsid w:val="00B54825"/>
    <w:rsid w:val="00B5566F"/>
    <w:rsid w:val="00B565E5"/>
    <w:rsid w:val="00B70A56"/>
    <w:rsid w:val="00B759AB"/>
    <w:rsid w:val="00B820F8"/>
    <w:rsid w:val="00B94707"/>
    <w:rsid w:val="00B96C94"/>
    <w:rsid w:val="00BA7FA8"/>
    <w:rsid w:val="00BB7710"/>
    <w:rsid w:val="00BD5F0E"/>
    <w:rsid w:val="00BE223A"/>
    <w:rsid w:val="00BE5D93"/>
    <w:rsid w:val="00BF03E3"/>
    <w:rsid w:val="00BF4696"/>
    <w:rsid w:val="00BF68F8"/>
    <w:rsid w:val="00C03088"/>
    <w:rsid w:val="00C05019"/>
    <w:rsid w:val="00C12A08"/>
    <w:rsid w:val="00C15E19"/>
    <w:rsid w:val="00C329BE"/>
    <w:rsid w:val="00C3794E"/>
    <w:rsid w:val="00C40D16"/>
    <w:rsid w:val="00C41751"/>
    <w:rsid w:val="00C45269"/>
    <w:rsid w:val="00C4677D"/>
    <w:rsid w:val="00C50F18"/>
    <w:rsid w:val="00C52DDB"/>
    <w:rsid w:val="00C52FE4"/>
    <w:rsid w:val="00C5338D"/>
    <w:rsid w:val="00C55648"/>
    <w:rsid w:val="00C565DE"/>
    <w:rsid w:val="00C615F6"/>
    <w:rsid w:val="00C63FF8"/>
    <w:rsid w:val="00C848C6"/>
    <w:rsid w:val="00C93A16"/>
    <w:rsid w:val="00C947AB"/>
    <w:rsid w:val="00CA0C64"/>
    <w:rsid w:val="00CB3608"/>
    <w:rsid w:val="00CC1C3E"/>
    <w:rsid w:val="00CC7070"/>
    <w:rsid w:val="00CC7FC0"/>
    <w:rsid w:val="00CD1C42"/>
    <w:rsid w:val="00CD47F9"/>
    <w:rsid w:val="00CD7058"/>
    <w:rsid w:val="00CD7713"/>
    <w:rsid w:val="00CE28BD"/>
    <w:rsid w:val="00CE2B1F"/>
    <w:rsid w:val="00CE5B63"/>
    <w:rsid w:val="00CF5609"/>
    <w:rsid w:val="00D062C0"/>
    <w:rsid w:val="00D11543"/>
    <w:rsid w:val="00D21AA1"/>
    <w:rsid w:val="00D24D1F"/>
    <w:rsid w:val="00D3197A"/>
    <w:rsid w:val="00D54756"/>
    <w:rsid w:val="00D60CBB"/>
    <w:rsid w:val="00D66FB1"/>
    <w:rsid w:val="00D74565"/>
    <w:rsid w:val="00D75E11"/>
    <w:rsid w:val="00D872E1"/>
    <w:rsid w:val="00D91973"/>
    <w:rsid w:val="00D91DE0"/>
    <w:rsid w:val="00D92756"/>
    <w:rsid w:val="00DB5E7A"/>
    <w:rsid w:val="00DC2C19"/>
    <w:rsid w:val="00DD328E"/>
    <w:rsid w:val="00DD442A"/>
    <w:rsid w:val="00DE5D51"/>
    <w:rsid w:val="00DE63AF"/>
    <w:rsid w:val="00DE6F0F"/>
    <w:rsid w:val="00DF088D"/>
    <w:rsid w:val="00DF2BBA"/>
    <w:rsid w:val="00DF2FA9"/>
    <w:rsid w:val="00DF7C52"/>
    <w:rsid w:val="00E0195E"/>
    <w:rsid w:val="00E053D1"/>
    <w:rsid w:val="00E06730"/>
    <w:rsid w:val="00E075A4"/>
    <w:rsid w:val="00E076DC"/>
    <w:rsid w:val="00E2604C"/>
    <w:rsid w:val="00E31435"/>
    <w:rsid w:val="00E32C67"/>
    <w:rsid w:val="00E37537"/>
    <w:rsid w:val="00E437D5"/>
    <w:rsid w:val="00E50BCB"/>
    <w:rsid w:val="00E5319A"/>
    <w:rsid w:val="00E531FB"/>
    <w:rsid w:val="00E71257"/>
    <w:rsid w:val="00E77D5F"/>
    <w:rsid w:val="00E80E67"/>
    <w:rsid w:val="00E8546A"/>
    <w:rsid w:val="00E91C7B"/>
    <w:rsid w:val="00E9462B"/>
    <w:rsid w:val="00EB5F72"/>
    <w:rsid w:val="00EC73EE"/>
    <w:rsid w:val="00ED505F"/>
    <w:rsid w:val="00ED60AF"/>
    <w:rsid w:val="00EE3608"/>
    <w:rsid w:val="00EE5ADB"/>
    <w:rsid w:val="00EF5F7F"/>
    <w:rsid w:val="00EF6B8C"/>
    <w:rsid w:val="00EF7D25"/>
    <w:rsid w:val="00F02859"/>
    <w:rsid w:val="00F156AC"/>
    <w:rsid w:val="00F165CF"/>
    <w:rsid w:val="00F173E1"/>
    <w:rsid w:val="00F21093"/>
    <w:rsid w:val="00F23B69"/>
    <w:rsid w:val="00F3368D"/>
    <w:rsid w:val="00F33B9A"/>
    <w:rsid w:val="00F51D0B"/>
    <w:rsid w:val="00F51F4C"/>
    <w:rsid w:val="00F574F0"/>
    <w:rsid w:val="00F62397"/>
    <w:rsid w:val="00F74214"/>
    <w:rsid w:val="00F81634"/>
    <w:rsid w:val="00F8278D"/>
    <w:rsid w:val="00F9155B"/>
    <w:rsid w:val="00F929DC"/>
    <w:rsid w:val="00F9369D"/>
    <w:rsid w:val="00F9449D"/>
    <w:rsid w:val="00F97454"/>
    <w:rsid w:val="00FA13C9"/>
    <w:rsid w:val="00FA5251"/>
    <w:rsid w:val="00FA653B"/>
    <w:rsid w:val="00FB1100"/>
    <w:rsid w:val="00FB30AE"/>
    <w:rsid w:val="00FB4891"/>
    <w:rsid w:val="00FC0C49"/>
    <w:rsid w:val="00FC1E93"/>
    <w:rsid w:val="00FC2F57"/>
    <w:rsid w:val="00FC5F0A"/>
    <w:rsid w:val="00FC7C87"/>
    <w:rsid w:val="00FD2DDD"/>
    <w:rsid w:val="00FD6AB1"/>
    <w:rsid w:val="00FE4EBA"/>
    <w:rsid w:val="00FE5077"/>
    <w:rsid w:val="00FE7DC4"/>
    <w:rsid w:val="00FF0888"/>
    <w:rsid w:val="00FF14B7"/>
    <w:rsid w:val="00FF50BA"/>
    <w:rsid w:val="00FF75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9C1424"/>
  <w15:chartTrackingRefBased/>
  <w15:docId w15:val="{4B3752F5-817F-43D8-9231-8448A1ACE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E91C7B"/>
    <w:rPr>
      <w:sz w:val="16"/>
      <w:szCs w:val="16"/>
    </w:rPr>
  </w:style>
  <w:style w:type="paragraph" w:styleId="CommentText">
    <w:name w:val="annotation text"/>
    <w:basedOn w:val="Normal"/>
    <w:link w:val="CommentTextChar"/>
    <w:uiPriority w:val="99"/>
    <w:unhideWhenUsed/>
    <w:rsid w:val="00E91C7B"/>
    <w:pPr>
      <w:spacing w:line="240" w:lineRule="auto"/>
    </w:pPr>
    <w:rPr>
      <w:sz w:val="20"/>
      <w:szCs w:val="20"/>
    </w:rPr>
  </w:style>
  <w:style w:type="character" w:customStyle="1" w:styleId="CommentTextChar">
    <w:name w:val="Comment Text Char"/>
    <w:basedOn w:val="DefaultParagraphFont"/>
    <w:link w:val="CommentText"/>
    <w:uiPriority w:val="99"/>
    <w:rsid w:val="00E91C7B"/>
    <w:rPr>
      <w:sz w:val="20"/>
      <w:szCs w:val="20"/>
    </w:rPr>
  </w:style>
  <w:style w:type="paragraph" w:styleId="CommentSubject">
    <w:name w:val="annotation subject"/>
    <w:basedOn w:val="CommentText"/>
    <w:next w:val="CommentText"/>
    <w:link w:val="CommentSubjectChar"/>
    <w:uiPriority w:val="99"/>
    <w:semiHidden/>
    <w:unhideWhenUsed/>
    <w:rsid w:val="00E91C7B"/>
    <w:rPr>
      <w:b/>
      <w:bCs/>
    </w:rPr>
  </w:style>
  <w:style w:type="character" w:customStyle="1" w:styleId="CommentSubjectChar">
    <w:name w:val="Comment Subject Char"/>
    <w:basedOn w:val="CommentTextChar"/>
    <w:link w:val="CommentSubject"/>
    <w:uiPriority w:val="99"/>
    <w:semiHidden/>
    <w:rsid w:val="00E91C7B"/>
    <w:rPr>
      <w:b/>
      <w:bCs/>
      <w:sz w:val="20"/>
      <w:szCs w:val="20"/>
    </w:rPr>
  </w:style>
  <w:style w:type="paragraph" w:styleId="BalloonText">
    <w:name w:val="Balloon Text"/>
    <w:basedOn w:val="Normal"/>
    <w:link w:val="BalloonTextChar"/>
    <w:uiPriority w:val="99"/>
    <w:semiHidden/>
    <w:unhideWhenUsed/>
    <w:rsid w:val="00E91C7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1C7B"/>
    <w:rPr>
      <w:rFonts w:ascii="Segoe UI" w:hAnsi="Segoe UI" w:cs="Segoe UI"/>
      <w:sz w:val="18"/>
      <w:szCs w:val="18"/>
    </w:rPr>
  </w:style>
  <w:style w:type="character" w:styleId="Hyperlink">
    <w:name w:val="Hyperlink"/>
    <w:uiPriority w:val="99"/>
    <w:unhideWhenUsed/>
    <w:rsid w:val="00A451C2"/>
    <w:rPr>
      <w:color w:val="0000FF"/>
      <w:u w:val="single"/>
    </w:rPr>
  </w:style>
  <w:style w:type="table" w:styleId="TableGrid">
    <w:name w:val="Table Grid"/>
    <w:basedOn w:val="TableNormal"/>
    <w:rsid w:val="00A451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451C2"/>
    <w:pPr>
      <w:spacing w:after="200" w:line="276" w:lineRule="auto"/>
      <w:ind w:left="720"/>
      <w:contextualSpacing/>
    </w:pPr>
  </w:style>
  <w:style w:type="paragraph" w:styleId="NormalWeb">
    <w:name w:val="Normal (Web)"/>
    <w:basedOn w:val="Normal"/>
    <w:uiPriority w:val="99"/>
    <w:semiHidden/>
    <w:unhideWhenUsed/>
    <w:rsid w:val="00A451C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LineNumber">
    <w:name w:val="line number"/>
    <w:basedOn w:val="DefaultParagraphFont"/>
    <w:uiPriority w:val="99"/>
    <w:semiHidden/>
    <w:unhideWhenUsed/>
    <w:rsid w:val="00A451C2"/>
  </w:style>
  <w:style w:type="paragraph" w:styleId="Revision">
    <w:name w:val="Revision"/>
    <w:hidden/>
    <w:uiPriority w:val="99"/>
    <w:semiHidden/>
    <w:rsid w:val="00A451C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3640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E1FAF4-A205-46DF-9DC2-FA4440F753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28</Pages>
  <Words>27136</Words>
  <Characters>154679</Characters>
  <Application>Microsoft Office Word</Application>
  <DocSecurity>0</DocSecurity>
  <Lines>1288</Lines>
  <Paragraphs>362</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181453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Arthur Broadbent</dc:creator>
  <cp:keywords/>
  <dc:description/>
  <cp:lastModifiedBy>Arthur Broadbent</cp:lastModifiedBy>
  <cp:revision>5</cp:revision>
  <dcterms:created xsi:type="dcterms:W3CDTF">2021-10-04T11:10:00Z</dcterms:created>
  <dcterms:modified xsi:type="dcterms:W3CDTF">2021-10-04T14:03:00Z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6th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http://www.zotero.org/styles/ecology-letters</vt:lpwstr>
  </property>
  <property fmtid="{D5CDD505-2E9C-101B-9397-08002B2CF9AE}" pid="13" name="Mendeley Recent Style Name 5_1">
    <vt:lpwstr>Ecology Letters</vt:lpwstr>
  </property>
  <property fmtid="{D5CDD505-2E9C-101B-9397-08002B2CF9AE}" pid="14" name="Mendeley Recent Style Id 6_1">
    <vt:lpwstr>http://www.zotero.org/styles/global-ecology-and-biogeography</vt:lpwstr>
  </property>
  <property fmtid="{D5CDD505-2E9C-101B-9397-08002B2CF9AE}" pid="15" name="Mendeley Recent Style Name 6_1">
    <vt:lpwstr>Global Ecology and Biogeography</vt:lpwstr>
  </property>
  <property fmtid="{D5CDD505-2E9C-101B-9397-08002B2CF9AE}" pid="16" name="Mendeley Recent Style Id 7_1">
    <vt:lpwstr>http://www.zotero.org/styles/ieee</vt:lpwstr>
  </property>
  <property fmtid="{D5CDD505-2E9C-101B-9397-08002B2CF9AE}" pid="17" name="Mendeley Recent Style Name 7_1">
    <vt:lpwstr>IEEE</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http://www.zotero.org/styles/nature-climate-change</vt:lpwstr>
  </property>
  <property fmtid="{D5CDD505-2E9C-101B-9397-08002B2CF9AE}" pid="21" name="Mendeley Recent Style Name 9_1">
    <vt:lpwstr>Nature Climate Change</vt:lpwstr>
  </property>
  <property fmtid="{D5CDD505-2E9C-101B-9397-08002B2CF9AE}" pid="22" name="Mendeley Citation Style_1">
    <vt:lpwstr>http://www.zotero.org/styles/ecology-letters</vt:lpwstr>
  </property>
  <property fmtid="{D5CDD505-2E9C-101B-9397-08002B2CF9AE}" pid="23" name="Mendeley Document_1">
    <vt:lpwstr>True</vt:lpwstr>
  </property>
  <property fmtid="{D5CDD505-2E9C-101B-9397-08002B2CF9AE}" pid="24" name="Mendeley Unique User Id_1">
    <vt:lpwstr>e908af82-1f9e-3326-a9ec-4ddcb6d3a25d</vt:lpwstr>
  </property>
</Properties>
</file>