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BF235" w14:textId="77777777" w:rsidR="00F467FD" w:rsidRDefault="006D0516">
      <w:pPr>
        <w:spacing w:line="480" w:lineRule="auto"/>
        <w:jc w:val="center"/>
        <w:rPr>
          <w:rFonts w:ascii="Arial" w:hAnsi="Arial" w:cs="Arial"/>
          <w:b/>
          <w:sz w:val="28"/>
          <w:szCs w:val="28"/>
          <w:lang w:val="en-US"/>
        </w:rPr>
      </w:pPr>
      <w:r>
        <w:rPr>
          <w:rFonts w:ascii="Arial" w:hAnsi="Arial" w:cs="Arial"/>
          <w:b/>
          <w:sz w:val="28"/>
          <w:szCs w:val="28"/>
          <w:lang w:val="en-US"/>
        </w:rPr>
        <w:t>Supplementary Appendix</w:t>
      </w:r>
    </w:p>
    <w:p w14:paraId="73079EB0" w14:textId="77777777" w:rsidR="00F467FD" w:rsidRDefault="00F467FD">
      <w:pPr>
        <w:spacing w:line="480" w:lineRule="auto"/>
        <w:rPr>
          <w:rFonts w:ascii="Arial" w:hAnsi="Arial" w:cs="Arial"/>
          <w:b/>
          <w:sz w:val="28"/>
          <w:szCs w:val="28"/>
          <w:lang w:val="en-US"/>
        </w:rPr>
      </w:pPr>
    </w:p>
    <w:p w14:paraId="065FB210" w14:textId="5230699D" w:rsidR="00F467FD" w:rsidRDefault="006D0516">
      <w:pPr>
        <w:spacing w:line="480" w:lineRule="auto"/>
        <w:rPr>
          <w:rFonts w:ascii="Arial" w:hAnsi="Arial" w:cs="Arial"/>
          <w:b/>
          <w:sz w:val="20"/>
          <w:szCs w:val="20"/>
          <w:lang w:val="en-GB"/>
        </w:rPr>
      </w:pPr>
      <w:r>
        <w:rPr>
          <w:rFonts w:ascii="Arial" w:hAnsi="Arial" w:cs="Arial"/>
          <w:b/>
          <w:sz w:val="20"/>
          <w:szCs w:val="20"/>
          <w:lang w:val="en-GB"/>
        </w:rPr>
        <w:t>Association of iron deficiency with incident cardiovascular diseases and mortality in the general population.</w:t>
      </w:r>
    </w:p>
    <w:p w14:paraId="203EC77D" w14:textId="77777777" w:rsidR="00F467FD" w:rsidRDefault="00F467FD">
      <w:pPr>
        <w:spacing w:line="480" w:lineRule="auto"/>
        <w:rPr>
          <w:rFonts w:ascii="Arial" w:hAnsi="Arial" w:cs="Arial"/>
          <w:b/>
          <w:sz w:val="20"/>
          <w:szCs w:val="20"/>
          <w:lang w:val="en-GB"/>
        </w:rPr>
      </w:pPr>
    </w:p>
    <w:p w14:paraId="2377B851" w14:textId="77777777" w:rsidR="00F467FD" w:rsidRDefault="006D0516">
      <w:pPr>
        <w:spacing w:line="480" w:lineRule="auto"/>
        <w:jc w:val="both"/>
        <w:rPr>
          <w:rFonts w:ascii="Arial" w:hAnsi="Arial" w:cs="Arial"/>
          <w:b/>
          <w:sz w:val="20"/>
          <w:szCs w:val="20"/>
          <w:lang w:val="en-US"/>
        </w:rPr>
      </w:pPr>
      <w:r>
        <w:rPr>
          <w:rFonts w:ascii="Arial" w:hAnsi="Arial" w:cs="Arial"/>
          <w:b/>
          <w:sz w:val="20"/>
          <w:szCs w:val="20"/>
          <w:lang w:val="en-US"/>
        </w:rPr>
        <w:t>Overview and description of the included cohort studies.</w:t>
      </w:r>
    </w:p>
    <w:p w14:paraId="42E6ADDA" w14:textId="77777777" w:rsidR="00F467FD" w:rsidRDefault="006D0516">
      <w:pPr>
        <w:spacing w:line="480" w:lineRule="auto"/>
        <w:jc w:val="both"/>
        <w:rPr>
          <w:rFonts w:ascii="Arial" w:hAnsi="Arial" w:cs="Arial"/>
          <w:sz w:val="20"/>
          <w:szCs w:val="20"/>
        </w:rPr>
      </w:pPr>
      <w:r>
        <w:rPr>
          <w:rFonts w:ascii="Arial" w:hAnsi="Arial" w:cs="Arial"/>
          <w:b/>
          <w:sz w:val="20"/>
          <w:szCs w:val="20"/>
        </w:rPr>
        <w:t>1.</w:t>
      </w:r>
      <w:r>
        <w:rPr>
          <w:rFonts w:ascii="Arial" w:hAnsi="Arial" w:cs="Arial"/>
          <w:b/>
          <w:bCs/>
          <w:sz w:val="20"/>
          <w:szCs w:val="20"/>
        </w:rPr>
        <w:t xml:space="preserve"> Kooperative Gesundheitsforschung in der Region Augsburg (KORA)</w:t>
      </w:r>
      <w:r>
        <w:rPr>
          <w:rFonts w:ascii="Arial" w:hAnsi="Arial" w:cs="Arial"/>
          <w:sz w:val="20"/>
          <w:szCs w:val="20"/>
        </w:rPr>
        <w:t xml:space="preserve">: </w:t>
      </w:r>
    </w:p>
    <w:p w14:paraId="26A86767" w14:textId="77777777" w:rsidR="00F467FD" w:rsidRPr="00402256" w:rsidRDefault="006D0516">
      <w:pPr>
        <w:spacing w:line="480" w:lineRule="auto"/>
        <w:jc w:val="both"/>
        <w:rPr>
          <w:rFonts w:ascii="Arial" w:hAnsi="Arial" w:cs="Arial"/>
          <w:sz w:val="20"/>
          <w:szCs w:val="20"/>
          <w:lang w:val="en-US"/>
        </w:rPr>
      </w:pPr>
      <w:r>
        <w:rPr>
          <w:rFonts w:ascii="Arial" w:hAnsi="Arial" w:cs="Arial"/>
          <w:sz w:val="20"/>
          <w:szCs w:val="20"/>
          <w:lang w:val="en-US"/>
        </w:rPr>
        <w:t>The WHO Multinational Monitoring of Trends and Determinants in Cardiovascular Diseases (MONICA)/ Cooperative Health Research in the Region of Augsburg (KORA) cohorts were randomly selected from representative sample surveys from the city of Augsburg and the less urban Landkreis Augsburg and Landkreis Aichach-Friedberg regions in Bavaria, Southern Germany. List of municipalities and population registers were used as sampling frames for the first and the second stage of two-stage sampling, respectively. The second stage of sampling was stratified by sex and 10-year age group. The Survey 4 baseline examination (S4) was carried out in 1999-2001 consisting of 3,019 men and women aged 25-74 who were re-examined with repeated measurements collected,</w:t>
      </w:r>
      <w:r>
        <w:rPr>
          <w:rFonts w:ascii="Arial" w:hAnsi="Arial" w:cs="Arial"/>
          <w:b/>
          <w:bCs/>
          <w:sz w:val="20"/>
          <w:szCs w:val="20"/>
          <w:lang w:val="en-US"/>
        </w:rPr>
        <w:t xml:space="preserve"> </w:t>
      </w:r>
      <w:r>
        <w:rPr>
          <w:rFonts w:ascii="Arial" w:hAnsi="Arial" w:cs="Arial"/>
          <w:sz w:val="20"/>
          <w:szCs w:val="20"/>
          <w:lang w:val="en-US"/>
        </w:rPr>
        <w:t>in 2006-2008 (F4) with a response rate of 72</w:t>
      </w:r>
      <w:r w:rsidRPr="00402256">
        <w:rPr>
          <w:rFonts w:ascii="Arial" w:hAnsi="Arial" w:cs="Arial"/>
          <w:sz w:val="20"/>
          <w:szCs w:val="20"/>
          <w:lang w:val="en-US"/>
        </w:rPr>
        <w:t xml:space="preserve">%. </w:t>
      </w:r>
      <w:r w:rsidRPr="00402256">
        <w:rPr>
          <w:rFonts w:ascii="Arial" w:hAnsi="Arial" w:cs="Arial"/>
          <w:sz w:val="20"/>
          <w:szCs w:val="20"/>
          <w:lang w:val="en-US" w:eastAsia="en-GB"/>
        </w:rPr>
        <w:t>For the present analysis, data from the F4 study was included as baseline data, since measurements of iron status were only available for F4</w:t>
      </w:r>
      <w:r w:rsidRPr="00402256">
        <w:rPr>
          <w:rFonts w:ascii="Arial" w:hAnsi="Arial" w:cs="Arial"/>
          <w:sz w:val="20"/>
          <w:szCs w:val="20"/>
          <w:lang w:val="en-US"/>
        </w:rPr>
        <w:t>.</w:t>
      </w:r>
    </w:p>
    <w:p w14:paraId="2593A0C7" w14:textId="214691F4" w:rsidR="00F467FD" w:rsidRDefault="006D0516">
      <w:pPr>
        <w:spacing w:line="480" w:lineRule="auto"/>
        <w:jc w:val="both"/>
        <w:rPr>
          <w:rFonts w:ascii="Arial" w:hAnsi="Arial" w:cs="Arial"/>
          <w:sz w:val="20"/>
          <w:szCs w:val="20"/>
          <w:lang w:val="en-US" w:eastAsia="en-GB"/>
        </w:rPr>
      </w:pPr>
      <w:r w:rsidRPr="00402256">
        <w:rPr>
          <w:rFonts w:ascii="Arial" w:hAnsi="Arial" w:cs="Arial"/>
          <w:sz w:val="20"/>
          <w:szCs w:val="20"/>
          <w:lang w:val="en-US"/>
        </w:rPr>
        <w:t>Mortality follow-up was conducted via the German population registry until 2009. In the case of a fatal event, a copy of the death certificate was obtained. Coronary events among person living in the study area and occurring at &lt;75 years of age were identified through the MONICA/KORA Augsburg coronary event registry. Coronary deaths were validated by autopsy reports, death certificates, chart review from the last treating physician. Non-fatal coronary events occurring in persons who had moved outside the study region or were aged ≥75 years</w:t>
      </w:r>
      <w:r>
        <w:rPr>
          <w:rFonts w:ascii="Arial" w:hAnsi="Arial" w:cs="Arial"/>
          <w:sz w:val="20"/>
          <w:szCs w:val="20"/>
          <w:lang w:val="en-US"/>
        </w:rPr>
        <w:t xml:space="preserve"> as well as all non-fatal stroke events were obtained from s</w:t>
      </w:r>
      <w:r>
        <w:rPr>
          <w:rFonts w:ascii="Arial" w:hAnsi="Arial" w:cs="Arial"/>
          <w:sz w:val="20"/>
          <w:szCs w:val="20"/>
          <w:lang w:val="en-US" w:eastAsia="en-GB"/>
        </w:rPr>
        <w:t xml:space="preserve">elf-reported cases validated by medical records. Information on fatal stroke events were obtained from death certificates and medical records. </w:t>
      </w:r>
      <w:r w:rsidR="00EC58B9">
        <w:rPr>
          <w:rFonts w:ascii="Arial" w:hAnsi="Arial" w:cs="Arial"/>
          <w:color w:val="000000"/>
          <w:sz w:val="20"/>
          <w:szCs w:val="20"/>
          <w:lang w:val="en-US" w:eastAsia="en-GB"/>
        </w:rPr>
        <w:t>In total, 3056 individuals from the KORA study with available information on iron status were enrolled in this study.</w:t>
      </w:r>
    </w:p>
    <w:p w14:paraId="2B8BBB46" w14:textId="77777777" w:rsidR="00F467FD" w:rsidRDefault="007E47DD">
      <w:pPr>
        <w:spacing w:line="480" w:lineRule="auto"/>
        <w:jc w:val="both"/>
        <w:rPr>
          <w:rStyle w:val="Hyperlink"/>
          <w:rFonts w:ascii="Arial" w:hAnsi="Arial" w:cs="Arial"/>
          <w:sz w:val="20"/>
          <w:szCs w:val="20"/>
          <w:lang w:val="en-US"/>
        </w:rPr>
      </w:pPr>
      <w:hyperlink r:id="rId8" w:history="1">
        <w:r w:rsidR="006D0516">
          <w:rPr>
            <w:rStyle w:val="Hyperlink"/>
            <w:rFonts w:ascii="Arial" w:hAnsi="Arial" w:cs="Arial"/>
            <w:sz w:val="20"/>
            <w:szCs w:val="20"/>
            <w:lang w:val="en-US"/>
          </w:rPr>
          <w:t>http://www.thl.fi/publications/morgam/cohorts/full/germany/ger-auga.htm</w:t>
        </w:r>
      </w:hyperlink>
    </w:p>
    <w:p w14:paraId="2A9C4320" w14:textId="77777777" w:rsidR="00F467FD" w:rsidRDefault="00F467FD">
      <w:pPr>
        <w:spacing w:line="480" w:lineRule="auto"/>
        <w:jc w:val="both"/>
        <w:rPr>
          <w:rStyle w:val="Hyperlink"/>
          <w:rFonts w:ascii="Arial" w:hAnsi="Arial" w:cs="Arial"/>
          <w:sz w:val="20"/>
          <w:szCs w:val="20"/>
          <w:lang w:val="en-US"/>
        </w:rPr>
      </w:pPr>
    </w:p>
    <w:p w14:paraId="47C7DC2B" w14:textId="77777777" w:rsidR="00F467FD" w:rsidRDefault="006D0516">
      <w:pPr>
        <w:spacing w:line="480" w:lineRule="auto"/>
        <w:contextualSpacing/>
        <w:jc w:val="both"/>
        <w:rPr>
          <w:rFonts w:ascii="Arial" w:hAnsi="Arial" w:cs="Arial"/>
          <w:b/>
          <w:bCs/>
          <w:sz w:val="20"/>
          <w:szCs w:val="20"/>
          <w:lang w:val="en-US"/>
        </w:rPr>
      </w:pPr>
      <w:r>
        <w:rPr>
          <w:rFonts w:ascii="Arial" w:hAnsi="Arial" w:cs="Arial"/>
          <w:b/>
          <w:bCs/>
          <w:sz w:val="20"/>
          <w:szCs w:val="20"/>
          <w:lang w:val="en-US"/>
        </w:rPr>
        <w:t>2. Northern Sweden MONICA study</w:t>
      </w:r>
    </w:p>
    <w:p w14:paraId="59564AA4" w14:textId="5E636149" w:rsidR="00F467FD" w:rsidRDefault="006D0516">
      <w:pPr>
        <w:widowControl w:val="0"/>
        <w:autoSpaceDE w:val="0"/>
        <w:autoSpaceDN w:val="0"/>
        <w:adjustRightInd w:val="0"/>
        <w:spacing w:line="480" w:lineRule="auto"/>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The Northern Sweden MONICA study covered the two northernmost counties of Sweden, i.e. Norrbotten </w:t>
      </w:r>
      <w:r>
        <w:rPr>
          <w:rFonts w:ascii="Arial" w:hAnsi="Arial" w:cs="Arial"/>
          <w:color w:val="000000" w:themeColor="text1"/>
          <w:sz w:val="20"/>
          <w:szCs w:val="20"/>
          <w:lang w:val="en-US"/>
        </w:rPr>
        <w:lastRenderedPageBreak/>
        <w:t xml:space="preserve">and Västerbotten with altogether 510,000 inhabitants. Population surveys were performed in 1986, 1990, 1994, 1999, 2004 and 2009, with altogether 10,517 unique participants. On the first two occasions, 2,000 persons aged 25 to 64 years were randomly selected, and in the last three surveys, the upper age limit was extended to 74 years and 2,500 individuals were invited. A stratified randomized selection procedure by age and sex (250 persons in each sex/10-year age stratum) has been used. The participation rate was </w:t>
      </w:r>
      <w:r w:rsidRPr="00402256">
        <w:rPr>
          <w:rFonts w:ascii="Arial" w:hAnsi="Arial" w:cs="Arial"/>
          <w:color w:val="000000" w:themeColor="text1"/>
          <w:sz w:val="20"/>
          <w:szCs w:val="20"/>
          <w:lang w:val="en-US"/>
        </w:rPr>
        <w:t xml:space="preserve">69-81%. Detailed analyses of non-participants have been performed. Iron, transferrin and ferritin were measured in the 1990 survey with the aim of determining the prevalence of hemochromatosis and only this cohort was used for the present analysis. </w:t>
      </w:r>
      <w:r w:rsidR="00750216" w:rsidRPr="00402256">
        <w:rPr>
          <w:rFonts w:ascii="Arial" w:hAnsi="Arial" w:cs="Arial"/>
          <w:color w:val="000000" w:themeColor="text1"/>
          <w:sz w:val="20"/>
          <w:szCs w:val="20"/>
          <w:lang w:val="en-US"/>
        </w:rPr>
        <w:t>Furthermore, within the MONICA study, all incident fatal and non-fatal cardiovascular events (myocardial infarction and stroke) occurring in the region between 1985 and 2010 and below the age of 75 years were collected and validated according to MONICA criteria. In addition, dates and causes of deaths and hospital admissions were obtained from the Swedish mortality and Hospital discharge registers to ensure a complete</w:t>
      </w:r>
      <w:r w:rsidR="00750216" w:rsidRPr="00750216">
        <w:rPr>
          <w:rFonts w:ascii="Arial" w:hAnsi="Arial" w:cs="Arial"/>
          <w:color w:val="000000" w:themeColor="text1"/>
          <w:sz w:val="20"/>
          <w:szCs w:val="20"/>
          <w:lang w:val="en-US"/>
        </w:rPr>
        <w:t xml:space="preserve"> follow-up (75 years and older and living outside the region). Follow-up is available for all cohorts until December </w:t>
      </w:r>
      <w:r w:rsidR="00720F2C">
        <w:rPr>
          <w:rFonts w:ascii="Arial" w:hAnsi="Arial" w:cs="Arial"/>
          <w:color w:val="000000" w:themeColor="text1"/>
          <w:sz w:val="20"/>
          <w:szCs w:val="20"/>
          <w:lang w:val="en-US"/>
        </w:rPr>
        <w:t>2008</w:t>
      </w:r>
      <w:r w:rsidR="00750216" w:rsidRPr="00750216">
        <w:rPr>
          <w:rFonts w:ascii="Arial" w:hAnsi="Arial" w:cs="Arial"/>
          <w:color w:val="000000" w:themeColor="text1"/>
          <w:sz w:val="20"/>
          <w:szCs w:val="20"/>
          <w:lang w:val="en-US"/>
        </w:rPr>
        <w:t>.</w:t>
      </w:r>
      <w:r w:rsidR="00EC58B9">
        <w:rPr>
          <w:rFonts w:ascii="Arial" w:hAnsi="Arial" w:cs="Arial"/>
          <w:color w:val="000000" w:themeColor="text1"/>
          <w:sz w:val="20"/>
          <w:szCs w:val="20"/>
          <w:lang w:val="en-US"/>
        </w:rPr>
        <w:t xml:space="preserve"> </w:t>
      </w:r>
      <w:r w:rsidR="00EC58B9">
        <w:rPr>
          <w:rFonts w:ascii="Arial" w:hAnsi="Arial" w:cs="Arial"/>
          <w:color w:val="000000"/>
          <w:sz w:val="20"/>
          <w:szCs w:val="20"/>
          <w:lang w:val="en-US" w:eastAsia="en-GB"/>
        </w:rPr>
        <w:t>In total, 1480 individuals from the Northern Sweden study with available information on iron status were enrolled in this study.</w:t>
      </w:r>
    </w:p>
    <w:p w14:paraId="5E7A5A6E" w14:textId="77777777" w:rsidR="00F467FD" w:rsidRDefault="007E47DD">
      <w:pPr>
        <w:spacing w:line="480" w:lineRule="auto"/>
        <w:jc w:val="both"/>
        <w:rPr>
          <w:rStyle w:val="Hyperlink"/>
          <w:rFonts w:ascii="Arial" w:hAnsi="Arial" w:cs="Arial"/>
          <w:color w:val="000000" w:themeColor="text1"/>
          <w:sz w:val="20"/>
          <w:szCs w:val="20"/>
          <w:lang w:val="en-US"/>
        </w:rPr>
      </w:pPr>
      <w:hyperlink r:id="rId9" w:history="1">
        <w:r w:rsidR="006D0516">
          <w:rPr>
            <w:rStyle w:val="Hyperlink"/>
            <w:rFonts w:ascii="Arial" w:hAnsi="Arial" w:cs="Arial"/>
            <w:color w:val="000000" w:themeColor="text1"/>
            <w:sz w:val="20"/>
            <w:szCs w:val="20"/>
            <w:lang w:val="en-US"/>
          </w:rPr>
          <w:t>http://www.thl.fi/publications/morgam/cohorts/full/sweden/swe-nswa.htm</w:t>
        </w:r>
      </w:hyperlink>
    </w:p>
    <w:p w14:paraId="16EC1A89" w14:textId="77777777" w:rsidR="00F467FD" w:rsidRDefault="00F467FD">
      <w:pPr>
        <w:spacing w:line="480" w:lineRule="auto"/>
        <w:jc w:val="both"/>
        <w:rPr>
          <w:rFonts w:ascii="Arial" w:hAnsi="Arial" w:cs="Arial"/>
          <w:color w:val="000000" w:themeColor="text1"/>
          <w:sz w:val="20"/>
          <w:szCs w:val="20"/>
          <w:lang w:val="en-US"/>
        </w:rPr>
      </w:pPr>
    </w:p>
    <w:p w14:paraId="7AC2B4CF" w14:textId="77777777" w:rsidR="00F467FD" w:rsidRDefault="006D0516">
      <w:pPr>
        <w:spacing w:line="480" w:lineRule="auto"/>
        <w:jc w:val="both"/>
        <w:rPr>
          <w:rFonts w:ascii="Arial" w:hAnsi="Arial" w:cs="Arial"/>
          <w:b/>
          <w:color w:val="000000" w:themeColor="text1"/>
          <w:sz w:val="20"/>
          <w:szCs w:val="20"/>
          <w:lang w:val="en-US"/>
        </w:rPr>
      </w:pPr>
      <w:r>
        <w:rPr>
          <w:rFonts w:ascii="Arial" w:hAnsi="Arial" w:cs="Arial"/>
          <w:b/>
          <w:color w:val="000000" w:themeColor="text1"/>
          <w:sz w:val="20"/>
          <w:szCs w:val="20"/>
          <w:lang w:val="en-US"/>
        </w:rPr>
        <w:t xml:space="preserve">3. The </w:t>
      </w:r>
      <w:r>
        <w:rPr>
          <w:rFonts w:ascii="Arial" w:hAnsi="Arial" w:cs="Arial"/>
          <w:b/>
          <w:sz w:val="20"/>
          <w:szCs w:val="20"/>
          <w:lang w:val="en-US"/>
        </w:rPr>
        <w:t>Tromsø study:</w:t>
      </w:r>
    </w:p>
    <w:p w14:paraId="1A9F6E80" w14:textId="13F05E9E" w:rsidR="00F467FD" w:rsidRDefault="006D0516" w:rsidP="00155227">
      <w:pPr>
        <w:spacing w:line="480" w:lineRule="auto"/>
        <w:jc w:val="both"/>
        <w:rPr>
          <w:rFonts w:ascii="Arial" w:hAnsi="Arial" w:cs="Arial"/>
          <w:sz w:val="20"/>
          <w:szCs w:val="20"/>
          <w:lang w:val="en-US"/>
        </w:rPr>
      </w:pPr>
      <w:r>
        <w:rPr>
          <w:rFonts w:ascii="Arial" w:hAnsi="Arial" w:cs="Arial"/>
          <w:color w:val="000000" w:themeColor="text1"/>
          <w:sz w:val="20"/>
          <w:szCs w:val="20"/>
          <w:lang w:val="en-US"/>
        </w:rPr>
        <w:t xml:space="preserve">The </w:t>
      </w:r>
      <w:r>
        <w:rPr>
          <w:rFonts w:ascii="Arial" w:hAnsi="Arial" w:cs="Arial"/>
          <w:sz w:val="20"/>
          <w:szCs w:val="20"/>
          <w:lang w:val="en-US"/>
        </w:rPr>
        <w:t>Tromsø</w:t>
      </w:r>
      <w:r>
        <w:rPr>
          <w:rFonts w:ascii="Arial" w:hAnsi="Arial" w:cs="Arial"/>
          <w:sz w:val="20"/>
          <w:szCs w:val="20"/>
          <w:lang w:val="en-US" w:eastAsia="en-GB"/>
        </w:rPr>
        <w:t xml:space="preserve"> study is a prospective repeated population-based health survey of men and women aged 20 years</w:t>
      </w:r>
      <w:r w:rsidR="00155227">
        <w:rPr>
          <w:rFonts w:ascii="Arial" w:hAnsi="Arial" w:cs="Arial"/>
          <w:sz w:val="20"/>
          <w:szCs w:val="20"/>
          <w:lang w:val="en-US" w:eastAsia="en-GB"/>
        </w:rPr>
        <w:t xml:space="preserve"> and above</w:t>
      </w:r>
      <w:r>
        <w:rPr>
          <w:rFonts w:ascii="Arial" w:hAnsi="Arial" w:cs="Arial"/>
          <w:sz w:val="20"/>
          <w:szCs w:val="20"/>
          <w:lang w:val="en-US" w:eastAsia="en-GB"/>
        </w:rPr>
        <w:t xml:space="preserve"> in Northern Norway. Specific age groups in the municipality </w:t>
      </w:r>
      <w:r>
        <w:rPr>
          <w:rFonts w:ascii="Arial" w:hAnsi="Arial" w:cs="Arial"/>
          <w:sz w:val="20"/>
          <w:szCs w:val="20"/>
          <w:lang w:val="en-US"/>
        </w:rPr>
        <w:t xml:space="preserve">were invited to the different surveys and over time this enabled collection of repeated risk factor measurements in many subjects. </w:t>
      </w:r>
      <w:r>
        <w:rPr>
          <w:rFonts w:ascii="Arial" w:hAnsi="Arial" w:cs="Arial"/>
          <w:color w:val="000000"/>
          <w:sz w:val="20"/>
          <w:szCs w:val="20"/>
          <w:lang w:val="en-US" w:eastAsia="en-GB"/>
        </w:rPr>
        <w:t xml:space="preserve">For the present analysis, only </w:t>
      </w:r>
      <w:r w:rsidR="00155227">
        <w:rPr>
          <w:rFonts w:ascii="Arial" w:hAnsi="Arial" w:cs="Arial"/>
          <w:color w:val="000000"/>
          <w:sz w:val="20"/>
          <w:szCs w:val="20"/>
          <w:lang w:val="en-US" w:eastAsia="en-GB"/>
        </w:rPr>
        <w:t xml:space="preserve">data from </w:t>
      </w:r>
      <w:r>
        <w:rPr>
          <w:rFonts w:ascii="Arial" w:hAnsi="Arial" w:cs="Arial"/>
          <w:color w:val="000000"/>
          <w:sz w:val="20"/>
          <w:szCs w:val="20"/>
          <w:lang w:val="en-US" w:eastAsia="en-GB"/>
        </w:rPr>
        <w:t xml:space="preserve">the </w:t>
      </w:r>
      <w:r w:rsidR="00155227">
        <w:rPr>
          <w:rFonts w:ascii="Arial" w:hAnsi="Arial" w:cs="Arial"/>
          <w:color w:val="000000"/>
          <w:sz w:val="20"/>
          <w:szCs w:val="20"/>
          <w:lang w:val="en-US" w:eastAsia="en-GB"/>
        </w:rPr>
        <w:t>5</w:t>
      </w:r>
      <w:r w:rsidR="00155227" w:rsidRPr="00EC58B9">
        <w:rPr>
          <w:rFonts w:ascii="Arial" w:hAnsi="Arial" w:cs="Arial"/>
          <w:color w:val="000000"/>
          <w:sz w:val="20"/>
          <w:szCs w:val="20"/>
          <w:vertAlign w:val="superscript"/>
          <w:lang w:val="en-US" w:eastAsia="en-GB"/>
        </w:rPr>
        <w:t>th</w:t>
      </w:r>
      <w:r w:rsidR="00155227">
        <w:rPr>
          <w:rFonts w:ascii="Arial" w:hAnsi="Arial" w:cs="Arial"/>
          <w:color w:val="000000"/>
          <w:sz w:val="20"/>
          <w:szCs w:val="20"/>
          <w:lang w:val="en-US" w:eastAsia="en-GB"/>
        </w:rPr>
        <w:t xml:space="preserve"> </w:t>
      </w:r>
      <w:r>
        <w:rPr>
          <w:rFonts w:ascii="Arial" w:hAnsi="Arial" w:cs="Arial"/>
          <w:sz w:val="20"/>
          <w:szCs w:val="20"/>
          <w:lang w:val="en-US"/>
        </w:rPr>
        <w:t xml:space="preserve">Tromsø </w:t>
      </w:r>
      <w:r w:rsidR="00155227">
        <w:rPr>
          <w:rFonts w:ascii="Arial" w:hAnsi="Arial" w:cs="Arial"/>
          <w:sz w:val="20"/>
          <w:szCs w:val="20"/>
          <w:lang w:val="en-US"/>
        </w:rPr>
        <w:t xml:space="preserve">(in 2001) </w:t>
      </w:r>
      <w:r>
        <w:rPr>
          <w:rFonts w:ascii="Arial" w:hAnsi="Arial" w:cs="Arial"/>
          <w:sz w:val="20"/>
          <w:szCs w:val="20"/>
          <w:lang w:val="en-US"/>
        </w:rPr>
        <w:t>survey was used.</w:t>
      </w:r>
      <w:r w:rsidR="00155227">
        <w:rPr>
          <w:rFonts w:ascii="Arial" w:hAnsi="Arial" w:cs="Arial"/>
          <w:sz w:val="20"/>
          <w:szCs w:val="20"/>
          <w:lang w:val="en-US"/>
        </w:rPr>
        <w:t xml:space="preserve"> Invited to the survey were previous attendees of </w:t>
      </w:r>
      <w:r w:rsidR="00155227" w:rsidRPr="00155227">
        <w:rPr>
          <w:rFonts w:ascii="Arial" w:hAnsi="Arial" w:cs="Arial"/>
          <w:sz w:val="20"/>
          <w:szCs w:val="20"/>
          <w:lang w:val="en-US"/>
        </w:rPr>
        <w:t>a more extensive examination</w:t>
      </w:r>
      <w:r w:rsidR="00155227">
        <w:rPr>
          <w:rFonts w:ascii="Arial" w:hAnsi="Arial" w:cs="Arial"/>
          <w:sz w:val="20"/>
          <w:szCs w:val="20"/>
          <w:lang w:val="en-US"/>
        </w:rPr>
        <w:t xml:space="preserve"> </w:t>
      </w:r>
      <w:r w:rsidR="00155227" w:rsidRPr="00155227">
        <w:rPr>
          <w:rFonts w:ascii="Arial" w:hAnsi="Arial" w:cs="Arial"/>
          <w:sz w:val="20"/>
          <w:szCs w:val="20"/>
          <w:lang w:val="en-US"/>
        </w:rPr>
        <w:t xml:space="preserve">of the </w:t>
      </w:r>
      <w:r w:rsidR="00155227">
        <w:rPr>
          <w:rFonts w:ascii="Arial" w:hAnsi="Arial" w:cs="Arial"/>
          <w:sz w:val="20"/>
          <w:szCs w:val="20"/>
          <w:lang w:val="en-US"/>
        </w:rPr>
        <w:t>4</w:t>
      </w:r>
      <w:r w:rsidR="00155227" w:rsidRPr="00EC58B9">
        <w:rPr>
          <w:rFonts w:ascii="Arial" w:hAnsi="Arial" w:cs="Arial"/>
          <w:sz w:val="20"/>
          <w:szCs w:val="20"/>
          <w:vertAlign w:val="superscript"/>
          <w:lang w:val="en-US"/>
        </w:rPr>
        <w:t>th</w:t>
      </w:r>
      <w:r w:rsidR="00155227">
        <w:rPr>
          <w:rFonts w:ascii="Arial" w:hAnsi="Arial" w:cs="Arial"/>
          <w:sz w:val="20"/>
          <w:szCs w:val="20"/>
          <w:lang w:val="en-US"/>
        </w:rPr>
        <w:t xml:space="preserve"> survey</w:t>
      </w:r>
      <w:r w:rsidR="00155227" w:rsidRPr="00155227">
        <w:rPr>
          <w:rFonts w:ascii="Arial" w:hAnsi="Arial" w:cs="Arial"/>
          <w:sz w:val="20"/>
          <w:szCs w:val="20"/>
          <w:lang w:val="en-US"/>
        </w:rPr>
        <w:t xml:space="preserve"> (men born in</w:t>
      </w:r>
      <w:r w:rsidR="00155227">
        <w:rPr>
          <w:rFonts w:ascii="Arial" w:hAnsi="Arial" w:cs="Arial"/>
          <w:sz w:val="20"/>
          <w:szCs w:val="20"/>
          <w:lang w:val="en-US"/>
        </w:rPr>
        <w:t xml:space="preserve"> </w:t>
      </w:r>
      <w:r w:rsidR="00155227" w:rsidRPr="00155227">
        <w:rPr>
          <w:rFonts w:ascii="Arial" w:hAnsi="Arial" w:cs="Arial"/>
          <w:sz w:val="20"/>
          <w:szCs w:val="20"/>
          <w:lang w:val="en-US"/>
        </w:rPr>
        <w:t xml:space="preserve">1925–39, all </w:t>
      </w:r>
      <w:r w:rsidR="002A63D7">
        <w:rPr>
          <w:rFonts w:ascii="Arial" w:hAnsi="Arial" w:cs="Arial"/>
          <w:sz w:val="20"/>
          <w:szCs w:val="20"/>
          <w:lang w:val="en-US"/>
        </w:rPr>
        <w:t xml:space="preserve">men and </w:t>
      </w:r>
      <w:r w:rsidR="00155227" w:rsidRPr="00155227">
        <w:rPr>
          <w:rFonts w:ascii="Arial" w:hAnsi="Arial" w:cs="Arial"/>
          <w:sz w:val="20"/>
          <w:szCs w:val="20"/>
          <w:lang w:val="en-US"/>
        </w:rPr>
        <w:t>women born in 1925–44 and a 5%–10%</w:t>
      </w:r>
      <w:r w:rsidR="00155227">
        <w:rPr>
          <w:rFonts w:ascii="Arial" w:hAnsi="Arial" w:cs="Arial"/>
          <w:sz w:val="20"/>
          <w:szCs w:val="20"/>
          <w:lang w:val="en-US"/>
        </w:rPr>
        <w:t xml:space="preserve"> </w:t>
      </w:r>
      <w:r w:rsidR="00155227" w:rsidRPr="00155227">
        <w:rPr>
          <w:rFonts w:ascii="Arial" w:hAnsi="Arial" w:cs="Arial"/>
          <w:sz w:val="20"/>
          <w:szCs w:val="20"/>
          <w:lang w:val="en-US"/>
        </w:rPr>
        <w:t>random selection of the other age groups)</w:t>
      </w:r>
      <w:r w:rsidR="00155227">
        <w:rPr>
          <w:rFonts w:ascii="Arial" w:hAnsi="Arial" w:cs="Arial"/>
          <w:sz w:val="20"/>
          <w:szCs w:val="20"/>
          <w:lang w:val="en-US"/>
        </w:rPr>
        <w:t xml:space="preserve">, as well as </w:t>
      </w:r>
      <w:r w:rsidR="00155227" w:rsidRPr="00155227">
        <w:rPr>
          <w:rFonts w:ascii="Arial" w:hAnsi="Arial" w:cs="Arial"/>
          <w:sz w:val="20"/>
          <w:szCs w:val="20"/>
          <w:lang w:val="en-US"/>
        </w:rPr>
        <w:t>all inhabitants born in 1971, 1961, 1956, and</w:t>
      </w:r>
      <w:r w:rsidR="00155227">
        <w:rPr>
          <w:rFonts w:ascii="Arial" w:hAnsi="Arial" w:cs="Arial"/>
          <w:sz w:val="20"/>
          <w:szCs w:val="20"/>
          <w:lang w:val="en-US"/>
        </w:rPr>
        <w:t xml:space="preserve"> </w:t>
      </w:r>
      <w:r w:rsidR="00155227" w:rsidRPr="00155227">
        <w:rPr>
          <w:rFonts w:ascii="Arial" w:hAnsi="Arial" w:cs="Arial"/>
          <w:sz w:val="20"/>
          <w:szCs w:val="20"/>
          <w:lang w:val="en-US"/>
        </w:rPr>
        <w:t xml:space="preserve">1941. </w:t>
      </w:r>
      <w:r w:rsidR="00155227">
        <w:rPr>
          <w:rFonts w:ascii="Arial" w:hAnsi="Arial" w:cs="Arial"/>
          <w:sz w:val="20"/>
          <w:szCs w:val="20"/>
          <w:lang w:val="en-US"/>
        </w:rPr>
        <w:t>A total of</w:t>
      </w:r>
      <w:r w:rsidR="002A63D7">
        <w:rPr>
          <w:rFonts w:ascii="Arial" w:hAnsi="Arial" w:cs="Arial"/>
          <w:sz w:val="20"/>
          <w:szCs w:val="20"/>
          <w:lang w:val="en-US"/>
        </w:rPr>
        <w:t xml:space="preserve"> 8130 subjects (79</w:t>
      </w:r>
      <w:r w:rsidR="00155227" w:rsidRPr="00155227">
        <w:rPr>
          <w:rFonts w:ascii="Arial" w:hAnsi="Arial" w:cs="Arial"/>
          <w:sz w:val="20"/>
          <w:szCs w:val="20"/>
          <w:lang w:val="en-US"/>
        </w:rPr>
        <w:t xml:space="preserve">% of those invited) </w:t>
      </w:r>
      <w:r w:rsidR="002A63D7">
        <w:rPr>
          <w:rFonts w:ascii="Arial" w:hAnsi="Arial" w:cs="Arial"/>
          <w:sz w:val="20"/>
          <w:szCs w:val="20"/>
          <w:lang w:val="en-US"/>
        </w:rPr>
        <w:t>participated</w:t>
      </w:r>
      <w:r w:rsidR="00155227" w:rsidRPr="00155227">
        <w:rPr>
          <w:rFonts w:ascii="Arial" w:hAnsi="Arial" w:cs="Arial"/>
          <w:sz w:val="20"/>
          <w:szCs w:val="20"/>
          <w:lang w:val="en-US"/>
        </w:rPr>
        <w:t xml:space="preserve">. </w:t>
      </w:r>
    </w:p>
    <w:p w14:paraId="715EDD5E" w14:textId="76B18A26" w:rsidR="00F467FD" w:rsidRDefault="006D0516">
      <w:pPr>
        <w:spacing w:line="480" w:lineRule="auto"/>
        <w:jc w:val="both"/>
        <w:rPr>
          <w:rFonts w:ascii="Arial" w:hAnsi="Arial" w:cs="Arial"/>
          <w:color w:val="000000"/>
          <w:sz w:val="20"/>
          <w:szCs w:val="20"/>
          <w:lang w:val="en-US" w:eastAsia="en-GB"/>
        </w:rPr>
      </w:pPr>
      <w:r>
        <w:rPr>
          <w:rFonts w:ascii="Arial" w:hAnsi="Arial" w:cs="Arial"/>
          <w:sz w:val="20"/>
          <w:szCs w:val="20"/>
          <w:lang w:val="en-US"/>
        </w:rPr>
        <w:t xml:space="preserve">The cohorts are being followed up with registration of incident myocardial infarction, stroke (ischemic, hemorrhagic, subarachnoid haemorrhage and unclassifiable) and cause-specific death. </w:t>
      </w:r>
      <w:r>
        <w:rPr>
          <w:rFonts w:ascii="Arial" w:hAnsi="Arial" w:cs="Arial"/>
          <w:color w:val="000000"/>
          <w:sz w:val="20"/>
          <w:szCs w:val="20"/>
          <w:lang w:val="en-US" w:eastAsia="en-GB"/>
        </w:rPr>
        <w:t xml:space="preserve">Cases of incident events were identified by linkage to the diagnosis registry at the University Hospital of North Norway (the only hospital in the region) and to the National Causes of Death Registry. Validation of hospitalized and out-of hospital events was performed by an independent endpoint committee and </w:t>
      </w:r>
      <w:r>
        <w:rPr>
          <w:rFonts w:ascii="Arial" w:hAnsi="Arial" w:cs="Arial"/>
          <w:color w:val="000000"/>
          <w:sz w:val="20"/>
          <w:szCs w:val="20"/>
          <w:lang w:val="en-US" w:eastAsia="en-GB"/>
        </w:rPr>
        <w:lastRenderedPageBreak/>
        <w:t xml:space="preserve">based on data from hospital and out-of hospital journals, autopsy records, and death certificates. Slightly modified World Health Organization MONICA/MORGAM criteria for myocardial infarction and stroke were used. Follow-up is completed to December 31st 2010. </w:t>
      </w:r>
      <w:r w:rsidR="00EC58B9">
        <w:rPr>
          <w:rFonts w:ascii="Arial" w:hAnsi="Arial" w:cs="Arial"/>
          <w:color w:val="000000"/>
          <w:sz w:val="20"/>
          <w:szCs w:val="20"/>
          <w:lang w:val="en-US" w:eastAsia="en-GB"/>
        </w:rPr>
        <w:t>In total, 7610 individuals from the Tromsø study with available information on iron status were enrolled in this study.</w:t>
      </w:r>
    </w:p>
    <w:p w14:paraId="5F5F5A2E" w14:textId="77777777" w:rsidR="00F467FD" w:rsidRDefault="007E47DD">
      <w:pPr>
        <w:spacing w:line="480" w:lineRule="auto"/>
        <w:jc w:val="both"/>
        <w:rPr>
          <w:rStyle w:val="Hyperlink"/>
          <w:rFonts w:ascii="Arial" w:hAnsi="Arial" w:cs="Arial"/>
          <w:sz w:val="20"/>
          <w:szCs w:val="20"/>
          <w:lang w:val="en-US"/>
        </w:rPr>
      </w:pPr>
      <w:hyperlink r:id="rId10" w:history="1">
        <w:r w:rsidR="006D0516">
          <w:rPr>
            <w:rStyle w:val="Hyperlink"/>
            <w:rFonts w:ascii="Arial" w:hAnsi="Arial" w:cs="Arial"/>
            <w:sz w:val="20"/>
            <w:szCs w:val="20"/>
            <w:lang w:val="en-US"/>
          </w:rPr>
          <w:t>http://tromsoundersokelsen.uit.no/tromso/</w:t>
        </w:r>
      </w:hyperlink>
      <w:bookmarkStart w:id="0" w:name="Troms_C3_B8Study_Targetpopulation"/>
      <w:bookmarkEnd w:id="0"/>
    </w:p>
    <w:p w14:paraId="68137A70" w14:textId="77777777" w:rsidR="00F467FD" w:rsidRDefault="00F467FD">
      <w:pPr>
        <w:rPr>
          <w:rStyle w:val="Hyperlink"/>
          <w:rFonts w:ascii="Arial" w:hAnsi="Arial" w:cs="Arial"/>
          <w:sz w:val="20"/>
          <w:szCs w:val="20"/>
          <w:lang w:val="en-US"/>
        </w:rPr>
      </w:pPr>
    </w:p>
    <w:p w14:paraId="4E4D11D3" w14:textId="77777777" w:rsidR="00F467FD" w:rsidRDefault="00F467FD">
      <w:pPr>
        <w:rPr>
          <w:rStyle w:val="Hyperlink"/>
          <w:rFonts w:ascii="Arial" w:hAnsi="Arial" w:cs="Arial"/>
          <w:sz w:val="20"/>
          <w:szCs w:val="20"/>
          <w:lang w:val="en-US"/>
        </w:rPr>
      </w:pPr>
    </w:p>
    <w:p w14:paraId="7DB19E25" w14:textId="77777777" w:rsidR="00F467FD" w:rsidRDefault="006D0516">
      <w:pPr>
        <w:rPr>
          <w:rStyle w:val="Hyperlink"/>
          <w:rFonts w:ascii="Arial" w:hAnsi="Arial" w:cs="Arial"/>
          <w:b/>
          <w:color w:val="000000" w:themeColor="text1"/>
          <w:sz w:val="20"/>
          <w:szCs w:val="20"/>
          <w:u w:val="none"/>
          <w:lang w:val="en-US"/>
        </w:rPr>
      </w:pPr>
      <w:r>
        <w:rPr>
          <w:rStyle w:val="Hyperlink"/>
          <w:rFonts w:ascii="Arial" w:hAnsi="Arial" w:cs="Arial"/>
          <w:b/>
          <w:color w:val="000000" w:themeColor="text1"/>
          <w:sz w:val="20"/>
          <w:szCs w:val="20"/>
          <w:u w:val="none"/>
          <w:lang w:val="en-US"/>
        </w:rPr>
        <w:t>Supplementary table 1: Missing values at baseline.</w:t>
      </w:r>
    </w:p>
    <w:tbl>
      <w:tblPr>
        <w:tblStyle w:val="Tabellenraster"/>
        <w:tblW w:w="5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985"/>
      </w:tblGrid>
      <w:tr w:rsidR="00F467FD" w14:paraId="1F933331" w14:textId="77777777">
        <w:trPr>
          <w:jc w:val="center"/>
        </w:trPr>
        <w:tc>
          <w:tcPr>
            <w:tcW w:w="3402" w:type="dxa"/>
            <w:tcBorders>
              <w:bottom w:val="single" w:sz="4" w:space="0" w:color="auto"/>
              <w:right w:val="single" w:sz="4" w:space="0" w:color="auto"/>
            </w:tcBorders>
          </w:tcPr>
          <w:p w14:paraId="220CF11F" w14:textId="77777777" w:rsidR="00F467FD" w:rsidRDefault="00F467FD">
            <w:pPr>
              <w:spacing w:line="480" w:lineRule="auto"/>
              <w:jc w:val="center"/>
              <w:rPr>
                <w:rFonts w:ascii="Arial" w:hAnsi="Arial" w:cs="Arial"/>
                <w:sz w:val="20"/>
                <w:szCs w:val="20"/>
                <w:lang w:val="en-US"/>
              </w:rPr>
            </w:pPr>
          </w:p>
        </w:tc>
        <w:tc>
          <w:tcPr>
            <w:tcW w:w="1985" w:type="dxa"/>
            <w:tcBorders>
              <w:left w:val="single" w:sz="4" w:space="0" w:color="auto"/>
              <w:bottom w:val="single" w:sz="4" w:space="0" w:color="auto"/>
            </w:tcBorders>
            <w:vAlign w:val="center"/>
          </w:tcPr>
          <w:p w14:paraId="658AF984" w14:textId="77777777" w:rsidR="00F467FD" w:rsidRDefault="006D0516">
            <w:pPr>
              <w:spacing w:line="480" w:lineRule="auto"/>
              <w:jc w:val="center"/>
              <w:rPr>
                <w:rFonts w:ascii="Arial" w:hAnsi="Arial" w:cs="Arial"/>
                <w:b/>
                <w:sz w:val="20"/>
                <w:szCs w:val="20"/>
              </w:rPr>
            </w:pPr>
            <w:r>
              <w:rPr>
                <w:rFonts w:ascii="Arial" w:hAnsi="Arial" w:cs="Arial"/>
                <w:b/>
                <w:sz w:val="20"/>
                <w:szCs w:val="20"/>
              </w:rPr>
              <w:t>% missing</w:t>
            </w:r>
          </w:p>
        </w:tc>
      </w:tr>
      <w:tr w:rsidR="00F467FD" w14:paraId="0D27026B" w14:textId="77777777">
        <w:trPr>
          <w:jc w:val="center"/>
        </w:trPr>
        <w:tc>
          <w:tcPr>
            <w:tcW w:w="3402" w:type="dxa"/>
            <w:tcBorders>
              <w:top w:val="single" w:sz="4" w:space="0" w:color="auto"/>
              <w:right w:val="single" w:sz="4" w:space="0" w:color="auto"/>
            </w:tcBorders>
            <w:shd w:val="clear" w:color="auto" w:fill="F2F2F2" w:themeFill="background1" w:themeFillShade="F2"/>
          </w:tcPr>
          <w:p w14:paraId="6D1FAA67" w14:textId="77777777" w:rsidR="00F467FD" w:rsidRDefault="006D0516">
            <w:pPr>
              <w:spacing w:line="480" w:lineRule="auto"/>
              <w:rPr>
                <w:rFonts w:ascii="Arial" w:hAnsi="Arial" w:cs="Arial"/>
                <w:i/>
                <w:sz w:val="20"/>
                <w:szCs w:val="20"/>
              </w:rPr>
            </w:pPr>
            <w:r>
              <w:rPr>
                <w:rFonts w:ascii="Arial" w:hAnsi="Arial" w:cs="Arial"/>
                <w:i/>
                <w:sz w:val="20"/>
                <w:szCs w:val="20"/>
              </w:rPr>
              <w:t>Male Sex</w:t>
            </w:r>
          </w:p>
        </w:tc>
        <w:tc>
          <w:tcPr>
            <w:tcW w:w="1985" w:type="dxa"/>
            <w:tcBorders>
              <w:top w:val="single" w:sz="4" w:space="0" w:color="auto"/>
              <w:left w:val="single" w:sz="4" w:space="0" w:color="auto"/>
            </w:tcBorders>
            <w:shd w:val="clear" w:color="auto" w:fill="F2F2F2" w:themeFill="background1" w:themeFillShade="F2"/>
          </w:tcPr>
          <w:p w14:paraId="72D915D2" w14:textId="77777777" w:rsidR="00F467FD" w:rsidRDefault="006D0516">
            <w:pPr>
              <w:spacing w:line="480" w:lineRule="auto"/>
              <w:jc w:val="center"/>
              <w:rPr>
                <w:rFonts w:ascii="Arial" w:hAnsi="Arial" w:cs="Arial"/>
                <w:sz w:val="20"/>
                <w:szCs w:val="20"/>
              </w:rPr>
            </w:pPr>
            <w:r>
              <w:rPr>
                <w:rFonts w:ascii="Arial" w:hAnsi="Arial" w:cs="Arial"/>
                <w:sz w:val="20"/>
                <w:szCs w:val="20"/>
              </w:rPr>
              <w:t>0</w:t>
            </w:r>
          </w:p>
        </w:tc>
      </w:tr>
      <w:tr w:rsidR="00F467FD" w14:paraId="052B1681" w14:textId="77777777">
        <w:trPr>
          <w:jc w:val="center"/>
        </w:trPr>
        <w:tc>
          <w:tcPr>
            <w:tcW w:w="3402" w:type="dxa"/>
            <w:tcBorders>
              <w:right w:val="single" w:sz="4" w:space="0" w:color="auto"/>
            </w:tcBorders>
          </w:tcPr>
          <w:p w14:paraId="2C94705B" w14:textId="77777777" w:rsidR="00F467FD" w:rsidRDefault="006D0516">
            <w:pPr>
              <w:spacing w:line="480" w:lineRule="auto"/>
              <w:rPr>
                <w:rFonts w:ascii="Arial" w:hAnsi="Arial" w:cs="Arial"/>
                <w:i/>
                <w:sz w:val="20"/>
                <w:szCs w:val="20"/>
              </w:rPr>
            </w:pPr>
            <w:r>
              <w:rPr>
                <w:rFonts w:ascii="Arial" w:hAnsi="Arial" w:cs="Arial"/>
                <w:i/>
                <w:sz w:val="20"/>
                <w:szCs w:val="20"/>
              </w:rPr>
              <w:t xml:space="preserve">Age </w:t>
            </w:r>
          </w:p>
        </w:tc>
        <w:tc>
          <w:tcPr>
            <w:tcW w:w="1985" w:type="dxa"/>
            <w:tcBorders>
              <w:left w:val="single" w:sz="4" w:space="0" w:color="auto"/>
            </w:tcBorders>
          </w:tcPr>
          <w:p w14:paraId="55A71059" w14:textId="77777777" w:rsidR="00F467FD" w:rsidRDefault="006D0516">
            <w:pPr>
              <w:spacing w:line="480" w:lineRule="auto"/>
              <w:jc w:val="center"/>
              <w:rPr>
                <w:rFonts w:ascii="Arial" w:hAnsi="Arial" w:cs="Arial"/>
                <w:sz w:val="20"/>
                <w:szCs w:val="20"/>
              </w:rPr>
            </w:pPr>
            <w:r>
              <w:rPr>
                <w:rFonts w:ascii="Arial" w:hAnsi="Arial" w:cs="Arial"/>
                <w:sz w:val="20"/>
                <w:szCs w:val="20"/>
              </w:rPr>
              <w:t>0</w:t>
            </w:r>
          </w:p>
        </w:tc>
      </w:tr>
      <w:tr w:rsidR="00F467FD" w14:paraId="133FF8E3" w14:textId="77777777">
        <w:trPr>
          <w:jc w:val="center"/>
        </w:trPr>
        <w:tc>
          <w:tcPr>
            <w:tcW w:w="3402" w:type="dxa"/>
            <w:tcBorders>
              <w:right w:val="single" w:sz="4" w:space="0" w:color="auto"/>
            </w:tcBorders>
            <w:shd w:val="clear" w:color="auto" w:fill="F2F2F2" w:themeFill="background1" w:themeFillShade="F2"/>
          </w:tcPr>
          <w:p w14:paraId="610B031E" w14:textId="77777777" w:rsidR="00F467FD" w:rsidRDefault="006D0516">
            <w:pPr>
              <w:spacing w:line="480" w:lineRule="auto"/>
              <w:rPr>
                <w:rFonts w:ascii="Arial" w:hAnsi="Arial" w:cs="Arial"/>
                <w:i/>
                <w:sz w:val="20"/>
                <w:szCs w:val="20"/>
              </w:rPr>
            </w:pPr>
            <w:r>
              <w:rPr>
                <w:rFonts w:ascii="Arial" w:hAnsi="Arial" w:cs="Arial"/>
                <w:i/>
                <w:sz w:val="20"/>
                <w:szCs w:val="20"/>
              </w:rPr>
              <w:t xml:space="preserve">Daily smoker </w:t>
            </w:r>
          </w:p>
        </w:tc>
        <w:tc>
          <w:tcPr>
            <w:tcW w:w="1985" w:type="dxa"/>
            <w:tcBorders>
              <w:left w:val="single" w:sz="4" w:space="0" w:color="auto"/>
            </w:tcBorders>
            <w:shd w:val="clear" w:color="auto" w:fill="F2F2F2" w:themeFill="background1" w:themeFillShade="F2"/>
          </w:tcPr>
          <w:p w14:paraId="7E836ED6" w14:textId="31DB51D7" w:rsidR="00F467FD" w:rsidRDefault="006D0516" w:rsidP="00003D4E">
            <w:pPr>
              <w:spacing w:line="480" w:lineRule="auto"/>
              <w:jc w:val="center"/>
              <w:rPr>
                <w:rFonts w:ascii="Arial" w:hAnsi="Arial" w:cs="Arial"/>
                <w:sz w:val="20"/>
                <w:szCs w:val="20"/>
              </w:rPr>
            </w:pPr>
            <w:r>
              <w:rPr>
                <w:rFonts w:ascii="Arial" w:hAnsi="Arial" w:cs="Arial"/>
                <w:sz w:val="20"/>
                <w:szCs w:val="20"/>
              </w:rPr>
              <w:t>0.</w:t>
            </w:r>
            <w:r w:rsidR="00003D4E">
              <w:rPr>
                <w:rFonts w:ascii="Arial" w:hAnsi="Arial" w:cs="Arial"/>
                <w:sz w:val="20"/>
                <w:szCs w:val="20"/>
              </w:rPr>
              <w:t>5</w:t>
            </w:r>
          </w:p>
        </w:tc>
      </w:tr>
      <w:tr w:rsidR="00F467FD" w14:paraId="66BA4E5A" w14:textId="77777777">
        <w:trPr>
          <w:jc w:val="center"/>
        </w:trPr>
        <w:tc>
          <w:tcPr>
            <w:tcW w:w="3402" w:type="dxa"/>
            <w:tcBorders>
              <w:right w:val="single" w:sz="4" w:space="0" w:color="auto"/>
            </w:tcBorders>
          </w:tcPr>
          <w:p w14:paraId="183BDABC" w14:textId="77777777" w:rsidR="00F467FD" w:rsidRDefault="006D0516">
            <w:pPr>
              <w:spacing w:line="480" w:lineRule="auto"/>
              <w:rPr>
                <w:rFonts w:ascii="Arial" w:hAnsi="Arial" w:cs="Arial"/>
                <w:i/>
                <w:sz w:val="20"/>
                <w:szCs w:val="20"/>
              </w:rPr>
            </w:pPr>
            <w:r>
              <w:rPr>
                <w:rFonts w:ascii="Arial" w:hAnsi="Arial" w:cs="Arial"/>
                <w:i/>
                <w:sz w:val="20"/>
                <w:szCs w:val="20"/>
              </w:rPr>
              <w:t xml:space="preserve">Prevalent diabetes </w:t>
            </w:r>
          </w:p>
        </w:tc>
        <w:tc>
          <w:tcPr>
            <w:tcW w:w="1985" w:type="dxa"/>
            <w:tcBorders>
              <w:left w:val="single" w:sz="4" w:space="0" w:color="auto"/>
            </w:tcBorders>
          </w:tcPr>
          <w:p w14:paraId="4B430F99" w14:textId="77777777" w:rsidR="00F467FD" w:rsidRDefault="006D0516">
            <w:pPr>
              <w:spacing w:line="480" w:lineRule="auto"/>
              <w:jc w:val="center"/>
              <w:rPr>
                <w:rFonts w:ascii="Arial" w:hAnsi="Arial" w:cs="Arial"/>
                <w:sz w:val="20"/>
                <w:szCs w:val="20"/>
              </w:rPr>
            </w:pPr>
            <w:r>
              <w:rPr>
                <w:rFonts w:ascii="Arial" w:hAnsi="Arial" w:cs="Arial"/>
                <w:sz w:val="20"/>
                <w:szCs w:val="20"/>
              </w:rPr>
              <w:t>1.3</w:t>
            </w:r>
          </w:p>
        </w:tc>
      </w:tr>
      <w:tr w:rsidR="00F467FD" w14:paraId="79C415A4" w14:textId="77777777">
        <w:trPr>
          <w:jc w:val="center"/>
        </w:trPr>
        <w:tc>
          <w:tcPr>
            <w:tcW w:w="3402" w:type="dxa"/>
            <w:tcBorders>
              <w:right w:val="single" w:sz="4" w:space="0" w:color="auto"/>
            </w:tcBorders>
            <w:shd w:val="clear" w:color="auto" w:fill="F2F2F2" w:themeFill="background1" w:themeFillShade="F2"/>
          </w:tcPr>
          <w:p w14:paraId="145CB082" w14:textId="77777777" w:rsidR="00F467FD" w:rsidRDefault="006D0516">
            <w:pPr>
              <w:spacing w:line="480" w:lineRule="auto"/>
              <w:rPr>
                <w:rFonts w:ascii="Arial" w:hAnsi="Arial" w:cs="Arial"/>
                <w:i/>
                <w:sz w:val="20"/>
                <w:szCs w:val="20"/>
              </w:rPr>
            </w:pPr>
            <w:r>
              <w:rPr>
                <w:rFonts w:ascii="Arial" w:hAnsi="Arial" w:cs="Arial"/>
                <w:i/>
                <w:sz w:val="20"/>
                <w:szCs w:val="20"/>
              </w:rPr>
              <w:t>Systolic blood pressure</w:t>
            </w:r>
          </w:p>
        </w:tc>
        <w:tc>
          <w:tcPr>
            <w:tcW w:w="1985" w:type="dxa"/>
            <w:tcBorders>
              <w:left w:val="single" w:sz="4" w:space="0" w:color="auto"/>
            </w:tcBorders>
            <w:shd w:val="clear" w:color="auto" w:fill="F2F2F2" w:themeFill="background1" w:themeFillShade="F2"/>
          </w:tcPr>
          <w:p w14:paraId="42EC2E96" w14:textId="45DF7115" w:rsidR="00F467FD" w:rsidRDefault="006D0516" w:rsidP="00003D4E">
            <w:pPr>
              <w:spacing w:line="480" w:lineRule="auto"/>
              <w:jc w:val="center"/>
              <w:rPr>
                <w:rFonts w:ascii="Arial" w:hAnsi="Arial" w:cs="Arial"/>
                <w:sz w:val="20"/>
                <w:szCs w:val="20"/>
              </w:rPr>
            </w:pPr>
            <w:r>
              <w:rPr>
                <w:rFonts w:ascii="Arial" w:hAnsi="Arial" w:cs="Arial"/>
                <w:sz w:val="20"/>
                <w:szCs w:val="20"/>
              </w:rPr>
              <w:t>0.</w:t>
            </w:r>
            <w:r w:rsidR="00003D4E">
              <w:rPr>
                <w:rFonts w:ascii="Arial" w:hAnsi="Arial" w:cs="Arial"/>
                <w:sz w:val="20"/>
                <w:szCs w:val="20"/>
              </w:rPr>
              <w:t>08</w:t>
            </w:r>
          </w:p>
        </w:tc>
      </w:tr>
      <w:tr w:rsidR="00F467FD" w14:paraId="512905D3" w14:textId="77777777">
        <w:trPr>
          <w:jc w:val="center"/>
        </w:trPr>
        <w:tc>
          <w:tcPr>
            <w:tcW w:w="3402" w:type="dxa"/>
            <w:tcBorders>
              <w:right w:val="single" w:sz="4" w:space="0" w:color="auto"/>
            </w:tcBorders>
          </w:tcPr>
          <w:p w14:paraId="727F3D05" w14:textId="77777777" w:rsidR="00F467FD" w:rsidRDefault="006D0516">
            <w:pPr>
              <w:spacing w:line="480" w:lineRule="auto"/>
              <w:rPr>
                <w:rFonts w:ascii="Arial" w:hAnsi="Arial" w:cs="Arial"/>
                <w:i/>
                <w:sz w:val="20"/>
                <w:szCs w:val="20"/>
              </w:rPr>
            </w:pPr>
            <w:r>
              <w:rPr>
                <w:rFonts w:ascii="Arial" w:hAnsi="Arial" w:cs="Arial"/>
                <w:i/>
                <w:sz w:val="20"/>
                <w:szCs w:val="20"/>
              </w:rPr>
              <w:t xml:space="preserve">BMI </w:t>
            </w:r>
          </w:p>
        </w:tc>
        <w:tc>
          <w:tcPr>
            <w:tcW w:w="1985" w:type="dxa"/>
            <w:tcBorders>
              <w:left w:val="single" w:sz="4" w:space="0" w:color="auto"/>
            </w:tcBorders>
          </w:tcPr>
          <w:p w14:paraId="1654E02E" w14:textId="77777777" w:rsidR="00F467FD" w:rsidRDefault="006D0516">
            <w:pPr>
              <w:spacing w:line="480" w:lineRule="auto"/>
              <w:jc w:val="center"/>
              <w:rPr>
                <w:rFonts w:ascii="Arial" w:hAnsi="Arial" w:cs="Arial"/>
                <w:sz w:val="20"/>
                <w:szCs w:val="20"/>
              </w:rPr>
            </w:pPr>
            <w:r>
              <w:rPr>
                <w:rFonts w:ascii="Arial" w:hAnsi="Arial" w:cs="Arial"/>
                <w:sz w:val="20"/>
                <w:szCs w:val="20"/>
              </w:rPr>
              <w:t>0.5</w:t>
            </w:r>
          </w:p>
        </w:tc>
      </w:tr>
      <w:tr w:rsidR="00F467FD" w14:paraId="15B09972" w14:textId="77777777">
        <w:trPr>
          <w:jc w:val="center"/>
        </w:trPr>
        <w:tc>
          <w:tcPr>
            <w:tcW w:w="3402" w:type="dxa"/>
            <w:tcBorders>
              <w:right w:val="single" w:sz="4" w:space="0" w:color="auto"/>
            </w:tcBorders>
            <w:shd w:val="clear" w:color="auto" w:fill="F2F2F2" w:themeFill="background1" w:themeFillShade="F2"/>
          </w:tcPr>
          <w:p w14:paraId="2DD14393" w14:textId="77777777" w:rsidR="00F467FD" w:rsidRDefault="006D0516">
            <w:pPr>
              <w:spacing w:line="480" w:lineRule="auto"/>
              <w:rPr>
                <w:rFonts w:ascii="Arial" w:hAnsi="Arial" w:cs="Arial"/>
                <w:i/>
                <w:sz w:val="20"/>
                <w:szCs w:val="20"/>
              </w:rPr>
            </w:pPr>
            <w:r>
              <w:rPr>
                <w:rFonts w:ascii="Arial" w:hAnsi="Arial" w:cs="Arial"/>
                <w:i/>
                <w:sz w:val="20"/>
                <w:szCs w:val="20"/>
              </w:rPr>
              <w:t xml:space="preserve">Total serum cholesterol </w:t>
            </w:r>
          </w:p>
        </w:tc>
        <w:tc>
          <w:tcPr>
            <w:tcW w:w="1985" w:type="dxa"/>
            <w:tcBorders>
              <w:left w:val="single" w:sz="4" w:space="0" w:color="auto"/>
            </w:tcBorders>
            <w:shd w:val="clear" w:color="auto" w:fill="F2F2F2" w:themeFill="background1" w:themeFillShade="F2"/>
          </w:tcPr>
          <w:p w14:paraId="501A22A9" w14:textId="28021383" w:rsidR="00F467FD" w:rsidRDefault="006D0516" w:rsidP="00003D4E">
            <w:pPr>
              <w:spacing w:line="480" w:lineRule="auto"/>
              <w:jc w:val="center"/>
              <w:rPr>
                <w:rFonts w:ascii="Arial" w:hAnsi="Arial" w:cs="Arial"/>
                <w:sz w:val="20"/>
                <w:szCs w:val="20"/>
              </w:rPr>
            </w:pPr>
            <w:r>
              <w:rPr>
                <w:rFonts w:ascii="Arial" w:hAnsi="Arial" w:cs="Arial"/>
                <w:sz w:val="20"/>
                <w:szCs w:val="20"/>
              </w:rPr>
              <w:t>0.</w:t>
            </w:r>
            <w:r w:rsidR="00003D4E">
              <w:rPr>
                <w:rFonts w:ascii="Arial" w:hAnsi="Arial" w:cs="Arial"/>
                <w:sz w:val="20"/>
                <w:szCs w:val="20"/>
              </w:rPr>
              <w:t>04</w:t>
            </w:r>
          </w:p>
        </w:tc>
      </w:tr>
      <w:tr w:rsidR="00F467FD" w14:paraId="142AE10C" w14:textId="77777777">
        <w:trPr>
          <w:jc w:val="center"/>
        </w:trPr>
        <w:tc>
          <w:tcPr>
            <w:tcW w:w="3402" w:type="dxa"/>
            <w:tcBorders>
              <w:right w:val="single" w:sz="4" w:space="0" w:color="auto"/>
            </w:tcBorders>
          </w:tcPr>
          <w:p w14:paraId="32FB5B0B" w14:textId="77777777" w:rsidR="00F467FD" w:rsidRDefault="006D0516">
            <w:pPr>
              <w:spacing w:line="480" w:lineRule="auto"/>
              <w:rPr>
                <w:rFonts w:ascii="Arial" w:hAnsi="Arial" w:cs="Arial"/>
                <w:i/>
                <w:sz w:val="20"/>
                <w:szCs w:val="20"/>
              </w:rPr>
            </w:pPr>
            <w:r>
              <w:rPr>
                <w:rFonts w:ascii="Arial" w:hAnsi="Arial" w:cs="Arial"/>
                <w:i/>
                <w:sz w:val="20"/>
                <w:szCs w:val="20"/>
              </w:rPr>
              <w:t>Prevalent myocardial infarction</w:t>
            </w:r>
          </w:p>
        </w:tc>
        <w:tc>
          <w:tcPr>
            <w:tcW w:w="1985" w:type="dxa"/>
            <w:tcBorders>
              <w:left w:val="single" w:sz="4" w:space="0" w:color="auto"/>
            </w:tcBorders>
          </w:tcPr>
          <w:p w14:paraId="6FE08A69" w14:textId="77777777" w:rsidR="00F467FD" w:rsidRDefault="006D0516">
            <w:pPr>
              <w:spacing w:line="480" w:lineRule="auto"/>
              <w:jc w:val="center"/>
              <w:rPr>
                <w:rFonts w:ascii="Arial" w:hAnsi="Arial" w:cs="Arial"/>
                <w:sz w:val="20"/>
                <w:szCs w:val="20"/>
              </w:rPr>
            </w:pPr>
            <w:r>
              <w:rPr>
                <w:rFonts w:ascii="Arial" w:hAnsi="Arial" w:cs="Arial"/>
                <w:sz w:val="20"/>
                <w:szCs w:val="20"/>
              </w:rPr>
              <w:t>0</w:t>
            </w:r>
          </w:p>
        </w:tc>
      </w:tr>
      <w:tr w:rsidR="00F467FD" w14:paraId="0D15CC88" w14:textId="77777777">
        <w:trPr>
          <w:jc w:val="center"/>
        </w:trPr>
        <w:tc>
          <w:tcPr>
            <w:tcW w:w="3402" w:type="dxa"/>
            <w:tcBorders>
              <w:right w:val="single" w:sz="4" w:space="0" w:color="auto"/>
            </w:tcBorders>
            <w:shd w:val="clear" w:color="auto" w:fill="F2F2F2" w:themeFill="background1" w:themeFillShade="F2"/>
          </w:tcPr>
          <w:p w14:paraId="4C08496C" w14:textId="77777777" w:rsidR="00F467FD" w:rsidRDefault="006D0516">
            <w:pPr>
              <w:spacing w:line="480" w:lineRule="auto"/>
              <w:rPr>
                <w:rFonts w:ascii="Arial" w:hAnsi="Arial" w:cs="Arial"/>
                <w:i/>
                <w:sz w:val="20"/>
                <w:szCs w:val="20"/>
              </w:rPr>
            </w:pPr>
            <w:r>
              <w:rPr>
                <w:rFonts w:ascii="Arial" w:hAnsi="Arial" w:cs="Arial"/>
                <w:i/>
                <w:sz w:val="20"/>
                <w:szCs w:val="20"/>
              </w:rPr>
              <w:t xml:space="preserve">Prevalent stroke </w:t>
            </w:r>
          </w:p>
        </w:tc>
        <w:tc>
          <w:tcPr>
            <w:tcW w:w="1985" w:type="dxa"/>
            <w:tcBorders>
              <w:left w:val="single" w:sz="4" w:space="0" w:color="auto"/>
            </w:tcBorders>
            <w:shd w:val="clear" w:color="auto" w:fill="F2F2F2" w:themeFill="background1" w:themeFillShade="F2"/>
          </w:tcPr>
          <w:p w14:paraId="74F599AF" w14:textId="77777777" w:rsidR="00F467FD" w:rsidRDefault="006D0516">
            <w:pPr>
              <w:spacing w:line="480" w:lineRule="auto"/>
              <w:jc w:val="center"/>
              <w:rPr>
                <w:rFonts w:ascii="Arial" w:hAnsi="Arial" w:cs="Arial"/>
                <w:sz w:val="20"/>
                <w:szCs w:val="20"/>
              </w:rPr>
            </w:pPr>
            <w:r>
              <w:rPr>
                <w:rFonts w:ascii="Arial" w:hAnsi="Arial" w:cs="Arial"/>
                <w:sz w:val="20"/>
                <w:szCs w:val="20"/>
              </w:rPr>
              <w:t>0</w:t>
            </w:r>
          </w:p>
        </w:tc>
      </w:tr>
      <w:tr w:rsidR="00F467FD" w14:paraId="6E7FC14B" w14:textId="77777777">
        <w:trPr>
          <w:jc w:val="center"/>
        </w:trPr>
        <w:tc>
          <w:tcPr>
            <w:tcW w:w="3402" w:type="dxa"/>
            <w:tcBorders>
              <w:right w:val="single" w:sz="4" w:space="0" w:color="auto"/>
            </w:tcBorders>
            <w:shd w:val="clear" w:color="auto" w:fill="auto"/>
          </w:tcPr>
          <w:p w14:paraId="18543DEC" w14:textId="77777777" w:rsidR="00F467FD" w:rsidRDefault="006D0516">
            <w:pPr>
              <w:spacing w:line="480" w:lineRule="auto"/>
              <w:rPr>
                <w:rFonts w:ascii="Arial" w:hAnsi="Arial" w:cs="Arial"/>
                <w:i/>
                <w:sz w:val="20"/>
                <w:szCs w:val="20"/>
                <w:lang w:val="en-US"/>
              </w:rPr>
            </w:pPr>
            <w:r>
              <w:rPr>
                <w:rFonts w:ascii="Arial" w:hAnsi="Arial" w:cs="Arial"/>
                <w:i/>
                <w:sz w:val="20"/>
                <w:szCs w:val="20"/>
                <w:lang w:val="en-US"/>
              </w:rPr>
              <w:t>High-sensitive C-reactive protein</w:t>
            </w:r>
          </w:p>
        </w:tc>
        <w:tc>
          <w:tcPr>
            <w:tcW w:w="1985" w:type="dxa"/>
            <w:tcBorders>
              <w:left w:val="single" w:sz="4" w:space="0" w:color="auto"/>
            </w:tcBorders>
            <w:shd w:val="clear" w:color="auto" w:fill="auto"/>
          </w:tcPr>
          <w:p w14:paraId="72D84945" w14:textId="77777777" w:rsidR="00F467FD" w:rsidRDefault="006D0516">
            <w:pPr>
              <w:jc w:val="center"/>
              <w:rPr>
                <w:rFonts w:ascii="Arial" w:hAnsi="Arial" w:cs="Arial"/>
                <w:sz w:val="20"/>
                <w:szCs w:val="20"/>
              </w:rPr>
            </w:pPr>
            <w:r>
              <w:rPr>
                <w:rFonts w:ascii="Arial" w:hAnsi="Arial" w:cs="Arial"/>
                <w:sz w:val="20"/>
                <w:szCs w:val="20"/>
              </w:rPr>
              <w:t>18.2</w:t>
            </w:r>
          </w:p>
        </w:tc>
      </w:tr>
      <w:tr w:rsidR="00F467FD" w14:paraId="7699F1B6" w14:textId="77777777">
        <w:trPr>
          <w:jc w:val="center"/>
        </w:trPr>
        <w:tc>
          <w:tcPr>
            <w:tcW w:w="3402" w:type="dxa"/>
            <w:tcBorders>
              <w:right w:val="single" w:sz="4" w:space="0" w:color="auto"/>
            </w:tcBorders>
            <w:shd w:val="clear" w:color="auto" w:fill="F2F2F2" w:themeFill="background1" w:themeFillShade="F2"/>
          </w:tcPr>
          <w:p w14:paraId="3627435F" w14:textId="77777777" w:rsidR="00F467FD" w:rsidRDefault="006D0516">
            <w:pPr>
              <w:spacing w:line="480" w:lineRule="auto"/>
              <w:rPr>
                <w:rFonts w:ascii="Arial" w:hAnsi="Arial" w:cs="Arial"/>
                <w:i/>
                <w:sz w:val="20"/>
                <w:szCs w:val="20"/>
              </w:rPr>
            </w:pPr>
            <w:r>
              <w:rPr>
                <w:rFonts w:ascii="Arial" w:hAnsi="Arial" w:cs="Arial"/>
                <w:i/>
                <w:sz w:val="20"/>
                <w:szCs w:val="20"/>
              </w:rPr>
              <w:t xml:space="preserve">Ferritin </w:t>
            </w:r>
          </w:p>
        </w:tc>
        <w:tc>
          <w:tcPr>
            <w:tcW w:w="1985" w:type="dxa"/>
            <w:tcBorders>
              <w:left w:val="single" w:sz="4" w:space="0" w:color="auto"/>
            </w:tcBorders>
            <w:shd w:val="clear" w:color="auto" w:fill="F2F2F2" w:themeFill="background1" w:themeFillShade="F2"/>
          </w:tcPr>
          <w:p w14:paraId="1B50675C" w14:textId="77777777" w:rsidR="00F467FD" w:rsidRDefault="006D0516">
            <w:pPr>
              <w:spacing w:line="480" w:lineRule="auto"/>
              <w:jc w:val="center"/>
              <w:rPr>
                <w:rFonts w:ascii="Arial" w:hAnsi="Arial" w:cs="Arial"/>
                <w:sz w:val="20"/>
                <w:szCs w:val="20"/>
              </w:rPr>
            </w:pPr>
            <w:r>
              <w:rPr>
                <w:rFonts w:ascii="Arial" w:hAnsi="Arial" w:cs="Arial"/>
                <w:sz w:val="20"/>
                <w:szCs w:val="20"/>
              </w:rPr>
              <w:t>0</w:t>
            </w:r>
          </w:p>
        </w:tc>
      </w:tr>
      <w:tr w:rsidR="00F467FD" w14:paraId="7EFC5D86" w14:textId="77777777">
        <w:trPr>
          <w:jc w:val="center"/>
        </w:trPr>
        <w:tc>
          <w:tcPr>
            <w:tcW w:w="3402" w:type="dxa"/>
            <w:tcBorders>
              <w:right w:val="single" w:sz="4" w:space="0" w:color="auto"/>
            </w:tcBorders>
            <w:shd w:val="clear" w:color="auto" w:fill="auto"/>
          </w:tcPr>
          <w:p w14:paraId="0ADAC34A" w14:textId="77777777" w:rsidR="00F467FD" w:rsidRDefault="006D0516">
            <w:pPr>
              <w:spacing w:line="480" w:lineRule="auto"/>
              <w:rPr>
                <w:rFonts w:ascii="Arial" w:hAnsi="Arial" w:cs="Arial"/>
                <w:i/>
                <w:sz w:val="20"/>
                <w:szCs w:val="20"/>
              </w:rPr>
            </w:pPr>
            <w:r>
              <w:rPr>
                <w:rFonts w:ascii="Arial" w:hAnsi="Arial" w:cs="Arial"/>
                <w:i/>
                <w:sz w:val="20"/>
                <w:szCs w:val="20"/>
              </w:rPr>
              <w:t xml:space="preserve">Transferrin saturation </w:t>
            </w:r>
          </w:p>
        </w:tc>
        <w:tc>
          <w:tcPr>
            <w:tcW w:w="1985" w:type="dxa"/>
            <w:tcBorders>
              <w:left w:val="single" w:sz="4" w:space="0" w:color="auto"/>
            </w:tcBorders>
            <w:shd w:val="clear" w:color="auto" w:fill="auto"/>
          </w:tcPr>
          <w:p w14:paraId="05829E37" w14:textId="38B4BA84" w:rsidR="00F467FD" w:rsidRDefault="006D0516">
            <w:pPr>
              <w:spacing w:line="480" w:lineRule="auto"/>
              <w:jc w:val="center"/>
              <w:rPr>
                <w:rFonts w:ascii="Arial" w:hAnsi="Arial" w:cs="Arial"/>
                <w:sz w:val="20"/>
                <w:szCs w:val="20"/>
              </w:rPr>
            </w:pPr>
            <w:r>
              <w:rPr>
                <w:rFonts w:ascii="Arial" w:hAnsi="Arial" w:cs="Arial"/>
                <w:sz w:val="20"/>
                <w:szCs w:val="20"/>
              </w:rPr>
              <w:t>0</w:t>
            </w:r>
            <w:r w:rsidR="00003D4E">
              <w:rPr>
                <w:rFonts w:ascii="Arial" w:hAnsi="Arial" w:cs="Arial"/>
                <w:sz w:val="20"/>
                <w:szCs w:val="20"/>
              </w:rPr>
              <w:t>.3</w:t>
            </w:r>
          </w:p>
        </w:tc>
      </w:tr>
    </w:tbl>
    <w:p w14:paraId="329CCAB4" w14:textId="77777777" w:rsidR="00F467FD" w:rsidRDefault="00F467FD">
      <w:pPr>
        <w:rPr>
          <w:rStyle w:val="Hyperlink"/>
          <w:rFonts w:ascii="Arial" w:hAnsi="Arial" w:cs="Arial"/>
          <w:b/>
          <w:color w:val="000000" w:themeColor="text1"/>
          <w:sz w:val="20"/>
          <w:szCs w:val="20"/>
          <w:u w:val="none"/>
          <w:lang w:val="en-US"/>
        </w:rPr>
      </w:pPr>
    </w:p>
    <w:p w14:paraId="441919F5" w14:textId="357F60B4" w:rsidR="007F6DC6" w:rsidRDefault="007F6DC6">
      <w:pPr>
        <w:spacing w:line="480" w:lineRule="auto"/>
        <w:jc w:val="both"/>
        <w:rPr>
          <w:rFonts w:ascii="Arial" w:hAnsi="Arial" w:cs="Arial"/>
          <w:b/>
          <w:sz w:val="20"/>
          <w:szCs w:val="20"/>
          <w:lang w:val="en-US"/>
        </w:rPr>
      </w:pPr>
    </w:p>
    <w:sectPr w:rsidR="007F6DC6">
      <w:pgSz w:w="11900" w:h="16840"/>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0A6D9" w14:textId="77777777" w:rsidR="007E47DD" w:rsidRDefault="007E47DD">
      <w:r>
        <w:separator/>
      </w:r>
    </w:p>
  </w:endnote>
  <w:endnote w:type="continuationSeparator" w:id="0">
    <w:p w14:paraId="36B9C147" w14:textId="77777777" w:rsidR="007E47DD" w:rsidRDefault="007E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6FCCD" w14:textId="77777777" w:rsidR="007E47DD" w:rsidRDefault="007E47DD">
      <w:r>
        <w:separator/>
      </w:r>
    </w:p>
  </w:footnote>
  <w:footnote w:type="continuationSeparator" w:id="0">
    <w:p w14:paraId="549126B6" w14:textId="77777777" w:rsidR="007E47DD" w:rsidRDefault="007E4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69F"/>
    <w:multiLevelType w:val="hybridMultilevel"/>
    <w:tmpl w:val="2E4468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163FC0"/>
    <w:multiLevelType w:val="hybridMultilevel"/>
    <w:tmpl w:val="C8109816"/>
    <w:lvl w:ilvl="0" w:tplc="F9C216BE">
      <w:start w:val="1"/>
      <w:numFmt w:val="decimal"/>
      <w:lvlText w:val="%1."/>
      <w:lvlJc w:val="left"/>
      <w:pPr>
        <w:ind w:left="720" w:hanging="360"/>
      </w:pPr>
      <w:rPr>
        <w:rFonts w:eastAsia="MS Mincho"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5F34F1"/>
    <w:multiLevelType w:val="hybridMultilevel"/>
    <w:tmpl w:val="6D1E7A58"/>
    <w:lvl w:ilvl="0" w:tplc="1B201B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400BE"/>
    <w:multiLevelType w:val="hybridMultilevel"/>
    <w:tmpl w:val="A134E126"/>
    <w:lvl w:ilvl="0" w:tplc="5FFA5802">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E619D9"/>
    <w:multiLevelType w:val="hybridMultilevel"/>
    <w:tmpl w:val="40C2D0E4"/>
    <w:lvl w:ilvl="0" w:tplc="57E42CD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B62F4"/>
    <w:multiLevelType w:val="hybridMultilevel"/>
    <w:tmpl w:val="9D5089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466CAA"/>
    <w:multiLevelType w:val="hybridMultilevel"/>
    <w:tmpl w:val="68B41872"/>
    <w:lvl w:ilvl="0" w:tplc="F0D857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D"/>
    <w:rsid w:val="00003D4E"/>
    <w:rsid w:val="00155227"/>
    <w:rsid w:val="002A63D7"/>
    <w:rsid w:val="00402256"/>
    <w:rsid w:val="00673659"/>
    <w:rsid w:val="006D0516"/>
    <w:rsid w:val="006D678A"/>
    <w:rsid w:val="00720F2C"/>
    <w:rsid w:val="00750216"/>
    <w:rsid w:val="00795493"/>
    <w:rsid w:val="007B3189"/>
    <w:rsid w:val="007E47DD"/>
    <w:rsid w:val="007F6DC6"/>
    <w:rsid w:val="009A042D"/>
    <w:rsid w:val="009E7241"/>
    <w:rsid w:val="00A520A6"/>
    <w:rsid w:val="00B81FF6"/>
    <w:rsid w:val="00C02905"/>
    <w:rsid w:val="00CB0D6A"/>
    <w:rsid w:val="00E21776"/>
    <w:rsid w:val="00EA21C0"/>
    <w:rsid w:val="00EC58B9"/>
    <w:rsid w:val="00F24CB0"/>
    <w:rsid w:val="00F467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A7FFB"/>
  <w15:docId w15:val="{7B2ADF06-F2A7-4040-BDCC-9CABD99B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de-DE"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Standard1andard"/>
    <w:qFormat/>
    <w:pPr>
      <w:spacing w:line="240" w:lineRule="auto"/>
      <w:jc w:val="left"/>
    </w:pPr>
    <w:rPr>
      <w:rFonts w:ascii="Times New Roman" w:eastAsia="Times New Roman" w:hAnsi="Times New Roman" w:cs="Times New Roman"/>
      <w:lang w:val="de-DE"/>
    </w:rPr>
  </w:style>
  <w:style w:type="paragraph" w:styleId="berschrift1">
    <w:name w:val="heading 1"/>
    <w:basedOn w:val="Standard"/>
    <w:next w:val="Standard"/>
    <w:pPr>
      <w:keepNext/>
      <w:keepLines/>
      <w:spacing w:before="480" w:after="120" w:line="480" w:lineRule="auto"/>
      <w:jc w:val="both"/>
      <w:outlineLvl w:val="0"/>
    </w:pPr>
    <w:rPr>
      <w:rFonts w:ascii="Arial" w:eastAsia="Arial" w:hAnsi="Arial" w:cs="Arial"/>
      <w:b/>
      <w:sz w:val="48"/>
      <w:szCs w:val="48"/>
      <w:lang w:val="en-GB"/>
    </w:rPr>
  </w:style>
  <w:style w:type="paragraph" w:styleId="berschrift2">
    <w:name w:val="heading 2"/>
    <w:basedOn w:val="Standard"/>
    <w:next w:val="Standard"/>
    <w:pPr>
      <w:keepNext/>
      <w:keepLines/>
      <w:spacing w:before="360" w:after="80" w:line="480" w:lineRule="auto"/>
      <w:jc w:val="both"/>
      <w:outlineLvl w:val="1"/>
    </w:pPr>
    <w:rPr>
      <w:rFonts w:ascii="Arial" w:eastAsia="Arial" w:hAnsi="Arial" w:cs="Arial"/>
      <w:b/>
      <w:sz w:val="36"/>
      <w:szCs w:val="36"/>
      <w:lang w:val="en-GB"/>
    </w:rPr>
  </w:style>
  <w:style w:type="paragraph" w:styleId="berschrift3">
    <w:name w:val="heading 3"/>
    <w:basedOn w:val="Standard"/>
    <w:next w:val="Standard"/>
    <w:pPr>
      <w:keepNext/>
      <w:keepLines/>
      <w:spacing w:before="280" w:after="80" w:line="480" w:lineRule="auto"/>
      <w:jc w:val="both"/>
      <w:outlineLvl w:val="2"/>
    </w:pPr>
    <w:rPr>
      <w:rFonts w:ascii="Arial" w:eastAsia="Arial" w:hAnsi="Arial" w:cs="Arial"/>
      <w:b/>
      <w:sz w:val="28"/>
      <w:szCs w:val="28"/>
      <w:lang w:val="en-GB"/>
    </w:rPr>
  </w:style>
  <w:style w:type="paragraph" w:styleId="berschrift4">
    <w:name w:val="heading 4"/>
    <w:basedOn w:val="Standard"/>
    <w:next w:val="Standard"/>
    <w:pPr>
      <w:keepNext/>
      <w:keepLines/>
      <w:spacing w:before="240" w:after="40" w:line="480" w:lineRule="auto"/>
      <w:jc w:val="both"/>
      <w:outlineLvl w:val="3"/>
    </w:pPr>
    <w:rPr>
      <w:rFonts w:ascii="Arial" w:eastAsia="Arial" w:hAnsi="Arial" w:cs="Arial"/>
      <w:b/>
      <w:lang w:val="en-GB"/>
    </w:rPr>
  </w:style>
  <w:style w:type="paragraph" w:styleId="berschrift5">
    <w:name w:val="heading 5"/>
    <w:basedOn w:val="Standard"/>
    <w:next w:val="Standard"/>
    <w:pPr>
      <w:keepNext/>
      <w:keepLines/>
      <w:spacing w:before="220" w:after="40" w:line="480" w:lineRule="auto"/>
      <w:jc w:val="both"/>
      <w:outlineLvl w:val="4"/>
    </w:pPr>
    <w:rPr>
      <w:rFonts w:ascii="Arial" w:eastAsia="Arial" w:hAnsi="Arial" w:cs="Arial"/>
      <w:b/>
      <w:sz w:val="22"/>
      <w:szCs w:val="22"/>
      <w:lang w:val="en-GB"/>
    </w:rPr>
  </w:style>
  <w:style w:type="paragraph" w:styleId="berschrift6">
    <w:name w:val="heading 6"/>
    <w:basedOn w:val="Standard"/>
    <w:next w:val="Standard"/>
    <w:pPr>
      <w:keepNext/>
      <w:keepLines/>
      <w:spacing w:before="200" w:after="40" w:line="480" w:lineRule="auto"/>
      <w:jc w:val="both"/>
      <w:outlineLvl w:val="5"/>
    </w:pPr>
    <w:rPr>
      <w:rFonts w:ascii="Arial" w:eastAsia="Arial" w:hAnsi="Arial" w:cs="Arial"/>
      <w:b/>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line="480" w:lineRule="auto"/>
      <w:jc w:val="both"/>
    </w:pPr>
    <w:rPr>
      <w:rFonts w:ascii="Arial" w:eastAsia="Arial" w:hAnsi="Arial" w:cs="Arial"/>
      <w:b/>
      <w:sz w:val="72"/>
      <w:szCs w:val="72"/>
      <w:lang w:val="en-GB"/>
    </w:rPr>
  </w:style>
  <w:style w:type="paragraph" w:customStyle="1" w:styleId="Default">
    <w:name w:val="Default"/>
    <w:pPr>
      <w:widowControl w:val="0"/>
      <w:autoSpaceDE w:val="0"/>
      <w:autoSpaceDN w:val="0"/>
      <w:adjustRightInd w:val="0"/>
    </w:pPr>
    <w:rPr>
      <w:color w:val="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jc w:val="both"/>
    </w:pPr>
    <w:rPr>
      <w:rFonts w:ascii="Arial" w:eastAsia="Arial" w:hAnsi="Arial" w:cs="Arial"/>
      <w:sz w:val="20"/>
      <w:szCs w:val="20"/>
      <w:lang w:val="en-GB"/>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jc w:val="both"/>
    </w:pPr>
    <w:rPr>
      <w:rFonts w:ascii="Segoe UI" w:eastAsia="Arial" w:hAnsi="Segoe UI" w:cs="Segoe UI"/>
      <w:sz w:val="18"/>
      <w:szCs w:val="18"/>
      <w:lang w:val="en-GB"/>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basedOn w:val="Standard"/>
    <w:next w:val="Standard"/>
    <w:pPr>
      <w:keepNext/>
      <w:keepLines/>
      <w:spacing w:before="360" w:after="80" w:line="480" w:lineRule="auto"/>
      <w:jc w:val="both"/>
    </w:pPr>
    <w:rPr>
      <w:rFonts w:ascii="Georgia" w:eastAsia="Georgia" w:hAnsi="Georgia" w:cs="Georgia"/>
      <w:i/>
      <w:color w:val="666666"/>
      <w:sz w:val="48"/>
      <w:szCs w:val="48"/>
      <w:lang w:val="en-GB"/>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Pr>
      <w:rFonts w:ascii="Courier New" w:eastAsia="Times New Roman" w:hAnsi="Courier New" w:cs="Courier New"/>
      <w:sz w:val="20"/>
      <w:szCs w:val="20"/>
      <w:lang w:val="de-DE"/>
    </w:rPr>
  </w:style>
  <w:style w:type="character" w:customStyle="1" w:styleId="gnkrckgcgsb">
    <w:name w:val="gnkrckgcgsb"/>
    <w:basedOn w:val="Absatz-Standardschriftart"/>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pPr>
      <w:spacing w:line="480" w:lineRule="auto"/>
      <w:ind w:left="720"/>
      <w:contextualSpacing/>
      <w:jc w:val="both"/>
    </w:pPr>
    <w:rPr>
      <w:rFonts w:ascii="Arial" w:eastAsia="Arial" w:hAnsi="Arial" w:cs="Arial"/>
      <w:lang w:val="en-GB"/>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HTMLZitat">
    <w:name w:val="HTML Cite"/>
    <w:basedOn w:val="Absatz-Standardschriftart"/>
    <w:uiPriority w:val="99"/>
    <w:rPr>
      <w:i/>
      <w:i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536"/>
        <w:tab w:val="right" w:pos="9072"/>
      </w:tabs>
      <w:jc w:val="both"/>
    </w:pPr>
    <w:rPr>
      <w:rFonts w:ascii="Arial" w:eastAsia="Arial" w:hAnsi="Arial" w:cs="Arial"/>
      <w:lang w:val="en-GB"/>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jc w:val="both"/>
    </w:pPr>
    <w:rPr>
      <w:rFonts w:ascii="Arial" w:eastAsia="Arial" w:hAnsi="Arial" w:cs="Arial"/>
      <w:lang w:val="en-GB"/>
    </w:r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3532">
      <w:bodyDiv w:val="1"/>
      <w:marLeft w:val="0"/>
      <w:marRight w:val="0"/>
      <w:marTop w:val="0"/>
      <w:marBottom w:val="0"/>
      <w:divBdr>
        <w:top w:val="none" w:sz="0" w:space="0" w:color="auto"/>
        <w:left w:val="none" w:sz="0" w:space="0" w:color="auto"/>
        <w:bottom w:val="none" w:sz="0" w:space="0" w:color="auto"/>
        <w:right w:val="none" w:sz="0" w:space="0" w:color="auto"/>
      </w:divBdr>
    </w:div>
    <w:div w:id="336420751">
      <w:bodyDiv w:val="1"/>
      <w:marLeft w:val="0"/>
      <w:marRight w:val="0"/>
      <w:marTop w:val="0"/>
      <w:marBottom w:val="0"/>
      <w:divBdr>
        <w:top w:val="none" w:sz="0" w:space="0" w:color="auto"/>
        <w:left w:val="none" w:sz="0" w:space="0" w:color="auto"/>
        <w:bottom w:val="none" w:sz="0" w:space="0" w:color="auto"/>
        <w:right w:val="none" w:sz="0" w:space="0" w:color="auto"/>
      </w:divBdr>
    </w:div>
    <w:div w:id="499543066">
      <w:bodyDiv w:val="1"/>
      <w:marLeft w:val="0"/>
      <w:marRight w:val="0"/>
      <w:marTop w:val="0"/>
      <w:marBottom w:val="0"/>
      <w:divBdr>
        <w:top w:val="none" w:sz="0" w:space="0" w:color="auto"/>
        <w:left w:val="none" w:sz="0" w:space="0" w:color="auto"/>
        <w:bottom w:val="none" w:sz="0" w:space="0" w:color="auto"/>
        <w:right w:val="none" w:sz="0" w:space="0" w:color="auto"/>
      </w:divBdr>
    </w:div>
    <w:div w:id="608006665">
      <w:bodyDiv w:val="1"/>
      <w:marLeft w:val="0"/>
      <w:marRight w:val="0"/>
      <w:marTop w:val="0"/>
      <w:marBottom w:val="0"/>
      <w:divBdr>
        <w:top w:val="none" w:sz="0" w:space="0" w:color="auto"/>
        <w:left w:val="none" w:sz="0" w:space="0" w:color="auto"/>
        <w:bottom w:val="none" w:sz="0" w:space="0" w:color="auto"/>
        <w:right w:val="none" w:sz="0" w:space="0" w:color="auto"/>
      </w:divBdr>
    </w:div>
    <w:div w:id="695086175">
      <w:bodyDiv w:val="1"/>
      <w:marLeft w:val="0"/>
      <w:marRight w:val="0"/>
      <w:marTop w:val="0"/>
      <w:marBottom w:val="0"/>
      <w:divBdr>
        <w:top w:val="none" w:sz="0" w:space="0" w:color="auto"/>
        <w:left w:val="none" w:sz="0" w:space="0" w:color="auto"/>
        <w:bottom w:val="none" w:sz="0" w:space="0" w:color="auto"/>
        <w:right w:val="none" w:sz="0" w:space="0" w:color="auto"/>
      </w:divBdr>
    </w:div>
    <w:div w:id="939028145">
      <w:bodyDiv w:val="1"/>
      <w:marLeft w:val="0"/>
      <w:marRight w:val="0"/>
      <w:marTop w:val="0"/>
      <w:marBottom w:val="0"/>
      <w:divBdr>
        <w:top w:val="none" w:sz="0" w:space="0" w:color="auto"/>
        <w:left w:val="none" w:sz="0" w:space="0" w:color="auto"/>
        <w:bottom w:val="none" w:sz="0" w:space="0" w:color="auto"/>
        <w:right w:val="none" w:sz="0" w:space="0" w:color="auto"/>
      </w:divBdr>
    </w:div>
    <w:div w:id="1496532766">
      <w:bodyDiv w:val="1"/>
      <w:marLeft w:val="0"/>
      <w:marRight w:val="0"/>
      <w:marTop w:val="0"/>
      <w:marBottom w:val="0"/>
      <w:divBdr>
        <w:top w:val="none" w:sz="0" w:space="0" w:color="auto"/>
        <w:left w:val="none" w:sz="0" w:space="0" w:color="auto"/>
        <w:bottom w:val="none" w:sz="0" w:space="0" w:color="auto"/>
        <w:right w:val="none" w:sz="0" w:space="0" w:color="auto"/>
      </w:divBdr>
    </w:div>
    <w:div w:id="1504012380">
      <w:bodyDiv w:val="1"/>
      <w:marLeft w:val="0"/>
      <w:marRight w:val="0"/>
      <w:marTop w:val="0"/>
      <w:marBottom w:val="0"/>
      <w:divBdr>
        <w:top w:val="none" w:sz="0" w:space="0" w:color="auto"/>
        <w:left w:val="none" w:sz="0" w:space="0" w:color="auto"/>
        <w:bottom w:val="none" w:sz="0" w:space="0" w:color="auto"/>
        <w:right w:val="none" w:sz="0" w:space="0" w:color="auto"/>
      </w:divBdr>
    </w:div>
    <w:div w:id="1551260931">
      <w:bodyDiv w:val="1"/>
      <w:marLeft w:val="0"/>
      <w:marRight w:val="0"/>
      <w:marTop w:val="0"/>
      <w:marBottom w:val="0"/>
      <w:divBdr>
        <w:top w:val="none" w:sz="0" w:space="0" w:color="auto"/>
        <w:left w:val="none" w:sz="0" w:space="0" w:color="auto"/>
        <w:bottom w:val="none" w:sz="0" w:space="0" w:color="auto"/>
        <w:right w:val="none" w:sz="0" w:space="0" w:color="auto"/>
      </w:divBdr>
    </w:div>
    <w:div w:id="1833791612">
      <w:bodyDiv w:val="1"/>
      <w:marLeft w:val="0"/>
      <w:marRight w:val="0"/>
      <w:marTop w:val="0"/>
      <w:marBottom w:val="0"/>
      <w:divBdr>
        <w:top w:val="none" w:sz="0" w:space="0" w:color="auto"/>
        <w:left w:val="none" w:sz="0" w:space="0" w:color="auto"/>
        <w:bottom w:val="none" w:sz="0" w:space="0" w:color="auto"/>
        <w:right w:val="none" w:sz="0" w:space="0" w:color="auto"/>
      </w:divBdr>
    </w:div>
    <w:div w:id="1911764688">
      <w:bodyDiv w:val="1"/>
      <w:marLeft w:val="0"/>
      <w:marRight w:val="0"/>
      <w:marTop w:val="0"/>
      <w:marBottom w:val="0"/>
      <w:divBdr>
        <w:top w:val="none" w:sz="0" w:space="0" w:color="auto"/>
        <w:left w:val="none" w:sz="0" w:space="0" w:color="auto"/>
        <w:bottom w:val="none" w:sz="0" w:space="0" w:color="auto"/>
        <w:right w:val="none" w:sz="0" w:space="0" w:color="auto"/>
      </w:divBdr>
    </w:div>
    <w:div w:id="1944457837">
      <w:bodyDiv w:val="1"/>
      <w:marLeft w:val="0"/>
      <w:marRight w:val="0"/>
      <w:marTop w:val="0"/>
      <w:marBottom w:val="0"/>
      <w:divBdr>
        <w:top w:val="none" w:sz="0" w:space="0" w:color="auto"/>
        <w:left w:val="none" w:sz="0" w:space="0" w:color="auto"/>
        <w:bottom w:val="none" w:sz="0" w:space="0" w:color="auto"/>
        <w:right w:val="none" w:sz="0" w:space="0" w:color="auto"/>
      </w:divBdr>
    </w:div>
    <w:div w:id="2041851503">
      <w:bodyDiv w:val="1"/>
      <w:marLeft w:val="0"/>
      <w:marRight w:val="0"/>
      <w:marTop w:val="0"/>
      <w:marBottom w:val="0"/>
      <w:divBdr>
        <w:top w:val="none" w:sz="0" w:space="0" w:color="auto"/>
        <w:left w:val="none" w:sz="0" w:space="0" w:color="auto"/>
        <w:bottom w:val="none" w:sz="0" w:space="0" w:color="auto"/>
        <w:right w:val="none" w:sz="0" w:space="0" w:color="auto"/>
      </w:divBdr>
    </w:div>
    <w:div w:id="214218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l.fi/publications/morgam/cohorts/full/germany/ger-aug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omsoundersokelsen.uit.no/tromso/" TargetMode="External"/><Relationship Id="rId4" Type="http://schemas.openxmlformats.org/officeDocument/2006/relationships/settings" Target="settings.xml"/><Relationship Id="rId9" Type="http://schemas.openxmlformats.org/officeDocument/2006/relationships/hyperlink" Target="http://www.thl.fi/publications/morgam/cohorts/full/sweden/swe-nswa.ht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E049-6A36-4F5F-B858-EC2ABCD7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Benedikt Schrage</cp:lastModifiedBy>
  <cp:revision>9</cp:revision>
  <dcterms:created xsi:type="dcterms:W3CDTF">2019-10-02T06:29:00Z</dcterms:created>
  <dcterms:modified xsi:type="dcterms:W3CDTF">2021-03-17T05:32:00Z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aeb89455-b7d8-302a-8131-85aba251c1ec</vt:lpwstr>
  </property>
  <property fmtid="{D5CDD505-2E9C-101B-9397-08002B2CF9AE}" pid="4" name="Mendeley Citation Style_1">
    <vt:lpwstr>http://csl.mendeley.com/styles/478461031/american-medical-association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http://csl.mendeley.com/styles/478461031/american-medical-association</vt:lpwstr>
  </property>
  <property fmtid="{D5CDD505-2E9C-101B-9397-08002B2CF9AE}" pid="8" name="Mendeley Recent Style Name 1_1">
    <vt:lpwstr>American Medical Association - Benedikt Schrage</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16th edition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http://csl.mendeley.com/styles/478461031/vancouver</vt:lpwstr>
  </property>
  <property fmtid="{D5CDD505-2E9C-101B-9397-08002B2CF9AE}" pid="24" name="Mendeley Recent Style Name 9_1">
    <vt:lpwstr>Vancouver - Benedikt Schrage</vt:lpwstr>
  </property>
</Properties>
</file>