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C813A2" w14:textId="77777777" w:rsidR="00B043D4" w:rsidRPr="00E36BF5" w:rsidRDefault="00B043D4" w:rsidP="00B043D4">
      <w:pPr>
        <w:rPr>
          <w:rFonts w:ascii="Arial" w:hAnsi="Arial" w:cs="Arial"/>
          <w:b/>
          <w:sz w:val="24"/>
          <w:szCs w:val="24"/>
        </w:rPr>
      </w:pPr>
      <w:r w:rsidRPr="00E36BF5">
        <w:rPr>
          <w:rFonts w:ascii="Arial" w:hAnsi="Arial" w:cs="Arial"/>
          <w:b/>
          <w:sz w:val="24"/>
          <w:szCs w:val="24"/>
        </w:rPr>
        <w:t>Metabolic tumor constitution is superior to tumor regression grading for evaluating response to neoadjuvant therapy of esophageal adenocarcinoma patients</w:t>
      </w:r>
    </w:p>
    <w:p w14:paraId="28E6A42E" w14:textId="76F65062" w:rsidR="00B043D4" w:rsidRPr="00935BDF" w:rsidRDefault="00B043D4" w:rsidP="00B043D4">
      <w:pPr>
        <w:spacing w:after="80"/>
        <w:rPr>
          <w:rFonts w:ascii="Arial" w:hAnsi="Arial" w:cs="Arial"/>
          <w:sz w:val="24"/>
          <w:szCs w:val="24"/>
        </w:rPr>
      </w:pPr>
      <w:r w:rsidRPr="00E36BF5">
        <w:rPr>
          <w:rFonts w:ascii="Arial" w:hAnsi="Arial" w:cs="Arial"/>
          <w:sz w:val="24"/>
          <w:szCs w:val="24"/>
          <w:lang w:val="de-DE"/>
        </w:rPr>
        <w:t>A Buck, VM Prade</w:t>
      </w:r>
      <w:r w:rsidRPr="00E36BF5">
        <w:rPr>
          <w:rFonts w:ascii="Arial" w:hAnsi="Arial" w:cs="Arial"/>
          <w:sz w:val="24"/>
          <w:szCs w:val="24"/>
        </w:rPr>
        <w:t xml:space="preserve"> </w:t>
      </w:r>
      <w:r w:rsidRPr="00E36BF5">
        <w:rPr>
          <w:rFonts w:ascii="Arial" w:hAnsi="Arial" w:cs="Arial"/>
          <w:bCs/>
          <w:i/>
          <w:iCs/>
          <w:sz w:val="24"/>
          <w:szCs w:val="24"/>
        </w:rPr>
        <w:t xml:space="preserve">et al. </w:t>
      </w:r>
      <w:r w:rsidRPr="00E36BF5">
        <w:rPr>
          <w:rFonts w:ascii="Arial" w:hAnsi="Arial" w:cs="Arial"/>
          <w:i/>
          <w:iCs/>
          <w:sz w:val="24"/>
          <w:szCs w:val="24"/>
        </w:rPr>
        <w:t xml:space="preserve">J </w:t>
      </w:r>
      <w:proofErr w:type="spellStart"/>
      <w:r w:rsidRPr="00E36BF5">
        <w:rPr>
          <w:rFonts w:ascii="Arial" w:hAnsi="Arial" w:cs="Arial"/>
          <w:i/>
          <w:iCs/>
          <w:sz w:val="24"/>
          <w:szCs w:val="24"/>
        </w:rPr>
        <w:t>Pathol</w:t>
      </w:r>
      <w:proofErr w:type="spellEnd"/>
      <w:r w:rsidRPr="00E36BF5">
        <w:rPr>
          <w:rFonts w:ascii="Arial" w:hAnsi="Arial" w:cs="Arial"/>
          <w:sz w:val="24"/>
          <w:szCs w:val="24"/>
        </w:rPr>
        <w:t xml:space="preserve"> DOI: 10.1002/path.</w:t>
      </w:r>
      <w:r w:rsidR="00070C33">
        <w:rPr>
          <w:rFonts w:ascii="Arial" w:hAnsi="Arial" w:cs="Arial"/>
          <w:sz w:val="24"/>
          <w:szCs w:val="24"/>
        </w:rPr>
        <w:t>5828</w:t>
      </w:r>
    </w:p>
    <w:p w14:paraId="05F4B846" w14:textId="77777777" w:rsidR="00B043D4" w:rsidRDefault="00B043D4" w:rsidP="00B043D4">
      <w:pPr>
        <w:spacing w:after="80"/>
        <w:rPr>
          <w:iCs/>
          <w:sz w:val="21"/>
          <w:szCs w:val="21"/>
        </w:rPr>
      </w:pPr>
    </w:p>
    <w:p w14:paraId="01803A8A" w14:textId="77777777" w:rsidR="00935BDF" w:rsidRPr="00B043D4" w:rsidRDefault="00935BDF" w:rsidP="00B043D4">
      <w:pPr>
        <w:spacing w:after="80"/>
        <w:rPr>
          <w:iCs/>
          <w:sz w:val="21"/>
          <w:szCs w:val="21"/>
        </w:rPr>
      </w:pPr>
    </w:p>
    <w:p w14:paraId="7E54A103" w14:textId="1116D778" w:rsidR="00B07B03" w:rsidRPr="00935BDF" w:rsidRDefault="00935BDF">
      <w:pPr>
        <w:rPr>
          <w:rFonts w:ascii="Arial" w:hAnsi="Arial" w:cs="Arial"/>
          <w:b/>
          <w:sz w:val="24"/>
          <w:szCs w:val="24"/>
        </w:rPr>
      </w:pPr>
      <w:r>
        <w:rPr>
          <w:rFonts w:ascii="Arial" w:hAnsi="Arial" w:cs="Arial"/>
          <w:b/>
          <w:sz w:val="24"/>
          <w:szCs w:val="24"/>
        </w:rPr>
        <w:t>Supplementary Figures S1–S4</w:t>
      </w:r>
    </w:p>
    <w:p w14:paraId="3A3EA10D" w14:textId="781E3791" w:rsidR="00B043D4" w:rsidRDefault="00935BDF">
      <w:pPr>
        <w:rPr>
          <w:b/>
          <w:szCs w:val="21"/>
        </w:rPr>
      </w:pPr>
      <w:r>
        <w:rPr>
          <w:rFonts w:ascii="Arial" w:hAnsi="Arial" w:cs="Arial"/>
          <w:b/>
          <w:sz w:val="24"/>
          <w:szCs w:val="24"/>
        </w:rPr>
        <w:t xml:space="preserve">Supplementary </w:t>
      </w:r>
      <w:r w:rsidRPr="00935BDF">
        <w:rPr>
          <w:rFonts w:ascii="Arial" w:hAnsi="Arial" w:cs="Arial"/>
          <w:b/>
          <w:sz w:val="24"/>
          <w:szCs w:val="24"/>
        </w:rPr>
        <w:t>Table S1</w:t>
      </w:r>
    </w:p>
    <w:p w14:paraId="3AA2CD2B" w14:textId="12A5AFA2" w:rsidR="00B043D4" w:rsidRDefault="00B043D4">
      <w:pPr>
        <w:rPr>
          <w:b/>
          <w:szCs w:val="21"/>
        </w:rPr>
      </w:pPr>
    </w:p>
    <w:p w14:paraId="794F987D" w14:textId="77777777" w:rsidR="00B043D4" w:rsidRDefault="00B043D4">
      <w:pPr>
        <w:rPr>
          <w:b/>
          <w:szCs w:val="21"/>
        </w:rPr>
      </w:pPr>
    </w:p>
    <w:p w14:paraId="3AC23419" w14:textId="77777777" w:rsidR="00935BDF" w:rsidRDefault="00B043D4" w:rsidP="00935BDF">
      <w:pPr>
        <w:spacing w:line="360" w:lineRule="auto"/>
        <w:rPr>
          <w:rFonts w:ascii="Arial" w:hAnsi="Arial" w:cs="Arial"/>
          <w:b/>
        </w:rPr>
      </w:pPr>
      <w:r>
        <w:rPr>
          <w:b/>
          <w:noProof/>
          <w:sz w:val="20"/>
          <w:szCs w:val="20"/>
          <w:lang w:val="en-GB" w:eastAsia="en-GB"/>
        </w:rPr>
        <w:drawing>
          <wp:inline distT="0" distB="0" distL="0" distR="0" wp14:anchorId="7977F131" wp14:editId="096CD559">
            <wp:extent cx="5927725" cy="2791460"/>
            <wp:effectExtent l="0" t="0" r="3175" b="2540"/>
            <wp:docPr id="4"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27725" cy="2791460"/>
                    </a:xfrm>
                    <a:prstGeom prst="rect">
                      <a:avLst/>
                    </a:prstGeom>
                    <a:noFill/>
                    <a:ln>
                      <a:noFill/>
                    </a:ln>
                  </pic:spPr>
                </pic:pic>
              </a:graphicData>
            </a:graphic>
          </wp:inline>
        </w:drawing>
      </w:r>
    </w:p>
    <w:p w14:paraId="24952BA7" w14:textId="305B7138" w:rsidR="00B043D4" w:rsidRPr="00935BDF" w:rsidRDefault="00B043D4" w:rsidP="00935BDF">
      <w:pPr>
        <w:spacing w:line="360" w:lineRule="auto"/>
        <w:rPr>
          <w:rFonts w:ascii="Arial" w:hAnsi="Arial" w:cs="Arial"/>
          <w:b/>
        </w:rPr>
      </w:pPr>
      <w:r w:rsidRPr="00935BDF">
        <w:rPr>
          <w:rFonts w:ascii="Arial" w:hAnsi="Arial" w:cs="Arial"/>
          <w:b/>
        </w:rPr>
        <w:t>Figure S1.</w:t>
      </w:r>
      <w:r w:rsidRPr="00935BDF">
        <w:rPr>
          <w:rFonts w:ascii="Arial" w:hAnsi="Arial" w:cs="Arial"/>
        </w:rPr>
        <w:t xml:space="preserve"> </w:t>
      </w:r>
      <w:r w:rsidR="00935BDF" w:rsidRPr="00935BDF">
        <w:rPr>
          <w:rFonts w:ascii="Arial" w:hAnsi="Arial" w:cs="Arial"/>
        </w:rPr>
        <w:t>Overall</w:t>
      </w:r>
      <w:bookmarkStart w:id="0" w:name="here6"/>
      <w:bookmarkEnd w:id="0"/>
      <w:r w:rsidR="00935BDF" w:rsidRPr="00935BDF">
        <w:rPr>
          <w:rFonts w:ascii="Arial" w:hAnsi="Arial" w:cs="Arial"/>
        </w:rPr>
        <w:t xml:space="preserve"> survival according to tumor regression grade and lymph node status</w:t>
      </w:r>
      <w:r w:rsidR="00935BDF">
        <w:rPr>
          <w:rFonts w:ascii="Arial" w:hAnsi="Arial" w:cs="Arial"/>
        </w:rPr>
        <w:t>.</w:t>
      </w:r>
      <w:r w:rsidR="00935BDF" w:rsidRPr="00935BDF">
        <w:rPr>
          <w:rFonts w:ascii="Arial" w:hAnsi="Arial" w:cs="Arial"/>
        </w:rPr>
        <w:t xml:space="preserve"> </w:t>
      </w:r>
      <w:r w:rsidRPr="00935BDF">
        <w:rPr>
          <w:rFonts w:ascii="Arial" w:hAnsi="Arial" w:cs="Arial"/>
        </w:rPr>
        <w:t xml:space="preserve">Overall survival stratified by (A) TRG and (B) </w:t>
      </w:r>
      <w:proofErr w:type="spellStart"/>
      <w:r w:rsidRPr="00935BDF">
        <w:rPr>
          <w:rFonts w:ascii="Arial" w:hAnsi="Arial" w:cs="Arial"/>
        </w:rPr>
        <w:t>ypN</w:t>
      </w:r>
      <w:proofErr w:type="spellEnd"/>
      <w:r w:rsidRPr="00935BDF">
        <w:rPr>
          <w:rFonts w:ascii="Arial" w:hAnsi="Arial" w:cs="Arial"/>
        </w:rPr>
        <w:t xml:space="preserve"> category in patients treated with neoadjuvant therapy following surgery. Differences in overall survival were determined by Kaplan–Meier survival estimates using a log-rank test.</w:t>
      </w:r>
      <w:r w:rsidRPr="00935BDF">
        <w:rPr>
          <w:rFonts w:ascii="Arial" w:hAnsi="Arial" w:cs="Arial"/>
          <w:i/>
        </w:rPr>
        <w:t xml:space="preserve"> P</w:t>
      </w:r>
      <w:r w:rsidRPr="00935BDF">
        <w:rPr>
          <w:rFonts w:ascii="Arial" w:hAnsi="Arial" w:cs="Arial"/>
        </w:rPr>
        <w:t xml:space="preserve"> values </w:t>
      </w:r>
      <w:r w:rsidR="00935BDF">
        <w:rPr>
          <w:rFonts w:ascii="Arial" w:hAnsi="Arial" w:cs="Arial"/>
        </w:rPr>
        <w:t xml:space="preserve">less than </w:t>
      </w:r>
      <w:r w:rsidRPr="00935BDF">
        <w:rPr>
          <w:rFonts w:ascii="Arial" w:hAnsi="Arial" w:cs="Arial"/>
        </w:rPr>
        <w:t>0.05 were considered significant.</w:t>
      </w:r>
    </w:p>
    <w:p w14:paraId="7DBD8437" w14:textId="1A3885F1" w:rsidR="00B043D4" w:rsidRDefault="00B043D4">
      <w:pPr>
        <w:rPr>
          <w:b/>
          <w:szCs w:val="21"/>
        </w:rPr>
      </w:pPr>
      <w:r>
        <w:rPr>
          <w:b/>
          <w:szCs w:val="21"/>
        </w:rPr>
        <w:br w:type="page"/>
      </w:r>
    </w:p>
    <w:p w14:paraId="49FBEEB3" w14:textId="77777777" w:rsidR="00B043D4" w:rsidRDefault="00B043D4" w:rsidP="00B043D4">
      <w:pPr>
        <w:spacing w:after="240"/>
        <w:jc w:val="both"/>
        <w:rPr>
          <w:b/>
          <w:sz w:val="20"/>
          <w:szCs w:val="20"/>
        </w:rPr>
      </w:pPr>
      <w:r>
        <w:rPr>
          <w:b/>
          <w:noProof/>
          <w:sz w:val="20"/>
          <w:szCs w:val="20"/>
          <w:lang w:val="en-GB" w:eastAsia="en-GB"/>
        </w:rPr>
        <w:lastRenderedPageBreak/>
        <w:drawing>
          <wp:inline distT="0" distB="0" distL="0" distR="0" wp14:anchorId="068BEED4" wp14:editId="4155F4DC">
            <wp:extent cx="5932805" cy="2129790"/>
            <wp:effectExtent l="0" t="0" r="0" b="381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2805" cy="2129790"/>
                    </a:xfrm>
                    <a:prstGeom prst="rect">
                      <a:avLst/>
                    </a:prstGeom>
                    <a:noFill/>
                    <a:ln>
                      <a:noFill/>
                    </a:ln>
                  </pic:spPr>
                </pic:pic>
              </a:graphicData>
            </a:graphic>
          </wp:inline>
        </w:drawing>
      </w:r>
    </w:p>
    <w:p w14:paraId="61013645" w14:textId="7C68D95A" w:rsidR="00B043D4" w:rsidRPr="00935BDF" w:rsidRDefault="00B043D4" w:rsidP="00935BDF">
      <w:pPr>
        <w:spacing w:after="240" w:line="360" w:lineRule="auto"/>
        <w:jc w:val="both"/>
        <w:rPr>
          <w:rFonts w:ascii="Arial" w:hAnsi="Arial" w:cs="Arial"/>
          <w:b/>
        </w:rPr>
      </w:pPr>
      <w:r w:rsidRPr="00935BDF">
        <w:rPr>
          <w:rFonts w:ascii="Arial" w:hAnsi="Arial" w:cs="Arial"/>
          <w:b/>
        </w:rPr>
        <w:t>Figure S2.</w:t>
      </w:r>
      <w:r w:rsidRPr="00935BDF">
        <w:rPr>
          <w:rFonts w:ascii="Arial" w:hAnsi="Arial" w:cs="Arial"/>
        </w:rPr>
        <w:t xml:space="preserve"> </w:t>
      </w:r>
      <w:r w:rsidR="00C87518" w:rsidRPr="00C87518">
        <w:rPr>
          <w:rFonts w:ascii="Arial" w:hAnsi="Arial" w:cs="Arial"/>
        </w:rPr>
        <w:t xml:space="preserve">Significance values of individual metabolites compared with the performance of the classifiers. </w:t>
      </w:r>
      <w:r w:rsidRPr="00935BDF">
        <w:rPr>
          <w:rFonts w:ascii="Arial" w:hAnsi="Arial" w:cs="Arial"/>
        </w:rPr>
        <w:t xml:space="preserve">(A) The tumor classifier (dashed line, </w:t>
      </w:r>
      <w:r w:rsidR="00935BDF">
        <w:rPr>
          <w:rFonts w:ascii="Arial" w:hAnsi="Arial" w:cs="Arial"/>
          <w:i/>
        </w:rPr>
        <w:t>p </w:t>
      </w:r>
      <w:r w:rsidRPr="00935BDF">
        <w:rPr>
          <w:rFonts w:ascii="Arial" w:hAnsi="Arial" w:cs="Arial"/>
        </w:rPr>
        <w:t>=</w:t>
      </w:r>
      <w:r w:rsidR="00935BDF" w:rsidRPr="00935BDF">
        <w:rPr>
          <w:rFonts w:ascii="Arial" w:hAnsi="Arial" w:cs="Arial"/>
        </w:rPr>
        <w:t> </w:t>
      </w:r>
      <w:r w:rsidRPr="00935BDF">
        <w:rPr>
          <w:rFonts w:ascii="Arial" w:hAnsi="Arial" w:cs="Arial"/>
        </w:rPr>
        <w:t>10</w:t>
      </w:r>
      <w:r w:rsidR="00C87518">
        <w:rPr>
          <w:rFonts w:ascii="Arial" w:hAnsi="Arial" w:cs="Arial"/>
          <w:vertAlign w:val="superscript"/>
        </w:rPr>
        <w:t>−</w:t>
      </w:r>
      <w:r w:rsidRPr="00935BDF">
        <w:rPr>
          <w:rFonts w:ascii="Arial" w:hAnsi="Arial" w:cs="Arial"/>
          <w:vertAlign w:val="superscript"/>
        </w:rPr>
        <w:t>8</w:t>
      </w:r>
      <w:r w:rsidRPr="00935BDF">
        <w:rPr>
          <w:rFonts w:ascii="Arial" w:hAnsi="Arial" w:cs="Arial"/>
        </w:rPr>
        <w:t xml:space="preserve">) is higher in significance compared </w:t>
      </w:r>
      <w:r w:rsidR="00935BDF">
        <w:rPr>
          <w:rFonts w:ascii="Arial" w:hAnsi="Arial" w:cs="Arial"/>
        </w:rPr>
        <w:t>with</w:t>
      </w:r>
      <w:r w:rsidRPr="00935BDF">
        <w:rPr>
          <w:rFonts w:ascii="Arial" w:hAnsi="Arial" w:cs="Arial"/>
        </w:rPr>
        <w:t xml:space="preserve"> its individual metabolites used for patient stratification. (B) Most stroma metabolites also show a lower significance than the classifier (dashed line, </w:t>
      </w:r>
      <w:r w:rsidR="00935BDF">
        <w:rPr>
          <w:rFonts w:ascii="Arial" w:hAnsi="Arial" w:cs="Arial"/>
          <w:i/>
        </w:rPr>
        <w:t>p </w:t>
      </w:r>
      <w:r w:rsidRPr="00935BDF">
        <w:rPr>
          <w:rFonts w:ascii="Arial" w:hAnsi="Arial" w:cs="Arial"/>
        </w:rPr>
        <w:t>=</w:t>
      </w:r>
      <w:r w:rsidR="00935BDF" w:rsidRPr="00935BDF">
        <w:rPr>
          <w:rFonts w:ascii="Arial" w:hAnsi="Arial" w:cs="Arial"/>
        </w:rPr>
        <w:t> </w:t>
      </w:r>
      <w:r w:rsidRPr="00935BDF">
        <w:rPr>
          <w:rFonts w:ascii="Arial" w:hAnsi="Arial" w:cs="Arial"/>
        </w:rPr>
        <w:t>7</w:t>
      </w:r>
      <w:r w:rsidR="00451B6D">
        <w:rPr>
          <w:rFonts w:ascii="Arial" w:hAnsi="Arial" w:cs="Arial"/>
        </w:rPr>
        <w:t> </w:t>
      </w:r>
      <w:r w:rsidR="0079150A">
        <w:rPr>
          <w:rFonts w:ascii="Arial" w:hAnsi="Arial" w:cs="Arial"/>
        </w:rPr>
        <w:sym w:font="Symbol" w:char="F0B4"/>
      </w:r>
      <w:r w:rsidR="00451B6D">
        <w:rPr>
          <w:rFonts w:ascii="Arial" w:hAnsi="Arial" w:cs="Arial"/>
        </w:rPr>
        <w:t> </w:t>
      </w:r>
      <w:r w:rsidRPr="00935BDF">
        <w:rPr>
          <w:rFonts w:ascii="Arial" w:hAnsi="Arial" w:cs="Arial"/>
        </w:rPr>
        <w:t>10</w:t>
      </w:r>
      <w:r w:rsidR="00C87518">
        <w:rPr>
          <w:rFonts w:ascii="Arial" w:hAnsi="Arial" w:cs="Arial"/>
          <w:vertAlign w:val="superscript"/>
        </w:rPr>
        <w:t>−</w:t>
      </w:r>
      <w:r w:rsidRPr="00935BDF">
        <w:rPr>
          <w:rFonts w:ascii="Arial" w:hAnsi="Arial" w:cs="Arial"/>
          <w:vertAlign w:val="superscript"/>
        </w:rPr>
        <w:t>6</w:t>
      </w:r>
      <w:r w:rsidRPr="00935BDF">
        <w:rPr>
          <w:rFonts w:ascii="Arial" w:hAnsi="Arial" w:cs="Arial"/>
        </w:rPr>
        <w:t xml:space="preserve">). It is shown that four molecular ions at </w:t>
      </w:r>
      <w:r w:rsidRPr="00935BDF">
        <w:rPr>
          <w:rFonts w:ascii="Arial" w:hAnsi="Arial" w:cs="Arial"/>
          <w:i/>
        </w:rPr>
        <w:t>m/z</w:t>
      </w:r>
      <w:r w:rsidRPr="00935BDF">
        <w:rPr>
          <w:rFonts w:ascii="Arial" w:hAnsi="Arial" w:cs="Arial"/>
        </w:rPr>
        <w:t xml:space="preserve"> 599.1444 (feature importance: 0.0003; </w:t>
      </w:r>
      <w:r w:rsidR="00935BDF">
        <w:rPr>
          <w:rFonts w:ascii="Arial" w:hAnsi="Arial" w:cs="Arial"/>
          <w:i/>
        </w:rPr>
        <w:t>p </w:t>
      </w:r>
      <w:r w:rsidRPr="00935BDF">
        <w:rPr>
          <w:rFonts w:ascii="Arial" w:hAnsi="Arial" w:cs="Arial"/>
          <w:i/>
        </w:rPr>
        <w:t>=</w:t>
      </w:r>
      <w:r w:rsidR="00935BDF">
        <w:rPr>
          <w:rFonts w:ascii="Arial" w:hAnsi="Arial" w:cs="Arial"/>
          <w:i/>
        </w:rPr>
        <w:t> </w:t>
      </w:r>
      <w:r w:rsidRPr="00935BDF">
        <w:rPr>
          <w:rFonts w:ascii="Arial" w:hAnsi="Arial" w:cs="Arial"/>
        </w:rPr>
        <w:t xml:space="preserve">2.178E-07), </w:t>
      </w:r>
      <w:r w:rsidRPr="00935BDF">
        <w:rPr>
          <w:rFonts w:ascii="Arial" w:hAnsi="Arial" w:cs="Arial"/>
          <w:i/>
        </w:rPr>
        <w:t>m/z</w:t>
      </w:r>
      <w:r w:rsidRPr="00935BDF">
        <w:rPr>
          <w:rFonts w:ascii="Arial" w:hAnsi="Arial" w:cs="Arial"/>
        </w:rPr>
        <w:t xml:space="preserve"> 559.0366 (feature importance: 0.0007; </w:t>
      </w:r>
      <w:r w:rsidR="00935BDF">
        <w:rPr>
          <w:rFonts w:ascii="Arial" w:hAnsi="Arial" w:cs="Arial"/>
          <w:i/>
        </w:rPr>
        <w:t>p </w:t>
      </w:r>
      <w:r w:rsidRPr="00935BDF">
        <w:rPr>
          <w:rFonts w:ascii="Arial" w:hAnsi="Arial" w:cs="Arial"/>
          <w:i/>
        </w:rPr>
        <w:t>=</w:t>
      </w:r>
      <w:r w:rsidR="00935BDF">
        <w:rPr>
          <w:rFonts w:ascii="Arial" w:hAnsi="Arial" w:cs="Arial"/>
          <w:i/>
        </w:rPr>
        <w:t> </w:t>
      </w:r>
      <w:r w:rsidRPr="00935BDF">
        <w:rPr>
          <w:rFonts w:ascii="Arial" w:hAnsi="Arial" w:cs="Arial"/>
        </w:rPr>
        <w:t xml:space="preserve">9.215E-07), </w:t>
      </w:r>
      <w:r w:rsidRPr="00935BDF">
        <w:rPr>
          <w:rFonts w:ascii="Arial" w:hAnsi="Arial" w:cs="Arial"/>
          <w:i/>
        </w:rPr>
        <w:t>m/z</w:t>
      </w:r>
      <w:r w:rsidRPr="00935BDF">
        <w:rPr>
          <w:rFonts w:ascii="Arial" w:hAnsi="Arial" w:cs="Arial"/>
        </w:rPr>
        <w:t xml:space="preserve"> 540.0678 (feature importance: 0.0002; </w:t>
      </w:r>
      <w:r w:rsidR="00935BDF">
        <w:rPr>
          <w:rFonts w:ascii="Arial" w:hAnsi="Arial" w:cs="Arial"/>
          <w:i/>
        </w:rPr>
        <w:t>p </w:t>
      </w:r>
      <w:r w:rsidRPr="00935BDF">
        <w:rPr>
          <w:rFonts w:ascii="Arial" w:hAnsi="Arial" w:cs="Arial"/>
          <w:i/>
        </w:rPr>
        <w:t>=</w:t>
      </w:r>
      <w:r w:rsidR="00935BDF">
        <w:rPr>
          <w:rFonts w:ascii="Arial" w:hAnsi="Arial" w:cs="Arial"/>
          <w:i/>
        </w:rPr>
        <w:t> </w:t>
      </w:r>
      <w:r w:rsidRPr="00935BDF">
        <w:rPr>
          <w:rFonts w:ascii="Arial" w:hAnsi="Arial" w:cs="Arial"/>
        </w:rPr>
        <w:t xml:space="preserve">1.385E-06), </w:t>
      </w:r>
      <w:r w:rsidR="00C87518">
        <w:rPr>
          <w:rFonts w:ascii="Arial" w:hAnsi="Arial" w:cs="Arial"/>
        </w:rPr>
        <w:t xml:space="preserve">and </w:t>
      </w:r>
      <w:r w:rsidRPr="00935BDF">
        <w:rPr>
          <w:rFonts w:ascii="Arial" w:hAnsi="Arial" w:cs="Arial"/>
          <w:i/>
        </w:rPr>
        <w:t>m/z</w:t>
      </w:r>
      <w:r w:rsidRPr="00935BDF">
        <w:rPr>
          <w:rFonts w:ascii="Arial" w:hAnsi="Arial" w:cs="Arial"/>
        </w:rPr>
        <w:t xml:space="preserve"> 392.0282 (feature importance: 0.0034; </w:t>
      </w:r>
      <w:r w:rsidR="00935BDF">
        <w:rPr>
          <w:rFonts w:ascii="Arial" w:hAnsi="Arial" w:cs="Arial"/>
          <w:i/>
        </w:rPr>
        <w:t>p </w:t>
      </w:r>
      <w:r w:rsidRPr="00935BDF">
        <w:rPr>
          <w:rFonts w:ascii="Arial" w:hAnsi="Arial" w:cs="Arial"/>
          <w:i/>
        </w:rPr>
        <w:t>=</w:t>
      </w:r>
      <w:r w:rsidR="00935BDF">
        <w:rPr>
          <w:rFonts w:ascii="Arial" w:hAnsi="Arial" w:cs="Arial"/>
          <w:i/>
        </w:rPr>
        <w:t> </w:t>
      </w:r>
      <w:r w:rsidRPr="00935BDF">
        <w:rPr>
          <w:rFonts w:ascii="Arial" w:hAnsi="Arial" w:cs="Arial"/>
        </w:rPr>
        <w:t xml:space="preserve">1.978E-06) are of higher significance but do not contribute to optimum patient stratification due to a low importance of classifier features. The stroma classifier was trained with the same threshold that </w:t>
      </w:r>
      <w:r w:rsidR="00337C54">
        <w:rPr>
          <w:rFonts w:ascii="Arial" w:hAnsi="Arial" w:cs="Arial"/>
        </w:rPr>
        <w:t>was</w:t>
      </w:r>
      <w:r w:rsidRPr="00935BDF">
        <w:rPr>
          <w:rFonts w:ascii="Arial" w:hAnsi="Arial" w:cs="Arial"/>
        </w:rPr>
        <w:t xml:space="preserve"> used for the classification of tumor tissue regions.</w:t>
      </w:r>
    </w:p>
    <w:p w14:paraId="05773A15" w14:textId="515DF54C" w:rsidR="00B043D4" w:rsidRDefault="00B043D4">
      <w:pPr>
        <w:rPr>
          <w:b/>
          <w:szCs w:val="21"/>
        </w:rPr>
      </w:pPr>
      <w:r>
        <w:rPr>
          <w:b/>
          <w:szCs w:val="21"/>
        </w:rPr>
        <w:br w:type="page"/>
      </w:r>
    </w:p>
    <w:p w14:paraId="39E3FA6A" w14:textId="77777777" w:rsidR="00B043D4" w:rsidRDefault="00B043D4" w:rsidP="00B043D4">
      <w:pPr>
        <w:jc w:val="center"/>
        <w:rPr>
          <w:sz w:val="20"/>
          <w:szCs w:val="20"/>
        </w:rPr>
      </w:pPr>
      <w:r>
        <w:rPr>
          <w:noProof/>
          <w:lang w:val="en-GB" w:eastAsia="en-GB"/>
        </w:rPr>
        <w:lastRenderedPageBreak/>
        <w:drawing>
          <wp:inline distT="0" distB="0" distL="0" distR="0" wp14:anchorId="7F773B5B" wp14:editId="1C2D20A6">
            <wp:extent cx="2955851" cy="5145074"/>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t="1618" b="1322"/>
                    <a:stretch/>
                  </pic:blipFill>
                  <pic:spPr bwMode="auto">
                    <a:xfrm>
                      <a:off x="0" y="0"/>
                      <a:ext cx="2967062" cy="5164589"/>
                    </a:xfrm>
                    <a:prstGeom prst="rect">
                      <a:avLst/>
                    </a:prstGeom>
                    <a:ln>
                      <a:noFill/>
                    </a:ln>
                    <a:extLst>
                      <a:ext uri="{53640926-AAD7-44D8-BBD7-CCE9431645EC}">
                        <a14:shadowObscured xmlns:a14="http://schemas.microsoft.com/office/drawing/2010/main"/>
                      </a:ext>
                    </a:extLst>
                  </pic:spPr>
                </pic:pic>
              </a:graphicData>
            </a:graphic>
          </wp:inline>
        </w:drawing>
      </w:r>
    </w:p>
    <w:p w14:paraId="1C9837EF" w14:textId="4FCBCFFC" w:rsidR="00B043D4" w:rsidRPr="00935BDF" w:rsidRDefault="00B043D4" w:rsidP="00935BDF">
      <w:pPr>
        <w:spacing w:line="360" w:lineRule="auto"/>
        <w:rPr>
          <w:rFonts w:ascii="Arial" w:hAnsi="Arial" w:cs="Arial"/>
        </w:rPr>
      </w:pPr>
      <w:r w:rsidRPr="00935BDF">
        <w:rPr>
          <w:rFonts w:ascii="Arial" w:hAnsi="Arial" w:cs="Arial"/>
          <w:b/>
        </w:rPr>
        <w:t xml:space="preserve">Figure S3. </w:t>
      </w:r>
      <w:r w:rsidRPr="00935BDF">
        <w:rPr>
          <w:rFonts w:ascii="Arial" w:hAnsi="Arial" w:cs="Arial"/>
        </w:rPr>
        <w:t>Random forest (RF) classifier including metabolites from both tissue compartments</w:t>
      </w:r>
      <w:r w:rsidR="00036592">
        <w:rPr>
          <w:rFonts w:ascii="Arial" w:hAnsi="Arial" w:cs="Arial"/>
        </w:rPr>
        <w:t>,</w:t>
      </w:r>
      <w:r w:rsidRPr="00935BDF">
        <w:rPr>
          <w:rFonts w:ascii="Arial" w:hAnsi="Arial" w:cs="Arial"/>
        </w:rPr>
        <w:t xml:space="preserve"> tumor and stroma, result</w:t>
      </w:r>
      <w:r w:rsidR="00036592">
        <w:rPr>
          <w:rFonts w:ascii="Arial" w:hAnsi="Arial" w:cs="Arial"/>
        </w:rPr>
        <w:t>s</w:t>
      </w:r>
      <w:r w:rsidRPr="00935BDF">
        <w:rPr>
          <w:rFonts w:ascii="Arial" w:hAnsi="Arial" w:cs="Arial"/>
        </w:rPr>
        <w:t xml:space="preserve"> in risk stratification of patients after neoadjuvant treatment. </w:t>
      </w:r>
      <w:r w:rsidRPr="00935BDF">
        <w:rPr>
          <w:rFonts w:ascii="Arial" w:hAnsi="Arial" w:cs="Arial"/>
          <w:bCs/>
        </w:rPr>
        <w:t>(</w:t>
      </w:r>
      <w:r w:rsidRPr="00935BDF">
        <w:rPr>
          <w:rFonts w:ascii="Arial" w:hAnsi="Arial" w:cs="Arial"/>
        </w:rPr>
        <w:t>A) Forest plots of log</w:t>
      </w:r>
      <w:r w:rsidRPr="00036592">
        <w:rPr>
          <w:rFonts w:ascii="Arial" w:hAnsi="Arial" w:cs="Arial"/>
          <w:vertAlign w:val="subscript"/>
        </w:rPr>
        <w:t>2</w:t>
      </w:r>
      <w:r w:rsidRPr="00935BDF">
        <w:rPr>
          <w:rFonts w:ascii="Arial" w:hAnsi="Arial" w:cs="Arial"/>
        </w:rPr>
        <w:t xml:space="preserve"> hazard ratios with 95% confidence intervals obtained for the classification to separate patients into metabolic responding groups. The plot is ordered according to the importance of individual tumor and stroma metabolite features. (B) Diagnostic performance summarizing the sensitivity, specificity</w:t>
      </w:r>
      <w:r w:rsidR="00036592">
        <w:rPr>
          <w:rFonts w:ascii="Arial" w:hAnsi="Arial" w:cs="Arial"/>
        </w:rPr>
        <w:t>,</w:t>
      </w:r>
      <w:r w:rsidRPr="00935BDF">
        <w:rPr>
          <w:rFonts w:ascii="Arial" w:hAnsi="Arial" w:cs="Arial"/>
        </w:rPr>
        <w:t xml:space="preserve"> and accuracy of the combined classification approach. </w:t>
      </w:r>
      <w:r w:rsidRPr="00036592">
        <w:rPr>
          <w:rFonts w:ascii="Arial" w:hAnsi="Arial" w:cs="Arial"/>
          <w:i/>
        </w:rPr>
        <w:t>P</w:t>
      </w:r>
      <w:r w:rsidRPr="00935BDF">
        <w:rPr>
          <w:rFonts w:ascii="Arial" w:hAnsi="Arial" w:cs="Arial"/>
        </w:rPr>
        <w:t xml:space="preserve"> values </w:t>
      </w:r>
      <w:r w:rsidR="00036592">
        <w:rPr>
          <w:rFonts w:ascii="Arial" w:hAnsi="Arial" w:cs="Arial"/>
        </w:rPr>
        <w:t xml:space="preserve">less than </w:t>
      </w:r>
      <w:r w:rsidRPr="00935BDF">
        <w:rPr>
          <w:rFonts w:ascii="Arial" w:hAnsi="Arial" w:cs="Arial"/>
        </w:rPr>
        <w:t>0.05 were considered significant.</w:t>
      </w:r>
    </w:p>
    <w:p w14:paraId="71470372" w14:textId="77777777" w:rsidR="00B043D4" w:rsidRDefault="00B043D4">
      <w:pPr>
        <w:rPr>
          <w:sz w:val="20"/>
          <w:szCs w:val="20"/>
        </w:rPr>
      </w:pPr>
      <w:r>
        <w:rPr>
          <w:sz w:val="20"/>
          <w:szCs w:val="20"/>
        </w:rPr>
        <w:br w:type="page"/>
      </w:r>
    </w:p>
    <w:p w14:paraId="6454E051" w14:textId="77777777" w:rsidR="00935BDF" w:rsidRDefault="00B043D4" w:rsidP="00935BDF">
      <w:pPr>
        <w:spacing w:line="360" w:lineRule="auto"/>
        <w:rPr>
          <w:rFonts w:ascii="Arial" w:hAnsi="Arial" w:cs="Arial"/>
          <w:b/>
        </w:rPr>
      </w:pPr>
      <w:r>
        <w:rPr>
          <w:b/>
          <w:noProof/>
          <w:sz w:val="20"/>
          <w:szCs w:val="20"/>
          <w:lang w:val="en-GB" w:eastAsia="en-GB"/>
        </w:rPr>
        <w:lastRenderedPageBreak/>
        <w:drawing>
          <wp:inline distT="0" distB="0" distL="0" distR="0" wp14:anchorId="64D53A7D" wp14:editId="6331BC01">
            <wp:extent cx="5943600" cy="3221990"/>
            <wp:effectExtent l="0" t="0" r="0" b="3810"/>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10">
                      <a:extLst>
                        <a:ext uri="{28A0092B-C50C-407E-A947-70E740481C1C}">
                          <a14:useLocalDpi xmlns:a14="http://schemas.microsoft.com/office/drawing/2010/main" val="0"/>
                        </a:ext>
                      </a:extLst>
                    </a:blip>
                    <a:srcRect b="1991"/>
                    <a:stretch>
                      <a:fillRect/>
                    </a:stretch>
                  </pic:blipFill>
                  <pic:spPr bwMode="auto">
                    <a:xfrm>
                      <a:off x="0" y="0"/>
                      <a:ext cx="5943600" cy="3221990"/>
                    </a:xfrm>
                    <a:prstGeom prst="rect">
                      <a:avLst/>
                    </a:prstGeom>
                    <a:noFill/>
                    <a:ln>
                      <a:noFill/>
                    </a:ln>
                  </pic:spPr>
                </pic:pic>
              </a:graphicData>
            </a:graphic>
          </wp:inline>
        </w:drawing>
      </w:r>
    </w:p>
    <w:p w14:paraId="5F82A55B" w14:textId="0E43D1A9" w:rsidR="00B043D4" w:rsidRPr="00935BDF" w:rsidRDefault="00B043D4" w:rsidP="00935BDF">
      <w:pPr>
        <w:spacing w:line="360" w:lineRule="auto"/>
        <w:rPr>
          <w:rFonts w:ascii="Arial" w:hAnsi="Arial" w:cs="Arial"/>
        </w:rPr>
      </w:pPr>
      <w:r w:rsidRPr="00935BDF">
        <w:rPr>
          <w:rFonts w:ascii="Arial" w:hAnsi="Arial" w:cs="Arial"/>
          <w:b/>
        </w:rPr>
        <w:t>Figure S4.</w:t>
      </w:r>
      <w:r w:rsidRPr="00935BDF">
        <w:rPr>
          <w:rFonts w:ascii="Arial" w:hAnsi="Arial" w:cs="Arial"/>
        </w:rPr>
        <w:t xml:space="preserve"> </w:t>
      </w:r>
      <w:r w:rsidR="00892F5C" w:rsidRPr="00892F5C">
        <w:rPr>
          <w:rFonts w:ascii="Arial" w:hAnsi="Arial" w:cs="Arial"/>
        </w:rPr>
        <w:t xml:space="preserve">Tumor and stroma random forest classifiers applied to subgroups of the </w:t>
      </w:r>
      <w:proofErr w:type="spellStart"/>
      <w:r w:rsidR="00892F5C" w:rsidRPr="00892F5C">
        <w:rPr>
          <w:rFonts w:ascii="Arial" w:hAnsi="Arial" w:cs="Arial"/>
        </w:rPr>
        <w:t>ypN</w:t>
      </w:r>
      <w:proofErr w:type="spellEnd"/>
      <w:r w:rsidR="00892F5C" w:rsidRPr="00892F5C">
        <w:rPr>
          <w:rFonts w:ascii="Arial" w:hAnsi="Arial" w:cs="Arial"/>
        </w:rPr>
        <w:t xml:space="preserve"> enable patient stratification.</w:t>
      </w:r>
      <w:r w:rsidR="00892F5C" w:rsidRPr="00935BDF">
        <w:rPr>
          <w:rFonts w:ascii="Arial" w:hAnsi="Arial" w:cs="Arial"/>
        </w:rPr>
        <w:t xml:space="preserve"> </w:t>
      </w:r>
      <w:r w:rsidRPr="00935BDF">
        <w:rPr>
          <w:rFonts w:ascii="Arial" w:hAnsi="Arial" w:cs="Arial"/>
        </w:rPr>
        <w:t>(A) Tumor and (B) stroma classifiers stratified patients significantly within ypN0 and ypN1, while classification in ypN2</w:t>
      </w:r>
      <w:r w:rsidR="00AB216A">
        <w:rPr>
          <w:rFonts w:ascii="Arial" w:hAnsi="Arial" w:cs="Arial"/>
        </w:rPr>
        <w:t xml:space="preserve"> and ypN</w:t>
      </w:r>
      <w:r w:rsidRPr="00935BDF">
        <w:rPr>
          <w:rFonts w:ascii="Arial" w:hAnsi="Arial" w:cs="Arial"/>
        </w:rPr>
        <w:t xml:space="preserve">3 was not significant. In the stroma, the ypN3 category could not be further stratified with the classifiers using Kaplan–Meier analysis. </w:t>
      </w:r>
      <w:r w:rsidRPr="00892F5C">
        <w:rPr>
          <w:rFonts w:ascii="Arial" w:hAnsi="Arial" w:cs="Arial"/>
          <w:i/>
        </w:rPr>
        <w:t>P</w:t>
      </w:r>
      <w:r w:rsidRPr="00935BDF">
        <w:rPr>
          <w:rFonts w:ascii="Arial" w:hAnsi="Arial" w:cs="Arial"/>
        </w:rPr>
        <w:t xml:space="preserve"> values </w:t>
      </w:r>
      <w:r w:rsidR="00892F5C">
        <w:rPr>
          <w:rFonts w:ascii="Arial" w:hAnsi="Arial" w:cs="Arial"/>
        </w:rPr>
        <w:t xml:space="preserve">less than </w:t>
      </w:r>
      <w:r w:rsidRPr="00935BDF">
        <w:rPr>
          <w:rFonts w:ascii="Arial" w:hAnsi="Arial" w:cs="Arial"/>
        </w:rPr>
        <w:t>0.05 were considered significant.</w:t>
      </w:r>
    </w:p>
    <w:p w14:paraId="45444848" w14:textId="77777777" w:rsidR="00B043D4" w:rsidRDefault="00B043D4">
      <w:pPr>
        <w:rPr>
          <w:sz w:val="20"/>
        </w:rPr>
      </w:pPr>
      <w:r>
        <w:rPr>
          <w:sz w:val="20"/>
        </w:rPr>
        <w:br w:type="page"/>
      </w:r>
    </w:p>
    <w:p w14:paraId="39D93DC7" w14:textId="77777777" w:rsidR="00B91648" w:rsidRDefault="00B91648">
      <w:pPr>
        <w:rPr>
          <w:b/>
          <w:bCs/>
          <w:sz w:val="20"/>
        </w:rPr>
      </w:pPr>
    </w:p>
    <w:p w14:paraId="5E23D189" w14:textId="78971A2F" w:rsidR="00B91648" w:rsidRPr="00B91648" w:rsidRDefault="00B91648" w:rsidP="00B91648">
      <w:pPr>
        <w:spacing w:line="360" w:lineRule="auto"/>
        <w:rPr>
          <w:rFonts w:ascii="Arial" w:hAnsi="Arial" w:cs="Arial"/>
          <w:b/>
          <w:bCs/>
        </w:rPr>
      </w:pPr>
      <w:r w:rsidRPr="00B91648">
        <w:rPr>
          <w:rFonts w:ascii="Arial" w:hAnsi="Arial" w:cs="Arial"/>
          <w:b/>
          <w:bCs/>
        </w:rPr>
        <w:t>Table S1.</w:t>
      </w:r>
      <w:r w:rsidRPr="00B91648">
        <w:rPr>
          <w:rFonts w:ascii="Arial" w:hAnsi="Arial" w:cs="Arial"/>
        </w:rPr>
        <w:t xml:space="preserve"> Clinicopathological variables of 144 patients with EAC who underwent neoadjuvant chemoradiotherapy followed by esophagectomy and 64 pat</w:t>
      </w:r>
      <w:r>
        <w:rPr>
          <w:rFonts w:ascii="Arial" w:hAnsi="Arial" w:cs="Arial"/>
        </w:rPr>
        <w:t>ients with primary resected EAC</w:t>
      </w:r>
    </w:p>
    <w:tbl>
      <w:tblPr>
        <w:tblStyle w:val="TableGrid"/>
        <w:tblW w:w="89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992"/>
        <w:gridCol w:w="2552"/>
        <w:gridCol w:w="283"/>
        <w:gridCol w:w="2552"/>
      </w:tblGrid>
      <w:tr w:rsidR="00B07B03" w:rsidRPr="00696A22" w14:paraId="774D3EBD" w14:textId="77777777">
        <w:trPr>
          <w:trHeight w:val="397"/>
        </w:trPr>
        <w:tc>
          <w:tcPr>
            <w:tcW w:w="2552" w:type="dxa"/>
            <w:tcBorders>
              <w:top w:val="single" w:sz="4" w:space="0" w:color="auto"/>
            </w:tcBorders>
            <w:vAlign w:val="center"/>
          </w:tcPr>
          <w:p w14:paraId="4F6BEAF3" w14:textId="77777777" w:rsidR="00B07B03" w:rsidRPr="00696A22" w:rsidRDefault="00B07B03">
            <w:pPr>
              <w:rPr>
                <w:rFonts w:ascii="Arial" w:eastAsia="Times New Roman" w:hAnsi="Arial" w:cs="Arial"/>
                <w:b/>
                <w:sz w:val="18"/>
                <w:szCs w:val="18"/>
              </w:rPr>
            </w:pPr>
          </w:p>
        </w:tc>
        <w:tc>
          <w:tcPr>
            <w:tcW w:w="992" w:type="dxa"/>
            <w:tcBorders>
              <w:top w:val="single" w:sz="4" w:space="0" w:color="auto"/>
            </w:tcBorders>
            <w:vAlign w:val="center"/>
          </w:tcPr>
          <w:p w14:paraId="7A215373" w14:textId="77777777" w:rsidR="00B07B03" w:rsidRPr="00696A22" w:rsidRDefault="00B07B03">
            <w:pPr>
              <w:rPr>
                <w:rFonts w:ascii="Arial" w:eastAsia="Times New Roman" w:hAnsi="Arial" w:cs="Arial"/>
                <w:b/>
                <w:sz w:val="18"/>
                <w:szCs w:val="18"/>
              </w:rPr>
            </w:pPr>
          </w:p>
        </w:tc>
        <w:tc>
          <w:tcPr>
            <w:tcW w:w="2552" w:type="dxa"/>
            <w:tcBorders>
              <w:top w:val="single" w:sz="4" w:space="0" w:color="auto"/>
              <w:bottom w:val="single" w:sz="4" w:space="0" w:color="auto"/>
            </w:tcBorders>
            <w:vAlign w:val="center"/>
          </w:tcPr>
          <w:p w14:paraId="6B8B678C" w14:textId="4E3BB3BD" w:rsidR="00B07B03" w:rsidRPr="00696A22" w:rsidRDefault="00B91648">
            <w:pPr>
              <w:jc w:val="center"/>
              <w:rPr>
                <w:rFonts w:ascii="Arial" w:eastAsia="Times New Roman" w:hAnsi="Arial" w:cs="Arial"/>
                <w:b/>
                <w:bCs/>
                <w:sz w:val="18"/>
                <w:szCs w:val="18"/>
              </w:rPr>
            </w:pPr>
            <w:r w:rsidRPr="00696A22">
              <w:rPr>
                <w:rFonts w:ascii="Arial" w:eastAsia="Times New Roman" w:hAnsi="Arial" w:cs="Arial"/>
                <w:b/>
                <w:bCs/>
                <w:sz w:val="18"/>
                <w:szCs w:val="18"/>
              </w:rPr>
              <w:t>N</w:t>
            </w:r>
            <w:r w:rsidR="00FB3110" w:rsidRPr="00696A22">
              <w:rPr>
                <w:rFonts w:ascii="Arial" w:eastAsia="Times New Roman" w:hAnsi="Arial" w:cs="Arial"/>
                <w:b/>
                <w:bCs/>
                <w:sz w:val="18"/>
                <w:szCs w:val="18"/>
              </w:rPr>
              <w:t>eoadjuvant EAC</w:t>
            </w:r>
          </w:p>
        </w:tc>
        <w:tc>
          <w:tcPr>
            <w:tcW w:w="283" w:type="dxa"/>
            <w:tcBorders>
              <w:top w:val="single" w:sz="4" w:space="0" w:color="auto"/>
            </w:tcBorders>
            <w:vAlign w:val="center"/>
          </w:tcPr>
          <w:p w14:paraId="5E1060F7" w14:textId="77777777" w:rsidR="00B07B03" w:rsidRPr="00696A22" w:rsidRDefault="00B07B03">
            <w:pPr>
              <w:jc w:val="center"/>
              <w:rPr>
                <w:rFonts w:ascii="Arial" w:eastAsia="Times New Roman" w:hAnsi="Arial" w:cs="Arial"/>
                <w:b/>
                <w:bCs/>
                <w:sz w:val="18"/>
                <w:szCs w:val="18"/>
              </w:rPr>
            </w:pPr>
          </w:p>
        </w:tc>
        <w:tc>
          <w:tcPr>
            <w:tcW w:w="2552" w:type="dxa"/>
            <w:tcBorders>
              <w:top w:val="single" w:sz="4" w:space="0" w:color="auto"/>
              <w:bottom w:val="single" w:sz="4" w:space="0" w:color="auto"/>
            </w:tcBorders>
            <w:vAlign w:val="center"/>
          </w:tcPr>
          <w:p w14:paraId="3564CE5B" w14:textId="20A99DEF" w:rsidR="00B07B03" w:rsidRPr="00696A22" w:rsidRDefault="00B91648">
            <w:pPr>
              <w:jc w:val="center"/>
              <w:rPr>
                <w:rFonts w:ascii="Arial" w:eastAsia="Times New Roman" w:hAnsi="Arial" w:cs="Arial"/>
                <w:b/>
                <w:bCs/>
                <w:sz w:val="18"/>
                <w:szCs w:val="18"/>
              </w:rPr>
            </w:pPr>
            <w:r w:rsidRPr="00696A22">
              <w:rPr>
                <w:rFonts w:ascii="Arial" w:eastAsia="Times New Roman" w:hAnsi="Arial" w:cs="Arial"/>
                <w:b/>
                <w:bCs/>
                <w:sz w:val="18"/>
                <w:szCs w:val="18"/>
              </w:rPr>
              <w:t>P</w:t>
            </w:r>
            <w:r w:rsidR="00FB3110" w:rsidRPr="00696A22">
              <w:rPr>
                <w:rFonts w:ascii="Arial" w:eastAsia="Times New Roman" w:hAnsi="Arial" w:cs="Arial"/>
                <w:b/>
                <w:bCs/>
                <w:sz w:val="18"/>
                <w:szCs w:val="18"/>
              </w:rPr>
              <w:t>rimary resected EAC</w:t>
            </w:r>
          </w:p>
        </w:tc>
      </w:tr>
      <w:tr w:rsidR="00B07B03" w:rsidRPr="00696A22" w14:paraId="310BEEAD" w14:textId="77777777">
        <w:trPr>
          <w:trHeight w:val="397"/>
        </w:trPr>
        <w:tc>
          <w:tcPr>
            <w:tcW w:w="2552" w:type="dxa"/>
            <w:tcBorders>
              <w:bottom w:val="single" w:sz="4" w:space="0" w:color="auto"/>
            </w:tcBorders>
            <w:vAlign w:val="center"/>
            <w:hideMark/>
          </w:tcPr>
          <w:p w14:paraId="696CD603" w14:textId="77777777" w:rsidR="00B07B03" w:rsidRPr="00696A22" w:rsidRDefault="00FB3110">
            <w:pPr>
              <w:rPr>
                <w:rFonts w:ascii="Arial" w:eastAsia="Times New Roman" w:hAnsi="Arial" w:cs="Arial"/>
                <w:b/>
                <w:sz w:val="18"/>
                <w:szCs w:val="18"/>
              </w:rPr>
            </w:pPr>
            <w:r w:rsidRPr="00696A22">
              <w:rPr>
                <w:rFonts w:ascii="Arial" w:eastAsia="Times New Roman" w:hAnsi="Arial" w:cs="Arial"/>
                <w:b/>
                <w:sz w:val="18"/>
                <w:szCs w:val="18"/>
              </w:rPr>
              <w:t>Variables</w:t>
            </w:r>
          </w:p>
        </w:tc>
        <w:tc>
          <w:tcPr>
            <w:tcW w:w="992" w:type="dxa"/>
            <w:tcBorders>
              <w:bottom w:val="single" w:sz="4" w:space="0" w:color="auto"/>
            </w:tcBorders>
            <w:vAlign w:val="center"/>
            <w:hideMark/>
          </w:tcPr>
          <w:p w14:paraId="0F5B2CF3" w14:textId="77777777" w:rsidR="00B07B03" w:rsidRPr="00696A22" w:rsidRDefault="00B07B03">
            <w:pPr>
              <w:rPr>
                <w:rFonts w:ascii="Arial" w:eastAsia="Times New Roman" w:hAnsi="Arial" w:cs="Arial"/>
                <w:b/>
                <w:sz w:val="18"/>
                <w:szCs w:val="18"/>
              </w:rPr>
            </w:pPr>
          </w:p>
        </w:tc>
        <w:tc>
          <w:tcPr>
            <w:tcW w:w="2552" w:type="dxa"/>
            <w:tcBorders>
              <w:top w:val="single" w:sz="4" w:space="0" w:color="auto"/>
              <w:bottom w:val="single" w:sz="4" w:space="0" w:color="auto"/>
            </w:tcBorders>
            <w:vAlign w:val="center"/>
            <w:hideMark/>
          </w:tcPr>
          <w:p w14:paraId="37D8236B" w14:textId="77777777" w:rsidR="00B07B03" w:rsidRPr="00696A22" w:rsidRDefault="00FB3110">
            <w:pPr>
              <w:jc w:val="center"/>
              <w:rPr>
                <w:rFonts w:ascii="Arial" w:eastAsia="Times New Roman" w:hAnsi="Arial" w:cs="Arial"/>
                <w:b/>
                <w:sz w:val="18"/>
                <w:szCs w:val="18"/>
              </w:rPr>
            </w:pPr>
            <w:r w:rsidRPr="00696A22">
              <w:rPr>
                <w:rFonts w:ascii="Arial" w:eastAsia="Times New Roman" w:hAnsi="Arial" w:cs="Arial"/>
                <w:b/>
                <w:bCs/>
                <w:i/>
                <w:sz w:val="18"/>
                <w:szCs w:val="18"/>
              </w:rPr>
              <w:t>n</w:t>
            </w:r>
            <w:r w:rsidRPr="00696A22">
              <w:rPr>
                <w:rFonts w:ascii="Arial" w:eastAsia="Times New Roman" w:hAnsi="Arial" w:cs="Arial"/>
                <w:b/>
                <w:bCs/>
                <w:sz w:val="18"/>
                <w:szCs w:val="18"/>
              </w:rPr>
              <w:t xml:space="preserve"> (%)</w:t>
            </w:r>
          </w:p>
        </w:tc>
        <w:tc>
          <w:tcPr>
            <w:tcW w:w="283" w:type="dxa"/>
            <w:tcBorders>
              <w:bottom w:val="single" w:sz="4" w:space="0" w:color="auto"/>
            </w:tcBorders>
            <w:vAlign w:val="center"/>
          </w:tcPr>
          <w:p w14:paraId="79D3A219" w14:textId="77777777" w:rsidR="00B07B03" w:rsidRPr="00696A22" w:rsidRDefault="00B07B03">
            <w:pPr>
              <w:jc w:val="center"/>
              <w:rPr>
                <w:rFonts w:ascii="Arial" w:eastAsia="Times New Roman" w:hAnsi="Arial" w:cs="Arial"/>
                <w:b/>
                <w:bCs/>
                <w:sz w:val="18"/>
                <w:szCs w:val="18"/>
              </w:rPr>
            </w:pPr>
          </w:p>
        </w:tc>
        <w:tc>
          <w:tcPr>
            <w:tcW w:w="2552" w:type="dxa"/>
            <w:tcBorders>
              <w:top w:val="single" w:sz="4" w:space="0" w:color="auto"/>
              <w:bottom w:val="single" w:sz="4" w:space="0" w:color="auto"/>
            </w:tcBorders>
            <w:vAlign w:val="center"/>
            <w:hideMark/>
          </w:tcPr>
          <w:p w14:paraId="46FE9E4E" w14:textId="77777777" w:rsidR="00B07B03" w:rsidRPr="00696A22" w:rsidRDefault="00FB3110">
            <w:pPr>
              <w:jc w:val="center"/>
              <w:rPr>
                <w:rFonts w:ascii="Arial" w:eastAsia="Times New Roman" w:hAnsi="Arial" w:cs="Arial"/>
                <w:b/>
                <w:sz w:val="18"/>
                <w:szCs w:val="18"/>
              </w:rPr>
            </w:pPr>
            <w:r w:rsidRPr="00696A22">
              <w:rPr>
                <w:rFonts w:ascii="Arial" w:eastAsia="Times New Roman" w:hAnsi="Arial" w:cs="Arial"/>
                <w:b/>
                <w:bCs/>
                <w:i/>
                <w:sz w:val="18"/>
                <w:szCs w:val="18"/>
              </w:rPr>
              <w:t>n</w:t>
            </w:r>
            <w:r w:rsidRPr="00696A22">
              <w:rPr>
                <w:rFonts w:ascii="Arial" w:eastAsia="Times New Roman" w:hAnsi="Arial" w:cs="Arial"/>
                <w:b/>
                <w:bCs/>
                <w:sz w:val="18"/>
                <w:szCs w:val="18"/>
              </w:rPr>
              <w:t xml:space="preserve"> (%)</w:t>
            </w:r>
          </w:p>
        </w:tc>
      </w:tr>
      <w:tr w:rsidR="00B07B03" w:rsidRPr="00696A22" w14:paraId="2EE6E96C" w14:textId="77777777">
        <w:trPr>
          <w:trHeight w:val="397"/>
        </w:trPr>
        <w:tc>
          <w:tcPr>
            <w:tcW w:w="2552" w:type="dxa"/>
            <w:tcBorders>
              <w:top w:val="single" w:sz="4" w:space="0" w:color="auto"/>
            </w:tcBorders>
            <w:vAlign w:val="center"/>
            <w:hideMark/>
          </w:tcPr>
          <w:p w14:paraId="31D0429B" w14:textId="77777777" w:rsidR="00B07B03" w:rsidRPr="00696A22" w:rsidRDefault="00FB3110">
            <w:pPr>
              <w:rPr>
                <w:rFonts w:ascii="Arial" w:eastAsia="Times New Roman" w:hAnsi="Arial" w:cs="Arial"/>
                <w:sz w:val="18"/>
                <w:szCs w:val="18"/>
              </w:rPr>
            </w:pPr>
            <w:r w:rsidRPr="00696A22">
              <w:rPr>
                <w:rFonts w:ascii="Arial" w:eastAsia="Times New Roman" w:hAnsi="Arial" w:cs="Arial"/>
                <w:color w:val="000000"/>
                <w:sz w:val="18"/>
                <w:szCs w:val="18"/>
              </w:rPr>
              <w:t>Depth of invasion [(y)</w:t>
            </w:r>
            <w:proofErr w:type="spellStart"/>
            <w:r w:rsidRPr="00696A22">
              <w:rPr>
                <w:rFonts w:ascii="Arial" w:eastAsia="Times New Roman" w:hAnsi="Arial" w:cs="Arial"/>
                <w:color w:val="000000"/>
                <w:sz w:val="18"/>
                <w:szCs w:val="18"/>
              </w:rPr>
              <w:t>pT</w:t>
            </w:r>
            <w:proofErr w:type="spellEnd"/>
            <w:r w:rsidRPr="00696A22">
              <w:rPr>
                <w:rFonts w:ascii="Arial" w:eastAsia="Times New Roman" w:hAnsi="Arial" w:cs="Arial"/>
                <w:color w:val="000000"/>
                <w:sz w:val="18"/>
                <w:szCs w:val="18"/>
              </w:rPr>
              <w:t>]</w:t>
            </w:r>
          </w:p>
        </w:tc>
        <w:tc>
          <w:tcPr>
            <w:tcW w:w="992" w:type="dxa"/>
            <w:tcBorders>
              <w:top w:val="single" w:sz="4" w:space="0" w:color="auto"/>
            </w:tcBorders>
            <w:vAlign w:val="center"/>
            <w:hideMark/>
          </w:tcPr>
          <w:p w14:paraId="1D981365" w14:textId="77777777" w:rsidR="00B07B03" w:rsidRPr="00696A22" w:rsidRDefault="00FB3110">
            <w:pPr>
              <w:rPr>
                <w:rFonts w:ascii="Arial" w:eastAsia="Times New Roman" w:hAnsi="Arial" w:cs="Arial"/>
                <w:sz w:val="18"/>
                <w:szCs w:val="18"/>
              </w:rPr>
            </w:pPr>
            <w:r w:rsidRPr="00696A22">
              <w:rPr>
                <w:rFonts w:ascii="Arial" w:eastAsia="Times New Roman" w:hAnsi="Arial" w:cs="Arial"/>
                <w:color w:val="000000"/>
                <w:sz w:val="18"/>
                <w:szCs w:val="18"/>
              </w:rPr>
              <w:t>T0</w:t>
            </w:r>
          </w:p>
        </w:tc>
        <w:tc>
          <w:tcPr>
            <w:tcW w:w="2552" w:type="dxa"/>
            <w:tcBorders>
              <w:top w:val="single" w:sz="4" w:space="0" w:color="auto"/>
            </w:tcBorders>
            <w:vAlign w:val="center"/>
            <w:hideMark/>
          </w:tcPr>
          <w:p w14:paraId="6E2CD06C" w14:textId="77777777" w:rsidR="00B07B03" w:rsidRPr="00696A22" w:rsidRDefault="00FB3110">
            <w:pPr>
              <w:jc w:val="center"/>
              <w:rPr>
                <w:rFonts w:ascii="Arial" w:eastAsia="Times New Roman" w:hAnsi="Arial" w:cs="Arial"/>
                <w:sz w:val="18"/>
                <w:szCs w:val="18"/>
              </w:rPr>
            </w:pPr>
            <w:r w:rsidRPr="00696A22">
              <w:rPr>
                <w:rFonts w:ascii="Arial" w:eastAsia="Times New Roman" w:hAnsi="Arial" w:cs="Arial"/>
                <w:color w:val="000000"/>
                <w:sz w:val="18"/>
                <w:szCs w:val="18"/>
              </w:rPr>
              <w:t>29 (20.1%)</w:t>
            </w:r>
          </w:p>
        </w:tc>
        <w:tc>
          <w:tcPr>
            <w:tcW w:w="283" w:type="dxa"/>
            <w:tcBorders>
              <w:top w:val="single" w:sz="4" w:space="0" w:color="auto"/>
            </w:tcBorders>
            <w:vAlign w:val="center"/>
          </w:tcPr>
          <w:p w14:paraId="4844AB0E" w14:textId="77777777" w:rsidR="00B07B03" w:rsidRPr="00696A22" w:rsidRDefault="00B07B03">
            <w:pPr>
              <w:jc w:val="center"/>
              <w:rPr>
                <w:rFonts w:ascii="Arial" w:eastAsia="Times New Roman" w:hAnsi="Arial" w:cs="Arial"/>
                <w:sz w:val="18"/>
                <w:szCs w:val="18"/>
              </w:rPr>
            </w:pPr>
          </w:p>
        </w:tc>
        <w:tc>
          <w:tcPr>
            <w:tcW w:w="2552" w:type="dxa"/>
            <w:tcBorders>
              <w:top w:val="single" w:sz="4" w:space="0" w:color="auto"/>
            </w:tcBorders>
            <w:vAlign w:val="center"/>
            <w:hideMark/>
          </w:tcPr>
          <w:p w14:paraId="0D63209D" w14:textId="77777777" w:rsidR="00B07B03" w:rsidRPr="00696A22" w:rsidRDefault="00FB3110">
            <w:pPr>
              <w:jc w:val="center"/>
              <w:rPr>
                <w:rFonts w:ascii="Arial" w:eastAsia="Times New Roman" w:hAnsi="Arial" w:cs="Arial"/>
                <w:sz w:val="18"/>
                <w:szCs w:val="18"/>
              </w:rPr>
            </w:pPr>
            <w:r w:rsidRPr="00696A22">
              <w:rPr>
                <w:rFonts w:ascii="Arial" w:eastAsia="Times New Roman" w:hAnsi="Arial" w:cs="Arial"/>
                <w:sz w:val="18"/>
                <w:szCs w:val="18"/>
              </w:rPr>
              <w:t>0</w:t>
            </w:r>
          </w:p>
        </w:tc>
      </w:tr>
      <w:tr w:rsidR="00B07B03" w:rsidRPr="00696A22" w14:paraId="69192DC6" w14:textId="77777777">
        <w:trPr>
          <w:trHeight w:val="397"/>
        </w:trPr>
        <w:tc>
          <w:tcPr>
            <w:tcW w:w="2552" w:type="dxa"/>
            <w:vAlign w:val="center"/>
            <w:hideMark/>
          </w:tcPr>
          <w:p w14:paraId="6B95AB86" w14:textId="77777777" w:rsidR="00B07B03" w:rsidRPr="00696A22" w:rsidRDefault="00B07B03">
            <w:pPr>
              <w:rPr>
                <w:rFonts w:ascii="Arial" w:eastAsia="Times New Roman" w:hAnsi="Arial" w:cs="Arial"/>
                <w:sz w:val="18"/>
                <w:szCs w:val="18"/>
              </w:rPr>
            </w:pPr>
          </w:p>
        </w:tc>
        <w:tc>
          <w:tcPr>
            <w:tcW w:w="992" w:type="dxa"/>
            <w:vAlign w:val="center"/>
            <w:hideMark/>
          </w:tcPr>
          <w:p w14:paraId="67E224F8" w14:textId="77777777" w:rsidR="00B07B03" w:rsidRPr="00696A22" w:rsidRDefault="00FB3110">
            <w:pPr>
              <w:rPr>
                <w:rFonts w:ascii="Arial" w:eastAsia="Times New Roman" w:hAnsi="Arial" w:cs="Arial"/>
                <w:sz w:val="18"/>
                <w:szCs w:val="18"/>
              </w:rPr>
            </w:pPr>
            <w:r w:rsidRPr="00696A22">
              <w:rPr>
                <w:rFonts w:ascii="Arial" w:eastAsia="Times New Roman" w:hAnsi="Arial" w:cs="Arial"/>
                <w:color w:val="000000"/>
                <w:sz w:val="18"/>
                <w:szCs w:val="18"/>
              </w:rPr>
              <w:t>T1</w:t>
            </w:r>
          </w:p>
        </w:tc>
        <w:tc>
          <w:tcPr>
            <w:tcW w:w="2552" w:type="dxa"/>
            <w:vAlign w:val="center"/>
            <w:hideMark/>
          </w:tcPr>
          <w:p w14:paraId="69B13082" w14:textId="77777777" w:rsidR="00B07B03" w:rsidRPr="00696A22" w:rsidRDefault="00FB3110">
            <w:pPr>
              <w:jc w:val="center"/>
              <w:rPr>
                <w:rFonts w:ascii="Arial" w:eastAsia="Times New Roman" w:hAnsi="Arial" w:cs="Arial"/>
                <w:sz w:val="18"/>
                <w:szCs w:val="18"/>
              </w:rPr>
            </w:pPr>
            <w:r w:rsidRPr="00696A22">
              <w:rPr>
                <w:rFonts w:ascii="Arial" w:eastAsia="Times New Roman" w:hAnsi="Arial" w:cs="Arial"/>
                <w:color w:val="000000"/>
                <w:sz w:val="18"/>
                <w:szCs w:val="18"/>
              </w:rPr>
              <w:t>24 (16.7%)</w:t>
            </w:r>
          </w:p>
        </w:tc>
        <w:tc>
          <w:tcPr>
            <w:tcW w:w="283" w:type="dxa"/>
            <w:vAlign w:val="center"/>
          </w:tcPr>
          <w:p w14:paraId="4D9ED314" w14:textId="77777777" w:rsidR="00B07B03" w:rsidRPr="00696A22" w:rsidRDefault="00B07B03">
            <w:pPr>
              <w:jc w:val="center"/>
              <w:rPr>
                <w:rFonts w:ascii="Arial" w:eastAsia="Times New Roman" w:hAnsi="Arial" w:cs="Arial"/>
                <w:sz w:val="18"/>
                <w:szCs w:val="18"/>
              </w:rPr>
            </w:pPr>
          </w:p>
        </w:tc>
        <w:tc>
          <w:tcPr>
            <w:tcW w:w="2552" w:type="dxa"/>
            <w:vAlign w:val="center"/>
            <w:hideMark/>
          </w:tcPr>
          <w:p w14:paraId="611476A9" w14:textId="77777777" w:rsidR="00B07B03" w:rsidRPr="00696A22" w:rsidRDefault="00FB3110">
            <w:pPr>
              <w:jc w:val="center"/>
              <w:rPr>
                <w:rFonts w:ascii="Arial" w:eastAsia="Times New Roman" w:hAnsi="Arial" w:cs="Arial"/>
                <w:sz w:val="18"/>
                <w:szCs w:val="18"/>
              </w:rPr>
            </w:pPr>
            <w:r w:rsidRPr="00696A22">
              <w:rPr>
                <w:rFonts w:ascii="Arial" w:eastAsia="Times New Roman" w:hAnsi="Arial" w:cs="Arial"/>
                <w:sz w:val="18"/>
                <w:szCs w:val="18"/>
              </w:rPr>
              <w:t>0</w:t>
            </w:r>
          </w:p>
        </w:tc>
      </w:tr>
      <w:tr w:rsidR="00B07B03" w:rsidRPr="00696A22" w14:paraId="01393213" w14:textId="77777777">
        <w:trPr>
          <w:trHeight w:val="397"/>
        </w:trPr>
        <w:tc>
          <w:tcPr>
            <w:tcW w:w="2552" w:type="dxa"/>
            <w:vAlign w:val="center"/>
            <w:hideMark/>
          </w:tcPr>
          <w:p w14:paraId="05FDF2DA" w14:textId="77777777" w:rsidR="00B07B03" w:rsidRPr="00696A22" w:rsidRDefault="00B07B03">
            <w:pPr>
              <w:rPr>
                <w:rFonts w:ascii="Arial" w:eastAsia="Times New Roman" w:hAnsi="Arial" w:cs="Arial"/>
                <w:sz w:val="18"/>
                <w:szCs w:val="18"/>
              </w:rPr>
            </w:pPr>
          </w:p>
        </w:tc>
        <w:tc>
          <w:tcPr>
            <w:tcW w:w="992" w:type="dxa"/>
            <w:vAlign w:val="center"/>
            <w:hideMark/>
          </w:tcPr>
          <w:p w14:paraId="7A5A5A93" w14:textId="77777777" w:rsidR="00B07B03" w:rsidRPr="00696A22" w:rsidRDefault="00FB3110">
            <w:pPr>
              <w:rPr>
                <w:rFonts w:ascii="Arial" w:eastAsia="Times New Roman" w:hAnsi="Arial" w:cs="Arial"/>
                <w:sz w:val="18"/>
                <w:szCs w:val="18"/>
              </w:rPr>
            </w:pPr>
            <w:r w:rsidRPr="00696A22">
              <w:rPr>
                <w:rFonts w:ascii="Arial" w:eastAsia="Times New Roman" w:hAnsi="Arial" w:cs="Arial"/>
                <w:color w:val="000000"/>
                <w:sz w:val="18"/>
                <w:szCs w:val="18"/>
              </w:rPr>
              <w:t>T2</w:t>
            </w:r>
          </w:p>
        </w:tc>
        <w:tc>
          <w:tcPr>
            <w:tcW w:w="2552" w:type="dxa"/>
            <w:vAlign w:val="center"/>
            <w:hideMark/>
          </w:tcPr>
          <w:p w14:paraId="7751C13F" w14:textId="77777777" w:rsidR="00B07B03" w:rsidRPr="00696A22" w:rsidRDefault="00FB3110">
            <w:pPr>
              <w:jc w:val="center"/>
              <w:rPr>
                <w:rFonts w:ascii="Arial" w:eastAsia="Times New Roman" w:hAnsi="Arial" w:cs="Arial"/>
                <w:sz w:val="18"/>
                <w:szCs w:val="18"/>
              </w:rPr>
            </w:pPr>
            <w:r w:rsidRPr="00696A22">
              <w:rPr>
                <w:rFonts w:ascii="Arial" w:eastAsia="Times New Roman" w:hAnsi="Arial" w:cs="Arial"/>
                <w:color w:val="000000"/>
                <w:sz w:val="18"/>
                <w:szCs w:val="18"/>
              </w:rPr>
              <w:t>27 (18.7%)</w:t>
            </w:r>
          </w:p>
        </w:tc>
        <w:tc>
          <w:tcPr>
            <w:tcW w:w="283" w:type="dxa"/>
            <w:vAlign w:val="center"/>
          </w:tcPr>
          <w:p w14:paraId="166F73DE" w14:textId="77777777" w:rsidR="00B07B03" w:rsidRPr="00696A22" w:rsidRDefault="00B07B03">
            <w:pPr>
              <w:jc w:val="center"/>
              <w:rPr>
                <w:rFonts w:ascii="Arial" w:eastAsia="Times New Roman" w:hAnsi="Arial" w:cs="Arial"/>
                <w:sz w:val="18"/>
                <w:szCs w:val="18"/>
              </w:rPr>
            </w:pPr>
          </w:p>
        </w:tc>
        <w:tc>
          <w:tcPr>
            <w:tcW w:w="2552" w:type="dxa"/>
            <w:vAlign w:val="center"/>
            <w:hideMark/>
          </w:tcPr>
          <w:p w14:paraId="4CBCC75E" w14:textId="77777777" w:rsidR="00B07B03" w:rsidRPr="00696A22" w:rsidRDefault="00FB3110">
            <w:pPr>
              <w:jc w:val="center"/>
              <w:rPr>
                <w:rFonts w:ascii="Arial" w:eastAsia="Times New Roman" w:hAnsi="Arial" w:cs="Arial"/>
                <w:sz w:val="18"/>
                <w:szCs w:val="18"/>
              </w:rPr>
            </w:pPr>
            <w:r w:rsidRPr="00696A22">
              <w:rPr>
                <w:rFonts w:ascii="Arial" w:eastAsia="Times New Roman" w:hAnsi="Arial" w:cs="Arial"/>
                <w:sz w:val="18"/>
                <w:szCs w:val="18"/>
              </w:rPr>
              <w:t>0</w:t>
            </w:r>
          </w:p>
        </w:tc>
      </w:tr>
      <w:tr w:rsidR="00B07B03" w:rsidRPr="00696A22" w14:paraId="468854A4" w14:textId="77777777">
        <w:trPr>
          <w:trHeight w:val="397"/>
        </w:trPr>
        <w:tc>
          <w:tcPr>
            <w:tcW w:w="2552" w:type="dxa"/>
            <w:vAlign w:val="center"/>
            <w:hideMark/>
          </w:tcPr>
          <w:p w14:paraId="0A42BCFA" w14:textId="77777777" w:rsidR="00B07B03" w:rsidRPr="00696A22" w:rsidRDefault="00B07B03">
            <w:pPr>
              <w:rPr>
                <w:rFonts w:ascii="Arial" w:eastAsia="Times New Roman" w:hAnsi="Arial" w:cs="Arial"/>
                <w:sz w:val="18"/>
                <w:szCs w:val="18"/>
              </w:rPr>
            </w:pPr>
          </w:p>
        </w:tc>
        <w:tc>
          <w:tcPr>
            <w:tcW w:w="992" w:type="dxa"/>
            <w:vAlign w:val="center"/>
            <w:hideMark/>
          </w:tcPr>
          <w:p w14:paraId="3D586D88" w14:textId="77777777" w:rsidR="00B07B03" w:rsidRPr="00696A22" w:rsidRDefault="00FB3110">
            <w:pPr>
              <w:rPr>
                <w:rFonts w:ascii="Arial" w:eastAsia="Times New Roman" w:hAnsi="Arial" w:cs="Arial"/>
                <w:sz w:val="18"/>
                <w:szCs w:val="18"/>
              </w:rPr>
            </w:pPr>
            <w:r w:rsidRPr="00696A22">
              <w:rPr>
                <w:rFonts w:ascii="Arial" w:eastAsia="Times New Roman" w:hAnsi="Arial" w:cs="Arial"/>
                <w:color w:val="000000"/>
                <w:sz w:val="18"/>
                <w:szCs w:val="18"/>
              </w:rPr>
              <w:t>T3</w:t>
            </w:r>
          </w:p>
        </w:tc>
        <w:tc>
          <w:tcPr>
            <w:tcW w:w="2552" w:type="dxa"/>
            <w:vAlign w:val="center"/>
            <w:hideMark/>
          </w:tcPr>
          <w:p w14:paraId="046ECDEB" w14:textId="77777777" w:rsidR="00B07B03" w:rsidRPr="00696A22" w:rsidRDefault="00FB3110">
            <w:pPr>
              <w:jc w:val="center"/>
              <w:rPr>
                <w:rFonts w:ascii="Arial" w:eastAsia="Times New Roman" w:hAnsi="Arial" w:cs="Arial"/>
                <w:sz w:val="18"/>
                <w:szCs w:val="18"/>
              </w:rPr>
            </w:pPr>
            <w:r w:rsidRPr="00696A22">
              <w:rPr>
                <w:rFonts w:ascii="Arial" w:eastAsia="Times New Roman" w:hAnsi="Arial" w:cs="Arial"/>
                <w:color w:val="000000"/>
                <w:sz w:val="18"/>
                <w:szCs w:val="18"/>
              </w:rPr>
              <w:t>60 (41.7%)</w:t>
            </w:r>
          </w:p>
        </w:tc>
        <w:tc>
          <w:tcPr>
            <w:tcW w:w="283" w:type="dxa"/>
            <w:vAlign w:val="center"/>
          </w:tcPr>
          <w:p w14:paraId="29DE6187" w14:textId="77777777" w:rsidR="00B07B03" w:rsidRPr="00696A22" w:rsidRDefault="00B07B03">
            <w:pPr>
              <w:jc w:val="center"/>
              <w:rPr>
                <w:rFonts w:ascii="Arial" w:eastAsia="Times New Roman" w:hAnsi="Arial" w:cs="Arial"/>
                <w:sz w:val="18"/>
                <w:szCs w:val="18"/>
              </w:rPr>
            </w:pPr>
          </w:p>
        </w:tc>
        <w:tc>
          <w:tcPr>
            <w:tcW w:w="2552" w:type="dxa"/>
            <w:vAlign w:val="center"/>
            <w:hideMark/>
          </w:tcPr>
          <w:p w14:paraId="53503183" w14:textId="77777777" w:rsidR="00B07B03" w:rsidRPr="00696A22" w:rsidRDefault="00FB3110">
            <w:pPr>
              <w:jc w:val="center"/>
              <w:rPr>
                <w:rFonts w:ascii="Arial" w:eastAsia="Times New Roman" w:hAnsi="Arial" w:cs="Arial"/>
                <w:sz w:val="18"/>
                <w:szCs w:val="18"/>
              </w:rPr>
            </w:pPr>
            <w:r w:rsidRPr="00696A22">
              <w:rPr>
                <w:rFonts w:ascii="Arial" w:eastAsia="Times New Roman" w:hAnsi="Arial" w:cs="Arial"/>
                <w:sz w:val="18"/>
                <w:szCs w:val="18"/>
              </w:rPr>
              <w:t>62 (96.9%)</w:t>
            </w:r>
          </w:p>
        </w:tc>
      </w:tr>
      <w:tr w:rsidR="00B07B03" w:rsidRPr="00696A22" w14:paraId="7157D429" w14:textId="77777777">
        <w:trPr>
          <w:trHeight w:val="397"/>
        </w:trPr>
        <w:tc>
          <w:tcPr>
            <w:tcW w:w="2552" w:type="dxa"/>
            <w:tcBorders>
              <w:bottom w:val="single" w:sz="4" w:space="0" w:color="auto"/>
            </w:tcBorders>
            <w:vAlign w:val="center"/>
            <w:hideMark/>
          </w:tcPr>
          <w:p w14:paraId="7724008D" w14:textId="77777777" w:rsidR="00B07B03" w:rsidRPr="00696A22" w:rsidRDefault="00B07B03">
            <w:pPr>
              <w:rPr>
                <w:rFonts w:ascii="Arial" w:eastAsia="Times New Roman" w:hAnsi="Arial" w:cs="Arial"/>
                <w:sz w:val="18"/>
                <w:szCs w:val="18"/>
              </w:rPr>
            </w:pPr>
          </w:p>
        </w:tc>
        <w:tc>
          <w:tcPr>
            <w:tcW w:w="992" w:type="dxa"/>
            <w:tcBorders>
              <w:bottom w:val="single" w:sz="4" w:space="0" w:color="auto"/>
            </w:tcBorders>
            <w:vAlign w:val="center"/>
            <w:hideMark/>
          </w:tcPr>
          <w:p w14:paraId="3B360D6B" w14:textId="77777777" w:rsidR="00B07B03" w:rsidRPr="00696A22" w:rsidRDefault="00FB3110">
            <w:pPr>
              <w:rPr>
                <w:rFonts w:ascii="Arial" w:eastAsia="Times New Roman" w:hAnsi="Arial" w:cs="Arial"/>
                <w:sz w:val="18"/>
                <w:szCs w:val="18"/>
              </w:rPr>
            </w:pPr>
            <w:r w:rsidRPr="00696A22">
              <w:rPr>
                <w:rFonts w:ascii="Arial" w:eastAsia="Times New Roman" w:hAnsi="Arial" w:cs="Arial"/>
                <w:color w:val="000000"/>
                <w:sz w:val="18"/>
                <w:szCs w:val="18"/>
              </w:rPr>
              <w:t>T4</w:t>
            </w:r>
          </w:p>
        </w:tc>
        <w:tc>
          <w:tcPr>
            <w:tcW w:w="2552" w:type="dxa"/>
            <w:tcBorders>
              <w:bottom w:val="single" w:sz="4" w:space="0" w:color="auto"/>
            </w:tcBorders>
            <w:vAlign w:val="center"/>
            <w:hideMark/>
          </w:tcPr>
          <w:p w14:paraId="23ADA6CD" w14:textId="77777777" w:rsidR="00B07B03" w:rsidRPr="00696A22" w:rsidRDefault="00FB3110">
            <w:pPr>
              <w:jc w:val="center"/>
              <w:rPr>
                <w:rFonts w:ascii="Arial" w:eastAsia="Times New Roman" w:hAnsi="Arial" w:cs="Arial"/>
                <w:sz w:val="18"/>
                <w:szCs w:val="18"/>
              </w:rPr>
            </w:pPr>
            <w:r w:rsidRPr="00696A22">
              <w:rPr>
                <w:rFonts w:ascii="Arial" w:eastAsia="Times New Roman" w:hAnsi="Arial" w:cs="Arial"/>
                <w:color w:val="000000"/>
                <w:sz w:val="18"/>
                <w:szCs w:val="18"/>
              </w:rPr>
              <w:t>4 (2.8%)</w:t>
            </w:r>
          </w:p>
        </w:tc>
        <w:tc>
          <w:tcPr>
            <w:tcW w:w="283" w:type="dxa"/>
            <w:tcBorders>
              <w:bottom w:val="single" w:sz="4" w:space="0" w:color="auto"/>
            </w:tcBorders>
            <w:vAlign w:val="center"/>
          </w:tcPr>
          <w:p w14:paraId="57E4D3A6" w14:textId="77777777" w:rsidR="00B07B03" w:rsidRPr="00696A22" w:rsidRDefault="00B07B03">
            <w:pPr>
              <w:jc w:val="center"/>
              <w:rPr>
                <w:rFonts w:ascii="Arial" w:eastAsia="Times New Roman" w:hAnsi="Arial" w:cs="Arial"/>
                <w:sz w:val="18"/>
                <w:szCs w:val="18"/>
              </w:rPr>
            </w:pPr>
          </w:p>
        </w:tc>
        <w:tc>
          <w:tcPr>
            <w:tcW w:w="2552" w:type="dxa"/>
            <w:tcBorders>
              <w:bottom w:val="single" w:sz="4" w:space="0" w:color="auto"/>
            </w:tcBorders>
            <w:vAlign w:val="center"/>
            <w:hideMark/>
          </w:tcPr>
          <w:p w14:paraId="00986498" w14:textId="77777777" w:rsidR="00B07B03" w:rsidRPr="00696A22" w:rsidRDefault="00FB3110">
            <w:pPr>
              <w:jc w:val="center"/>
              <w:rPr>
                <w:rFonts w:ascii="Arial" w:eastAsia="Times New Roman" w:hAnsi="Arial" w:cs="Arial"/>
                <w:sz w:val="18"/>
                <w:szCs w:val="18"/>
              </w:rPr>
            </w:pPr>
            <w:r w:rsidRPr="00696A22">
              <w:rPr>
                <w:rFonts w:ascii="Arial" w:eastAsia="Times New Roman" w:hAnsi="Arial" w:cs="Arial"/>
                <w:sz w:val="18"/>
                <w:szCs w:val="18"/>
              </w:rPr>
              <w:t>2 (3.1%)</w:t>
            </w:r>
          </w:p>
        </w:tc>
      </w:tr>
      <w:tr w:rsidR="00B07B03" w:rsidRPr="00696A22" w14:paraId="6C1E0919" w14:textId="77777777">
        <w:trPr>
          <w:trHeight w:val="397"/>
        </w:trPr>
        <w:tc>
          <w:tcPr>
            <w:tcW w:w="2552" w:type="dxa"/>
            <w:tcBorders>
              <w:top w:val="single" w:sz="4" w:space="0" w:color="auto"/>
            </w:tcBorders>
            <w:vAlign w:val="center"/>
            <w:hideMark/>
          </w:tcPr>
          <w:p w14:paraId="51732AE5" w14:textId="77777777" w:rsidR="00B07B03" w:rsidRPr="00696A22" w:rsidRDefault="00FB3110">
            <w:pPr>
              <w:rPr>
                <w:rFonts w:ascii="Arial" w:eastAsia="Times New Roman" w:hAnsi="Arial" w:cs="Arial"/>
                <w:sz w:val="18"/>
                <w:szCs w:val="18"/>
              </w:rPr>
            </w:pPr>
            <w:r w:rsidRPr="00696A22">
              <w:rPr>
                <w:rFonts w:ascii="Arial" w:eastAsia="Times New Roman" w:hAnsi="Arial" w:cs="Arial"/>
                <w:color w:val="000000"/>
                <w:sz w:val="18"/>
                <w:szCs w:val="18"/>
              </w:rPr>
              <w:t>Lymph node status [(y)</w:t>
            </w:r>
            <w:proofErr w:type="spellStart"/>
            <w:r w:rsidRPr="00696A22">
              <w:rPr>
                <w:rFonts w:ascii="Arial" w:eastAsia="Times New Roman" w:hAnsi="Arial" w:cs="Arial"/>
                <w:color w:val="000000"/>
                <w:sz w:val="18"/>
                <w:szCs w:val="18"/>
              </w:rPr>
              <w:t>pN</w:t>
            </w:r>
            <w:proofErr w:type="spellEnd"/>
            <w:r w:rsidRPr="00696A22">
              <w:rPr>
                <w:rFonts w:ascii="Arial" w:eastAsia="Times New Roman" w:hAnsi="Arial" w:cs="Arial"/>
                <w:color w:val="000000"/>
                <w:sz w:val="18"/>
                <w:szCs w:val="18"/>
              </w:rPr>
              <w:t>]</w:t>
            </w:r>
          </w:p>
        </w:tc>
        <w:tc>
          <w:tcPr>
            <w:tcW w:w="992" w:type="dxa"/>
            <w:tcBorders>
              <w:top w:val="single" w:sz="4" w:space="0" w:color="auto"/>
            </w:tcBorders>
            <w:vAlign w:val="center"/>
            <w:hideMark/>
          </w:tcPr>
          <w:p w14:paraId="4A417E43" w14:textId="77777777" w:rsidR="00B07B03" w:rsidRPr="00696A22" w:rsidRDefault="00FB3110">
            <w:pPr>
              <w:rPr>
                <w:rFonts w:ascii="Arial" w:eastAsia="Times New Roman" w:hAnsi="Arial" w:cs="Arial"/>
                <w:sz w:val="18"/>
                <w:szCs w:val="18"/>
              </w:rPr>
            </w:pPr>
            <w:r w:rsidRPr="00696A22">
              <w:rPr>
                <w:rFonts w:ascii="Arial" w:eastAsia="Times New Roman" w:hAnsi="Arial" w:cs="Arial"/>
                <w:color w:val="000000"/>
                <w:sz w:val="18"/>
                <w:szCs w:val="18"/>
              </w:rPr>
              <w:t>N0</w:t>
            </w:r>
          </w:p>
        </w:tc>
        <w:tc>
          <w:tcPr>
            <w:tcW w:w="2552" w:type="dxa"/>
            <w:tcBorders>
              <w:top w:val="single" w:sz="4" w:space="0" w:color="auto"/>
            </w:tcBorders>
            <w:vAlign w:val="center"/>
            <w:hideMark/>
          </w:tcPr>
          <w:p w14:paraId="4D95BFD5" w14:textId="77777777" w:rsidR="00B07B03" w:rsidRPr="00696A22" w:rsidRDefault="00FB3110">
            <w:pPr>
              <w:jc w:val="center"/>
              <w:rPr>
                <w:rFonts w:ascii="Arial" w:eastAsia="Times New Roman" w:hAnsi="Arial" w:cs="Arial"/>
                <w:sz w:val="18"/>
                <w:szCs w:val="18"/>
              </w:rPr>
            </w:pPr>
            <w:r w:rsidRPr="00696A22">
              <w:rPr>
                <w:rFonts w:ascii="Arial" w:eastAsia="Times New Roman" w:hAnsi="Arial" w:cs="Arial"/>
                <w:color w:val="000000"/>
                <w:sz w:val="18"/>
                <w:szCs w:val="18"/>
              </w:rPr>
              <w:t>69 (47.9%)</w:t>
            </w:r>
          </w:p>
        </w:tc>
        <w:tc>
          <w:tcPr>
            <w:tcW w:w="283" w:type="dxa"/>
            <w:tcBorders>
              <w:top w:val="single" w:sz="4" w:space="0" w:color="auto"/>
            </w:tcBorders>
            <w:vAlign w:val="center"/>
          </w:tcPr>
          <w:p w14:paraId="04ED3303" w14:textId="77777777" w:rsidR="00B07B03" w:rsidRPr="00696A22" w:rsidRDefault="00B07B03">
            <w:pPr>
              <w:jc w:val="center"/>
              <w:rPr>
                <w:rFonts w:ascii="Arial" w:eastAsia="Times New Roman" w:hAnsi="Arial" w:cs="Arial"/>
                <w:sz w:val="18"/>
                <w:szCs w:val="18"/>
              </w:rPr>
            </w:pPr>
          </w:p>
        </w:tc>
        <w:tc>
          <w:tcPr>
            <w:tcW w:w="2552" w:type="dxa"/>
            <w:tcBorders>
              <w:top w:val="single" w:sz="4" w:space="0" w:color="auto"/>
            </w:tcBorders>
            <w:vAlign w:val="center"/>
            <w:hideMark/>
          </w:tcPr>
          <w:p w14:paraId="1ACAAB65" w14:textId="77777777" w:rsidR="00B07B03" w:rsidRPr="00696A22" w:rsidRDefault="00FB3110">
            <w:pPr>
              <w:jc w:val="center"/>
              <w:rPr>
                <w:rFonts w:ascii="Arial" w:eastAsia="Times New Roman" w:hAnsi="Arial" w:cs="Arial"/>
                <w:sz w:val="18"/>
                <w:szCs w:val="18"/>
              </w:rPr>
            </w:pPr>
            <w:r w:rsidRPr="00696A22">
              <w:rPr>
                <w:rFonts w:ascii="Arial" w:eastAsia="Times New Roman" w:hAnsi="Arial" w:cs="Arial"/>
                <w:sz w:val="18"/>
                <w:szCs w:val="18"/>
              </w:rPr>
              <w:t>20 (31.3%)</w:t>
            </w:r>
          </w:p>
        </w:tc>
      </w:tr>
      <w:tr w:rsidR="00B07B03" w:rsidRPr="00696A22" w14:paraId="18D99288" w14:textId="77777777">
        <w:trPr>
          <w:trHeight w:val="397"/>
        </w:trPr>
        <w:tc>
          <w:tcPr>
            <w:tcW w:w="2552" w:type="dxa"/>
            <w:vAlign w:val="center"/>
            <w:hideMark/>
          </w:tcPr>
          <w:p w14:paraId="574FE1E4" w14:textId="77777777" w:rsidR="00B07B03" w:rsidRPr="00696A22" w:rsidRDefault="00B07B03">
            <w:pPr>
              <w:rPr>
                <w:rFonts w:ascii="Arial" w:eastAsia="Times New Roman" w:hAnsi="Arial" w:cs="Arial"/>
                <w:sz w:val="18"/>
                <w:szCs w:val="18"/>
              </w:rPr>
            </w:pPr>
          </w:p>
        </w:tc>
        <w:tc>
          <w:tcPr>
            <w:tcW w:w="992" w:type="dxa"/>
            <w:vAlign w:val="center"/>
            <w:hideMark/>
          </w:tcPr>
          <w:p w14:paraId="2E99D18E" w14:textId="77777777" w:rsidR="00B07B03" w:rsidRPr="00696A22" w:rsidRDefault="00FB3110">
            <w:pPr>
              <w:rPr>
                <w:rFonts w:ascii="Arial" w:eastAsia="Times New Roman" w:hAnsi="Arial" w:cs="Arial"/>
                <w:sz w:val="18"/>
                <w:szCs w:val="18"/>
              </w:rPr>
            </w:pPr>
            <w:r w:rsidRPr="00696A22">
              <w:rPr>
                <w:rFonts w:ascii="Arial" w:eastAsia="Times New Roman" w:hAnsi="Arial" w:cs="Arial"/>
                <w:color w:val="000000"/>
                <w:sz w:val="18"/>
                <w:szCs w:val="18"/>
              </w:rPr>
              <w:t>N1</w:t>
            </w:r>
          </w:p>
        </w:tc>
        <w:tc>
          <w:tcPr>
            <w:tcW w:w="2552" w:type="dxa"/>
            <w:vAlign w:val="center"/>
            <w:hideMark/>
          </w:tcPr>
          <w:p w14:paraId="5E08F360" w14:textId="77777777" w:rsidR="00B07B03" w:rsidRPr="00696A22" w:rsidRDefault="00FB3110">
            <w:pPr>
              <w:jc w:val="center"/>
              <w:rPr>
                <w:rFonts w:ascii="Arial" w:eastAsia="Times New Roman" w:hAnsi="Arial" w:cs="Arial"/>
                <w:sz w:val="18"/>
                <w:szCs w:val="18"/>
              </w:rPr>
            </w:pPr>
            <w:r w:rsidRPr="00696A22">
              <w:rPr>
                <w:rFonts w:ascii="Arial" w:eastAsia="Times New Roman" w:hAnsi="Arial" w:cs="Arial"/>
                <w:color w:val="000000"/>
                <w:sz w:val="18"/>
                <w:szCs w:val="18"/>
              </w:rPr>
              <w:t>35 (24.3%)</w:t>
            </w:r>
          </w:p>
        </w:tc>
        <w:tc>
          <w:tcPr>
            <w:tcW w:w="283" w:type="dxa"/>
            <w:vAlign w:val="center"/>
          </w:tcPr>
          <w:p w14:paraId="186D8BF5" w14:textId="77777777" w:rsidR="00B07B03" w:rsidRPr="00696A22" w:rsidRDefault="00B07B03">
            <w:pPr>
              <w:jc w:val="center"/>
              <w:rPr>
                <w:rFonts w:ascii="Arial" w:eastAsia="Times New Roman" w:hAnsi="Arial" w:cs="Arial"/>
                <w:sz w:val="18"/>
                <w:szCs w:val="18"/>
              </w:rPr>
            </w:pPr>
          </w:p>
        </w:tc>
        <w:tc>
          <w:tcPr>
            <w:tcW w:w="2552" w:type="dxa"/>
            <w:vAlign w:val="center"/>
            <w:hideMark/>
          </w:tcPr>
          <w:p w14:paraId="3D9F06ED" w14:textId="77777777" w:rsidR="00B07B03" w:rsidRPr="00696A22" w:rsidRDefault="00FB3110">
            <w:pPr>
              <w:jc w:val="center"/>
              <w:rPr>
                <w:rFonts w:ascii="Arial" w:eastAsia="Times New Roman" w:hAnsi="Arial" w:cs="Arial"/>
                <w:sz w:val="18"/>
                <w:szCs w:val="18"/>
              </w:rPr>
            </w:pPr>
            <w:r w:rsidRPr="00696A22">
              <w:rPr>
                <w:rFonts w:ascii="Arial" w:eastAsia="Times New Roman" w:hAnsi="Arial" w:cs="Arial"/>
                <w:color w:val="000000"/>
                <w:sz w:val="18"/>
                <w:szCs w:val="18"/>
              </w:rPr>
              <w:t>13 (20.3%)</w:t>
            </w:r>
          </w:p>
        </w:tc>
      </w:tr>
      <w:tr w:rsidR="00B07B03" w:rsidRPr="00696A22" w14:paraId="0F2985E0" w14:textId="77777777">
        <w:trPr>
          <w:trHeight w:val="397"/>
        </w:trPr>
        <w:tc>
          <w:tcPr>
            <w:tcW w:w="2552" w:type="dxa"/>
            <w:vAlign w:val="center"/>
            <w:hideMark/>
          </w:tcPr>
          <w:p w14:paraId="6DD73C7A" w14:textId="77777777" w:rsidR="00B07B03" w:rsidRPr="00696A22" w:rsidRDefault="00B07B03">
            <w:pPr>
              <w:rPr>
                <w:rFonts w:ascii="Arial" w:eastAsia="Times New Roman" w:hAnsi="Arial" w:cs="Arial"/>
                <w:sz w:val="18"/>
                <w:szCs w:val="18"/>
              </w:rPr>
            </w:pPr>
          </w:p>
        </w:tc>
        <w:tc>
          <w:tcPr>
            <w:tcW w:w="992" w:type="dxa"/>
            <w:vAlign w:val="center"/>
            <w:hideMark/>
          </w:tcPr>
          <w:p w14:paraId="753802B0" w14:textId="77777777" w:rsidR="00B07B03" w:rsidRPr="00696A22" w:rsidRDefault="00FB3110">
            <w:pPr>
              <w:rPr>
                <w:rFonts w:ascii="Arial" w:eastAsia="Times New Roman" w:hAnsi="Arial" w:cs="Arial"/>
                <w:sz w:val="18"/>
                <w:szCs w:val="18"/>
              </w:rPr>
            </w:pPr>
            <w:r w:rsidRPr="00696A22">
              <w:rPr>
                <w:rFonts w:ascii="Arial" w:eastAsia="Times New Roman" w:hAnsi="Arial" w:cs="Arial"/>
                <w:color w:val="000000"/>
                <w:sz w:val="18"/>
                <w:szCs w:val="18"/>
              </w:rPr>
              <w:t>N2</w:t>
            </w:r>
          </w:p>
        </w:tc>
        <w:tc>
          <w:tcPr>
            <w:tcW w:w="2552" w:type="dxa"/>
            <w:vAlign w:val="center"/>
            <w:hideMark/>
          </w:tcPr>
          <w:p w14:paraId="00CC0936" w14:textId="77777777" w:rsidR="00B07B03" w:rsidRPr="00696A22" w:rsidRDefault="00FB3110">
            <w:pPr>
              <w:jc w:val="center"/>
              <w:rPr>
                <w:rFonts w:ascii="Arial" w:eastAsia="Times New Roman" w:hAnsi="Arial" w:cs="Arial"/>
                <w:sz w:val="18"/>
                <w:szCs w:val="18"/>
              </w:rPr>
            </w:pPr>
            <w:r w:rsidRPr="00696A22">
              <w:rPr>
                <w:rFonts w:ascii="Arial" w:eastAsia="Times New Roman" w:hAnsi="Arial" w:cs="Arial"/>
                <w:color w:val="000000"/>
                <w:sz w:val="18"/>
                <w:szCs w:val="18"/>
              </w:rPr>
              <w:t>25 (17.4%)</w:t>
            </w:r>
          </w:p>
        </w:tc>
        <w:tc>
          <w:tcPr>
            <w:tcW w:w="283" w:type="dxa"/>
            <w:vAlign w:val="center"/>
          </w:tcPr>
          <w:p w14:paraId="2E8A060E" w14:textId="77777777" w:rsidR="00B07B03" w:rsidRPr="00696A22" w:rsidRDefault="00B07B03">
            <w:pPr>
              <w:jc w:val="center"/>
              <w:rPr>
                <w:rFonts w:ascii="Arial" w:eastAsia="Times New Roman" w:hAnsi="Arial" w:cs="Arial"/>
                <w:sz w:val="18"/>
                <w:szCs w:val="18"/>
              </w:rPr>
            </w:pPr>
          </w:p>
        </w:tc>
        <w:tc>
          <w:tcPr>
            <w:tcW w:w="2552" w:type="dxa"/>
            <w:vAlign w:val="center"/>
            <w:hideMark/>
          </w:tcPr>
          <w:p w14:paraId="00170BBA" w14:textId="77777777" w:rsidR="00B07B03" w:rsidRPr="00696A22" w:rsidRDefault="00FB3110">
            <w:pPr>
              <w:jc w:val="center"/>
              <w:rPr>
                <w:rFonts w:ascii="Arial" w:eastAsia="Times New Roman" w:hAnsi="Arial" w:cs="Arial"/>
                <w:sz w:val="18"/>
                <w:szCs w:val="18"/>
              </w:rPr>
            </w:pPr>
            <w:r w:rsidRPr="00696A22">
              <w:rPr>
                <w:rFonts w:ascii="Arial" w:eastAsia="Times New Roman" w:hAnsi="Arial" w:cs="Arial"/>
                <w:color w:val="000000"/>
                <w:sz w:val="18"/>
                <w:szCs w:val="18"/>
              </w:rPr>
              <w:t>18 (28.1%)</w:t>
            </w:r>
          </w:p>
        </w:tc>
      </w:tr>
      <w:tr w:rsidR="00B07B03" w:rsidRPr="00696A22" w14:paraId="55F07971" w14:textId="77777777">
        <w:trPr>
          <w:trHeight w:val="397"/>
        </w:trPr>
        <w:tc>
          <w:tcPr>
            <w:tcW w:w="2552" w:type="dxa"/>
            <w:tcBorders>
              <w:bottom w:val="single" w:sz="4" w:space="0" w:color="auto"/>
            </w:tcBorders>
            <w:vAlign w:val="center"/>
            <w:hideMark/>
          </w:tcPr>
          <w:p w14:paraId="47018D0C" w14:textId="77777777" w:rsidR="00B07B03" w:rsidRPr="00696A22" w:rsidRDefault="00B07B03">
            <w:pPr>
              <w:rPr>
                <w:rFonts w:ascii="Arial" w:eastAsia="Times New Roman" w:hAnsi="Arial" w:cs="Arial"/>
                <w:sz w:val="18"/>
                <w:szCs w:val="18"/>
              </w:rPr>
            </w:pPr>
          </w:p>
        </w:tc>
        <w:tc>
          <w:tcPr>
            <w:tcW w:w="992" w:type="dxa"/>
            <w:tcBorders>
              <w:bottom w:val="single" w:sz="4" w:space="0" w:color="auto"/>
            </w:tcBorders>
            <w:vAlign w:val="center"/>
            <w:hideMark/>
          </w:tcPr>
          <w:p w14:paraId="218CEAB9" w14:textId="77777777" w:rsidR="00B07B03" w:rsidRPr="00696A22" w:rsidRDefault="00FB3110">
            <w:pPr>
              <w:rPr>
                <w:rFonts w:ascii="Arial" w:eastAsia="Times New Roman" w:hAnsi="Arial" w:cs="Arial"/>
                <w:sz w:val="18"/>
                <w:szCs w:val="18"/>
              </w:rPr>
            </w:pPr>
            <w:r w:rsidRPr="00696A22">
              <w:rPr>
                <w:rFonts w:ascii="Arial" w:eastAsia="Times New Roman" w:hAnsi="Arial" w:cs="Arial"/>
                <w:color w:val="000000"/>
                <w:sz w:val="18"/>
                <w:szCs w:val="18"/>
              </w:rPr>
              <w:t>N3</w:t>
            </w:r>
          </w:p>
        </w:tc>
        <w:tc>
          <w:tcPr>
            <w:tcW w:w="2552" w:type="dxa"/>
            <w:tcBorders>
              <w:bottom w:val="single" w:sz="4" w:space="0" w:color="auto"/>
            </w:tcBorders>
            <w:vAlign w:val="center"/>
            <w:hideMark/>
          </w:tcPr>
          <w:p w14:paraId="36156D56" w14:textId="77777777" w:rsidR="00B07B03" w:rsidRPr="00696A22" w:rsidRDefault="00FB3110">
            <w:pPr>
              <w:jc w:val="center"/>
              <w:rPr>
                <w:rFonts w:ascii="Arial" w:eastAsia="Times New Roman" w:hAnsi="Arial" w:cs="Arial"/>
                <w:sz w:val="18"/>
                <w:szCs w:val="18"/>
              </w:rPr>
            </w:pPr>
            <w:r w:rsidRPr="00696A22">
              <w:rPr>
                <w:rFonts w:ascii="Arial" w:eastAsia="Times New Roman" w:hAnsi="Arial" w:cs="Arial"/>
                <w:color w:val="000000"/>
                <w:sz w:val="18"/>
                <w:szCs w:val="18"/>
              </w:rPr>
              <w:t>15 (10.4%)</w:t>
            </w:r>
          </w:p>
        </w:tc>
        <w:tc>
          <w:tcPr>
            <w:tcW w:w="283" w:type="dxa"/>
            <w:tcBorders>
              <w:bottom w:val="single" w:sz="4" w:space="0" w:color="auto"/>
            </w:tcBorders>
            <w:vAlign w:val="center"/>
          </w:tcPr>
          <w:p w14:paraId="6F104392" w14:textId="77777777" w:rsidR="00B07B03" w:rsidRPr="00696A22" w:rsidRDefault="00B07B03">
            <w:pPr>
              <w:jc w:val="center"/>
              <w:rPr>
                <w:rFonts w:ascii="Arial" w:eastAsia="Times New Roman" w:hAnsi="Arial" w:cs="Arial"/>
                <w:sz w:val="18"/>
                <w:szCs w:val="18"/>
              </w:rPr>
            </w:pPr>
          </w:p>
        </w:tc>
        <w:tc>
          <w:tcPr>
            <w:tcW w:w="2552" w:type="dxa"/>
            <w:tcBorders>
              <w:bottom w:val="single" w:sz="4" w:space="0" w:color="auto"/>
            </w:tcBorders>
            <w:vAlign w:val="center"/>
            <w:hideMark/>
          </w:tcPr>
          <w:p w14:paraId="5DFD353E" w14:textId="77777777" w:rsidR="00B07B03" w:rsidRPr="00696A22" w:rsidRDefault="00FB3110">
            <w:pPr>
              <w:jc w:val="center"/>
              <w:rPr>
                <w:rFonts w:ascii="Arial" w:eastAsia="Times New Roman" w:hAnsi="Arial" w:cs="Arial"/>
                <w:sz w:val="18"/>
                <w:szCs w:val="18"/>
              </w:rPr>
            </w:pPr>
            <w:r w:rsidRPr="00696A22">
              <w:rPr>
                <w:rFonts w:ascii="Arial" w:eastAsia="Times New Roman" w:hAnsi="Arial" w:cs="Arial"/>
                <w:color w:val="000000"/>
                <w:sz w:val="18"/>
                <w:szCs w:val="18"/>
              </w:rPr>
              <w:t>13 (20.3%)</w:t>
            </w:r>
          </w:p>
        </w:tc>
      </w:tr>
      <w:tr w:rsidR="00B07B03" w:rsidRPr="00696A22" w14:paraId="01B2A7BA" w14:textId="77777777">
        <w:trPr>
          <w:trHeight w:val="397"/>
        </w:trPr>
        <w:tc>
          <w:tcPr>
            <w:tcW w:w="2552" w:type="dxa"/>
            <w:tcBorders>
              <w:top w:val="single" w:sz="4" w:space="0" w:color="auto"/>
            </w:tcBorders>
            <w:vAlign w:val="center"/>
            <w:hideMark/>
          </w:tcPr>
          <w:p w14:paraId="056FCFCD" w14:textId="77777777" w:rsidR="00B07B03" w:rsidRPr="00696A22" w:rsidRDefault="00FB3110">
            <w:pPr>
              <w:rPr>
                <w:rFonts w:ascii="Arial" w:eastAsia="Times New Roman" w:hAnsi="Arial" w:cs="Arial"/>
                <w:sz w:val="18"/>
                <w:szCs w:val="18"/>
              </w:rPr>
            </w:pPr>
            <w:r w:rsidRPr="00696A22">
              <w:rPr>
                <w:rFonts w:ascii="Arial" w:eastAsia="Times New Roman" w:hAnsi="Arial" w:cs="Arial"/>
                <w:color w:val="000000"/>
                <w:sz w:val="18"/>
                <w:szCs w:val="18"/>
              </w:rPr>
              <w:t xml:space="preserve">Distant metastases </w:t>
            </w:r>
          </w:p>
        </w:tc>
        <w:tc>
          <w:tcPr>
            <w:tcW w:w="992" w:type="dxa"/>
            <w:tcBorders>
              <w:top w:val="single" w:sz="4" w:space="0" w:color="auto"/>
            </w:tcBorders>
            <w:vAlign w:val="center"/>
            <w:hideMark/>
          </w:tcPr>
          <w:p w14:paraId="2D83A698" w14:textId="358A196A" w:rsidR="00B07B03" w:rsidRPr="00696A22" w:rsidRDefault="00B91648">
            <w:pPr>
              <w:rPr>
                <w:rFonts w:ascii="Arial" w:eastAsia="Times New Roman" w:hAnsi="Arial" w:cs="Arial"/>
                <w:sz w:val="18"/>
                <w:szCs w:val="18"/>
              </w:rPr>
            </w:pPr>
            <w:r w:rsidRPr="00696A22">
              <w:rPr>
                <w:rFonts w:ascii="Arial" w:eastAsia="Times New Roman" w:hAnsi="Arial" w:cs="Arial"/>
                <w:color w:val="000000"/>
                <w:sz w:val="18"/>
                <w:szCs w:val="18"/>
              </w:rPr>
              <w:t>A</w:t>
            </w:r>
            <w:r w:rsidR="00FB3110" w:rsidRPr="00696A22">
              <w:rPr>
                <w:rFonts w:ascii="Arial" w:eastAsia="Times New Roman" w:hAnsi="Arial" w:cs="Arial"/>
                <w:color w:val="000000"/>
                <w:sz w:val="18"/>
                <w:szCs w:val="18"/>
              </w:rPr>
              <w:t>bsent</w:t>
            </w:r>
          </w:p>
        </w:tc>
        <w:tc>
          <w:tcPr>
            <w:tcW w:w="2552" w:type="dxa"/>
            <w:tcBorders>
              <w:top w:val="single" w:sz="4" w:space="0" w:color="auto"/>
            </w:tcBorders>
            <w:vAlign w:val="center"/>
            <w:hideMark/>
          </w:tcPr>
          <w:p w14:paraId="2E9AD4C2" w14:textId="77777777" w:rsidR="00B07B03" w:rsidRPr="00696A22" w:rsidRDefault="00FB3110">
            <w:pPr>
              <w:jc w:val="center"/>
              <w:rPr>
                <w:rFonts w:ascii="Arial" w:eastAsia="Times New Roman" w:hAnsi="Arial" w:cs="Arial"/>
                <w:sz w:val="18"/>
                <w:szCs w:val="18"/>
              </w:rPr>
            </w:pPr>
            <w:r w:rsidRPr="00696A22">
              <w:rPr>
                <w:rFonts w:ascii="Arial" w:eastAsia="Times New Roman" w:hAnsi="Arial" w:cs="Arial"/>
                <w:color w:val="000000"/>
                <w:sz w:val="18"/>
                <w:szCs w:val="18"/>
              </w:rPr>
              <w:t>126 (87.5%)</w:t>
            </w:r>
          </w:p>
        </w:tc>
        <w:tc>
          <w:tcPr>
            <w:tcW w:w="283" w:type="dxa"/>
            <w:tcBorders>
              <w:top w:val="single" w:sz="4" w:space="0" w:color="auto"/>
            </w:tcBorders>
            <w:vAlign w:val="center"/>
          </w:tcPr>
          <w:p w14:paraId="04E0F185" w14:textId="77777777" w:rsidR="00B07B03" w:rsidRPr="00696A22" w:rsidRDefault="00B07B03">
            <w:pPr>
              <w:jc w:val="center"/>
              <w:rPr>
                <w:rFonts w:ascii="Arial" w:eastAsia="Times New Roman" w:hAnsi="Arial" w:cs="Arial"/>
                <w:sz w:val="18"/>
                <w:szCs w:val="18"/>
              </w:rPr>
            </w:pPr>
          </w:p>
        </w:tc>
        <w:tc>
          <w:tcPr>
            <w:tcW w:w="2552" w:type="dxa"/>
            <w:tcBorders>
              <w:top w:val="single" w:sz="4" w:space="0" w:color="auto"/>
            </w:tcBorders>
            <w:vAlign w:val="center"/>
            <w:hideMark/>
          </w:tcPr>
          <w:p w14:paraId="449E2307" w14:textId="77777777" w:rsidR="00B07B03" w:rsidRPr="00696A22" w:rsidRDefault="00FB3110">
            <w:pPr>
              <w:jc w:val="center"/>
              <w:rPr>
                <w:rFonts w:ascii="Arial" w:eastAsia="Times New Roman" w:hAnsi="Arial" w:cs="Arial"/>
                <w:sz w:val="18"/>
                <w:szCs w:val="18"/>
              </w:rPr>
            </w:pPr>
            <w:r w:rsidRPr="00696A22">
              <w:rPr>
                <w:rFonts w:ascii="Arial" w:eastAsia="Times New Roman" w:hAnsi="Arial" w:cs="Arial"/>
                <w:color w:val="000000"/>
                <w:sz w:val="18"/>
                <w:szCs w:val="18"/>
              </w:rPr>
              <w:t>64 (100%)</w:t>
            </w:r>
          </w:p>
        </w:tc>
      </w:tr>
      <w:tr w:rsidR="00B07B03" w:rsidRPr="00696A22" w14:paraId="1FC1D5E1" w14:textId="77777777">
        <w:trPr>
          <w:trHeight w:val="397"/>
        </w:trPr>
        <w:tc>
          <w:tcPr>
            <w:tcW w:w="2552" w:type="dxa"/>
            <w:tcBorders>
              <w:bottom w:val="single" w:sz="4" w:space="0" w:color="auto"/>
            </w:tcBorders>
            <w:vAlign w:val="center"/>
            <w:hideMark/>
          </w:tcPr>
          <w:p w14:paraId="3DD9386D" w14:textId="77777777" w:rsidR="00B07B03" w:rsidRPr="00696A22" w:rsidRDefault="00B07B03">
            <w:pPr>
              <w:rPr>
                <w:rFonts w:ascii="Arial" w:eastAsia="Times New Roman" w:hAnsi="Arial" w:cs="Arial"/>
                <w:sz w:val="18"/>
                <w:szCs w:val="18"/>
              </w:rPr>
            </w:pPr>
          </w:p>
        </w:tc>
        <w:tc>
          <w:tcPr>
            <w:tcW w:w="992" w:type="dxa"/>
            <w:tcBorders>
              <w:bottom w:val="single" w:sz="4" w:space="0" w:color="auto"/>
            </w:tcBorders>
            <w:vAlign w:val="center"/>
            <w:hideMark/>
          </w:tcPr>
          <w:p w14:paraId="51568DBB" w14:textId="5C1EA2F8" w:rsidR="00B07B03" w:rsidRPr="00696A22" w:rsidRDefault="00B91648">
            <w:pPr>
              <w:rPr>
                <w:rFonts w:ascii="Arial" w:eastAsia="Times New Roman" w:hAnsi="Arial" w:cs="Arial"/>
                <w:sz w:val="18"/>
                <w:szCs w:val="18"/>
              </w:rPr>
            </w:pPr>
            <w:r w:rsidRPr="00696A22">
              <w:rPr>
                <w:rFonts w:ascii="Arial" w:eastAsia="Times New Roman" w:hAnsi="Arial" w:cs="Arial"/>
                <w:color w:val="000000"/>
                <w:sz w:val="18"/>
                <w:szCs w:val="18"/>
              </w:rPr>
              <w:t>P</w:t>
            </w:r>
            <w:r w:rsidR="00FB3110" w:rsidRPr="00696A22">
              <w:rPr>
                <w:rFonts w:ascii="Arial" w:eastAsia="Times New Roman" w:hAnsi="Arial" w:cs="Arial"/>
                <w:color w:val="000000"/>
                <w:sz w:val="18"/>
                <w:szCs w:val="18"/>
              </w:rPr>
              <w:t>resent</w:t>
            </w:r>
          </w:p>
        </w:tc>
        <w:tc>
          <w:tcPr>
            <w:tcW w:w="2552" w:type="dxa"/>
            <w:tcBorders>
              <w:bottom w:val="single" w:sz="4" w:space="0" w:color="auto"/>
            </w:tcBorders>
            <w:vAlign w:val="center"/>
            <w:hideMark/>
          </w:tcPr>
          <w:p w14:paraId="00883181" w14:textId="77777777" w:rsidR="00B07B03" w:rsidRPr="00696A22" w:rsidRDefault="00FB3110">
            <w:pPr>
              <w:jc w:val="center"/>
              <w:rPr>
                <w:rFonts w:ascii="Arial" w:eastAsia="Times New Roman" w:hAnsi="Arial" w:cs="Arial"/>
                <w:sz w:val="18"/>
                <w:szCs w:val="18"/>
              </w:rPr>
            </w:pPr>
            <w:r w:rsidRPr="00696A22">
              <w:rPr>
                <w:rFonts w:ascii="Arial" w:eastAsia="Times New Roman" w:hAnsi="Arial" w:cs="Arial"/>
                <w:color w:val="000000"/>
                <w:sz w:val="18"/>
                <w:szCs w:val="18"/>
              </w:rPr>
              <w:t>18 (12.5%)</w:t>
            </w:r>
          </w:p>
        </w:tc>
        <w:tc>
          <w:tcPr>
            <w:tcW w:w="283" w:type="dxa"/>
            <w:tcBorders>
              <w:bottom w:val="single" w:sz="4" w:space="0" w:color="auto"/>
            </w:tcBorders>
            <w:vAlign w:val="center"/>
          </w:tcPr>
          <w:p w14:paraId="03DFCAEE" w14:textId="77777777" w:rsidR="00B07B03" w:rsidRPr="00696A22" w:rsidRDefault="00B07B03">
            <w:pPr>
              <w:jc w:val="center"/>
              <w:rPr>
                <w:rFonts w:ascii="Arial" w:eastAsia="Times New Roman" w:hAnsi="Arial" w:cs="Arial"/>
                <w:sz w:val="18"/>
                <w:szCs w:val="18"/>
              </w:rPr>
            </w:pPr>
          </w:p>
        </w:tc>
        <w:tc>
          <w:tcPr>
            <w:tcW w:w="2552" w:type="dxa"/>
            <w:tcBorders>
              <w:bottom w:val="single" w:sz="4" w:space="0" w:color="auto"/>
            </w:tcBorders>
            <w:vAlign w:val="center"/>
            <w:hideMark/>
          </w:tcPr>
          <w:p w14:paraId="3B78AE41" w14:textId="77777777" w:rsidR="00B07B03" w:rsidRPr="00696A22" w:rsidRDefault="00FB3110">
            <w:pPr>
              <w:jc w:val="center"/>
              <w:rPr>
                <w:rFonts w:ascii="Arial" w:eastAsia="Times New Roman" w:hAnsi="Arial" w:cs="Arial"/>
                <w:sz w:val="18"/>
                <w:szCs w:val="18"/>
              </w:rPr>
            </w:pPr>
            <w:r w:rsidRPr="00696A22">
              <w:rPr>
                <w:rFonts w:ascii="Arial" w:eastAsia="Times New Roman" w:hAnsi="Arial" w:cs="Arial"/>
                <w:color w:val="000000"/>
                <w:sz w:val="18"/>
                <w:szCs w:val="18"/>
              </w:rPr>
              <w:t>0 (0%)</w:t>
            </w:r>
          </w:p>
        </w:tc>
      </w:tr>
      <w:tr w:rsidR="00B07B03" w:rsidRPr="00696A22" w14:paraId="7F7F72D8" w14:textId="77777777">
        <w:trPr>
          <w:trHeight w:val="397"/>
        </w:trPr>
        <w:tc>
          <w:tcPr>
            <w:tcW w:w="2552" w:type="dxa"/>
            <w:tcBorders>
              <w:top w:val="single" w:sz="4" w:space="0" w:color="auto"/>
            </w:tcBorders>
            <w:vAlign w:val="center"/>
            <w:hideMark/>
          </w:tcPr>
          <w:p w14:paraId="6A36E04B" w14:textId="77777777" w:rsidR="00B07B03" w:rsidRPr="00696A22" w:rsidRDefault="00FB3110">
            <w:pPr>
              <w:rPr>
                <w:rFonts w:ascii="Arial" w:eastAsia="Times New Roman" w:hAnsi="Arial" w:cs="Arial"/>
                <w:sz w:val="18"/>
                <w:szCs w:val="18"/>
              </w:rPr>
            </w:pPr>
            <w:r w:rsidRPr="00696A22">
              <w:rPr>
                <w:rFonts w:ascii="Arial" w:eastAsia="Times New Roman" w:hAnsi="Arial" w:cs="Arial"/>
                <w:color w:val="000000"/>
                <w:sz w:val="18"/>
                <w:szCs w:val="18"/>
              </w:rPr>
              <w:t>Resection status</w:t>
            </w:r>
          </w:p>
        </w:tc>
        <w:tc>
          <w:tcPr>
            <w:tcW w:w="992" w:type="dxa"/>
            <w:tcBorders>
              <w:top w:val="single" w:sz="4" w:space="0" w:color="auto"/>
            </w:tcBorders>
            <w:vAlign w:val="center"/>
            <w:hideMark/>
          </w:tcPr>
          <w:p w14:paraId="564788FE" w14:textId="77777777" w:rsidR="00B07B03" w:rsidRPr="00696A22" w:rsidRDefault="00FB3110">
            <w:pPr>
              <w:rPr>
                <w:rFonts w:ascii="Arial" w:eastAsia="Times New Roman" w:hAnsi="Arial" w:cs="Arial"/>
                <w:sz w:val="18"/>
                <w:szCs w:val="18"/>
              </w:rPr>
            </w:pPr>
            <w:r w:rsidRPr="00696A22">
              <w:rPr>
                <w:rFonts w:ascii="Arial" w:eastAsia="Times New Roman" w:hAnsi="Arial" w:cs="Arial"/>
                <w:color w:val="000000"/>
                <w:sz w:val="18"/>
                <w:szCs w:val="18"/>
              </w:rPr>
              <w:t>R0</w:t>
            </w:r>
          </w:p>
        </w:tc>
        <w:tc>
          <w:tcPr>
            <w:tcW w:w="2552" w:type="dxa"/>
            <w:tcBorders>
              <w:top w:val="single" w:sz="4" w:space="0" w:color="auto"/>
            </w:tcBorders>
            <w:vAlign w:val="center"/>
            <w:hideMark/>
          </w:tcPr>
          <w:p w14:paraId="115F59C2" w14:textId="77777777" w:rsidR="00B07B03" w:rsidRPr="00696A22" w:rsidRDefault="00FB3110">
            <w:pPr>
              <w:jc w:val="center"/>
              <w:rPr>
                <w:rFonts w:ascii="Arial" w:eastAsia="Times New Roman" w:hAnsi="Arial" w:cs="Arial"/>
                <w:sz w:val="18"/>
                <w:szCs w:val="18"/>
              </w:rPr>
            </w:pPr>
            <w:r w:rsidRPr="00696A22">
              <w:rPr>
                <w:rFonts w:ascii="Arial" w:eastAsia="Times New Roman" w:hAnsi="Arial" w:cs="Arial"/>
                <w:color w:val="000000"/>
                <w:sz w:val="18"/>
                <w:szCs w:val="18"/>
              </w:rPr>
              <w:t>118 (81.9%)</w:t>
            </w:r>
          </w:p>
        </w:tc>
        <w:tc>
          <w:tcPr>
            <w:tcW w:w="283" w:type="dxa"/>
            <w:tcBorders>
              <w:top w:val="single" w:sz="4" w:space="0" w:color="auto"/>
            </w:tcBorders>
            <w:vAlign w:val="center"/>
          </w:tcPr>
          <w:p w14:paraId="12032705" w14:textId="77777777" w:rsidR="00B07B03" w:rsidRPr="00696A22" w:rsidRDefault="00B07B03">
            <w:pPr>
              <w:jc w:val="center"/>
              <w:rPr>
                <w:rFonts w:ascii="Arial" w:eastAsia="Times New Roman" w:hAnsi="Arial" w:cs="Arial"/>
                <w:sz w:val="18"/>
                <w:szCs w:val="18"/>
              </w:rPr>
            </w:pPr>
          </w:p>
        </w:tc>
        <w:tc>
          <w:tcPr>
            <w:tcW w:w="2552" w:type="dxa"/>
            <w:tcBorders>
              <w:top w:val="single" w:sz="4" w:space="0" w:color="auto"/>
            </w:tcBorders>
            <w:vAlign w:val="center"/>
            <w:hideMark/>
          </w:tcPr>
          <w:p w14:paraId="1DFC9F7E" w14:textId="77777777" w:rsidR="00B07B03" w:rsidRPr="00696A22" w:rsidRDefault="00FB3110">
            <w:pPr>
              <w:jc w:val="center"/>
              <w:rPr>
                <w:rFonts w:ascii="Arial" w:eastAsia="Times New Roman" w:hAnsi="Arial" w:cs="Arial"/>
                <w:sz w:val="18"/>
                <w:szCs w:val="18"/>
              </w:rPr>
            </w:pPr>
            <w:r w:rsidRPr="00696A22">
              <w:rPr>
                <w:rFonts w:ascii="Arial" w:eastAsia="Times New Roman" w:hAnsi="Arial" w:cs="Arial"/>
                <w:color w:val="000000"/>
                <w:sz w:val="18"/>
                <w:szCs w:val="18"/>
              </w:rPr>
              <w:t>58 (90.6%)</w:t>
            </w:r>
          </w:p>
        </w:tc>
      </w:tr>
      <w:tr w:rsidR="00B07B03" w:rsidRPr="00696A22" w14:paraId="249DF4B3" w14:textId="77777777">
        <w:trPr>
          <w:trHeight w:val="397"/>
        </w:trPr>
        <w:tc>
          <w:tcPr>
            <w:tcW w:w="2552" w:type="dxa"/>
            <w:vAlign w:val="center"/>
            <w:hideMark/>
          </w:tcPr>
          <w:p w14:paraId="5765D303" w14:textId="77777777" w:rsidR="00B07B03" w:rsidRPr="00696A22" w:rsidRDefault="00B07B03">
            <w:pPr>
              <w:rPr>
                <w:rFonts w:ascii="Arial" w:eastAsia="Times New Roman" w:hAnsi="Arial" w:cs="Arial"/>
                <w:sz w:val="18"/>
                <w:szCs w:val="18"/>
              </w:rPr>
            </w:pPr>
          </w:p>
        </w:tc>
        <w:tc>
          <w:tcPr>
            <w:tcW w:w="992" w:type="dxa"/>
            <w:vAlign w:val="center"/>
            <w:hideMark/>
          </w:tcPr>
          <w:p w14:paraId="785CEE62" w14:textId="77777777" w:rsidR="00B07B03" w:rsidRPr="00696A22" w:rsidRDefault="00FB3110">
            <w:pPr>
              <w:rPr>
                <w:rFonts w:ascii="Arial" w:eastAsia="Times New Roman" w:hAnsi="Arial" w:cs="Arial"/>
                <w:sz w:val="18"/>
                <w:szCs w:val="18"/>
              </w:rPr>
            </w:pPr>
            <w:r w:rsidRPr="00696A22">
              <w:rPr>
                <w:rFonts w:ascii="Arial" w:eastAsia="Times New Roman" w:hAnsi="Arial" w:cs="Arial"/>
                <w:color w:val="000000"/>
                <w:sz w:val="18"/>
                <w:szCs w:val="18"/>
              </w:rPr>
              <w:t>R1</w:t>
            </w:r>
          </w:p>
        </w:tc>
        <w:tc>
          <w:tcPr>
            <w:tcW w:w="2552" w:type="dxa"/>
            <w:vAlign w:val="center"/>
            <w:hideMark/>
          </w:tcPr>
          <w:p w14:paraId="20320CB5" w14:textId="77777777" w:rsidR="00B07B03" w:rsidRPr="00696A22" w:rsidRDefault="00FB3110">
            <w:pPr>
              <w:jc w:val="center"/>
              <w:rPr>
                <w:rFonts w:ascii="Arial" w:eastAsia="Times New Roman" w:hAnsi="Arial" w:cs="Arial"/>
                <w:sz w:val="18"/>
                <w:szCs w:val="18"/>
              </w:rPr>
            </w:pPr>
            <w:r w:rsidRPr="00696A22">
              <w:rPr>
                <w:rFonts w:ascii="Arial" w:eastAsia="Times New Roman" w:hAnsi="Arial" w:cs="Arial"/>
                <w:color w:val="000000"/>
                <w:sz w:val="18"/>
                <w:szCs w:val="18"/>
              </w:rPr>
              <w:t>21 (14.6%)</w:t>
            </w:r>
          </w:p>
        </w:tc>
        <w:tc>
          <w:tcPr>
            <w:tcW w:w="283" w:type="dxa"/>
            <w:vAlign w:val="center"/>
          </w:tcPr>
          <w:p w14:paraId="3B1E2CD5" w14:textId="77777777" w:rsidR="00B07B03" w:rsidRPr="00696A22" w:rsidRDefault="00B07B03">
            <w:pPr>
              <w:jc w:val="center"/>
              <w:rPr>
                <w:rFonts w:ascii="Arial" w:eastAsia="Times New Roman" w:hAnsi="Arial" w:cs="Arial"/>
                <w:sz w:val="18"/>
                <w:szCs w:val="18"/>
              </w:rPr>
            </w:pPr>
          </w:p>
        </w:tc>
        <w:tc>
          <w:tcPr>
            <w:tcW w:w="2552" w:type="dxa"/>
            <w:vAlign w:val="center"/>
            <w:hideMark/>
          </w:tcPr>
          <w:p w14:paraId="0FAAC03F" w14:textId="77777777" w:rsidR="00B07B03" w:rsidRPr="00696A22" w:rsidRDefault="00FB3110">
            <w:pPr>
              <w:jc w:val="center"/>
              <w:rPr>
                <w:rFonts w:ascii="Arial" w:eastAsia="Times New Roman" w:hAnsi="Arial" w:cs="Arial"/>
                <w:sz w:val="18"/>
                <w:szCs w:val="18"/>
              </w:rPr>
            </w:pPr>
            <w:r w:rsidRPr="00696A22">
              <w:rPr>
                <w:rFonts w:ascii="Arial" w:eastAsia="Times New Roman" w:hAnsi="Arial" w:cs="Arial"/>
                <w:color w:val="000000"/>
                <w:sz w:val="18"/>
                <w:szCs w:val="18"/>
              </w:rPr>
              <w:t>6 (9.4%)</w:t>
            </w:r>
          </w:p>
        </w:tc>
      </w:tr>
      <w:tr w:rsidR="00B07B03" w:rsidRPr="00696A22" w14:paraId="18C68701" w14:textId="77777777">
        <w:trPr>
          <w:trHeight w:val="397"/>
        </w:trPr>
        <w:tc>
          <w:tcPr>
            <w:tcW w:w="2552" w:type="dxa"/>
            <w:tcBorders>
              <w:bottom w:val="single" w:sz="4" w:space="0" w:color="auto"/>
            </w:tcBorders>
            <w:vAlign w:val="center"/>
            <w:hideMark/>
          </w:tcPr>
          <w:p w14:paraId="5AC13943" w14:textId="77777777" w:rsidR="00B07B03" w:rsidRPr="00696A22" w:rsidRDefault="00B07B03">
            <w:pPr>
              <w:rPr>
                <w:rFonts w:ascii="Arial" w:eastAsia="Times New Roman" w:hAnsi="Arial" w:cs="Arial"/>
                <w:sz w:val="18"/>
                <w:szCs w:val="18"/>
              </w:rPr>
            </w:pPr>
          </w:p>
        </w:tc>
        <w:tc>
          <w:tcPr>
            <w:tcW w:w="992" w:type="dxa"/>
            <w:tcBorders>
              <w:bottom w:val="single" w:sz="4" w:space="0" w:color="auto"/>
            </w:tcBorders>
            <w:vAlign w:val="center"/>
            <w:hideMark/>
          </w:tcPr>
          <w:p w14:paraId="41BEAF0F" w14:textId="77777777" w:rsidR="00B07B03" w:rsidRPr="00696A22" w:rsidRDefault="00FB3110">
            <w:pPr>
              <w:rPr>
                <w:rFonts w:ascii="Arial" w:eastAsia="Times New Roman" w:hAnsi="Arial" w:cs="Arial"/>
                <w:sz w:val="18"/>
                <w:szCs w:val="18"/>
              </w:rPr>
            </w:pPr>
            <w:r w:rsidRPr="00696A22">
              <w:rPr>
                <w:rFonts w:ascii="Arial" w:eastAsia="Times New Roman" w:hAnsi="Arial" w:cs="Arial"/>
                <w:color w:val="000000"/>
                <w:sz w:val="18"/>
                <w:szCs w:val="18"/>
              </w:rPr>
              <w:t>Rx</w:t>
            </w:r>
          </w:p>
        </w:tc>
        <w:tc>
          <w:tcPr>
            <w:tcW w:w="2552" w:type="dxa"/>
            <w:tcBorders>
              <w:bottom w:val="single" w:sz="4" w:space="0" w:color="auto"/>
            </w:tcBorders>
            <w:vAlign w:val="center"/>
            <w:hideMark/>
          </w:tcPr>
          <w:p w14:paraId="4B4EA59F" w14:textId="77777777" w:rsidR="00B07B03" w:rsidRPr="00696A22" w:rsidRDefault="00FB3110">
            <w:pPr>
              <w:jc w:val="center"/>
              <w:rPr>
                <w:rFonts w:ascii="Arial" w:eastAsia="Times New Roman" w:hAnsi="Arial" w:cs="Arial"/>
                <w:sz w:val="18"/>
                <w:szCs w:val="18"/>
              </w:rPr>
            </w:pPr>
            <w:r w:rsidRPr="00696A22">
              <w:rPr>
                <w:rFonts w:ascii="Arial" w:eastAsia="Times New Roman" w:hAnsi="Arial" w:cs="Arial"/>
                <w:color w:val="000000"/>
                <w:sz w:val="18"/>
                <w:szCs w:val="18"/>
              </w:rPr>
              <w:t>5 (3.5%)</w:t>
            </w:r>
          </w:p>
        </w:tc>
        <w:tc>
          <w:tcPr>
            <w:tcW w:w="283" w:type="dxa"/>
            <w:tcBorders>
              <w:bottom w:val="single" w:sz="4" w:space="0" w:color="auto"/>
            </w:tcBorders>
            <w:vAlign w:val="center"/>
          </w:tcPr>
          <w:p w14:paraId="23349011" w14:textId="77777777" w:rsidR="00B07B03" w:rsidRPr="00696A22" w:rsidRDefault="00B07B03">
            <w:pPr>
              <w:jc w:val="center"/>
              <w:rPr>
                <w:rFonts w:ascii="Arial" w:eastAsia="Times New Roman" w:hAnsi="Arial" w:cs="Arial"/>
                <w:sz w:val="18"/>
                <w:szCs w:val="18"/>
              </w:rPr>
            </w:pPr>
          </w:p>
        </w:tc>
        <w:tc>
          <w:tcPr>
            <w:tcW w:w="2552" w:type="dxa"/>
            <w:tcBorders>
              <w:bottom w:val="single" w:sz="4" w:space="0" w:color="auto"/>
            </w:tcBorders>
            <w:vAlign w:val="center"/>
            <w:hideMark/>
          </w:tcPr>
          <w:p w14:paraId="3287A4B5" w14:textId="3BD90471" w:rsidR="00B07B03" w:rsidRPr="00696A22" w:rsidRDefault="00B91648">
            <w:pPr>
              <w:jc w:val="center"/>
              <w:rPr>
                <w:rFonts w:ascii="Arial" w:eastAsia="Times New Roman" w:hAnsi="Arial" w:cs="Arial"/>
                <w:sz w:val="18"/>
                <w:szCs w:val="18"/>
              </w:rPr>
            </w:pPr>
            <w:r w:rsidRPr="00696A22">
              <w:rPr>
                <w:rFonts w:ascii="Arial" w:eastAsia="Times New Roman" w:hAnsi="Arial" w:cs="Arial"/>
                <w:color w:val="000000"/>
                <w:sz w:val="18"/>
                <w:szCs w:val="18"/>
              </w:rPr>
              <w:t>–</w:t>
            </w:r>
          </w:p>
        </w:tc>
      </w:tr>
      <w:tr w:rsidR="00B07B03" w:rsidRPr="00696A22" w14:paraId="4B184E7F" w14:textId="77777777">
        <w:trPr>
          <w:trHeight w:val="397"/>
        </w:trPr>
        <w:tc>
          <w:tcPr>
            <w:tcW w:w="2552" w:type="dxa"/>
            <w:tcBorders>
              <w:top w:val="single" w:sz="4" w:space="0" w:color="auto"/>
            </w:tcBorders>
            <w:vAlign w:val="center"/>
            <w:hideMark/>
          </w:tcPr>
          <w:p w14:paraId="1335DD46" w14:textId="77777777" w:rsidR="00B07B03" w:rsidRPr="00696A22" w:rsidRDefault="00FB3110">
            <w:pPr>
              <w:rPr>
                <w:rFonts w:ascii="Arial" w:eastAsia="Times New Roman" w:hAnsi="Arial" w:cs="Arial"/>
                <w:sz w:val="18"/>
                <w:szCs w:val="18"/>
              </w:rPr>
            </w:pPr>
            <w:r w:rsidRPr="00696A22">
              <w:rPr>
                <w:rFonts w:ascii="Arial" w:eastAsia="Times New Roman" w:hAnsi="Arial" w:cs="Arial"/>
                <w:color w:val="000000"/>
                <w:sz w:val="18"/>
                <w:szCs w:val="18"/>
              </w:rPr>
              <w:t>TRG (Becker)</w:t>
            </w:r>
          </w:p>
        </w:tc>
        <w:tc>
          <w:tcPr>
            <w:tcW w:w="992" w:type="dxa"/>
            <w:tcBorders>
              <w:top w:val="single" w:sz="4" w:space="0" w:color="auto"/>
            </w:tcBorders>
            <w:vAlign w:val="center"/>
            <w:hideMark/>
          </w:tcPr>
          <w:p w14:paraId="14768AD8" w14:textId="77777777" w:rsidR="00B07B03" w:rsidRPr="00696A22" w:rsidRDefault="00FB3110">
            <w:pPr>
              <w:rPr>
                <w:rFonts w:ascii="Arial" w:eastAsia="Times New Roman" w:hAnsi="Arial" w:cs="Arial"/>
                <w:sz w:val="18"/>
                <w:szCs w:val="18"/>
              </w:rPr>
            </w:pPr>
            <w:r w:rsidRPr="00696A22">
              <w:rPr>
                <w:rFonts w:ascii="Arial" w:eastAsia="Times New Roman" w:hAnsi="Arial" w:cs="Arial"/>
                <w:color w:val="000000"/>
                <w:sz w:val="18"/>
                <w:szCs w:val="18"/>
              </w:rPr>
              <w:t>1a</w:t>
            </w:r>
          </w:p>
        </w:tc>
        <w:tc>
          <w:tcPr>
            <w:tcW w:w="2552" w:type="dxa"/>
            <w:tcBorders>
              <w:top w:val="single" w:sz="4" w:space="0" w:color="auto"/>
            </w:tcBorders>
            <w:vAlign w:val="center"/>
            <w:hideMark/>
          </w:tcPr>
          <w:p w14:paraId="22B92DBA" w14:textId="77777777" w:rsidR="00B07B03" w:rsidRPr="00696A22" w:rsidRDefault="00FB3110">
            <w:pPr>
              <w:jc w:val="center"/>
              <w:rPr>
                <w:rFonts w:ascii="Arial" w:eastAsia="Times New Roman" w:hAnsi="Arial" w:cs="Arial"/>
                <w:sz w:val="18"/>
                <w:szCs w:val="18"/>
              </w:rPr>
            </w:pPr>
            <w:r w:rsidRPr="00696A22">
              <w:rPr>
                <w:rFonts w:ascii="Arial" w:eastAsia="Times New Roman" w:hAnsi="Arial" w:cs="Arial"/>
                <w:color w:val="000000"/>
                <w:sz w:val="18"/>
                <w:szCs w:val="18"/>
              </w:rPr>
              <w:t>29 (20.2%)</w:t>
            </w:r>
          </w:p>
        </w:tc>
        <w:tc>
          <w:tcPr>
            <w:tcW w:w="283" w:type="dxa"/>
            <w:tcBorders>
              <w:top w:val="single" w:sz="4" w:space="0" w:color="auto"/>
            </w:tcBorders>
            <w:vAlign w:val="center"/>
          </w:tcPr>
          <w:p w14:paraId="351C0752" w14:textId="77777777" w:rsidR="00B07B03" w:rsidRPr="00696A22" w:rsidRDefault="00B07B03">
            <w:pPr>
              <w:jc w:val="center"/>
              <w:rPr>
                <w:rFonts w:ascii="Arial" w:eastAsia="Times New Roman" w:hAnsi="Arial" w:cs="Arial"/>
                <w:sz w:val="18"/>
                <w:szCs w:val="18"/>
              </w:rPr>
            </w:pPr>
          </w:p>
        </w:tc>
        <w:tc>
          <w:tcPr>
            <w:tcW w:w="2552" w:type="dxa"/>
            <w:tcBorders>
              <w:top w:val="single" w:sz="4" w:space="0" w:color="auto"/>
            </w:tcBorders>
            <w:vAlign w:val="center"/>
            <w:hideMark/>
          </w:tcPr>
          <w:p w14:paraId="0F51AAF6" w14:textId="0F6DE682" w:rsidR="00B07B03" w:rsidRPr="00696A22" w:rsidRDefault="00B91648">
            <w:pPr>
              <w:jc w:val="center"/>
              <w:rPr>
                <w:rFonts w:ascii="Arial" w:eastAsia="Times New Roman" w:hAnsi="Arial" w:cs="Arial"/>
                <w:sz w:val="18"/>
                <w:szCs w:val="18"/>
              </w:rPr>
            </w:pPr>
            <w:r w:rsidRPr="00696A22">
              <w:rPr>
                <w:rFonts w:ascii="Arial" w:eastAsia="Times New Roman" w:hAnsi="Arial" w:cs="Arial"/>
                <w:color w:val="000000"/>
                <w:sz w:val="18"/>
                <w:szCs w:val="18"/>
              </w:rPr>
              <w:t>–</w:t>
            </w:r>
          </w:p>
        </w:tc>
      </w:tr>
      <w:tr w:rsidR="00B07B03" w:rsidRPr="00696A22" w14:paraId="0F592654" w14:textId="77777777">
        <w:trPr>
          <w:trHeight w:val="397"/>
        </w:trPr>
        <w:tc>
          <w:tcPr>
            <w:tcW w:w="2552" w:type="dxa"/>
            <w:vAlign w:val="center"/>
            <w:hideMark/>
          </w:tcPr>
          <w:p w14:paraId="7E8841A3" w14:textId="77777777" w:rsidR="00B07B03" w:rsidRPr="00696A22" w:rsidRDefault="00B07B03">
            <w:pPr>
              <w:rPr>
                <w:rFonts w:ascii="Arial" w:eastAsia="Times New Roman" w:hAnsi="Arial" w:cs="Arial"/>
                <w:sz w:val="18"/>
                <w:szCs w:val="18"/>
              </w:rPr>
            </w:pPr>
          </w:p>
        </w:tc>
        <w:tc>
          <w:tcPr>
            <w:tcW w:w="992" w:type="dxa"/>
            <w:vAlign w:val="center"/>
            <w:hideMark/>
          </w:tcPr>
          <w:p w14:paraId="4C4B12CF" w14:textId="77777777" w:rsidR="00B07B03" w:rsidRPr="00696A22" w:rsidRDefault="00FB3110">
            <w:pPr>
              <w:rPr>
                <w:rFonts w:ascii="Arial" w:eastAsia="Times New Roman" w:hAnsi="Arial" w:cs="Arial"/>
                <w:sz w:val="18"/>
                <w:szCs w:val="18"/>
              </w:rPr>
            </w:pPr>
            <w:r w:rsidRPr="00696A22">
              <w:rPr>
                <w:rFonts w:ascii="Arial" w:eastAsia="Times New Roman" w:hAnsi="Arial" w:cs="Arial"/>
                <w:color w:val="000000"/>
                <w:sz w:val="18"/>
                <w:szCs w:val="18"/>
              </w:rPr>
              <w:t>1b</w:t>
            </w:r>
          </w:p>
        </w:tc>
        <w:tc>
          <w:tcPr>
            <w:tcW w:w="2552" w:type="dxa"/>
            <w:vAlign w:val="center"/>
            <w:hideMark/>
          </w:tcPr>
          <w:p w14:paraId="771D6E21" w14:textId="77777777" w:rsidR="00B07B03" w:rsidRPr="00696A22" w:rsidRDefault="00FB3110">
            <w:pPr>
              <w:jc w:val="center"/>
              <w:rPr>
                <w:rFonts w:ascii="Arial" w:eastAsia="Times New Roman" w:hAnsi="Arial" w:cs="Arial"/>
                <w:sz w:val="18"/>
                <w:szCs w:val="18"/>
              </w:rPr>
            </w:pPr>
            <w:r w:rsidRPr="00696A22">
              <w:rPr>
                <w:rFonts w:ascii="Arial" w:eastAsia="Times New Roman" w:hAnsi="Arial" w:cs="Arial"/>
                <w:color w:val="000000"/>
                <w:sz w:val="18"/>
                <w:szCs w:val="18"/>
              </w:rPr>
              <w:t>39 (27.1%)</w:t>
            </w:r>
          </w:p>
        </w:tc>
        <w:tc>
          <w:tcPr>
            <w:tcW w:w="283" w:type="dxa"/>
            <w:vAlign w:val="center"/>
          </w:tcPr>
          <w:p w14:paraId="3F16ED83" w14:textId="77777777" w:rsidR="00B07B03" w:rsidRPr="00696A22" w:rsidRDefault="00B07B03">
            <w:pPr>
              <w:jc w:val="center"/>
              <w:rPr>
                <w:rFonts w:ascii="Arial" w:eastAsia="Times New Roman" w:hAnsi="Arial" w:cs="Arial"/>
                <w:sz w:val="18"/>
                <w:szCs w:val="18"/>
              </w:rPr>
            </w:pPr>
          </w:p>
        </w:tc>
        <w:tc>
          <w:tcPr>
            <w:tcW w:w="2552" w:type="dxa"/>
            <w:vAlign w:val="center"/>
            <w:hideMark/>
          </w:tcPr>
          <w:p w14:paraId="6DA28870" w14:textId="163FDD04" w:rsidR="00B07B03" w:rsidRPr="00696A22" w:rsidRDefault="00B91648">
            <w:pPr>
              <w:jc w:val="center"/>
              <w:rPr>
                <w:rFonts w:ascii="Arial" w:eastAsia="Times New Roman" w:hAnsi="Arial" w:cs="Arial"/>
                <w:sz w:val="18"/>
                <w:szCs w:val="18"/>
              </w:rPr>
            </w:pPr>
            <w:r w:rsidRPr="00696A22">
              <w:rPr>
                <w:rFonts w:ascii="Arial" w:eastAsia="Times New Roman" w:hAnsi="Arial" w:cs="Arial"/>
                <w:color w:val="000000"/>
                <w:sz w:val="18"/>
                <w:szCs w:val="18"/>
              </w:rPr>
              <w:t>–</w:t>
            </w:r>
          </w:p>
        </w:tc>
      </w:tr>
      <w:tr w:rsidR="00B07B03" w:rsidRPr="00696A22" w14:paraId="6E5B286F" w14:textId="77777777" w:rsidTr="00B91648">
        <w:trPr>
          <w:trHeight w:val="397"/>
        </w:trPr>
        <w:tc>
          <w:tcPr>
            <w:tcW w:w="2552" w:type="dxa"/>
            <w:vAlign w:val="center"/>
            <w:hideMark/>
          </w:tcPr>
          <w:p w14:paraId="6A201EE2" w14:textId="77777777" w:rsidR="00B07B03" w:rsidRPr="00696A22" w:rsidRDefault="00B07B03">
            <w:pPr>
              <w:rPr>
                <w:rFonts w:ascii="Arial" w:eastAsia="Times New Roman" w:hAnsi="Arial" w:cs="Arial"/>
                <w:sz w:val="18"/>
                <w:szCs w:val="18"/>
              </w:rPr>
            </w:pPr>
          </w:p>
        </w:tc>
        <w:tc>
          <w:tcPr>
            <w:tcW w:w="992" w:type="dxa"/>
            <w:vAlign w:val="center"/>
            <w:hideMark/>
          </w:tcPr>
          <w:p w14:paraId="6D4DB10B" w14:textId="77777777" w:rsidR="00B07B03" w:rsidRPr="00696A22" w:rsidRDefault="00FB3110">
            <w:pPr>
              <w:rPr>
                <w:rFonts w:ascii="Arial" w:eastAsia="Times New Roman" w:hAnsi="Arial" w:cs="Arial"/>
                <w:sz w:val="18"/>
                <w:szCs w:val="18"/>
              </w:rPr>
            </w:pPr>
            <w:r w:rsidRPr="00696A22">
              <w:rPr>
                <w:rFonts w:ascii="Arial" w:eastAsia="Times New Roman" w:hAnsi="Arial" w:cs="Arial"/>
                <w:color w:val="000000"/>
                <w:sz w:val="18"/>
                <w:szCs w:val="18"/>
              </w:rPr>
              <w:t>2</w:t>
            </w:r>
          </w:p>
        </w:tc>
        <w:tc>
          <w:tcPr>
            <w:tcW w:w="2552" w:type="dxa"/>
            <w:vAlign w:val="center"/>
            <w:hideMark/>
          </w:tcPr>
          <w:p w14:paraId="588DF73E" w14:textId="77777777" w:rsidR="00B07B03" w:rsidRPr="00696A22" w:rsidRDefault="00FB3110">
            <w:pPr>
              <w:jc w:val="center"/>
              <w:rPr>
                <w:rFonts w:ascii="Arial" w:eastAsia="Times New Roman" w:hAnsi="Arial" w:cs="Arial"/>
                <w:sz w:val="18"/>
                <w:szCs w:val="18"/>
              </w:rPr>
            </w:pPr>
            <w:r w:rsidRPr="00696A22">
              <w:rPr>
                <w:rFonts w:ascii="Arial" w:eastAsia="Times New Roman" w:hAnsi="Arial" w:cs="Arial"/>
                <w:color w:val="000000"/>
                <w:sz w:val="18"/>
                <w:szCs w:val="18"/>
              </w:rPr>
              <w:t>28 (19.4%)</w:t>
            </w:r>
          </w:p>
        </w:tc>
        <w:tc>
          <w:tcPr>
            <w:tcW w:w="283" w:type="dxa"/>
            <w:vAlign w:val="center"/>
          </w:tcPr>
          <w:p w14:paraId="5952F64A" w14:textId="77777777" w:rsidR="00B07B03" w:rsidRPr="00696A22" w:rsidRDefault="00B07B03">
            <w:pPr>
              <w:jc w:val="center"/>
              <w:rPr>
                <w:rFonts w:ascii="Arial" w:eastAsia="Times New Roman" w:hAnsi="Arial" w:cs="Arial"/>
                <w:sz w:val="18"/>
                <w:szCs w:val="18"/>
              </w:rPr>
            </w:pPr>
          </w:p>
        </w:tc>
        <w:tc>
          <w:tcPr>
            <w:tcW w:w="2552" w:type="dxa"/>
            <w:vAlign w:val="center"/>
            <w:hideMark/>
          </w:tcPr>
          <w:p w14:paraId="5EBF5CE2" w14:textId="693321C9" w:rsidR="00B07B03" w:rsidRPr="00696A22" w:rsidRDefault="00B91648">
            <w:pPr>
              <w:jc w:val="center"/>
              <w:rPr>
                <w:rFonts w:ascii="Arial" w:eastAsia="Times New Roman" w:hAnsi="Arial" w:cs="Arial"/>
                <w:sz w:val="18"/>
                <w:szCs w:val="18"/>
              </w:rPr>
            </w:pPr>
            <w:r w:rsidRPr="00696A22">
              <w:rPr>
                <w:rFonts w:ascii="Arial" w:eastAsia="Times New Roman" w:hAnsi="Arial" w:cs="Arial"/>
                <w:color w:val="000000"/>
                <w:sz w:val="18"/>
                <w:szCs w:val="18"/>
              </w:rPr>
              <w:t>–</w:t>
            </w:r>
          </w:p>
        </w:tc>
      </w:tr>
      <w:tr w:rsidR="00B07B03" w:rsidRPr="00696A22" w14:paraId="1E4112CA" w14:textId="77777777" w:rsidTr="00B91648">
        <w:trPr>
          <w:trHeight w:val="397"/>
        </w:trPr>
        <w:tc>
          <w:tcPr>
            <w:tcW w:w="2552" w:type="dxa"/>
            <w:tcBorders>
              <w:bottom w:val="single" w:sz="4" w:space="0" w:color="auto"/>
            </w:tcBorders>
            <w:vAlign w:val="center"/>
            <w:hideMark/>
          </w:tcPr>
          <w:p w14:paraId="3A2B1E77" w14:textId="77777777" w:rsidR="00B07B03" w:rsidRPr="00696A22" w:rsidRDefault="00B07B03">
            <w:pPr>
              <w:rPr>
                <w:rFonts w:ascii="Arial" w:eastAsia="Times New Roman" w:hAnsi="Arial" w:cs="Arial"/>
                <w:sz w:val="18"/>
                <w:szCs w:val="18"/>
              </w:rPr>
            </w:pPr>
          </w:p>
        </w:tc>
        <w:tc>
          <w:tcPr>
            <w:tcW w:w="992" w:type="dxa"/>
            <w:tcBorders>
              <w:bottom w:val="single" w:sz="4" w:space="0" w:color="auto"/>
            </w:tcBorders>
            <w:vAlign w:val="center"/>
            <w:hideMark/>
          </w:tcPr>
          <w:p w14:paraId="233C83B0" w14:textId="77777777" w:rsidR="00B07B03" w:rsidRPr="00696A22" w:rsidRDefault="00FB3110">
            <w:pPr>
              <w:rPr>
                <w:rFonts w:ascii="Arial" w:eastAsia="Times New Roman" w:hAnsi="Arial" w:cs="Arial"/>
                <w:sz w:val="18"/>
                <w:szCs w:val="18"/>
              </w:rPr>
            </w:pPr>
            <w:r w:rsidRPr="00696A22">
              <w:rPr>
                <w:rFonts w:ascii="Arial" w:eastAsia="Times New Roman" w:hAnsi="Arial" w:cs="Arial"/>
                <w:color w:val="000000"/>
                <w:sz w:val="18"/>
                <w:szCs w:val="18"/>
              </w:rPr>
              <w:t>3</w:t>
            </w:r>
          </w:p>
        </w:tc>
        <w:tc>
          <w:tcPr>
            <w:tcW w:w="2552" w:type="dxa"/>
            <w:tcBorders>
              <w:bottom w:val="single" w:sz="4" w:space="0" w:color="auto"/>
            </w:tcBorders>
            <w:vAlign w:val="center"/>
            <w:hideMark/>
          </w:tcPr>
          <w:p w14:paraId="6394C336" w14:textId="77777777" w:rsidR="00B07B03" w:rsidRPr="00696A22" w:rsidRDefault="00FB3110">
            <w:pPr>
              <w:jc w:val="center"/>
              <w:rPr>
                <w:rFonts w:ascii="Arial" w:eastAsia="Times New Roman" w:hAnsi="Arial" w:cs="Arial"/>
                <w:sz w:val="18"/>
                <w:szCs w:val="18"/>
              </w:rPr>
            </w:pPr>
            <w:r w:rsidRPr="00696A22">
              <w:rPr>
                <w:rFonts w:ascii="Arial" w:eastAsia="Times New Roman" w:hAnsi="Arial" w:cs="Arial"/>
                <w:color w:val="000000"/>
                <w:sz w:val="18"/>
                <w:szCs w:val="18"/>
              </w:rPr>
              <w:t>48 (33.3%)</w:t>
            </w:r>
          </w:p>
        </w:tc>
        <w:tc>
          <w:tcPr>
            <w:tcW w:w="283" w:type="dxa"/>
            <w:tcBorders>
              <w:bottom w:val="single" w:sz="4" w:space="0" w:color="auto"/>
            </w:tcBorders>
            <w:vAlign w:val="center"/>
          </w:tcPr>
          <w:p w14:paraId="5D11EB5F" w14:textId="77777777" w:rsidR="00B07B03" w:rsidRPr="00696A22" w:rsidRDefault="00B07B03">
            <w:pPr>
              <w:jc w:val="center"/>
              <w:rPr>
                <w:rFonts w:ascii="Arial" w:eastAsia="Times New Roman" w:hAnsi="Arial" w:cs="Arial"/>
                <w:sz w:val="18"/>
                <w:szCs w:val="18"/>
              </w:rPr>
            </w:pPr>
          </w:p>
        </w:tc>
        <w:tc>
          <w:tcPr>
            <w:tcW w:w="2552" w:type="dxa"/>
            <w:tcBorders>
              <w:bottom w:val="single" w:sz="4" w:space="0" w:color="auto"/>
            </w:tcBorders>
            <w:vAlign w:val="center"/>
            <w:hideMark/>
          </w:tcPr>
          <w:p w14:paraId="137F85EA" w14:textId="5706D1F3" w:rsidR="00B07B03" w:rsidRPr="00696A22" w:rsidRDefault="00B91648">
            <w:pPr>
              <w:jc w:val="center"/>
              <w:rPr>
                <w:rFonts w:ascii="Arial" w:eastAsia="Times New Roman" w:hAnsi="Arial" w:cs="Arial"/>
                <w:sz w:val="18"/>
                <w:szCs w:val="18"/>
              </w:rPr>
            </w:pPr>
            <w:r w:rsidRPr="00696A22">
              <w:rPr>
                <w:rFonts w:ascii="Arial" w:eastAsia="Times New Roman" w:hAnsi="Arial" w:cs="Arial"/>
                <w:color w:val="000000"/>
                <w:sz w:val="18"/>
                <w:szCs w:val="18"/>
              </w:rPr>
              <w:t>–</w:t>
            </w:r>
          </w:p>
        </w:tc>
      </w:tr>
    </w:tbl>
    <w:p w14:paraId="54154151" w14:textId="3E208B18" w:rsidR="00B043D4" w:rsidRDefault="00B043D4" w:rsidP="00B043D4">
      <w:pPr>
        <w:rPr>
          <w:sz w:val="20"/>
        </w:rPr>
      </w:pPr>
    </w:p>
    <w:sectPr w:rsidR="00B043D4" w:rsidSect="00B043D4">
      <w:footerReference w:type="default" r:id="rId11"/>
      <w:pgSz w:w="11901" w:h="16817"/>
      <w:pgMar w:top="1304" w:right="1304" w:bottom="1304" w:left="13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4F4555" w14:textId="77777777" w:rsidR="00B14E1B" w:rsidRDefault="00B14E1B">
      <w:pPr>
        <w:spacing w:after="0" w:line="240" w:lineRule="auto"/>
      </w:pPr>
      <w:r>
        <w:separator/>
      </w:r>
    </w:p>
  </w:endnote>
  <w:endnote w:type="continuationSeparator" w:id="0">
    <w:p w14:paraId="3AD7B02A" w14:textId="77777777" w:rsidR="00B14E1B" w:rsidRDefault="00B14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1022832"/>
      <w:docPartObj>
        <w:docPartGallery w:val="Page Numbers (Bottom of Page)"/>
        <w:docPartUnique/>
      </w:docPartObj>
    </w:sdtPr>
    <w:sdtEndPr/>
    <w:sdtContent>
      <w:p w14:paraId="3A5B9D0A" w14:textId="77777777" w:rsidR="00B07B03" w:rsidRDefault="00FB3110">
        <w:pPr>
          <w:pStyle w:val="Footer"/>
          <w:jc w:val="right"/>
        </w:pPr>
        <w:r>
          <w:t>S-</w:t>
        </w:r>
        <w:r>
          <w:fldChar w:fldCharType="begin"/>
        </w:r>
        <w:r>
          <w:instrText>PAGE   \* MERGEFORMAT</w:instrText>
        </w:r>
        <w:r>
          <w:fldChar w:fldCharType="separate"/>
        </w:r>
        <w:r w:rsidR="001F4B75" w:rsidRPr="001F4B75">
          <w:rPr>
            <w:noProof/>
            <w:lang w:val="de-DE"/>
          </w:rPr>
          <w:t>3</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53A18D" w14:textId="77777777" w:rsidR="00B14E1B" w:rsidRDefault="00B14E1B">
      <w:pPr>
        <w:spacing w:after="0" w:line="240" w:lineRule="auto"/>
      </w:pPr>
      <w:r>
        <w:separator/>
      </w:r>
    </w:p>
  </w:footnote>
  <w:footnote w:type="continuationSeparator" w:id="0">
    <w:p w14:paraId="2B43EE95" w14:textId="77777777" w:rsidR="00B14E1B" w:rsidRDefault="00B14E1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52"/>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J Patholog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tt0awwrxfe09oex0dmvsexktx2frff59pr2&quot;&gt;Esophageal-Adenocarcinoma&lt;record-ids&gt;&lt;item&gt;126&lt;/item&gt;&lt;/record-ids&gt;&lt;/item&gt;&lt;/Libraries&gt;"/>
    <w:docVar w:name="Total_Editing_Time" w:val="9"/>
  </w:docVars>
  <w:rsids>
    <w:rsidRoot w:val="00B07B03"/>
    <w:rsid w:val="00036592"/>
    <w:rsid w:val="00070C33"/>
    <w:rsid w:val="001F4B75"/>
    <w:rsid w:val="00337C54"/>
    <w:rsid w:val="003D5443"/>
    <w:rsid w:val="00451B6D"/>
    <w:rsid w:val="005E408B"/>
    <w:rsid w:val="00696A22"/>
    <w:rsid w:val="0079150A"/>
    <w:rsid w:val="00892F5C"/>
    <w:rsid w:val="00935BDF"/>
    <w:rsid w:val="00A4221F"/>
    <w:rsid w:val="00AB216A"/>
    <w:rsid w:val="00B043D4"/>
    <w:rsid w:val="00B07B03"/>
    <w:rsid w:val="00B14E1B"/>
    <w:rsid w:val="00B91648"/>
    <w:rsid w:val="00C87518"/>
    <w:rsid w:val="00EF1C8C"/>
    <w:rsid w:val="00FB31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0926D92"/>
  <w15:docId w15:val="{353FB8D9-5C5E-274F-ACF3-A299B3B17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Pr>
      <w:color w:val="0563C1" w:themeColor="hyperlink"/>
      <w:u w:val="single"/>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rPr>
      <w:rFonts w:ascii="Calibri" w:eastAsia="Calibri" w:hAnsi="Calibri" w:cs="Calibri"/>
    </w:rPr>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rPr>
      <w:rFonts w:ascii="Calibri" w:eastAsia="Calibri" w:hAnsi="Calibri" w:cs="Calibri"/>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Calibri" w:eastAsia="Calibri" w:hAnsi="Calibri" w:cs="Calibri"/>
      <w:b/>
      <w:bCs/>
      <w:sz w:val="20"/>
      <w:szCs w:val="20"/>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CDE76A-1EAF-45F0-8B12-7EDAB8D220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502</Words>
  <Characters>2862</Characters>
  <Application>Microsoft Office Word</Application>
  <DocSecurity>0</DocSecurity>
  <Lines>23</Lines>
  <Paragraphs>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Helmholtz Zentrum München</Company>
  <LinksUpToDate>false</LinksUpToDate>
  <CharactersWithSpaces>3358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achim.buck</dc:creator>
  <cp:lastModifiedBy>Herrington, Charles</cp:lastModifiedBy>
  <cp:revision>2</cp:revision>
  <cp:lastPrinted>2021-09-21T08:45:00Z</cp:lastPrinted>
  <dcterms:created xsi:type="dcterms:W3CDTF">2021-11-16T16:33:00Z</dcterms:created>
  <dcterms:modified xsi:type="dcterms:W3CDTF">2021-11-16T16:33:00Z</dcterms:modified>
</cp:coreProperties>
</file>