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b/>
          <w:sz w:val="28"/>
          <w:szCs w:val="28"/>
          <w:highlight w:val="white"/>
        </w:rPr>
      </w:pPr>
      <w:r>
        <w:rPr>
          <w:rFonts w:ascii="Times New Roman" w:eastAsia="Times New Roman" w:hAnsi="Times New Roman" w:cs="Times New Roman"/>
          <w:b/>
          <w:sz w:val="24"/>
          <w:szCs w:val="28"/>
          <w:highlight w:val="white"/>
        </w:rPr>
        <w:t xml:space="preserve">Islet biology in 2021 </w:t>
      </w:r>
    </w:p>
    <w:p>
      <w:pP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New insights into </w:t>
      </w:r>
      <w:r>
        <w:rPr>
          <w:rFonts w:ascii="Times New Roman" w:eastAsia="Times New Roman" w:hAnsi="Times New Roman" w:cs="Times New Roman"/>
          <w:b/>
          <w:sz w:val="28"/>
          <w:szCs w:val="28"/>
        </w:rPr>
        <w:t>β</w:t>
      </w:r>
      <w:r>
        <w:rPr>
          <w:rFonts w:ascii="Times New Roman" w:eastAsia="Times New Roman" w:hAnsi="Times New Roman" w:cs="Times New Roman"/>
          <w:b/>
          <w:sz w:val="28"/>
          <w:szCs w:val="28"/>
          <w:highlight w:val="white"/>
        </w:rPr>
        <w:t>-cell failure, regeneration and replacement</w:t>
      </w:r>
    </w:p>
    <w:p>
      <w:pPr>
        <w:rPr>
          <w:rFonts w:ascii="Times New Roman" w:eastAsia="Times New Roman" w:hAnsi="Times New Roman" w:cs="Times New Roman"/>
          <w:highlight w:val="white"/>
        </w:rPr>
      </w:pPr>
    </w:p>
    <w:p>
      <w:pPr>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Mostafa Bakhti</w:t>
      </w:r>
      <w:r>
        <w:rPr>
          <w:rFonts w:ascii="Times New Roman" w:eastAsia="Times New Roman" w:hAnsi="Times New Roman" w:cs="Times New Roman"/>
          <w:sz w:val="24"/>
          <w:szCs w:val="24"/>
          <w:highlight w:val="white"/>
          <w:vertAlign w:val="superscript"/>
        </w:rPr>
        <w:t>1</w:t>
      </w:r>
      <w:proofErr w:type="gramStart"/>
      <w:r>
        <w:rPr>
          <w:rFonts w:ascii="Times New Roman" w:eastAsia="Times New Roman" w:hAnsi="Times New Roman" w:cs="Times New Roman"/>
          <w:sz w:val="24"/>
          <w:szCs w:val="24"/>
          <w:highlight w:val="white"/>
          <w:vertAlign w:val="superscript"/>
        </w:rPr>
        <w:t>,2</w:t>
      </w:r>
      <w:proofErr w:type="gram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Heiko</w:t>
      </w:r>
      <w:proofErr w:type="spellEnd"/>
      <w:r>
        <w:rPr>
          <w:rFonts w:ascii="Times New Roman" w:eastAsia="Times New Roman" w:hAnsi="Times New Roman" w:cs="Times New Roman"/>
          <w:sz w:val="24"/>
          <w:szCs w:val="24"/>
          <w:highlight w:val="white"/>
        </w:rPr>
        <w:t xml:space="preserve"> Lickert</w:t>
      </w:r>
      <w:r>
        <w:rPr>
          <w:rFonts w:ascii="Times New Roman" w:eastAsia="Times New Roman" w:hAnsi="Times New Roman" w:cs="Times New Roman"/>
          <w:sz w:val="24"/>
          <w:szCs w:val="24"/>
          <w:highlight w:val="white"/>
          <w:vertAlign w:val="superscript"/>
        </w:rPr>
        <w:t>1-3</w:t>
      </w:r>
      <w:r>
        <w:rPr>
          <w:rFonts w:ascii="Times New Roman" w:eastAsia="Times New Roman" w:hAnsi="Times New Roman" w:cs="Times New Roman"/>
          <w:sz w:val="24"/>
          <w:szCs w:val="24"/>
          <w:vertAlign w:val="superscript"/>
        </w:rPr>
        <w:t>†</w:t>
      </w:r>
    </w:p>
    <w:p>
      <w:pPr>
        <w:rPr>
          <w:rFonts w:ascii="Times New Roman" w:eastAsia="Times New Roman" w:hAnsi="Times New Roman" w:cs="Times New Roman"/>
          <w:sz w:val="20"/>
          <w:szCs w:val="20"/>
          <w:highlight w:val="white"/>
        </w:rPr>
      </w:pPr>
    </w:p>
    <w:p>
      <w:pPr>
        <w:rPr>
          <w:rFonts w:ascii="Times New Roman" w:eastAsia="Times New Roman" w:hAnsi="Times New Roman" w:cs="Times New Roman"/>
          <w:sz w:val="20"/>
          <w:szCs w:val="20"/>
          <w:highlight w:val="white"/>
          <w:lang w:val="de-DE"/>
        </w:rPr>
      </w:pPr>
      <w:r>
        <w:rPr>
          <w:rFonts w:ascii="Times New Roman" w:eastAsia="Times New Roman" w:hAnsi="Times New Roman" w:cs="Times New Roman"/>
          <w:sz w:val="20"/>
          <w:szCs w:val="20"/>
          <w:highlight w:val="white"/>
          <w:vertAlign w:val="superscript"/>
          <w:lang w:val="de-DE"/>
        </w:rPr>
        <w:t>1</w:t>
      </w:r>
      <w:r>
        <w:rPr>
          <w:rFonts w:ascii="Times New Roman" w:eastAsia="Times New Roman" w:hAnsi="Times New Roman" w:cs="Times New Roman"/>
          <w:sz w:val="20"/>
          <w:szCs w:val="20"/>
          <w:highlight w:val="white"/>
          <w:lang w:val="de-DE"/>
        </w:rPr>
        <w:t xml:space="preserve">Institute of Diabetes and Regeneration Research, Helmholtz Zentrum </w:t>
      </w:r>
      <w:r>
        <w:rPr>
          <w:rFonts w:ascii="Times New Roman" w:eastAsia="Times New Roman" w:hAnsi="Times New Roman" w:cs="Times New Roman"/>
          <w:sz w:val="20"/>
          <w:szCs w:val="20"/>
          <w:lang w:val="de-DE"/>
        </w:rPr>
        <w:t>München</w:t>
      </w:r>
      <w:r>
        <w:rPr>
          <w:rFonts w:ascii="Times New Roman" w:eastAsia="Times New Roman" w:hAnsi="Times New Roman" w:cs="Times New Roman"/>
          <w:sz w:val="20"/>
          <w:szCs w:val="20"/>
          <w:highlight w:val="white"/>
          <w:lang w:val="de-DE"/>
        </w:rPr>
        <w:t>, Neuherberg, Germany</w:t>
      </w:r>
    </w:p>
    <w:p>
      <w:pPr>
        <w:rPr>
          <w:rFonts w:ascii="Times New Roman" w:eastAsia="Times New Roman" w:hAnsi="Times New Roman" w:cs="Times New Roman"/>
          <w:sz w:val="20"/>
          <w:szCs w:val="20"/>
          <w:highlight w:val="white"/>
          <w:lang w:val="de-DE"/>
        </w:rPr>
      </w:pPr>
      <w:r>
        <w:rPr>
          <w:rFonts w:ascii="Times New Roman" w:eastAsia="Times New Roman" w:hAnsi="Times New Roman" w:cs="Times New Roman"/>
          <w:sz w:val="20"/>
          <w:szCs w:val="20"/>
          <w:highlight w:val="white"/>
          <w:vertAlign w:val="superscript"/>
          <w:lang w:val="de-DE"/>
        </w:rPr>
        <w:t>2</w:t>
      </w:r>
      <w:r>
        <w:rPr>
          <w:rFonts w:ascii="Times New Roman" w:eastAsia="Times New Roman" w:hAnsi="Times New Roman" w:cs="Times New Roman"/>
          <w:sz w:val="20"/>
          <w:szCs w:val="20"/>
          <w:highlight w:val="white"/>
          <w:lang w:val="de-DE"/>
        </w:rPr>
        <w:t>German Center for Diabetes Research (DZD),  Neuherberg, Germany</w:t>
      </w:r>
    </w:p>
    <w:p>
      <w:pPr>
        <w:rPr>
          <w:rFonts w:ascii="Times New Roman" w:eastAsia="Times New Roman" w:hAnsi="Times New Roman" w:cs="Times New Roman"/>
          <w:sz w:val="20"/>
          <w:szCs w:val="20"/>
          <w:highlight w:val="white"/>
          <w:lang w:val="de-DE"/>
        </w:rPr>
      </w:pPr>
      <w:r>
        <w:rPr>
          <w:rFonts w:ascii="Times New Roman" w:eastAsia="Times New Roman" w:hAnsi="Times New Roman" w:cs="Times New Roman"/>
          <w:sz w:val="20"/>
          <w:szCs w:val="20"/>
          <w:highlight w:val="white"/>
          <w:vertAlign w:val="superscript"/>
          <w:lang w:val="de-DE"/>
        </w:rPr>
        <w:t>3</w:t>
      </w:r>
      <w:r>
        <w:rPr>
          <w:rFonts w:ascii="Times New Roman" w:eastAsia="Times New Roman" w:hAnsi="Times New Roman" w:cs="Times New Roman"/>
          <w:sz w:val="20"/>
          <w:szCs w:val="20"/>
          <w:highlight w:val="white"/>
          <w:lang w:val="de-DE"/>
        </w:rPr>
        <w:t xml:space="preserve">Technische Universität München, School of Medicine,  Munich, Germany </w:t>
      </w:r>
    </w:p>
    <w:p>
      <w:pPr>
        <w:rPr>
          <w:rFonts w:ascii="Times New Roman" w:eastAsia="Times New Roman" w:hAnsi="Times New Roman" w:cs="Times New Roman"/>
          <w:sz w:val="20"/>
          <w:szCs w:val="20"/>
          <w:highlight w:val="white"/>
          <w:lang w:val="de-DE"/>
        </w:rPr>
      </w:pPr>
      <w:r>
        <w:rPr>
          <w:rFonts w:ascii="Times New Roman" w:eastAsia="Times New Roman" w:hAnsi="Times New Roman" w:cs="Times New Roman"/>
          <w:sz w:val="20"/>
          <w:szCs w:val="20"/>
          <w:lang w:val="de-DE"/>
        </w:rPr>
        <w:t xml:space="preserve">email: </w:t>
      </w:r>
      <w:r>
        <w:rPr>
          <w:rFonts w:ascii="Times New Roman" w:eastAsia="Times New Roman" w:hAnsi="Times New Roman" w:cs="Times New Roman"/>
          <w:sz w:val="20"/>
          <w:szCs w:val="20"/>
          <w:vertAlign w:val="superscript"/>
          <w:lang w:val="de-DE"/>
        </w:rPr>
        <w:t>†</w:t>
      </w:r>
      <w:hyperlink r:id="rId8">
        <w:r>
          <w:rPr>
            <w:rFonts w:ascii="Times New Roman" w:eastAsia="Times New Roman" w:hAnsi="Times New Roman" w:cs="Times New Roman"/>
            <w:color w:val="1155CC"/>
            <w:sz w:val="20"/>
            <w:szCs w:val="20"/>
            <w:highlight w:val="white"/>
            <w:u w:val="single"/>
            <w:lang w:val="de-DE"/>
          </w:rPr>
          <w:t>heiko.lickert@helmholtz-muenchen.de</w:t>
        </w:r>
      </w:hyperlink>
    </w:p>
    <w:p>
      <w:pPr>
        <w:jc w:val="both"/>
        <w:rPr>
          <w:sz w:val="21"/>
          <w:szCs w:val="21"/>
          <w:highlight w:val="white"/>
          <w:lang w:val="de-DE"/>
        </w:rPr>
      </w:pPr>
    </w:p>
    <w:p>
      <w:pPr>
        <w:jc w:val="both"/>
        <w:rPr>
          <w:rFonts w:ascii="Times New Roman" w:eastAsia="Times New Roman" w:hAnsi="Times New Roman" w:cs="Times New Roman"/>
          <w:b/>
          <w:highlight w:val="white"/>
          <w:lang w:val="de-DE"/>
        </w:rPr>
      </w:pPr>
    </w:p>
    <w:p>
      <w:pPr>
        <w:spacing w:line="360" w:lineRule="auto"/>
        <w:jc w:val="both"/>
        <w:rPr>
          <w:rFonts w:ascii="Times New Roman" w:eastAsia="Times New Roman" w:hAnsi="Times New Roman" w:cs="Times New Roman"/>
          <w:highlight w:val="white"/>
        </w:rPr>
      </w:pPr>
      <w:proofErr w:type="spellStart"/>
      <w:r>
        <w:rPr>
          <w:rFonts w:ascii="Times New Roman" w:eastAsia="Times New Roman" w:hAnsi="Times New Roman" w:cs="Times New Roman"/>
          <w:b/>
          <w:highlight w:val="white"/>
        </w:rPr>
        <w:t>Standfirst</w:t>
      </w:r>
      <w:proofErr w:type="spellEnd"/>
      <w:r>
        <w:rPr>
          <w:rFonts w:ascii="Times New Roman" w:eastAsia="Times New Roman" w:hAnsi="Times New Roman" w:cs="Times New Roman"/>
          <w:b/>
          <w:highlight w:val="white"/>
        </w:rPr>
        <w:t>:</w:t>
      </w:r>
      <w:r>
        <w:rPr>
          <w:rFonts w:ascii="Times New Roman" w:eastAsia="Times New Roman" w:hAnsi="Times New Roman" w:cs="Times New Roman"/>
          <w:highlight w:val="white"/>
        </w:rPr>
        <w:t xml:space="preserve"> In 2021, several discoveries shed light on the </w:t>
      </w:r>
      <w:proofErr w:type="spellStart"/>
      <w:r>
        <w:rPr>
          <w:rFonts w:ascii="Times New Roman" w:eastAsia="Times New Roman" w:hAnsi="Times New Roman" w:cs="Times New Roman"/>
          <w:highlight w:val="white"/>
        </w:rPr>
        <w:t>pathomechanism</w:t>
      </w:r>
      <w:proofErr w:type="spellEnd"/>
      <w:r>
        <w:rPr>
          <w:rFonts w:ascii="Times New Roman" w:eastAsia="Times New Roman" w:hAnsi="Times New Roman" w:cs="Times New Roman"/>
          <w:highlight w:val="white"/>
        </w:rPr>
        <w:t xml:space="preserve"> of β-cell failure during diabetes mellitus initiation and progression and validated novel molecular targets for intervention. Moreover, </w:t>
      </w:r>
      <w:r>
        <w:rPr>
          <w:rFonts w:ascii="Times New Roman" w:eastAsia="Times New Roman" w:hAnsi="Times New Roman" w:cs="Times New Roman"/>
        </w:rPr>
        <w:t xml:space="preserve">the field of </w:t>
      </w:r>
      <w:r>
        <w:rPr>
          <w:rFonts w:ascii="Times New Roman" w:eastAsia="Times New Roman" w:hAnsi="Times New Roman" w:cs="Times New Roman"/>
          <w:highlight w:val="white"/>
        </w:rPr>
        <w:t>stem cell-derived replacements for β-cells is rapidly advancing. These advances bring us closer to therapies to protect and/or regenerate β-cell mass in patients with diabetes mellitus</w:t>
      </w:r>
    </w:p>
    <w:p>
      <w:pPr>
        <w:shd w:val="clear" w:color="auto" w:fill="FFFFFF"/>
        <w:spacing w:line="360" w:lineRule="auto"/>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Key advances</w:t>
      </w:r>
    </w:p>
    <w:p>
      <w:pPr>
        <w:pStyle w:val="ListParagraph"/>
        <w:numPr>
          <w:ilvl w:val="0"/>
          <w:numId w:val="2"/>
        </w:numPr>
        <w:shd w:val="clear" w:color="auto" w:fill="FFFFFF"/>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Single-cell </w:t>
      </w:r>
      <w:proofErr w:type="spellStart"/>
      <w:r>
        <w:rPr>
          <w:rFonts w:ascii="Times New Roman" w:eastAsia="Times New Roman" w:hAnsi="Times New Roman" w:cs="Times New Roman"/>
        </w:rPr>
        <w:t>epigenomics</w:t>
      </w:r>
      <w:proofErr w:type="spellEnd"/>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and </w:t>
      </w:r>
      <w:r>
        <w:rPr>
          <w:rFonts w:ascii="Times New Roman" w:eastAsia="Times New Roman" w:hAnsi="Times New Roman" w:cs="Times New Roman"/>
        </w:rPr>
        <w:t xml:space="preserve">genome-wide association studies (GWAS) </w:t>
      </w:r>
      <w:r>
        <w:rPr>
          <w:rFonts w:ascii="Times New Roman" w:eastAsia="Times New Roman" w:hAnsi="Times New Roman" w:cs="Times New Roman"/>
          <w:highlight w:val="white"/>
        </w:rPr>
        <w:t xml:space="preserve">of type 1 diabetes mellitus (T1DM) detected enrichment of risk variants in </w:t>
      </w:r>
      <w:r>
        <w:rPr>
          <w:rFonts w:ascii="Times New Roman" w:eastAsia="Times New Roman" w:hAnsi="Times New Roman" w:cs="Times New Roman"/>
          <w:i/>
        </w:rPr>
        <w:t>cis</w:t>
      </w:r>
      <w:r>
        <w:rPr>
          <w:rFonts w:ascii="Times New Roman" w:eastAsia="Times New Roman" w:hAnsi="Times New Roman" w:cs="Times New Roman"/>
        </w:rPr>
        <w:t>-regulatory elements</w:t>
      </w:r>
      <w:r>
        <w:rPr>
          <w:rFonts w:ascii="Times New Roman" w:eastAsia="Times New Roman" w:hAnsi="Times New Roman" w:cs="Times New Roman"/>
          <w:highlight w:val="white"/>
        </w:rPr>
        <w:t xml:space="preserve"> across blood and pancreatic cell types, indicating the contribution of pancreatic exocrine dysfunction in T1DM development</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{"citationItems":[{"id":"ITEM-1","itemData":{"DOI":"10.1038/s41586-021-03552-w","ISSN":"14764687","PMID":"34012112","abstract":"Genetic risk variants that have been identified in genome-wide association studies of complex diseases are primarily non-coding1. Translating these risk variants into mechanistic insights requires detailed maps of gene regulation in disease-relevant cell types2. Here we combined two approaches: a genome-wide association study of type 1 diabetes (T1D) using 520,580 samples, and the identification of candidate cis-regulatory elements (cCREs) in pancreas and peripheral blood mononuclear cells using single-nucleus assay for transposase-accessible chromatin with sequencing (snATAC–seq) of 131,554 nuclei. Risk variants for T1D were enriched in cCREs that were active in T cells and other cell types, including acinar and ductal cells of the exocrine pancreas. Risk variants at multiple T1D signals overlapped with exocrine-specific cCREs that were linked to genes with exocrine-specific expression. At the CFTR locus, the T1D risk variant rs7795896 mapped to a ductal-specific cCRE that regulated CFTR; the risk allele reduced transcription factor binding, enhancer activity and CFTR expression in ductal cells. These findings support a role for the exocrine pancreas in the pathogenesis of T1D and highlight the power of large-scale genome-wide association studies and single-cell epigenomics for understanding the cellular origins of complex disease.","author":[{"dropping-particle":"","family":"Chiou","given":"Joshua","non-dropping-particle":"","parse-names":false,"suffix":""},{"dropping-particle":"","family":"Geusz","given":"Ryan J.","non-dropping-particle":"","parse-names":false,"suffix":""},{"dropping-particle":"","family":"Okino","given":"Mei Lin","non-dropping-particle":"","parse-names":false,"suffix":""},{"dropping-particle":"","family":"Han","given":"Jee Yun","non-dropping-particle":"","parse-names":false,"suffix":""},{"dropping-particle":"","family":"Miller","given":"Michael","non-dropping-particle":"","parse-names":false,"suffix":""},{"dropping-particle":"","family":"Melton","given":"Rebecca","non-dropping-particle":"","parse-names":false,"suffix":""},{"dropping-particle":"","family":"Beebe","given":"Elisha","non-dropping-particle":"","parse-names":false,"suffix":""},{"dropping-particle":"","family":"Benaglio","given":"Paola","non-dropping-particle":"","parse-names":false,"suffix":""},{"dropping-particle":"","family":"Huang","given":"Serina","non-dropping-particle":"","parse-names":false,"suffix":""},{"dropping-particle":"","family":"Korgaonkar","given":"Katha","non-dropping-particle":"","parse-names":false,"suffix":""},{"dropping-particle":"","family":"Heller","given":"Sandra","non-dropping-particle":"","parse-names":false,"suffix":""},{"dropping-particle":"","family":"Kleger","given":"Alexander","non-dropping-particle":"","parse-names":false,"suffix":""},{"dropping-particle":"","family":"Preissl","given":"Sebastian","non-dropping-particle":"","parse-names":false,"suffix":""},{"dropping-particle":"","family":"Gorkin","given":"David U.","non-dropping-particle":"","parse-names":false,"suffix":""},{"dropping-particle":"","family":"Sander","given":"Maike","non-dropping-particle":"","parse-names":false,"suffix":""},{"dropping-particle":"","family":"Gaulton","given":"Kyle J.","non-dropping-particle":"","parse-names":false,"suffix":""}],"container-title":"Nature","id":"ITEM-1","issue":"7863","issued":{"date-parts":[["2021"]]},"page":"398-402","publisher":"Springer US","title":"Interpreting type 1 diabetes risk with genetics and single-cell epigenomics","type":"article-journal","volume":"594"},"uris":["http://www.mendeley.com/documents/?uuid=ee6e841b-127a-4440-a80c-52bb849a07ef"]}],"mendeley":{"formattedCitation":"&lt;sup&gt;2&lt;/sup&gt;","plainTextFormattedCitation":"2","previouslyFormattedCitation":"&lt;sup&gt;2&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2</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w:t>
      </w:r>
    </w:p>
    <w:p>
      <w:pPr>
        <w:pStyle w:val="ListParagraph"/>
        <w:numPr>
          <w:ilvl w:val="0"/>
          <w:numId w:val="2"/>
        </w:numPr>
        <w:shd w:val="clear" w:color="auto" w:fill="FFFFFF"/>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Combining </w:t>
      </w:r>
      <w:r>
        <w:rPr>
          <w:rFonts w:ascii="Times New Roman" w:eastAsia="Times New Roman" w:hAnsi="Times New Roman" w:cs="Times New Roman"/>
        </w:rPr>
        <w:t xml:space="preserve">single-cell </w:t>
      </w:r>
      <w:proofErr w:type="spellStart"/>
      <w:r>
        <w:rPr>
          <w:rFonts w:ascii="Times New Roman" w:eastAsia="Times New Roman" w:hAnsi="Times New Roman" w:cs="Times New Roman"/>
        </w:rPr>
        <w:t>epigenomics</w:t>
      </w:r>
      <w:proofErr w:type="spellEnd"/>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and GWAS of type 2 diabetes mellitus (T2DM) provided endocrine lineage-specific and state-specific accessible chromatin profiles, identifying  a risk variant at </w:t>
      </w:r>
      <w:r>
        <w:rPr>
          <w:rFonts w:ascii="Times New Roman" w:eastAsia="Times New Roman" w:hAnsi="Times New Roman" w:cs="Times New Roman"/>
        </w:rPr>
        <w:t xml:space="preserve">the </w:t>
      </w:r>
      <w:r>
        <w:rPr>
          <w:rFonts w:ascii="Times New Roman" w:eastAsia="Times New Roman" w:hAnsi="Times New Roman" w:cs="Times New Roman"/>
          <w:i/>
        </w:rPr>
        <w:t>KCNQ1</w:t>
      </w:r>
      <w:r>
        <w:rPr>
          <w:rFonts w:ascii="Times New Roman" w:eastAsia="Times New Roman" w:hAnsi="Times New Roman" w:cs="Times New Roman"/>
        </w:rPr>
        <w:t xml:space="preserve"> locus, which </w:t>
      </w:r>
      <w:r>
        <w:rPr>
          <w:rFonts w:ascii="Times New Roman" w:eastAsia="Times New Roman" w:hAnsi="Times New Roman" w:cs="Times New Roman"/>
          <w:highlight w:val="white"/>
        </w:rPr>
        <w:t>impacts insulin synthesis</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{"citationItems":[{"id":"ITEM-1","itemData":{"DOI":"10.1038/s41588-021-00823-0","ISSN":"15461718","PMID":"33795864","abstract":"Single-nucleus assay for transposase-accessible chromatin using sequencing (snATAC-seq) creates new opportunities to dissect cell type–specific mechanisms of complex diseases. Since pancreatic islets are central to type 2 diabetes (T2D), we profiled 15,298 islet cells by using combinatorial barcoding snATAC-seq and identified 12 clusters, including multiple alpha, beta and delta cell states. We cataloged 228,873 accessible chromatin sites and identified transcription factors underlying lineage- and state-specific regulation. We observed state-specific enrichment of fasting glucose and T2D genome-wide association studies for beta cells and enrichment for other endocrine cell types. At T2D signals localized to islet-accessible chromatin, we prioritized variants with predicted regulatory function and co-accessibility with target genes. A causal T2D variant rs231361 at the KCNQ1 locus had predicted effects on a beta cell enhancer co-accessible with INS and genome editing in embryonic stem cell–derived beta cells affected INS levels. Together our findings demonstrate the power of single-cell epigenomics for interpreting complex disease genetics.","author":[{"dropping-particle":"","family":"Chiou","given":"Joshua","non-dropping-particle":"","parse-names":false,"suffix":""},{"dropping-particle":"","family":"Zeng","given":"Chun","non-dropping-particle":"","parse-names":false,"suffix":""},{"dropping-particle":"","family":"Cheng","given":"Zhang","non-dropping-particle":"","parse-names":false,"suffix":""},{"dropping-particle":"","family":"Han","given":"Jee Yun","non-dropping-particle":"","parse-names":false,"suffix":""},{"dropping-particle":"","family":"Schlichting","given":"Michael","non-dropping-particle":"","parse-names":false,"suffix":""},{"dropping-particle":"","family":"Miller","given":"Michael","non-dropping-particle":"","parse-names":false,"suffix":""},{"dropping-particle":"","family":"Mendez","given":"Robert","non-dropping-particle":"","parse-names":false,"suffix":""},{"dropping-particle":"","family":"Huang","given":"Serina","non-dropping-particle":"","parse-names":false,"suffix":""},{"dropping-particle":"","family":"Wang","given":"Jinzhao","non-dropping-particle":"","parse-names":false,"suffix":""},{"dropping-particle":"","family":"Sui","given":"Yinghui","non-dropping-particle":"","parse-names":false,"suffix":""},{"dropping-particle":"","family":"Deogaygay","given":"Allison","non-dropping-particle":"","parse-names":false,"suffix":""},{"dropping-particle":"","family":"Okino","given":"Mei Lin","non-dropping-particle":"","parse-names":false,"suffix":""},{"dropping-particle":"","family":"Qiu","given":"Yunjiang","non-dropping-particle":"","parse-names":false,"suffix":""},{"dropping-particle":"","family":"Sun","given":"Ying","non-dropping-particle":"","parse-names":false,"suffix":""},{"dropping-particle":"","family":"Kudtarkar","given":"Parul","non-dropping-particle":"","parse-names":false,"suffix":""},{"dropping-particle":"","family":"Fang","given":"Rongxin","non-dropping-particle":"","parse-names":false,"suffix":""},{"dropping-particle":"","family":"Preissl","given":"Sebastian","non-dropping-particle":"","parse-names":false,"suffix":""},{"dropping-particle":"","family":"Sander","given":"Maike","non-dropping-particle":"","parse-names":false,"suffix":""},{"dropping-particle":"","family":"Gorkin","given":"David U.","non-dropping-particle":"","parse-names":false,"suffix":""},{"dropping-particle":"","family":"Gaulton","given":"Kyle J.","non-dropping-particle":"","parse-names":false,"suffix":""}],"container-title":"Nature Genetics","id":"ITEM-1","issue":"4","issued":{"date-parts":[["2021"]]},"page":"455-466","publisher":"Springer US","title":"Single-cell chromatin accessibility identifies pancreatic islet cell type– and state-specific regulatory programs of diabetes risk","type":"article-journal","volume":"53"},"uris":["http://www.mendeley.com/documents/?uuid=aa7c3104-6ab9-48f6-a0f2-194297b180c7"]}],"mendeley":{"formattedCitation":"&lt;sup&gt;3&lt;/sup&gt;","plainTextFormattedCitation":"3","previouslyFormattedCitation":"&lt;sup&gt;3&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3</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w:t>
      </w:r>
    </w:p>
    <w:p>
      <w:pPr>
        <w:pStyle w:val="ListParagraph"/>
        <w:numPr>
          <w:ilvl w:val="0"/>
          <w:numId w:val="2"/>
        </w:numPr>
        <w:shd w:val="clear" w:color="auto" w:fill="FFFFFF"/>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Multi-omics analysis of fresh biopsy samples from deeply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highlight w:val="white"/>
        </w:rPr>
        <w:t xml:space="preserve">metabolically profiled individuals uncovered molecular changes associated with the history of </w:t>
      </w:r>
      <w:r>
        <w:rPr>
          <w:rFonts w:ascii="Times New Roman" w:eastAsia="Times New Roman" w:hAnsi="Times New Roman" w:cs="Times New Roman"/>
          <w:color w:val="222222"/>
          <w:highlight w:val="white"/>
        </w:rPr>
        <w:t>β-</w:t>
      </w:r>
      <w:r>
        <w:rPr>
          <w:rFonts w:ascii="Times New Roman" w:eastAsia="Times New Roman" w:hAnsi="Times New Roman" w:cs="Times New Roman"/>
          <w:highlight w:val="white"/>
        </w:rPr>
        <w:t>cell pathophysiology in T2DM and identified novel lipid biomarkers</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{"citationItems":[{"id":"ITEM-1","itemData":{"DOI":"10.1038/s42255-021-00420-9","ISSN":"25225812","PMID":"34183850","abstract":"Most research on human pancreatic islets is conducted on samples obtained from normoglycaemic or diseased brain-dead donors and thus cannot accurately describe the molecular changes of pancreatic islet beta cells as they progress towards a state of deficient insulin secretion in type 2 diabetes (T2D). Here, we conduct a comprehensive multi-omics analysis of pancreatic islets obtained from metabolically profiled pancreatectomized living human donors stratified along the glycemic continuum, from normoglycemia to T2D. We find that islet pools isolated from surgical samples by laser-capture microdissection display remarkably more heterogeneous transcriptomic and proteomic profiles in patients with diabetes than in non-diabetic controls. The differential regulation of islet gene expression is already observed in prediabetic individuals with impaired glucose tolerance. Our findings demonstrate a progressive, but disharmonic, remodelling of mature beta cells, challenging current hypotheses of linear trajectories toward precursor or transdifferentiation stages in T2D. Furthermore, through integration of islet transcriptomics with preoperative blood plasma lipidomics, we define the relative importance of gene coexpression modules and lipids that are positively or negatively associated with HbA1c levels, pointing to potential prognostic markers.","author":[{"dropping-particle":"","family":"Wigger","given":"Leonore","non-dropping-particle":"","parse-names":false,"suffix":""},{"dropping-particle":"","family":"Barovic","given":"Marko","non-dropping-particle":"","parse-names":false,"suffix":""},{"dropping-particle":"","family":"Brunner","given":"Andreas David","non-dropping-particle":"","parse-names":false,"suffix":""},{"dropping-particle":"","family":"Marzetta","given":"Flavia","non-dropping-particle":"","parse-names":false,"suffix":""},{"dropping-particle":"","family":"Schöniger","given":"Eyke","non-dropping-particle":"","parse-names":false,"suffix":""},{"dropping-particle":"","family":"Mehl","given":"Florence","non-dropping-particle":"","parse-names":false,"suffix":""},{"dropping-particle":"","family":"Kipke","given":"Nicole","non-dropping-particle":"","parse-names":false,"suffix":""},{"dropping-particle":"","family":"Friedland","given":"Daniela","non-dropping-particle":"","parse-names":false,"suffix":""},{"dropping-particle":"","family":"Burdet","given":"Frederic","non-dropping-particle":"","parse-names":false,"suffix":""},{"dropping-particle":"","family":"Kessler","given":"Camille","non-dropping-particle":"","parse-names":false,"suffix":""},{"dropping-particle":"","family":"Lesche","given":"Mathias","non-dropping-particle":"","parse-names":false,"suffix":""},{"dropping-particle":"","family":"Thorens","given":"Bernard","non-dropping-particle":"","parse-names":false,"suffix":""},{"dropping-particle":"","family":"Bonifacio","given":"Ezio","non-dropping-particle":"","parse-names":false,"suffix":""},{"dropping-particle":"","family":"Legido-Quigley","given":"Cristina","non-dropping-particle":"","parse-names":false,"suffix":""},{"dropping-particle":"","family":"Barbier Saint Hilaire","given":"Pierre","non-dropping-particle":"","parse-names":false,"suffix":""},{"dropping-particle":"","family":"Delerive","given":"Philippe","non-dropping-particle":"","parse-names":false,"suffix":""},{"dropping-particle":"","family":"Dahl","given":"Andreas","non-dropping-particle":"","parse-names":false,"suffix":""},{"dropping-particle":"","family":"Klose","given":"Christian","non-dropping-particle":"","parse-names":false,"suffix":""},{"dropping-particle":"","family":"Gerl","given":"Mathias J.","non-dropping-particle":"","parse-names":false,"suffix":""},{"dropping-particle":"","family":"Simons","given":"Kai","non-dropping-particle":"","parse-names":false,"suffix":""},{"dropping-particle":"","family":"Aust","given":"Daniela","non-dropping-particle":"","parse-names":false,"suffix":""},{"dropping-particle":"","family":"Weitz","given":"Jürgen","non-dropping-particle":"","parse-names":false,"suffix":""},{"dropping-particle":"","family":"Distler","given":"Marius","non-dropping-particle":"","parse-names":false,"suffix":""},{"dropping-particle":"","family":"Schulte","given":"Anke M.","non-dropping-particle":"","parse-names":false,"suffix":""},{"dropping-particle":"","family":"Mann","given":"Matthias","non-dropping-particle":"","parse-names":false,"suffix":""},{"dropping-particle":"","family":"Ibberson","given":"Mark","non-dropping-particle":"","parse-names":false,"suffix":""},{"dropping-particle":"","family":"Solimena","given":"Michele","non-dropping-particle":"","parse-names":false,"suffix":""}],"container-title":"Nature Metabolism","id":"ITEM-1","issue":"7","issued":{"date-parts":[["2021"]]},"page":"1017-1031","publisher":"Springer US","title":"Multi-omics profiling of living human pancreatic islet donors reveals heterogeneous beta cell trajectories towards type 2 diabetes","type":"article-journal","volume":"3"},"uris":["http://www.mendeley.com/documents/?uuid=f4aff757-c507-44cb-ae21-a02c860396a0"]}],"mendeley":{"formattedCitation":"&lt;sup&gt;4&lt;/sup&gt;","plainTextFormattedCitation":"4","previouslyFormattedCitation":"&lt;sup&gt;4&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4</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w:t>
      </w:r>
    </w:p>
    <w:p>
      <w:pPr>
        <w:pStyle w:val="ListParagraph"/>
        <w:numPr>
          <w:ilvl w:val="0"/>
          <w:numId w:val="2"/>
        </w:numPr>
        <w:shd w:val="clear" w:color="auto" w:fill="FFFFFF"/>
        <w:spacing w:line="36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The unexpected discovery of an insulin inhibitory receptor (inceptor) provided insights into how insulin </w:t>
      </w:r>
      <w:proofErr w:type="spellStart"/>
      <w:r>
        <w:rPr>
          <w:rFonts w:ascii="Times New Roman" w:eastAsia="Times New Roman" w:hAnsi="Times New Roman" w:cs="Times New Roman"/>
          <w:color w:val="222222"/>
          <w:highlight w:val="white"/>
        </w:rPr>
        <w:t>signalling</w:t>
      </w:r>
      <w:proofErr w:type="spellEnd"/>
      <w:r>
        <w:rPr>
          <w:rFonts w:ascii="Times New Roman" w:eastAsia="Times New Roman" w:hAnsi="Times New Roman" w:cs="Times New Roman"/>
          <w:color w:val="222222"/>
          <w:highlight w:val="white"/>
        </w:rPr>
        <w:t xml:space="preserve">  and its receptor re regulated at the source of the ligand in β-cells</w:t>
      </w:r>
      <w:r>
        <w:rPr>
          <w:rFonts w:ascii="Times New Roman" w:eastAsia="Times New Roman" w:hAnsi="Times New Roman" w:cs="Times New Roman"/>
          <w:color w:val="222222"/>
          <w:highlight w:val="white"/>
        </w:rPr>
        <w:fldChar w:fldCharType="begin" w:fldLock="1"/>
      </w:r>
      <w:r>
        <w:rPr>
          <w:rFonts w:ascii="Times New Roman" w:eastAsia="Times New Roman" w:hAnsi="Times New Roman" w:cs="Times New Roman"/>
          <w:color w:val="222222"/>
          <w:highlight w:val="white"/>
        </w:rPr>
        <w:instrText>ADDIN CSL_CITATION {"citationItems":[{"id":"ITEM-1","itemData":{"DOI":"10.1038/s41586-021-03225-8","ISSN":"14764687","PMID":"33505018","abstract":"Resistance to insulin and insulin-like growth factor 1 (IGF1) in pancreatic β-cells causes overt diabetes in mice; thus, therapies that sensitize β-cells to insulin may protect patients with diabetes against β-cell failure1–3. Here we identify an inhibitor of insulin receptor (INSR) and IGF1 receptor (IGF1R) signalling in mouse β-cells, which we name the insulin inhibitory receptor (inceptor; encoded by the gene Iir). Inceptor contains an extracellular cysteine-rich domain with similarities to INSR and IGF1R4, and a mannose 6-phosphate receptor domain that is also found in the IGF2 receptor (IGF2R)5. Knockout mice that lack inceptor (Iir−/−) exhibit signs of hyperinsulinaemia and hypoglycaemia, and die within a few hours of birth. Molecular and cellular analyses of embryonic and postnatal pancreases from Iir−/− mice showed an increase in the activation of INSR–IGF1R in Iir−/− pancreatic tissue, resulting in an increase in the proliferation and mass of β-cells. Similarly, inducible β-cell-specific Iir−/− knockout in adult mice and in ex vivo islets led to an increase in the activation of INSR–IGF1R and increased proliferation of β-cells, resulting in improved glucose tolerance in vivo. Mechanistically, inceptor interacts with INSR–IGF1R to facilitate clathrin-mediated endocytosis for receptor desensitization. Blocking this physical interaction using monoclonal antibodies against the extracellular domain of inceptor resulted in the retention of inceptor and INSR at the plasma membrane to sustain the activation of INSR–IGF1R in β-cells. Together, our findings show that inceptor shields insulin-producing β-cells from constitutive pathway activation, and identify inceptor as a potential molecular target for INSR–IGF1R sensitization and diabetes therapy.","author":[{"dropping-particle":"","family":"Ansarullah","given":"","non-dropping-particle":"","parse-names":false,"suffix":""},{"dropping-particle":"","family":"Jain","given":"Chirag","non-dropping-particle":"","parse-names":false,"suffix":""},{"dropping-particle":"","family":"Far","given":"Fataneh Fathi","non-dropping-particle":"","parse-names":false,"suffix":""},{"dropping-particle":"","family":"Homberg","given":"Sarah","non-dropping-particle":"","parse-names":false,"suffix":""},{"dropping-particle":"","family":"Wißmiller","given":"Katharina","non-dropping-particle":"","parse-names":false,"suffix":""},{"dropping-particle":"","family":"Hahn","given":"Felizitas Gräfin","non-dropping-particle":"von","parse-names":false,"suffix":""},{"dropping-particle":"","family":"Raducanu","given":"Aurelia","non-dropping-particle":"","parse-names":false,"suffix":""},{"dropping-particle":"","family":"Schirge","given":"Silvia","non-dropping-particle":"","parse-names":false,"suffix":""},{"dropping-particle":"","family":"Sterr","given":"Michael","non-dropping-particle":"","parse-names":false,"suffix":""},{"dropping-particle":"","family":"Bilekova","given":"Sara","non-dropping-particle":"","parse-names":false,"suffix":""},{"dropping-particle":"","family":"Siehler","given":"Johanna","non-dropping-particle":"","parse-names":false,"suffix":""},{"dropping-particle":"","family":"Wiener","given":"Julius","non-dropping-particle":"","parse-names":false,"suffix":""},{"dropping-particle":"","family":"Oppenländer","given":"Lena","non-dropping-particle":"","parse-names":false,"suffix":""},{"dropping-particle":"","family":"Morshedi","given":"Amir","non-dropping-particle":"","parse-names":false,"suffix":""},{"dropping-particle":"","family":"Bastidas-Ponce","given":"Aimée","non-dropping-particle":"","parse-names":false,"suffix":""},{"dropping-particle":"","family":"Collden","given":"Gustav","non-dropping-particle":"","parse-names":false,"suffix":""},{"dropping-particle":"","family":"Irmler","given":"Martin","non-dropping-particle":"","parse-names":false,"suffix":""},{"dropping-particle":"","family":"Beckers","given":"Johannes","non-dropping-particle":"","parse-names":false,"suffix":""},{"dropping-particle":"","family":"Feuchtinger","given":"Annette","non-dropping-particle":"","parse-names":false,"suffix":""},{"dropping-particle":"","family":"Grzybek","given":"Michal","non-dropping-particle":"","parse-names":false,"suffix":""},{"dropping-particle":"","family":"Ahlbrecht","given":"Christin","non-dropping-particle":"","parse-names":false,"suffix":""},{"dropping-particle":"","family":"Feederle","given":"Regina","non-dropping-particle":"","parse-names":false,"suffix":""},{"dropping-particle":"","family":"Plettenburg","given":"Oliver","non-dropping-particle":"","parse-names":false,"suffix":""},{"dropping-particle":"","family":"Müller","given":"Timo D.","non-dropping-particle":"","parse-names":false,"suffix":""},{"dropping-particle":"","family":"Meier","given":"Matthias","non-dropping-particle":"","parse-names":false,"suffix":""},{"dropping-particle":"","family":"Tschöp","given":"Matthias H.","non-dropping-particle":"","parse-names":false,"suffix":""},{"dropping-particle":"","family":"Coskun","given":"Ünal","non-dropping-particle":"","parse-names":false,"suffix":""},{"dropping-particle":"","family":"Lickert","given":"Heiko","non-dropping-particle":"","parse-names":false,"suffix":""}],"container-title":"Nature","id":"ITEM-1","issue":"7845","issued":{"date-parts":[["2021"]]},"page":"326-331","title":"Inceptor counteracts insulin signalling in β-cells to control glycaemia","type":"article-journal","volume":"590"},"uris":["http://www.mendeley.com/documents/?uuid=00135153-e345-4770-99c0-a97fd687a808"]}],"mendeley":{"formattedCitation":"&lt;sup&gt;7&lt;/sup&gt;","plainTextFormattedCitation":"7","previouslyFormattedCitation":"&lt;sup&gt;7&lt;/sup&gt;"},"properties":{"noteIndex":0},"schema":"https://github.com/citation-style-language/schema/raw/master/csl-citation.json"}</w:instrText>
      </w:r>
      <w:r>
        <w:rPr>
          <w:rFonts w:ascii="Times New Roman" w:eastAsia="Times New Roman" w:hAnsi="Times New Roman" w:cs="Times New Roman"/>
          <w:color w:val="222222"/>
          <w:highlight w:val="white"/>
        </w:rPr>
        <w:fldChar w:fldCharType="separate"/>
      </w:r>
      <w:r>
        <w:rPr>
          <w:rFonts w:ascii="Times New Roman" w:eastAsia="Times New Roman" w:hAnsi="Times New Roman" w:cs="Times New Roman"/>
          <w:noProof/>
          <w:color w:val="222222"/>
          <w:highlight w:val="white"/>
          <w:vertAlign w:val="superscript"/>
        </w:rPr>
        <w:t>7</w:t>
      </w:r>
      <w:r>
        <w:rPr>
          <w:rFonts w:ascii="Times New Roman" w:eastAsia="Times New Roman" w:hAnsi="Times New Roman" w:cs="Times New Roman"/>
          <w:color w:val="222222"/>
          <w:highlight w:val="white"/>
        </w:rPr>
        <w:fldChar w:fldCharType="end"/>
      </w:r>
      <w:r>
        <w:rPr>
          <w:rFonts w:ascii="Times New Roman" w:eastAsia="Times New Roman" w:hAnsi="Times New Roman" w:cs="Times New Roman"/>
          <w:color w:val="222222"/>
          <w:highlight w:val="white"/>
        </w:rPr>
        <w:t>.</w:t>
      </w:r>
    </w:p>
    <w:p>
      <w:pPr>
        <w:pStyle w:val="ListParagraph"/>
        <w:numPr>
          <w:ilvl w:val="0"/>
          <w:numId w:val="2"/>
        </w:numPr>
        <w:shd w:val="clear" w:color="auto" w:fill="FFFFFF"/>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An innovative strategy using ready-made </w:t>
      </w:r>
      <w:proofErr w:type="spellStart"/>
      <w:r>
        <w:rPr>
          <w:rFonts w:ascii="Times New Roman" w:eastAsia="Times New Roman" w:hAnsi="Times New Roman" w:cs="Times New Roman"/>
          <w:color w:val="222222"/>
          <w:highlight w:val="white"/>
        </w:rPr>
        <w:t>microvessels</w:t>
      </w:r>
      <w:proofErr w:type="spellEnd"/>
      <w:r>
        <w:rPr>
          <w:rFonts w:ascii="Times New Roman" w:eastAsia="Times New Roman" w:hAnsi="Times New Roman" w:cs="Times New Roman"/>
          <w:color w:val="222222"/>
          <w:highlight w:val="white"/>
        </w:rPr>
        <w:t xml:space="preserve"> improved the survival and function of transplanted stem cell-derived islets and primary human islets into mice, enhancing diabetes </w:t>
      </w:r>
      <w:r>
        <w:rPr>
          <w:rFonts w:ascii="Times New Roman" w:eastAsia="Times New Roman" w:hAnsi="Times New Roman" w:cs="Times New Roman"/>
        </w:rPr>
        <w:t>T1DM</w:t>
      </w:r>
      <w:r>
        <w:rPr>
          <w:rFonts w:ascii="Times New Roman" w:eastAsia="Times New Roman" w:hAnsi="Times New Roman" w:cs="Times New Roman"/>
          <w:highlight w:val="white"/>
        </w:rPr>
        <w:t xml:space="preserve"> remission</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{"citationItems":[{"id":"ITEM-1","itemData":{"DOI":"10.1016/j.stem.2021.08.001","ISSN":"19345909","abstract":"&lt;h2&gt;Summary&lt;/h2&gt;&lt;p&gt;Islet transplantation is a promising treatment for type 1 diabetes (T1D), yet the low donor pool, poor islet engraftment, and life-long immunosuppression prevent it from becoming the standard of care. Human embryonic stem cell (hESC)-derived pancreatic cells could eliminate donor shortages, but interventions to improve graft survival are needed. Here, we enhanced subcutaneous engraftment by employing a unique vascularization strategy based on ready-made microvessels (MVs) isolated from the adipose tissue. This resulted in improved cell survival and effective glucose response of both human islets and hESC-derived pancreatic cells, which ameliorated preexisting diabetes in three mouse models of T1D.&lt;/p&gt;","author":[{"dropping-particle":"","family":"Aghazadeh","given":"Yasaman","non-dropping-particle":"","parse-names":false,"suffix":""},{"dropping-particle":"","family":"Poon","given":"Frankie","non-dropping-particle":"","parse-names":false,"suffix":""},{"dropping-particle":"","family":"Sarangi","given":"Farida","non-dropping-particle":"","parse-names":false,"suffix":""},{"dropping-particle":"","family":"Wong","given":"Frances T.M.","non-dropping-particle":"","parse-names":false,"suffix":""},{"dropping-particle":"","family":"Khan","given":"Safwat T.","non-dropping-particle":"","parse-names":false,"suffix":""},{"dropping-particle":"","family":"Sun","given":"Xuetao","non-dropping-particle":"","parse-names":false,"suffix":""},{"dropping-particle":"","family":"Hatkar","given":"Rupal","non-dropping-particle":"","parse-names":false,"suffix":""},{"dropping-particle":"","family":"Cox","given":"Brian J.","non-dropping-particle":"","parse-names":false,"suffix":""},{"dropping-particle":"","family":"Nunes","given":"Sara S.","non-dropping-particle":"","parse-names":false,"suffix":""},{"dropping-particle":"","family":"Nostro","given":"M. Cristina","non-dropping-particle":"","parse-names":false,"suffix":""}],"container-title":"Cell Stem Cell","id":"ITEM-1","issued":{"date-parts":[["2021"]]},"page":"1-14","publisher":"Elsevier Inc.","title":"Microvessels support engraftment and functionality of human islets and hESC-derived pancreatic progenitors in diabetes models","type":"article-journal"},"uris":["http://www.mendeley.com/documents/?uuid=73b6e309-ca23-48f7-b275-448cf3ec64d4"]}],"mendeley":{"formattedCitation":"&lt;sup&gt;9&lt;/sup&gt;","plainTextFormattedCitation":"9","previouslyFormattedCitation":"&lt;sup&gt;9&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9</w:t>
      </w:r>
      <w:r>
        <w:rPr>
          <w:rFonts w:ascii="Times New Roman" w:eastAsia="Times New Roman" w:hAnsi="Times New Roman" w:cs="Times New Roman"/>
          <w:highlight w:val="white"/>
        </w:rPr>
        <w:fldChar w:fldCharType="end"/>
      </w:r>
      <w:r>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 xml:space="preserve"> </w:t>
      </w:r>
    </w:p>
    <w:p>
      <w:pPr>
        <w:spacing w:line="360" w:lineRule="auto"/>
        <w:jc w:val="both"/>
        <w:rPr>
          <w:rFonts w:ascii="Times New Roman" w:eastAsia="Times New Roman" w:hAnsi="Times New Roman" w:cs="Times New Roman"/>
        </w:rPr>
      </w:pPr>
      <w:r>
        <w:rPr>
          <w:rFonts w:ascii="Times New Roman" w:eastAsia="Times New Roman" w:hAnsi="Times New Roman" w:cs="Times New Roman"/>
          <w:highlight w:val="white"/>
        </w:rPr>
        <w:t>A century after the discovery of insulin as a treatment for diabetes mellitus, no therapy has yet been developed to stop or reverse disease progression and its secondary complications</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{"citationItems":[{"id":"ITEM-1","itemData":{"DOI":"10.1038/s41591-021-01418-2","ISSN":"1546170X","PMID":"34267380","abstract":"The year 2021 marks the centennial of Banting and Best’s landmark description of the discovery of insulin. This discovery and insulin’s rapid clinical deployment effectively transformed type 1 diabetes from a fatal diagnosis into a medically manageable chronic condition. In this Review, we describe key accomplishments leading to and building on this momentous occasion in medical history, including advancements in our understanding of the role of insulin in diabetes pathophysiology, the molecular characterization of insulin and the clinical use of insulin. Achievements are also viewed through the lens of patients impacted by insulin therapy and the evolution of insulin pharmacokinetics and delivery over the past 100 years. Finally, we reflect on the future of insulin therapy and diabetes treatment, as well as challenges to be addressed moving forward, so that the full potential of this transformative discovery may be realized.","author":[{"dropping-particle":"","family":"Sims","given":"Emily K.","non-dropping-particle":"","parse-names":false,"suffix":""},{"dropping-particle":"","family":"Carr","given":"Alice L.J.","non-dropping-particle":"","parse-names":false,"suffix":""},{"dropping-particle":"","family":"Oram","given":"Richard A.","non-dropping-particle":"","parse-names":false,"suffix":""},{"dropping-particle":"","family":"DiMeglio","given":"Linda A.","non-dropping-particle":"","parse-names":false,"suffix":""},{"dropping-particle":"","family":"Evans-Molina","given":"Carmella","non-dropping-particle":"","parse-names":false,"suffix":""}],"container-title":"Nature Medicine","id":"ITEM-1","issue":"7","issued":{"date-parts":[["2021"]]},"page":"1154-1164","publisher":"Springer US","title":"100 Years of Insulin: Celebrating the Past, Present and Future of Diabetes Therapy","type":"article-journal","volume":"27"},"uris":["http://www.mendeley.com/documents/?uuid=53a01fb3-9038-48c5-ad5f-a5fd62b89d59"]}],"mendeley":{"formattedCitation":"&lt;sup&gt;1&lt;/sup&gt;","plainTextFormattedCitation":"1","previouslyFormattedCitation":"&lt;sup&gt;1&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1</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The two major forms of autoimmune type 1 diabetes mellitus (T1DM) and </w:t>
      </w:r>
      <w:proofErr w:type="spellStart"/>
      <w:r>
        <w:rPr>
          <w:rFonts w:ascii="Times New Roman" w:eastAsia="Times New Roman" w:hAnsi="Times New Roman" w:cs="Times New Roman"/>
          <w:highlight w:val="white"/>
        </w:rPr>
        <w:t>glucotoxic</w:t>
      </w:r>
      <w:proofErr w:type="spellEnd"/>
      <w:r>
        <w:rPr>
          <w:rFonts w:ascii="Times New Roman" w:eastAsia="Times New Roman" w:hAnsi="Times New Roman" w:cs="Times New Roman"/>
          <w:highlight w:val="white"/>
        </w:rPr>
        <w:t xml:space="preserve"> and </w:t>
      </w:r>
      <w:proofErr w:type="spellStart"/>
      <w:r>
        <w:rPr>
          <w:rFonts w:ascii="Times New Roman" w:eastAsia="Times New Roman" w:hAnsi="Times New Roman" w:cs="Times New Roman"/>
          <w:highlight w:val="white"/>
        </w:rPr>
        <w:t>lipotoxic</w:t>
      </w:r>
      <w:proofErr w:type="spellEnd"/>
      <w:r>
        <w:rPr>
          <w:rFonts w:ascii="Times New Roman" w:eastAsia="Times New Roman" w:hAnsi="Times New Roman" w:cs="Times New Roman"/>
          <w:highlight w:val="white"/>
        </w:rPr>
        <w:t xml:space="preserve"> type 2 diabetes mellitus (T2DM) cause either loss or dysfunction of insulin-producing pancreatic β-cells, respectively. </w:t>
      </w:r>
      <w:r>
        <w:rPr>
          <w:rFonts w:ascii="Times New Roman" w:eastAsia="Times New Roman" w:hAnsi="Times New Roman" w:cs="Times New Roman"/>
        </w:rPr>
        <w:t>Thus, it</w:t>
      </w:r>
      <w:r>
        <w:rPr>
          <w:rFonts w:ascii="Times New Roman" w:eastAsia="Times New Roman" w:hAnsi="Times New Roman" w:cs="Times New Roman"/>
          <w:highlight w:val="white"/>
        </w:rPr>
        <w:t xml:space="preserve"> is crucial to uncover the molecular mechanisms of β-cell pathophysiology to design therapies for protecting or restoring functional β-cell mass in diabetes mellitus. In 2021, several studies provided novel and important insights </w:t>
      </w:r>
      <w:r>
        <w:rPr>
          <w:rFonts w:ascii="Times New Roman" w:eastAsia="Times New Roman" w:hAnsi="Times New Roman" w:cs="Times New Roman"/>
          <w:highlight w:val="white"/>
        </w:rPr>
        <w:lastRenderedPageBreak/>
        <w:t xml:space="preserve">into </w:t>
      </w:r>
      <w:r>
        <w:rPr>
          <w:rFonts w:ascii="Times New Roman" w:eastAsia="Times New Roman" w:hAnsi="Times New Roman" w:cs="Times New Roman"/>
        </w:rPr>
        <w:t xml:space="preserve">pathological changes to islets in T1DM and T2DM. These together with identification and validation of novel drug targets, and establishment of a novel transplantation strategy, open new avenues for β-cell protection, regeneration and replacement. </w:t>
      </w:r>
    </w:p>
    <w:p>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cause and mechanisms of T1DM </w:t>
      </w:r>
      <w:proofErr w:type="gramStart"/>
      <w:r>
        <w:rPr>
          <w:rFonts w:ascii="Times New Roman" w:eastAsia="Times New Roman" w:hAnsi="Times New Roman" w:cs="Times New Roman"/>
        </w:rPr>
        <w:t>are poorly understood</w:t>
      </w:r>
      <w:proofErr w:type="gramEnd"/>
      <w:r>
        <w:rPr>
          <w:rFonts w:ascii="Times New Roman" w:eastAsia="Times New Roman" w:hAnsi="Times New Roman" w:cs="Times New Roman"/>
        </w:rPr>
        <w:t xml:space="preserve">. Several </w:t>
      </w:r>
      <w:r>
        <w:rPr>
          <w:rFonts w:ascii="Times New Roman" w:eastAsia="Times New Roman" w:hAnsi="Times New Roman" w:cs="Times New Roman"/>
          <w:color w:val="202124"/>
        </w:rPr>
        <w:t>genome-wide association studies (</w:t>
      </w:r>
      <w:r>
        <w:rPr>
          <w:rFonts w:ascii="Times New Roman" w:eastAsia="Times New Roman" w:hAnsi="Times New Roman" w:cs="Times New Roman"/>
        </w:rPr>
        <w:t xml:space="preserve">GWAS) have identified genetic risk variations linked with T1DM susceptibility, largely at non-coding genomic regions. Nevertheless, the causality of these variants to T1DM onset and progression remains unclear. In an elegant study by </w:t>
      </w:r>
      <w:proofErr w:type="spellStart"/>
      <w:r>
        <w:rPr>
          <w:rFonts w:ascii="Times New Roman" w:eastAsia="Times New Roman" w:hAnsi="Times New Roman" w:cs="Times New Roman"/>
        </w:rPr>
        <w:t>Chiou</w:t>
      </w:r>
      <w:proofErr w:type="spellEnd"/>
      <w:r>
        <w:rPr>
          <w:rFonts w:ascii="Times New Roman" w:eastAsia="Times New Roman" w:hAnsi="Times New Roman" w:cs="Times New Roman"/>
        </w:rPr>
        <w:t xml:space="preserve"> et al. to validate disease genes, GWAS data was combined with single-cell </w:t>
      </w:r>
      <w:proofErr w:type="spellStart"/>
      <w:r>
        <w:rPr>
          <w:rFonts w:ascii="Times New Roman" w:eastAsia="Times New Roman" w:hAnsi="Times New Roman" w:cs="Times New Roman"/>
        </w:rPr>
        <w:t>epigenomics</w:t>
      </w:r>
      <w:proofErr w:type="spellEnd"/>
      <w:r>
        <w:rPr>
          <w:rFonts w:ascii="Times New Roman" w:eastAsia="Times New Roman" w:hAnsi="Times New Roman" w:cs="Times New Roman"/>
        </w:rPr>
        <w:t xml:space="preserve"> to map the genetic basis of T1DM</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{"citationItems":[{"id":"ITEM-1","itemData":{"DOI":"10.1038/s41586-021-03552-w","ISSN":"14764687","PMID":"34012112","abstract":"Genetic risk variants that have been identified in genome-wide association studies of complex diseases are primarily non-coding1. Translating these risk variants into mechanistic insights requires detailed maps of gene regulation in disease-relevant cell types2. Here we combined two approaches: a genome-wide association study of type 1 diabetes (T1D) using 520,580 samples, and the identification of candidate cis-regulatory elements (cCREs) in pancreas and peripheral blood mononuclear cells using single-nucleus assay for transposase-accessible chromatin with sequencing (snATAC–seq) of 131,554 nuclei. Risk variants for T1D were enriched in cCREs that were active in T cells and other cell types, including acinar and ductal cells of the exocrine pancreas. Risk variants at multiple T1D signals overlapped with exocrine-specific cCREs that were linked to genes with exocrine-specific expression. At the CFTR locus, the T1D risk variant rs7795896 mapped to a ductal-specific cCRE that regulated CFTR; the risk allele reduced transcription factor binding, enhancer activity and CFTR expression in ductal cells. These findings support a role for the exocrine pancreas in the pathogenesis of T1D and highlight the power of large-scale genome-wide association studies and single-cell epigenomics for understanding the cellular origins of complex disease.","author":[{"dropping-particle":"","family":"Chiou","given":"Joshua","non-dropping-particle":"","parse-names":false,"suffix":""},{"dropping-particle":"","family":"Geusz","given":"Ryan J.","non-dropping-particle":"","parse-names":false,"suffix":""},{"dropping-particle":"","family":"Okino","given":"Mei Lin","non-dropping-particle":"","parse-names":false,"suffix":""},{"dropping-particle":"","family":"Han","given":"Jee Yun","non-dropping-particle":"","parse-names":false,"suffix":""},{"dropping-particle":"","family":"Miller","given":"Michael","non-dropping-particle":"","parse-names":false,"suffix":""},{"dropping-particle":"","family":"Melton","given":"Rebecca","non-dropping-particle":"","parse-names":false,"suffix":""},{"dropping-particle":"","family":"Beebe","given":"Elisha","non-dropping-particle":"","parse-names":false,"suffix":""},{"dropping-particle":"","family":"Benaglio","given":"Paola","non-dropping-particle":"","parse-names":false,"suffix":""},{"dropping-particle":"","family":"Huang","given":"Serina","non-dropping-particle":"","parse-names":false,"suffix":""},{"dropping-particle":"","family":"Korgaonkar","given":"Katha","non-dropping-particle":"","parse-names":false,"suffix":""},{"dropping-particle":"","family":"Heller","given":"Sandra","non-dropping-particle":"","parse-names":false,"suffix":""},{"dropping-particle":"","family":"Kleger","given":"Alexander","non-dropping-particle":"","parse-names":false,"suffix":""},{"dropping-particle":"","family":"Preissl","given":"Sebastian","non-dropping-particle":"","parse-names":false,"suffix":""},{"dropping-particle":"","family":"Gorkin","given":"David U.","non-dropping-particle":"","parse-names":false,"suffix":""},{"dropping-particle":"","family":"Sander","given":"Maike","non-dropping-particle":"","parse-names":false,"suffix":""},{"dropping-particle":"","family":"Gaulton","given":"Kyle J.","non-dropping-particle":"","parse-names":false,"suffix":""}],"container-title":"Nature","id":"ITEM-1","issue":"7863","issued":{"date-parts":[["2021"]]},"page":"398-402","publisher":"Springer US","title":"Interpreting type 1 diabetes risk with genetics and single-cell epigenomics","type":"article-journal","volume":"594"},"uris":["http://www.mendeley.com/documents/?uuid=ee6e841b-127a-4440-a80c-52bb849a07ef"]}],"mendeley":{"formattedCitation":"&lt;sup&gt;2&lt;/sup&gt;","plainTextFormattedCitation":"2","previouslyFormattedCitation":"&lt;sup&gt;2&lt;/sup&gt;"},"properties":{"noteIndex":0},"schema":"https://github.com/citation-style-language/schema/raw/master/csl-citation.json"}</w:instrText>
      </w:r>
      <w:r>
        <w:rPr>
          <w:rFonts w:ascii="Times New Roman" w:eastAsia="Times New Roman" w:hAnsi="Times New Roman" w:cs="Times New Roman"/>
        </w:rPr>
        <w:fldChar w:fldCharType="separate"/>
      </w:r>
      <w:r>
        <w:rPr>
          <w:rFonts w:ascii="Times New Roman" w:eastAsia="Times New Roman" w:hAnsi="Times New Roman" w:cs="Times New Roman"/>
          <w:noProof/>
          <w:vertAlign w:val="superscript"/>
        </w:rPr>
        <w:t>2</w:t>
      </w:r>
      <w:r>
        <w:rPr>
          <w:rFonts w:ascii="Times New Roman" w:eastAsia="Times New Roman" w:hAnsi="Times New Roman" w:cs="Times New Roman"/>
        </w:rPr>
        <w:fldChar w:fldCharType="end"/>
      </w:r>
      <w:r>
        <w:rPr>
          <w:rFonts w:ascii="Times New Roman" w:eastAsia="Times New Roman" w:hAnsi="Times New Roman" w:cs="Times New Roman"/>
        </w:rPr>
        <w:t>. The investigators used single-nucleus ATAC-</w:t>
      </w:r>
      <w:proofErr w:type="spellStart"/>
      <w:r>
        <w:rPr>
          <w:rFonts w:ascii="Times New Roman" w:eastAsia="Times New Roman" w:hAnsi="Times New Roman" w:cs="Times New Roman"/>
        </w:rPr>
        <w:t>Seq</w:t>
      </w:r>
      <w:proofErr w:type="spellEnd"/>
      <w:r>
        <w:rPr>
          <w:rFonts w:ascii="Times New Roman" w:eastAsia="Times New Roman" w:hAnsi="Times New Roman" w:cs="Times New Roman"/>
        </w:rPr>
        <w:t xml:space="preserve"> to generate an </w:t>
      </w:r>
      <w:proofErr w:type="spellStart"/>
      <w:r>
        <w:rPr>
          <w:rFonts w:ascii="Times New Roman" w:eastAsia="Times New Roman" w:hAnsi="Times New Roman" w:cs="Times New Roman"/>
        </w:rPr>
        <w:t>epigenomic</w:t>
      </w:r>
      <w:proofErr w:type="spellEnd"/>
      <w:r>
        <w:rPr>
          <w:rFonts w:ascii="Times New Roman" w:eastAsia="Times New Roman" w:hAnsi="Times New Roman" w:cs="Times New Roman"/>
        </w:rPr>
        <w:t xml:space="preserve"> map of candidate cis-regulatory elements (</w:t>
      </w:r>
      <w:proofErr w:type="spellStart"/>
      <w:r>
        <w:rPr>
          <w:rFonts w:ascii="Times New Roman" w:eastAsia="Times New Roman" w:hAnsi="Times New Roman" w:cs="Times New Roman"/>
        </w:rPr>
        <w:t>cCREs</w:t>
      </w:r>
      <w:proofErr w:type="spellEnd"/>
      <w:r>
        <w:rPr>
          <w:rFonts w:ascii="Times New Roman" w:eastAsia="Times New Roman" w:hAnsi="Times New Roman" w:cs="Times New Roman"/>
        </w:rPr>
        <w:t xml:space="preserve">) in peripheral blood and pancreas samples from individuals without diabetes mellitus By performing a </w:t>
      </w:r>
      <w:r>
        <w:rPr>
          <w:rFonts w:ascii="Times New Roman" w:hAnsi="Times New Roman" w:cs="Times New Roman"/>
          <w:color w:val="222222"/>
          <w:shd w:val="clear" w:color="auto" w:fill="FFFFFF"/>
        </w:rPr>
        <w:t xml:space="preserve">large </w:t>
      </w:r>
      <w:r>
        <w:rPr>
          <w:rFonts w:ascii="Times New Roman" w:hAnsi="Times New Roman" w:cs="Times New Roman"/>
        </w:rPr>
        <w:t xml:space="preserve">single nucleotide polymorphism (SNP)-based </w:t>
      </w:r>
      <w:r>
        <w:rPr>
          <w:rFonts w:ascii="Times New Roman" w:hAnsi="Times New Roman" w:cs="Times New Roman"/>
          <w:color w:val="222222"/>
          <w:shd w:val="clear" w:color="auto" w:fill="FFFFFF"/>
        </w:rPr>
        <w:t xml:space="preserve">GWAS of </w:t>
      </w:r>
      <w:r>
        <w:rPr>
          <w:rFonts w:ascii="Times New Roman" w:eastAsia="Times New Roman" w:hAnsi="Times New Roman" w:cs="Times New Roman"/>
        </w:rPr>
        <w:t xml:space="preserve">T1DM and integrating it with the </w:t>
      </w:r>
      <w:proofErr w:type="spellStart"/>
      <w:r>
        <w:rPr>
          <w:rFonts w:ascii="Times New Roman" w:eastAsia="Times New Roman" w:hAnsi="Times New Roman" w:cs="Times New Roman"/>
        </w:rPr>
        <w:t>epigenomic</w:t>
      </w:r>
      <w:proofErr w:type="spellEnd"/>
      <w:r>
        <w:rPr>
          <w:rFonts w:ascii="Times New Roman" w:eastAsia="Times New Roman" w:hAnsi="Times New Roman" w:cs="Times New Roman"/>
        </w:rPr>
        <w:t xml:space="preserve"> landscape, they discovered enrichment of many T1DM risk variants in </w:t>
      </w:r>
      <w:r>
        <w:rPr>
          <w:rFonts w:ascii="Times New Roman" w:hAnsi="Times New Roman" w:cs="Times New Roman"/>
          <w:color w:val="222222"/>
          <w:shd w:val="clear" w:color="auto" w:fill="FFFFFF"/>
        </w:rPr>
        <w:t>cell type-specific</w:t>
      </w:r>
      <w:r>
        <w:rPr>
          <w:rFonts w:ascii="Times New Roman" w:eastAsia="Times New Roman" w:hAnsi="Times New Roman" w:cs="Times New Roman"/>
        </w:rPr>
        <w:t xml:space="preserve"> </w:t>
      </w:r>
      <w:proofErr w:type="spellStart"/>
      <w:r>
        <w:rPr>
          <w:rFonts w:ascii="Times New Roman" w:eastAsia="Times New Roman" w:hAnsi="Times New Roman" w:cs="Times New Roman"/>
        </w:rPr>
        <w:t>cCREs</w:t>
      </w:r>
      <w:proofErr w:type="spellEnd"/>
      <w:r>
        <w:rPr>
          <w:rFonts w:ascii="Times New Roman" w:eastAsia="Times New Roman" w:hAnsi="Times New Roman" w:cs="Times New Roman"/>
        </w:rPr>
        <w:t xml:space="preserve"> (Fig. 1). These risk variants included reference SNP (</w:t>
      </w:r>
      <w:proofErr w:type="spellStart"/>
      <w:r>
        <w:rPr>
          <w:rFonts w:ascii="Times New Roman" w:eastAsia="Times New Roman" w:hAnsi="Times New Roman" w:cs="Times New Roman"/>
        </w:rPr>
        <w:t>rs</w:t>
      </w:r>
      <w:proofErr w:type="spellEnd"/>
      <w:proofErr w:type="gramStart"/>
      <w:r>
        <w:rPr>
          <w:rFonts w:ascii="Times New Roman" w:eastAsia="Times New Roman" w:hAnsi="Times New Roman" w:cs="Times New Roman"/>
        </w:rPr>
        <w:t>)7795896</w:t>
      </w:r>
      <w:proofErr w:type="gramEnd"/>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which they mapped to a ductal cell-specific </w:t>
      </w:r>
      <w:proofErr w:type="spellStart"/>
      <w:r>
        <w:rPr>
          <w:rFonts w:ascii="Times New Roman" w:eastAsia="Times New Roman" w:hAnsi="Times New Roman" w:cs="Times New Roman"/>
        </w:rPr>
        <w:t>cCRE</w:t>
      </w:r>
      <w:proofErr w:type="spellEnd"/>
      <w:r>
        <w:rPr>
          <w:rFonts w:ascii="Times New Roman" w:eastAsia="Times New Roman" w:hAnsi="Times New Roman" w:cs="Times New Roman"/>
        </w:rPr>
        <w:t xml:space="preserve">. Functional analysis revealed that rs7795896 suppresses </w:t>
      </w:r>
      <w:r>
        <w:rPr>
          <w:rFonts w:ascii="Times New Roman" w:eastAsia="Times New Roman" w:hAnsi="Times New Roman" w:cs="Times New Roman"/>
          <w:color w:val="202124"/>
        </w:rPr>
        <w:t>cystic fibrosis transmembrane conductance regulator</w:t>
      </w:r>
      <w:r>
        <w:rPr>
          <w:rFonts w:ascii="Times New Roman" w:eastAsia="Times New Roman" w:hAnsi="Times New Roman" w:cs="Times New Roman"/>
        </w:rPr>
        <w:t xml:space="preserve">  expression, uncovering a possible causal role of pancreatic exocrine dysfunction in T1DM </w:t>
      </w:r>
      <w:r>
        <w:rPr>
          <w:rFonts w:ascii="Times New Roman" w:eastAsia="Times New Roman" w:hAnsi="Times New Roman" w:cs="Times New Roman"/>
          <w:color w:val="222222"/>
        </w:rPr>
        <w:t>pathogenesis</w:t>
      </w:r>
      <w:r>
        <w:rPr>
          <w:rFonts w:ascii="Times New Roman" w:eastAsia="Times New Roman" w:hAnsi="Times New Roman" w:cs="Times New Roman"/>
          <w:color w:val="222222"/>
        </w:rPr>
        <w:fldChar w:fldCharType="begin" w:fldLock="1"/>
      </w:r>
      <w:r>
        <w:rPr>
          <w:rFonts w:ascii="Times New Roman" w:eastAsia="Times New Roman" w:hAnsi="Times New Roman" w:cs="Times New Roman"/>
          <w:color w:val="222222"/>
        </w:rPr>
        <w:instrText>ADDIN CSL_CITATION {"citationItems":[{"id":"ITEM-1","itemData":{"DOI":"10.1038/s41586-021-03552-w","ISSN":"14764687","PMID":"34012112","abstract":"Genetic risk variants that have been identified in genome-wide association studies of complex diseases are primarily non-coding1. Translating these risk variants into mechanistic insights requires detailed maps of gene regulation in disease-relevant cell types2. Here we combined two approaches: a genome-wide association study of type 1 diabetes (T1D) using 520,580 samples, and the identification of candidate cis-regulatory elements (cCREs) in pancreas and peripheral blood mononuclear cells using single-nucleus assay for transposase-accessible chromatin with sequencing (snATAC–seq) of 131,554 nuclei. Risk variants for T1D were enriched in cCREs that were active in T cells and other cell types, including acinar and ductal cells of the exocrine pancreas. Risk variants at multiple T1D signals overlapped with exocrine-specific cCREs that were linked to genes with exocrine-specific expression. At the CFTR locus, the T1D risk variant rs7795896 mapped to a ductal-specific cCRE that regulated CFTR; the risk allele reduced transcription factor binding, enhancer activity and CFTR expression in ductal cells. These findings support a role for the exocrine pancreas in the pathogenesis of T1D and highlight the power of large-scale genome-wide association studies and single-cell epigenomics for understanding the cellular origins of complex disease.","author":[{"dropping-particle":"","family":"Chiou","given":"Joshua","non-dropping-particle":"","parse-names":false,"suffix":""},{"dropping-particle":"","family":"Geusz","given":"Ryan J.","non-dropping-particle":"","parse-names":false,"suffix":""},{"dropping-particle":"","family":"Okino","given":"Mei Lin","non-dropping-particle":"","parse-names":false,"suffix":""},{"dropping-particle":"","family":"Han","given":"Jee Yun","non-dropping-particle":"","parse-names":false,"suffix":""},{"dropping-particle":"","family":"Miller","given":"Michael","non-dropping-particle":"","parse-names":false,"suffix":""},{"dropping-particle":"","family":"Melton","given":"Rebecca","non-dropping-particle":"","parse-names":false,"suffix":""},{"dropping-particle":"","family":"Beebe","given":"Elisha","non-dropping-particle":"","parse-names":false,"suffix":""},{"dropping-particle":"","family":"Benaglio","given":"Paola","non-dropping-particle":"","parse-names":false,"suffix":""},{"dropping-particle":"","family":"Huang","given":"Serina","non-dropping-particle":"","parse-names":false,"suffix":""},{"dropping-particle":"","family":"Korgaonkar","given":"Katha","non-dropping-particle":"","parse-names":false,"suffix":""},{"dropping-particle":"","family":"Heller","given":"Sandra","non-dropping-particle":"","parse-names":false,"suffix":""},{"dropping-particle":"","family":"Kleger","given":"Alexander","non-dropping-particle":"","parse-names":false,"suffix":""},{"dropping-particle":"","family":"Preissl","given":"Sebastian","non-dropping-particle":"","parse-names":false,"suffix":""},{"dropping-particle":"","family":"Gorkin","given":"David U.","non-dropping-particle":"","parse-names":false,"suffix":""},{"dropping-particle":"","family":"Sander","given":"Maike","non-dropping-particle":"","parse-names":false,"suffix":""},{"dropping-particle":"","family":"Gaulton","given":"Kyle J.","non-dropping-particle":"","parse-names":false,"suffix":""}],"container-title":"Nature","id":"ITEM-1","issue":"7863","issued":{"date-parts":[["2021"]]},"page":"398-402","publisher":"Springer US","title":"Interpreting type 1 diabetes risk with genetics and single-cell epigenomics","type":"article-journal","volume":"594"},"uris":["http://www.mendeley.com/documents/?uuid=ee6e841b-127a-4440-a80c-52bb849a07ef"]}],"mendeley":{"formattedCitation":"&lt;sup&gt;2&lt;/sup&gt;","plainTextFormattedCitation":"2","previouslyFormattedCitation":"&lt;sup&gt;2&lt;/sup&gt;"},"properties":{"noteIndex":0},"schema":"https://github.com/citation-style-language/schema/raw/master/csl-citation.json"}</w:instrText>
      </w:r>
      <w:r>
        <w:rPr>
          <w:rFonts w:ascii="Times New Roman" w:eastAsia="Times New Roman" w:hAnsi="Times New Roman" w:cs="Times New Roman"/>
          <w:color w:val="222222"/>
        </w:rPr>
        <w:fldChar w:fldCharType="separate"/>
      </w:r>
      <w:r>
        <w:rPr>
          <w:rFonts w:ascii="Times New Roman" w:eastAsia="Times New Roman" w:hAnsi="Times New Roman" w:cs="Times New Roman"/>
          <w:noProof/>
          <w:color w:val="222222"/>
          <w:vertAlign w:val="superscript"/>
        </w:rPr>
        <w:t>2</w:t>
      </w:r>
      <w:r>
        <w:rPr>
          <w:rFonts w:ascii="Times New Roman" w:eastAsia="Times New Roman" w:hAnsi="Times New Roman" w:cs="Times New Roman"/>
          <w:color w:val="222222"/>
        </w:rPr>
        <w:fldChar w:fldCharType="end"/>
      </w:r>
      <w:r>
        <w:rPr>
          <w:rFonts w:ascii="Times New Roman" w:eastAsia="Times New Roman" w:hAnsi="Times New Roman" w:cs="Times New Roman"/>
          <w:color w:val="222222"/>
        </w:rPr>
        <w:t>.</w:t>
      </w:r>
      <w:r>
        <w:rPr>
          <w:rFonts w:ascii="Times New Roman" w:eastAsia="Times New Roman" w:hAnsi="Times New Roman" w:cs="Times New Roman"/>
        </w:rPr>
        <w:t xml:space="preserve"> </w:t>
      </w:r>
    </w:p>
    <w:p>
      <w:pPr>
        <w:shd w:val="clear" w:color="auto" w:fill="FFFFFF"/>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highlight w:val="white"/>
        </w:rPr>
        <w:t>Chiou</w:t>
      </w:r>
      <w:proofErr w:type="spellEnd"/>
      <w:r>
        <w:rPr>
          <w:rFonts w:ascii="Times New Roman" w:eastAsia="Times New Roman" w:hAnsi="Times New Roman" w:cs="Times New Roman"/>
          <w:highlight w:val="white"/>
        </w:rPr>
        <w:t xml:space="preserve"> and colleagues then took a similar approach </w:t>
      </w:r>
      <w:r>
        <w:rPr>
          <w:rFonts w:ascii="Times New Roman" w:eastAsia="Times New Roman" w:hAnsi="Times New Roman" w:cs="Times New Roman"/>
        </w:rPr>
        <w:t xml:space="preserve">to </w:t>
      </w:r>
      <w:proofErr w:type="gramStart"/>
      <w:r>
        <w:rPr>
          <w:rFonts w:ascii="Times New Roman" w:eastAsia="Times New Roman" w:hAnsi="Times New Roman" w:cs="Times New Roman"/>
        </w:rPr>
        <w:t>investigate</w:t>
      </w:r>
      <w:r>
        <w:rPr>
          <w:rFonts w:ascii="Times New Roman" w:eastAsia="Times New Roman" w:hAnsi="Times New Roman" w:cs="Times New Roman"/>
          <w:highlight w:val="white"/>
        </w:rPr>
        <w:t xml:space="preserve">  the</w:t>
      </w:r>
      <w:proofErr w:type="gramEnd"/>
      <w:r>
        <w:rPr>
          <w:rFonts w:ascii="Times New Roman" w:eastAsia="Times New Roman" w:hAnsi="Times New Roman" w:cs="Times New Roman"/>
          <w:highlight w:val="white"/>
        </w:rPr>
        <w:t xml:space="preserve"> genetic basis of T2DM risk</w:t>
      </w:r>
      <w:r>
        <w:rPr>
          <w:rFonts w:ascii="Times New Roman" w:eastAsia="Times New Roman" w:hAnsi="Times New Roman" w:cs="Times New Roman"/>
          <w:highlight w:val="white"/>
          <w:vertAlign w:val="superscript"/>
        </w:rPr>
        <w:t>3</w:t>
      </w:r>
      <w:r>
        <w:rPr>
          <w:rFonts w:ascii="Times New Roman" w:eastAsia="Times New Roman" w:hAnsi="Times New Roman" w:cs="Times New Roman"/>
          <w:highlight w:val="white"/>
        </w:rPr>
        <w:t xml:space="preserve">. scATAC-seq analysis of healthy human islets provided lineage-specific and state-specific accessible chromatin profiles, indicating the existence of </w:t>
      </w:r>
      <w:proofErr w:type="spellStart"/>
      <w:r>
        <w:rPr>
          <w:rFonts w:ascii="Times New Roman" w:eastAsia="Times New Roman" w:hAnsi="Times New Roman" w:cs="Times New Roman"/>
          <w:highlight w:val="white"/>
        </w:rPr>
        <w:t>epigenomic</w:t>
      </w:r>
      <w:proofErr w:type="spellEnd"/>
      <w:r>
        <w:rPr>
          <w:rFonts w:ascii="Times New Roman" w:eastAsia="Times New Roman" w:hAnsi="Times New Roman" w:cs="Times New Roman"/>
          <w:highlight w:val="white"/>
        </w:rPr>
        <w:t xml:space="preserve"> heterogeneity in endocrine cells</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{"citationItems":[{"id":"ITEM-1","itemData":{"DOI":"10.1038/s41588-021-00823-0","ISSN":"15461718","PMID":"33795864","abstract":"Single-nucleus assay for transposase-accessible chromatin using sequencing (snATAC-seq) creates new opportunities to dissect cell type–specific mechanisms of complex diseases. Since pancreatic islets are central to type 2 diabetes (T2D), we profiled 15,298 islet cells by using combinatorial barcoding snATAC-seq and identified 12 clusters, including multiple alpha, beta and delta cell states. We cataloged 228,873 accessible chromatin sites and identified transcription factors underlying lineage- and state-specific regulation. We observed state-specific enrichment of fasting glucose and T2D genome-wide association studies for beta cells and enrichment for other endocrine cell types. At T2D signals localized to islet-accessible chromatin, we prioritized variants with predicted regulatory function and co-accessibility with target genes. A causal T2D variant rs231361 at the KCNQ1 locus had predicted effects on a beta cell enhancer co-accessible with INS and genome editing in embryonic stem cell–derived beta cells affected INS levels. Together our findings demonstrate the power of single-cell epigenomics for interpreting complex disease genetics.","author":[{"dropping-particle":"","family":"Chiou","given":"Joshua","non-dropping-particle":"","parse-names":false,"suffix":""},{"dropping-particle":"","family":"Zeng","given":"Chun","non-dropping-particle":"","parse-names":false,"suffix":""},{"dropping-particle":"","family":"Cheng","given":"Zhang","non-dropping-particle":"","parse-names":false,"suffix":""},{"dropping-particle":"","family":"Han","given":"Jee Yun","non-dropping-particle":"","parse-names":false,"suffix":""},{"dropping-particle":"","family":"Schlichting","given":"Michael","non-dropping-particle":"","parse-names":false,"suffix":""},{"dropping-particle":"","family":"Miller","given":"Michael","non-dropping-particle":"","parse-names":false,"suffix":""},{"dropping-particle":"","family":"Mendez","given":"Robert","non-dropping-particle":"","parse-names":false,"suffix":""},{"dropping-particle":"","family":"Huang","given":"Serina","non-dropping-particle":"","parse-names":false,"suffix":""},{"dropping-particle":"","family":"Wang","given":"Jinzhao","non-dropping-particle":"","parse-names":false,"suffix":""},{"dropping-particle":"","family":"Sui","given":"Yinghui","non-dropping-particle":"","parse-names":false,"suffix":""},{"dropping-particle":"","family":"Deogaygay","given":"Allison","non-dropping-particle":"","parse-names":false,"suffix":""},{"dropping-particle":"","family":"Okino","given":"Mei Lin","non-dropping-particle":"","parse-names":false,"suffix":""},{"dropping-particle":"","family":"Qiu","given":"Yunjiang","non-dropping-particle":"","parse-names":false,"suffix":""},{"dropping-particle":"","family":"Sun","given":"Ying","non-dropping-particle":"","parse-names":false,"suffix":""},{"dropping-particle":"","family":"Kudtarkar","given":"Parul","non-dropping-particle":"","parse-names":false,"suffix":""},{"dropping-particle":"","family":"Fang","given":"Rongxin","non-dropping-particle":"","parse-names":false,"suffix":""},{"dropping-particle":"","family":"Preissl","given":"Sebastian","non-dropping-particle":"","parse-names":false,"suffix":""},{"dropping-particle":"","family":"Sander","given":"Maike","non-dropping-particle":"","parse-names":false,"suffix":""},{"dropping-particle":"","family":"Gorkin","given":"David U.","non-dropping-particle":"","parse-names":false,"suffix":""},{"dropping-particle":"","family":"Gaulton","given":"Kyle J.","non-dropping-particle":"","parse-names":false,"suffix":""}],"container-title":"Nature Genetics","id":"ITEM-1","issue":"4","issued":{"date-parts":[["2021"]]},"page":"455-466","publisher":"Springer US","title":"Single-cell chromatin accessibility identifies pancreatic islet cell type– and state-specific regulatory programs of diabetes risk","type":"article-journal","volume":"53"},"uris":["http://www.mendeley.com/documents/?uuid=aa7c3104-6ab9-48f6-a0f2-194297b180c7"]}],"mendeley":{"formattedCitation":"&lt;sup&gt;3&lt;/sup&gt;","plainTextFormattedCitation":"3","previouslyFormattedCitation":"&lt;sup&gt;3&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3</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The mapping of </w:t>
      </w:r>
      <w:r>
        <w:rPr>
          <w:rFonts w:ascii="Times New Roman" w:eastAsia="Times New Roman" w:hAnsi="Times New Roman" w:cs="Times New Roman"/>
          <w:i/>
        </w:rPr>
        <w:t>cis</w:t>
      </w:r>
      <w:r>
        <w:rPr>
          <w:rFonts w:ascii="Times New Roman" w:eastAsia="Times New Roman" w:hAnsi="Times New Roman" w:cs="Times New Roman"/>
        </w:rPr>
        <w:t xml:space="preserve">-regulatory </w:t>
      </w:r>
      <w:proofErr w:type="spellStart"/>
      <w:r>
        <w:rPr>
          <w:rFonts w:ascii="Times New Roman" w:eastAsia="Times New Roman" w:hAnsi="Times New Roman" w:cs="Times New Roman"/>
        </w:rPr>
        <w:t>programmes</w:t>
      </w:r>
      <w:proofErr w:type="spellEnd"/>
      <w:r>
        <w:rPr>
          <w:rFonts w:ascii="Times New Roman" w:eastAsia="Times New Roman" w:hAnsi="Times New Roman" w:cs="Times New Roman"/>
        </w:rPr>
        <w:t xml:space="preserve"> onto </w:t>
      </w:r>
      <w:r>
        <w:rPr>
          <w:rFonts w:ascii="Times New Roman" w:hAnsi="Times New Roman" w:cs="Times New Roman"/>
        </w:rPr>
        <w:t xml:space="preserve">SNP-based </w:t>
      </w:r>
      <w:r>
        <w:rPr>
          <w:rFonts w:ascii="Times New Roman" w:eastAsia="Times New Roman" w:hAnsi="Times New Roman" w:cs="Times New Roman"/>
        </w:rPr>
        <w:t xml:space="preserve">GWAS of T2DM identified enrichment of many T2DM risk variants, including rs231361 at the </w:t>
      </w:r>
      <w:r>
        <w:rPr>
          <w:rFonts w:ascii="Times New Roman" w:eastAsia="Times New Roman" w:hAnsi="Times New Roman" w:cs="Times New Roman"/>
          <w:i/>
        </w:rPr>
        <w:t>KCNQ1</w:t>
      </w:r>
      <w:r>
        <w:rPr>
          <w:rFonts w:ascii="Times New Roman" w:eastAsia="Times New Roman" w:hAnsi="Times New Roman" w:cs="Times New Roman"/>
        </w:rPr>
        <w:t xml:space="preserve"> locus (Fig. 1). Data analysis predicted state-specific effects of rs231361 on </w:t>
      </w:r>
      <w:r>
        <w:rPr>
          <w:rFonts w:ascii="Times New Roman" w:eastAsia="Times New Roman" w:hAnsi="Times New Roman" w:cs="Times New Roman"/>
          <w:color w:val="222222"/>
        </w:rPr>
        <w:t>β-</w:t>
      </w:r>
      <w:r>
        <w:rPr>
          <w:rFonts w:ascii="Times New Roman" w:eastAsia="Times New Roman" w:hAnsi="Times New Roman" w:cs="Times New Roman"/>
        </w:rPr>
        <w:t xml:space="preserve">cell chromatin accessibility. Gene-edited </w:t>
      </w:r>
      <w:proofErr w:type="spellStart"/>
      <w:r>
        <w:rPr>
          <w:rFonts w:ascii="Times New Roman" w:eastAsia="Times New Roman" w:hAnsi="Times New Roman" w:cs="Times New Roman"/>
        </w:rPr>
        <w:t>hESC</w:t>
      </w:r>
      <w:proofErr w:type="spellEnd"/>
      <w:r>
        <w:rPr>
          <w:rFonts w:ascii="Times New Roman" w:eastAsia="Times New Roman" w:hAnsi="Times New Roman" w:cs="Times New Roman"/>
        </w:rPr>
        <w:t xml:space="preserve">-derived </w:t>
      </w:r>
      <w:r>
        <w:rPr>
          <w:rFonts w:ascii="Times New Roman" w:eastAsia="Times New Roman" w:hAnsi="Times New Roman" w:cs="Times New Roman"/>
          <w:color w:val="222222"/>
        </w:rPr>
        <w:t xml:space="preserve">β-like </w:t>
      </w:r>
      <w:r>
        <w:rPr>
          <w:rFonts w:ascii="Times New Roman" w:eastAsia="Times New Roman" w:hAnsi="Times New Roman" w:cs="Times New Roman"/>
        </w:rPr>
        <w:t>cells revealed that rs231361 regulates insulin synthesis, further highlighting the functional impact of non-coding genetic risk variants in T2DM</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{"citationItems":[{"id":"ITEM-1","itemData":{"DOI":"10.1038/s41588-021-00823-0","ISSN":"15461718","PMID":"33795864","abstract":"Single-nucleus assay for transposase-accessible chromatin using sequencing (snATAC-seq) creates new opportunities to dissect cell type–specific mechanisms of complex diseases. Since pancreatic islets are central to type 2 diabetes (T2D), we profiled 15,298 islet cells by using combinatorial barcoding snATAC-seq and identified 12 clusters, including multiple alpha, beta and delta cell states. We cataloged 228,873 accessible chromatin sites and identified transcription factors underlying lineage- and state-specific regulation. We observed state-specific enrichment of fasting glucose and T2D genome-wide association studies for beta cells and enrichment for other endocrine cell types. At T2D signals localized to islet-accessible chromatin, we prioritized variants with predicted regulatory function and co-accessibility with target genes. A causal T2D variant rs231361 at the KCNQ1 locus had predicted effects on a beta cell enhancer co-accessible with INS and genome editing in embryonic stem cell–derived beta cells affected INS levels. Together our findings demonstrate the power of single-cell epigenomics for interpreting complex disease genetics.","author":[{"dropping-particle":"","family":"Chiou","given":"Joshua","non-dropping-particle":"","parse-names":false,"suffix":""},{"dropping-particle":"","family":"Zeng","given":"Chun","non-dropping-particle":"","parse-names":false,"suffix":""},{"dropping-particle":"","family":"Cheng","given":"Zhang","non-dropping-particle":"","parse-names":false,"suffix":""},{"dropping-particle":"","family":"Han","given":"Jee Yun","non-dropping-particle":"","parse-names":false,"suffix":""},{"dropping-particle":"","family":"Schlichting","given":"Michael","non-dropping-particle":"","parse-names":false,"suffix":""},{"dropping-particle":"","family":"Miller","given":"Michael","non-dropping-particle":"","parse-names":false,"suffix":""},{"dropping-particle":"","family":"Mendez","given":"Robert","non-dropping-particle":"","parse-names":false,"suffix":""},{"dropping-particle":"","family":"Huang","given":"Serina","non-dropping-particle":"","parse-names":false,"suffix":""},{"dropping-particle":"","family":"Wang","given":"Jinzhao","non-dropping-particle":"","parse-names":false,"suffix":""},{"dropping-particle":"","family":"Sui","given":"Yinghui","non-dropping-particle":"","parse-names":false,"suffix":""},{"dropping-particle":"","family":"Deogaygay","given":"Allison","non-dropping-particle":"","parse-names":false,"suffix":""},{"dropping-particle":"","family":"Okino","given":"Mei Lin","non-dropping-particle":"","parse-names":false,"suffix":""},{"dropping-particle":"","family":"Qiu","given":"Yunjiang","non-dropping-particle":"","parse-names":false,"suffix":""},{"dropping-particle":"","family":"Sun","given":"Ying","non-dropping-particle":"","parse-names":false,"suffix":""},{"dropping-particle":"","family":"Kudtarkar","given":"Parul","non-dropping-particle":"","parse-names":false,"suffix":""},{"dropping-particle":"","family":"Fang","given":"Rongxin","non-dropping-particle":"","parse-names":false,"suffix":""},{"dropping-particle":"","family":"Preissl","given":"Sebastian","non-dropping-particle":"","parse-names":false,"suffix":""},{"dropping-particle":"","family":"Sander","given":"Maike","non-dropping-particle":"","parse-names":false,"suffix":""},{"dropping-particle":"","family":"Gorkin","given":"David U.","non-dropping-particle":"","parse-names":false,"suffix":""},{"dropping-particle":"","family":"Gaulton","given":"Kyle J.","non-dropping-particle":"","parse-names":false,"suffix":""}],"container-title":"Nature Genetics","id":"ITEM-1","issue":"4","issued":{"date-parts":[["2021"]]},"page":"455-466","publisher":"Springer US","title":"Single-cell chromatin accessibility identifies pancreatic islet cell type– and state-specific regulatory programs of diabetes risk","type":"article-journal","volume":"53"},"uris":["http://www.mendeley.com/documents/?uuid=aa7c3104-6ab9-48f6-a0f2-194297b180c7"]}],"mendeley":{"formattedCitation":"&lt;sup&gt;3&lt;/sup&gt;","plainTextFormattedCitation":"3","previouslyFormattedCitation":"&lt;sup&gt;3&lt;/sup&gt;"},"properties":{"noteIndex":0},"schema":"https://github.com/citation-style-language/schema/raw/master/csl-citation.json"}</w:instrText>
      </w:r>
      <w:r>
        <w:rPr>
          <w:rFonts w:ascii="Times New Roman" w:eastAsia="Times New Roman" w:hAnsi="Times New Roman" w:cs="Times New Roman"/>
        </w:rPr>
        <w:fldChar w:fldCharType="separate"/>
      </w:r>
      <w:r>
        <w:rPr>
          <w:rFonts w:ascii="Times New Roman" w:eastAsia="Times New Roman" w:hAnsi="Times New Roman" w:cs="Times New Roman"/>
          <w:noProof/>
          <w:vertAlign w:val="superscript"/>
        </w:rPr>
        <w:t>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color w:val="000000" w:themeColor="text1"/>
        </w:rPr>
        <w:t xml:space="preserve">For further human translation, it would be interesting to stratify a cohort of rs231361 homozygous carriers for the minor and major alleles to confirm the phenotype in glucose metabolism and identify disease gene candidates for personalized medicine. </w:t>
      </w:r>
      <w:r>
        <w:rPr>
          <w:rFonts w:ascii="Times New Roman" w:eastAsia="Times New Roman" w:hAnsi="Times New Roman" w:cs="Times New Roman"/>
        </w:rPr>
        <w:t xml:space="preserve">Future studies should functionally validate more of the identified risk variants to detect more T1DM and T2DM-associated disease genes and potential therapeutic targets. </w:t>
      </w:r>
    </w:p>
    <w:p>
      <w:pPr>
        <w:shd w:val="clear" w:color="auto" w:fill="FFFFFF"/>
        <w:spacing w:line="360" w:lineRule="auto"/>
        <w:jc w:val="both"/>
        <w:rPr>
          <w:rFonts w:ascii="Times New Roman" w:hAnsi="Times New Roman" w:cs="Times New Roman"/>
          <w:color w:val="000000"/>
          <w:shd w:val="clear" w:color="auto" w:fill="FFFFFF"/>
        </w:rPr>
      </w:pPr>
      <w:r>
        <w:rPr>
          <w:rFonts w:ascii="Times New Roman" w:eastAsia="Times New Roman" w:hAnsi="Times New Roman" w:cs="Times New Roman"/>
        </w:rPr>
        <w:t xml:space="preserve">Profiling of islets from people with diabetes </w:t>
      </w:r>
      <w:proofErr w:type="gramStart"/>
      <w:r>
        <w:rPr>
          <w:rFonts w:ascii="Times New Roman" w:eastAsia="Times New Roman" w:hAnsi="Times New Roman" w:cs="Times New Roman"/>
        </w:rPr>
        <w:t>mellitus  is</w:t>
      </w:r>
      <w:proofErr w:type="gramEnd"/>
      <w:r>
        <w:rPr>
          <w:rFonts w:ascii="Times New Roman" w:eastAsia="Times New Roman" w:hAnsi="Times New Roman" w:cs="Times New Roman"/>
        </w:rPr>
        <w:t xml:space="preserve"> hampered by possible molecular changes during isolation of the samples from deceased donors  and lack of natural history of the disease development. To overcome this hurdle, </w:t>
      </w:r>
      <w:proofErr w:type="spellStart"/>
      <w:r>
        <w:rPr>
          <w:rFonts w:ascii="Times New Roman" w:eastAsia="Times New Roman" w:hAnsi="Times New Roman" w:cs="Times New Roman"/>
        </w:rPr>
        <w:t>Wigger</w:t>
      </w:r>
      <w:proofErr w:type="spellEnd"/>
      <w:r>
        <w:rPr>
          <w:rFonts w:ascii="Times New Roman" w:eastAsia="Times New Roman" w:hAnsi="Times New Roman" w:cs="Times New Roman"/>
        </w:rPr>
        <w:t xml:space="preserve"> et al. snap-froze pancreatic tissue from metabolically profiled living individuals undergoing </w:t>
      </w:r>
      <w:proofErr w:type="spellStart"/>
      <w:r>
        <w:rPr>
          <w:rFonts w:ascii="Times New Roman" w:eastAsia="Times New Roman" w:hAnsi="Times New Roman" w:cs="Times New Roman"/>
        </w:rPr>
        <w:t>pancreatectomies</w:t>
      </w:r>
      <w:proofErr w:type="spellEnd"/>
      <w:r>
        <w:rPr>
          <w:rFonts w:ascii="Times New Roman" w:eastAsia="Times New Roman" w:hAnsi="Times New Roman" w:cs="Times New Roman"/>
        </w:rPr>
        <w:t xml:space="preserve"> and isolated islets using </w:t>
      </w:r>
      <w:r>
        <w:rPr>
          <w:rFonts w:ascii="Times New Roman" w:eastAsia="Times New Roman" w:hAnsi="Times New Roman" w:cs="Times New Roman"/>
          <w:color w:val="222222"/>
        </w:rPr>
        <w:t xml:space="preserve">laser-capture microdissection. These individuals represented a wide range of glycaemia conditions, including </w:t>
      </w:r>
      <w:proofErr w:type="spellStart"/>
      <w:r>
        <w:rPr>
          <w:rFonts w:ascii="Times New Roman" w:eastAsia="Times New Roman" w:hAnsi="Times New Roman" w:cs="Times New Roman"/>
          <w:color w:val="222222"/>
        </w:rPr>
        <w:t>normoglycaemia</w:t>
      </w:r>
      <w:proofErr w:type="spellEnd"/>
      <w:r>
        <w:rPr>
          <w:rFonts w:ascii="Times New Roman" w:eastAsia="Times New Roman" w:hAnsi="Times New Roman" w:cs="Times New Roman"/>
          <w:color w:val="222222"/>
        </w:rPr>
        <w:t xml:space="preserve">, impaired glucose tolerance and </w:t>
      </w:r>
      <w:r>
        <w:rPr>
          <w:rFonts w:ascii="Times New Roman" w:eastAsia="Times New Roman" w:hAnsi="Times New Roman" w:cs="Times New Roman"/>
        </w:rPr>
        <w:t>overt T2DM</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{"citationItems":[{"id":"ITEM-1","itemData":{"DOI":"10.1038/s42255-021-00420-9","ISSN":"25225812","PMID":"34183850","abstract":"Most research on human pancreatic islets is conducted on samples obtained from normoglycaemic or diseased brain-dead donors and thus cannot accurately describe the molecular changes of pancreatic islet beta cells as they progress towards a state of deficient insulin secretion in type 2 diabetes (T2D). Here, we conduct a comprehensive multi-omics analysis of pancreatic islets obtained from metabolically profiled pancreatectomized living human donors stratified along the glycemic continuum, from normoglycemia to T2D. We find that islet pools isolated from surgical samples by laser-capture microdissection display remarkably more heterogeneous transcriptomic and proteomic profiles in patients with diabetes than in non-diabetic controls. The differential regulation of islet gene expression is already observed in prediabetic individuals with impaired glucose tolerance. Our findings demonstrate a progressive, but disharmonic, remodelling of mature beta cells, challenging current hypotheses of linear trajectories toward precursor or transdifferentiation stages in T2D. Furthermore, through integration of islet transcriptomics with preoperative blood plasma lipidomics, we define the relative importance of gene coexpression modules and lipids that are positively or negatively associated with HbA1c levels, pointing to potential prognostic markers.","author":[{"dropping-particle":"","family":"Wigger","given":"Leonore","non-dropping-particle":"","parse-names":false,"suffix":""},{"dropping-particle":"","family":"Barovic","given":"Marko","non-dropping-particle":"","parse-names":false,"suffix":""},{"dropping-particle":"","family":"Brunner","given":"Andreas David","non-dropping-particle":"","parse-names":false,"suffix":""},{"dropping-particle":"","family":"Marzetta","given":"Flavia","non-dropping-particle":"","parse-names":false,"suffix":""},{"dropping-particle":"","family":"Schöniger","given":"Eyke","non-dropping-particle":"","parse-names":false,"suffix":""},{"dropping-particle":"","family":"Mehl","given":"Florence","non-dropping-particle":"","parse-names":false,"suffix":""},{"dropping-particle":"","family":"Kipke","given":"Nicole","non-dropping-particle":"","parse-names":false,"suffix":""},{"dropping-particle":"","family":"Friedland","given":"Daniela","non-dropping-particle":"","parse-names":false,"suffix":""},{"dropping-particle":"","family":"Burdet","given":"Frederic","non-dropping-particle":"","parse-names":false,"suffix":""},{"dropping-particle":"","family":"Kessler","given":"Camille","non-dropping-particle":"","parse-names":false,"suffix":""},{"dropping-particle":"","family":"Lesche","given":"Mathias","non-dropping-particle":"","parse-names":false,"suffix":""},{"dropping-particle":"","family":"Thorens","given":"Bernard","non-dropping-particle":"","parse-names":false,"suffix":""},{"dropping-particle":"","family":"Bonifacio","given":"Ezio","non-dropping-particle":"","parse-names":false,"suffix":""},{"dropping-particle":"","family":"Legido-Quigley","given":"Cristina","non-dropping-particle":"","parse-names":false,"suffix":""},{"dropping-particle":"","family":"Barbier Saint Hilaire","given":"Pierre","non-dropping-particle":"","parse-names":false,"suffix":""},{"dropping-particle":"","family":"Delerive","given":"Philippe","non-dropping-particle":"","parse-names":false,"suffix":""},{"dropping-particle":"","family":"Dahl","given":"Andreas","non-dropping-particle":"","parse-names":false,"suffix":""},{"dropping-particle":"","family":"Klose","given":"Christian","non-dropping-particle":"","parse-names":false,"suffix":""},{"dropping-particle":"","family":"Gerl","given":"Mathias J.","non-dropping-particle":"","parse-names":false,"suffix":""},{"dropping-particle":"","family":"Simons","given":"Kai","non-dropping-particle":"","parse-names":false,"suffix":""},{"dropping-particle":"","family":"Aust","given":"Daniela","non-dropping-particle":"","parse-names":false,"suffix":""},{"dropping-particle":"","family":"Weitz","given":"Jürgen","non-dropping-particle":"","parse-names":false,"suffix":""},{"dropping-particle":"","family":"Distler","given":"Marius","non-dropping-particle":"","parse-names":false,"suffix":""},{"dropping-particle":"","family":"Schulte","given":"Anke M.","non-dropping-particle":"","parse-names":false,"suffix":""},{"dropping-particle":"","family":"Mann","given":"Matthias","non-dropping-particle":"","parse-names":false,"suffix":""},{"dropping-particle":"","family":"Ibberson","given":"Mark","non-dropping-particle":"","parse-names":false,"suffix":""},{"dropping-particle":"","family":"Solimena","given":"Michele","non-dropping-particle":"","parse-names":false,"suffix":""}],"container-title":"Nature Metabolism","id":"ITEM-1","issue":"7","issued":{"date-parts":[["2021"]]},"page":"1017-1031","publisher":"Springer US","title":"Multi-omics profiling of living human pancreatic islet donors reveals heterogeneous beta cell trajectories towards type 2 diabetes","type":"article-journal","volume":"3"},"uris":["http://www.mendeley.com/documents/?uuid=f4aff757-c507-44cb-ae21-a02c860396a0"]}],"mendeley":{"formattedCitation":"&lt;sup&gt;4&lt;/sup&gt;","plainTextFormattedCitation":"4","previouslyFormattedCitation":"&lt;sup&gt;4&lt;/sup&gt;"},"properties":{"noteIndex":0},"schema":"https://github.com/citation-style-language/schema/raw/master/csl-citation.json"}</w:instrText>
      </w:r>
      <w:r>
        <w:rPr>
          <w:rFonts w:ascii="Times New Roman" w:eastAsia="Times New Roman" w:hAnsi="Times New Roman" w:cs="Times New Roman"/>
        </w:rPr>
        <w:fldChar w:fldCharType="separate"/>
      </w:r>
      <w:r>
        <w:rPr>
          <w:rFonts w:ascii="Times New Roman" w:eastAsia="Times New Roman" w:hAnsi="Times New Roman" w:cs="Times New Roman"/>
          <w:noProof/>
          <w:vertAlign w:val="superscript"/>
        </w:rPr>
        <w:t>4</w:t>
      </w:r>
      <w:r>
        <w:rPr>
          <w:rFonts w:ascii="Times New Roman" w:eastAsia="Times New Roman" w:hAnsi="Times New Roman" w:cs="Times New Roman"/>
        </w:rPr>
        <w:fldChar w:fldCharType="end"/>
      </w:r>
      <w:r>
        <w:rPr>
          <w:rFonts w:ascii="Times New Roman" w:eastAsia="Times New Roman" w:hAnsi="Times New Roman" w:cs="Times New Roman"/>
          <w:color w:val="222222"/>
        </w:rPr>
        <w:t xml:space="preserve">. </w:t>
      </w:r>
      <w:r>
        <w:rPr>
          <w:rFonts w:ascii="Times New Roman" w:eastAsia="Times New Roman" w:hAnsi="Times New Roman" w:cs="Times New Roman"/>
          <w:color w:val="222222"/>
          <w:highlight w:val="white"/>
        </w:rPr>
        <w:t xml:space="preserve">The researchers performed bulk mRNA </w:t>
      </w:r>
      <w:proofErr w:type="gramStart"/>
      <w:r>
        <w:rPr>
          <w:rFonts w:ascii="Times New Roman" w:eastAsia="Times New Roman" w:hAnsi="Times New Roman" w:cs="Times New Roman"/>
          <w:color w:val="222222"/>
          <w:highlight w:val="white"/>
        </w:rPr>
        <w:t>sequencing  and</w:t>
      </w:r>
      <w:proofErr w:type="gramEnd"/>
      <w:r>
        <w:rPr>
          <w:rFonts w:ascii="Times New Roman" w:eastAsia="Times New Roman" w:hAnsi="Times New Roman" w:cs="Times New Roman"/>
          <w:color w:val="222222"/>
          <w:highlight w:val="white"/>
        </w:rPr>
        <w:t xml:space="preserve"> proteomics of isolated islets along with plasma </w:t>
      </w:r>
      <w:proofErr w:type="spellStart"/>
      <w:r>
        <w:rPr>
          <w:rFonts w:ascii="Times New Roman" w:eastAsia="Times New Roman" w:hAnsi="Times New Roman" w:cs="Times New Roman"/>
          <w:color w:val="222222"/>
          <w:highlight w:val="white"/>
        </w:rPr>
        <w:t>lipidomics</w:t>
      </w:r>
      <w:proofErr w:type="spellEnd"/>
      <w:r>
        <w:rPr>
          <w:rFonts w:ascii="Times New Roman" w:eastAsia="Times New Roman" w:hAnsi="Times New Roman" w:cs="Times New Roman"/>
          <w:color w:val="222222"/>
          <w:highlight w:val="white"/>
        </w:rPr>
        <w:t xml:space="preserve"> from similar patients </w:t>
      </w:r>
      <w:r>
        <w:rPr>
          <w:rFonts w:ascii="Times New Roman" w:eastAsia="Times New Roman" w:hAnsi="Times New Roman" w:cs="Times New Roman"/>
        </w:rPr>
        <w:t>(Fig. 1)</w:t>
      </w:r>
      <w:r>
        <w:rPr>
          <w:rFonts w:ascii="Times New Roman" w:eastAsia="Times New Roman" w:hAnsi="Times New Roman" w:cs="Times New Roman"/>
          <w:color w:val="222222"/>
          <w:highlight w:val="white"/>
        </w:rPr>
        <w:t xml:space="preserve">. The transcriptomic analysis revealed </w:t>
      </w:r>
      <w:r>
        <w:rPr>
          <w:rFonts w:ascii="Times New Roman" w:eastAsia="Times New Roman" w:hAnsi="Times New Roman" w:cs="Times New Roman"/>
          <w:highlight w:val="white"/>
        </w:rPr>
        <w:lastRenderedPageBreak/>
        <w:t xml:space="preserve">progressive alterations </w:t>
      </w:r>
      <w:r>
        <w:rPr>
          <w:rFonts w:ascii="Times New Roman" w:eastAsia="Times New Roman" w:hAnsi="Times New Roman" w:cs="Times New Roman"/>
          <w:color w:val="222222"/>
          <w:highlight w:val="white"/>
        </w:rPr>
        <w:t xml:space="preserve">in gene expression patterns in </w:t>
      </w:r>
      <w:r>
        <w:rPr>
          <w:rFonts w:ascii="Times New Roman" w:eastAsia="Times New Roman" w:hAnsi="Times New Roman" w:cs="Times New Roman"/>
          <w:color w:val="222222"/>
        </w:rPr>
        <w:t xml:space="preserve">impaired glucose tolerance and </w:t>
      </w:r>
      <w:r>
        <w:rPr>
          <w:rFonts w:ascii="Times New Roman" w:eastAsia="Times New Roman" w:hAnsi="Times New Roman" w:cs="Times New Roman"/>
          <w:color w:val="222222"/>
          <w:highlight w:val="white"/>
        </w:rPr>
        <w:t>islets from people with T2DM, including in genes associated with insulin secretion and oxidative phosphorylation</w:t>
      </w:r>
      <w:r>
        <w:rPr>
          <w:rFonts w:ascii="Times New Roman" w:eastAsia="Times New Roman" w:hAnsi="Times New Roman" w:cs="Times New Roman"/>
          <w:color w:val="222222"/>
        </w:rPr>
        <w:t xml:space="preserve">. </w:t>
      </w:r>
      <w:r>
        <w:rPr>
          <w:rFonts w:ascii="Times New Roman" w:hAnsi="Times New Roman" w:cs="Times New Roman"/>
          <w:color w:val="222222"/>
          <w:shd w:val="clear" w:color="auto" w:fill="FFFFFF"/>
        </w:rPr>
        <w:t>Furthermore, based on the disharmonic changes in β-cell mRNA expression profiles and lack of alterations of maturation and identity genes, the authors suggested that β-cells were not transdifferentiating or de-differentiating in T2DM.</w:t>
      </w:r>
      <w:r>
        <w:rPr>
          <w:rFonts w:ascii="Times New Roman" w:eastAsia="Times New Roman" w:hAnsi="Times New Roman" w:cs="Times New Roman"/>
          <w:color w:val="222222"/>
        </w:rPr>
        <w:t xml:space="preserve"> P</w:t>
      </w:r>
      <w:r>
        <w:rPr>
          <w:rFonts w:ascii="Times New Roman" w:hAnsi="Times New Roman" w:cs="Times New Roman"/>
        </w:rPr>
        <w:t xml:space="preserve">revious studies of pancreatic </w:t>
      </w:r>
      <w:r>
        <w:rPr>
          <w:rFonts w:ascii="Times New Roman" w:eastAsia="Times New Roman" w:hAnsi="Times New Roman" w:cs="Times New Roman"/>
          <w:color w:val="222222"/>
        </w:rPr>
        <w:t>β-</w:t>
      </w:r>
      <w:r>
        <w:rPr>
          <w:rFonts w:ascii="Times New Roman" w:hAnsi="Times New Roman" w:cs="Times New Roman"/>
        </w:rPr>
        <w:t>cell dedifferentiation in patients with T2DM have revealed contradictory results</w:t>
      </w:r>
      <w:r>
        <w:rPr>
          <w:rFonts w:ascii="Times New Roman" w:hAnsi="Times New Roman" w:cs="Times New Roman"/>
        </w:rPr>
        <w:fldChar w:fldCharType="begin" w:fldLock="1"/>
      </w:r>
      <w:r>
        <w:rPr>
          <w:rFonts w:ascii="Times New Roman" w:hAnsi="Times New Roman" w:cs="Times New Roman"/>
        </w:rPr>
        <w:instrText>ADDIN CSL_CITATION {"citationItems":[{"id":"ITEM-1","itemData":{"DOI":"10.1210/jc.2015-3566","ISSN":"19457197","abstract":"Context: Type 2 diabetes is characterized by a α-Cell deficit and a progressive defect in α-Cell function. It has been proposed that the deficit in α-Cells may be due to α-Cell degranulation and transdifferentiation to other endocrine cell types. Objective: The objective of the study was to establish the potential impact of α-Cell dedifferentiation and transdifferentiation on α-Cell deficit in type 2 diabetes and to consider the alternative that cells with an incomplete identity may be newly forming rather than dedifferentiated. Design, Setting, and Participants: Pancreata obtained at autopsy were evaluated from 14 nondiabetic and 13 type 2 diabetic individuals, from four fetal cases, and from 10 neonatal cases. Results: Whereas there was a slight increase in islet endocrine cells expressing no hormone in type 2 diabetes (0.11 0.03 cells/islet vs 0.03 0.01 cells/islet, P &lt; .01), the impact on the α-Cell deficit would be minimal. Furthermore, we established that the deficit in α-Cells per islet cannot be accounted for by an increase in other endocrine cell types. The distribution of hormone negative endocrine cells in type 2 diabetes (most abundant in cells scattered in the exocrine pancreas) mirrors that in developing (embryo and neonatal) pancreas, implying that these may represent newly forming cells. Conclusions: Therefore, although we concur that in type 2 diabetes there are endocrine cells with altered cell identity, this process does not account for the deficit in α-Cells in type 2 diabetes but may reflect, in part, attempted α-Cell regeneration.","author":[{"dropping-particle":"","family":"Butler","given":"Alexandra E.","non-dropping-particle":"","parse-names":false,"suffix":""},{"dropping-particle":"","family":"Dhawan","given":"Sangeeta","non-dropping-particle":"","parse-names":false,"suffix":""},{"dropping-particle":"","family":"Hoang","given":"Jonathan","non-dropping-particle":"","parse-names":false,"suffix":""},{"dropping-particle":"","family":"Cory","given":"Megan","non-dropping-particle":"","parse-names":false,"suffix":""},{"dropping-particle":"","family":"Zeng","given":"Kylie","non-dropping-particle":"","parse-names":false,"suffix":""},{"dropping-particle":"","family":"Fritsch","given":"Helga","non-dropping-particle":"","parse-names":false,"suffix":""},{"dropping-particle":"","family":"Meier","given":"Juris J.","non-dropping-particle":"","parse-names":false,"suffix":""},{"dropping-particle":"","family":"Rizza","given":"Robert A.","non-dropping-particle":"","parse-names":false,"suffix":""},{"dropping-particle":"","family":"Butler","given":"Peter C.","non-dropping-particle":"","parse-names":false,"suffix":""}],"container-title":"Journal of Clinical Endocrinology and Metabolism","id":"ITEM-1","issue":"2","issued":{"date-parts":[["2016"]]},"page":"523-32","title":"β-Cell Deficit in Obese Type 2 Diabetes, a Minor Role of β-Cell Dedifferentiation and Degranulation","type":"article-journal","volume":"101"},"uris":["http://www.mendeley.com/documents/?uuid=c9f61566-4e9e-38a0-9434-e69511e5a49e"]},{"id":"ITEM-2","itemData":{"DOI":"10.1210/jc.2015-2860","ISBN":"0021-972X","ISSN":"19457197","PMID":"26713822","abstract":"CONTEXT: Diabetes is associated with a deficit of insulin-producing β-cells. Animal studies show that β-cells become dedifferentiated in diabetes, reverting to a progenitor-like stage, and partly converting to other endocrine cell types. OBJECTIVE: To determine whether similar processes occur in human type 2 diabetes, we surveyed pancreatic islets from 15 diabetic and 15 nondiabetic organ donors. DESIGN: We scored dedifferentiation using markers of endocrine lineage, β-cell-specific transcription factors, and a newly identified endocrine progenitor cell marker, aldehyde dehydrogenase 1A3. RESULTS: By these criteria, dedifferentiated cells accounted for 31.9% of β-cells in type 2 diabetics vs 8.7% in controls, and for 16.8% vs 6.5% of all endocrine cells (P &lt; .001). The number of aldehyde dehydrogenase 1A3-positive/hormone-negative cells was 3-fold higher in diabetics compared with controls. Moreover, β-cell-specific transcription factors were ectopically found in glucagon- and somatostatin-producing cells of diabetic subjects. CONCLUSIONS: The data support the view that pancreatic β-cells become dedifferentiated and convert to α- and δ-\"like\" cells in human type 2 diabetes. The findings should prompt a reassessment of goals in the prevention and treatment of β-cell dysfunction.","author":[{"dropping-particle":"","family":"Cinti","given":"Francesca","non-dropping-particle":"","parse-names":false,"suffix":""},{"dropping-particle":"","family":"Bouchi","given":"Ryotaro","non-dropping-particle":"","parse-names":false,"suffix":""},{"dropping-particle":"","family":"Kim-Muller","given":"Ja Young","non-dropping-particle":"","parse-names":false,"suffix":""},{"dropping-particle":"","family":"Ohmura","given":"Yoshiaki","non-dropping-particle":"","parse-names":false,"suffix":""},{"dropping-particle":"","family":"Sandoval","given":"P. R.","non-dropping-particle":"","parse-names":false,"suffix":""},{"dropping-particle":"","family":"Masini","given":"Matilde","non-dropping-particle":"","parse-names":false,"suffix":""},{"dropping-particle":"","family":"Marselli","given":"Lorella","non-dropping-particle":"","parse-names":false,"suffix":""},{"dropping-particle":"","family":"Suleiman","given":"Mara","non-dropping-particle":"","parse-names":false,"suffix":""},{"dropping-particle":"","family":"Ratner","given":"Lloyd E.","non-dropping-particle":"","parse-names":false,"suffix":""},{"dropping-particle":"","family":"Marchetti","given":"Piero","non-dropping-particle":"","parse-names":false,"suffix":""},{"dropping-particle":"","family":"Accili","given":"Domenico","non-dropping-particle":"","parse-names":false,"suffix":""}],"container-title":"Journal of Clinical Endocrinology and Metabolism","id":"ITEM-2","issue":"3","issued":{"date-parts":[["2016"]]},"page":"1044-54","title":"Evidence of β-cell dedifferentiation in human type 2 diabetes","type":"article-journal","volume":"101"},"uris":["http://www.mendeley.com/documents/?uuid=1cbacf43-dd39-302d-a43b-7d617de17aa1"]}],"mendeley":{"formattedCitation":"&lt;sup&gt;5,6&lt;/sup&gt;","plainTextFormattedCitation":"5,6","previouslyFormattedCitation":"&lt;sup&gt;5,6&lt;/sup&gt;"},"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vertAlign w:val="superscript"/>
        </w:rPr>
        <w:t>5,6</w:t>
      </w:r>
      <w:r>
        <w:rPr>
          <w:rFonts w:ascii="Times New Roman" w:hAnsi="Times New Roman" w:cs="Times New Roman"/>
        </w:rPr>
        <w:fldChar w:fldCharType="end"/>
      </w:r>
      <w:r>
        <w:rPr>
          <w:rFonts w:ascii="Times New Roman" w:hAnsi="Times New Roman" w:cs="Times New Roman"/>
        </w:rPr>
        <w:t xml:space="preserve">, possibly due to different patient characteristics, medication or clinically-determined T2DM </w:t>
      </w:r>
      <w:proofErr w:type="spellStart"/>
      <w:r>
        <w:rPr>
          <w:rFonts w:ascii="Times New Roman" w:hAnsi="Times New Roman" w:cs="Times New Roman"/>
        </w:rPr>
        <w:t>subtypes</w:t>
      </w:r>
      <w:r>
        <w:rPr>
          <w:rFonts w:ascii="Times New Roman" w:eastAsia="Times New Roman" w:hAnsi="Times New Roman" w:cs="Times New Roman"/>
        </w:rPr>
        <w:t>The</w:t>
      </w:r>
      <w:proofErr w:type="spellEnd"/>
      <w:r>
        <w:rPr>
          <w:rFonts w:ascii="Times New Roman" w:eastAsia="Times New Roman" w:hAnsi="Times New Roman" w:cs="Times New Roman"/>
        </w:rPr>
        <w:t xml:space="preserve"> integration of transcriptomic and </w:t>
      </w:r>
      <w:proofErr w:type="spellStart"/>
      <w:r>
        <w:rPr>
          <w:rFonts w:ascii="Times New Roman" w:eastAsia="Times New Roman" w:hAnsi="Times New Roman" w:cs="Times New Roman"/>
        </w:rPr>
        <w:t>lipidomic</w:t>
      </w:r>
      <w:proofErr w:type="spellEnd"/>
      <w:r>
        <w:rPr>
          <w:rFonts w:ascii="Times New Roman" w:eastAsia="Times New Roman" w:hAnsi="Times New Roman" w:cs="Times New Roman"/>
        </w:rPr>
        <w:t xml:space="preserve"> data uncovered associations between plasma levels of ceramide, </w:t>
      </w:r>
      <w:proofErr w:type="spellStart"/>
      <w:r>
        <w:rPr>
          <w:rFonts w:ascii="Times New Roman" w:eastAsia="Times New Roman" w:hAnsi="Times New Roman" w:cs="Times New Roman"/>
        </w:rPr>
        <w:t>dihydroceramides</w:t>
      </w:r>
      <w:proofErr w:type="spellEnd"/>
      <w:r>
        <w:rPr>
          <w:rFonts w:ascii="Times New Roman" w:eastAsia="Times New Roman" w:hAnsi="Times New Roman" w:cs="Times New Roman"/>
        </w:rPr>
        <w:t xml:space="preserve"> and ether-linked phosphatidylcholines with HbA</w:t>
      </w:r>
      <w:r>
        <w:rPr>
          <w:rFonts w:ascii="Times New Roman" w:eastAsia="Times New Roman" w:hAnsi="Times New Roman" w:cs="Times New Roman"/>
          <w:vertAlign w:val="subscript"/>
        </w:rPr>
        <w:t>1c</w:t>
      </w:r>
      <w:r>
        <w:rPr>
          <w:rFonts w:ascii="Times New Roman" w:eastAsia="Times New Roman" w:hAnsi="Times New Roman" w:cs="Times New Roman"/>
        </w:rPr>
        <w:t xml:space="preserve"> levels, suggesting their potential use as biomarkers</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{"citationItems":[{"id":"ITEM-1","itemData":{"DOI":"10.1038/s42255-021-00420-9","ISSN":"25225812","PMID":"34183850","abstract":"Most research on human pancreatic islets is conducted on samples obtained from normoglycaemic or diseased brain-dead donors and thus cannot accurately describe the molecular changes of pancreatic islet beta cells as they progress towards a state of deficient insulin secretion in type 2 diabetes (T2D). Here, we conduct a comprehensive multi-omics analysis of pancreatic islets obtained from metabolically profiled pancreatectomized living human donors stratified along the glycemic continuum, from normoglycemia to T2D. We find that islet pools isolated from surgical samples by laser-capture microdissection display remarkably more heterogeneous transcriptomic and proteomic profiles in patients with diabetes than in non-diabetic controls. The differential regulation of islet gene expression is already observed in prediabetic individuals with impaired glucose tolerance. Our findings demonstrate a progressive, but disharmonic, remodelling of mature beta cells, challenging current hypotheses of linear trajectories toward precursor or transdifferentiation stages in T2D. Furthermore, through integration of islet transcriptomics with preoperative blood plasma lipidomics, we define the relative importance of gene coexpression modules and lipids that are positively or negatively associated with HbA1c levels, pointing to potential prognostic markers.","author":[{"dropping-particle":"","family":"Wigger","given":"Leonore","non-dropping-particle":"","parse-names":false,"suffix":""},{"dropping-particle":"","family":"Barovic","given":"Marko","non-dropping-particle":"","parse-names":false,"suffix":""},{"dropping-particle":"","family":"Brunner","given":"Andreas David","non-dropping-particle":"","parse-names":false,"suffix":""},{"dropping-particle":"","family":"Marzetta","given":"Flavia","non-dropping-particle":"","parse-names":false,"suffix":""},{"dropping-particle":"","family":"Schöniger","given":"Eyke","non-dropping-particle":"","parse-names":false,"suffix":""},{"dropping-particle":"","family":"Mehl","given":"Florence","non-dropping-particle":"","parse-names":false,"suffix":""},{"dropping-particle":"","family":"Kipke","given":"Nicole","non-dropping-particle":"","parse-names":false,"suffix":""},{"dropping-particle":"","family":"Friedland","given":"Daniela","non-dropping-particle":"","parse-names":false,"suffix":""},{"dropping-particle":"","family":"Burdet","given":"Frederic","non-dropping-particle":"","parse-names":false,"suffix":""},{"dropping-particle":"","family":"Kessler","given":"Camille","non-dropping-particle":"","parse-names":false,"suffix":""},{"dropping-particle":"","family":"Lesche","given":"Mathias","non-dropping-particle":"","parse-names":false,"suffix":""},{"dropping-particle":"","family":"Thorens","given":"Bernard","non-dropping-particle":"","parse-names":false,"suffix":""},{"dropping-particle":"","family":"Bonifacio","given":"Ezio","non-dropping-particle":"","parse-names":false,"suffix":""},{"dropping-particle":"","family":"Legido-Quigley","given":"Cristina","non-dropping-particle":"","parse-names":false,"suffix":""},{"dropping-particle":"","family":"Barbier Saint Hilaire","given":"Pierre","non-dropping-particle":"","parse-names":false,"suffix":""},{"dropping-particle":"","family":"Delerive","given":"Philippe","non-dropping-particle":"","parse-names":false,"suffix":""},{"dropping-particle":"","family":"Dahl","given":"Andreas","non-dropping-particle":"","parse-names":false,"suffix":""},{"dropping-particle":"","family":"Klose","given":"Christian","non-dropping-particle":"","parse-names":false,"suffix":""},{"dropping-particle":"","family":"Gerl","given":"Mathias J.","non-dropping-particle":"","parse-names":false,"suffix":""},{"dropping-particle":"","family":"Simons","given":"Kai","non-dropping-particle":"","parse-names":false,"suffix":""},{"dropping-particle":"","family":"Aust","given":"Daniela","non-dropping-particle":"","parse-names":false,"suffix":""},{"dropping-particle":"","family":"Weitz","given":"Jürgen","non-dropping-particle":"","parse-names":false,"suffix":""},{"dropping-particle":"","family":"Distler","given":"Marius","non-dropping-particle":"","parse-names":false,"suffix":""},{"dropping-particle":"","family":"Schulte","given":"Anke M.","non-dropping-particle":"","parse-names":false,"suffix":""},{"dropping-particle":"","family":"Mann","given":"Matthias","non-dropping-particle":"","parse-names":false,"suffix":""},{"dropping-particle":"","family":"Ibberson","given":"Mark","non-dropping-particle":"","parse-names":false,"suffix":""},{"dropping-particle":"","family":"Solimena","given":"Michele","non-dropping-particle":"","parse-names":false,"suffix":""}],"container-title":"Nature Metabolism","id":"ITEM-1","issue":"7","issued":{"date-parts":[["2021"]]},"page":"1017-1031","publisher":"Springer US","title":"Multi-omics profiling of living human pancreatic islet donors reveals heterogeneous beta cell trajectories towards type 2 diabetes","type":"article-journal","volume":"3"},"uris":["http://www.mendeley.com/documents/?uuid=f4aff757-c507-44cb-ae21-a02c860396a0"]}],"mendeley":{"formattedCitation":"&lt;sup&gt;4&lt;/sup&gt;","plainTextFormattedCitation":"4","previouslyFormattedCitation":"&lt;sup&gt;4&lt;/sup&gt;"},"properties":{"noteIndex":0},"schema":"https://github.com/citation-style-language/schema/raw/master/csl-citation.json"}</w:instrText>
      </w:r>
      <w:r>
        <w:rPr>
          <w:rFonts w:ascii="Times New Roman" w:eastAsia="Times New Roman" w:hAnsi="Times New Roman" w:cs="Times New Roman"/>
        </w:rPr>
        <w:fldChar w:fldCharType="separate"/>
      </w:r>
      <w:r>
        <w:rPr>
          <w:rFonts w:ascii="Times New Roman" w:eastAsia="Times New Roman" w:hAnsi="Times New Roman" w:cs="Times New Roman"/>
          <w:noProof/>
          <w:vertAlign w:val="superscript"/>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hAnsi="Times New Roman" w:cs="Times New Roman"/>
          <w:color w:val="222222"/>
          <w:shd w:val="clear" w:color="auto" w:fill="FFFFFF"/>
        </w:rPr>
        <w:t>Further analysis should apply this multiple level data integration to different islet cell types and distinct β-cell sub-populations derived from different T2DM subtypes characterized by clinical parameters (i.e. insulin resistant versus insulin deficient) to identify the disease proteins and pathways.</w:t>
      </w:r>
    </w:p>
    <w:p>
      <w:pPr>
        <w:shd w:val="clear" w:color="auto" w:fill="FFFFFF"/>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Coming from a completely different angle as the </w:t>
      </w:r>
      <w:proofErr w:type="gramStart"/>
      <w:r>
        <w:rPr>
          <w:rFonts w:ascii="Times New Roman" w:eastAsia="Times New Roman" w:hAnsi="Times New Roman" w:cs="Times New Roman"/>
          <w:color w:val="222222"/>
        </w:rPr>
        <w:t>above introduced</w:t>
      </w:r>
      <w:proofErr w:type="gramEnd"/>
      <w:r>
        <w:rPr>
          <w:rFonts w:ascii="Times New Roman" w:eastAsia="Times New Roman" w:hAnsi="Times New Roman" w:cs="Times New Roman"/>
          <w:color w:val="222222"/>
        </w:rPr>
        <w:t xml:space="preserve"> studies, a screen for novel endocrine regulators during pancreas development identified a novel regulator of insulin/IGF signaling7Whether insulin-producing β-cells experience autocrine insulin </w:t>
      </w:r>
      <w:proofErr w:type="spellStart"/>
      <w:r>
        <w:rPr>
          <w:rFonts w:ascii="Times New Roman" w:eastAsia="Times New Roman" w:hAnsi="Times New Roman" w:cs="Times New Roman"/>
          <w:color w:val="222222"/>
        </w:rPr>
        <w:t>signalling</w:t>
      </w:r>
      <w:proofErr w:type="spellEnd"/>
      <w:r>
        <w:rPr>
          <w:rFonts w:ascii="Times New Roman" w:eastAsia="Times New Roman" w:hAnsi="Times New Roman" w:cs="Times New Roman"/>
          <w:color w:val="222222"/>
        </w:rPr>
        <w:t xml:space="preserve"> at the source of the ligand, and how they are shielded from constitutive pathway activation is a point of controversy in the field of β-cell biology. The identification and characterization of a novel regulator of insulin and insulin-like growth factor (IGF) </w:t>
      </w:r>
      <w:proofErr w:type="spellStart"/>
      <w:r>
        <w:rPr>
          <w:rFonts w:ascii="Times New Roman" w:eastAsia="Times New Roman" w:hAnsi="Times New Roman" w:cs="Times New Roman"/>
          <w:color w:val="222222"/>
        </w:rPr>
        <w:t>signalling</w:t>
      </w:r>
      <w:proofErr w:type="spellEnd"/>
      <w:r>
        <w:rPr>
          <w:rFonts w:ascii="Times New Roman" w:eastAsia="Times New Roman" w:hAnsi="Times New Roman" w:cs="Times New Roman"/>
          <w:color w:val="222222"/>
        </w:rPr>
        <w:t xml:space="preserve">, called the insulin inhibitory receptor (inceptor) </w:t>
      </w:r>
      <w:r>
        <w:rPr>
          <w:rFonts w:ascii="Times New Roman" w:eastAsia="Times New Roman" w:hAnsi="Times New Roman" w:cs="Times New Roman"/>
        </w:rPr>
        <w:t>(Fig. 1)</w:t>
      </w:r>
      <w:r>
        <w:rPr>
          <w:rFonts w:ascii="Times New Roman" w:eastAsia="Times New Roman" w:hAnsi="Times New Roman" w:cs="Times New Roman"/>
          <w:color w:val="222222"/>
        </w:rPr>
        <w:t>, shed some new lights onto these old questions</w:t>
      </w:r>
      <w:r>
        <w:rPr>
          <w:rFonts w:ascii="Times New Roman" w:eastAsia="Times New Roman" w:hAnsi="Times New Roman" w:cs="Times New Roman"/>
          <w:color w:val="222222"/>
        </w:rPr>
        <w:fldChar w:fldCharType="begin" w:fldLock="1"/>
      </w:r>
      <w:r>
        <w:rPr>
          <w:rFonts w:ascii="Times New Roman" w:eastAsia="Times New Roman" w:hAnsi="Times New Roman" w:cs="Times New Roman"/>
          <w:color w:val="222222"/>
        </w:rPr>
        <w:instrText>ADDIN CSL_CITATION {"citationItems":[{"id":"ITEM-1","itemData":{"DOI":"10.1038/s41586-021-03225-8","ISSN":"14764687","PMID":"33505018","abstract":"Resistance to insulin and insulin-like growth factor 1 (IGF1) in pancreatic β-cells causes overt diabetes in mice; thus, therapies that sensitize β-cells to insulin may protect patients with diabetes against β-cell failure1–3. Here we identify an inhibitor of insulin receptor (INSR) and IGF1 receptor (IGF1R) signalling in mouse β-cells, which we name the insulin inhibitory receptor (inceptor; encoded by the gene Iir). Inceptor contains an extracellular cysteine-rich domain with similarities to INSR and IGF1R4, and a mannose 6-phosphate receptor domain that is also found in the IGF2 receptor (IGF2R)5. Knockout mice that lack inceptor (Iir−/−) exhibit signs of hyperinsulinaemia and hypoglycaemia, and die within a few hours of birth. Molecular and cellular analyses of embryonic and postnatal pancreases from Iir−/− mice showed an increase in the activation of INSR–IGF1R in Iir−/− pancreatic tissue, resulting in an increase in the proliferation and mass of β-cells. Similarly, inducible β-cell-specific Iir−/− knockout in adult mice and in ex vivo islets led to an increase in the activation of INSR–IGF1R and increased proliferation of β-cells, resulting in improved glucose tolerance in vivo. Mechanistically, inceptor interacts with INSR–IGF1R to facilitate clathrin-mediated endocytosis for receptor desensitization. Blocking this physical interaction using monoclonal antibodies against the extracellular domain of inceptor resulted in the retention of inceptor and INSR at the plasma membrane to sustain the activation of INSR–IGF1R in β-cells. Together, our findings show that inceptor shields insulin-producing β-cells from constitutive pathway activation, and identify inceptor as a potential molecular target for INSR–IGF1R sensitization and diabetes therapy.","author":[{"dropping-particle":"","family":"Ansarullah","given":"","non-dropping-particle":"","parse-names":false,"suffix":""},{"dropping-particle":"","family":"Jain","given":"Chirag","non-dropping-particle":"","parse-names":false,"suffix":""},{"dropping-particle":"","family":"Far","given":"Fataneh Fathi","non-dropping-particle":"","parse-names":false,"suffix":""},{"dropping-particle":"","family":"Homberg","given":"Sarah","non-dropping-particle":"","parse-names":false,"suffix":""},{"dropping-particle":"","family":"Wißmiller","given":"Katharina","non-dropping-particle":"","parse-names":false,"suffix":""},{"dropping-particle":"","family":"Hahn","given":"Felizitas Gräfin","non-dropping-particle":"von","parse-names":false,"suffix":""},{"dropping-particle":"","family":"Raducanu","given":"Aurelia","non-dropping-particle":"","parse-names":false,"suffix":""},{"dropping-particle":"","family":"Schirge","given":"Silvia","non-dropping-particle":"","parse-names":false,"suffix":""},{"dropping-particle":"","family":"Sterr","given":"Michael","non-dropping-particle":"","parse-names":false,"suffix":""},{"dropping-particle":"","family":"Bilekova","given":"Sara","non-dropping-particle":"","parse-names":false,"suffix":""},{"dropping-particle":"","family":"Siehler","given":"Johanna","non-dropping-particle":"","parse-names":false,"suffix":""},{"dropping-particle":"","family":"Wiener","given":"Julius","non-dropping-particle":"","parse-names":false,"suffix":""},{"dropping-particle":"","family":"Oppenländer","given":"Lena","non-dropping-particle":"","parse-names":false,"suffix":""},{"dropping-particle":"","family":"Morshedi","given":"Amir","non-dropping-particle":"","parse-names":false,"suffix":""},{"dropping-particle":"","family":"Bastidas-Ponce","given":"Aimée","non-dropping-particle":"","parse-names":false,"suffix":""},{"dropping-particle":"","family":"Collden","given":"Gustav","non-dropping-particle":"","parse-names":false,"suffix":""},{"dropping-particle":"","family":"Irmler","given":"Martin","non-dropping-particle":"","parse-names":false,"suffix":""},{"dropping-particle":"","family":"Beckers","given":"Johannes","non-dropping-particle":"","parse-names":false,"suffix":""},{"dropping-particle":"","family":"Feuchtinger","given":"Annette","non-dropping-particle":"","parse-names":false,"suffix":""},{"dropping-particle":"","family":"Grzybek","given":"Michal","non-dropping-particle":"","parse-names":false,"suffix":""},{"dropping-particle":"","family":"Ahlbrecht","given":"Christin","non-dropping-particle":"","parse-names":false,"suffix":""},{"dropping-particle":"","family":"Feederle","given":"Regina","non-dropping-particle":"","parse-names":false,"suffix":""},{"dropping-particle":"","family":"Plettenburg","given":"Oliver","non-dropping-particle":"","parse-names":false,"suffix":""},{"dropping-particle":"","family":"Müller","given":"Timo D.","non-dropping-particle":"","parse-names":false,"suffix":""},{"dropping-particle":"","family":"Meier","given":"Matthias","non-dropping-particle":"","parse-names":false,"suffix":""},{"dropping-particle":"","family":"Tschöp","given":"Matthias H.","non-dropping-particle":"","parse-names":false,"suffix":""},{"dropping-particle":"","family":"Coskun","given":"Ünal","non-dropping-particle":"","parse-names":false,"suffix":""},{"dropping-particle":"","family":"Lickert","given":"Heiko","non-dropping-particle":"","parse-names":false,"suffix":""}],"container-title":"Nature","id":"ITEM-1","issue":"7845","issued":{"date-parts":[["2021"]]},"page":"326-331","title":"Inceptor counteracts insulin signalling in β-cells to control glycaemia","type":"article-journal","volume":"590"},"uris":["http://www.mendeley.com/documents/?uuid=00135153-e345-4770-99c0-a97fd687a808"]}],"mendeley":{"formattedCitation":"&lt;sup&gt;7&lt;/sup&gt;","plainTextFormattedCitation":"7","previouslyFormattedCitation":"&lt;sup&gt;7&lt;/sup&gt;"},"properties":{"noteIndex":0},"schema":"https://github.com/citation-style-language/schema/raw/master/csl-citation.json"}</w:instrText>
      </w:r>
      <w:r>
        <w:rPr>
          <w:rFonts w:ascii="Times New Roman" w:eastAsia="Times New Roman" w:hAnsi="Times New Roman" w:cs="Times New Roman"/>
          <w:color w:val="222222"/>
        </w:rPr>
        <w:fldChar w:fldCharType="separate"/>
      </w:r>
      <w:r>
        <w:rPr>
          <w:rFonts w:ascii="Times New Roman" w:eastAsia="Times New Roman" w:hAnsi="Times New Roman" w:cs="Times New Roman"/>
          <w:noProof/>
          <w:color w:val="222222"/>
          <w:vertAlign w:val="superscript"/>
        </w:rPr>
        <w:t>7</w:t>
      </w:r>
      <w:r>
        <w:rPr>
          <w:rFonts w:ascii="Times New Roman" w:eastAsia="Times New Roman" w:hAnsi="Times New Roman" w:cs="Times New Roman"/>
          <w:color w:val="222222"/>
        </w:rPr>
        <w:fldChar w:fldCharType="end"/>
      </w:r>
      <w:r>
        <w:rPr>
          <w:rFonts w:ascii="Times New Roman" w:eastAsia="Times New Roman" w:hAnsi="Times New Roman" w:cs="Times New Roman"/>
        </w:rPr>
        <w:t>.</w:t>
      </w:r>
      <w:r>
        <w:rPr>
          <w:rFonts w:ascii="Times New Roman" w:eastAsia="Times New Roman" w:hAnsi="Times New Roman" w:cs="Times New Roman"/>
          <w:color w:val="FF0000"/>
        </w:rPr>
        <w:t xml:space="preserve"> </w:t>
      </w:r>
      <w:r>
        <w:rPr>
          <w:rFonts w:ascii="Times New Roman" w:eastAsia="Times New Roman" w:hAnsi="Times New Roman" w:cs="Times New Roman"/>
          <w:color w:val="222222"/>
        </w:rPr>
        <w:t xml:space="preserve">Whole-body knockout of the inceptor resulted in increased β-cell insulin </w:t>
      </w:r>
      <w:proofErr w:type="spellStart"/>
      <w:r>
        <w:rPr>
          <w:rFonts w:ascii="Times New Roman" w:eastAsia="Times New Roman" w:hAnsi="Times New Roman" w:cs="Times New Roman"/>
          <w:color w:val="222222"/>
        </w:rPr>
        <w:t>signalling</w:t>
      </w:r>
      <w:proofErr w:type="spellEnd"/>
      <w:r>
        <w:rPr>
          <w:rFonts w:ascii="Times New Roman" w:eastAsia="Times New Roman" w:hAnsi="Times New Roman" w:cs="Times New Roman"/>
          <w:color w:val="222222"/>
        </w:rPr>
        <w:t xml:space="preserve"> and β-cell mass, causing </w:t>
      </w:r>
      <w:proofErr w:type="spellStart"/>
      <w:r>
        <w:rPr>
          <w:rFonts w:ascii="Times New Roman" w:eastAsia="Times New Roman" w:hAnsi="Times New Roman" w:cs="Times New Roman"/>
          <w:color w:val="222222"/>
        </w:rPr>
        <w:t>hyperinsulinaemia</w:t>
      </w:r>
      <w:proofErr w:type="spellEnd"/>
      <w:r>
        <w:rPr>
          <w:rFonts w:ascii="Times New Roman" w:eastAsia="Times New Roman" w:hAnsi="Times New Roman" w:cs="Times New Roman"/>
          <w:color w:val="222222"/>
        </w:rPr>
        <w:t xml:space="preserve"> and </w:t>
      </w:r>
      <w:proofErr w:type="spellStart"/>
      <w:r>
        <w:rPr>
          <w:rFonts w:ascii="Times New Roman" w:eastAsia="Times New Roman" w:hAnsi="Times New Roman" w:cs="Times New Roman"/>
          <w:color w:val="222222"/>
        </w:rPr>
        <w:t>hypoglycaemia</w:t>
      </w:r>
      <w:proofErr w:type="spellEnd"/>
      <w:r>
        <w:rPr>
          <w:rFonts w:ascii="Times New Roman" w:eastAsia="Times New Roman" w:hAnsi="Times New Roman" w:cs="Times New Roman"/>
          <w:color w:val="222222"/>
        </w:rPr>
        <w:t xml:space="preserve"> in mice. Inceptor physically interacts with insulin and IGF1 receptors and facilitates </w:t>
      </w:r>
      <w:proofErr w:type="spellStart"/>
      <w:r>
        <w:rPr>
          <w:rFonts w:ascii="Times New Roman" w:eastAsia="Times New Roman" w:hAnsi="Times New Roman" w:cs="Times New Roman"/>
          <w:color w:val="222222"/>
        </w:rPr>
        <w:t>clathrin</w:t>
      </w:r>
      <w:proofErr w:type="spellEnd"/>
      <w:r>
        <w:rPr>
          <w:rFonts w:ascii="Times New Roman" w:eastAsia="Times New Roman" w:hAnsi="Times New Roman" w:cs="Times New Roman"/>
          <w:color w:val="222222"/>
        </w:rPr>
        <w:t xml:space="preserve">-mediated endocytosis of the activated insulin and IGF receptor complexes to desensitize insulin </w:t>
      </w:r>
      <w:proofErr w:type="spellStart"/>
      <w:r>
        <w:rPr>
          <w:rFonts w:ascii="Times New Roman" w:eastAsia="Times New Roman" w:hAnsi="Times New Roman" w:cs="Times New Roman"/>
          <w:color w:val="222222"/>
        </w:rPr>
        <w:t>signalling</w:t>
      </w:r>
      <w:proofErr w:type="spellEnd"/>
      <w:r>
        <w:rPr>
          <w:rFonts w:ascii="Times New Roman" w:eastAsia="Times New Roman" w:hAnsi="Times New Roman" w:cs="Times New Roman"/>
          <w:color w:val="222222"/>
        </w:rPr>
        <w:t xml:space="preserve"> in β-cells. Importantly, mice lacking inceptor specifically in β-cells exhibited increased β-cell proliferation and improved glucose tolerance</w:t>
      </w:r>
      <w:r>
        <w:rPr>
          <w:rFonts w:ascii="Times New Roman" w:eastAsia="Times New Roman" w:hAnsi="Times New Roman" w:cs="Times New Roman"/>
          <w:color w:val="222222"/>
        </w:rPr>
        <w:fldChar w:fldCharType="begin" w:fldLock="1"/>
      </w:r>
      <w:r>
        <w:rPr>
          <w:rFonts w:ascii="Times New Roman" w:eastAsia="Times New Roman" w:hAnsi="Times New Roman" w:cs="Times New Roman"/>
          <w:color w:val="222222"/>
        </w:rPr>
        <w:instrText>ADDIN CSL_CITATION {"citationItems":[{"id":"ITEM-1","itemData":{"DOI":"10.1038/s41586-021-03225-8","ISSN":"14764687","PMID":"33505018","abstract":"Resistance to insulin and insulin-like growth factor 1 (IGF1) in pancreatic β-cells causes overt diabetes in mice; thus, therapies that sensitize β-cells to insulin may protect patients with diabetes against β-cell failure1–3. Here we identify an inhibitor of insulin receptor (INSR) and IGF1 receptor (IGF1R) signalling in mouse β-cells, which we name the insulin inhibitory receptor (inceptor; encoded by the gene Iir). Inceptor contains an extracellular cysteine-rich domain with similarities to INSR and IGF1R4, and a mannose 6-phosphate receptor domain that is also found in the IGF2 receptor (IGF2R)5. Knockout mice that lack inceptor (Iir−/−) exhibit signs of hyperinsulinaemia and hypoglycaemia, and die within a few hours of birth. Molecular and cellular analyses of embryonic and postnatal pancreases from Iir−/− mice showed an increase in the activation of INSR–IGF1R in Iir−/− pancreatic tissue, resulting in an increase in the proliferation and mass of β-cells. Similarly, inducible β-cell-specific Iir−/− knockout in adult mice and in ex vivo islets led to an increase in the activation of INSR–IGF1R and increased proliferation of β-cells, resulting in improved glucose tolerance in vivo. Mechanistically, inceptor interacts with INSR–IGF1R to facilitate clathrin-mediated endocytosis for receptor desensitization. Blocking this physical interaction using monoclonal antibodies against the extracellular domain of inceptor resulted in the retention of inceptor and INSR at the plasma membrane to sustain the activation of INSR–IGF1R in β-cells. Together, our findings show that inceptor shields insulin-producing β-cells from constitutive pathway activation, and identify inceptor as a potential molecular target for INSR–IGF1R sensitization and diabetes therapy.","author":[{"dropping-particle":"","family":"Ansarullah","given":"","non-dropping-particle":"","parse-names":false,"suffix":""},{"dropping-particle":"","family":"Jain","given":"Chirag","non-dropping-particle":"","parse-names":false,"suffix":""},{"dropping-particle":"","family":"Far","given":"Fataneh Fathi","non-dropping-particle":"","parse-names":false,"suffix":""},{"dropping-particle":"","family":"Homberg","given":"Sarah","non-dropping-particle":"","parse-names":false,"suffix":""},{"dropping-particle":"","family":"Wißmiller","given":"Katharina","non-dropping-particle":"","parse-names":false,"suffix":""},{"dropping-particle":"","family":"Hahn","given":"Felizitas Gräfin","non-dropping-particle":"von","parse-names":false,"suffix":""},{"dropping-particle":"","family":"Raducanu","given":"Aurelia","non-dropping-particle":"","parse-names":false,"suffix":""},{"dropping-particle":"","family":"Schirge","given":"Silvia","non-dropping-particle":"","parse-names":false,"suffix":""},{"dropping-particle":"","family":"Sterr","given":"Michael","non-dropping-particle":"","parse-names":false,"suffix":""},{"dropping-particle":"","family":"Bilekova","given":"Sara","non-dropping-particle":"","parse-names":false,"suffix":""},{"dropping-particle":"","family":"Siehler","given":"Johanna","non-dropping-particle":"","parse-names":false,"suffix":""},{"dropping-particle":"","family":"Wiener","given":"Julius","non-dropping-particle":"","parse-names":false,"suffix":""},{"dropping-particle":"","family":"Oppenländer","given":"Lena","non-dropping-particle":"","parse-names":false,"suffix":""},{"dropping-particle":"","family":"Morshedi","given":"Amir","non-dropping-particle":"","parse-names":false,"suffix":""},{"dropping-particle":"","family":"Bastidas-Ponce","given":"Aimée","non-dropping-particle":"","parse-names":false,"suffix":""},{"dropping-particle":"","family":"Collden","given":"Gustav","non-dropping-particle":"","parse-names":false,"suffix":""},{"dropping-particle":"","family":"Irmler","given":"Martin","non-dropping-particle":"","parse-names":false,"suffix":""},{"dropping-particle":"","family":"Beckers","given":"Johannes","non-dropping-particle":"","parse-names":false,"suffix":""},{"dropping-particle":"","family":"Feuchtinger","given":"Annette","non-dropping-particle":"","parse-names":false,"suffix":""},{"dropping-particle":"","family":"Grzybek","given":"Michal","non-dropping-particle":"","parse-names":false,"suffix":""},{"dropping-particle":"","family":"Ahlbrecht","given":"Christin","non-dropping-particle":"","parse-names":false,"suffix":""},{"dropping-particle":"","family":"Feederle","given":"Regina","non-dropping-particle":"","parse-names":false,"suffix":""},{"dropping-particle":"","family":"Plettenburg","given":"Oliver","non-dropping-particle":"","parse-names":false,"suffix":""},{"dropping-particle":"","family":"Müller","given":"Timo D.","non-dropping-particle":"","parse-names":false,"suffix":""},{"dropping-particle":"","family":"Meier","given":"Matthias","non-dropping-particle":"","parse-names":false,"suffix":""},{"dropping-particle":"","family":"Tschöp","given":"Matthias H.","non-dropping-particle":"","parse-names":false,"suffix":""},{"dropping-particle":"","family":"Coskun","given":"Ünal","non-dropping-particle":"","parse-names":false,"suffix":""},{"dropping-particle":"","family":"Lickert","given":"Heiko","non-dropping-particle":"","parse-names":false,"suffix":""}],"container-title":"Nature","id":"ITEM-1","issue":"7845","issued":{"date-parts":[["2021"]]},"page":"326-331","title":"Inceptor counteracts insulin signalling in β-cells to control glycaemia","type":"article-journal","volume":"590"},"uris":["http://www.mendeley.com/documents/?uuid=00135153-e345-4770-99c0-a97fd687a808"]}],"mendeley":{"formattedCitation":"&lt;sup&gt;7&lt;/sup&gt;","plainTextFormattedCitation":"7","previouslyFormattedCitation":"&lt;sup&gt;7&lt;/sup&gt;"},"properties":{"noteIndex":0},"schema":"https://github.com/citation-style-language/schema/raw/master/csl-citation.json"}</w:instrText>
      </w:r>
      <w:r>
        <w:rPr>
          <w:rFonts w:ascii="Times New Roman" w:eastAsia="Times New Roman" w:hAnsi="Times New Roman" w:cs="Times New Roman"/>
          <w:color w:val="222222"/>
        </w:rPr>
        <w:fldChar w:fldCharType="separate"/>
      </w:r>
      <w:r>
        <w:rPr>
          <w:rFonts w:ascii="Times New Roman" w:eastAsia="Times New Roman" w:hAnsi="Times New Roman" w:cs="Times New Roman"/>
          <w:noProof/>
          <w:color w:val="222222"/>
          <w:vertAlign w:val="superscript"/>
        </w:rPr>
        <w:t>7</w:t>
      </w:r>
      <w:r>
        <w:rPr>
          <w:rFonts w:ascii="Times New Roman" w:eastAsia="Times New Roman" w:hAnsi="Times New Roman" w:cs="Times New Roman"/>
          <w:color w:val="222222"/>
        </w:rPr>
        <w:fldChar w:fldCharType="end"/>
      </w:r>
      <w:r>
        <w:rPr>
          <w:rFonts w:ascii="Times New Roman" w:eastAsia="Times New Roman" w:hAnsi="Times New Roman" w:cs="Times New Roman"/>
          <w:color w:val="222222"/>
        </w:rPr>
        <w:t>. As insulin and/or IGF resistance in β-cells leads to diabetes mellitus</w:t>
      </w:r>
      <w:r>
        <w:rPr>
          <w:rFonts w:ascii="Times New Roman" w:eastAsia="Times New Roman" w:hAnsi="Times New Roman" w:cs="Times New Roman"/>
          <w:color w:val="222222"/>
        </w:rPr>
        <w:fldChar w:fldCharType="begin" w:fldLock="1"/>
      </w:r>
      <w:r>
        <w:rPr>
          <w:rFonts w:ascii="Times New Roman" w:eastAsia="Times New Roman" w:hAnsi="Times New Roman" w:cs="Times New Roman"/>
          <w:color w:val="222222"/>
        </w:rPr>
        <w:instrText>ADDIN CSL_CITATION {"citationItems":[{"id":"ITEM-1","itemData":{"DOI":"10.1038/ng1787","ISSN":"10614036","PMID":"16642022","abstract":"An appropriate β cell mass is pivotal for the maintenance of glucose homeostasis1. Both insulin and IGF-1 are important in regulation of β cell growth and function (reviewed in ref. 2). To define the roles of these hormones directly, we created a mouse model lacking functional receptors for both insulin and IGF-1 only in β cells (βDKO), as the hormones have overlapping mechanisms of action and activate common downstream proteins. Notably, βDKO mice were born with a normal complement of islet cells, but 3 weeks after birth, they developed diabetes, in contrast to mild phenotypes observed in single mutants3,4. Normoglycemic 2-week-old βDKO mice manifest reduced β cell mass, reduced expression of phosphorylated Akt and the transcription factor MafA, increased apoptosis in islets and severely compromised β cell function. Analyses of compound knockouts showed a dominant role for insulin signaling in regulating β cell mass. Together, these data provide compelling genetic evidence that insulin and IGF-I-dependent pathways are not critical for development of β cells but that a loss of action of these hormones in β cells leads to diabetes. We propose that therapeutic improvement of insulin and IGF-I signaling in β cells might protect against type 2 diabetes. © 2006 Nature Publishing Group.","author":[{"dropping-particle":"","family":"Ueki","given":"Kohjiro","non-dropping-particle":"","parse-names":false,"suffix":""},{"dropping-particle":"","family":"Okada","given":"Terumasa","non-dropping-particle":"","parse-names":false,"suffix":""},{"dropping-particle":"","family":"Hu","given":"Jiang","non-dropping-particle":"","parse-names":false,"suffix":""},{"dropping-particle":"","family":"Chong","given":"Wee Liew","non-dropping-particle":"","parse-names":false,"suffix":""},{"dropping-particle":"","family":"Assmann","given":"Anke","non-dropping-particle":"","parse-names":false,"suffix":""},{"dropping-particle":"","family":"Dahlgren","given":"Gabriella M.","non-dropping-particle":"","parse-names":false,"suffix":""},{"dropping-particle":"","family":"Peters","given":"Jennifer L.","non-dropping-particle":"","parse-names":false,"suffix":""},{"dropping-particle":"","family":"Shackman","given":"Jonathan G.","non-dropping-particle":"","parse-names":false,"suffix":""},{"dropping-particle":"","family":"Zhang","given":"Min","non-dropping-particle":"","parse-names":false,"suffix":""},{"dropping-particle":"","family":"Artner","given":"Isabella","non-dropping-particle":"","parse-names":false,"suffix":""},{"dropping-particle":"","family":"Satin","given":"Leslie S.","non-dropping-particle":"","parse-names":false,"suffix":""},{"dropping-particle":"","family":"Stein","given":"Roland","non-dropping-particle":"","parse-names":false,"suffix":""},{"dropping-particle":"","family":"Holzenberger","given":"Martin","non-dropping-particle":"","parse-names":false,"suffix":""},{"dropping-particle":"","family":"Kennedy","given":"Robert T.","non-dropping-particle":"","parse-names":false,"suffix":""},{"dropping-particle":"","family":"Kahn","given":"C. Ronald","non-dropping-particle":"","parse-names":false,"suffix":""},{"dropping-particle":"","family":"Kulkarni","given":"Rohit N.","non-dropping-particle":"","parse-names":false,"suffix":""}],"container-title":"Nature Genetics","id":"ITEM-1","issue":"5","issued":{"date-parts":[["2006"]]},"page":"583-588","title":"Total insulin and IGF-I resistance in pancreatic β cells causes overt diabetes","type":"article-journal","volume":"38"},"uris":["http://www.mendeley.com/documents/?uuid=ec5a854e-5d37-4fe9-88af-91603587a693"]}],"mendeley":{"formattedCitation":"&lt;sup&gt;8&lt;/sup&gt;","plainTextFormattedCitation":"8","previouslyFormattedCitation":"&lt;sup&gt;8&lt;/sup&gt;"},"properties":{"noteIndex":0},"schema":"https://github.com/citation-style-language/schema/raw/master/csl-citation.json"}</w:instrText>
      </w:r>
      <w:r>
        <w:rPr>
          <w:rFonts w:ascii="Times New Roman" w:eastAsia="Times New Roman" w:hAnsi="Times New Roman" w:cs="Times New Roman"/>
          <w:color w:val="222222"/>
        </w:rPr>
        <w:fldChar w:fldCharType="separate"/>
      </w:r>
      <w:r>
        <w:rPr>
          <w:rFonts w:ascii="Times New Roman" w:eastAsia="Times New Roman" w:hAnsi="Times New Roman" w:cs="Times New Roman"/>
          <w:noProof/>
          <w:color w:val="222222"/>
          <w:vertAlign w:val="superscript"/>
        </w:rPr>
        <w:t>8</w:t>
      </w:r>
      <w:r>
        <w:rPr>
          <w:rFonts w:ascii="Times New Roman" w:eastAsia="Times New Roman" w:hAnsi="Times New Roman" w:cs="Times New Roman"/>
          <w:color w:val="222222"/>
        </w:rPr>
        <w:fldChar w:fldCharType="end"/>
      </w:r>
      <w:r>
        <w:rPr>
          <w:rFonts w:ascii="Times New Roman" w:eastAsia="Times New Roman" w:hAnsi="Times New Roman" w:cs="Times New Roman"/>
          <w:color w:val="222222"/>
        </w:rPr>
        <w:t xml:space="preserve">, ways of sensitizing β-cells to insulin and/or IGF </w:t>
      </w:r>
      <w:proofErr w:type="spellStart"/>
      <w:r>
        <w:rPr>
          <w:rFonts w:ascii="Times New Roman" w:eastAsia="Times New Roman" w:hAnsi="Times New Roman" w:cs="Times New Roman"/>
          <w:color w:val="222222"/>
        </w:rPr>
        <w:t>signalling</w:t>
      </w:r>
      <w:proofErr w:type="spellEnd"/>
      <w:r>
        <w:rPr>
          <w:rFonts w:ascii="Times New Roman" w:eastAsia="Times New Roman" w:hAnsi="Times New Roman" w:cs="Times New Roman"/>
          <w:color w:val="222222"/>
        </w:rPr>
        <w:t xml:space="preserve"> might prevent β-cell loss and dysfunction in diabetes mellitus. </w:t>
      </w:r>
    </w:p>
    <w:p>
      <w:pPr>
        <w:shd w:val="clear" w:color="auto" w:fill="FFFFFF"/>
        <w:spacing w:line="36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Replacing lost </w:t>
      </w:r>
      <w:r>
        <w:rPr>
          <w:rFonts w:ascii="Times New Roman" w:eastAsia="Times New Roman" w:hAnsi="Times New Roman" w:cs="Times New Roman"/>
          <w:color w:val="222222"/>
          <w:highlight w:val="white"/>
        </w:rPr>
        <w:t>β-</w:t>
      </w:r>
      <w:r>
        <w:rPr>
          <w:rFonts w:ascii="Times New Roman" w:eastAsia="Times New Roman" w:hAnsi="Times New Roman" w:cs="Times New Roman"/>
          <w:highlight w:val="white"/>
        </w:rPr>
        <w:t xml:space="preserve">cells is another possible strategy to restore </w:t>
      </w:r>
      <w:r>
        <w:rPr>
          <w:rFonts w:ascii="Times New Roman" w:eastAsia="Times New Roman" w:hAnsi="Times New Roman" w:cs="Times New Roman"/>
          <w:color w:val="222222"/>
          <w:highlight w:val="white"/>
        </w:rPr>
        <w:t>β-</w:t>
      </w:r>
      <w:r>
        <w:rPr>
          <w:rFonts w:ascii="Times New Roman" w:eastAsia="Times New Roman" w:hAnsi="Times New Roman" w:cs="Times New Roman"/>
          <w:highlight w:val="white"/>
        </w:rPr>
        <w:t xml:space="preserve">cell mass. Great efforts </w:t>
      </w:r>
      <w:proofErr w:type="gramStart"/>
      <w:r>
        <w:rPr>
          <w:rFonts w:ascii="Times New Roman" w:eastAsia="Times New Roman" w:hAnsi="Times New Roman" w:cs="Times New Roman"/>
          <w:highlight w:val="white"/>
        </w:rPr>
        <w:t>have been dedicated</w:t>
      </w:r>
      <w:proofErr w:type="gramEnd"/>
      <w:r>
        <w:rPr>
          <w:rFonts w:ascii="Times New Roman" w:eastAsia="Times New Roman" w:hAnsi="Times New Roman" w:cs="Times New Roman"/>
          <w:highlight w:val="white"/>
        </w:rPr>
        <w:t xml:space="preserve"> to transplant cadaveric human islets or </w:t>
      </w:r>
      <w:r>
        <w:rPr>
          <w:rFonts w:ascii="Times New Roman" w:eastAsia="Times New Roman" w:hAnsi="Times New Roman" w:cs="Times New Roman"/>
          <w:i/>
          <w:highlight w:val="white"/>
        </w:rPr>
        <w:t>in vitro</w:t>
      </w:r>
      <w:r>
        <w:rPr>
          <w:rFonts w:ascii="Times New Roman" w:eastAsia="Times New Roman" w:hAnsi="Times New Roman" w:cs="Times New Roman"/>
          <w:highlight w:val="white"/>
        </w:rPr>
        <w:t xml:space="preserve"> differentiated pluripotent</w:t>
      </w:r>
      <w:r>
        <w:rPr>
          <w:rFonts w:ascii="Times New Roman" w:eastAsia="Times New Roman" w:hAnsi="Times New Roman" w:cs="Times New Roman"/>
          <w:b/>
          <w:color w:val="0000FF"/>
          <w:highlight w:val="white"/>
        </w:rPr>
        <w:t xml:space="preserve"> </w:t>
      </w:r>
      <w:r>
        <w:rPr>
          <w:rFonts w:ascii="Times New Roman" w:eastAsia="Times New Roman" w:hAnsi="Times New Roman" w:cs="Times New Roman"/>
          <w:highlight w:val="white"/>
        </w:rPr>
        <w:t>stem cell-derived islet-like clusters (</w:t>
      </w:r>
      <w:r>
        <w:rPr>
          <w:rFonts w:ascii="Times New Roman" w:hAnsi="Times New Roman" w:cs="Times New Roman"/>
        </w:rPr>
        <w:t xml:space="preserve">SC-islets). </w:t>
      </w:r>
      <w:r>
        <w:rPr>
          <w:rFonts w:ascii="Times New Roman" w:eastAsia="Times New Roman" w:hAnsi="Times New Roman" w:cs="Times New Roman"/>
        </w:rPr>
        <w:t>However</w:t>
      </w:r>
      <w:r>
        <w:rPr>
          <w:rFonts w:ascii="Times New Roman" w:eastAsia="Times New Roman" w:hAnsi="Times New Roman" w:cs="Times New Roman"/>
          <w:highlight w:val="white"/>
        </w:rPr>
        <w:t>, this promising</w:t>
      </w:r>
      <w:r>
        <w:rPr>
          <w:rFonts w:ascii="Times New Roman" w:eastAsia="Times New Roman" w:hAnsi="Times New Roman" w:cs="Times New Roman"/>
        </w:rPr>
        <w:t xml:space="preserve"> approach requires further optimization on graft delivery, graft–host interactions and graft survival, safety and function (Fig. 1). </w:t>
      </w:r>
      <w:r>
        <w:rPr>
          <w:rFonts w:ascii="Times New Roman" w:eastAsia="Times New Roman" w:hAnsi="Times New Roman" w:cs="Times New Roman"/>
          <w:highlight w:val="white"/>
        </w:rPr>
        <w:t xml:space="preserve">In </w:t>
      </w:r>
      <w:r>
        <w:rPr>
          <w:rFonts w:ascii="Times New Roman" w:eastAsia="Times New Roman" w:hAnsi="Times New Roman" w:cs="Times New Roman"/>
        </w:rPr>
        <w:t xml:space="preserve">a study by </w:t>
      </w:r>
      <w:proofErr w:type="spellStart"/>
      <w:r>
        <w:rPr>
          <w:rFonts w:ascii="Times New Roman" w:eastAsia="Times New Roman" w:hAnsi="Times New Roman" w:cs="Times New Roman"/>
        </w:rPr>
        <w:t>Aghazadeh</w:t>
      </w:r>
      <w:proofErr w:type="spellEnd"/>
      <w:r>
        <w:rPr>
          <w:rFonts w:ascii="Times New Roman" w:eastAsia="Times New Roman" w:hAnsi="Times New Roman" w:cs="Times New Roman"/>
        </w:rPr>
        <w:t xml:space="preserve"> et al. </w:t>
      </w:r>
      <w:r>
        <w:rPr>
          <w:rFonts w:ascii="Times New Roman" w:eastAsia="Times New Roman" w:hAnsi="Times New Roman" w:cs="Times New Roman"/>
          <w:highlight w:val="white"/>
        </w:rPr>
        <w:t xml:space="preserve">, adipose tissue-derived ready-made </w:t>
      </w:r>
      <w:proofErr w:type="spellStart"/>
      <w:r>
        <w:rPr>
          <w:rFonts w:ascii="Times New Roman" w:eastAsia="Times New Roman" w:hAnsi="Times New Roman" w:cs="Times New Roman"/>
          <w:highlight w:val="white"/>
        </w:rPr>
        <w:t>microvessels</w:t>
      </w:r>
      <w:proofErr w:type="spellEnd"/>
      <w:r>
        <w:rPr>
          <w:rFonts w:ascii="Times New Roman" w:eastAsia="Times New Roman" w:hAnsi="Times New Roman" w:cs="Times New Roman"/>
          <w:highlight w:val="white"/>
        </w:rPr>
        <w:t xml:space="preserve"> were used to circumvent some of these </w:t>
      </w:r>
      <w:r>
        <w:rPr>
          <w:rFonts w:ascii="Times New Roman" w:eastAsia="Times New Roman" w:hAnsi="Times New Roman" w:cs="Times New Roman"/>
        </w:rPr>
        <w:t>hurdles</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{"citationItems":[{"id":"ITEM-1","itemData":{"DOI":"10.1016/j.stem.2021.08.001","ISSN":"19345909","abstract":"&lt;h2&gt;Summary&lt;/h2&gt;&lt;p&gt;Islet transplantation is a promising treatment for type 1 diabetes (T1D), yet the low donor pool, poor islet engraftment, and life-long immunosuppression prevent it from becoming the standard of care. Human embryonic stem cell (hESC)-derived pancreatic cells could eliminate donor shortages, but interventions to improve graft survival are needed. Here, we enhanced subcutaneous engraftment by employing a unique vascularization strategy based on ready-made microvessels (MVs) isolated from the adipose tissue. This resulted in improved cell survival and effective glucose response of both human islets and hESC-derived pancreatic cells, which ameliorated preexisting diabetes in three mouse models of T1D.&lt;/p&gt;","author":[{"dropping-particle":"","family":"Aghazadeh","given":"Yasaman","non-dropping-particle":"","parse-names":false,"suffix":""},{"dropping-particle":"","family":"Poon","given":"Frankie","non-dropping-particle":"","parse-names":false,"suffix":""},{"dropping-particle":"","family":"Sarangi","given":"Farida","non-dropping-particle":"","parse-names":false,"suffix":""},{"dropping-particle":"","family":"Wong","given":"Frances T.M.","non-dropping-particle":"","parse-names":false,"suffix":""},{"dropping-particle":"","family":"Khan","given":"Safwat T.","non-dropping-particle":"","parse-names":false,"suffix":""},{"dropping-particle":"","family":"Sun","given":"Xuetao","non-dropping-particle":"","parse-names":false,"suffix":""},{"dropping-particle":"","family":"Hatkar","given":"Rupal","non-dropping-particle":"","parse-names":false,"suffix":""},{"dropping-particle":"","family":"Cox","given":"Brian J.","non-dropping-particle":"","parse-names":false,"suffix":""},{"dropping-particle":"","family":"Nunes","given":"Sara S.","non-dropping-particle":"","parse-names":false,"suffix":""},{"dropping-particle":"","family":"Nostro","given":"M. Cristina","non-dropping-particle":"","parse-names":false,"suffix":""}],"container-title":"Cell Stem Cell","id":"ITEM-1","issued":{"date-parts":[["2021"]]},"page":"1-14","publisher":"Elsevier Inc.","title":"Microvessels support engraftment and functionality of human islets and hESC-derived pancreatic progenitors in diabetes models","type":"article-journal"},"uris":["http://www.mendeley.com/documents/?uuid=73b6e309-ca23-48f7-b275-448cf3ec64d4"]}],"mendeley":{"formattedCitation":"&lt;sup&gt;9&lt;/sup&gt;","plainTextFormattedCitation":"9","previouslyFormattedCitation":"&lt;sup&gt;9&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9</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The co-transplantation of </w:t>
      </w:r>
      <w:r>
        <w:rPr>
          <w:rFonts w:ascii="Times New Roman" w:eastAsia="Times New Roman" w:hAnsi="Times New Roman" w:cs="Times New Roman"/>
        </w:rPr>
        <w:t xml:space="preserve">human </w:t>
      </w:r>
      <w:r>
        <w:rPr>
          <w:rFonts w:ascii="Times New Roman" w:hAnsi="Times New Roman" w:cs="Times New Roman"/>
        </w:rPr>
        <w:t>SC-islets</w:t>
      </w:r>
      <w:r>
        <w:rPr>
          <w:rFonts w:ascii="Times New Roman" w:eastAsia="Times New Roman" w:hAnsi="Times New Roman" w:cs="Times New Roman"/>
          <w:highlight w:val="white"/>
        </w:rPr>
        <w:t xml:space="preserve"> with </w:t>
      </w:r>
      <w:proofErr w:type="spellStart"/>
      <w:proofErr w:type="gramStart"/>
      <w:r>
        <w:rPr>
          <w:rFonts w:ascii="Times New Roman" w:eastAsia="Times New Roman" w:hAnsi="Times New Roman" w:cs="Times New Roman"/>
          <w:highlight w:val="white"/>
        </w:rPr>
        <w:t>microvessels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butincreased</w:t>
      </w:r>
      <w:proofErr w:type="spellEnd"/>
      <w:proofErr w:type="gramEnd"/>
      <w:r>
        <w:rPr>
          <w:rFonts w:ascii="Times New Roman" w:eastAsia="Times New Roman" w:hAnsi="Times New Roman" w:cs="Times New Roman"/>
          <w:highlight w:val="white"/>
        </w:rPr>
        <w:t xml:space="preserve"> graft survival, expansion and </w:t>
      </w:r>
      <w:r>
        <w:rPr>
          <w:rFonts w:ascii="Times New Roman" w:eastAsia="Times New Roman" w:hAnsi="Times New Roman" w:cs="Times New Roman"/>
          <w:color w:val="222222"/>
          <w:highlight w:val="white"/>
        </w:rPr>
        <w:t>β-</w:t>
      </w:r>
      <w:r>
        <w:rPr>
          <w:rFonts w:ascii="Times New Roman" w:eastAsia="Times New Roman" w:hAnsi="Times New Roman" w:cs="Times New Roman"/>
          <w:highlight w:val="white"/>
        </w:rPr>
        <w:t xml:space="preserve">cell maturation </w:t>
      </w:r>
      <w:r>
        <w:rPr>
          <w:rFonts w:ascii="Times New Roman" w:eastAsia="Times New Roman" w:hAnsi="Times New Roman" w:cs="Times New Roman"/>
        </w:rPr>
        <w:t>(Fig. 1)</w:t>
      </w:r>
      <w:r>
        <w:rPr>
          <w:rFonts w:ascii="Times New Roman" w:eastAsia="Times New Roman" w:hAnsi="Times New Roman" w:cs="Times New Roman"/>
          <w:highlight w:val="white"/>
        </w:rPr>
        <w:t xml:space="preserve">. These results </w:t>
      </w:r>
      <w:proofErr w:type="gramStart"/>
      <w:r>
        <w:rPr>
          <w:rFonts w:ascii="Times New Roman" w:eastAsia="Times New Roman" w:hAnsi="Times New Roman" w:cs="Times New Roman"/>
          <w:highlight w:val="white"/>
        </w:rPr>
        <w:t>were attributed</w:t>
      </w:r>
      <w:proofErr w:type="gramEnd"/>
      <w:r>
        <w:rPr>
          <w:rFonts w:ascii="Times New Roman" w:eastAsia="Times New Roman" w:hAnsi="Times New Roman" w:cs="Times New Roman"/>
          <w:highlight w:val="white"/>
        </w:rPr>
        <w:t xml:space="preserve"> to the efficient integration of the </w:t>
      </w:r>
      <w:proofErr w:type="spellStart"/>
      <w:r>
        <w:rPr>
          <w:rFonts w:ascii="Times New Roman" w:eastAsia="Times New Roman" w:hAnsi="Times New Roman" w:cs="Times New Roman"/>
          <w:highlight w:val="white"/>
        </w:rPr>
        <w:t>microvessels</w:t>
      </w:r>
      <w:proofErr w:type="spellEnd"/>
      <w:r>
        <w:rPr>
          <w:rFonts w:ascii="Times New Roman" w:eastAsia="Times New Roman" w:hAnsi="Times New Roman" w:cs="Times New Roman"/>
          <w:highlight w:val="white"/>
        </w:rPr>
        <w:t xml:space="preserve"> with the host vasculature system, which improved function of the grafted </w:t>
      </w:r>
      <w:r>
        <w:rPr>
          <w:rFonts w:ascii="Times New Roman" w:hAnsi="Times New Roman" w:cs="Times New Roman"/>
        </w:rPr>
        <w:t>SC-islets</w:t>
      </w:r>
      <w:r>
        <w:rPr>
          <w:rFonts w:ascii="Times New Roman" w:eastAsia="Times New Roman" w:hAnsi="Times New Roman" w:cs="Times New Roman"/>
          <w:highlight w:val="white"/>
        </w:rPr>
        <w:t xml:space="preserve"> to restore </w:t>
      </w:r>
      <w:proofErr w:type="spellStart"/>
      <w:r>
        <w:rPr>
          <w:rFonts w:ascii="Times New Roman" w:eastAsia="Times New Roman" w:hAnsi="Times New Roman" w:cs="Times New Roman"/>
        </w:rPr>
        <w:t>normo</w:t>
      </w:r>
      <w:r>
        <w:rPr>
          <w:rFonts w:ascii="Times New Roman" w:eastAsia="Times New Roman" w:hAnsi="Times New Roman" w:cs="Times New Roman"/>
          <w:highlight w:val="white"/>
        </w:rPr>
        <w:t>glycaemia</w:t>
      </w:r>
      <w:proofErr w:type="spellEnd"/>
      <w:r>
        <w:rPr>
          <w:rFonts w:ascii="Times New Roman" w:eastAsia="Times New Roman" w:hAnsi="Times New Roman" w:cs="Times New Roman"/>
          <w:highlight w:val="white"/>
        </w:rPr>
        <w:t xml:space="preserve"> in various diabetic mouse models. Importantly, </w:t>
      </w:r>
      <w:proofErr w:type="spellStart"/>
      <w:r>
        <w:rPr>
          <w:rFonts w:ascii="Times New Roman" w:eastAsia="Times New Roman" w:hAnsi="Times New Roman" w:cs="Times New Roman"/>
          <w:highlight w:val="white"/>
        </w:rPr>
        <w:t>microvessels</w:t>
      </w:r>
      <w:proofErr w:type="spellEnd"/>
      <w:r>
        <w:rPr>
          <w:rFonts w:ascii="Times New Roman" w:eastAsia="Times New Roman" w:hAnsi="Times New Roman" w:cs="Times New Roman"/>
          <w:highlight w:val="white"/>
        </w:rPr>
        <w:t xml:space="preserve"> also enhanced the survival of grafted primary human islets and </w:t>
      </w:r>
      <w:r>
        <w:rPr>
          <w:rFonts w:ascii="Times New Roman" w:eastAsia="Times New Roman" w:hAnsi="Times New Roman" w:cs="Times New Roman"/>
          <w:highlight w:val="white"/>
        </w:rPr>
        <w:lastRenderedPageBreak/>
        <w:t xml:space="preserve">boosted their function </w:t>
      </w:r>
      <w:r>
        <w:rPr>
          <w:rFonts w:ascii="Times New Roman" w:eastAsia="Times New Roman" w:hAnsi="Times New Roman" w:cs="Times New Roman"/>
          <w:i/>
          <w:highlight w:val="white"/>
        </w:rPr>
        <w:t>in vivo</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{"citationItems":[{"id":"ITEM-1","itemData":{"DOI":"10.1016/j.stem.2021.08.001","ISSN":"19345909","abstract":"&lt;h2&gt;Summary&lt;/h2&gt;&lt;p&gt;Islet transplantation is a promising treatment for type 1 diabetes (T1D), yet the low donor pool, poor islet engraftment, and life-long immunosuppression prevent it from becoming the standard of care. Human embryonic stem cell (hESC)-derived pancreatic cells could eliminate donor shortages, but interventions to improve graft survival are needed. Here, we enhanced subcutaneous engraftment by employing a unique vascularization strategy based on ready-made microvessels (MVs) isolated from the adipose tissue. This resulted in improved cell survival and effective glucose response of both human islets and hESC-derived pancreatic cells, which ameliorated preexisting diabetes in three mouse models of T1D.&lt;/p&gt;","author":[{"dropping-particle":"","family":"Aghazadeh","given":"Yasaman","non-dropping-particle":"","parse-names":false,"suffix":""},{"dropping-particle":"","family":"Poon","given":"Frankie","non-dropping-particle":"","parse-names":false,"suffix":""},{"dropping-particle":"","family":"Sarangi","given":"Farida","non-dropping-particle":"","parse-names":false,"suffix":""},{"dropping-particle":"","family":"Wong","given":"Frances T.M.","non-dropping-particle":"","parse-names":false,"suffix":""},{"dropping-particle":"","family":"Khan","given":"Safwat T.","non-dropping-particle":"","parse-names":false,"suffix":""},{"dropping-particle":"","family":"Sun","given":"Xuetao","non-dropping-particle":"","parse-names":false,"suffix":""},{"dropping-particle":"","family":"Hatkar","given":"Rupal","non-dropping-particle":"","parse-names":false,"suffix":""},{"dropping-particle":"","family":"Cox","given":"Brian J.","non-dropping-particle":"","parse-names":false,"suffix":""},{"dropping-particle":"","family":"Nunes","given":"Sara S.","non-dropping-particle":"","parse-names":false,"suffix":""},{"dropping-particle":"","family":"Nostro","given":"M. Cristina","non-dropping-particle":"","parse-names":false,"suffix":""}],"container-title":"Cell Stem Cell","id":"ITEM-1","issued":{"date-parts":[["2021"]]},"page":"1-14","publisher":"Elsevier Inc.","title":"Microvessels support engraftment and functionality of human islets and hESC-derived pancreatic progenitors in diabetes models","type":"article-journal"},"uris":["http://www.mendeley.com/documents/?uuid=73b6e309-ca23-48f7-b275-448cf3ec64d4"]}],"mendeley":{"formattedCitation":"&lt;sup&gt;9&lt;/sup&gt;","plainTextFormattedCitation":"9","previouslyFormattedCitation":"&lt;sup&gt;9&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9</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Despite these exciting findings, more </w:t>
      </w:r>
      <w:r>
        <w:rPr>
          <w:rFonts w:ascii="Times New Roman" w:eastAsia="Times New Roman" w:hAnsi="Times New Roman" w:cs="Times New Roman"/>
        </w:rPr>
        <w:t xml:space="preserve">refinements </w:t>
      </w:r>
      <w:r>
        <w:rPr>
          <w:rFonts w:ascii="Times New Roman" w:eastAsia="Times New Roman" w:hAnsi="Times New Roman" w:cs="Times New Roman"/>
          <w:highlight w:val="white"/>
        </w:rPr>
        <w:t>are still required. For example, combining an en</w:t>
      </w:r>
      <w:bookmarkStart w:id="0" w:name="_GoBack"/>
      <w:bookmarkEnd w:id="0"/>
      <w:r>
        <w:rPr>
          <w:rFonts w:ascii="Times New Roman" w:eastAsia="Times New Roman" w:hAnsi="Times New Roman" w:cs="Times New Roman"/>
          <w:highlight w:val="white"/>
        </w:rPr>
        <w:t>capsulation device</w:t>
      </w:r>
      <w:r>
        <w:rPr>
          <w:rFonts w:ascii="Times New Roman" w:eastAsia="Times New Roman" w:hAnsi="Times New Roman" w:cs="Times New Roman"/>
          <w:highlight w:val="white"/>
        </w:rPr>
        <w:fldChar w:fldCharType="begin" w:fldLock="1"/>
      </w:r>
      <w:r>
        <w:rPr>
          <w:rFonts w:ascii="Times New Roman" w:eastAsia="Times New Roman" w:hAnsi="Times New Roman" w:cs="Times New Roman"/>
          <w:highlight w:val="white"/>
        </w:rPr>
        <w:instrText>ADDIN CSL_CITATION {"citationItems":[{"id":"ITEM-1","itemData":{"DOI":"10.1126/scitranslmed.abb4601","ISSN":"19466242","PMID":"34078744","abstract":"Transplantation of stem cell-derived β (SC-β) cells represents a promising therapy for type 1 diabetes (T1D). However, the delivery, maintenance, and retrieval of these cells remain a challenge. Here, we report the design of a safe and functional device composed of a highly porous, durable nanofibrous skin and an immunoprotective hydrogel core. The device consists of electrospun medical-grade thermoplastic silicone-polycarbonate-urethane and is soft but tough (~15 megapascal at a rupture strain of &gt;2). Tuning the nanofiber size to less than ~500 nanometers prevented cell penetration while maintaining maximum mass transfer and decreased cellular overgrowth on blank (cell-free) devices to as low as a single-cell layer (~3 micrometers thick) when implanted in the peritoneal cavity of mice. We confirmed device safety, indicated as continuous containment of proliferative cells within the device for 5 months. Encapsulating syngeneic, allogeneic, or xenogeneic rodent islets within the device corrected chemically induced diabetes in mice and cells remained functional for up to 200 days. The function of human SC-β cells was supported by the device, and it reversed diabetes within 1 week of implantation in immunodeficient and immunocompetent mice, for up to 120 and 60 days, respectively. We demonstrated the scalability and retrievability of the device in dogs and observed viable human SC-β cells despite xenogeneic immune responses. The nanofibrous device design may therefore provide a translatable solution to the balance between safety and functionality in developing stem cell-based therapies for T1D.","author":[{"dropping-particle":"","family":"Wang","given":"Xi","non-dropping-particle":"","parse-names":false,"suffix":""},{"dropping-particle":"","family":"Maxwell","given":"Kristina G.","non-dropping-particle":"","parse-names":false,"suffix":""},{"dropping-particle":"","family":"Wang","given":"Kai","non-dropping-particle":"","parse-names":false,"suffix":""},{"dropping-particle":"","family":"Bowers","given":"Daniel T.","non-dropping-particle":"","parse-names":false,"suffix":""},{"dropping-particle":"","family":"Flanders","given":"James A.","non-dropping-particle":"","parse-names":false,"suffix":""},{"dropping-particle":"","family":"Liu","given":"Wanjun","non-dropping-particle":"","parse-names":false,"suffix":""},{"dropping-particle":"","family":"Wang","given":"Long Hai","non-dropping-particle":"","parse-names":false,"suffix":""},{"dropping-particle":"","family":"Liu","given":"Qingsheng","non-dropping-particle":"","parse-names":false,"suffix":""},{"dropping-particle":"","family":"Liu","given":"Chengyang","non-dropping-particle":"","parse-names":false,"suffix":""},{"dropping-particle":"","family":"Naji","given":"Ali","non-dropping-particle":"","parse-names":false,"suffix":""},{"dropping-particle":"","family":"Wang","given":"Yong","non-dropping-particle":"","parse-names":false,"suffix":""},{"dropping-particle":"","family":"Wang","given":"Bo","non-dropping-particle":"","parse-names":false,"suffix":""},{"dropping-particle":"","family":"Chen","given":"Jing","non-dropping-particle":"","parse-names":false,"suffix":""},{"dropping-particle":"","family":"Ernst","given":"Alexander U.","non-dropping-particle":"","parse-names":false,"suffix":""},{"dropping-particle":"","family":"Melero-Martin","given":"Juan M.","non-dropping-particle":"","parse-names":false,"suffix":""},{"dropping-particle":"","family":"Millman","given":"Jeffrey R.","non-dropping-particle":"","parse-names":false,"suffix":""},{"dropping-particle":"","family":"Ma","given":"Minglin","non-dropping-particle":"","parse-names":false,"suffix":""}],"container-title":"Science Translational Medicine","id":"ITEM-1","issue":"596","issued":{"date-parts":[["2021"]]},"page":"1-19","title":"A nanofibrous encapsulation device for safe delivery of insulin-producing cells to treat type 1 diabetes","type":"article-journal","volume":"13"},"uris":["http://www.mendeley.com/documents/?uuid=3486dddf-683d-49ad-b77d-f9121b821d34"]}],"mendeley":{"formattedCitation":"&lt;sup&gt;10&lt;/sup&gt;","plainTextFormattedCitation":"10","previouslyFormattedCitation":"&lt;sup&gt;10&lt;/sup&gt;"},"properties":{"noteIndex":0},"schema":"https://github.com/citation-style-language/schema/raw/master/csl-citation.json"}</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noProof/>
          <w:highlight w:val="white"/>
          <w:vertAlign w:val="superscript"/>
        </w:rPr>
        <w:t>10</w:t>
      </w:r>
      <w:r>
        <w:rPr>
          <w:rFonts w:ascii="Times New Roman" w:eastAsia="Times New Roman" w:hAnsi="Times New Roman" w:cs="Times New Roman"/>
          <w:highlight w:val="white"/>
        </w:rPr>
        <w:fldChar w:fldCharType="end"/>
      </w:r>
      <w:r>
        <w:rPr>
          <w:rFonts w:ascii="Times New Roman" w:eastAsia="Times New Roman" w:hAnsi="Times New Roman" w:cs="Times New Roman"/>
          <w:highlight w:val="white"/>
        </w:rPr>
        <w:t xml:space="preserve"> with </w:t>
      </w:r>
      <w:proofErr w:type="spellStart"/>
      <w:r>
        <w:rPr>
          <w:rFonts w:ascii="Times New Roman" w:eastAsia="Times New Roman" w:hAnsi="Times New Roman" w:cs="Times New Roman"/>
          <w:highlight w:val="white"/>
        </w:rPr>
        <w:t>microvessels</w:t>
      </w:r>
      <w:proofErr w:type="spellEnd"/>
      <w:r>
        <w:rPr>
          <w:rFonts w:ascii="Times New Roman" w:eastAsia="Times New Roman" w:hAnsi="Times New Roman" w:cs="Times New Roman"/>
          <w:highlight w:val="white"/>
        </w:rPr>
        <w:t xml:space="preserve"> could be a more efficient way of delivering and sustaining functional </w:t>
      </w:r>
      <w:r>
        <w:rPr>
          <w:rFonts w:ascii="Times New Roman" w:hAnsi="Times New Roman" w:cs="Times New Roman"/>
        </w:rPr>
        <w:t>SC-islets</w:t>
      </w:r>
      <w:r>
        <w:rPr>
          <w:rFonts w:ascii="Times New Roman" w:eastAsia="Times New Roman" w:hAnsi="Times New Roman" w:cs="Times New Roman"/>
          <w:highlight w:val="white"/>
        </w:rPr>
        <w:t xml:space="preserve"> and primary human islets </w:t>
      </w:r>
      <w:r>
        <w:rPr>
          <w:rFonts w:ascii="Times New Roman" w:eastAsia="Times New Roman" w:hAnsi="Times New Roman" w:cs="Times New Roman"/>
        </w:rPr>
        <w:t xml:space="preserve">through reducing </w:t>
      </w:r>
      <w:r>
        <w:rPr>
          <w:rFonts w:ascii="Times New Roman" w:eastAsia="Times New Roman" w:hAnsi="Times New Roman" w:cs="Times New Roman"/>
          <w:highlight w:val="white"/>
        </w:rPr>
        <w:t xml:space="preserve">graft rejection by the host immune system. </w:t>
      </w:r>
    </w:p>
    <w:p>
      <w:pPr>
        <w:shd w:val="clear" w:color="auto" w:fill="FFFFFF"/>
        <w:spacing w:line="360" w:lineRule="auto"/>
        <w:jc w:val="both"/>
        <w:rPr>
          <w:rFonts w:ascii="Times New Roman" w:eastAsia="Times New Roman" w:hAnsi="Times New Roman" w:cs="Times New Roman"/>
          <w:b/>
        </w:rPr>
      </w:pPr>
      <w:r>
        <w:rPr>
          <w:rFonts w:ascii="Times New Roman" w:eastAsia="Times New Roman" w:hAnsi="Times New Roman" w:cs="Times New Roman"/>
        </w:rPr>
        <w:t xml:space="preserve">These studies have important implications for deciphering the </w:t>
      </w:r>
      <w:proofErr w:type="spellStart"/>
      <w:r>
        <w:rPr>
          <w:rFonts w:ascii="Times New Roman" w:eastAsia="Times New Roman" w:hAnsi="Times New Roman" w:cs="Times New Roman"/>
        </w:rPr>
        <w:t>pathomechanism</w:t>
      </w:r>
      <w:proofErr w:type="spellEnd"/>
      <w:r>
        <w:rPr>
          <w:rFonts w:ascii="Times New Roman" w:eastAsia="Times New Roman" w:hAnsi="Times New Roman" w:cs="Times New Roman"/>
        </w:rPr>
        <w:t xml:space="preserve"> of β-cell failure and developing new approaches to regenerate or replace them. Continuing advancements in single-cell multi-omics approaches,</w:t>
      </w:r>
      <w:r>
        <w:rPr>
          <w:rFonts w:ascii="Times New Roman" w:eastAsia="Times New Roman" w:hAnsi="Times New Roman" w:cs="Times New Roman"/>
          <w:b/>
          <w:color w:val="0000FF"/>
          <w:highlight w:val="white"/>
        </w:rPr>
        <w:t xml:space="preserve"> </w:t>
      </w:r>
      <w:r>
        <w:rPr>
          <w:rFonts w:ascii="Times New Roman" w:eastAsia="Times New Roman" w:hAnsi="Times New Roman" w:cs="Times New Roman"/>
        </w:rPr>
        <w:t xml:space="preserve">coupled with functional validations, will provide deeper insights into β-cell dysfunction in T1DM and T2DM. </w:t>
      </w:r>
      <w:r>
        <w:rPr>
          <w:rFonts w:ascii="Times New Roman" w:eastAsia="Times New Roman" w:hAnsi="Times New Roman" w:cs="Times New Roman"/>
          <w:color w:val="222222"/>
        </w:rPr>
        <w:t xml:space="preserve">These advancements </w:t>
      </w:r>
      <w:proofErr w:type="gramStart"/>
      <w:r>
        <w:rPr>
          <w:rFonts w:ascii="Times New Roman" w:eastAsia="Times New Roman" w:hAnsi="Times New Roman" w:cs="Times New Roman"/>
          <w:color w:val="222222"/>
        </w:rPr>
        <w:t>will  find</w:t>
      </w:r>
      <w:proofErr w:type="gramEnd"/>
      <w:r>
        <w:rPr>
          <w:rFonts w:ascii="Times New Roman" w:eastAsia="Times New Roman" w:hAnsi="Times New Roman" w:cs="Times New Roman"/>
          <w:color w:val="222222"/>
        </w:rPr>
        <w:t xml:space="preserve"> novel intervention targets for </w:t>
      </w:r>
      <w:r>
        <w:rPr>
          <w:rFonts w:ascii="Times New Roman" w:eastAsia="Times New Roman" w:hAnsi="Times New Roman" w:cs="Times New Roman"/>
        </w:rPr>
        <w:t>β-</w:t>
      </w:r>
      <w:r>
        <w:rPr>
          <w:rFonts w:ascii="Times New Roman" w:eastAsia="Times New Roman" w:hAnsi="Times New Roman" w:cs="Times New Roman"/>
          <w:color w:val="222222"/>
        </w:rPr>
        <w:t xml:space="preserve">cell protection and/or regeneration, which together with improvements in regenerative medicine  will improve quality of life in people with diabetes mellitus. </w:t>
      </w:r>
    </w:p>
    <w:p>
      <w:pPr>
        <w:shd w:val="clear" w:color="auto" w:fill="FFFFFF"/>
        <w:spacing w:line="360" w:lineRule="auto"/>
        <w:jc w:val="both"/>
        <w:rPr>
          <w:rFonts w:ascii="Times New Roman" w:eastAsia="Times New Roman" w:hAnsi="Times New Roman" w:cs="Times New Roman"/>
          <w:sz w:val="20"/>
          <w:szCs w:val="20"/>
          <w:highlight w:val="white"/>
        </w:rPr>
      </w:pPr>
    </w:p>
    <w:p>
      <w:pPr>
        <w:shd w:val="clear" w:color="auto" w:fill="FFFFFF"/>
        <w:spacing w:line="240" w:lineRule="auto"/>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References</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eastAsia="Times New Roman" w:hAnsi="Times New Roman" w:cs="Times New Roman"/>
          <w:b/>
          <w:szCs w:val="20"/>
          <w:highlight w:val="white"/>
        </w:rPr>
        <w:fldChar w:fldCharType="begin" w:fldLock="1"/>
      </w:r>
      <w:r>
        <w:rPr>
          <w:rFonts w:ascii="Times New Roman" w:eastAsia="Times New Roman" w:hAnsi="Times New Roman" w:cs="Times New Roman"/>
          <w:b/>
          <w:szCs w:val="20"/>
          <w:highlight w:val="white"/>
        </w:rPr>
        <w:instrText xml:space="preserve">ADDIN Mendeley Bibliography CSL_BIBLIOGRAPHY </w:instrText>
      </w:r>
      <w:r>
        <w:rPr>
          <w:rFonts w:ascii="Times New Roman" w:eastAsia="Times New Roman" w:hAnsi="Times New Roman" w:cs="Times New Roman"/>
          <w:b/>
          <w:szCs w:val="20"/>
          <w:highlight w:val="white"/>
        </w:rPr>
        <w:fldChar w:fldCharType="separate"/>
      </w:r>
      <w:r>
        <w:rPr>
          <w:rFonts w:ascii="Times New Roman" w:hAnsi="Times New Roman" w:cs="Times New Roman"/>
          <w:noProof/>
          <w:szCs w:val="24"/>
        </w:rPr>
        <w:t>1.</w:t>
      </w:r>
      <w:r>
        <w:rPr>
          <w:rFonts w:ascii="Times New Roman" w:hAnsi="Times New Roman" w:cs="Times New Roman"/>
          <w:noProof/>
          <w:szCs w:val="24"/>
        </w:rPr>
        <w:tab/>
        <w:t xml:space="preserve">Sims, E. K., Carr, A. L. J., Oram, R. A., DiMeglio, L. A. &amp; Evans-Molina, C. 100 Years of Insulin: Celebrating the Past, Present and Future of Diabetes Therapy. </w:t>
      </w:r>
      <w:r>
        <w:rPr>
          <w:rFonts w:ascii="Times New Roman" w:hAnsi="Times New Roman" w:cs="Times New Roman"/>
          <w:i/>
          <w:iCs/>
          <w:noProof/>
          <w:szCs w:val="24"/>
        </w:rPr>
        <w:t>Nat. Med.</w:t>
      </w:r>
      <w:r>
        <w:rPr>
          <w:rFonts w:ascii="Times New Roman" w:hAnsi="Times New Roman" w:cs="Times New Roman"/>
          <w:noProof/>
          <w:szCs w:val="24"/>
        </w:rPr>
        <w:t xml:space="preserve"> </w:t>
      </w:r>
      <w:r>
        <w:rPr>
          <w:rFonts w:ascii="Times New Roman" w:hAnsi="Times New Roman" w:cs="Times New Roman"/>
          <w:b/>
          <w:bCs/>
          <w:noProof/>
          <w:szCs w:val="24"/>
        </w:rPr>
        <w:t>27</w:t>
      </w:r>
      <w:r>
        <w:rPr>
          <w:rFonts w:ascii="Times New Roman" w:hAnsi="Times New Roman" w:cs="Times New Roman"/>
          <w:noProof/>
          <w:szCs w:val="24"/>
        </w:rPr>
        <w:t>, 1154–1164 (2021).</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2.</w:t>
      </w:r>
      <w:r>
        <w:rPr>
          <w:rFonts w:ascii="Times New Roman" w:hAnsi="Times New Roman" w:cs="Times New Roman"/>
          <w:noProof/>
          <w:szCs w:val="24"/>
        </w:rPr>
        <w:tab/>
        <w:t xml:space="preserve">Chiou, J. </w:t>
      </w:r>
      <w:r>
        <w:rPr>
          <w:rFonts w:ascii="Times New Roman" w:hAnsi="Times New Roman" w:cs="Times New Roman"/>
          <w:i/>
          <w:iCs/>
          <w:noProof/>
          <w:szCs w:val="24"/>
        </w:rPr>
        <w:t>et al.</w:t>
      </w:r>
      <w:r>
        <w:rPr>
          <w:rFonts w:ascii="Times New Roman" w:hAnsi="Times New Roman" w:cs="Times New Roman"/>
          <w:noProof/>
          <w:szCs w:val="24"/>
        </w:rPr>
        <w:t xml:space="preserve"> Interpreting type 1 diabetes risk with genetics and single-cell epigenomics. </w:t>
      </w:r>
      <w:r>
        <w:rPr>
          <w:rFonts w:ascii="Times New Roman" w:hAnsi="Times New Roman" w:cs="Times New Roman"/>
          <w:i/>
          <w:iCs/>
          <w:noProof/>
          <w:szCs w:val="24"/>
        </w:rPr>
        <w:t>Nature</w:t>
      </w:r>
      <w:r>
        <w:rPr>
          <w:rFonts w:ascii="Times New Roman" w:hAnsi="Times New Roman" w:cs="Times New Roman"/>
          <w:noProof/>
          <w:szCs w:val="24"/>
        </w:rPr>
        <w:t xml:space="preserve"> </w:t>
      </w:r>
      <w:r>
        <w:rPr>
          <w:rFonts w:ascii="Times New Roman" w:hAnsi="Times New Roman" w:cs="Times New Roman"/>
          <w:b/>
          <w:bCs/>
          <w:noProof/>
          <w:szCs w:val="24"/>
        </w:rPr>
        <w:t>594</w:t>
      </w:r>
      <w:r>
        <w:rPr>
          <w:rFonts w:ascii="Times New Roman" w:hAnsi="Times New Roman" w:cs="Times New Roman"/>
          <w:noProof/>
          <w:szCs w:val="24"/>
        </w:rPr>
        <w:t>, 398–402 (2021).</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3.</w:t>
      </w:r>
      <w:r>
        <w:rPr>
          <w:rFonts w:ascii="Times New Roman" w:hAnsi="Times New Roman" w:cs="Times New Roman"/>
          <w:noProof/>
          <w:szCs w:val="24"/>
        </w:rPr>
        <w:tab/>
        <w:t xml:space="preserve">Chiou, J. </w:t>
      </w:r>
      <w:r>
        <w:rPr>
          <w:rFonts w:ascii="Times New Roman" w:hAnsi="Times New Roman" w:cs="Times New Roman"/>
          <w:i/>
          <w:iCs/>
          <w:noProof/>
          <w:szCs w:val="24"/>
        </w:rPr>
        <w:t>et al.</w:t>
      </w:r>
      <w:r>
        <w:rPr>
          <w:rFonts w:ascii="Times New Roman" w:hAnsi="Times New Roman" w:cs="Times New Roman"/>
          <w:noProof/>
          <w:szCs w:val="24"/>
        </w:rPr>
        <w:t xml:space="preserve"> Single-cell chromatin accessibility identifies pancreatic islet cell type– and state-specific regulatory programs of diabetes risk. </w:t>
      </w:r>
      <w:r>
        <w:rPr>
          <w:rFonts w:ascii="Times New Roman" w:hAnsi="Times New Roman" w:cs="Times New Roman"/>
          <w:i/>
          <w:iCs/>
          <w:noProof/>
          <w:szCs w:val="24"/>
        </w:rPr>
        <w:t>Nat. Genet.</w:t>
      </w:r>
      <w:r>
        <w:rPr>
          <w:rFonts w:ascii="Times New Roman" w:hAnsi="Times New Roman" w:cs="Times New Roman"/>
          <w:noProof/>
          <w:szCs w:val="24"/>
        </w:rPr>
        <w:t xml:space="preserve"> </w:t>
      </w:r>
      <w:r>
        <w:rPr>
          <w:rFonts w:ascii="Times New Roman" w:hAnsi="Times New Roman" w:cs="Times New Roman"/>
          <w:b/>
          <w:bCs/>
          <w:noProof/>
          <w:szCs w:val="24"/>
        </w:rPr>
        <w:t>53</w:t>
      </w:r>
      <w:r>
        <w:rPr>
          <w:rFonts w:ascii="Times New Roman" w:hAnsi="Times New Roman" w:cs="Times New Roman"/>
          <w:noProof/>
          <w:szCs w:val="24"/>
        </w:rPr>
        <w:t>, 455–466 (2021).</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4.</w:t>
      </w:r>
      <w:r>
        <w:rPr>
          <w:rFonts w:ascii="Times New Roman" w:hAnsi="Times New Roman" w:cs="Times New Roman"/>
          <w:noProof/>
          <w:szCs w:val="24"/>
        </w:rPr>
        <w:tab/>
        <w:t xml:space="preserve">Wigger, L. </w:t>
      </w:r>
      <w:r>
        <w:rPr>
          <w:rFonts w:ascii="Times New Roman" w:hAnsi="Times New Roman" w:cs="Times New Roman"/>
          <w:i/>
          <w:iCs/>
          <w:noProof/>
          <w:szCs w:val="24"/>
        </w:rPr>
        <w:t>et al.</w:t>
      </w:r>
      <w:r>
        <w:rPr>
          <w:rFonts w:ascii="Times New Roman" w:hAnsi="Times New Roman" w:cs="Times New Roman"/>
          <w:noProof/>
          <w:szCs w:val="24"/>
        </w:rPr>
        <w:t xml:space="preserve"> Multi-omics profiling of living human pancreatic islet donors reveals heterogeneous beta cell trajectories towards type 2 diabetes. </w:t>
      </w:r>
      <w:r>
        <w:rPr>
          <w:rFonts w:ascii="Times New Roman" w:hAnsi="Times New Roman" w:cs="Times New Roman"/>
          <w:i/>
          <w:iCs/>
          <w:noProof/>
          <w:szCs w:val="24"/>
        </w:rPr>
        <w:t>Nat. Metab.</w:t>
      </w:r>
      <w:r>
        <w:rPr>
          <w:rFonts w:ascii="Times New Roman" w:hAnsi="Times New Roman" w:cs="Times New Roman"/>
          <w:noProof/>
          <w:szCs w:val="24"/>
        </w:rPr>
        <w:t xml:space="preserve"> </w:t>
      </w:r>
      <w:r>
        <w:rPr>
          <w:rFonts w:ascii="Times New Roman" w:hAnsi="Times New Roman" w:cs="Times New Roman"/>
          <w:b/>
          <w:bCs/>
          <w:noProof/>
          <w:szCs w:val="24"/>
        </w:rPr>
        <w:t>3</w:t>
      </w:r>
      <w:r>
        <w:rPr>
          <w:rFonts w:ascii="Times New Roman" w:hAnsi="Times New Roman" w:cs="Times New Roman"/>
          <w:noProof/>
          <w:szCs w:val="24"/>
        </w:rPr>
        <w:t>, 1017–1031 (2021).</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5.</w:t>
      </w:r>
      <w:r>
        <w:rPr>
          <w:rFonts w:ascii="Times New Roman" w:hAnsi="Times New Roman" w:cs="Times New Roman"/>
          <w:noProof/>
          <w:szCs w:val="24"/>
        </w:rPr>
        <w:tab/>
        <w:t xml:space="preserve">Butler, A. E. </w:t>
      </w:r>
      <w:r>
        <w:rPr>
          <w:rFonts w:ascii="Times New Roman" w:hAnsi="Times New Roman" w:cs="Times New Roman"/>
          <w:i/>
          <w:iCs/>
          <w:noProof/>
          <w:szCs w:val="24"/>
        </w:rPr>
        <w:t>et al.</w:t>
      </w:r>
      <w:r>
        <w:rPr>
          <w:rFonts w:ascii="Times New Roman" w:hAnsi="Times New Roman" w:cs="Times New Roman"/>
          <w:noProof/>
          <w:szCs w:val="24"/>
        </w:rPr>
        <w:t xml:space="preserve"> β-Cell Deficit in Obese Type 2 Diabetes, a Minor Role of β-Cell Dedifferentiation and Degranulation. </w:t>
      </w:r>
      <w:r>
        <w:rPr>
          <w:rFonts w:ascii="Times New Roman" w:hAnsi="Times New Roman" w:cs="Times New Roman"/>
          <w:i/>
          <w:iCs/>
          <w:noProof/>
          <w:szCs w:val="24"/>
        </w:rPr>
        <w:t>J. Clin. Endocrinol. Metab.</w:t>
      </w:r>
      <w:r>
        <w:rPr>
          <w:rFonts w:ascii="Times New Roman" w:hAnsi="Times New Roman" w:cs="Times New Roman"/>
          <w:noProof/>
          <w:szCs w:val="24"/>
        </w:rPr>
        <w:t xml:space="preserve"> </w:t>
      </w:r>
      <w:r>
        <w:rPr>
          <w:rFonts w:ascii="Times New Roman" w:hAnsi="Times New Roman" w:cs="Times New Roman"/>
          <w:b/>
          <w:bCs/>
          <w:noProof/>
          <w:szCs w:val="24"/>
        </w:rPr>
        <w:t>101</w:t>
      </w:r>
      <w:r>
        <w:rPr>
          <w:rFonts w:ascii="Times New Roman" w:hAnsi="Times New Roman" w:cs="Times New Roman"/>
          <w:noProof/>
          <w:szCs w:val="24"/>
        </w:rPr>
        <w:t>, 523–32 (2016).</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6.</w:t>
      </w:r>
      <w:r>
        <w:rPr>
          <w:rFonts w:ascii="Times New Roman" w:hAnsi="Times New Roman" w:cs="Times New Roman"/>
          <w:noProof/>
          <w:szCs w:val="24"/>
        </w:rPr>
        <w:tab/>
        <w:t xml:space="preserve">Cinti, F. </w:t>
      </w:r>
      <w:r>
        <w:rPr>
          <w:rFonts w:ascii="Times New Roman" w:hAnsi="Times New Roman" w:cs="Times New Roman"/>
          <w:i/>
          <w:iCs/>
          <w:noProof/>
          <w:szCs w:val="24"/>
        </w:rPr>
        <w:t>et al.</w:t>
      </w:r>
      <w:r>
        <w:rPr>
          <w:rFonts w:ascii="Times New Roman" w:hAnsi="Times New Roman" w:cs="Times New Roman"/>
          <w:noProof/>
          <w:szCs w:val="24"/>
        </w:rPr>
        <w:t xml:space="preserve"> Evidence of β-cell dedifferentiation in human type 2 diabetes. </w:t>
      </w:r>
      <w:r>
        <w:rPr>
          <w:rFonts w:ascii="Times New Roman" w:hAnsi="Times New Roman" w:cs="Times New Roman"/>
          <w:i/>
          <w:iCs/>
          <w:noProof/>
          <w:szCs w:val="24"/>
        </w:rPr>
        <w:t>J. Clin. Endocrinol. Metab.</w:t>
      </w:r>
      <w:r>
        <w:rPr>
          <w:rFonts w:ascii="Times New Roman" w:hAnsi="Times New Roman" w:cs="Times New Roman"/>
          <w:noProof/>
          <w:szCs w:val="24"/>
        </w:rPr>
        <w:t xml:space="preserve"> </w:t>
      </w:r>
      <w:r>
        <w:rPr>
          <w:rFonts w:ascii="Times New Roman" w:hAnsi="Times New Roman" w:cs="Times New Roman"/>
          <w:b/>
          <w:bCs/>
          <w:noProof/>
          <w:szCs w:val="24"/>
        </w:rPr>
        <w:t>101</w:t>
      </w:r>
      <w:r>
        <w:rPr>
          <w:rFonts w:ascii="Times New Roman" w:hAnsi="Times New Roman" w:cs="Times New Roman"/>
          <w:noProof/>
          <w:szCs w:val="24"/>
        </w:rPr>
        <w:t>, 1044–54 (2016).</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7.</w:t>
      </w:r>
      <w:r>
        <w:rPr>
          <w:rFonts w:ascii="Times New Roman" w:hAnsi="Times New Roman" w:cs="Times New Roman"/>
          <w:noProof/>
          <w:szCs w:val="24"/>
        </w:rPr>
        <w:tab/>
        <w:t xml:space="preserve">Ansarullah </w:t>
      </w:r>
      <w:r>
        <w:rPr>
          <w:rFonts w:ascii="Times New Roman" w:hAnsi="Times New Roman" w:cs="Times New Roman"/>
          <w:i/>
          <w:iCs/>
          <w:noProof/>
          <w:szCs w:val="24"/>
        </w:rPr>
        <w:t>et al.</w:t>
      </w:r>
      <w:r>
        <w:rPr>
          <w:rFonts w:ascii="Times New Roman" w:hAnsi="Times New Roman" w:cs="Times New Roman"/>
          <w:noProof/>
          <w:szCs w:val="24"/>
        </w:rPr>
        <w:t xml:space="preserve"> Inceptor counteracts insulin signalling in β-cells to control glycaemia. </w:t>
      </w:r>
      <w:r>
        <w:rPr>
          <w:rFonts w:ascii="Times New Roman" w:hAnsi="Times New Roman" w:cs="Times New Roman"/>
          <w:i/>
          <w:iCs/>
          <w:noProof/>
          <w:szCs w:val="24"/>
        </w:rPr>
        <w:t>Nature</w:t>
      </w:r>
      <w:r>
        <w:rPr>
          <w:rFonts w:ascii="Times New Roman" w:hAnsi="Times New Roman" w:cs="Times New Roman"/>
          <w:noProof/>
          <w:szCs w:val="24"/>
        </w:rPr>
        <w:t xml:space="preserve"> </w:t>
      </w:r>
      <w:r>
        <w:rPr>
          <w:rFonts w:ascii="Times New Roman" w:hAnsi="Times New Roman" w:cs="Times New Roman"/>
          <w:b/>
          <w:bCs/>
          <w:noProof/>
          <w:szCs w:val="24"/>
        </w:rPr>
        <w:t>590</w:t>
      </w:r>
      <w:r>
        <w:rPr>
          <w:rFonts w:ascii="Times New Roman" w:hAnsi="Times New Roman" w:cs="Times New Roman"/>
          <w:noProof/>
          <w:szCs w:val="24"/>
        </w:rPr>
        <w:t>, 326–331 (2021).</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8.</w:t>
      </w:r>
      <w:r>
        <w:rPr>
          <w:rFonts w:ascii="Times New Roman" w:hAnsi="Times New Roman" w:cs="Times New Roman"/>
          <w:noProof/>
          <w:szCs w:val="24"/>
        </w:rPr>
        <w:tab/>
        <w:t xml:space="preserve">Ueki, K. </w:t>
      </w:r>
      <w:r>
        <w:rPr>
          <w:rFonts w:ascii="Times New Roman" w:hAnsi="Times New Roman" w:cs="Times New Roman"/>
          <w:i/>
          <w:iCs/>
          <w:noProof/>
          <w:szCs w:val="24"/>
        </w:rPr>
        <w:t>et al.</w:t>
      </w:r>
      <w:r>
        <w:rPr>
          <w:rFonts w:ascii="Times New Roman" w:hAnsi="Times New Roman" w:cs="Times New Roman"/>
          <w:noProof/>
          <w:szCs w:val="24"/>
        </w:rPr>
        <w:t xml:space="preserve"> Total insulin and IGF-I resistance in pancreatic β cells causes overt diabetes. </w:t>
      </w:r>
      <w:r>
        <w:rPr>
          <w:rFonts w:ascii="Times New Roman" w:hAnsi="Times New Roman" w:cs="Times New Roman"/>
          <w:i/>
          <w:iCs/>
          <w:noProof/>
          <w:szCs w:val="24"/>
        </w:rPr>
        <w:t>Nat. Genet.</w:t>
      </w:r>
      <w:r>
        <w:rPr>
          <w:rFonts w:ascii="Times New Roman" w:hAnsi="Times New Roman" w:cs="Times New Roman"/>
          <w:noProof/>
          <w:szCs w:val="24"/>
        </w:rPr>
        <w:t xml:space="preserve"> </w:t>
      </w:r>
      <w:r>
        <w:rPr>
          <w:rFonts w:ascii="Times New Roman" w:hAnsi="Times New Roman" w:cs="Times New Roman"/>
          <w:b/>
          <w:bCs/>
          <w:noProof/>
          <w:szCs w:val="24"/>
        </w:rPr>
        <w:t>38</w:t>
      </w:r>
      <w:r>
        <w:rPr>
          <w:rFonts w:ascii="Times New Roman" w:hAnsi="Times New Roman" w:cs="Times New Roman"/>
          <w:noProof/>
          <w:szCs w:val="24"/>
        </w:rPr>
        <w:t>, 583–588 (2006).</w:t>
      </w:r>
    </w:p>
    <w:p>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noProof/>
          <w:szCs w:val="24"/>
        </w:rPr>
        <w:t>9.</w:t>
      </w:r>
      <w:r>
        <w:rPr>
          <w:rFonts w:ascii="Times New Roman" w:hAnsi="Times New Roman" w:cs="Times New Roman"/>
          <w:noProof/>
          <w:szCs w:val="24"/>
        </w:rPr>
        <w:tab/>
        <w:t xml:space="preserve">Aghazadeh, Y. </w:t>
      </w:r>
      <w:r>
        <w:rPr>
          <w:rFonts w:ascii="Times New Roman" w:hAnsi="Times New Roman" w:cs="Times New Roman"/>
          <w:i/>
          <w:iCs/>
          <w:noProof/>
          <w:szCs w:val="24"/>
        </w:rPr>
        <w:t>et al.</w:t>
      </w:r>
      <w:r>
        <w:rPr>
          <w:rFonts w:ascii="Times New Roman" w:hAnsi="Times New Roman" w:cs="Times New Roman"/>
          <w:noProof/>
          <w:szCs w:val="24"/>
        </w:rPr>
        <w:t xml:space="preserve"> Microvessels support engraftment and functionality of human islets and hESC-derived pancreatic progenitors in diabetes models. </w:t>
      </w:r>
      <w:r>
        <w:rPr>
          <w:rFonts w:ascii="Times New Roman" w:hAnsi="Times New Roman" w:cs="Times New Roman"/>
          <w:i/>
          <w:iCs/>
          <w:noProof/>
          <w:szCs w:val="24"/>
        </w:rPr>
        <w:t>Cell Stem Cell</w:t>
      </w:r>
      <w:r>
        <w:rPr>
          <w:rFonts w:ascii="Times New Roman" w:hAnsi="Times New Roman" w:cs="Times New Roman"/>
          <w:noProof/>
          <w:szCs w:val="24"/>
        </w:rPr>
        <w:t xml:space="preserve">  doi:10.1016/j.stem.2021.08.001 (2021).</w:t>
      </w:r>
    </w:p>
    <w:p>
      <w:pPr>
        <w:widowControl w:val="0"/>
        <w:autoSpaceDE w:val="0"/>
        <w:autoSpaceDN w:val="0"/>
        <w:adjustRightInd w:val="0"/>
        <w:spacing w:line="240" w:lineRule="auto"/>
        <w:ind w:left="640" w:hanging="640"/>
        <w:rPr>
          <w:rFonts w:ascii="Times New Roman" w:eastAsia="Times New Roman" w:hAnsi="Times New Roman" w:cs="Times New Roman"/>
          <w:b/>
          <w:szCs w:val="20"/>
        </w:rPr>
      </w:pPr>
      <w:r>
        <w:rPr>
          <w:rFonts w:ascii="Times New Roman" w:hAnsi="Times New Roman" w:cs="Times New Roman"/>
          <w:noProof/>
          <w:szCs w:val="24"/>
        </w:rPr>
        <w:t>10.</w:t>
      </w:r>
      <w:r>
        <w:rPr>
          <w:rFonts w:ascii="Times New Roman" w:hAnsi="Times New Roman" w:cs="Times New Roman"/>
          <w:noProof/>
          <w:szCs w:val="24"/>
        </w:rPr>
        <w:tab/>
        <w:t xml:space="preserve">Wang, X. </w:t>
      </w:r>
      <w:r>
        <w:rPr>
          <w:rFonts w:ascii="Times New Roman" w:hAnsi="Times New Roman" w:cs="Times New Roman"/>
          <w:i/>
          <w:iCs/>
          <w:noProof/>
          <w:szCs w:val="24"/>
        </w:rPr>
        <w:t>et al.</w:t>
      </w:r>
      <w:r>
        <w:rPr>
          <w:rFonts w:ascii="Times New Roman" w:hAnsi="Times New Roman" w:cs="Times New Roman"/>
          <w:noProof/>
          <w:szCs w:val="24"/>
        </w:rPr>
        <w:t xml:space="preserve"> A nanofibrous encapsulation device for safe delivery of insulin-producing cells to treat type 1 diabetes. </w:t>
      </w:r>
      <w:r>
        <w:rPr>
          <w:rFonts w:ascii="Times New Roman" w:hAnsi="Times New Roman" w:cs="Times New Roman"/>
          <w:i/>
          <w:iCs/>
          <w:noProof/>
          <w:szCs w:val="24"/>
        </w:rPr>
        <w:t>Sci. Transl. Med.</w:t>
      </w:r>
      <w:r>
        <w:rPr>
          <w:rFonts w:ascii="Times New Roman" w:hAnsi="Times New Roman" w:cs="Times New Roman"/>
          <w:noProof/>
          <w:szCs w:val="24"/>
        </w:rPr>
        <w:t xml:space="preserve"> </w:t>
      </w:r>
      <w:r>
        <w:rPr>
          <w:rFonts w:ascii="Times New Roman" w:hAnsi="Times New Roman" w:cs="Times New Roman"/>
          <w:b/>
          <w:bCs/>
          <w:noProof/>
          <w:szCs w:val="24"/>
        </w:rPr>
        <w:t>13</w:t>
      </w:r>
      <w:r>
        <w:rPr>
          <w:rFonts w:ascii="Times New Roman" w:hAnsi="Times New Roman" w:cs="Times New Roman"/>
          <w:noProof/>
          <w:szCs w:val="24"/>
        </w:rPr>
        <w:t>, 1–19 (2021).</w:t>
      </w:r>
      <w:r>
        <w:rPr>
          <w:rFonts w:ascii="Times New Roman" w:eastAsia="Times New Roman" w:hAnsi="Times New Roman" w:cs="Times New Roman"/>
          <w:b/>
          <w:szCs w:val="20"/>
          <w:highlight w:val="white"/>
        </w:rPr>
        <w:fldChar w:fldCharType="end"/>
      </w:r>
    </w:p>
    <w:p>
      <w:pPr>
        <w:widowControl w:val="0"/>
        <w:autoSpaceDE w:val="0"/>
        <w:autoSpaceDN w:val="0"/>
        <w:adjustRightInd w:val="0"/>
        <w:spacing w:line="240" w:lineRule="auto"/>
        <w:ind w:left="640" w:hanging="640"/>
        <w:rPr>
          <w:rFonts w:ascii="Times New Roman" w:eastAsia="Times New Roman" w:hAnsi="Times New Roman" w:cs="Times New Roman"/>
          <w:b/>
          <w:szCs w:val="20"/>
        </w:rPr>
      </w:pPr>
    </w:p>
    <w:p>
      <w:pPr>
        <w:widowControl w:val="0"/>
        <w:autoSpaceDE w:val="0"/>
        <w:autoSpaceDN w:val="0"/>
        <w:adjustRightInd w:val="0"/>
        <w:spacing w:line="240" w:lineRule="auto"/>
        <w:ind w:left="640" w:hanging="640"/>
        <w:rPr>
          <w:rFonts w:ascii="Times New Roman" w:eastAsia="Times New Roman" w:hAnsi="Times New Roman" w:cs="Times New Roman"/>
          <w:b/>
          <w:szCs w:val="20"/>
        </w:rPr>
      </w:pPr>
    </w:p>
    <w:p>
      <w:pPr>
        <w:widowControl w:val="0"/>
        <w:autoSpaceDE w:val="0"/>
        <w:autoSpaceDN w:val="0"/>
        <w:adjustRightInd w:val="0"/>
        <w:spacing w:line="240" w:lineRule="auto"/>
        <w:ind w:left="640" w:hanging="640"/>
        <w:rPr>
          <w:rFonts w:ascii="Times New Roman" w:eastAsia="Times New Roman" w:hAnsi="Times New Roman" w:cs="Times New Roman"/>
          <w:b/>
          <w:szCs w:val="20"/>
        </w:rPr>
      </w:pPr>
      <w:r>
        <w:rPr>
          <w:rFonts w:ascii="Times New Roman" w:eastAsia="Times New Roman" w:hAnsi="Times New Roman" w:cs="Times New Roman"/>
          <w:b/>
          <w:szCs w:val="20"/>
        </w:rPr>
        <w:t>Competing interests</w:t>
      </w:r>
    </w:p>
    <w:p>
      <w:pPr>
        <w:widowControl w:val="0"/>
        <w:autoSpaceDE w:val="0"/>
        <w:autoSpaceDN w:val="0"/>
        <w:adjustRightInd w:val="0"/>
        <w:spacing w:line="240" w:lineRule="auto"/>
        <w:ind w:left="640" w:hanging="640"/>
        <w:rPr>
          <w:rFonts w:ascii="Times New Roman" w:eastAsia="Times New Roman" w:hAnsi="Times New Roman" w:cs="Times New Roman"/>
          <w:b/>
          <w:szCs w:val="20"/>
        </w:rPr>
      </w:pPr>
    </w:p>
    <w:p>
      <w:pPr>
        <w:widowControl w:val="0"/>
        <w:autoSpaceDE w:val="0"/>
        <w:autoSpaceDN w:val="0"/>
        <w:adjustRightInd w:val="0"/>
        <w:spacing w:line="240" w:lineRule="auto"/>
        <w:ind w:left="640" w:hanging="640"/>
        <w:rPr>
          <w:rFonts w:ascii="Times New Roman" w:eastAsia="Times New Roman" w:hAnsi="Times New Roman" w:cs="Times New Roman"/>
          <w:szCs w:val="20"/>
        </w:rPr>
      </w:pPr>
      <w:r>
        <w:rPr>
          <w:rFonts w:ascii="Times New Roman" w:eastAsia="Times New Roman" w:hAnsi="Times New Roman" w:cs="Times New Roman"/>
          <w:szCs w:val="20"/>
        </w:rPr>
        <w:t>The authors declare no competing interests.</w:t>
      </w:r>
    </w:p>
    <w:p>
      <w:pPr>
        <w:widowControl w:val="0"/>
        <w:autoSpaceDE w:val="0"/>
        <w:autoSpaceDN w:val="0"/>
        <w:adjustRightInd w:val="0"/>
        <w:spacing w:line="240" w:lineRule="auto"/>
        <w:ind w:left="640" w:hanging="640"/>
        <w:rPr>
          <w:rFonts w:ascii="Times New Roman" w:eastAsia="Times New Roman" w:hAnsi="Times New Roman" w:cs="Times New Roman"/>
          <w:szCs w:val="20"/>
        </w:rPr>
      </w:pPr>
    </w:p>
    <w:p>
      <w:pPr>
        <w:widowControl w:val="0"/>
        <w:autoSpaceDE w:val="0"/>
        <w:autoSpaceDN w:val="0"/>
        <w:adjustRightInd w:val="0"/>
        <w:spacing w:line="240" w:lineRule="auto"/>
        <w:ind w:left="640" w:hanging="640"/>
        <w:rPr>
          <w:rFonts w:ascii="Times New Roman" w:eastAsia="Times New Roman" w:hAnsi="Times New Roman" w:cs="Times New Roman"/>
          <w:b/>
          <w:szCs w:val="20"/>
        </w:rPr>
      </w:pPr>
    </w:p>
    <w:p>
      <w:pPr>
        <w:shd w:val="clear" w:color="auto" w:fill="FFFFFF"/>
        <w:spacing w:line="360" w:lineRule="auto"/>
        <w:jc w:val="both"/>
        <w:rPr>
          <w:rFonts w:ascii="Times New Roman" w:eastAsia="Times New Roman" w:hAnsi="Times New Roman" w:cs="Times New Roman"/>
        </w:rPr>
      </w:pPr>
      <w:r>
        <w:rPr>
          <w:rFonts w:ascii="Times New Roman" w:eastAsia="Times New Roman" w:hAnsi="Times New Roman" w:cs="Times New Roman"/>
          <w:b/>
        </w:rPr>
        <w:t>Figure 1:</w:t>
      </w:r>
      <w:r>
        <w:rPr>
          <w:rFonts w:ascii="Times New Roman" w:eastAsia="Times New Roman" w:hAnsi="Times New Roman" w:cs="Times New Roman"/>
        </w:rPr>
        <w:t xml:space="preserve"> </w:t>
      </w:r>
      <w:r>
        <w:rPr>
          <w:rFonts w:ascii="Times New Roman" w:eastAsia="Times New Roman" w:hAnsi="Times New Roman" w:cs="Times New Roman"/>
          <w:b/>
        </w:rPr>
        <w:t xml:space="preserve">Novel approaches and targets for </w:t>
      </w:r>
      <w:r>
        <w:rPr>
          <w:rFonts w:ascii="Symbol" w:eastAsia="Times New Roman" w:hAnsi="Symbol" w:cs="Times New Roman"/>
          <w:b/>
        </w:rPr>
        <w:t></w:t>
      </w:r>
      <w:r>
        <w:rPr>
          <w:rFonts w:ascii="Times New Roman" w:eastAsia="Times New Roman" w:hAnsi="Times New Roman" w:cs="Times New Roman"/>
          <w:b/>
        </w:rPr>
        <w:t xml:space="preserve">-cell protection, regeneration and replacement. </w:t>
      </w:r>
    </w:p>
    <w:p>
      <w:pPr>
        <w:shd w:val="clear" w:color="auto" w:fill="FFFFFF"/>
        <w:spacing w:line="360" w:lineRule="auto"/>
        <w:jc w:val="both"/>
        <w:rPr>
          <w:sz w:val="24"/>
        </w:rPr>
      </w:pPr>
      <w:r>
        <w:rPr>
          <w:rFonts w:ascii="Times New Roman" w:eastAsia="Times New Roman" w:hAnsi="Times New Roman" w:cs="Times New Roman"/>
        </w:rPr>
        <w:t xml:space="preserve">Combining single-cell </w:t>
      </w:r>
      <w:proofErr w:type="spellStart"/>
      <w:r>
        <w:rPr>
          <w:rFonts w:ascii="Times New Roman" w:eastAsia="Times New Roman" w:hAnsi="Times New Roman" w:cs="Times New Roman"/>
        </w:rPr>
        <w:t>epigenomics</w:t>
      </w:r>
      <w:proofErr w:type="spellEnd"/>
      <w:r>
        <w:rPr>
          <w:rFonts w:ascii="Times New Roman" w:eastAsia="Times New Roman" w:hAnsi="Times New Roman" w:cs="Times New Roman"/>
        </w:rPr>
        <w:t xml:space="preserve"> of human pancreatic cells with GWAS data and multi-omics analyses of living human pancreatic biopsy samples revealed novel genes linked with </w:t>
      </w:r>
      <w:r>
        <w:rPr>
          <w:rFonts w:ascii="Times New Roman" w:eastAsia="Times New Roman" w:hAnsi="Times New Roman" w:cs="Times New Roman"/>
          <w:color w:val="222222"/>
        </w:rPr>
        <w:t>β-</w:t>
      </w:r>
      <w:r>
        <w:rPr>
          <w:rFonts w:ascii="Times New Roman" w:eastAsia="Times New Roman" w:hAnsi="Times New Roman" w:cs="Times New Roman"/>
        </w:rPr>
        <w:t xml:space="preserve">cell failure in T1DM and </w:t>
      </w:r>
      <w:r>
        <w:rPr>
          <w:rFonts w:ascii="Times New Roman" w:eastAsia="Times New Roman" w:hAnsi="Times New Roman" w:cs="Times New Roman"/>
        </w:rPr>
        <w:lastRenderedPageBreak/>
        <w:t xml:space="preserve">T2DM. Identifying inceptor provides a new target for enhancing insulin </w:t>
      </w:r>
      <w:proofErr w:type="spellStart"/>
      <w:r>
        <w:rPr>
          <w:rFonts w:ascii="Times New Roman" w:eastAsia="Times New Roman" w:hAnsi="Times New Roman" w:cs="Times New Roman"/>
        </w:rPr>
        <w:t>signalling</w:t>
      </w:r>
      <w:proofErr w:type="spellEnd"/>
      <w:r>
        <w:rPr>
          <w:rFonts w:ascii="Times New Roman" w:eastAsia="Times New Roman" w:hAnsi="Times New Roman" w:cs="Times New Roman"/>
        </w:rPr>
        <w:t xml:space="preserve"> to restore </w:t>
      </w:r>
      <w:r>
        <w:rPr>
          <w:rFonts w:ascii="Times New Roman" w:eastAsia="Times New Roman" w:hAnsi="Times New Roman" w:cs="Times New Roman"/>
          <w:color w:val="222222"/>
        </w:rPr>
        <w:t>β-</w:t>
      </w:r>
      <w:r>
        <w:rPr>
          <w:rFonts w:ascii="Times New Roman" w:eastAsia="Times New Roman" w:hAnsi="Times New Roman" w:cs="Times New Roman"/>
        </w:rPr>
        <w:t xml:space="preserve">cell mass. Co-transplanting SC-islets or primary human islets with ready-made </w:t>
      </w:r>
      <w:proofErr w:type="spellStart"/>
      <w:r>
        <w:rPr>
          <w:rFonts w:ascii="Times New Roman" w:eastAsia="Times New Roman" w:hAnsi="Times New Roman" w:cs="Times New Roman"/>
        </w:rPr>
        <w:t>microvessels</w:t>
      </w:r>
      <w:proofErr w:type="spellEnd"/>
      <w:r>
        <w:rPr>
          <w:rFonts w:ascii="Times New Roman" w:eastAsia="Times New Roman" w:hAnsi="Times New Roman" w:cs="Times New Roman"/>
        </w:rPr>
        <w:t xml:space="preserve"> enhances engraftment. </w:t>
      </w: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88295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right"/>
    </w:pPr>
  </w:p>
  <w:p>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A461C"/>
    <w:multiLevelType w:val="multilevel"/>
    <w:tmpl w:val="C140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54F8F"/>
    <w:multiLevelType w:val="hybridMultilevel"/>
    <w:tmpl w:val="DBE8C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BEEB2EBD-AAB4-41D4-BFD0-598B176D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rFonts w:ascii="Arial" w:eastAsia="Arial" w:hAnsi="Arial" w:cs="Arial"/>
      <w:lang w:val="en"/>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Arial" w:eastAsia="Arial" w:hAnsi="Arial" w:cs="Arial"/>
      <w:lang w:val="e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val="en"/>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Arial" w:hAnsi="Segoe UI" w:cs="Segoe UI"/>
      <w:sz w:val="18"/>
      <w:szCs w:val="18"/>
      <w:lang w:val="e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val="en"/>
    </w:rPr>
  </w:style>
  <w:style w:type="character" w:styleId="Hyperlink">
    <w:name w:val="Hyperlink"/>
    <w:basedOn w:val="DefaultParagraphFont"/>
    <w:uiPriority w:val="99"/>
    <w:unhideWhenUsed/>
    <w:rPr>
      <w:color w:val="0563C1" w:themeColor="hyperlink"/>
      <w:u w:val="single"/>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96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iko.lickert@helmholtz-muenchen.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55953-5A03-432D-9213-5E9AE642A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14506</Words>
  <Characters>82685</Characters>
  <Application>Microsoft Office Word</Application>
  <DocSecurity>0</DocSecurity>
  <Lines>689</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Tysoe</dc:creator>
  <cp:keywords/>
  <dc:description/>
  <cp:lastModifiedBy>mostafa.bakhti</cp:lastModifiedBy>
  <cp:revision>7</cp:revision>
  <dcterms:created xsi:type="dcterms:W3CDTF">2021-11-15T07:52:00Z</dcterms:created>
  <dcterms:modified xsi:type="dcterms:W3CDTF">2021-11-15T07:59:00Z</dcterms:modified>
</cp:coreProperties>
</file>