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7F81E" w14:textId="77777777" w:rsidR="008D6DF4" w:rsidRDefault="007C1EBA" w:rsidP="00A22573">
      <w:pPr>
        <w:spacing w:after="0" w:line="240" w:lineRule="exact"/>
        <w:jc w:val="center"/>
        <w:rPr>
          <w:rFonts w:ascii="Arial" w:hAnsi="Arial" w:cs="Arial"/>
          <w:b/>
          <w:lang w:val="en-US"/>
        </w:rPr>
      </w:pPr>
      <w:r>
        <w:rPr>
          <w:rFonts w:ascii="Arial" w:hAnsi="Arial" w:cs="Arial"/>
          <w:b/>
          <w:lang w:val="en-US"/>
        </w:rPr>
        <w:t>Genome-wide significant variants for rapid kidney function decline from a meta-analysis of up to 35,000 cases and &gt;100,000 controls</w:t>
      </w:r>
    </w:p>
    <w:p w14:paraId="56C66173" w14:textId="77777777" w:rsidR="008D6DF4" w:rsidRPr="00783831" w:rsidRDefault="008D6DF4">
      <w:pPr>
        <w:spacing w:after="0" w:line="360" w:lineRule="auto"/>
        <w:jc w:val="center"/>
        <w:rPr>
          <w:rFonts w:ascii="Arial" w:hAnsi="Arial" w:cs="Arial"/>
          <w:b/>
          <w:sz w:val="8"/>
          <w:szCs w:val="8"/>
          <w:lang w:val="en-US"/>
        </w:rPr>
      </w:pPr>
    </w:p>
    <w:p w14:paraId="13956EB8" w14:textId="7BF847D7" w:rsidR="008D6DF4" w:rsidRDefault="007C1EBA">
      <w:pPr>
        <w:spacing w:after="0" w:line="360" w:lineRule="auto"/>
        <w:jc w:val="center"/>
        <w:rPr>
          <w:rFonts w:ascii="Arial" w:hAnsi="Arial" w:cs="Arial"/>
          <w:b/>
          <w:lang w:val="en-US"/>
        </w:rPr>
      </w:pPr>
      <w:r>
        <w:rPr>
          <w:rFonts w:ascii="Arial" w:hAnsi="Arial" w:cs="Arial"/>
          <w:b/>
          <w:lang w:val="en-US"/>
        </w:rPr>
        <w:t>S</w:t>
      </w:r>
      <w:r w:rsidR="00DD02E5">
        <w:rPr>
          <w:rFonts w:ascii="Arial" w:hAnsi="Arial" w:cs="Arial"/>
          <w:b/>
          <w:lang w:val="en-US"/>
        </w:rPr>
        <w:t xml:space="preserve">UPPLEMENTARY MATERIAL </w:t>
      </w:r>
    </w:p>
    <w:p w14:paraId="66C53892" w14:textId="77777777" w:rsidR="008D6DF4" w:rsidRPr="00A22573" w:rsidRDefault="008D6DF4">
      <w:pPr>
        <w:spacing w:after="0" w:line="360" w:lineRule="auto"/>
        <w:jc w:val="center"/>
        <w:rPr>
          <w:rFonts w:ascii="Arial" w:hAnsi="Arial" w:cs="Arial"/>
          <w:b/>
          <w:sz w:val="4"/>
          <w:szCs w:val="4"/>
          <w:lang w:val="en-US"/>
        </w:rPr>
      </w:pPr>
    </w:p>
    <w:p w14:paraId="37182DEE" w14:textId="77777777" w:rsidR="008D6DF4" w:rsidRDefault="007C1EBA" w:rsidP="00783831">
      <w:pPr>
        <w:spacing w:after="120" w:line="360" w:lineRule="auto"/>
        <w:jc w:val="center"/>
        <w:rPr>
          <w:rFonts w:ascii="Arial" w:hAnsi="Arial" w:cs="Arial"/>
          <w:b/>
          <w:u w:val="single"/>
          <w:lang w:val="en-US"/>
        </w:rPr>
      </w:pPr>
      <w:r>
        <w:rPr>
          <w:rFonts w:ascii="Arial" w:hAnsi="Arial" w:cs="Arial"/>
          <w:b/>
          <w:u w:val="single"/>
          <w:lang w:val="en-US"/>
        </w:rPr>
        <w:t>Supplementary Tables</w:t>
      </w:r>
    </w:p>
    <w:p w14:paraId="35A6C4B9" w14:textId="39CBE0B1" w:rsidR="008D6DF4" w:rsidRDefault="007C1EBA">
      <w:pPr>
        <w:spacing w:after="0" w:line="360" w:lineRule="auto"/>
        <w:ind w:left="2832" w:hanging="2832"/>
        <w:rPr>
          <w:rFonts w:ascii="Arial" w:hAnsi="Arial" w:cs="Arial"/>
          <w:lang w:val="en-US"/>
        </w:rPr>
      </w:pPr>
      <w:r>
        <w:rPr>
          <w:rFonts w:ascii="Arial" w:hAnsi="Arial" w:cs="Arial"/>
          <w:lang w:val="en-US"/>
        </w:rPr>
        <w:t>Supplementary Table 1</w:t>
      </w:r>
      <w:r w:rsidR="006F789D">
        <w:rPr>
          <w:rFonts w:ascii="Arial" w:hAnsi="Arial" w:cs="Arial"/>
          <w:lang w:val="en-US"/>
        </w:rPr>
        <w:t>A&amp;B</w:t>
      </w:r>
      <w:r>
        <w:rPr>
          <w:rFonts w:ascii="Arial" w:hAnsi="Arial" w:cs="Arial"/>
          <w:lang w:val="en-US"/>
        </w:rPr>
        <w:tab/>
        <w:t>Description of participating studies.</w:t>
      </w:r>
    </w:p>
    <w:p w14:paraId="59D5CF10" w14:textId="1615A7EA" w:rsidR="008D6DF4" w:rsidRDefault="007C1EBA">
      <w:pPr>
        <w:spacing w:after="0" w:line="360" w:lineRule="auto"/>
        <w:ind w:left="2832" w:hanging="2832"/>
        <w:rPr>
          <w:rFonts w:ascii="Arial" w:hAnsi="Arial" w:cs="Arial"/>
          <w:lang w:val="en-US"/>
        </w:rPr>
      </w:pPr>
      <w:r>
        <w:rPr>
          <w:rFonts w:ascii="Arial" w:hAnsi="Arial" w:cs="Arial"/>
          <w:lang w:val="en-US"/>
        </w:rPr>
        <w:t>Supplementary Table 2</w:t>
      </w:r>
      <w:r>
        <w:rPr>
          <w:rFonts w:ascii="Arial" w:hAnsi="Arial" w:cs="Arial"/>
          <w:lang w:val="en-US"/>
        </w:rPr>
        <w:tab/>
        <w:t xml:space="preserve">Number of cases, controls and excluded </w:t>
      </w:r>
      <w:r w:rsidR="002A0A49">
        <w:rPr>
          <w:rFonts w:ascii="Arial" w:hAnsi="Arial" w:cs="Arial"/>
          <w:lang w:val="en-US"/>
        </w:rPr>
        <w:t>individuals</w:t>
      </w:r>
      <w:r>
        <w:rPr>
          <w:rFonts w:ascii="Arial" w:hAnsi="Arial" w:cs="Arial"/>
          <w:lang w:val="en-US"/>
        </w:rPr>
        <w:t xml:space="preserve"> in the UK Biobank study and the KORA studies.</w:t>
      </w:r>
    </w:p>
    <w:p w14:paraId="7A757B31" w14:textId="77777777" w:rsidR="008D6DF4" w:rsidRDefault="007C1EBA">
      <w:pPr>
        <w:spacing w:after="0" w:line="360" w:lineRule="auto"/>
        <w:ind w:left="2832" w:hanging="2832"/>
        <w:rPr>
          <w:rFonts w:ascii="Arial" w:hAnsi="Arial" w:cs="Arial"/>
          <w:lang w:val="en-US"/>
        </w:rPr>
      </w:pPr>
      <w:r>
        <w:rPr>
          <w:rFonts w:ascii="Arial" w:hAnsi="Arial" w:cs="Arial"/>
          <w:lang w:val="en-US"/>
        </w:rPr>
        <w:t>Supplementary Table 3</w:t>
      </w:r>
      <w:r>
        <w:rPr>
          <w:rFonts w:ascii="Arial" w:hAnsi="Arial" w:cs="Arial"/>
          <w:lang w:val="en-US"/>
        </w:rPr>
        <w:tab/>
        <w:t>Genotyping and imputation information of participating studies.</w:t>
      </w:r>
    </w:p>
    <w:p w14:paraId="0803F39A" w14:textId="5668FC88" w:rsidR="008D6DF4" w:rsidRDefault="007C1EBA">
      <w:pPr>
        <w:spacing w:after="0" w:line="360" w:lineRule="auto"/>
        <w:ind w:left="2832" w:hanging="2832"/>
        <w:rPr>
          <w:rFonts w:ascii="Arial" w:hAnsi="Arial" w:cs="Arial"/>
          <w:lang w:val="en-US"/>
        </w:rPr>
      </w:pPr>
      <w:r>
        <w:rPr>
          <w:rFonts w:ascii="Arial" w:hAnsi="Arial" w:cs="Arial"/>
          <w:lang w:val="en-US"/>
        </w:rPr>
        <w:t>Supplementary Table 4</w:t>
      </w:r>
      <w:r w:rsidR="006F789D">
        <w:rPr>
          <w:rFonts w:ascii="Arial" w:hAnsi="Arial" w:cs="Arial"/>
          <w:lang w:val="en-US"/>
        </w:rPr>
        <w:t>A</w:t>
      </w:r>
      <w:r>
        <w:rPr>
          <w:rFonts w:ascii="Arial" w:hAnsi="Arial" w:cs="Arial"/>
          <w:lang w:val="en-US"/>
        </w:rPr>
        <w:tab/>
        <w:t xml:space="preserve">Identified loci for rapid kidney function decline in </w:t>
      </w:r>
      <w:r w:rsidR="002A0A49">
        <w:rPr>
          <w:rFonts w:ascii="Arial" w:hAnsi="Arial" w:cs="Arial"/>
          <w:lang w:val="en-US"/>
        </w:rPr>
        <w:t>individuals</w:t>
      </w:r>
      <w:r>
        <w:rPr>
          <w:rFonts w:ascii="Arial" w:hAnsi="Arial" w:cs="Arial"/>
          <w:lang w:val="en-US"/>
        </w:rPr>
        <w:t xml:space="preserve"> of European ancestry.</w:t>
      </w:r>
    </w:p>
    <w:p w14:paraId="130F2F49" w14:textId="004B53C5" w:rsidR="00783831" w:rsidRDefault="00A96EF3">
      <w:pPr>
        <w:spacing w:after="0" w:line="360" w:lineRule="auto"/>
        <w:ind w:left="2832" w:hanging="2832"/>
        <w:rPr>
          <w:rFonts w:ascii="Arial" w:hAnsi="Arial" w:cs="Arial"/>
          <w:lang w:val="en-US"/>
        </w:rPr>
      </w:pPr>
      <w:r>
        <w:rPr>
          <w:rFonts w:ascii="Arial" w:hAnsi="Arial" w:cs="Arial"/>
          <w:lang w:val="en-US"/>
        </w:rPr>
        <w:t>Supplementary Table 4</w:t>
      </w:r>
      <w:r w:rsidR="006F789D">
        <w:rPr>
          <w:rFonts w:ascii="Arial" w:hAnsi="Arial" w:cs="Arial"/>
          <w:lang w:val="en-US"/>
        </w:rPr>
        <w:t>B</w:t>
      </w:r>
      <w:r w:rsidR="00783831">
        <w:rPr>
          <w:rFonts w:ascii="Arial" w:hAnsi="Arial" w:cs="Arial"/>
          <w:lang w:val="en-US"/>
        </w:rPr>
        <w:tab/>
      </w:r>
      <w:r w:rsidR="00783831" w:rsidRPr="00783831">
        <w:rPr>
          <w:rFonts w:ascii="Arial" w:eastAsia="Times New Roman" w:hAnsi="Arial" w:cs="Arial"/>
          <w:bCs/>
          <w:color w:val="000000"/>
          <w:lang w:val="en-US"/>
        </w:rPr>
        <w:t>Identified loci for rapid kidney function decline and two APOL1 variants reported to be associated with Kidney Disease in individuals of African ancestry</w:t>
      </w:r>
    </w:p>
    <w:p w14:paraId="1AA50488" w14:textId="77777777" w:rsidR="008D6DF4" w:rsidRDefault="007C1EBA">
      <w:pPr>
        <w:spacing w:after="0" w:line="360" w:lineRule="auto"/>
        <w:ind w:left="2832" w:hanging="2832"/>
        <w:rPr>
          <w:rFonts w:ascii="Arial" w:hAnsi="Arial" w:cs="Arial"/>
          <w:lang w:val="en-US"/>
        </w:rPr>
      </w:pPr>
      <w:r>
        <w:rPr>
          <w:rFonts w:ascii="Arial" w:hAnsi="Arial" w:cs="Arial"/>
          <w:lang w:val="en-US"/>
        </w:rPr>
        <w:t>Supplementary Table 5</w:t>
      </w:r>
      <w:r>
        <w:rPr>
          <w:rFonts w:ascii="Arial" w:hAnsi="Arial" w:cs="Arial"/>
          <w:lang w:val="en-US"/>
        </w:rPr>
        <w:tab/>
        <w:t xml:space="preserve">Conditional analysis results in </w:t>
      </w:r>
      <w:r>
        <w:rPr>
          <w:rFonts w:ascii="Arial" w:hAnsi="Arial" w:cs="Arial"/>
          <w:i/>
          <w:lang w:val="en-US"/>
        </w:rPr>
        <w:t>UMOD-PDILT</w:t>
      </w:r>
      <w:r>
        <w:rPr>
          <w:rFonts w:ascii="Arial" w:hAnsi="Arial" w:cs="Arial"/>
          <w:lang w:val="en-US"/>
        </w:rPr>
        <w:t xml:space="preserve">, </w:t>
      </w:r>
      <w:r>
        <w:rPr>
          <w:rFonts w:ascii="Arial" w:hAnsi="Arial" w:cs="Arial"/>
          <w:i/>
          <w:lang w:val="en-US"/>
        </w:rPr>
        <w:t>WDR72</w:t>
      </w:r>
      <w:r>
        <w:rPr>
          <w:rFonts w:ascii="Arial" w:hAnsi="Arial" w:cs="Arial"/>
          <w:lang w:val="en-US"/>
        </w:rPr>
        <w:t xml:space="preserve">, </w:t>
      </w:r>
      <w:r>
        <w:rPr>
          <w:rFonts w:ascii="Arial" w:hAnsi="Arial" w:cs="Arial"/>
          <w:i/>
          <w:lang w:val="en-US"/>
        </w:rPr>
        <w:t>PRKAG2</w:t>
      </w:r>
      <w:r>
        <w:rPr>
          <w:rFonts w:ascii="Arial" w:hAnsi="Arial" w:cs="Arial"/>
          <w:lang w:val="en-US"/>
        </w:rPr>
        <w:t xml:space="preserve">, </w:t>
      </w:r>
      <w:r>
        <w:rPr>
          <w:rFonts w:ascii="Arial" w:hAnsi="Arial" w:cs="Arial"/>
          <w:i/>
          <w:lang w:val="en-US"/>
        </w:rPr>
        <w:t>LARP4B</w:t>
      </w:r>
      <w:r>
        <w:rPr>
          <w:rFonts w:ascii="Arial" w:hAnsi="Arial" w:cs="Arial"/>
          <w:lang w:val="en-US"/>
        </w:rPr>
        <w:t xml:space="preserve"> and </w:t>
      </w:r>
      <w:r>
        <w:rPr>
          <w:rFonts w:ascii="Arial" w:hAnsi="Arial" w:cs="Arial"/>
          <w:i/>
          <w:lang w:val="en-US"/>
        </w:rPr>
        <w:t>GATM</w:t>
      </w:r>
      <w:r>
        <w:rPr>
          <w:rFonts w:ascii="Arial" w:hAnsi="Arial" w:cs="Arial"/>
          <w:lang w:val="en-US"/>
        </w:rPr>
        <w:t xml:space="preserve"> loci for Rapid3 and CKDi25 in the All and European meta-analysis.</w:t>
      </w:r>
    </w:p>
    <w:p w14:paraId="47ABA7FA" w14:textId="3D5DD6C8" w:rsidR="008D6DF4" w:rsidRDefault="007C1EBA">
      <w:pPr>
        <w:spacing w:after="0" w:line="360" w:lineRule="auto"/>
        <w:ind w:left="2832" w:hanging="2832"/>
        <w:rPr>
          <w:rFonts w:ascii="Arial" w:hAnsi="Arial" w:cs="Arial"/>
          <w:lang w:val="en-US"/>
        </w:rPr>
      </w:pPr>
      <w:r>
        <w:rPr>
          <w:rFonts w:ascii="Arial" w:hAnsi="Arial" w:cs="Arial"/>
          <w:lang w:val="en-US"/>
        </w:rPr>
        <w:t>Supplementary Table 6</w:t>
      </w:r>
      <w:r w:rsidR="006F789D">
        <w:rPr>
          <w:rFonts w:ascii="Arial" w:hAnsi="Arial" w:cs="Arial"/>
          <w:lang w:val="en-US"/>
        </w:rPr>
        <w:t>A</w:t>
      </w:r>
      <w:r>
        <w:rPr>
          <w:rFonts w:ascii="Arial" w:hAnsi="Arial" w:cs="Arial"/>
          <w:lang w:val="en-US"/>
        </w:rPr>
        <w:tab/>
        <w:t>Credible set variants and their predicted genetic function.</w:t>
      </w:r>
    </w:p>
    <w:p w14:paraId="1F58021B" w14:textId="3DC34EA8" w:rsidR="008D6DF4" w:rsidRDefault="006F789D">
      <w:pPr>
        <w:spacing w:after="0" w:line="360" w:lineRule="auto"/>
        <w:ind w:left="2832" w:hanging="2832"/>
        <w:rPr>
          <w:rFonts w:ascii="Arial" w:hAnsi="Arial" w:cs="Arial"/>
          <w:lang w:val="en-US"/>
        </w:rPr>
      </w:pPr>
      <w:r>
        <w:rPr>
          <w:rFonts w:ascii="Arial" w:hAnsi="Arial" w:cs="Arial"/>
          <w:lang w:val="en-US"/>
        </w:rPr>
        <w:t>Supplementary Table 6B</w:t>
      </w:r>
      <w:r w:rsidR="007C1EBA">
        <w:rPr>
          <w:rFonts w:ascii="Arial" w:hAnsi="Arial" w:cs="Arial"/>
          <w:lang w:val="en-US"/>
        </w:rPr>
        <w:tab/>
        <w:t>The 99% credible set variants with significant eQTL results.</w:t>
      </w:r>
    </w:p>
    <w:p w14:paraId="0E5588F3" w14:textId="342942A2" w:rsidR="008D6DF4" w:rsidRDefault="006F789D">
      <w:pPr>
        <w:spacing w:after="0" w:line="360" w:lineRule="auto"/>
        <w:ind w:left="2832" w:hanging="2832"/>
        <w:rPr>
          <w:rFonts w:ascii="Arial" w:hAnsi="Arial" w:cs="Arial"/>
          <w:lang w:val="en-US"/>
        </w:rPr>
      </w:pPr>
      <w:r>
        <w:rPr>
          <w:rFonts w:ascii="Arial" w:hAnsi="Arial" w:cs="Arial"/>
          <w:lang w:val="en-US"/>
        </w:rPr>
        <w:t>Supplementary Table 7A</w:t>
      </w:r>
      <w:r w:rsidR="007C1EBA">
        <w:rPr>
          <w:rFonts w:ascii="Arial" w:hAnsi="Arial" w:cs="Arial"/>
          <w:lang w:val="en-US"/>
        </w:rPr>
        <w:tab/>
        <w:t>Genes in locus regions with a kidney-relevant phenotype in mouse.</w:t>
      </w:r>
    </w:p>
    <w:p w14:paraId="02737C2B" w14:textId="5386B78E" w:rsidR="008D6DF4" w:rsidRDefault="006F789D">
      <w:pPr>
        <w:spacing w:after="0" w:line="360" w:lineRule="auto"/>
        <w:ind w:left="2832" w:hanging="2832"/>
        <w:rPr>
          <w:rFonts w:ascii="Arial" w:hAnsi="Arial" w:cs="Arial"/>
          <w:lang w:val="en-US"/>
        </w:rPr>
      </w:pPr>
      <w:r>
        <w:rPr>
          <w:rFonts w:ascii="Arial" w:hAnsi="Arial" w:cs="Arial"/>
          <w:lang w:val="en-US"/>
        </w:rPr>
        <w:t>Supplementary Table 7B</w:t>
      </w:r>
      <w:r w:rsidR="007C1EBA">
        <w:rPr>
          <w:rFonts w:ascii="Arial" w:hAnsi="Arial" w:cs="Arial"/>
          <w:lang w:val="en-US"/>
        </w:rPr>
        <w:tab/>
        <w:t>Genes in the six locus regions with a kidney-relevant phenotype in human.</w:t>
      </w:r>
    </w:p>
    <w:p w14:paraId="236F1F57" w14:textId="77777777" w:rsidR="008D6DF4" w:rsidRDefault="007C1EBA">
      <w:pPr>
        <w:spacing w:after="0" w:line="360" w:lineRule="auto"/>
        <w:ind w:left="2832" w:hanging="2832"/>
        <w:rPr>
          <w:rFonts w:ascii="Arial" w:hAnsi="Arial" w:cs="Arial"/>
          <w:lang w:val="en-US"/>
        </w:rPr>
      </w:pPr>
      <w:r>
        <w:rPr>
          <w:rFonts w:ascii="Arial" w:hAnsi="Arial" w:cs="Arial"/>
          <w:lang w:val="en-US"/>
        </w:rPr>
        <w:t>Supplementary Table 8</w:t>
      </w:r>
      <w:r>
        <w:rPr>
          <w:rFonts w:ascii="Arial" w:hAnsi="Arial" w:cs="Arial"/>
          <w:lang w:val="en-US"/>
        </w:rPr>
        <w:tab/>
        <w:t>Gene PrioritiSation.</w:t>
      </w:r>
    </w:p>
    <w:p w14:paraId="79121C67" w14:textId="77777777" w:rsidR="008D6DF4" w:rsidRPr="00A22573" w:rsidRDefault="008D6DF4">
      <w:pPr>
        <w:spacing w:after="0" w:line="360" w:lineRule="auto"/>
        <w:ind w:left="2832" w:hanging="2832"/>
        <w:rPr>
          <w:rFonts w:ascii="Arial" w:hAnsi="Arial" w:cs="Arial"/>
          <w:sz w:val="8"/>
          <w:szCs w:val="8"/>
          <w:lang w:val="en-US"/>
        </w:rPr>
      </w:pPr>
    </w:p>
    <w:p w14:paraId="46D89D6B" w14:textId="77777777" w:rsidR="008D6DF4" w:rsidRDefault="007C1EBA" w:rsidP="00A22573">
      <w:pPr>
        <w:spacing w:after="120" w:line="360" w:lineRule="auto"/>
        <w:jc w:val="center"/>
        <w:rPr>
          <w:rFonts w:ascii="Arial" w:hAnsi="Arial" w:cs="Arial"/>
          <w:b/>
          <w:u w:val="single"/>
          <w:lang w:val="en-US"/>
        </w:rPr>
      </w:pPr>
      <w:r>
        <w:rPr>
          <w:rFonts w:ascii="Arial" w:hAnsi="Arial" w:cs="Arial"/>
          <w:b/>
          <w:u w:val="single"/>
          <w:lang w:val="en-US"/>
        </w:rPr>
        <w:t>Supplementary Figures</w:t>
      </w:r>
    </w:p>
    <w:p w14:paraId="7F1BF167" w14:textId="210B12AB" w:rsidR="008D6DF4" w:rsidRDefault="007C1EBA">
      <w:pPr>
        <w:pStyle w:val="KeinLeerraum"/>
        <w:spacing w:line="360" w:lineRule="auto"/>
        <w:ind w:left="2832" w:hanging="2832"/>
        <w:jc w:val="both"/>
        <w:rPr>
          <w:rFonts w:cs="Arial"/>
          <w:sz w:val="22"/>
          <w:szCs w:val="22"/>
          <w:lang w:val="en-US"/>
        </w:rPr>
      </w:pPr>
      <w:r>
        <w:rPr>
          <w:rFonts w:cs="Arial"/>
          <w:sz w:val="22"/>
          <w:szCs w:val="22"/>
          <w:lang w:val="en-US"/>
        </w:rPr>
        <w:t>Supplementary Figure 1</w:t>
      </w:r>
      <w:r w:rsidR="006F789D">
        <w:rPr>
          <w:rFonts w:cs="Arial"/>
          <w:sz w:val="22"/>
          <w:szCs w:val="22"/>
          <w:lang w:val="en-US"/>
        </w:rPr>
        <w:t>A</w:t>
      </w:r>
      <w:r>
        <w:rPr>
          <w:rFonts w:cs="Arial"/>
          <w:sz w:val="22"/>
          <w:szCs w:val="22"/>
          <w:lang w:val="en-US"/>
        </w:rPr>
        <w:t xml:space="preserve"> </w:t>
      </w:r>
      <w:r>
        <w:rPr>
          <w:rFonts w:cs="Arial"/>
          <w:sz w:val="22"/>
          <w:szCs w:val="22"/>
          <w:lang w:val="en-US"/>
        </w:rPr>
        <w:tab/>
        <w:t>Study-specific information on proportion of cases versus Follow-</w:t>
      </w:r>
      <w:r>
        <w:rPr>
          <w:rFonts w:cs="Arial"/>
          <w:sz w:val="22"/>
          <w:szCs w:val="22"/>
          <w:lang w:val="en-US"/>
        </w:rPr>
        <w:br/>
        <w:t>up time for Rapid3 and CKDi25.</w:t>
      </w:r>
    </w:p>
    <w:p w14:paraId="6E08ECF5" w14:textId="0A653ADF" w:rsidR="008D6DF4" w:rsidRDefault="009F2882">
      <w:pPr>
        <w:pStyle w:val="KeinLeerraum"/>
        <w:spacing w:line="360" w:lineRule="auto"/>
        <w:ind w:left="2832" w:hanging="2832"/>
        <w:jc w:val="both"/>
        <w:rPr>
          <w:rFonts w:cs="Arial"/>
          <w:sz w:val="22"/>
          <w:szCs w:val="22"/>
          <w:lang w:val="en-US"/>
        </w:rPr>
      </w:pPr>
      <w:r>
        <w:rPr>
          <w:rFonts w:cs="Arial"/>
          <w:sz w:val="22"/>
          <w:szCs w:val="22"/>
          <w:lang w:val="en-US"/>
        </w:rPr>
        <w:t>Supplementary Figure 1</w:t>
      </w:r>
      <w:r w:rsidR="006F789D">
        <w:rPr>
          <w:rFonts w:cs="Arial"/>
          <w:sz w:val="22"/>
          <w:szCs w:val="22"/>
          <w:lang w:val="en-US"/>
        </w:rPr>
        <w:t>B</w:t>
      </w:r>
      <w:r w:rsidR="007C1EBA">
        <w:rPr>
          <w:rFonts w:cs="Arial"/>
          <w:sz w:val="22"/>
          <w:szCs w:val="22"/>
          <w:lang w:val="en-US"/>
        </w:rPr>
        <w:t xml:space="preserve"> </w:t>
      </w:r>
      <w:r w:rsidR="007C1EBA">
        <w:rPr>
          <w:rFonts w:cs="Arial"/>
          <w:sz w:val="22"/>
          <w:szCs w:val="22"/>
          <w:lang w:val="en-US"/>
        </w:rPr>
        <w:tab/>
        <w:t xml:space="preserve">Study-specific information on proportion of cases versus age for </w:t>
      </w:r>
      <w:r w:rsidR="007C1EBA">
        <w:rPr>
          <w:rFonts w:cs="Arial"/>
          <w:sz w:val="22"/>
          <w:szCs w:val="22"/>
          <w:lang w:val="en-US"/>
        </w:rPr>
        <w:br/>
        <w:t>Rapid3 and CDKi25.</w:t>
      </w:r>
    </w:p>
    <w:p w14:paraId="67776C9C" w14:textId="77777777" w:rsidR="008D6DF4" w:rsidRDefault="007C1EBA">
      <w:pPr>
        <w:pStyle w:val="KeinLeerraum"/>
        <w:spacing w:line="360" w:lineRule="auto"/>
        <w:ind w:left="2832" w:hanging="2832"/>
        <w:jc w:val="both"/>
        <w:rPr>
          <w:rFonts w:cs="Arial"/>
          <w:sz w:val="22"/>
          <w:szCs w:val="22"/>
          <w:lang w:val="en-US"/>
        </w:rPr>
      </w:pPr>
      <w:r>
        <w:rPr>
          <w:rFonts w:cs="Arial"/>
          <w:sz w:val="22"/>
          <w:szCs w:val="22"/>
          <w:lang w:val="en-US"/>
        </w:rPr>
        <w:t>Supplementary Figure 2</w:t>
      </w:r>
      <w:r>
        <w:rPr>
          <w:rFonts w:cs="Arial"/>
          <w:sz w:val="22"/>
          <w:szCs w:val="22"/>
          <w:lang w:val="en-US"/>
        </w:rPr>
        <w:tab/>
        <w:t xml:space="preserve">Genetic effects for rapid eGFRcrea decline traits versus effects </w:t>
      </w:r>
      <w:r>
        <w:rPr>
          <w:rFonts w:cs="Arial"/>
          <w:sz w:val="22"/>
          <w:szCs w:val="22"/>
          <w:lang w:val="en-US"/>
        </w:rPr>
        <w:br/>
        <w:t>for cross-sectional eGFRcrea.</w:t>
      </w:r>
    </w:p>
    <w:p w14:paraId="6B8E9561" w14:textId="77777777" w:rsidR="008D6DF4" w:rsidRDefault="007C1EBA">
      <w:pPr>
        <w:pStyle w:val="KeinLeerraum"/>
        <w:spacing w:line="360" w:lineRule="auto"/>
        <w:ind w:left="2832" w:hanging="2832"/>
        <w:jc w:val="both"/>
        <w:rPr>
          <w:rFonts w:cs="Arial"/>
          <w:sz w:val="22"/>
          <w:szCs w:val="22"/>
          <w:lang w:val="en-US"/>
        </w:rPr>
      </w:pPr>
      <w:r>
        <w:rPr>
          <w:rFonts w:cs="Arial"/>
          <w:sz w:val="22"/>
          <w:szCs w:val="22"/>
          <w:lang w:val="en-US"/>
        </w:rPr>
        <w:t xml:space="preserve">Supplementary Figure 3 </w:t>
      </w:r>
      <w:r>
        <w:rPr>
          <w:rFonts w:cs="Arial"/>
          <w:sz w:val="22"/>
          <w:szCs w:val="22"/>
          <w:lang w:val="en-US"/>
        </w:rPr>
        <w:tab/>
      </w:r>
      <w:r>
        <w:rPr>
          <w:rFonts w:cs="Arial"/>
          <w:lang w:val="en-US"/>
        </w:rPr>
        <w:t>S</w:t>
      </w:r>
      <w:r>
        <w:rPr>
          <w:rFonts w:cs="Arial"/>
          <w:sz w:val="22"/>
          <w:szCs w:val="22"/>
          <w:lang w:val="en-US"/>
        </w:rPr>
        <w:t xml:space="preserve">tudy-specific association and leave-one-out-analysis results for the </w:t>
      </w:r>
      <w:r>
        <w:rPr>
          <w:rFonts w:cs="Arial"/>
          <w:i/>
          <w:sz w:val="22"/>
          <w:szCs w:val="22"/>
          <w:lang w:val="en-US"/>
        </w:rPr>
        <w:t>OR2S2</w:t>
      </w:r>
      <w:r>
        <w:rPr>
          <w:rFonts w:cs="Arial"/>
          <w:sz w:val="22"/>
          <w:szCs w:val="22"/>
          <w:lang w:val="en-US"/>
        </w:rPr>
        <w:t xml:space="preserve"> lead variant.</w:t>
      </w:r>
    </w:p>
    <w:p w14:paraId="58059BFA" w14:textId="77777777" w:rsidR="008D6DF4" w:rsidRDefault="007C1EBA">
      <w:pPr>
        <w:pStyle w:val="KeinLeerraum"/>
        <w:spacing w:line="360" w:lineRule="auto"/>
        <w:jc w:val="both"/>
        <w:rPr>
          <w:rFonts w:cs="Arial"/>
          <w:sz w:val="22"/>
          <w:szCs w:val="22"/>
          <w:lang w:val="en-US"/>
        </w:rPr>
      </w:pPr>
      <w:r>
        <w:rPr>
          <w:rFonts w:cs="Arial"/>
          <w:sz w:val="22"/>
          <w:szCs w:val="22"/>
          <w:lang w:val="en-US"/>
        </w:rPr>
        <w:t xml:space="preserve">Supplementary Figure 4 </w:t>
      </w:r>
      <w:r>
        <w:rPr>
          <w:rFonts w:cs="Arial"/>
          <w:sz w:val="22"/>
          <w:szCs w:val="22"/>
          <w:lang w:val="en-US"/>
        </w:rPr>
        <w:tab/>
        <w:t>Regional association for the six identified loci.</w:t>
      </w:r>
    </w:p>
    <w:p w14:paraId="6A3DBBD5" w14:textId="7A80DA5B" w:rsidR="008D6DF4" w:rsidRDefault="007C1EBA" w:rsidP="00A22573">
      <w:pPr>
        <w:pStyle w:val="KeinLeerraum"/>
        <w:spacing w:line="360" w:lineRule="auto"/>
        <w:ind w:left="2829" w:hanging="2829"/>
        <w:jc w:val="both"/>
        <w:rPr>
          <w:rFonts w:cs="Arial"/>
          <w:sz w:val="22"/>
          <w:szCs w:val="22"/>
          <w:lang w:val="en-US"/>
        </w:rPr>
      </w:pPr>
      <w:r>
        <w:rPr>
          <w:rFonts w:cs="Arial"/>
          <w:sz w:val="22"/>
          <w:szCs w:val="22"/>
          <w:lang w:val="en-US"/>
        </w:rPr>
        <w:t>Supplementary Figure 5</w:t>
      </w:r>
      <w:r>
        <w:rPr>
          <w:rFonts w:cs="Arial"/>
          <w:sz w:val="22"/>
          <w:szCs w:val="22"/>
          <w:lang w:val="en-US"/>
        </w:rPr>
        <w:tab/>
        <w:t xml:space="preserve">Multi-tissue expression quantitative trait loci (eQTL) comparison of the </w:t>
      </w:r>
      <w:r>
        <w:rPr>
          <w:rFonts w:cs="Arial"/>
          <w:i/>
          <w:sz w:val="22"/>
          <w:szCs w:val="22"/>
          <w:lang w:val="en-US"/>
        </w:rPr>
        <w:t>OR2S2</w:t>
      </w:r>
      <w:r>
        <w:rPr>
          <w:rFonts w:cs="Arial"/>
          <w:sz w:val="22"/>
          <w:szCs w:val="22"/>
          <w:lang w:val="en-US"/>
        </w:rPr>
        <w:t xml:space="preserve"> lead variant.</w:t>
      </w:r>
    </w:p>
    <w:p w14:paraId="3E58BD35" w14:textId="77777777" w:rsidR="00475C49" w:rsidRDefault="00475C49" w:rsidP="00475C49">
      <w:pPr>
        <w:spacing w:after="120" w:line="360" w:lineRule="auto"/>
        <w:jc w:val="center"/>
        <w:rPr>
          <w:rFonts w:ascii="Arial" w:hAnsi="Arial" w:cs="Arial"/>
          <w:b/>
          <w:u w:val="single"/>
          <w:lang w:val="en-US"/>
        </w:rPr>
      </w:pPr>
    </w:p>
    <w:p w14:paraId="20F2CDCD" w14:textId="6C4E29EE" w:rsidR="00990E60" w:rsidRDefault="00990E60" w:rsidP="00475C49">
      <w:pPr>
        <w:spacing w:after="120" w:line="360" w:lineRule="auto"/>
        <w:jc w:val="center"/>
        <w:rPr>
          <w:rFonts w:ascii="Arial" w:hAnsi="Arial" w:cs="Arial"/>
          <w:b/>
          <w:u w:val="single"/>
          <w:lang w:val="en-US"/>
        </w:rPr>
      </w:pPr>
      <w:r>
        <w:rPr>
          <w:rFonts w:ascii="Arial" w:hAnsi="Arial" w:cs="Arial"/>
          <w:b/>
          <w:u w:val="single"/>
          <w:lang w:val="en-US"/>
        </w:rPr>
        <w:lastRenderedPageBreak/>
        <w:t>Supplementary Methods</w:t>
      </w:r>
    </w:p>
    <w:p w14:paraId="09CF6746" w14:textId="516BA911" w:rsidR="00475C49" w:rsidRDefault="00475C49" w:rsidP="00475C49">
      <w:pPr>
        <w:spacing w:after="120" w:line="360" w:lineRule="auto"/>
        <w:jc w:val="center"/>
        <w:rPr>
          <w:rFonts w:ascii="Arial" w:hAnsi="Arial" w:cs="Arial"/>
          <w:b/>
          <w:u w:val="single"/>
          <w:lang w:val="en-US"/>
        </w:rPr>
      </w:pPr>
      <w:r>
        <w:rPr>
          <w:rFonts w:ascii="Arial" w:hAnsi="Arial" w:cs="Arial"/>
          <w:b/>
          <w:u w:val="single"/>
          <w:lang w:val="en-US"/>
        </w:rPr>
        <w:t>Supplementary Notes</w:t>
      </w:r>
    </w:p>
    <w:p w14:paraId="3C45C24E" w14:textId="41502B72" w:rsidR="003715B2" w:rsidRDefault="003715B2" w:rsidP="00A22573">
      <w:pPr>
        <w:pStyle w:val="KeinLeerraum"/>
        <w:spacing w:line="360" w:lineRule="auto"/>
        <w:ind w:left="2829" w:hanging="2829"/>
        <w:jc w:val="both"/>
        <w:rPr>
          <w:rFonts w:cs="Arial"/>
          <w:sz w:val="22"/>
          <w:szCs w:val="22"/>
          <w:lang w:val="en-US"/>
        </w:rPr>
      </w:pPr>
      <w:r>
        <w:rPr>
          <w:rFonts w:cs="Arial"/>
          <w:sz w:val="22"/>
          <w:szCs w:val="22"/>
          <w:lang w:val="en-US"/>
        </w:rPr>
        <w:t>Supplementary Note 1</w:t>
      </w:r>
      <w:r>
        <w:rPr>
          <w:rFonts w:cs="Arial"/>
          <w:sz w:val="22"/>
          <w:szCs w:val="22"/>
          <w:lang w:val="en-US"/>
        </w:rPr>
        <w:tab/>
      </w:r>
      <w:r w:rsidR="00475C49" w:rsidRPr="00475C49">
        <w:rPr>
          <w:rFonts w:cs="Arial"/>
          <w:sz w:val="22"/>
          <w:szCs w:val="22"/>
          <w:lang w:val="en-US"/>
        </w:rPr>
        <w:t>Meta-analysis of Rapid3 and CKDi25 in individuals of African American ancestry</w:t>
      </w:r>
      <w:r w:rsidR="00E759E2">
        <w:rPr>
          <w:rFonts w:cs="Arial"/>
          <w:sz w:val="22"/>
          <w:szCs w:val="22"/>
          <w:lang w:val="en-US"/>
        </w:rPr>
        <w:t>.</w:t>
      </w:r>
    </w:p>
    <w:p w14:paraId="50A2BB22" w14:textId="0C2A1846" w:rsidR="003715B2" w:rsidRPr="00475C49" w:rsidRDefault="003715B2" w:rsidP="003715B2">
      <w:pPr>
        <w:pStyle w:val="KeinLeerraum"/>
        <w:spacing w:line="360" w:lineRule="auto"/>
        <w:ind w:left="2829" w:hanging="2829"/>
        <w:jc w:val="both"/>
        <w:rPr>
          <w:rFonts w:cs="Arial"/>
          <w:sz w:val="22"/>
          <w:szCs w:val="22"/>
          <w:lang w:val="en-US"/>
        </w:rPr>
      </w:pPr>
      <w:r>
        <w:rPr>
          <w:rFonts w:cs="Arial"/>
          <w:sz w:val="22"/>
          <w:szCs w:val="22"/>
          <w:lang w:val="en-US"/>
        </w:rPr>
        <w:t>Supplementary Note 2</w:t>
      </w:r>
      <w:r>
        <w:rPr>
          <w:rFonts w:cs="Arial"/>
          <w:sz w:val="22"/>
          <w:szCs w:val="22"/>
          <w:lang w:val="en-US"/>
        </w:rPr>
        <w:tab/>
      </w:r>
      <w:r w:rsidR="00475C49" w:rsidRPr="00475C49">
        <w:rPr>
          <w:sz w:val="22"/>
          <w:szCs w:val="22"/>
          <w:lang w:val="en-US"/>
        </w:rPr>
        <w:t>Two additional loci for rapid eGFRcrea decline from a candidate-based search</w:t>
      </w:r>
      <w:r w:rsidR="00E759E2">
        <w:rPr>
          <w:sz w:val="22"/>
          <w:szCs w:val="22"/>
          <w:lang w:val="en-US"/>
        </w:rPr>
        <w:t>.</w:t>
      </w:r>
    </w:p>
    <w:p w14:paraId="0C807629" w14:textId="4F490A13" w:rsidR="00F27245" w:rsidRDefault="00F27245" w:rsidP="009C4254">
      <w:pPr>
        <w:pStyle w:val="KeinLeerraum"/>
        <w:spacing w:after="120" w:line="360" w:lineRule="auto"/>
        <w:ind w:left="2829" w:hanging="2829"/>
        <w:jc w:val="both"/>
        <w:rPr>
          <w:rFonts w:cs="Arial"/>
          <w:sz w:val="22"/>
          <w:szCs w:val="22"/>
          <w:lang w:val="en-US"/>
        </w:rPr>
      </w:pPr>
      <w:r>
        <w:rPr>
          <w:rFonts w:cs="Arial"/>
          <w:sz w:val="22"/>
          <w:szCs w:val="22"/>
          <w:lang w:val="en-US"/>
        </w:rPr>
        <w:t>Supplementary Note 3</w:t>
      </w:r>
      <w:r>
        <w:rPr>
          <w:rFonts w:cs="Arial"/>
          <w:sz w:val="22"/>
          <w:szCs w:val="22"/>
          <w:lang w:val="en-US"/>
        </w:rPr>
        <w:tab/>
      </w:r>
      <w:r w:rsidR="00475C49" w:rsidRPr="00475C49">
        <w:rPr>
          <w:rFonts w:eastAsia="Times New Roman" w:cs="Arial"/>
          <w:bCs/>
          <w:color w:val="000000"/>
          <w:sz w:val="22"/>
          <w:szCs w:val="22"/>
          <w:lang w:val="en-US"/>
        </w:rPr>
        <w:t>Testing effect direction consistency of identified lead variants with annual change in eGFRcys and BUN in the UK Biobank</w:t>
      </w:r>
      <w:r w:rsidR="00E759E2">
        <w:rPr>
          <w:rFonts w:eastAsia="Times New Roman" w:cs="Arial"/>
          <w:bCs/>
          <w:color w:val="000000"/>
          <w:sz w:val="22"/>
          <w:szCs w:val="22"/>
          <w:lang w:val="en-US"/>
        </w:rPr>
        <w:t>.</w:t>
      </w:r>
    </w:p>
    <w:p w14:paraId="04C9EDCC" w14:textId="77777777" w:rsidR="00630C24" w:rsidRPr="00630C24" w:rsidRDefault="00630C24" w:rsidP="00630C24">
      <w:pPr>
        <w:spacing w:after="240" w:line="360" w:lineRule="auto"/>
        <w:jc w:val="center"/>
        <w:rPr>
          <w:rFonts w:ascii="Arial" w:eastAsia="Times New Roman" w:hAnsi="Arial" w:cs="Arial"/>
          <w:b/>
          <w:bCs/>
          <w:color w:val="000000"/>
          <w:u w:val="single"/>
          <w:lang w:val="en-US"/>
        </w:rPr>
      </w:pPr>
      <w:r w:rsidRPr="00630C24">
        <w:rPr>
          <w:rFonts w:ascii="Arial" w:eastAsia="Times New Roman" w:hAnsi="Arial" w:cs="Arial"/>
          <w:b/>
          <w:bCs/>
          <w:color w:val="000000"/>
          <w:u w:val="single"/>
          <w:lang w:val="en-US"/>
        </w:rPr>
        <w:t>Supplementary References</w:t>
      </w:r>
    </w:p>
    <w:p w14:paraId="22993475" w14:textId="77777777" w:rsidR="008D6DF4" w:rsidRPr="005901EC" w:rsidRDefault="007C1EBA">
      <w:pPr>
        <w:spacing w:after="240" w:line="360" w:lineRule="auto"/>
        <w:jc w:val="center"/>
        <w:rPr>
          <w:rFonts w:ascii="Arial" w:eastAsia="Times New Roman" w:hAnsi="Arial" w:cs="Arial"/>
          <w:b/>
          <w:bCs/>
          <w:color w:val="000000"/>
          <w:u w:val="single"/>
          <w:lang w:val="en-US"/>
        </w:rPr>
      </w:pPr>
      <w:r w:rsidRPr="005901EC">
        <w:rPr>
          <w:rFonts w:ascii="Arial" w:eastAsia="Times New Roman" w:hAnsi="Arial" w:cs="Arial"/>
          <w:b/>
          <w:bCs/>
          <w:color w:val="000000"/>
          <w:u w:val="single"/>
          <w:lang w:val="en-US"/>
        </w:rPr>
        <w:t xml:space="preserve">Extended </w:t>
      </w:r>
      <w:r w:rsidRPr="005901EC">
        <w:rPr>
          <w:rFonts w:ascii="Arial" w:hAnsi="Arial" w:cs="Arial"/>
          <w:b/>
          <w:u w:val="single"/>
          <w:lang w:val="en-US"/>
        </w:rPr>
        <w:t>acknowledgements</w:t>
      </w:r>
      <w:r w:rsidRPr="005901EC">
        <w:rPr>
          <w:rFonts w:ascii="Arial" w:eastAsia="Times New Roman" w:hAnsi="Arial" w:cs="Arial"/>
          <w:b/>
          <w:bCs/>
          <w:color w:val="000000"/>
          <w:u w:val="single"/>
          <w:lang w:val="en-US"/>
        </w:rPr>
        <w:t xml:space="preserve"> and study funding information</w:t>
      </w:r>
    </w:p>
    <w:p w14:paraId="6A7E2E24" w14:textId="77777777" w:rsidR="008D6DF4" w:rsidRDefault="008D6DF4" w:rsidP="00B36FFF">
      <w:pPr>
        <w:spacing w:after="0" w:line="360" w:lineRule="auto"/>
        <w:rPr>
          <w:rFonts w:ascii="Arial" w:hAnsi="Arial" w:cs="Arial"/>
          <w:lang w:val="en-US"/>
        </w:rPr>
        <w:sectPr w:rsidR="008D6DF4">
          <w:footerReference w:type="default" r:id="rId8"/>
          <w:pgSz w:w="11906" w:h="16838"/>
          <w:pgMar w:top="1417" w:right="1417" w:bottom="1134" w:left="1417" w:header="708" w:footer="708" w:gutter="0"/>
          <w:cols w:space="708"/>
          <w:docGrid w:linePitch="360"/>
        </w:sectPr>
      </w:pPr>
    </w:p>
    <w:p w14:paraId="3DB92549" w14:textId="6A49ED24" w:rsidR="008D6DF4" w:rsidRDefault="007C1EBA" w:rsidP="00E65DAB">
      <w:pPr>
        <w:spacing w:after="120" w:line="240" w:lineRule="auto"/>
        <w:jc w:val="both"/>
        <w:rPr>
          <w:rFonts w:ascii="Arial" w:eastAsia="Times New Roman" w:hAnsi="Arial" w:cs="Arial"/>
          <w:b/>
          <w:bCs/>
          <w:color w:val="000000"/>
          <w:lang w:val="en-US"/>
        </w:rPr>
      </w:pPr>
      <w:r>
        <w:rPr>
          <w:rFonts w:ascii="Arial" w:eastAsia="Times New Roman" w:hAnsi="Arial" w:cs="Arial"/>
          <w:b/>
          <w:bCs/>
          <w:color w:val="000000"/>
          <w:lang w:val="en-US"/>
        </w:rPr>
        <w:lastRenderedPageBreak/>
        <w:t>Supplementary Table 1</w:t>
      </w:r>
      <w:r w:rsidR="006F789D">
        <w:rPr>
          <w:rFonts w:ascii="Arial" w:eastAsia="Times New Roman" w:hAnsi="Arial" w:cs="Arial"/>
          <w:b/>
          <w:bCs/>
          <w:color w:val="000000"/>
          <w:lang w:val="en-US"/>
        </w:rPr>
        <w:t>A</w:t>
      </w:r>
      <w:r>
        <w:rPr>
          <w:rFonts w:ascii="Arial" w:eastAsia="Times New Roman" w:hAnsi="Arial" w:cs="Arial"/>
          <w:b/>
          <w:bCs/>
          <w:color w:val="000000"/>
          <w:lang w:val="en-US"/>
        </w:rPr>
        <w:t xml:space="preserve"> | Description of participating studies. </w:t>
      </w:r>
      <w:r w:rsidRPr="00B36FFF">
        <w:rPr>
          <w:rFonts w:ascii="Arial" w:eastAsia="Times New Roman" w:hAnsi="Arial" w:cs="Arial"/>
          <w:bCs/>
          <w:color w:val="000000"/>
          <w:lang w:val="en-US"/>
        </w:rPr>
        <w:t>Shown are the study design and population characteristics from all studies from the Rapid3 and CKDi25 GWAS</w:t>
      </w:r>
      <w:r>
        <w:rPr>
          <w:rFonts w:ascii="Arial" w:eastAsia="Times New Roman" w:hAnsi="Arial" w:cs="Arial"/>
          <w:b/>
          <w:bCs/>
          <w:color w:val="000000"/>
          <w:lang w:val="en-US"/>
        </w:rPr>
        <w:t>.</w:t>
      </w:r>
    </w:p>
    <w:tbl>
      <w:tblPr>
        <w:tblW w:w="14317" w:type="dxa"/>
        <w:jc w:val="center"/>
        <w:tblLayout w:type="fixed"/>
        <w:tblLook w:val="04A0" w:firstRow="1" w:lastRow="0" w:firstColumn="1" w:lastColumn="0" w:noHBand="0" w:noVBand="1"/>
      </w:tblPr>
      <w:tblGrid>
        <w:gridCol w:w="1784"/>
        <w:gridCol w:w="3036"/>
        <w:gridCol w:w="3260"/>
        <w:gridCol w:w="4820"/>
        <w:gridCol w:w="1417"/>
      </w:tblGrid>
      <w:tr w:rsidR="007125DD" w14:paraId="1E45BBAE" w14:textId="77777777" w:rsidTr="00E65DAB">
        <w:trPr>
          <w:trHeight w:val="765"/>
          <w:jc w:val="center"/>
        </w:trPr>
        <w:tc>
          <w:tcPr>
            <w:tcW w:w="1784" w:type="dxa"/>
            <w:tcBorders>
              <w:top w:val="single" w:sz="4" w:space="0" w:color="auto"/>
              <w:bottom w:val="single" w:sz="4" w:space="0" w:color="auto"/>
            </w:tcBorders>
            <w:shd w:val="clear" w:color="auto" w:fill="BDD6EE" w:themeFill="accent1" w:themeFillTint="66"/>
            <w:noWrap/>
            <w:vAlign w:val="bottom"/>
            <w:hideMark/>
          </w:tcPr>
          <w:p w14:paraId="02D829D4" w14:textId="77777777" w:rsidR="007125DD" w:rsidRDefault="007125DD" w:rsidP="00796A92">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w:t>
            </w:r>
          </w:p>
        </w:tc>
        <w:tc>
          <w:tcPr>
            <w:tcW w:w="3036" w:type="dxa"/>
            <w:tcBorders>
              <w:top w:val="single" w:sz="4" w:space="0" w:color="auto"/>
              <w:bottom w:val="single" w:sz="4" w:space="0" w:color="auto"/>
            </w:tcBorders>
            <w:shd w:val="clear" w:color="auto" w:fill="BDD6EE" w:themeFill="accent1" w:themeFillTint="66"/>
            <w:noWrap/>
            <w:vAlign w:val="bottom"/>
            <w:hideMark/>
          </w:tcPr>
          <w:p w14:paraId="39C9685B" w14:textId="77777777" w:rsidR="007125DD" w:rsidRDefault="007125DD" w:rsidP="00796A92">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Full name of the study</w:t>
            </w:r>
          </w:p>
        </w:tc>
        <w:tc>
          <w:tcPr>
            <w:tcW w:w="3260" w:type="dxa"/>
            <w:tcBorders>
              <w:top w:val="single" w:sz="4" w:space="0" w:color="auto"/>
              <w:bottom w:val="single" w:sz="4" w:space="0" w:color="auto"/>
            </w:tcBorders>
            <w:shd w:val="clear" w:color="auto" w:fill="BDD6EE" w:themeFill="accent1" w:themeFillTint="66"/>
            <w:vAlign w:val="bottom"/>
            <w:hideMark/>
          </w:tcPr>
          <w:p w14:paraId="10A52D60" w14:textId="77777777" w:rsidR="007125DD" w:rsidRDefault="007125DD" w:rsidP="00796A92">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Design</w:t>
            </w:r>
            <w:r>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br/>
              <w:t>(population-based, selection or enrichment strategy)</w:t>
            </w:r>
          </w:p>
        </w:tc>
        <w:tc>
          <w:tcPr>
            <w:tcW w:w="4820" w:type="dxa"/>
            <w:tcBorders>
              <w:top w:val="single" w:sz="4" w:space="0" w:color="auto"/>
              <w:bottom w:val="single" w:sz="4" w:space="0" w:color="auto"/>
            </w:tcBorders>
            <w:shd w:val="clear" w:color="auto" w:fill="BDD6EE" w:themeFill="accent1" w:themeFillTint="66"/>
            <w:vAlign w:val="bottom"/>
            <w:hideMark/>
          </w:tcPr>
          <w:p w14:paraId="13D8F66F" w14:textId="1D5AF22B" w:rsidR="007125DD" w:rsidRDefault="007125DD" w:rsidP="00796A92">
            <w:pPr>
              <w:spacing w:after="0" w:line="240" w:lineRule="auto"/>
              <w:ind w:right="-88"/>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Serum creatinine assay and year of measurement, baseline</w:t>
            </w:r>
          </w:p>
        </w:tc>
        <w:tc>
          <w:tcPr>
            <w:tcW w:w="1417" w:type="dxa"/>
            <w:tcBorders>
              <w:top w:val="single" w:sz="4" w:space="0" w:color="auto"/>
              <w:bottom w:val="single" w:sz="4" w:space="0" w:color="auto"/>
            </w:tcBorders>
            <w:shd w:val="clear" w:color="auto" w:fill="BDD6EE" w:themeFill="accent1" w:themeFillTint="66"/>
            <w:vAlign w:val="bottom"/>
            <w:hideMark/>
          </w:tcPr>
          <w:p w14:paraId="0572C03E" w14:textId="77777777" w:rsidR="007125DD" w:rsidRDefault="007125DD" w:rsidP="00796A92">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references</w:t>
            </w:r>
            <w:r>
              <w:rPr>
                <w:rFonts w:ascii="Arial" w:eastAsia="Times New Roman" w:hAnsi="Arial" w:cs="Arial"/>
                <w:b/>
                <w:bCs/>
                <w:color w:val="000000"/>
                <w:sz w:val="20"/>
                <w:szCs w:val="20"/>
                <w:lang w:val="en-US"/>
              </w:rPr>
              <w:br/>
            </w:r>
            <w:r>
              <w:rPr>
                <w:rFonts w:ascii="Arial" w:eastAsia="Times New Roman" w:hAnsi="Arial" w:cs="Arial"/>
                <w:color w:val="000000"/>
                <w:sz w:val="20"/>
                <w:szCs w:val="20"/>
                <w:lang w:val="en-US"/>
              </w:rPr>
              <w:t>(PMID)</w:t>
            </w:r>
          </w:p>
        </w:tc>
      </w:tr>
      <w:tr w:rsidR="007125DD" w14:paraId="0264CBE1" w14:textId="77777777" w:rsidTr="000709F4">
        <w:trPr>
          <w:trHeight w:val="450"/>
          <w:jc w:val="center"/>
        </w:trPr>
        <w:tc>
          <w:tcPr>
            <w:tcW w:w="1784" w:type="dxa"/>
            <w:vMerge w:val="restart"/>
            <w:tcBorders>
              <w:top w:val="single" w:sz="4" w:space="0" w:color="auto"/>
            </w:tcBorders>
            <w:shd w:val="clear" w:color="auto" w:fill="D9D9D9" w:themeFill="background1" w:themeFillShade="D9"/>
            <w:vAlign w:val="center"/>
            <w:hideMark/>
          </w:tcPr>
          <w:p w14:paraId="743DBBAE"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ADVANCE</w:t>
            </w:r>
          </w:p>
        </w:tc>
        <w:tc>
          <w:tcPr>
            <w:tcW w:w="3036" w:type="dxa"/>
            <w:vMerge w:val="restart"/>
            <w:tcBorders>
              <w:top w:val="single" w:sz="4" w:space="0" w:color="auto"/>
            </w:tcBorders>
            <w:shd w:val="clear" w:color="auto" w:fill="D9D9D9" w:themeFill="background1" w:themeFillShade="D9"/>
            <w:vAlign w:val="center"/>
            <w:hideMark/>
          </w:tcPr>
          <w:p w14:paraId="7F55E842"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Action in Diabetes and Vascular disease: preterAx and diamicroN mr Controlled Evaluation</w:t>
            </w:r>
          </w:p>
        </w:tc>
        <w:tc>
          <w:tcPr>
            <w:tcW w:w="3260" w:type="dxa"/>
            <w:vMerge w:val="restart"/>
            <w:tcBorders>
              <w:top w:val="single" w:sz="4" w:space="0" w:color="auto"/>
            </w:tcBorders>
            <w:shd w:val="clear" w:color="auto" w:fill="D9D9D9" w:themeFill="background1" w:themeFillShade="D9"/>
            <w:vAlign w:val="center"/>
            <w:hideMark/>
          </w:tcPr>
          <w:p w14:paraId="57A2748E"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factorial, multicentre, randomised controlled trial, with a 5- to 6-year follow-up.</w:t>
            </w:r>
          </w:p>
        </w:tc>
        <w:tc>
          <w:tcPr>
            <w:tcW w:w="4820" w:type="dxa"/>
            <w:vMerge w:val="restart"/>
            <w:tcBorders>
              <w:top w:val="single" w:sz="4" w:space="0" w:color="auto"/>
            </w:tcBorders>
            <w:shd w:val="clear" w:color="auto" w:fill="D9D9D9" w:themeFill="background1" w:themeFillShade="D9"/>
            <w:vAlign w:val="center"/>
            <w:hideMark/>
          </w:tcPr>
          <w:p w14:paraId="0E5E5BC2"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2001-2003</w:t>
            </w:r>
          </w:p>
        </w:tc>
        <w:tc>
          <w:tcPr>
            <w:tcW w:w="1417" w:type="dxa"/>
            <w:vMerge w:val="restart"/>
            <w:tcBorders>
              <w:top w:val="single" w:sz="4" w:space="0" w:color="auto"/>
            </w:tcBorders>
            <w:shd w:val="clear" w:color="auto" w:fill="D9D9D9" w:themeFill="background1" w:themeFillShade="D9"/>
            <w:vAlign w:val="center"/>
            <w:hideMark/>
          </w:tcPr>
          <w:p w14:paraId="54F2D1BB"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11848259</w:t>
            </w:r>
          </w:p>
        </w:tc>
      </w:tr>
      <w:tr w:rsidR="007125DD" w14:paraId="555413A6" w14:textId="77777777" w:rsidTr="000709F4">
        <w:trPr>
          <w:trHeight w:val="450"/>
          <w:jc w:val="center"/>
        </w:trPr>
        <w:tc>
          <w:tcPr>
            <w:tcW w:w="1784" w:type="dxa"/>
            <w:vMerge/>
            <w:tcBorders>
              <w:top w:val="nil"/>
            </w:tcBorders>
            <w:vAlign w:val="center"/>
            <w:hideMark/>
          </w:tcPr>
          <w:p w14:paraId="6FEE1B27"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036" w:type="dxa"/>
            <w:vMerge/>
            <w:tcBorders>
              <w:top w:val="nil"/>
            </w:tcBorders>
            <w:vAlign w:val="center"/>
            <w:hideMark/>
          </w:tcPr>
          <w:p w14:paraId="1C948BA7"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260" w:type="dxa"/>
            <w:vMerge/>
            <w:tcBorders>
              <w:top w:val="nil"/>
            </w:tcBorders>
            <w:vAlign w:val="center"/>
            <w:hideMark/>
          </w:tcPr>
          <w:p w14:paraId="6948C9DD"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4820" w:type="dxa"/>
            <w:vMerge/>
            <w:tcBorders>
              <w:top w:val="nil"/>
            </w:tcBorders>
            <w:vAlign w:val="center"/>
            <w:hideMark/>
          </w:tcPr>
          <w:p w14:paraId="287513FB"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1417" w:type="dxa"/>
            <w:vMerge/>
            <w:tcBorders>
              <w:top w:val="nil"/>
            </w:tcBorders>
            <w:vAlign w:val="center"/>
            <w:hideMark/>
          </w:tcPr>
          <w:p w14:paraId="2E8C3EDB" w14:textId="77777777" w:rsidR="007125DD" w:rsidRDefault="007125DD" w:rsidP="000709F4">
            <w:pPr>
              <w:spacing w:before="60" w:after="60" w:line="240" w:lineRule="auto"/>
              <w:rPr>
                <w:rFonts w:ascii="Arial" w:eastAsia="Times New Roman" w:hAnsi="Arial" w:cs="Arial"/>
                <w:color w:val="000000"/>
                <w:sz w:val="20"/>
                <w:szCs w:val="20"/>
                <w:lang w:val="en-US"/>
              </w:rPr>
            </w:pPr>
          </w:p>
        </w:tc>
      </w:tr>
      <w:tr w:rsidR="007125DD" w14:paraId="601187E8" w14:textId="77777777" w:rsidTr="000709F4">
        <w:trPr>
          <w:trHeight w:val="450"/>
          <w:jc w:val="center"/>
        </w:trPr>
        <w:tc>
          <w:tcPr>
            <w:tcW w:w="1784" w:type="dxa"/>
            <w:vMerge/>
            <w:tcBorders>
              <w:top w:val="nil"/>
            </w:tcBorders>
            <w:vAlign w:val="center"/>
            <w:hideMark/>
          </w:tcPr>
          <w:p w14:paraId="1582BB12"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036" w:type="dxa"/>
            <w:vMerge/>
            <w:tcBorders>
              <w:top w:val="nil"/>
            </w:tcBorders>
            <w:vAlign w:val="center"/>
            <w:hideMark/>
          </w:tcPr>
          <w:p w14:paraId="534F6D5E"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260" w:type="dxa"/>
            <w:vMerge/>
            <w:tcBorders>
              <w:top w:val="nil"/>
            </w:tcBorders>
            <w:vAlign w:val="center"/>
            <w:hideMark/>
          </w:tcPr>
          <w:p w14:paraId="6352D693"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4820" w:type="dxa"/>
            <w:vMerge/>
            <w:tcBorders>
              <w:top w:val="nil"/>
            </w:tcBorders>
            <w:vAlign w:val="center"/>
            <w:hideMark/>
          </w:tcPr>
          <w:p w14:paraId="7BFEBDE2"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1417" w:type="dxa"/>
            <w:vMerge/>
            <w:tcBorders>
              <w:top w:val="nil"/>
            </w:tcBorders>
            <w:vAlign w:val="center"/>
            <w:hideMark/>
          </w:tcPr>
          <w:p w14:paraId="76C78A4C" w14:textId="77777777" w:rsidR="007125DD" w:rsidRDefault="007125DD" w:rsidP="000709F4">
            <w:pPr>
              <w:spacing w:before="60" w:after="60" w:line="240" w:lineRule="auto"/>
              <w:rPr>
                <w:rFonts w:ascii="Arial" w:eastAsia="Times New Roman" w:hAnsi="Arial" w:cs="Arial"/>
                <w:color w:val="000000"/>
                <w:sz w:val="20"/>
                <w:szCs w:val="20"/>
                <w:lang w:val="en-US"/>
              </w:rPr>
            </w:pPr>
          </w:p>
        </w:tc>
      </w:tr>
      <w:tr w:rsidR="007125DD" w14:paraId="3AC6A564" w14:textId="77777777" w:rsidTr="000709F4">
        <w:trPr>
          <w:jc w:val="center"/>
        </w:trPr>
        <w:tc>
          <w:tcPr>
            <w:tcW w:w="1784" w:type="dxa"/>
            <w:tcBorders>
              <w:top w:val="nil"/>
            </w:tcBorders>
            <w:shd w:val="clear" w:color="auto" w:fill="auto"/>
            <w:vAlign w:val="center"/>
            <w:hideMark/>
          </w:tcPr>
          <w:p w14:paraId="1B97CAB1"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AFTER EU</w:t>
            </w:r>
          </w:p>
        </w:tc>
        <w:tc>
          <w:tcPr>
            <w:tcW w:w="3036" w:type="dxa"/>
            <w:tcBorders>
              <w:top w:val="nil"/>
            </w:tcBorders>
            <w:shd w:val="clear" w:color="auto" w:fill="auto"/>
            <w:vAlign w:val="center"/>
            <w:hideMark/>
          </w:tcPr>
          <w:p w14:paraId="2947A1FF"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AFTER (EURAGEDIC) European Rational Approach for the Genetics of Diabetic Complications</w:t>
            </w:r>
          </w:p>
        </w:tc>
        <w:tc>
          <w:tcPr>
            <w:tcW w:w="3260" w:type="dxa"/>
            <w:tcBorders>
              <w:top w:val="nil"/>
            </w:tcBorders>
            <w:shd w:val="clear" w:color="auto" w:fill="auto"/>
            <w:vAlign w:val="center"/>
            <w:hideMark/>
          </w:tcPr>
          <w:p w14:paraId="6109BF51"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Adult onset Type 1 Diabetes</w:t>
            </w:r>
          </w:p>
        </w:tc>
        <w:tc>
          <w:tcPr>
            <w:tcW w:w="4820" w:type="dxa"/>
            <w:tcBorders>
              <w:top w:val="nil"/>
            </w:tcBorders>
            <w:shd w:val="clear" w:color="auto" w:fill="auto"/>
            <w:vAlign w:val="center"/>
            <w:hideMark/>
          </w:tcPr>
          <w:p w14:paraId="4DFD60DD"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Modified Jaffe </w:t>
            </w:r>
          </w:p>
        </w:tc>
        <w:tc>
          <w:tcPr>
            <w:tcW w:w="1417" w:type="dxa"/>
            <w:tcBorders>
              <w:top w:val="nil"/>
            </w:tcBorders>
            <w:shd w:val="clear" w:color="auto" w:fill="auto"/>
            <w:vAlign w:val="center"/>
            <w:hideMark/>
          </w:tcPr>
          <w:p w14:paraId="0C79E158"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18496510, 20357380</w:t>
            </w:r>
          </w:p>
        </w:tc>
      </w:tr>
      <w:tr w:rsidR="007125DD" w14:paraId="28F2350E" w14:textId="77777777" w:rsidTr="000709F4">
        <w:trPr>
          <w:trHeight w:val="450"/>
          <w:jc w:val="center"/>
        </w:trPr>
        <w:tc>
          <w:tcPr>
            <w:tcW w:w="1784" w:type="dxa"/>
            <w:vMerge w:val="restart"/>
            <w:tcBorders>
              <w:top w:val="nil"/>
            </w:tcBorders>
            <w:shd w:val="clear" w:color="auto" w:fill="D9D9D9" w:themeFill="background1" w:themeFillShade="D9"/>
            <w:vAlign w:val="center"/>
            <w:hideMark/>
          </w:tcPr>
          <w:p w14:paraId="71C3BE8C"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ARIC</w:t>
            </w:r>
          </w:p>
        </w:tc>
        <w:tc>
          <w:tcPr>
            <w:tcW w:w="3036" w:type="dxa"/>
            <w:vMerge w:val="restart"/>
            <w:tcBorders>
              <w:top w:val="nil"/>
            </w:tcBorders>
            <w:shd w:val="clear" w:color="auto" w:fill="D9D9D9" w:themeFill="background1" w:themeFillShade="D9"/>
            <w:vAlign w:val="center"/>
            <w:hideMark/>
          </w:tcPr>
          <w:p w14:paraId="7D71FD29"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Atherosclerosis Risk in Communities study</w:t>
            </w:r>
          </w:p>
        </w:tc>
        <w:tc>
          <w:tcPr>
            <w:tcW w:w="3260" w:type="dxa"/>
            <w:vMerge w:val="restart"/>
            <w:tcBorders>
              <w:top w:val="nil"/>
            </w:tcBorders>
            <w:shd w:val="clear" w:color="auto" w:fill="D9D9D9" w:themeFill="background1" w:themeFillShade="D9"/>
            <w:vAlign w:val="center"/>
            <w:hideMark/>
          </w:tcPr>
          <w:p w14:paraId="3D34C021"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vMerge w:val="restart"/>
            <w:tcBorders>
              <w:top w:val="nil"/>
            </w:tcBorders>
            <w:shd w:val="clear" w:color="auto" w:fill="D9D9D9" w:themeFill="background1" w:themeFillShade="D9"/>
            <w:vAlign w:val="center"/>
            <w:hideMark/>
          </w:tcPr>
          <w:p w14:paraId="2BBB97AB"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Modified kinetic Jaffé reaction, 1989</w:t>
            </w:r>
          </w:p>
        </w:tc>
        <w:tc>
          <w:tcPr>
            <w:tcW w:w="1417" w:type="dxa"/>
            <w:vMerge w:val="restart"/>
            <w:tcBorders>
              <w:top w:val="nil"/>
            </w:tcBorders>
            <w:shd w:val="clear" w:color="auto" w:fill="D9D9D9" w:themeFill="background1" w:themeFillShade="D9"/>
            <w:vAlign w:val="center"/>
            <w:hideMark/>
          </w:tcPr>
          <w:p w14:paraId="56B64141"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2646917</w:t>
            </w:r>
          </w:p>
        </w:tc>
      </w:tr>
      <w:tr w:rsidR="007125DD" w14:paraId="5E46D269" w14:textId="77777777" w:rsidTr="000709F4">
        <w:trPr>
          <w:trHeight w:val="450"/>
          <w:jc w:val="center"/>
        </w:trPr>
        <w:tc>
          <w:tcPr>
            <w:tcW w:w="1784" w:type="dxa"/>
            <w:vMerge/>
            <w:tcBorders>
              <w:top w:val="nil"/>
            </w:tcBorders>
            <w:vAlign w:val="center"/>
            <w:hideMark/>
          </w:tcPr>
          <w:p w14:paraId="6EEA16C6"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036" w:type="dxa"/>
            <w:vMerge/>
            <w:tcBorders>
              <w:top w:val="nil"/>
            </w:tcBorders>
            <w:vAlign w:val="center"/>
            <w:hideMark/>
          </w:tcPr>
          <w:p w14:paraId="2578AF14"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260" w:type="dxa"/>
            <w:vMerge/>
            <w:tcBorders>
              <w:top w:val="nil"/>
            </w:tcBorders>
            <w:vAlign w:val="center"/>
            <w:hideMark/>
          </w:tcPr>
          <w:p w14:paraId="706C3589"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4820" w:type="dxa"/>
            <w:vMerge/>
            <w:tcBorders>
              <w:top w:val="nil"/>
            </w:tcBorders>
            <w:vAlign w:val="center"/>
            <w:hideMark/>
          </w:tcPr>
          <w:p w14:paraId="024EB904"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1417" w:type="dxa"/>
            <w:vMerge/>
            <w:tcBorders>
              <w:top w:val="nil"/>
            </w:tcBorders>
            <w:vAlign w:val="center"/>
            <w:hideMark/>
          </w:tcPr>
          <w:p w14:paraId="211C85D4" w14:textId="77777777" w:rsidR="007125DD" w:rsidRDefault="007125DD" w:rsidP="000709F4">
            <w:pPr>
              <w:spacing w:before="60" w:after="60" w:line="240" w:lineRule="auto"/>
              <w:rPr>
                <w:rFonts w:ascii="Arial" w:eastAsia="Times New Roman" w:hAnsi="Arial" w:cs="Arial"/>
                <w:color w:val="000000"/>
                <w:sz w:val="20"/>
                <w:szCs w:val="20"/>
                <w:lang w:val="en-US"/>
              </w:rPr>
            </w:pPr>
          </w:p>
        </w:tc>
      </w:tr>
      <w:tr w:rsidR="007125DD" w14:paraId="185AFE01" w14:textId="77777777" w:rsidTr="000709F4">
        <w:trPr>
          <w:jc w:val="center"/>
        </w:trPr>
        <w:tc>
          <w:tcPr>
            <w:tcW w:w="1784" w:type="dxa"/>
            <w:tcBorders>
              <w:top w:val="nil"/>
            </w:tcBorders>
            <w:shd w:val="clear" w:color="auto" w:fill="auto"/>
            <w:vAlign w:val="center"/>
            <w:hideMark/>
          </w:tcPr>
          <w:p w14:paraId="5E02E00F"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ASPS</w:t>
            </w:r>
          </w:p>
        </w:tc>
        <w:tc>
          <w:tcPr>
            <w:tcW w:w="3036" w:type="dxa"/>
            <w:tcBorders>
              <w:top w:val="nil"/>
            </w:tcBorders>
            <w:shd w:val="clear" w:color="auto" w:fill="auto"/>
            <w:vAlign w:val="center"/>
            <w:hideMark/>
          </w:tcPr>
          <w:p w14:paraId="2F5A7817"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Austrian Stroke Prevention Study</w:t>
            </w:r>
          </w:p>
        </w:tc>
        <w:tc>
          <w:tcPr>
            <w:tcW w:w="3260" w:type="dxa"/>
            <w:tcBorders>
              <w:top w:val="nil"/>
            </w:tcBorders>
            <w:shd w:val="clear" w:color="auto" w:fill="auto"/>
            <w:vAlign w:val="center"/>
            <w:hideMark/>
          </w:tcPr>
          <w:p w14:paraId="2CEC66CD"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auto"/>
            <w:vAlign w:val="center"/>
            <w:hideMark/>
          </w:tcPr>
          <w:p w14:paraId="0430A436"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Modified kinetic Jaffe reaction, 1991 - 2005</w:t>
            </w:r>
          </w:p>
        </w:tc>
        <w:tc>
          <w:tcPr>
            <w:tcW w:w="1417" w:type="dxa"/>
            <w:tcBorders>
              <w:top w:val="nil"/>
            </w:tcBorders>
            <w:shd w:val="clear" w:color="auto" w:fill="auto"/>
            <w:vAlign w:val="center"/>
            <w:hideMark/>
          </w:tcPr>
          <w:p w14:paraId="59186802"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10408549, 7800110</w:t>
            </w:r>
          </w:p>
        </w:tc>
      </w:tr>
      <w:tr w:rsidR="00E67C00" w14:paraId="0CD6A420" w14:textId="77777777" w:rsidTr="00E67C00">
        <w:trPr>
          <w:trHeight w:val="290"/>
          <w:jc w:val="center"/>
        </w:trPr>
        <w:tc>
          <w:tcPr>
            <w:tcW w:w="1784" w:type="dxa"/>
            <w:tcBorders>
              <w:top w:val="nil"/>
            </w:tcBorders>
            <w:shd w:val="clear" w:color="auto" w:fill="D9D9D9" w:themeFill="background1" w:themeFillShade="D9"/>
            <w:vAlign w:val="center"/>
          </w:tcPr>
          <w:p w14:paraId="56A98D19" w14:textId="3D33AB0F"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BioMe</w:t>
            </w:r>
          </w:p>
        </w:tc>
        <w:tc>
          <w:tcPr>
            <w:tcW w:w="3036" w:type="dxa"/>
            <w:tcBorders>
              <w:top w:val="nil"/>
            </w:tcBorders>
            <w:shd w:val="clear" w:color="auto" w:fill="D9D9D9" w:themeFill="background1" w:themeFillShade="D9"/>
            <w:vAlign w:val="center"/>
          </w:tcPr>
          <w:p w14:paraId="4196CD33" w14:textId="0236312D"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BioMe™ BioBank Program</w:t>
            </w:r>
          </w:p>
        </w:tc>
        <w:tc>
          <w:tcPr>
            <w:tcW w:w="3260" w:type="dxa"/>
            <w:tcBorders>
              <w:top w:val="nil"/>
            </w:tcBorders>
            <w:shd w:val="clear" w:color="auto" w:fill="D9D9D9" w:themeFill="background1" w:themeFillShade="D9"/>
            <w:vAlign w:val="center"/>
          </w:tcPr>
          <w:p w14:paraId="514B048E" w14:textId="74092CD6" w:rsidR="00E67C00" w:rsidRPr="00291506"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D9D9D9" w:themeFill="background1" w:themeFillShade="D9"/>
            <w:vAlign w:val="center"/>
          </w:tcPr>
          <w:p w14:paraId="45FA8C0F" w14:textId="1F0A155E"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Jaffe, 2008</w:t>
            </w:r>
          </w:p>
        </w:tc>
        <w:tc>
          <w:tcPr>
            <w:tcW w:w="1417" w:type="dxa"/>
            <w:tcBorders>
              <w:top w:val="nil"/>
            </w:tcBorders>
            <w:shd w:val="clear" w:color="auto" w:fill="D9D9D9" w:themeFill="background1" w:themeFillShade="D9"/>
            <w:vAlign w:val="center"/>
          </w:tcPr>
          <w:p w14:paraId="37DBF870" w14:textId="60E278DC" w:rsidR="00E67C00" w:rsidRDefault="00E67C00" w:rsidP="00E67C00">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25349204</w:t>
            </w:r>
          </w:p>
        </w:tc>
      </w:tr>
      <w:tr w:rsidR="00E67C00" w14:paraId="37719789" w14:textId="77777777" w:rsidTr="000709F4">
        <w:trPr>
          <w:trHeight w:val="450"/>
          <w:jc w:val="center"/>
        </w:trPr>
        <w:tc>
          <w:tcPr>
            <w:tcW w:w="1784" w:type="dxa"/>
            <w:vMerge w:val="restart"/>
            <w:tcBorders>
              <w:top w:val="nil"/>
            </w:tcBorders>
            <w:shd w:val="clear" w:color="auto" w:fill="auto"/>
            <w:vAlign w:val="center"/>
            <w:hideMark/>
          </w:tcPr>
          <w:p w14:paraId="66BC9363"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CHS</w:t>
            </w:r>
          </w:p>
        </w:tc>
        <w:tc>
          <w:tcPr>
            <w:tcW w:w="3036" w:type="dxa"/>
            <w:vMerge w:val="restart"/>
            <w:tcBorders>
              <w:top w:val="nil"/>
            </w:tcBorders>
            <w:shd w:val="clear" w:color="auto" w:fill="auto"/>
            <w:vAlign w:val="center"/>
            <w:hideMark/>
          </w:tcPr>
          <w:p w14:paraId="6B6F38F8"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Cardiovascular Health Study</w:t>
            </w:r>
          </w:p>
        </w:tc>
        <w:tc>
          <w:tcPr>
            <w:tcW w:w="3260" w:type="dxa"/>
            <w:vMerge w:val="restart"/>
            <w:tcBorders>
              <w:top w:val="nil"/>
            </w:tcBorders>
            <w:shd w:val="clear" w:color="auto" w:fill="auto"/>
            <w:vAlign w:val="center"/>
            <w:hideMark/>
          </w:tcPr>
          <w:p w14:paraId="0CE839D4" w14:textId="77777777" w:rsidR="00E67C00" w:rsidRPr="00291506" w:rsidRDefault="00E67C00" w:rsidP="00E67C00">
            <w:pPr>
              <w:spacing w:before="60" w:after="60" w:line="240" w:lineRule="auto"/>
              <w:rPr>
                <w:rFonts w:ascii="Arial" w:eastAsia="Times New Roman" w:hAnsi="Arial" w:cs="Arial"/>
                <w:color w:val="000000"/>
                <w:sz w:val="20"/>
                <w:szCs w:val="20"/>
                <w:lang w:val="en-US"/>
              </w:rPr>
            </w:pPr>
            <w:r w:rsidRPr="00291506">
              <w:rPr>
                <w:rFonts w:ascii="Arial" w:eastAsia="Times New Roman" w:hAnsi="Arial" w:cs="Arial"/>
                <w:color w:val="000000"/>
                <w:sz w:val="20"/>
                <w:szCs w:val="20"/>
                <w:lang w:val="en-US"/>
              </w:rPr>
              <w:t>Population-based</w:t>
            </w:r>
          </w:p>
        </w:tc>
        <w:tc>
          <w:tcPr>
            <w:tcW w:w="4820" w:type="dxa"/>
            <w:vMerge w:val="restart"/>
            <w:tcBorders>
              <w:top w:val="nil"/>
            </w:tcBorders>
            <w:shd w:val="clear" w:color="auto" w:fill="auto"/>
            <w:vAlign w:val="center"/>
            <w:hideMark/>
          </w:tcPr>
          <w:p w14:paraId="43FF42EC"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Colorimetric method on a Kodak Ektachem 700 Analyzer (Eastman Kodak, Rochester, NY), 1989-90 and 1992-93</w:t>
            </w:r>
          </w:p>
        </w:tc>
        <w:tc>
          <w:tcPr>
            <w:tcW w:w="1417" w:type="dxa"/>
            <w:vMerge w:val="restart"/>
            <w:tcBorders>
              <w:top w:val="nil"/>
            </w:tcBorders>
            <w:shd w:val="clear" w:color="auto" w:fill="auto"/>
            <w:vAlign w:val="center"/>
            <w:hideMark/>
          </w:tcPr>
          <w:p w14:paraId="32B72776" w14:textId="77777777" w:rsidR="00E67C00" w:rsidRDefault="00E67C00" w:rsidP="00E67C00">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1669507</w:t>
            </w:r>
          </w:p>
        </w:tc>
      </w:tr>
      <w:tr w:rsidR="00E67C00" w14:paraId="1719F9B6" w14:textId="77777777" w:rsidTr="000709F4">
        <w:trPr>
          <w:trHeight w:val="450"/>
          <w:jc w:val="center"/>
        </w:trPr>
        <w:tc>
          <w:tcPr>
            <w:tcW w:w="1784" w:type="dxa"/>
            <w:vMerge/>
            <w:tcBorders>
              <w:top w:val="nil"/>
            </w:tcBorders>
            <w:vAlign w:val="center"/>
            <w:hideMark/>
          </w:tcPr>
          <w:p w14:paraId="1BCF290E" w14:textId="77777777" w:rsidR="00E67C00" w:rsidRDefault="00E67C00" w:rsidP="00E67C00">
            <w:pPr>
              <w:spacing w:before="60" w:after="60" w:line="240" w:lineRule="auto"/>
              <w:rPr>
                <w:rFonts w:ascii="Arial" w:eastAsia="Times New Roman" w:hAnsi="Arial" w:cs="Arial"/>
                <w:color w:val="000000"/>
                <w:sz w:val="20"/>
                <w:szCs w:val="20"/>
                <w:lang w:val="en-US"/>
              </w:rPr>
            </w:pPr>
          </w:p>
        </w:tc>
        <w:tc>
          <w:tcPr>
            <w:tcW w:w="3036" w:type="dxa"/>
            <w:vMerge/>
            <w:tcBorders>
              <w:top w:val="nil"/>
            </w:tcBorders>
            <w:vAlign w:val="center"/>
            <w:hideMark/>
          </w:tcPr>
          <w:p w14:paraId="7566C018" w14:textId="77777777" w:rsidR="00E67C00" w:rsidRDefault="00E67C00" w:rsidP="00E67C00">
            <w:pPr>
              <w:spacing w:before="60" w:after="60" w:line="240" w:lineRule="auto"/>
              <w:rPr>
                <w:rFonts w:ascii="Arial" w:eastAsia="Times New Roman" w:hAnsi="Arial" w:cs="Arial"/>
                <w:color w:val="000000"/>
                <w:sz w:val="20"/>
                <w:szCs w:val="20"/>
                <w:lang w:val="en-US"/>
              </w:rPr>
            </w:pPr>
          </w:p>
        </w:tc>
        <w:tc>
          <w:tcPr>
            <w:tcW w:w="3260" w:type="dxa"/>
            <w:vMerge/>
            <w:tcBorders>
              <w:top w:val="nil"/>
            </w:tcBorders>
            <w:vAlign w:val="center"/>
            <w:hideMark/>
          </w:tcPr>
          <w:p w14:paraId="756BFAC0" w14:textId="77777777" w:rsidR="00E67C00" w:rsidRDefault="00E67C00" w:rsidP="00E67C00">
            <w:pPr>
              <w:spacing w:before="60" w:after="60" w:line="240" w:lineRule="auto"/>
              <w:rPr>
                <w:rFonts w:ascii="Arial" w:eastAsia="Times New Roman" w:hAnsi="Arial" w:cs="Arial"/>
                <w:color w:val="000000"/>
                <w:sz w:val="20"/>
                <w:szCs w:val="20"/>
                <w:lang w:val="en-US"/>
              </w:rPr>
            </w:pPr>
          </w:p>
        </w:tc>
        <w:tc>
          <w:tcPr>
            <w:tcW w:w="4820" w:type="dxa"/>
            <w:vMerge/>
            <w:tcBorders>
              <w:top w:val="nil"/>
            </w:tcBorders>
            <w:vAlign w:val="center"/>
            <w:hideMark/>
          </w:tcPr>
          <w:p w14:paraId="4A7F81D9" w14:textId="77777777" w:rsidR="00E67C00" w:rsidRDefault="00E67C00" w:rsidP="00E67C00">
            <w:pPr>
              <w:spacing w:before="60" w:after="60" w:line="240" w:lineRule="auto"/>
              <w:rPr>
                <w:rFonts w:ascii="Arial" w:eastAsia="Times New Roman" w:hAnsi="Arial" w:cs="Arial"/>
                <w:color w:val="000000"/>
                <w:sz w:val="20"/>
                <w:szCs w:val="20"/>
                <w:lang w:val="en-US"/>
              </w:rPr>
            </w:pPr>
          </w:p>
        </w:tc>
        <w:tc>
          <w:tcPr>
            <w:tcW w:w="1417" w:type="dxa"/>
            <w:vMerge/>
            <w:tcBorders>
              <w:top w:val="nil"/>
            </w:tcBorders>
            <w:vAlign w:val="center"/>
            <w:hideMark/>
          </w:tcPr>
          <w:p w14:paraId="18A54377" w14:textId="77777777" w:rsidR="00E67C00" w:rsidRDefault="00E67C00" w:rsidP="00E67C00">
            <w:pPr>
              <w:spacing w:before="60" w:after="60" w:line="240" w:lineRule="auto"/>
              <w:rPr>
                <w:rFonts w:ascii="Arial" w:eastAsia="Times New Roman" w:hAnsi="Arial" w:cs="Arial"/>
                <w:color w:val="000000"/>
                <w:sz w:val="20"/>
                <w:szCs w:val="20"/>
                <w:lang w:val="en-US"/>
              </w:rPr>
            </w:pPr>
          </w:p>
        </w:tc>
      </w:tr>
      <w:tr w:rsidR="00E67C00" w14:paraId="078A807A" w14:textId="77777777" w:rsidTr="000709F4">
        <w:trPr>
          <w:jc w:val="center"/>
        </w:trPr>
        <w:tc>
          <w:tcPr>
            <w:tcW w:w="1784" w:type="dxa"/>
            <w:tcBorders>
              <w:top w:val="nil"/>
            </w:tcBorders>
            <w:shd w:val="clear" w:color="auto" w:fill="D9D9D9" w:themeFill="background1" w:themeFillShade="D9"/>
            <w:vAlign w:val="center"/>
            <w:hideMark/>
          </w:tcPr>
          <w:p w14:paraId="5A8D678C"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DECODE</w:t>
            </w:r>
          </w:p>
        </w:tc>
        <w:tc>
          <w:tcPr>
            <w:tcW w:w="3036" w:type="dxa"/>
            <w:tcBorders>
              <w:top w:val="nil"/>
            </w:tcBorders>
            <w:shd w:val="clear" w:color="auto" w:fill="D9D9D9" w:themeFill="background1" w:themeFillShade="D9"/>
            <w:vAlign w:val="center"/>
            <w:hideMark/>
          </w:tcPr>
          <w:p w14:paraId="7DCA5B0B"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deCODE genetics/Amgen</w:t>
            </w:r>
          </w:p>
        </w:tc>
        <w:tc>
          <w:tcPr>
            <w:tcW w:w="3260" w:type="dxa"/>
            <w:tcBorders>
              <w:top w:val="nil"/>
            </w:tcBorders>
            <w:shd w:val="clear" w:color="auto" w:fill="D9D9D9" w:themeFill="background1" w:themeFillShade="D9"/>
            <w:vAlign w:val="center"/>
            <w:hideMark/>
          </w:tcPr>
          <w:p w14:paraId="653E8BFA"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D9D9D9" w:themeFill="background1" w:themeFillShade="D9"/>
            <w:vAlign w:val="center"/>
            <w:hideMark/>
          </w:tcPr>
          <w:p w14:paraId="2B8CD069" w14:textId="4B51AC06"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Enzymatic and modified kinetic Jaffe reaction assay since 1997</w:t>
            </w:r>
          </w:p>
        </w:tc>
        <w:tc>
          <w:tcPr>
            <w:tcW w:w="1417" w:type="dxa"/>
            <w:tcBorders>
              <w:top w:val="nil"/>
            </w:tcBorders>
            <w:shd w:val="clear" w:color="auto" w:fill="D9D9D9" w:themeFill="background1" w:themeFillShade="D9"/>
            <w:vAlign w:val="center"/>
            <w:hideMark/>
          </w:tcPr>
          <w:p w14:paraId="542416C6" w14:textId="77777777" w:rsidR="00E67C00" w:rsidRDefault="00E67C00" w:rsidP="00E67C00">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20686651, 25082825</w:t>
            </w:r>
          </w:p>
        </w:tc>
      </w:tr>
      <w:tr w:rsidR="00E67C00" w14:paraId="0927AC6C" w14:textId="77777777" w:rsidTr="00840BE1">
        <w:trPr>
          <w:jc w:val="center"/>
        </w:trPr>
        <w:tc>
          <w:tcPr>
            <w:tcW w:w="1784" w:type="dxa"/>
            <w:shd w:val="clear" w:color="auto" w:fill="auto"/>
            <w:vAlign w:val="center"/>
            <w:hideMark/>
          </w:tcPr>
          <w:p w14:paraId="676F73ED"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DIACORE</w:t>
            </w:r>
          </w:p>
        </w:tc>
        <w:tc>
          <w:tcPr>
            <w:tcW w:w="3036" w:type="dxa"/>
            <w:shd w:val="clear" w:color="auto" w:fill="auto"/>
            <w:vAlign w:val="center"/>
            <w:hideMark/>
          </w:tcPr>
          <w:p w14:paraId="39BF405C"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DIAbetes COhoRtE</w:t>
            </w:r>
          </w:p>
        </w:tc>
        <w:tc>
          <w:tcPr>
            <w:tcW w:w="3260" w:type="dxa"/>
            <w:shd w:val="clear" w:color="auto" w:fill="auto"/>
            <w:vAlign w:val="center"/>
            <w:hideMark/>
          </w:tcPr>
          <w:p w14:paraId="34AF1E93"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Prospective cohort study of patients with diabetes mellitus type 2</w:t>
            </w:r>
          </w:p>
        </w:tc>
        <w:tc>
          <w:tcPr>
            <w:tcW w:w="4820" w:type="dxa"/>
            <w:shd w:val="clear" w:color="auto" w:fill="auto"/>
            <w:vAlign w:val="center"/>
            <w:hideMark/>
          </w:tcPr>
          <w:p w14:paraId="3D34CF8F" w14:textId="77777777" w:rsidR="00E67C00" w:rsidRDefault="00E67C00" w:rsidP="00E67C0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Serum Creatinine was measured 2010-2013 using an enzymatic assay traceable to NIST.</w:t>
            </w:r>
          </w:p>
        </w:tc>
        <w:tc>
          <w:tcPr>
            <w:tcW w:w="1417" w:type="dxa"/>
            <w:shd w:val="clear" w:color="auto" w:fill="auto"/>
            <w:vAlign w:val="center"/>
            <w:hideMark/>
          </w:tcPr>
          <w:p w14:paraId="2E0B78D7" w14:textId="77777777" w:rsidR="00E67C00" w:rsidRDefault="00E67C00" w:rsidP="00E67C00">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23409726</w:t>
            </w:r>
          </w:p>
        </w:tc>
      </w:tr>
      <w:tr w:rsidR="00E67C00" w14:paraId="1EB16C1F" w14:textId="77777777" w:rsidTr="00840BE1">
        <w:trPr>
          <w:jc w:val="center"/>
        </w:trPr>
        <w:tc>
          <w:tcPr>
            <w:tcW w:w="1784" w:type="dxa"/>
            <w:tcBorders>
              <w:bottom w:val="single" w:sz="4" w:space="0" w:color="auto"/>
            </w:tcBorders>
            <w:shd w:val="clear" w:color="auto" w:fill="D9D9D9" w:themeFill="background1" w:themeFillShade="D9"/>
            <w:vAlign w:val="center"/>
            <w:hideMark/>
          </w:tcPr>
          <w:p w14:paraId="7515B1FF" w14:textId="77777777" w:rsidR="00E67C00" w:rsidRDefault="00E67C0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ESTHER</w:t>
            </w:r>
          </w:p>
        </w:tc>
        <w:tc>
          <w:tcPr>
            <w:tcW w:w="3036" w:type="dxa"/>
            <w:tcBorders>
              <w:bottom w:val="single" w:sz="4" w:space="0" w:color="auto"/>
            </w:tcBorders>
            <w:shd w:val="clear" w:color="auto" w:fill="D9D9D9" w:themeFill="background1" w:themeFillShade="D9"/>
            <w:vAlign w:val="center"/>
            <w:hideMark/>
          </w:tcPr>
          <w:p w14:paraId="5C5A8590" w14:textId="77777777" w:rsidR="00E67C00" w:rsidRDefault="00E67C0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Epidemiological investigation of the chances of preventing, recognizing early and optimally treating chronic diseases in an elderly population</w:t>
            </w:r>
          </w:p>
        </w:tc>
        <w:tc>
          <w:tcPr>
            <w:tcW w:w="3260" w:type="dxa"/>
            <w:tcBorders>
              <w:bottom w:val="single" w:sz="4" w:space="0" w:color="auto"/>
            </w:tcBorders>
            <w:shd w:val="clear" w:color="auto" w:fill="D9D9D9" w:themeFill="background1" w:themeFillShade="D9"/>
            <w:vAlign w:val="center"/>
            <w:hideMark/>
          </w:tcPr>
          <w:p w14:paraId="17C2BDF5" w14:textId="77777777" w:rsidR="00E67C00" w:rsidRDefault="00E67C0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bottom w:val="single" w:sz="4" w:space="0" w:color="auto"/>
            </w:tcBorders>
            <w:shd w:val="clear" w:color="auto" w:fill="D9D9D9" w:themeFill="background1" w:themeFillShade="D9"/>
            <w:vAlign w:val="center"/>
            <w:hideMark/>
          </w:tcPr>
          <w:p w14:paraId="24FE0EE9" w14:textId="77777777" w:rsidR="00E67C00" w:rsidRDefault="00E67C0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Kinetic Jaffe-method, 2000 - 2002</w:t>
            </w:r>
          </w:p>
        </w:tc>
        <w:tc>
          <w:tcPr>
            <w:tcW w:w="1417" w:type="dxa"/>
            <w:tcBorders>
              <w:bottom w:val="single" w:sz="4" w:space="0" w:color="auto"/>
            </w:tcBorders>
            <w:shd w:val="clear" w:color="auto" w:fill="D9D9D9" w:themeFill="background1" w:themeFillShade="D9"/>
            <w:vAlign w:val="center"/>
            <w:hideMark/>
          </w:tcPr>
          <w:p w14:paraId="418ECF3F" w14:textId="77777777" w:rsidR="00E67C00" w:rsidRDefault="00E67C00" w:rsidP="00DC566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23446902, 15578318</w:t>
            </w:r>
          </w:p>
        </w:tc>
      </w:tr>
    </w:tbl>
    <w:p w14:paraId="73F294B5" w14:textId="76B4854B" w:rsidR="000709F4" w:rsidRPr="008223CD" w:rsidRDefault="000709F4" w:rsidP="008223CD">
      <w:pPr>
        <w:jc w:val="right"/>
        <w:rPr>
          <w:lang w:val="en-US"/>
        </w:rPr>
      </w:pPr>
      <w:r w:rsidRPr="009650D7">
        <w:rPr>
          <w:lang w:val="en-US"/>
        </w:rPr>
        <w:t>… to be continued</w:t>
      </w:r>
    </w:p>
    <w:p w14:paraId="790633B8" w14:textId="20F5B6D9" w:rsidR="000709F4" w:rsidRDefault="000709F4" w:rsidP="00796A92">
      <w:pPr>
        <w:spacing w:after="120" w:line="240" w:lineRule="auto"/>
        <w:rPr>
          <w:rFonts w:ascii="Arial" w:hAnsi="Arial" w:cs="Arial"/>
          <w:b/>
          <w:bCs/>
          <w:lang w:val="en-US"/>
        </w:rPr>
      </w:pPr>
      <w:r w:rsidRPr="00796A92">
        <w:rPr>
          <w:rFonts w:ascii="Arial" w:hAnsi="Arial" w:cs="Arial"/>
          <w:b/>
          <w:bCs/>
          <w:lang w:val="en-US"/>
        </w:rPr>
        <w:lastRenderedPageBreak/>
        <w:t xml:space="preserve">Supplementary Table </w:t>
      </w:r>
      <w:r w:rsidR="00796A92" w:rsidRPr="00796A92">
        <w:rPr>
          <w:rFonts w:ascii="Arial" w:hAnsi="Arial" w:cs="Arial"/>
          <w:b/>
          <w:bCs/>
          <w:lang w:val="en-US"/>
        </w:rPr>
        <w:t>1</w:t>
      </w:r>
      <w:r w:rsidR="006F789D">
        <w:rPr>
          <w:rFonts w:ascii="Arial" w:hAnsi="Arial" w:cs="Arial"/>
          <w:b/>
          <w:bCs/>
          <w:lang w:val="en-US"/>
        </w:rPr>
        <w:t>A</w:t>
      </w:r>
      <w:r w:rsidRPr="00796A92">
        <w:rPr>
          <w:rFonts w:ascii="Arial" w:hAnsi="Arial" w:cs="Arial"/>
          <w:b/>
          <w:bCs/>
          <w:lang w:val="en-US"/>
        </w:rPr>
        <w:t>: continued</w:t>
      </w:r>
    </w:p>
    <w:tbl>
      <w:tblPr>
        <w:tblW w:w="14317" w:type="dxa"/>
        <w:jc w:val="center"/>
        <w:tblLayout w:type="fixed"/>
        <w:tblLook w:val="04A0" w:firstRow="1" w:lastRow="0" w:firstColumn="1" w:lastColumn="0" w:noHBand="0" w:noVBand="1"/>
      </w:tblPr>
      <w:tblGrid>
        <w:gridCol w:w="1784"/>
        <w:gridCol w:w="3036"/>
        <w:gridCol w:w="3260"/>
        <w:gridCol w:w="4820"/>
        <w:gridCol w:w="1417"/>
      </w:tblGrid>
      <w:tr w:rsidR="00796A92" w14:paraId="6281E177" w14:textId="77777777" w:rsidTr="00DC566E">
        <w:trPr>
          <w:trHeight w:val="765"/>
          <w:jc w:val="center"/>
        </w:trPr>
        <w:tc>
          <w:tcPr>
            <w:tcW w:w="1784" w:type="dxa"/>
            <w:tcBorders>
              <w:top w:val="single" w:sz="4" w:space="0" w:color="auto"/>
              <w:bottom w:val="single" w:sz="4" w:space="0" w:color="auto"/>
            </w:tcBorders>
            <w:shd w:val="clear" w:color="auto" w:fill="BDD6EE" w:themeFill="accent1" w:themeFillTint="66"/>
            <w:noWrap/>
            <w:vAlign w:val="bottom"/>
            <w:hideMark/>
          </w:tcPr>
          <w:p w14:paraId="3C99F7B6" w14:textId="1F0F90C3" w:rsidR="00796A92" w:rsidRDefault="00796A92" w:rsidP="00DC566E">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w:t>
            </w:r>
            <w:r w:rsidR="0011344C">
              <w:rPr>
                <w:rFonts w:ascii="Arial" w:eastAsia="Times New Roman" w:hAnsi="Arial" w:cs="Arial"/>
                <w:b/>
                <w:bCs/>
                <w:color w:val="000000"/>
                <w:sz w:val="20"/>
                <w:szCs w:val="20"/>
                <w:lang w:val="en-US"/>
              </w:rPr>
              <w:t xml:space="preserve"> </w:t>
            </w:r>
            <w:r w:rsidR="0011344C">
              <w:rPr>
                <w:rFonts w:ascii="Arial" w:eastAsia="Times New Roman" w:hAnsi="Arial" w:cs="Arial"/>
                <w:b/>
                <w:bCs/>
                <w:color w:val="000000"/>
                <w:sz w:val="20"/>
                <w:szCs w:val="20"/>
                <w:lang w:val="en-US"/>
              </w:rPr>
              <w:br/>
              <w:t>short name</w:t>
            </w:r>
          </w:p>
        </w:tc>
        <w:tc>
          <w:tcPr>
            <w:tcW w:w="3036" w:type="dxa"/>
            <w:tcBorders>
              <w:top w:val="single" w:sz="4" w:space="0" w:color="auto"/>
              <w:bottom w:val="single" w:sz="4" w:space="0" w:color="auto"/>
            </w:tcBorders>
            <w:shd w:val="clear" w:color="auto" w:fill="BDD6EE" w:themeFill="accent1" w:themeFillTint="66"/>
            <w:noWrap/>
            <w:vAlign w:val="bottom"/>
            <w:hideMark/>
          </w:tcPr>
          <w:p w14:paraId="79C0D9C1" w14:textId="77777777" w:rsidR="00796A92" w:rsidRDefault="00796A92" w:rsidP="00DC566E">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Full name of the study</w:t>
            </w:r>
          </w:p>
        </w:tc>
        <w:tc>
          <w:tcPr>
            <w:tcW w:w="3260" w:type="dxa"/>
            <w:tcBorders>
              <w:top w:val="single" w:sz="4" w:space="0" w:color="auto"/>
              <w:bottom w:val="single" w:sz="4" w:space="0" w:color="auto"/>
            </w:tcBorders>
            <w:shd w:val="clear" w:color="auto" w:fill="BDD6EE" w:themeFill="accent1" w:themeFillTint="66"/>
            <w:vAlign w:val="bottom"/>
            <w:hideMark/>
          </w:tcPr>
          <w:p w14:paraId="766EBCBE" w14:textId="77777777" w:rsidR="00796A92" w:rsidRDefault="00796A92" w:rsidP="00DC566E">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Design</w:t>
            </w:r>
            <w:r>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br/>
              <w:t>(population-based, selection or enrichment strategy)</w:t>
            </w:r>
          </w:p>
        </w:tc>
        <w:tc>
          <w:tcPr>
            <w:tcW w:w="4820" w:type="dxa"/>
            <w:tcBorders>
              <w:top w:val="single" w:sz="4" w:space="0" w:color="auto"/>
              <w:bottom w:val="single" w:sz="4" w:space="0" w:color="auto"/>
            </w:tcBorders>
            <w:shd w:val="clear" w:color="auto" w:fill="BDD6EE" w:themeFill="accent1" w:themeFillTint="66"/>
            <w:vAlign w:val="bottom"/>
            <w:hideMark/>
          </w:tcPr>
          <w:p w14:paraId="114BBA24" w14:textId="77777777" w:rsidR="00796A92" w:rsidRDefault="00796A92" w:rsidP="00DC566E">
            <w:pPr>
              <w:spacing w:after="0" w:line="240" w:lineRule="auto"/>
              <w:ind w:right="-88"/>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Serum creatinine assay and year of measurement, baseline</w:t>
            </w:r>
          </w:p>
        </w:tc>
        <w:tc>
          <w:tcPr>
            <w:tcW w:w="1417" w:type="dxa"/>
            <w:tcBorders>
              <w:top w:val="single" w:sz="4" w:space="0" w:color="auto"/>
              <w:bottom w:val="single" w:sz="4" w:space="0" w:color="auto"/>
            </w:tcBorders>
            <w:shd w:val="clear" w:color="auto" w:fill="BDD6EE" w:themeFill="accent1" w:themeFillTint="66"/>
            <w:vAlign w:val="bottom"/>
            <w:hideMark/>
          </w:tcPr>
          <w:p w14:paraId="2130A6F6" w14:textId="77777777" w:rsidR="00796A92" w:rsidRDefault="00796A92" w:rsidP="00DC566E">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references</w:t>
            </w:r>
            <w:r>
              <w:rPr>
                <w:rFonts w:ascii="Arial" w:eastAsia="Times New Roman" w:hAnsi="Arial" w:cs="Arial"/>
                <w:b/>
                <w:bCs/>
                <w:color w:val="000000"/>
                <w:sz w:val="20"/>
                <w:szCs w:val="20"/>
                <w:lang w:val="en-US"/>
              </w:rPr>
              <w:br/>
            </w:r>
            <w:r>
              <w:rPr>
                <w:rFonts w:ascii="Arial" w:eastAsia="Times New Roman" w:hAnsi="Arial" w:cs="Arial"/>
                <w:color w:val="000000"/>
                <w:sz w:val="20"/>
                <w:szCs w:val="20"/>
                <w:lang w:val="en-US"/>
              </w:rPr>
              <w:t>(PMID)</w:t>
            </w:r>
          </w:p>
        </w:tc>
      </w:tr>
      <w:tr w:rsidR="007125DD" w14:paraId="06A8049A" w14:textId="77777777" w:rsidTr="000709F4">
        <w:trPr>
          <w:jc w:val="center"/>
        </w:trPr>
        <w:tc>
          <w:tcPr>
            <w:tcW w:w="1784" w:type="dxa"/>
            <w:tcBorders>
              <w:top w:val="nil"/>
            </w:tcBorders>
            <w:shd w:val="clear" w:color="auto" w:fill="auto"/>
            <w:vAlign w:val="center"/>
            <w:hideMark/>
          </w:tcPr>
          <w:p w14:paraId="779F5B86"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FHS</w:t>
            </w:r>
          </w:p>
        </w:tc>
        <w:tc>
          <w:tcPr>
            <w:tcW w:w="3036" w:type="dxa"/>
            <w:tcBorders>
              <w:top w:val="nil"/>
            </w:tcBorders>
            <w:shd w:val="clear" w:color="auto" w:fill="auto"/>
            <w:vAlign w:val="center"/>
            <w:hideMark/>
          </w:tcPr>
          <w:p w14:paraId="37872E4C"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The Framingham Heart Study</w:t>
            </w:r>
          </w:p>
        </w:tc>
        <w:tc>
          <w:tcPr>
            <w:tcW w:w="3260" w:type="dxa"/>
            <w:tcBorders>
              <w:top w:val="nil"/>
            </w:tcBorders>
            <w:shd w:val="clear" w:color="auto" w:fill="auto"/>
            <w:vAlign w:val="center"/>
            <w:hideMark/>
          </w:tcPr>
          <w:p w14:paraId="521BDEFB"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Community- and family-based</w:t>
            </w:r>
          </w:p>
        </w:tc>
        <w:tc>
          <w:tcPr>
            <w:tcW w:w="4820" w:type="dxa"/>
            <w:tcBorders>
              <w:top w:val="nil"/>
            </w:tcBorders>
            <w:shd w:val="clear" w:color="auto" w:fill="auto"/>
            <w:vAlign w:val="center"/>
            <w:hideMark/>
          </w:tcPr>
          <w:p w14:paraId="124618E8"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Modified Jaffe method</w:t>
            </w:r>
          </w:p>
        </w:tc>
        <w:tc>
          <w:tcPr>
            <w:tcW w:w="1417" w:type="dxa"/>
            <w:tcBorders>
              <w:top w:val="nil"/>
            </w:tcBorders>
            <w:shd w:val="clear" w:color="auto" w:fill="auto"/>
            <w:vAlign w:val="center"/>
            <w:hideMark/>
          </w:tcPr>
          <w:p w14:paraId="263627F7"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5921755, 1208363, 17372189</w:t>
            </w:r>
          </w:p>
        </w:tc>
      </w:tr>
      <w:tr w:rsidR="007125DD" w14:paraId="0912655E" w14:textId="77777777" w:rsidTr="000709F4">
        <w:trPr>
          <w:jc w:val="center"/>
        </w:trPr>
        <w:tc>
          <w:tcPr>
            <w:tcW w:w="1784" w:type="dxa"/>
            <w:tcBorders>
              <w:top w:val="nil"/>
            </w:tcBorders>
            <w:shd w:val="clear" w:color="auto" w:fill="D9D9D9" w:themeFill="background1" w:themeFillShade="D9"/>
            <w:vAlign w:val="center"/>
            <w:hideMark/>
          </w:tcPr>
          <w:p w14:paraId="76C54190"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FINCAVAS</w:t>
            </w:r>
          </w:p>
        </w:tc>
        <w:tc>
          <w:tcPr>
            <w:tcW w:w="3036" w:type="dxa"/>
            <w:tcBorders>
              <w:top w:val="nil"/>
            </w:tcBorders>
            <w:shd w:val="clear" w:color="auto" w:fill="D9D9D9" w:themeFill="background1" w:themeFillShade="D9"/>
            <w:vAlign w:val="center"/>
            <w:hideMark/>
          </w:tcPr>
          <w:p w14:paraId="0871254E"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The Finnish Cardiovascular Study</w:t>
            </w:r>
          </w:p>
        </w:tc>
        <w:tc>
          <w:tcPr>
            <w:tcW w:w="3260" w:type="dxa"/>
            <w:tcBorders>
              <w:top w:val="nil"/>
            </w:tcBorders>
            <w:shd w:val="clear" w:color="auto" w:fill="D9D9D9" w:themeFill="background1" w:themeFillShade="D9"/>
            <w:vAlign w:val="center"/>
            <w:hideMark/>
          </w:tcPr>
          <w:p w14:paraId="55474247" w14:textId="17413BDF"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FINCAVAS follow-up cohort of consecutive patients undergoing exercise stress test</w:t>
            </w:r>
          </w:p>
        </w:tc>
        <w:tc>
          <w:tcPr>
            <w:tcW w:w="4820" w:type="dxa"/>
            <w:tcBorders>
              <w:top w:val="nil"/>
            </w:tcBorders>
            <w:shd w:val="clear" w:color="auto" w:fill="D9D9D9" w:themeFill="background1" w:themeFillShade="D9"/>
            <w:vAlign w:val="center"/>
            <w:hideMark/>
          </w:tcPr>
          <w:p w14:paraId="29C6760F" w14:textId="3CA29DBF"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Enzymatic photometric, 1992-2015</w:t>
            </w:r>
          </w:p>
        </w:tc>
        <w:tc>
          <w:tcPr>
            <w:tcW w:w="1417" w:type="dxa"/>
            <w:tcBorders>
              <w:top w:val="nil"/>
            </w:tcBorders>
            <w:shd w:val="clear" w:color="auto" w:fill="D9D9D9" w:themeFill="background1" w:themeFillShade="D9"/>
            <w:vAlign w:val="center"/>
            <w:hideMark/>
          </w:tcPr>
          <w:p w14:paraId="3DABF63D"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16515696</w:t>
            </w:r>
          </w:p>
        </w:tc>
      </w:tr>
      <w:tr w:rsidR="007125DD" w14:paraId="0833AC87" w14:textId="77777777" w:rsidTr="000709F4">
        <w:trPr>
          <w:jc w:val="center"/>
        </w:trPr>
        <w:tc>
          <w:tcPr>
            <w:tcW w:w="1784" w:type="dxa"/>
            <w:shd w:val="clear" w:color="auto" w:fill="auto"/>
            <w:vAlign w:val="center"/>
            <w:hideMark/>
          </w:tcPr>
          <w:p w14:paraId="21C78D82"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GCKD</w:t>
            </w:r>
          </w:p>
        </w:tc>
        <w:tc>
          <w:tcPr>
            <w:tcW w:w="3036" w:type="dxa"/>
            <w:shd w:val="clear" w:color="auto" w:fill="auto"/>
            <w:vAlign w:val="center"/>
            <w:hideMark/>
          </w:tcPr>
          <w:p w14:paraId="7F8C7D34"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German Chronic Kidney Disease study</w:t>
            </w:r>
          </w:p>
        </w:tc>
        <w:tc>
          <w:tcPr>
            <w:tcW w:w="3260" w:type="dxa"/>
            <w:shd w:val="clear" w:color="auto" w:fill="auto"/>
            <w:vAlign w:val="center"/>
            <w:hideMark/>
          </w:tcPr>
          <w:p w14:paraId="20DCAC2F" w14:textId="787E7341" w:rsidR="007125DD" w:rsidRDefault="00840BE1" w:rsidP="00840BE1">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Chronic kidney disease </w:t>
            </w:r>
            <w:r w:rsidR="007125DD">
              <w:rPr>
                <w:rFonts w:ascii="Arial" w:eastAsia="Times New Roman" w:hAnsi="Arial" w:cs="Arial"/>
                <w:color w:val="000000"/>
                <w:sz w:val="20"/>
                <w:szCs w:val="20"/>
                <w:lang w:val="en-US"/>
              </w:rPr>
              <w:t>patients</w:t>
            </w:r>
            <w:r>
              <w:rPr>
                <w:rFonts w:ascii="Arial" w:eastAsia="Times New Roman" w:hAnsi="Arial" w:cs="Arial"/>
                <w:color w:val="000000"/>
                <w:sz w:val="20"/>
                <w:szCs w:val="20"/>
                <w:lang w:val="en-US"/>
              </w:rPr>
              <w:t xml:space="preserve"> of </w:t>
            </w:r>
            <w:r w:rsidRPr="00840BE1">
              <w:rPr>
                <w:rFonts w:ascii="Arial" w:eastAsia="Times New Roman" w:hAnsi="Arial" w:cs="Arial"/>
                <w:color w:val="000000"/>
                <w:sz w:val="20"/>
                <w:szCs w:val="20"/>
                <w:lang w:val="en-US"/>
              </w:rPr>
              <w:t>European ancestry</w:t>
            </w:r>
            <w:r w:rsidR="007125DD">
              <w:rPr>
                <w:rFonts w:ascii="Arial" w:eastAsia="Times New Roman" w:hAnsi="Arial" w:cs="Arial"/>
                <w:color w:val="000000"/>
                <w:sz w:val="20"/>
                <w:szCs w:val="20"/>
                <w:lang w:val="en-US"/>
              </w:rPr>
              <w:t xml:space="preserve"> aged 18-74 years with an eGFR between 30–60 mL/min</w:t>
            </w:r>
            <w:r>
              <w:rPr>
                <w:rFonts w:ascii="Arial" w:eastAsia="Times New Roman" w:hAnsi="Arial" w:cs="Arial"/>
                <w:color w:val="000000"/>
                <w:sz w:val="20"/>
                <w:szCs w:val="20"/>
                <w:lang w:val="en-US"/>
              </w:rPr>
              <w:t>/</w:t>
            </w:r>
            <w:r w:rsidR="007125DD">
              <w:rPr>
                <w:rFonts w:ascii="Arial" w:eastAsia="Times New Roman" w:hAnsi="Arial" w:cs="Arial"/>
                <w:color w:val="000000"/>
                <w:sz w:val="20"/>
                <w:szCs w:val="20"/>
                <w:lang w:val="en-US"/>
              </w:rPr>
              <w:t>1.73 m</w:t>
            </w:r>
            <w:r w:rsidR="007125DD" w:rsidRPr="004675A4">
              <w:rPr>
                <w:rFonts w:ascii="Arial" w:eastAsia="Times New Roman" w:hAnsi="Arial" w:cs="Arial"/>
                <w:color w:val="000000"/>
                <w:sz w:val="20"/>
                <w:szCs w:val="20"/>
                <w:vertAlign w:val="superscript"/>
                <w:lang w:val="en-US"/>
              </w:rPr>
              <w:t>2</w:t>
            </w:r>
            <w:r w:rsidR="007125DD">
              <w:rPr>
                <w:rFonts w:ascii="Arial" w:eastAsia="Times New Roman" w:hAnsi="Arial" w:cs="Arial"/>
                <w:color w:val="000000"/>
                <w:sz w:val="20"/>
                <w:szCs w:val="20"/>
                <w:lang w:val="en-US"/>
              </w:rPr>
              <w:t xml:space="preserve"> or an eGFR &gt;60 mL/ min</w:t>
            </w:r>
            <w:r>
              <w:rPr>
                <w:rFonts w:ascii="Arial" w:eastAsia="Times New Roman" w:hAnsi="Arial" w:cs="Arial"/>
                <w:color w:val="000000"/>
                <w:sz w:val="20"/>
                <w:szCs w:val="20"/>
                <w:lang w:val="en-US"/>
              </w:rPr>
              <w:t>/</w:t>
            </w:r>
            <w:r w:rsidR="007125DD">
              <w:rPr>
                <w:rFonts w:ascii="Arial" w:eastAsia="Times New Roman" w:hAnsi="Arial" w:cs="Arial"/>
                <w:color w:val="000000"/>
                <w:sz w:val="20"/>
                <w:szCs w:val="20"/>
                <w:lang w:val="en-US"/>
              </w:rPr>
              <w:t>1.73 m</w:t>
            </w:r>
            <w:r w:rsidR="007125DD" w:rsidRPr="004675A4">
              <w:rPr>
                <w:rFonts w:ascii="Arial" w:eastAsia="Times New Roman" w:hAnsi="Arial" w:cs="Arial"/>
                <w:color w:val="000000"/>
                <w:sz w:val="20"/>
                <w:szCs w:val="20"/>
                <w:vertAlign w:val="superscript"/>
                <w:lang w:val="en-US"/>
              </w:rPr>
              <w:t>2</w:t>
            </w:r>
            <w:r w:rsidR="007125DD">
              <w:rPr>
                <w:rFonts w:ascii="Arial" w:eastAsia="Times New Roman" w:hAnsi="Arial" w:cs="Arial"/>
                <w:color w:val="000000"/>
                <w:sz w:val="20"/>
                <w:szCs w:val="20"/>
                <w:lang w:val="en-US"/>
              </w:rPr>
              <w:t xml:space="preserve"> and a urinary albumin-to-creatinine ratio (UACR) &gt;300 mg/g, albuminuria &gt;300 mg/day, a urinary protein-to-creatinine ratio &gt;500 mg/g, or proteinuria &gt;500 mg/day</w:t>
            </w:r>
          </w:p>
        </w:tc>
        <w:tc>
          <w:tcPr>
            <w:tcW w:w="4820" w:type="dxa"/>
            <w:shd w:val="clear" w:color="auto" w:fill="auto"/>
            <w:vAlign w:val="center"/>
            <w:hideMark/>
          </w:tcPr>
          <w:p w14:paraId="4CC64171" w14:textId="6EDDAF4A"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Serum creatinine was measured using the Creatinine plus enzymatic assay (Roche) on a Modular (P) analyzer in 2012</w:t>
            </w:r>
          </w:p>
        </w:tc>
        <w:tc>
          <w:tcPr>
            <w:tcW w:w="1417" w:type="dxa"/>
            <w:shd w:val="clear" w:color="auto" w:fill="auto"/>
            <w:vAlign w:val="center"/>
            <w:hideMark/>
          </w:tcPr>
          <w:p w14:paraId="6CC978FE"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21862458, 25271006</w:t>
            </w:r>
          </w:p>
        </w:tc>
      </w:tr>
      <w:tr w:rsidR="007125DD" w:rsidRPr="00A22573" w14:paraId="73C0CF3B" w14:textId="77777777" w:rsidTr="00796A92">
        <w:trPr>
          <w:jc w:val="center"/>
        </w:trPr>
        <w:tc>
          <w:tcPr>
            <w:tcW w:w="1784" w:type="dxa"/>
            <w:tcBorders>
              <w:top w:val="nil"/>
            </w:tcBorders>
            <w:shd w:val="clear" w:color="auto" w:fill="D9D9D9" w:themeFill="background1" w:themeFillShade="D9"/>
            <w:vAlign w:val="center"/>
            <w:hideMark/>
          </w:tcPr>
          <w:p w14:paraId="416E5B15"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Jackson Heart Study (JHS)</w:t>
            </w:r>
          </w:p>
        </w:tc>
        <w:tc>
          <w:tcPr>
            <w:tcW w:w="3036" w:type="dxa"/>
            <w:tcBorders>
              <w:top w:val="nil"/>
            </w:tcBorders>
            <w:shd w:val="clear" w:color="auto" w:fill="D9D9D9" w:themeFill="background1" w:themeFillShade="D9"/>
            <w:vAlign w:val="center"/>
            <w:hideMark/>
          </w:tcPr>
          <w:p w14:paraId="41A91CA1"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Jackson Heart Study</w:t>
            </w:r>
          </w:p>
        </w:tc>
        <w:tc>
          <w:tcPr>
            <w:tcW w:w="3260" w:type="dxa"/>
            <w:tcBorders>
              <w:top w:val="nil"/>
            </w:tcBorders>
            <w:shd w:val="clear" w:color="auto" w:fill="D9D9D9" w:themeFill="background1" w:themeFillShade="D9"/>
            <w:vAlign w:val="center"/>
            <w:hideMark/>
          </w:tcPr>
          <w:p w14:paraId="2E077A45"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Community and family-based</w:t>
            </w:r>
          </w:p>
        </w:tc>
        <w:tc>
          <w:tcPr>
            <w:tcW w:w="4820" w:type="dxa"/>
            <w:tcBorders>
              <w:top w:val="nil"/>
            </w:tcBorders>
            <w:shd w:val="clear" w:color="auto" w:fill="D9D9D9" w:themeFill="background1" w:themeFillShade="D9"/>
            <w:vAlign w:val="center"/>
            <w:hideMark/>
          </w:tcPr>
          <w:p w14:paraId="6FEA6767" w14:textId="00B8115A" w:rsidR="007125DD" w:rsidRDefault="007125DD" w:rsidP="00A22573">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IDMS calibrated serum creatinine was used from visit 1 and visit 3</w:t>
            </w:r>
            <w:r w:rsidR="00A22573">
              <w:rPr>
                <w:rFonts w:ascii="Arial" w:eastAsia="Times New Roman" w:hAnsi="Arial" w:cs="Arial"/>
                <w:color w:val="000000"/>
                <w:sz w:val="20"/>
                <w:szCs w:val="20"/>
                <w:lang w:val="en-US"/>
              </w:rPr>
              <w:t>. C</w:t>
            </w:r>
            <w:r>
              <w:rPr>
                <w:rFonts w:ascii="Arial" w:eastAsia="Times New Roman" w:hAnsi="Arial" w:cs="Arial"/>
                <w:color w:val="000000"/>
                <w:sz w:val="20"/>
                <w:szCs w:val="20"/>
                <w:lang w:val="en-US"/>
              </w:rPr>
              <w:t>reatinine measurements were made from 2000 on but calibration to the same standard was done in 2015</w:t>
            </w:r>
            <w:r w:rsidR="00A22573">
              <w:rPr>
                <w:rFonts w:ascii="Arial" w:eastAsia="Times New Roman" w:hAnsi="Arial" w:cs="Arial"/>
                <w:color w:val="000000"/>
                <w:sz w:val="20"/>
                <w:szCs w:val="20"/>
                <w:lang w:val="en-US"/>
              </w:rPr>
              <w:t>.</w:t>
            </w:r>
          </w:p>
        </w:tc>
        <w:tc>
          <w:tcPr>
            <w:tcW w:w="1417" w:type="dxa"/>
            <w:tcBorders>
              <w:top w:val="nil"/>
            </w:tcBorders>
            <w:shd w:val="clear" w:color="auto" w:fill="D9D9D9" w:themeFill="background1" w:themeFillShade="D9"/>
            <w:vAlign w:val="center"/>
            <w:hideMark/>
          </w:tcPr>
          <w:p w14:paraId="565BC1B4"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16320381</w:t>
            </w:r>
          </w:p>
          <w:p w14:paraId="0E8DDF6B" w14:textId="43B91CD6" w:rsidR="00A22573" w:rsidRDefault="00A22573"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25806862</w:t>
            </w:r>
          </w:p>
        </w:tc>
      </w:tr>
      <w:tr w:rsidR="00840BE1" w14:paraId="73DD62AE" w14:textId="77777777" w:rsidTr="007C57ED">
        <w:trPr>
          <w:jc w:val="center"/>
        </w:trPr>
        <w:tc>
          <w:tcPr>
            <w:tcW w:w="1784" w:type="dxa"/>
            <w:tcBorders>
              <w:top w:val="nil"/>
            </w:tcBorders>
            <w:shd w:val="clear" w:color="auto" w:fill="auto"/>
            <w:vAlign w:val="center"/>
          </w:tcPr>
          <w:p w14:paraId="5000307C" w14:textId="41D5DD00" w:rsidR="00840BE1" w:rsidRDefault="00840BE1" w:rsidP="00840BE1">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KORA</w:t>
            </w:r>
          </w:p>
        </w:tc>
        <w:tc>
          <w:tcPr>
            <w:tcW w:w="3036" w:type="dxa"/>
            <w:tcBorders>
              <w:top w:val="nil"/>
            </w:tcBorders>
            <w:shd w:val="clear" w:color="auto" w:fill="auto"/>
            <w:vAlign w:val="center"/>
          </w:tcPr>
          <w:p w14:paraId="3250E961" w14:textId="448C3340" w:rsidR="00840BE1" w:rsidRDefault="00840BE1" w:rsidP="00840BE1">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Cooperative Health Research in the Augsburg Region</w:t>
            </w:r>
          </w:p>
        </w:tc>
        <w:tc>
          <w:tcPr>
            <w:tcW w:w="3260" w:type="dxa"/>
            <w:tcBorders>
              <w:top w:val="nil"/>
            </w:tcBorders>
            <w:shd w:val="clear" w:color="auto" w:fill="auto"/>
            <w:vAlign w:val="center"/>
          </w:tcPr>
          <w:p w14:paraId="6515EA07" w14:textId="5196E774" w:rsidR="00840BE1" w:rsidRDefault="00840BE1" w:rsidP="00840BE1">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auto"/>
            <w:vAlign w:val="center"/>
          </w:tcPr>
          <w:p w14:paraId="14C00CCD" w14:textId="253A38BD" w:rsidR="00840BE1" w:rsidRDefault="00840BE1" w:rsidP="00840BE1">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Modified kinetic Jaffe reaction, 1994</w:t>
            </w:r>
          </w:p>
        </w:tc>
        <w:tc>
          <w:tcPr>
            <w:tcW w:w="1417" w:type="dxa"/>
            <w:tcBorders>
              <w:top w:val="nil"/>
            </w:tcBorders>
            <w:shd w:val="clear" w:color="auto" w:fill="auto"/>
            <w:vAlign w:val="center"/>
          </w:tcPr>
          <w:p w14:paraId="26B7CA6C" w14:textId="459F7E35" w:rsidR="00840BE1" w:rsidRDefault="00840BE1" w:rsidP="00840BE1">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16032514</w:t>
            </w:r>
          </w:p>
        </w:tc>
      </w:tr>
      <w:tr w:rsidR="007C57ED" w14:paraId="56FDD885" w14:textId="77777777" w:rsidTr="007C57ED">
        <w:trPr>
          <w:jc w:val="center"/>
        </w:trPr>
        <w:tc>
          <w:tcPr>
            <w:tcW w:w="1784" w:type="dxa"/>
            <w:tcBorders>
              <w:top w:val="nil"/>
            </w:tcBorders>
            <w:shd w:val="clear" w:color="auto" w:fill="D9D9D9" w:themeFill="background1" w:themeFillShade="D9"/>
            <w:vAlign w:val="center"/>
          </w:tcPr>
          <w:p w14:paraId="254F088B" w14:textId="01A4399C"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Lifelines</w:t>
            </w:r>
          </w:p>
        </w:tc>
        <w:tc>
          <w:tcPr>
            <w:tcW w:w="3036" w:type="dxa"/>
            <w:tcBorders>
              <w:top w:val="nil"/>
            </w:tcBorders>
            <w:shd w:val="clear" w:color="auto" w:fill="D9D9D9" w:themeFill="background1" w:themeFillShade="D9"/>
            <w:vAlign w:val="center"/>
          </w:tcPr>
          <w:p w14:paraId="64077F1B" w14:textId="1442BAD7"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Lifelines Cohort Study</w:t>
            </w:r>
          </w:p>
        </w:tc>
        <w:tc>
          <w:tcPr>
            <w:tcW w:w="3260" w:type="dxa"/>
            <w:tcBorders>
              <w:top w:val="nil"/>
            </w:tcBorders>
            <w:shd w:val="clear" w:color="auto" w:fill="D9D9D9" w:themeFill="background1" w:themeFillShade="D9"/>
            <w:vAlign w:val="center"/>
          </w:tcPr>
          <w:p w14:paraId="0EA41B02" w14:textId="5F06812D"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D9D9D9" w:themeFill="background1" w:themeFillShade="D9"/>
            <w:vAlign w:val="center"/>
          </w:tcPr>
          <w:p w14:paraId="48ACDA4B" w14:textId="17969419"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Enzymatic, IDMS traceable, Roche (Modular); 2006-2013</w:t>
            </w:r>
          </w:p>
        </w:tc>
        <w:tc>
          <w:tcPr>
            <w:tcW w:w="1417" w:type="dxa"/>
            <w:tcBorders>
              <w:top w:val="nil"/>
            </w:tcBorders>
            <w:shd w:val="clear" w:color="auto" w:fill="D9D9D9" w:themeFill="background1" w:themeFillShade="D9"/>
            <w:vAlign w:val="center"/>
          </w:tcPr>
          <w:p w14:paraId="2A3F3C6D" w14:textId="06BC3EBB" w:rsidR="007C57ED" w:rsidRDefault="007C57ED" w:rsidP="007C57ED">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18075776, 25502107, 26333164</w:t>
            </w:r>
          </w:p>
        </w:tc>
      </w:tr>
      <w:tr w:rsidR="007C57ED" w14:paraId="6A535CAF" w14:textId="77777777" w:rsidTr="007C57ED">
        <w:trPr>
          <w:jc w:val="center"/>
        </w:trPr>
        <w:tc>
          <w:tcPr>
            <w:tcW w:w="1784" w:type="dxa"/>
            <w:tcBorders>
              <w:top w:val="nil"/>
              <w:bottom w:val="single" w:sz="4" w:space="0" w:color="auto"/>
            </w:tcBorders>
            <w:shd w:val="clear" w:color="auto" w:fill="auto"/>
            <w:vAlign w:val="center"/>
          </w:tcPr>
          <w:p w14:paraId="19193B09" w14:textId="1069FEBC"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MDC-CC</w:t>
            </w:r>
          </w:p>
        </w:tc>
        <w:tc>
          <w:tcPr>
            <w:tcW w:w="3036" w:type="dxa"/>
            <w:tcBorders>
              <w:top w:val="nil"/>
              <w:bottom w:val="single" w:sz="4" w:space="0" w:color="auto"/>
            </w:tcBorders>
            <w:shd w:val="clear" w:color="auto" w:fill="auto"/>
            <w:vAlign w:val="center"/>
          </w:tcPr>
          <w:p w14:paraId="77FA9119" w14:textId="4D5E2C24"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Malmö Diet and Cancer Study- Cardiovascular Cohort</w:t>
            </w:r>
          </w:p>
        </w:tc>
        <w:tc>
          <w:tcPr>
            <w:tcW w:w="3260" w:type="dxa"/>
            <w:tcBorders>
              <w:top w:val="nil"/>
              <w:bottom w:val="single" w:sz="4" w:space="0" w:color="auto"/>
            </w:tcBorders>
            <w:shd w:val="clear" w:color="auto" w:fill="auto"/>
            <w:vAlign w:val="center"/>
          </w:tcPr>
          <w:p w14:paraId="629D5B33" w14:textId="30D0439C"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bottom w:val="single" w:sz="4" w:space="0" w:color="auto"/>
            </w:tcBorders>
            <w:shd w:val="clear" w:color="auto" w:fill="auto"/>
            <w:vAlign w:val="center"/>
          </w:tcPr>
          <w:p w14:paraId="49C09BC1" w14:textId="40BE8C0B" w:rsidR="007C57ED" w:rsidRDefault="007C57E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Jaffé method and the IDMS-traceable standard was used</w:t>
            </w:r>
          </w:p>
        </w:tc>
        <w:tc>
          <w:tcPr>
            <w:tcW w:w="1417" w:type="dxa"/>
            <w:tcBorders>
              <w:top w:val="nil"/>
              <w:bottom w:val="single" w:sz="4" w:space="0" w:color="auto"/>
            </w:tcBorders>
            <w:shd w:val="clear" w:color="auto" w:fill="auto"/>
            <w:vAlign w:val="center"/>
          </w:tcPr>
          <w:p w14:paraId="7D2407FC" w14:textId="690F49B3" w:rsidR="007C57ED" w:rsidRDefault="007C57ED" w:rsidP="007C57ED">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11916347</w:t>
            </w:r>
          </w:p>
        </w:tc>
      </w:tr>
    </w:tbl>
    <w:p w14:paraId="764A5664" w14:textId="77777777" w:rsidR="00796A92" w:rsidRPr="000709F4" w:rsidRDefault="00796A92" w:rsidP="00796A92">
      <w:pPr>
        <w:jc w:val="right"/>
        <w:rPr>
          <w:lang w:val="en-US"/>
        </w:rPr>
      </w:pPr>
      <w:r w:rsidRPr="009650D7">
        <w:rPr>
          <w:lang w:val="en-US"/>
        </w:rPr>
        <w:t>… to be continued</w:t>
      </w:r>
    </w:p>
    <w:p w14:paraId="059DFB9B" w14:textId="69977826" w:rsidR="00796A92" w:rsidRDefault="00796A92" w:rsidP="00796A92">
      <w:pPr>
        <w:rPr>
          <w:rFonts w:ascii="Arial" w:hAnsi="Arial" w:cs="Arial"/>
          <w:b/>
          <w:bCs/>
          <w:lang w:val="en-US"/>
        </w:rPr>
      </w:pPr>
      <w:r>
        <w:rPr>
          <w:b/>
          <w:bCs/>
          <w:lang w:val="en-US"/>
        </w:rPr>
        <w:br w:type="page"/>
      </w:r>
      <w:r w:rsidRPr="00796A92">
        <w:rPr>
          <w:rFonts w:ascii="Arial" w:hAnsi="Arial" w:cs="Arial"/>
          <w:b/>
          <w:bCs/>
          <w:lang w:val="en-US"/>
        </w:rPr>
        <w:lastRenderedPageBreak/>
        <w:t>Supplementary Table 1</w:t>
      </w:r>
      <w:r w:rsidR="006F789D">
        <w:rPr>
          <w:rFonts w:ascii="Arial" w:hAnsi="Arial" w:cs="Arial"/>
          <w:b/>
          <w:bCs/>
          <w:lang w:val="en-US"/>
        </w:rPr>
        <w:t>A</w:t>
      </w:r>
      <w:r w:rsidRPr="00796A92">
        <w:rPr>
          <w:rFonts w:ascii="Arial" w:hAnsi="Arial" w:cs="Arial"/>
          <w:b/>
          <w:bCs/>
          <w:lang w:val="en-US"/>
        </w:rPr>
        <w:t>: continued</w:t>
      </w:r>
    </w:p>
    <w:tbl>
      <w:tblPr>
        <w:tblW w:w="14317" w:type="dxa"/>
        <w:jc w:val="center"/>
        <w:tblLayout w:type="fixed"/>
        <w:tblLook w:val="04A0" w:firstRow="1" w:lastRow="0" w:firstColumn="1" w:lastColumn="0" w:noHBand="0" w:noVBand="1"/>
      </w:tblPr>
      <w:tblGrid>
        <w:gridCol w:w="1784"/>
        <w:gridCol w:w="3036"/>
        <w:gridCol w:w="3260"/>
        <w:gridCol w:w="4820"/>
        <w:gridCol w:w="1417"/>
      </w:tblGrid>
      <w:tr w:rsidR="00796A92" w14:paraId="020B9754" w14:textId="77777777" w:rsidTr="00DC566E">
        <w:trPr>
          <w:trHeight w:val="765"/>
          <w:jc w:val="center"/>
        </w:trPr>
        <w:tc>
          <w:tcPr>
            <w:tcW w:w="1784" w:type="dxa"/>
            <w:tcBorders>
              <w:top w:val="single" w:sz="4" w:space="0" w:color="auto"/>
              <w:bottom w:val="single" w:sz="4" w:space="0" w:color="auto"/>
            </w:tcBorders>
            <w:shd w:val="clear" w:color="auto" w:fill="BDD6EE" w:themeFill="accent1" w:themeFillTint="66"/>
            <w:noWrap/>
            <w:vAlign w:val="bottom"/>
            <w:hideMark/>
          </w:tcPr>
          <w:p w14:paraId="18CA1A50" w14:textId="77D1E185" w:rsidR="00796A92" w:rsidRDefault="00796A92" w:rsidP="0011344C">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w:t>
            </w:r>
            <w:r w:rsidR="0011344C">
              <w:rPr>
                <w:rFonts w:ascii="Arial" w:eastAsia="Times New Roman" w:hAnsi="Arial" w:cs="Arial"/>
                <w:b/>
                <w:bCs/>
                <w:color w:val="000000"/>
                <w:sz w:val="20"/>
                <w:szCs w:val="20"/>
                <w:lang w:val="en-US"/>
              </w:rPr>
              <w:t xml:space="preserve"> </w:t>
            </w:r>
            <w:r w:rsidR="0011344C">
              <w:rPr>
                <w:rFonts w:ascii="Arial" w:eastAsia="Times New Roman" w:hAnsi="Arial" w:cs="Arial"/>
                <w:b/>
                <w:bCs/>
                <w:color w:val="000000"/>
                <w:sz w:val="20"/>
                <w:szCs w:val="20"/>
                <w:lang w:val="en-US"/>
              </w:rPr>
              <w:br/>
              <w:t>short name</w:t>
            </w:r>
          </w:p>
        </w:tc>
        <w:tc>
          <w:tcPr>
            <w:tcW w:w="3036" w:type="dxa"/>
            <w:tcBorders>
              <w:top w:val="single" w:sz="4" w:space="0" w:color="auto"/>
              <w:bottom w:val="single" w:sz="4" w:space="0" w:color="auto"/>
            </w:tcBorders>
            <w:shd w:val="clear" w:color="auto" w:fill="BDD6EE" w:themeFill="accent1" w:themeFillTint="66"/>
            <w:noWrap/>
            <w:vAlign w:val="bottom"/>
            <w:hideMark/>
          </w:tcPr>
          <w:p w14:paraId="1C6040F6" w14:textId="77777777" w:rsidR="00796A92" w:rsidRDefault="00796A92" w:rsidP="00DC566E">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Full name of the study</w:t>
            </w:r>
          </w:p>
        </w:tc>
        <w:tc>
          <w:tcPr>
            <w:tcW w:w="3260" w:type="dxa"/>
            <w:tcBorders>
              <w:top w:val="single" w:sz="4" w:space="0" w:color="auto"/>
              <w:bottom w:val="single" w:sz="4" w:space="0" w:color="auto"/>
            </w:tcBorders>
            <w:shd w:val="clear" w:color="auto" w:fill="BDD6EE" w:themeFill="accent1" w:themeFillTint="66"/>
            <w:vAlign w:val="bottom"/>
            <w:hideMark/>
          </w:tcPr>
          <w:p w14:paraId="33A8E54D" w14:textId="77777777" w:rsidR="00796A92" w:rsidRDefault="00796A92" w:rsidP="00DC566E">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Design</w:t>
            </w:r>
            <w:r>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br/>
              <w:t>(population-based, selection or enrichment strategy)</w:t>
            </w:r>
          </w:p>
        </w:tc>
        <w:tc>
          <w:tcPr>
            <w:tcW w:w="4820" w:type="dxa"/>
            <w:tcBorders>
              <w:top w:val="single" w:sz="4" w:space="0" w:color="auto"/>
              <w:bottom w:val="single" w:sz="4" w:space="0" w:color="auto"/>
            </w:tcBorders>
            <w:shd w:val="clear" w:color="auto" w:fill="BDD6EE" w:themeFill="accent1" w:themeFillTint="66"/>
            <w:vAlign w:val="bottom"/>
            <w:hideMark/>
          </w:tcPr>
          <w:p w14:paraId="71717CD5" w14:textId="77777777" w:rsidR="00796A92" w:rsidRDefault="00796A92" w:rsidP="00DC566E">
            <w:pPr>
              <w:spacing w:after="0" w:line="240" w:lineRule="auto"/>
              <w:ind w:right="-88"/>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Serum creatinine assay and year of measurement, baseline</w:t>
            </w:r>
          </w:p>
        </w:tc>
        <w:tc>
          <w:tcPr>
            <w:tcW w:w="1417" w:type="dxa"/>
            <w:tcBorders>
              <w:top w:val="single" w:sz="4" w:space="0" w:color="auto"/>
              <w:bottom w:val="single" w:sz="4" w:space="0" w:color="auto"/>
            </w:tcBorders>
            <w:shd w:val="clear" w:color="auto" w:fill="BDD6EE" w:themeFill="accent1" w:themeFillTint="66"/>
            <w:vAlign w:val="bottom"/>
            <w:hideMark/>
          </w:tcPr>
          <w:p w14:paraId="29CEEA9F" w14:textId="77777777" w:rsidR="00796A92" w:rsidRDefault="00796A92" w:rsidP="00DC566E">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references</w:t>
            </w:r>
            <w:r>
              <w:rPr>
                <w:rFonts w:ascii="Arial" w:eastAsia="Times New Roman" w:hAnsi="Arial" w:cs="Arial"/>
                <w:b/>
                <w:bCs/>
                <w:color w:val="000000"/>
                <w:sz w:val="20"/>
                <w:szCs w:val="20"/>
                <w:lang w:val="en-US"/>
              </w:rPr>
              <w:br/>
            </w:r>
            <w:r>
              <w:rPr>
                <w:rFonts w:ascii="Arial" w:eastAsia="Times New Roman" w:hAnsi="Arial" w:cs="Arial"/>
                <w:color w:val="000000"/>
                <w:sz w:val="20"/>
                <w:szCs w:val="20"/>
                <w:lang w:val="en-US"/>
              </w:rPr>
              <w:t>(PMID)</w:t>
            </w:r>
          </w:p>
        </w:tc>
      </w:tr>
      <w:tr w:rsidR="007125DD" w14:paraId="2E2CEAE1" w14:textId="77777777" w:rsidTr="000709F4">
        <w:trPr>
          <w:trHeight w:val="450"/>
          <w:jc w:val="center"/>
        </w:trPr>
        <w:tc>
          <w:tcPr>
            <w:tcW w:w="1784" w:type="dxa"/>
            <w:vMerge w:val="restart"/>
            <w:tcBorders>
              <w:top w:val="nil"/>
            </w:tcBorders>
            <w:shd w:val="clear" w:color="auto" w:fill="D9D9D9" w:themeFill="background1" w:themeFillShade="D9"/>
            <w:vAlign w:val="center"/>
            <w:hideMark/>
          </w:tcPr>
          <w:p w14:paraId="2F7C5AFC"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MESA</w:t>
            </w:r>
          </w:p>
        </w:tc>
        <w:tc>
          <w:tcPr>
            <w:tcW w:w="3036" w:type="dxa"/>
            <w:vMerge w:val="restart"/>
            <w:tcBorders>
              <w:top w:val="nil"/>
            </w:tcBorders>
            <w:shd w:val="clear" w:color="auto" w:fill="D9D9D9" w:themeFill="background1" w:themeFillShade="D9"/>
            <w:vAlign w:val="center"/>
            <w:hideMark/>
          </w:tcPr>
          <w:p w14:paraId="50BB4C50"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Multi-Ethnic Study of Atherosclerosis</w:t>
            </w:r>
          </w:p>
        </w:tc>
        <w:tc>
          <w:tcPr>
            <w:tcW w:w="3260" w:type="dxa"/>
            <w:vMerge w:val="restart"/>
            <w:tcBorders>
              <w:top w:val="nil"/>
            </w:tcBorders>
            <w:shd w:val="clear" w:color="auto" w:fill="D9D9D9" w:themeFill="background1" w:themeFillShade="D9"/>
            <w:vAlign w:val="center"/>
            <w:hideMark/>
          </w:tcPr>
          <w:p w14:paraId="4B3B4838"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 without CVD</w:t>
            </w:r>
          </w:p>
        </w:tc>
        <w:tc>
          <w:tcPr>
            <w:tcW w:w="4820" w:type="dxa"/>
            <w:vMerge w:val="restart"/>
            <w:tcBorders>
              <w:top w:val="nil"/>
            </w:tcBorders>
            <w:shd w:val="clear" w:color="auto" w:fill="D9D9D9" w:themeFill="background1" w:themeFillShade="D9"/>
            <w:vAlign w:val="center"/>
            <w:hideMark/>
          </w:tcPr>
          <w:p w14:paraId="3C4E7565" w14:textId="51DD2ED8" w:rsidR="007125DD" w:rsidRDefault="007125DD" w:rsidP="007C57E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Baseline year</w:t>
            </w:r>
            <w:r w:rsidR="007C57E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2002, exam 2</w:t>
            </w:r>
            <w:r w:rsidR="007C57E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2004, exam 3</w:t>
            </w:r>
            <w:r w:rsidR="007C57E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2005 and exam 4</w:t>
            </w:r>
            <w:r w:rsidR="007C57E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2007. All assays rate relectance spectrophotometry using thin film adaptation of creatine aminohydrolase method on the Vitros analyzer (Johnson and Johnson Clinical Diagnostics)</w:t>
            </w:r>
          </w:p>
        </w:tc>
        <w:tc>
          <w:tcPr>
            <w:tcW w:w="1417" w:type="dxa"/>
            <w:vMerge w:val="restart"/>
            <w:tcBorders>
              <w:top w:val="nil"/>
            </w:tcBorders>
            <w:shd w:val="clear" w:color="auto" w:fill="D9D9D9" w:themeFill="background1" w:themeFillShade="D9"/>
            <w:vAlign w:val="center"/>
            <w:hideMark/>
          </w:tcPr>
          <w:p w14:paraId="28FA877F"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12397006</w:t>
            </w:r>
          </w:p>
        </w:tc>
      </w:tr>
      <w:tr w:rsidR="007125DD" w14:paraId="5EFF9B4F" w14:textId="77777777" w:rsidTr="000709F4">
        <w:trPr>
          <w:trHeight w:val="450"/>
          <w:jc w:val="center"/>
        </w:trPr>
        <w:tc>
          <w:tcPr>
            <w:tcW w:w="1784" w:type="dxa"/>
            <w:vMerge/>
            <w:tcBorders>
              <w:top w:val="nil"/>
            </w:tcBorders>
            <w:vAlign w:val="center"/>
            <w:hideMark/>
          </w:tcPr>
          <w:p w14:paraId="0C3B881E"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036" w:type="dxa"/>
            <w:vMerge/>
            <w:tcBorders>
              <w:top w:val="nil"/>
            </w:tcBorders>
            <w:vAlign w:val="center"/>
            <w:hideMark/>
          </w:tcPr>
          <w:p w14:paraId="62E19A39"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260" w:type="dxa"/>
            <w:vMerge/>
            <w:tcBorders>
              <w:top w:val="nil"/>
            </w:tcBorders>
            <w:vAlign w:val="center"/>
            <w:hideMark/>
          </w:tcPr>
          <w:p w14:paraId="3BB79F12"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4820" w:type="dxa"/>
            <w:vMerge/>
            <w:tcBorders>
              <w:top w:val="nil"/>
            </w:tcBorders>
            <w:vAlign w:val="center"/>
            <w:hideMark/>
          </w:tcPr>
          <w:p w14:paraId="0E5E4857"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1417" w:type="dxa"/>
            <w:vMerge/>
            <w:tcBorders>
              <w:top w:val="nil"/>
            </w:tcBorders>
            <w:vAlign w:val="center"/>
            <w:hideMark/>
          </w:tcPr>
          <w:p w14:paraId="5209DA11" w14:textId="77777777" w:rsidR="007125DD" w:rsidRDefault="007125DD" w:rsidP="000709F4">
            <w:pPr>
              <w:spacing w:before="60" w:after="60" w:line="240" w:lineRule="auto"/>
              <w:rPr>
                <w:rFonts w:ascii="Arial" w:eastAsia="Times New Roman" w:hAnsi="Arial" w:cs="Arial"/>
                <w:color w:val="000000"/>
                <w:sz w:val="20"/>
                <w:szCs w:val="20"/>
                <w:lang w:val="en-US"/>
              </w:rPr>
            </w:pPr>
          </w:p>
        </w:tc>
      </w:tr>
      <w:tr w:rsidR="007125DD" w14:paraId="5DB48E52" w14:textId="77777777" w:rsidTr="000709F4">
        <w:trPr>
          <w:trHeight w:val="450"/>
          <w:jc w:val="center"/>
        </w:trPr>
        <w:tc>
          <w:tcPr>
            <w:tcW w:w="1784" w:type="dxa"/>
            <w:vMerge/>
            <w:tcBorders>
              <w:top w:val="nil"/>
            </w:tcBorders>
            <w:vAlign w:val="center"/>
            <w:hideMark/>
          </w:tcPr>
          <w:p w14:paraId="0EF61D70"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036" w:type="dxa"/>
            <w:vMerge/>
            <w:tcBorders>
              <w:top w:val="nil"/>
            </w:tcBorders>
            <w:vAlign w:val="center"/>
            <w:hideMark/>
          </w:tcPr>
          <w:p w14:paraId="12D40F35"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3260" w:type="dxa"/>
            <w:vMerge/>
            <w:tcBorders>
              <w:top w:val="nil"/>
            </w:tcBorders>
            <w:vAlign w:val="center"/>
            <w:hideMark/>
          </w:tcPr>
          <w:p w14:paraId="4BEA20AA"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4820" w:type="dxa"/>
            <w:vMerge/>
            <w:tcBorders>
              <w:top w:val="nil"/>
            </w:tcBorders>
            <w:vAlign w:val="center"/>
            <w:hideMark/>
          </w:tcPr>
          <w:p w14:paraId="6FF4074D" w14:textId="77777777" w:rsidR="007125DD" w:rsidRDefault="007125DD" w:rsidP="000709F4">
            <w:pPr>
              <w:spacing w:before="60" w:after="60" w:line="240" w:lineRule="auto"/>
              <w:rPr>
                <w:rFonts w:ascii="Arial" w:eastAsia="Times New Roman" w:hAnsi="Arial" w:cs="Arial"/>
                <w:color w:val="000000"/>
                <w:sz w:val="20"/>
                <w:szCs w:val="20"/>
                <w:lang w:val="en-US"/>
              </w:rPr>
            </w:pPr>
          </w:p>
        </w:tc>
        <w:tc>
          <w:tcPr>
            <w:tcW w:w="1417" w:type="dxa"/>
            <w:vMerge/>
            <w:tcBorders>
              <w:top w:val="nil"/>
            </w:tcBorders>
            <w:vAlign w:val="center"/>
            <w:hideMark/>
          </w:tcPr>
          <w:p w14:paraId="7FC9043D" w14:textId="77777777" w:rsidR="007125DD" w:rsidRDefault="007125DD" w:rsidP="000709F4">
            <w:pPr>
              <w:spacing w:before="60" w:after="60" w:line="240" w:lineRule="auto"/>
              <w:rPr>
                <w:rFonts w:ascii="Arial" w:eastAsia="Times New Roman" w:hAnsi="Arial" w:cs="Arial"/>
                <w:color w:val="000000"/>
                <w:sz w:val="20"/>
                <w:szCs w:val="20"/>
                <w:lang w:val="en-US"/>
              </w:rPr>
            </w:pPr>
          </w:p>
        </w:tc>
      </w:tr>
      <w:tr w:rsidR="007125DD" w14:paraId="7775A12C" w14:textId="77777777" w:rsidTr="000709F4">
        <w:trPr>
          <w:jc w:val="center"/>
        </w:trPr>
        <w:tc>
          <w:tcPr>
            <w:tcW w:w="1784" w:type="dxa"/>
            <w:tcBorders>
              <w:top w:val="nil"/>
            </w:tcBorders>
            <w:shd w:val="clear" w:color="auto" w:fill="auto"/>
            <w:vAlign w:val="center"/>
            <w:hideMark/>
          </w:tcPr>
          <w:p w14:paraId="72C4CADC" w14:textId="4C6DABE5"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MyCode </w:t>
            </w:r>
          </w:p>
        </w:tc>
        <w:tc>
          <w:tcPr>
            <w:tcW w:w="3036" w:type="dxa"/>
            <w:tcBorders>
              <w:top w:val="nil"/>
            </w:tcBorders>
            <w:shd w:val="clear" w:color="auto" w:fill="auto"/>
            <w:vAlign w:val="center"/>
            <w:hideMark/>
          </w:tcPr>
          <w:p w14:paraId="02A7496B"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MyCode Community Health Initiative (Geisinger Research)</w:t>
            </w:r>
          </w:p>
        </w:tc>
        <w:tc>
          <w:tcPr>
            <w:tcW w:w="3260" w:type="dxa"/>
            <w:tcBorders>
              <w:top w:val="nil"/>
            </w:tcBorders>
            <w:shd w:val="clear" w:color="auto" w:fill="auto"/>
            <w:vAlign w:val="center"/>
            <w:hideMark/>
          </w:tcPr>
          <w:p w14:paraId="0AC13804"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auto"/>
            <w:vAlign w:val="center"/>
            <w:hideMark/>
          </w:tcPr>
          <w:p w14:paraId="318E9FD6"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Enzymatic method done by Roche Cobas instruments, 1996+</w:t>
            </w:r>
          </w:p>
        </w:tc>
        <w:tc>
          <w:tcPr>
            <w:tcW w:w="1417" w:type="dxa"/>
            <w:tcBorders>
              <w:top w:val="nil"/>
            </w:tcBorders>
            <w:shd w:val="clear" w:color="auto" w:fill="auto"/>
            <w:vAlign w:val="center"/>
            <w:hideMark/>
          </w:tcPr>
          <w:p w14:paraId="479698ED"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26866580</w:t>
            </w:r>
          </w:p>
        </w:tc>
      </w:tr>
      <w:tr w:rsidR="007125DD" w14:paraId="04C58FF3" w14:textId="77777777" w:rsidTr="000709F4">
        <w:trPr>
          <w:jc w:val="center"/>
        </w:trPr>
        <w:tc>
          <w:tcPr>
            <w:tcW w:w="1784" w:type="dxa"/>
            <w:tcBorders>
              <w:top w:val="nil"/>
            </w:tcBorders>
            <w:shd w:val="clear" w:color="auto" w:fill="D9D9D9" w:themeFill="background1" w:themeFillShade="D9"/>
            <w:vAlign w:val="center"/>
            <w:hideMark/>
          </w:tcPr>
          <w:p w14:paraId="76B51675"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NESDA</w:t>
            </w:r>
          </w:p>
        </w:tc>
        <w:tc>
          <w:tcPr>
            <w:tcW w:w="3036" w:type="dxa"/>
            <w:tcBorders>
              <w:top w:val="nil"/>
            </w:tcBorders>
            <w:shd w:val="clear" w:color="auto" w:fill="D9D9D9" w:themeFill="background1" w:themeFillShade="D9"/>
            <w:vAlign w:val="center"/>
            <w:hideMark/>
          </w:tcPr>
          <w:p w14:paraId="1C2B81EA"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Netherlands Study of Depression and Anxiety</w:t>
            </w:r>
          </w:p>
        </w:tc>
        <w:tc>
          <w:tcPr>
            <w:tcW w:w="3260" w:type="dxa"/>
            <w:tcBorders>
              <w:top w:val="nil"/>
            </w:tcBorders>
            <w:shd w:val="clear" w:color="auto" w:fill="D9D9D9" w:themeFill="background1" w:themeFillShade="D9"/>
            <w:vAlign w:val="center"/>
            <w:hideMark/>
          </w:tcPr>
          <w:p w14:paraId="02A5A20E"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 predominantly cases with major depression</w:t>
            </w:r>
          </w:p>
        </w:tc>
        <w:tc>
          <w:tcPr>
            <w:tcW w:w="4820" w:type="dxa"/>
            <w:tcBorders>
              <w:top w:val="nil"/>
            </w:tcBorders>
            <w:shd w:val="clear" w:color="auto" w:fill="D9D9D9" w:themeFill="background1" w:themeFillShade="D9"/>
            <w:vAlign w:val="center"/>
            <w:hideMark/>
          </w:tcPr>
          <w:p w14:paraId="2746940E"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Partly Jaffe, partly enzymatic; 2004-2007</w:t>
            </w:r>
          </w:p>
        </w:tc>
        <w:tc>
          <w:tcPr>
            <w:tcW w:w="1417" w:type="dxa"/>
            <w:tcBorders>
              <w:top w:val="nil"/>
            </w:tcBorders>
            <w:shd w:val="clear" w:color="auto" w:fill="D9D9D9" w:themeFill="background1" w:themeFillShade="D9"/>
            <w:vAlign w:val="center"/>
            <w:hideMark/>
          </w:tcPr>
          <w:p w14:paraId="59AAB3EE"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18763692</w:t>
            </w:r>
          </w:p>
        </w:tc>
      </w:tr>
      <w:tr w:rsidR="007125DD" w14:paraId="46614F85" w14:textId="77777777" w:rsidTr="000709F4">
        <w:trPr>
          <w:jc w:val="center"/>
        </w:trPr>
        <w:tc>
          <w:tcPr>
            <w:tcW w:w="1784" w:type="dxa"/>
            <w:tcBorders>
              <w:top w:val="nil"/>
            </w:tcBorders>
            <w:shd w:val="clear" w:color="auto" w:fill="auto"/>
            <w:vAlign w:val="center"/>
            <w:hideMark/>
          </w:tcPr>
          <w:p w14:paraId="2A3012A1"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POPGEN</w:t>
            </w:r>
          </w:p>
        </w:tc>
        <w:tc>
          <w:tcPr>
            <w:tcW w:w="3036" w:type="dxa"/>
            <w:tcBorders>
              <w:top w:val="nil"/>
            </w:tcBorders>
            <w:shd w:val="clear" w:color="auto" w:fill="auto"/>
            <w:vAlign w:val="center"/>
            <w:hideMark/>
          </w:tcPr>
          <w:p w14:paraId="11476A8E"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POPGEN control sample</w:t>
            </w:r>
          </w:p>
        </w:tc>
        <w:tc>
          <w:tcPr>
            <w:tcW w:w="3260" w:type="dxa"/>
            <w:tcBorders>
              <w:top w:val="nil"/>
            </w:tcBorders>
            <w:shd w:val="clear" w:color="auto" w:fill="auto"/>
            <w:vAlign w:val="center"/>
            <w:hideMark/>
          </w:tcPr>
          <w:p w14:paraId="1EA4AB91"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auto"/>
            <w:vAlign w:val="center"/>
            <w:hideMark/>
          </w:tcPr>
          <w:p w14:paraId="2E569C37"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Serum creatinine was measured 2005-2008 using an enzymatic assay</w:t>
            </w:r>
          </w:p>
        </w:tc>
        <w:tc>
          <w:tcPr>
            <w:tcW w:w="1417" w:type="dxa"/>
            <w:tcBorders>
              <w:top w:val="nil"/>
            </w:tcBorders>
            <w:shd w:val="clear" w:color="auto" w:fill="auto"/>
            <w:vAlign w:val="center"/>
            <w:hideMark/>
          </w:tcPr>
          <w:p w14:paraId="4BB3A8D8"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16490960</w:t>
            </w:r>
          </w:p>
        </w:tc>
      </w:tr>
      <w:tr w:rsidR="007125DD" w14:paraId="3C091380" w14:textId="77777777" w:rsidTr="000709F4">
        <w:trPr>
          <w:jc w:val="center"/>
        </w:trPr>
        <w:tc>
          <w:tcPr>
            <w:tcW w:w="1784" w:type="dxa"/>
            <w:shd w:val="clear" w:color="auto" w:fill="D9D9D9" w:themeFill="background1" w:themeFillShade="D9"/>
            <w:vAlign w:val="center"/>
            <w:hideMark/>
          </w:tcPr>
          <w:p w14:paraId="1E346E1F"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PREVEND</w:t>
            </w:r>
          </w:p>
        </w:tc>
        <w:tc>
          <w:tcPr>
            <w:tcW w:w="3036" w:type="dxa"/>
            <w:shd w:val="clear" w:color="auto" w:fill="D9D9D9" w:themeFill="background1" w:themeFillShade="D9"/>
            <w:vAlign w:val="center"/>
            <w:hideMark/>
          </w:tcPr>
          <w:p w14:paraId="5C7155B4"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Prevention of Renal and Vascular End-stage Disease study</w:t>
            </w:r>
          </w:p>
        </w:tc>
        <w:tc>
          <w:tcPr>
            <w:tcW w:w="3260" w:type="dxa"/>
            <w:shd w:val="clear" w:color="auto" w:fill="D9D9D9" w:themeFill="background1" w:themeFillShade="D9"/>
            <w:vAlign w:val="center"/>
            <w:hideMark/>
          </w:tcPr>
          <w:p w14:paraId="1E679027"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shd w:val="clear" w:color="auto" w:fill="D9D9D9" w:themeFill="background1" w:themeFillShade="D9"/>
            <w:vAlign w:val="center"/>
            <w:hideMark/>
          </w:tcPr>
          <w:p w14:paraId="0611F652" w14:textId="2668544C"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An isotope dilution mass spectrometry (IDMS) traceable enzymatic method on a Roche Modular analyzer using reagents and calibrators from Roche (Roche Diagnostics, Mannheim, Germany) ‘97-’98</w:t>
            </w:r>
          </w:p>
        </w:tc>
        <w:tc>
          <w:tcPr>
            <w:tcW w:w="1417" w:type="dxa"/>
            <w:shd w:val="clear" w:color="auto" w:fill="D9D9D9" w:themeFill="background1" w:themeFillShade="D9"/>
            <w:vAlign w:val="center"/>
            <w:hideMark/>
          </w:tcPr>
          <w:p w14:paraId="7A236C92"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12356629</w:t>
            </w:r>
          </w:p>
        </w:tc>
      </w:tr>
      <w:tr w:rsidR="007125DD" w14:paraId="78E3739E" w14:textId="77777777" w:rsidTr="000709F4">
        <w:trPr>
          <w:jc w:val="center"/>
        </w:trPr>
        <w:tc>
          <w:tcPr>
            <w:tcW w:w="1784" w:type="dxa"/>
            <w:tcBorders>
              <w:top w:val="nil"/>
            </w:tcBorders>
            <w:shd w:val="clear" w:color="auto" w:fill="auto"/>
            <w:vAlign w:val="center"/>
            <w:hideMark/>
          </w:tcPr>
          <w:p w14:paraId="433DF615"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 III</w:t>
            </w:r>
          </w:p>
        </w:tc>
        <w:tc>
          <w:tcPr>
            <w:tcW w:w="3036" w:type="dxa"/>
            <w:tcBorders>
              <w:top w:val="nil"/>
            </w:tcBorders>
            <w:shd w:val="clear" w:color="auto" w:fill="auto"/>
            <w:vAlign w:val="center"/>
            <w:hideMark/>
          </w:tcPr>
          <w:p w14:paraId="3B1662A3"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Rotterdam Study</w:t>
            </w:r>
          </w:p>
        </w:tc>
        <w:tc>
          <w:tcPr>
            <w:tcW w:w="3260" w:type="dxa"/>
            <w:tcBorders>
              <w:top w:val="nil"/>
            </w:tcBorders>
            <w:shd w:val="clear" w:color="auto" w:fill="auto"/>
            <w:vAlign w:val="center"/>
            <w:hideMark/>
          </w:tcPr>
          <w:p w14:paraId="041C6CF0"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auto"/>
            <w:vAlign w:val="center"/>
            <w:hideMark/>
          </w:tcPr>
          <w:p w14:paraId="518BF220"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Enzymatic assay, 2006</w:t>
            </w:r>
          </w:p>
        </w:tc>
        <w:tc>
          <w:tcPr>
            <w:tcW w:w="1417" w:type="dxa"/>
            <w:tcBorders>
              <w:top w:val="nil"/>
            </w:tcBorders>
            <w:shd w:val="clear" w:color="auto" w:fill="auto"/>
            <w:vAlign w:val="center"/>
            <w:hideMark/>
          </w:tcPr>
          <w:p w14:paraId="00D4A5A6"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r>
      <w:tr w:rsidR="007125DD" w14:paraId="0928CE73" w14:textId="77777777" w:rsidTr="0011344C">
        <w:trPr>
          <w:jc w:val="center"/>
        </w:trPr>
        <w:tc>
          <w:tcPr>
            <w:tcW w:w="1784" w:type="dxa"/>
            <w:tcBorders>
              <w:top w:val="nil"/>
            </w:tcBorders>
            <w:shd w:val="clear" w:color="auto" w:fill="D9D9D9" w:themeFill="background1" w:themeFillShade="D9"/>
            <w:vAlign w:val="center"/>
            <w:hideMark/>
          </w:tcPr>
          <w:p w14:paraId="48D77BF2"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SHIP 1</w:t>
            </w:r>
          </w:p>
        </w:tc>
        <w:tc>
          <w:tcPr>
            <w:tcW w:w="3036" w:type="dxa"/>
            <w:tcBorders>
              <w:top w:val="nil"/>
            </w:tcBorders>
            <w:shd w:val="clear" w:color="auto" w:fill="D9D9D9" w:themeFill="background1" w:themeFillShade="D9"/>
            <w:vAlign w:val="center"/>
            <w:hideMark/>
          </w:tcPr>
          <w:p w14:paraId="0DBAC88F"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Study of Health in Pomerania</w:t>
            </w:r>
          </w:p>
        </w:tc>
        <w:tc>
          <w:tcPr>
            <w:tcW w:w="3260" w:type="dxa"/>
            <w:tcBorders>
              <w:top w:val="nil"/>
            </w:tcBorders>
            <w:shd w:val="clear" w:color="auto" w:fill="D9D9D9" w:themeFill="background1" w:themeFillShade="D9"/>
            <w:vAlign w:val="center"/>
            <w:hideMark/>
          </w:tcPr>
          <w:p w14:paraId="212B7804"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D9D9D9" w:themeFill="background1" w:themeFillShade="D9"/>
            <w:vAlign w:val="center"/>
            <w:hideMark/>
          </w:tcPr>
          <w:p w14:paraId="1BA8029A"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Jaffe, 2002</w:t>
            </w:r>
          </w:p>
        </w:tc>
        <w:tc>
          <w:tcPr>
            <w:tcW w:w="1417" w:type="dxa"/>
            <w:tcBorders>
              <w:top w:val="nil"/>
            </w:tcBorders>
            <w:shd w:val="clear" w:color="auto" w:fill="D9D9D9" w:themeFill="background1" w:themeFillShade="D9"/>
            <w:vAlign w:val="center"/>
            <w:hideMark/>
          </w:tcPr>
          <w:p w14:paraId="17789CEC"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r>
      <w:tr w:rsidR="007125DD" w14:paraId="0DF20BCC" w14:textId="77777777" w:rsidTr="00766840">
        <w:trPr>
          <w:jc w:val="center"/>
        </w:trPr>
        <w:tc>
          <w:tcPr>
            <w:tcW w:w="1784" w:type="dxa"/>
            <w:tcBorders>
              <w:top w:val="nil"/>
            </w:tcBorders>
            <w:shd w:val="clear" w:color="auto" w:fill="auto"/>
            <w:vAlign w:val="center"/>
            <w:hideMark/>
          </w:tcPr>
          <w:p w14:paraId="7D84B48A"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SiMES</w:t>
            </w:r>
          </w:p>
        </w:tc>
        <w:tc>
          <w:tcPr>
            <w:tcW w:w="3036" w:type="dxa"/>
            <w:tcBorders>
              <w:top w:val="nil"/>
            </w:tcBorders>
            <w:shd w:val="clear" w:color="auto" w:fill="auto"/>
            <w:vAlign w:val="center"/>
            <w:hideMark/>
          </w:tcPr>
          <w:p w14:paraId="670F1D1F"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Singapore Malay Eye Study</w:t>
            </w:r>
          </w:p>
        </w:tc>
        <w:tc>
          <w:tcPr>
            <w:tcW w:w="3260" w:type="dxa"/>
            <w:tcBorders>
              <w:top w:val="nil"/>
            </w:tcBorders>
            <w:shd w:val="clear" w:color="auto" w:fill="auto"/>
            <w:vAlign w:val="center"/>
            <w:hideMark/>
          </w:tcPr>
          <w:p w14:paraId="0DE14E5F"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auto"/>
            <w:vAlign w:val="center"/>
            <w:hideMark/>
          </w:tcPr>
          <w:p w14:paraId="17885640" w14:textId="77777777" w:rsidR="007125DD" w:rsidRDefault="007125DD" w:rsidP="000709F4">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Jaffe, 2004-2007</w:t>
            </w:r>
          </w:p>
        </w:tc>
        <w:tc>
          <w:tcPr>
            <w:tcW w:w="1417" w:type="dxa"/>
            <w:tcBorders>
              <w:top w:val="nil"/>
            </w:tcBorders>
            <w:shd w:val="clear" w:color="auto" w:fill="auto"/>
            <w:vAlign w:val="center"/>
            <w:hideMark/>
          </w:tcPr>
          <w:p w14:paraId="64619084" w14:textId="77777777" w:rsidR="007125DD" w:rsidRDefault="007125DD" w:rsidP="000709F4">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17365815, 21490949</w:t>
            </w:r>
          </w:p>
        </w:tc>
      </w:tr>
      <w:tr w:rsidR="00766840" w14:paraId="1299F0B5" w14:textId="77777777" w:rsidTr="00766840">
        <w:trPr>
          <w:jc w:val="center"/>
        </w:trPr>
        <w:tc>
          <w:tcPr>
            <w:tcW w:w="1784" w:type="dxa"/>
            <w:tcBorders>
              <w:top w:val="nil"/>
            </w:tcBorders>
            <w:shd w:val="clear" w:color="auto" w:fill="D9D9D9" w:themeFill="background1" w:themeFillShade="D9"/>
            <w:vAlign w:val="center"/>
          </w:tcPr>
          <w:p w14:paraId="6DEFA520" w14:textId="207FE17E"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SINDI</w:t>
            </w:r>
          </w:p>
        </w:tc>
        <w:tc>
          <w:tcPr>
            <w:tcW w:w="3036" w:type="dxa"/>
            <w:tcBorders>
              <w:top w:val="nil"/>
            </w:tcBorders>
            <w:shd w:val="clear" w:color="auto" w:fill="D9D9D9" w:themeFill="background1" w:themeFillShade="D9"/>
            <w:vAlign w:val="center"/>
          </w:tcPr>
          <w:p w14:paraId="1D9EB2B7" w14:textId="64FA6C06"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Singapore Indian Eye Study</w:t>
            </w:r>
          </w:p>
        </w:tc>
        <w:tc>
          <w:tcPr>
            <w:tcW w:w="3260" w:type="dxa"/>
            <w:tcBorders>
              <w:top w:val="nil"/>
            </w:tcBorders>
            <w:shd w:val="clear" w:color="auto" w:fill="D9D9D9" w:themeFill="background1" w:themeFillShade="D9"/>
            <w:vAlign w:val="center"/>
          </w:tcPr>
          <w:p w14:paraId="6C3AD425" w14:textId="760F066E"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top w:val="nil"/>
            </w:tcBorders>
            <w:shd w:val="clear" w:color="auto" w:fill="D9D9D9" w:themeFill="background1" w:themeFillShade="D9"/>
            <w:vAlign w:val="center"/>
          </w:tcPr>
          <w:p w14:paraId="27E97C17" w14:textId="3976AB83"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Jaffe, 2007-2009</w:t>
            </w:r>
          </w:p>
        </w:tc>
        <w:tc>
          <w:tcPr>
            <w:tcW w:w="1417" w:type="dxa"/>
            <w:tcBorders>
              <w:top w:val="nil"/>
            </w:tcBorders>
            <w:shd w:val="clear" w:color="auto" w:fill="D9D9D9" w:themeFill="background1" w:themeFillShade="D9"/>
            <w:vAlign w:val="center"/>
          </w:tcPr>
          <w:p w14:paraId="434A4084" w14:textId="6DEE4114" w:rsidR="00766840" w:rsidRDefault="00766840" w:rsidP="00356522">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19995197, 24244560</w:t>
            </w:r>
          </w:p>
        </w:tc>
      </w:tr>
      <w:tr w:rsidR="00766840" w14:paraId="4BF509EB" w14:textId="77777777" w:rsidTr="00DC566E">
        <w:trPr>
          <w:jc w:val="center"/>
        </w:trPr>
        <w:tc>
          <w:tcPr>
            <w:tcW w:w="1784" w:type="dxa"/>
            <w:tcBorders>
              <w:top w:val="nil"/>
            </w:tcBorders>
            <w:shd w:val="clear" w:color="auto" w:fill="auto"/>
            <w:vAlign w:val="center"/>
            <w:hideMark/>
          </w:tcPr>
          <w:p w14:paraId="73254E9F"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SOLID-TIMI 52</w:t>
            </w:r>
          </w:p>
        </w:tc>
        <w:tc>
          <w:tcPr>
            <w:tcW w:w="3036" w:type="dxa"/>
            <w:tcBorders>
              <w:top w:val="nil"/>
            </w:tcBorders>
            <w:shd w:val="clear" w:color="auto" w:fill="auto"/>
            <w:vAlign w:val="center"/>
            <w:hideMark/>
          </w:tcPr>
          <w:p w14:paraId="79462A43"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SOLID-TIMI 52</w:t>
            </w:r>
          </w:p>
        </w:tc>
        <w:tc>
          <w:tcPr>
            <w:tcW w:w="3260" w:type="dxa"/>
            <w:tcBorders>
              <w:top w:val="nil"/>
            </w:tcBorders>
            <w:shd w:val="clear" w:color="auto" w:fill="auto"/>
            <w:vAlign w:val="center"/>
            <w:hideMark/>
          </w:tcPr>
          <w:p w14:paraId="13D039F7"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Clinical trial</w:t>
            </w:r>
          </w:p>
        </w:tc>
        <w:tc>
          <w:tcPr>
            <w:tcW w:w="4820" w:type="dxa"/>
            <w:tcBorders>
              <w:top w:val="nil"/>
            </w:tcBorders>
            <w:shd w:val="clear" w:color="auto" w:fill="auto"/>
            <w:vAlign w:val="center"/>
            <w:hideMark/>
          </w:tcPr>
          <w:p w14:paraId="364C6251"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Jaffe, 2010</w:t>
            </w:r>
          </w:p>
        </w:tc>
        <w:tc>
          <w:tcPr>
            <w:tcW w:w="1417" w:type="dxa"/>
            <w:tcBorders>
              <w:top w:val="nil"/>
            </w:tcBorders>
            <w:shd w:val="clear" w:color="auto" w:fill="auto"/>
            <w:vAlign w:val="center"/>
            <w:hideMark/>
          </w:tcPr>
          <w:p w14:paraId="2B649000" w14:textId="77777777" w:rsidR="00766840" w:rsidRDefault="00766840" w:rsidP="00DC566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21982651</w:t>
            </w:r>
          </w:p>
        </w:tc>
      </w:tr>
      <w:tr w:rsidR="00766840" w14:paraId="42987029" w14:textId="77777777" w:rsidTr="00766840">
        <w:trPr>
          <w:jc w:val="center"/>
        </w:trPr>
        <w:tc>
          <w:tcPr>
            <w:tcW w:w="1784" w:type="dxa"/>
            <w:shd w:val="clear" w:color="auto" w:fill="D9D9D9" w:themeFill="background1" w:themeFillShade="D9"/>
            <w:vAlign w:val="center"/>
            <w:hideMark/>
          </w:tcPr>
          <w:p w14:paraId="3E115269"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STABILITY</w:t>
            </w:r>
          </w:p>
        </w:tc>
        <w:tc>
          <w:tcPr>
            <w:tcW w:w="3036" w:type="dxa"/>
            <w:shd w:val="clear" w:color="auto" w:fill="D9D9D9" w:themeFill="background1" w:themeFillShade="D9"/>
            <w:vAlign w:val="center"/>
            <w:hideMark/>
          </w:tcPr>
          <w:p w14:paraId="399350B3"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STabilization of Atherosclerotic plaque By Initiation of darapLadIb TherapY</w:t>
            </w:r>
          </w:p>
        </w:tc>
        <w:tc>
          <w:tcPr>
            <w:tcW w:w="3260" w:type="dxa"/>
            <w:shd w:val="clear" w:color="auto" w:fill="D9D9D9" w:themeFill="background1" w:themeFillShade="D9"/>
            <w:vAlign w:val="center"/>
            <w:hideMark/>
          </w:tcPr>
          <w:p w14:paraId="638BB299"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Clinical trial</w:t>
            </w:r>
          </w:p>
        </w:tc>
        <w:tc>
          <w:tcPr>
            <w:tcW w:w="4820" w:type="dxa"/>
            <w:shd w:val="clear" w:color="auto" w:fill="D9D9D9" w:themeFill="background1" w:themeFillShade="D9"/>
            <w:vAlign w:val="center"/>
            <w:hideMark/>
          </w:tcPr>
          <w:p w14:paraId="014F940B"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Jaffe, 2009</w:t>
            </w:r>
          </w:p>
        </w:tc>
        <w:tc>
          <w:tcPr>
            <w:tcW w:w="1417" w:type="dxa"/>
            <w:shd w:val="clear" w:color="auto" w:fill="D9D9D9" w:themeFill="background1" w:themeFillShade="D9"/>
            <w:vAlign w:val="center"/>
            <w:hideMark/>
          </w:tcPr>
          <w:p w14:paraId="64EF1228" w14:textId="77777777" w:rsidR="00766840" w:rsidRDefault="00766840" w:rsidP="00DC566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24678955, 20934559</w:t>
            </w:r>
          </w:p>
        </w:tc>
      </w:tr>
      <w:tr w:rsidR="00766840" w14:paraId="04AF24FE" w14:textId="77777777" w:rsidTr="00766840">
        <w:trPr>
          <w:jc w:val="center"/>
        </w:trPr>
        <w:tc>
          <w:tcPr>
            <w:tcW w:w="1784" w:type="dxa"/>
            <w:tcBorders>
              <w:bottom w:val="single" w:sz="4" w:space="0" w:color="auto"/>
            </w:tcBorders>
            <w:shd w:val="clear" w:color="auto" w:fill="auto"/>
            <w:vAlign w:val="center"/>
            <w:hideMark/>
          </w:tcPr>
          <w:p w14:paraId="474DBF97"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UKBB</w:t>
            </w:r>
          </w:p>
        </w:tc>
        <w:tc>
          <w:tcPr>
            <w:tcW w:w="3036" w:type="dxa"/>
            <w:tcBorders>
              <w:bottom w:val="single" w:sz="4" w:space="0" w:color="auto"/>
            </w:tcBorders>
            <w:shd w:val="clear" w:color="auto" w:fill="auto"/>
            <w:vAlign w:val="center"/>
            <w:hideMark/>
          </w:tcPr>
          <w:p w14:paraId="0CBBEF88"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UK Biobank</w:t>
            </w:r>
          </w:p>
        </w:tc>
        <w:tc>
          <w:tcPr>
            <w:tcW w:w="3260" w:type="dxa"/>
            <w:tcBorders>
              <w:bottom w:val="single" w:sz="4" w:space="0" w:color="auto"/>
            </w:tcBorders>
            <w:shd w:val="clear" w:color="auto" w:fill="auto"/>
            <w:vAlign w:val="center"/>
            <w:hideMark/>
          </w:tcPr>
          <w:p w14:paraId="20E0E88F"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Population-based </w:t>
            </w:r>
          </w:p>
        </w:tc>
        <w:tc>
          <w:tcPr>
            <w:tcW w:w="4820" w:type="dxa"/>
            <w:tcBorders>
              <w:bottom w:val="single" w:sz="4" w:space="0" w:color="auto"/>
            </w:tcBorders>
            <w:shd w:val="clear" w:color="auto" w:fill="auto"/>
            <w:noWrap/>
            <w:vAlign w:val="bottom"/>
            <w:hideMark/>
          </w:tcPr>
          <w:p w14:paraId="6F46799B" w14:textId="77777777" w:rsidR="00766840" w:rsidRDefault="00766840"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enzymatic analysis on a Beckman Coulter AU5800</w:t>
            </w:r>
          </w:p>
        </w:tc>
        <w:tc>
          <w:tcPr>
            <w:tcW w:w="1417" w:type="dxa"/>
            <w:tcBorders>
              <w:bottom w:val="single" w:sz="4" w:space="0" w:color="auto"/>
            </w:tcBorders>
            <w:shd w:val="clear" w:color="auto" w:fill="auto"/>
            <w:vAlign w:val="center"/>
            <w:hideMark/>
          </w:tcPr>
          <w:p w14:paraId="7DB43055" w14:textId="77777777" w:rsidR="00766840" w:rsidRDefault="00766840" w:rsidP="00DC566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25826379</w:t>
            </w:r>
          </w:p>
        </w:tc>
      </w:tr>
    </w:tbl>
    <w:p w14:paraId="11726AD7" w14:textId="77777777" w:rsidR="0011344C" w:rsidRPr="000709F4" w:rsidRDefault="0011344C" w:rsidP="0011344C">
      <w:pPr>
        <w:jc w:val="right"/>
        <w:rPr>
          <w:lang w:val="en-US"/>
        </w:rPr>
      </w:pPr>
      <w:r w:rsidRPr="009650D7">
        <w:rPr>
          <w:lang w:val="en-US"/>
        </w:rPr>
        <w:t>… to be continued</w:t>
      </w:r>
    </w:p>
    <w:p w14:paraId="6D796E41" w14:textId="76C64DF5" w:rsidR="0011344C" w:rsidRDefault="0011344C" w:rsidP="0011344C">
      <w:pPr>
        <w:rPr>
          <w:rFonts w:ascii="Arial" w:hAnsi="Arial" w:cs="Arial"/>
          <w:b/>
          <w:bCs/>
          <w:lang w:val="en-US"/>
        </w:rPr>
      </w:pPr>
      <w:r>
        <w:rPr>
          <w:b/>
          <w:bCs/>
          <w:lang w:val="en-US"/>
        </w:rPr>
        <w:br w:type="page"/>
      </w:r>
      <w:r w:rsidRPr="00796A92">
        <w:rPr>
          <w:rFonts w:ascii="Arial" w:hAnsi="Arial" w:cs="Arial"/>
          <w:b/>
          <w:bCs/>
          <w:lang w:val="en-US"/>
        </w:rPr>
        <w:lastRenderedPageBreak/>
        <w:t>Supplementary Table 1</w:t>
      </w:r>
      <w:r w:rsidR="006F789D">
        <w:rPr>
          <w:rFonts w:ascii="Arial" w:hAnsi="Arial" w:cs="Arial"/>
          <w:b/>
          <w:bCs/>
          <w:lang w:val="en-US"/>
        </w:rPr>
        <w:t>A</w:t>
      </w:r>
      <w:r w:rsidRPr="00796A92">
        <w:rPr>
          <w:rFonts w:ascii="Arial" w:hAnsi="Arial" w:cs="Arial"/>
          <w:b/>
          <w:bCs/>
          <w:lang w:val="en-US"/>
        </w:rPr>
        <w:t>: continued</w:t>
      </w:r>
    </w:p>
    <w:tbl>
      <w:tblPr>
        <w:tblW w:w="14317" w:type="dxa"/>
        <w:jc w:val="center"/>
        <w:tblLayout w:type="fixed"/>
        <w:tblLook w:val="04A0" w:firstRow="1" w:lastRow="0" w:firstColumn="1" w:lastColumn="0" w:noHBand="0" w:noVBand="1"/>
      </w:tblPr>
      <w:tblGrid>
        <w:gridCol w:w="1784"/>
        <w:gridCol w:w="3036"/>
        <w:gridCol w:w="3260"/>
        <w:gridCol w:w="4820"/>
        <w:gridCol w:w="1417"/>
      </w:tblGrid>
      <w:tr w:rsidR="0011344C" w14:paraId="6709387C" w14:textId="77777777" w:rsidTr="00DC566E">
        <w:trPr>
          <w:trHeight w:val="765"/>
          <w:jc w:val="center"/>
        </w:trPr>
        <w:tc>
          <w:tcPr>
            <w:tcW w:w="1784" w:type="dxa"/>
            <w:tcBorders>
              <w:top w:val="single" w:sz="4" w:space="0" w:color="auto"/>
              <w:bottom w:val="single" w:sz="4" w:space="0" w:color="auto"/>
            </w:tcBorders>
            <w:shd w:val="clear" w:color="auto" w:fill="BDD6EE" w:themeFill="accent1" w:themeFillTint="66"/>
            <w:noWrap/>
            <w:vAlign w:val="bottom"/>
            <w:hideMark/>
          </w:tcPr>
          <w:p w14:paraId="66879DA3" w14:textId="2966FF0D" w:rsidR="0011344C" w:rsidRDefault="0011344C" w:rsidP="0011344C">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Study </w:t>
            </w:r>
            <w:r>
              <w:rPr>
                <w:rFonts w:ascii="Arial" w:eastAsia="Times New Roman" w:hAnsi="Arial" w:cs="Arial"/>
                <w:b/>
                <w:bCs/>
                <w:color w:val="000000"/>
                <w:sz w:val="20"/>
                <w:szCs w:val="20"/>
                <w:lang w:val="en-US"/>
              </w:rPr>
              <w:br/>
              <w:t>short name</w:t>
            </w:r>
          </w:p>
        </w:tc>
        <w:tc>
          <w:tcPr>
            <w:tcW w:w="3036" w:type="dxa"/>
            <w:tcBorders>
              <w:top w:val="single" w:sz="4" w:space="0" w:color="auto"/>
              <w:bottom w:val="single" w:sz="4" w:space="0" w:color="auto"/>
            </w:tcBorders>
            <w:shd w:val="clear" w:color="auto" w:fill="BDD6EE" w:themeFill="accent1" w:themeFillTint="66"/>
            <w:noWrap/>
            <w:vAlign w:val="bottom"/>
            <w:hideMark/>
          </w:tcPr>
          <w:p w14:paraId="7BB750F3" w14:textId="77777777" w:rsidR="0011344C" w:rsidRDefault="0011344C" w:rsidP="00DC566E">
            <w:pPr>
              <w:spacing w:after="0" w:line="240" w:lineRule="auto"/>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Full name of the study</w:t>
            </w:r>
          </w:p>
        </w:tc>
        <w:tc>
          <w:tcPr>
            <w:tcW w:w="3260" w:type="dxa"/>
            <w:tcBorders>
              <w:top w:val="single" w:sz="4" w:space="0" w:color="auto"/>
              <w:bottom w:val="single" w:sz="4" w:space="0" w:color="auto"/>
            </w:tcBorders>
            <w:shd w:val="clear" w:color="auto" w:fill="BDD6EE" w:themeFill="accent1" w:themeFillTint="66"/>
            <w:vAlign w:val="bottom"/>
            <w:hideMark/>
          </w:tcPr>
          <w:p w14:paraId="42A97935" w14:textId="77777777" w:rsidR="0011344C" w:rsidRDefault="0011344C" w:rsidP="00DC566E">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Design</w:t>
            </w:r>
            <w:r>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br/>
              <w:t>(population-based, selection or enrichment strategy)</w:t>
            </w:r>
          </w:p>
        </w:tc>
        <w:tc>
          <w:tcPr>
            <w:tcW w:w="4820" w:type="dxa"/>
            <w:tcBorders>
              <w:top w:val="single" w:sz="4" w:space="0" w:color="auto"/>
              <w:bottom w:val="single" w:sz="4" w:space="0" w:color="auto"/>
            </w:tcBorders>
            <w:shd w:val="clear" w:color="auto" w:fill="BDD6EE" w:themeFill="accent1" w:themeFillTint="66"/>
            <w:vAlign w:val="bottom"/>
            <w:hideMark/>
          </w:tcPr>
          <w:p w14:paraId="7A9BB4B3" w14:textId="77777777" w:rsidR="0011344C" w:rsidRDefault="0011344C" w:rsidP="00DC566E">
            <w:pPr>
              <w:spacing w:after="0" w:line="240" w:lineRule="auto"/>
              <w:ind w:right="-88"/>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Serum creatinine assay and year of measurement, baseline</w:t>
            </w:r>
          </w:p>
        </w:tc>
        <w:tc>
          <w:tcPr>
            <w:tcW w:w="1417" w:type="dxa"/>
            <w:tcBorders>
              <w:top w:val="single" w:sz="4" w:space="0" w:color="auto"/>
              <w:bottom w:val="single" w:sz="4" w:space="0" w:color="auto"/>
            </w:tcBorders>
            <w:shd w:val="clear" w:color="auto" w:fill="BDD6EE" w:themeFill="accent1" w:themeFillTint="66"/>
            <w:vAlign w:val="bottom"/>
            <w:hideMark/>
          </w:tcPr>
          <w:p w14:paraId="42703E0C" w14:textId="77777777" w:rsidR="0011344C" w:rsidRDefault="0011344C" w:rsidP="00DC566E">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 references</w:t>
            </w:r>
            <w:r>
              <w:rPr>
                <w:rFonts w:ascii="Arial" w:eastAsia="Times New Roman" w:hAnsi="Arial" w:cs="Arial"/>
                <w:b/>
                <w:bCs/>
                <w:color w:val="000000"/>
                <w:sz w:val="20"/>
                <w:szCs w:val="20"/>
                <w:lang w:val="en-US"/>
              </w:rPr>
              <w:br/>
            </w:r>
            <w:r>
              <w:rPr>
                <w:rFonts w:ascii="Arial" w:eastAsia="Times New Roman" w:hAnsi="Arial" w:cs="Arial"/>
                <w:color w:val="000000"/>
                <w:sz w:val="20"/>
                <w:szCs w:val="20"/>
                <w:lang w:val="en-US"/>
              </w:rPr>
              <w:t>(PMID)</w:t>
            </w:r>
          </w:p>
        </w:tc>
      </w:tr>
      <w:tr w:rsidR="00766840" w14:paraId="5D2ADF6B" w14:textId="77777777" w:rsidTr="00E8396C">
        <w:trPr>
          <w:jc w:val="center"/>
        </w:trPr>
        <w:tc>
          <w:tcPr>
            <w:tcW w:w="1784" w:type="dxa"/>
            <w:tcBorders>
              <w:top w:val="nil"/>
            </w:tcBorders>
            <w:shd w:val="clear" w:color="auto" w:fill="D9D9D9" w:themeFill="background1" w:themeFillShade="D9"/>
            <w:vAlign w:val="center"/>
          </w:tcPr>
          <w:p w14:paraId="0FFF2330" w14:textId="526507B5"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Vanderbilt</w:t>
            </w:r>
          </w:p>
        </w:tc>
        <w:tc>
          <w:tcPr>
            <w:tcW w:w="3036" w:type="dxa"/>
            <w:tcBorders>
              <w:top w:val="nil"/>
            </w:tcBorders>
            <w:shd w:val="clear" w:color="auto" w:fill="D9D9D9" w:themeFill="background1" w:themeFillShade="D9"/>
            <w:vAlign w:val="center"/>
          </w:tcPr>
          <w:p w14:paraId="49F59804" w14:textId="08E58A37"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Vanderbilt BioVU</w:t>
            </w:r>
          </w:p>
        </w:tc>
        <w:tc>
          <w:tcPr>
            <w:tcW w:w="3260" w:type="dxa"/>
            <w:tcBorders>
              <w:top w:val="nil"/>
            </w:tcBorders>
            <w:shd w:val="clear" w:color="auto" w:fill="D9D9D9" w:themeFill="background1" w:themeFillShade="D9"/>
            <w:vAlign w:val="center"/>
          </w:tcPr>
          <w:p w14:paraId="6DD5B867" w14:textId="68F42330"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 with enrichment for a variety of disease studies</w:t>
            </w:r>
          </w:p>
        </w:tc>
        <w:tc>
          <w:tcPr>
            <w:tcW w:w="4820" w:type="dxa"/>
            <w:tcBorders>
              <w:top w:val="nil"/>
            </w:tcBorders>
            <w:shd w:val="clear" w:color="auto" w:fill="D9D9D9" w:themeFill="background1" w:themeFillShade="D9"/>
            <w:vAlign w:val="center"/>
          </w:tcPr>
          <w:p w14:paraId="3B103749" w14:textId="78F6E604"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Extracted from clinical records</w:t>
            </w:r>
          </w:p>
        </w:tc>
        <w:tc>
          <w:tcPr>
            <w:tcW w:w="1417" w:type="dxa"/>
            <w:tcBorders>
              <w:top w:val="nil"/>
            </w:tcBorders>
            <w:shd w:val="clear" w:color="auto" w:fill="D9D9D9" w:themeFill="background1" w:themeFillShade="D9"/>
            <w:vAlign w:val="center"/>
          </w:tcPr>
          <w:p w14:paraId="7825CCB3" w14:textId="32E311C7" w:rsidR="00766840" w:rsidRDefault="00766840" w:rsidP="00766840">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18500243</w:t>
            </w:r>
          </w:p>
        </w:tc>
      </w:tr>
      <w:tr w:rsidR="00766840" w14:paraId="15309515" w14:textId="77777777" w:rsidTr="00766840">
        <w:trPr>
          <w:jc w:val="center"/>
        </w:trPr>
        <w:tc>
          <w:tcPr>
            <w:tcW w:w="1784" w:type="dxa"/>
            <w:tcBorders>
              <w:bottom w:val="single" w:sz="4" w:space="0" w:color="auto"/>
            </w:tcBorders>
            <w:shd w:val="clear" w:color="auto" w:fill="auto"/>
            <w:vAlign w:val="center"/>
            <w:hideMark/>
          </w:tcPr>
          <w:p w14:paraId="6C292F46" w14:textId="77777777"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YFS</w:t>
            </w:r>
          </w:p>
        </w:tc>
        <w:tc>
          <w:tcPr>
            <w:tcW w:w="3036" w:type="dxa"/>
            <w:tcBorders>
              <w:bottom w:val="single" w:sz="4" w:space="0" w:color="auto"/>
            </w:tcBorders>
            <w:shd w:val="clear" w:color="auto" w:fill="auto"/>
            <w:vAlign w:val="center"/>
            <w:hideMark/>
          </w:tcPr>
          <w:p w14:paraId="03077F1A" w14:textId="77777777"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The Young Finns Study</w:t>
            </w:r>
          </w:p>
        </w:tc>
        <w:tc>
          <w:tcPr>
            <w:tcW w:w="3260" w:type="dxa"/>
            <w:tcBorders>
              <w:bottom w:val="single" w:sz="4" w:space="0" w:color="auto"/>
            </w:tcBorders>
            <w:shd w:val="clear" w:color="auto" w:fill="auto"/>
            <w:vAlign w:val="center"/>
            <w:hideMark/>
          </w:tcPr>
          <w:p w14:paraId="065CD037" w14:textId="77777777"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Population-based</w:t>
            </w:r>
          </w:p>
        </w:tc>
        <w:tc>
          <w:tcPr>
            <w:tcW w:w="4820" w:type="dxa"/>
            <w:tcBorders>
              <w:bottom w:val="single" w:sz="4" w:space="0" w:color="auto"/>
            </w:tcBorders>
            <w:shd w:val="clear" w:color="auto" w:fill="auto"/>
            <w:vAlign w:val="center"/>
            <w:hideMark/>
          </w:tcPr>
          <w:p w14:paraId="31AC7D1D" w14:textId="77777777" w:rsidR="00766840" w:rsidRDefault="00766840" w:rsidP="00766840">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Serum creatinine was determined spectrophotometrically by the Jaffé method (picric acid; Olympus Diagnostica GmbH) from frozen plasma samples. Year 2001.</w:t>
            </w:r>
          </w:p>
        </w:tc>
        <w:tc>
          <w:tcPr>
            <w:tcW w:w="1417" w:type="dxa"/>
            <w:tcBorders>
              <w:bottom w:val="single" w:sz="4" w:space="0" w:color="auto"/>
            </w:tcBorders>
            <w:shd w:val="clear" w:color="auto" w:fill="auto"/>
            <w:vAlign w:val="center"/>
            <w:hideMark/>
          </w:tcPr>
          <w:p w14:paraId="41487EAD" w14:textId="77777777" w:rsidR="00766840" w:rsidRDefault="00766840" w:rsidP="00766840">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18263651, 23069987</w:t>
            </w:r>
          </w:p>
        </w:tc>
      </w:tr>
    </w:tbl>
    <w:p w14:paraId="03D3FF21" w14:textId="77777777" w:rsidR="008D6DF4" w:rsidRDefault="008D6DF4">
      <w:pPr>
        <w:spacing w:after="0" w:line="360" w:lineRule="auto"/>
        <w:jc w:val="both"/>
        <w:rPr>
          <w:rFonts w:ascii="Arial" w:eastAsia="Times New Roman" w:hAnsi="Arial" w:cs="Arial"/>
          <w:b/>
          <w:bCs/>
          <w:color w:val="000000"/>
          <w:lang w:val="en-US"/>
        </w:rPr>
      </w:pPr>
    </w:p>
    <w:p w14:paraId="1EFCB977" w14:textId="77777777" w:rsidR="008D6DF4" w:rsidRDefault="007C1EBA">
      <w:pPr>
        <w:rPr>
          <w:rFonts w:ascii="Arial" w:eastAsia="Times New Roman" w:hAnsi="Arial" w:cs="Arial"/>
          <w:b/>
          <w:bCs/>
          <w:color w:val="000000"/>
          <w:lang w:val="en-US"/>
        </w:rPr>
      </w:pPr>
      <w:r>
        <w:rPr>
          <w:rFonts w:ascii="Arial" w:eastAsia="Times New Roman" w:hAnsi="Arial" w:cs="Arial"/>
          <w:b/>
          <w:bCs/>
          <w:color w:val="000000"/>
          <w:lang w:val="en-US"/>
        </w:rPr>
        <w:br w:type="page"/>
      </w:r>
    </w:p>
    <w:p w14:paraId="6063D6BB" w14:textId="1BDC546C" w:rsidR="008D6DF4" w:rsidRPr="00E8396C" w:rsidRDefault="007C1EBA" w:rsidP="00E8396C">
      <w:pPr>
        <w:spacing w:after="120" w:line="240" w:lineRule="auto"/>
        <w:jc w:val="both"/>
        <w:rPr>
          <w:rFonts w:ascii="Arial" w:eastAsia="Times New Roman" w:hAnsi="Arial" w:cs="Arial"/>
          <w:bCs/>
          <w:color w:val="000000"/>
          <w:lang w:val="en-US"/>
        </w:rPr>
      </w:pPr>
      <w:r>
        <w:rPr>
          <w:rFonts w:ascii="Arial" w:eastAsia="Times New Roman" w:hAnsi="Arial" w:cs="Arial"/>
          <w:b/>
          <w:bCs/>
          <w:color w:val="000000"/>
          <w:lang w:val="en-US"/>
        </w:rPr>
        <w:lastRenderedPageBreak/>
        <w:t>Supplementary Table 1</w:t>
      </w:r>
      <w:r w:rsidR="006F789D">
        <w:rPr>
          <w:rFonts w:ascii="Arial" w:eastAsia="Times New Roman" w:hAnsi="Arial" w:cs="Arial"/>
          <w:b/>
          <w:bCs/>
          <w:color w:val="000000"/>
          <w:lang w:val="en-US"/>
        </w:rPr>
        <w:t>B</w:t>
      </w:r>
      <w:r>
        <w:rPr>
          <w:rFonts w:ascii="Arial" w:eastAsia="Times New Roman" w:hAnsi="Arial" w:cs="Arial"/>
          <w:b/>
          <w:bCs/>
          <w:color w:val="000000"/>
          <w:lang w:val="en-US"/>
        </w:rPr>
        <w:t xml:space="preserve"> | Description of participating studies. </w:t>
      </w:r>
      <w:r w:rsidRPr="00E8396C">
        <w:rPr>
          <w:rFonts w:ascii="Arial" w:eastAsia="Times New Roman" w:hAnsi="Arial" w:cs="Arial"/>
          <w:bCs/>
          <w:color w:val="000000"/>
          <w:lang w:val="en-US"/>
        </w:rPr>
        <w:t>Shown are details from the phenotype distribution across all studies from the Rapid3 and CKDi25 GWAs.</w:t>
      </w:r>
    </w:p>
    <w:tbl>
      <w:tblPr>
        <w:tblW w:w="15203" w:type="dxa"/>
        <w:jc w:val="center"/>
        <w:tblLayout w:type="fixed"/>
        <w:tblLook w:val="04A0" w:firstRow="1" w:lastRow="0" w:firstColumn="1" w:lastColumn="0" w:noHBand="0" w:noVBand="1"/>
      </w:tblPr>
      <w:tblGrid>
        <w:gridCol w:w="1278"/>
        <w:gridCol w:w="849"/>
        <w:gridCol w:w="1132"/>
        <w:gridCol w:w="851"/>
        <w:gridCol w:w="1134"/>
        <w:gridCol w:w="992"/>
        <w:gridCol w:w="1135"/>
        <w:gridCol w:w="1276"/>
        <w:gridCol w:w="1092"/>
        <w:gridCol w:w="1093"/>
        <w:gridCol w:w="1093"/>
        <w:gridCol w:w="1092"/>
        <w:gridCol w:w="1093"/>
        <w:gridCol w:w="1093"/>
      </w:tblGrid>
      <w:tr w:rsidR="008D6DF4" w14:paraId="347C0702" w14:textId="77777777" w:rsidTr="00FA0460">
        <w:trPr>
          <w:trHeight w:val="510"/>
          <w:jc w:val="center"/>
        </w:trPr>
        <w:tc>
          <w:tcPr>
            <w:tcW w:w="1278" w:type="dxa"/>
            <w:tcBorders>
              <w:top w:val="single" w:sz="4" w:space="0" w:color="auto"/>
              <w:bottom w:val="single" w:sz="4" w:space="0" w:color="auto"/>
            </w:tcBorders>
            <w:shd w:val="clear" w:color="auto" w:fill="BDD6EE" w:themeFill="accent1" w:themeFillTint="66"/>
            <w:noWrap/>
            <w:vAlign w:val="bottom"/>
            <w:hideMark/>
          </w:tcPr>
          <w:p w14:paraId="1A1C4879" w14:textId="0AB0F7AA" w:rsidR="008D6DF4" w:rsidRDefault="007C1EBA" w:rsidP="00FA0460">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w:t>
            </w:r>
            <w:r w:rsidR="008C28AF">
              <w:rPr>
                <w:rFonts w:ascii="Arial" w:eastAsia="Times New Roman" w:hAnsi="Arial" w:cs="Arial"/>
                <w:b/>
                <w:bCs/>
                <w:color w:val="000000"/>
                <w:sz w:val="20"/>
                <w:szCs w:val="20"/>
                <w:lang w:val="en-US"/>
              </w:rPr>
              <w:t xml:space="preserve"> short name</w:t>
            </w:r>
          </w:p>
        </w:tc>
        <w:tc>
          <w:tcPr>
            <w:tcW w:w="849" w:type="dxa"/>
            <w:tcBorders>
              <w:top w:val="single" w:sz="4" w:space="0" w:color="auto"/>
              <w:bottom w:val="single" w:sz="4" w:space="0" w:color="auto"/>
            </w:tcBorders>
            <w:shd w:val="clear" w:color="auto" w:fill="BDD6EE" w:themeFill="accent1" w:themeFillTint="66"/>
            <w:vAlign w:val="bottom"/>
          </w:tcPr>
          <w:p w14:paraId="4A14FBEF" w14:textId="77777777" w:rsidR="008D6DF4" w:rsidRDefault="007C1EBA" w:rsidP="00FA0460">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Sub</w:t>
            </w:r>
          </w:p>
          <w:p w14:paraId="2211DF96" w14:textId="77777777" w:rsidR="008D6DF4" w:rsidRDefault="007C1EBA" w:rsidP="00FA0460">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group</w:t>
            </w:r>
          </w:p>
        </w:tc>
        <w:tc>
          <w:tcPr>
            <w:tcW w:w="1132" w:type="dxa"/>
            <w:tcBorders>
              <w:top w:val="single" w:sz="4" w:space="0" w:color="auto"/>
              <w:bottom w:val="single" w:sz="4" w:space="0" w:color="auto"/>
            </w:tcBorders>
            <w:shd w:val="clear" w:color="auto" w:fill="BDD6EE" w:themeFill="accent1" w:themeFillTint="66"/>
            <w:vAlign w:val="bottom"/>
          </w:tcPr>
          <w:p w14:paraId="22BB3637" w14:textId="77777777" w:rsidR="008D6DF4" w:rsidRDefault="007C1EBA" w:rsidP="00FA0460">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Ancestry</w:t>
            </w:r>
          </w:p>
        </w:tc>
        <w:tc>
          <w:tcPr>
            <w:tcW w:w="851" w:type="dxa"/>
            <w:tcBorders>
              <w:top w:val="single" w:sz="4" w:space="0" w:color="auto"/>
              <w:bottom w:val="single" w:sz="4" w:space="0" w:color="auto"/>
            </w:tcBorders>
            <w:shd w:val="clear" w:color="auto" w:fill="BDD6EE" w:themeFill="accent1" w:themeFillTint="66"/>
            <w:vAlign w:val="bottom"/>
          </w:tcPr>
          <w:p w14:paraId="031BA2B8" w14:textId="77777777" w:rsidR="008D6DF4" w:rsidRDefault="007C1EBA" w:rsidP="00FA0460">
            <w:pPr>
              <w:spacing w:after="0" w:line="240" w:lineRule="auto"/>
              <w:jc w:val="right"/>
              <w:rPr>
                <w:rFonts w:ascii="Arial" w:hAnsi="Arial" w:cs="Arial"/>
                <w:b/>
                <w:bCs/>
                <w:color w:val="000000"/>
                <w:sz w:val="20"/>
                <w:szCs w:val="20"/>
              </w:rPr>
            </w:pPr>
            <w:r>
              <w:rPr>
                <w:rFonts w:ascii="Arial" w:hAnsi="Arial" w:cs="Arial"/>
                <w:b/>
                <w:bCs/>
                <w:color w:val="000000"/>
                <w:sz w:val="20"/>
                <w:szCs w:val="20"/>
              </w:rPr>
              <w:t>Male (%)</w:t>
            </w:r>
          </w:p>
        </w:tc>
        <w:tc>
          <w:tcPr>
            <w:tcW w:w="1134" w:type="dxa"/>
            <w:tcBorders>
              <w:top w:val="single" w:sz="4" w:space="0" w:color="auto"/>
              <w:bottom w:val="single" w:sz="4" w:space="0" w:color="auto"/>
            </w:tcBorders>
            <w:shd w:val="clear" w:color="auto" w:fill="BDD6EE" w:themeFill="accent1" w:themeFillTint="66"/>
            <w:vAlign w:val="bottom"/>
          </w:tcPr>
          <w:p w14:paraId="563E0BF0" w14:textId="77777777" w:rsidR="008D6DF4" w:rsidRDefault="007C1EBA" w:rsidP="00FA0460">
            <w:pPr>
              <w:spacing w:after="0" w:line="240" w:lineRule="auto"/>
              <w:jc w:val="right"/>
              <w:rPr>
                <w:rFonts w:ascii="Arial" w:hAnsi="Arial" w:cs="Arial"/>
                <w:b/>
                <w:bCs/>
                <w:color w:val="000000"/>
                <w:sz w:val="20"/>
                <w:szCs w:val="20"/>
              </w:rPr>
            </w:pPr>
            <w:r>
              <w:rPr>
                <w:rFonts w:ascii="Arial" w:hAnsi="Arial" w:cs="Arial"/>
                <w:b/>
                <w:bCs/>
                <w:color w:val="000000"/>
                <w:sz w:val="20"/>
                <w:szCs w:val="20"/>
              </w:rPr>
              <w:t>Diabetes (%)</w:t>
            </w:r>
          </w:p>
        </w:tc>
        <w:tc>
          <w:tcPr>
            <w:tcW w:w="992" w:type="dxa"/>
            <w:tcBorders>
              <w:top w:val="single" w:sz="4" w:space="0" w:color="auto"/>
              <w:bottom w:val="single" w:sz="4" w:space="0" w:color="auto"/>
            </w:tcBorders>
            <w:shd w:val="clear" w:color="auto" w:fill="BDD6EE" w:themeFill="accent1" w:themeFillTint="66"/>
            <w:vAlign w:val="bottom"/>
          </w:tcPr>
          <w:p w14:paraId="255CDEA4" w14:textId="77777777" w:rsidR="008D6DF4" w:rsidRDefault="007C1EBA" w:rsidP="00FA0460">
            <w:pPr>
              <w:spacing w:after="0" w:line="240" w:lineRule="auto"/>
              <w:jc w:val="right"/>
              <w:rPr>
                <w:rFonts w:ascii="Arial" w:hAnsi="Arial" w:cs="Arial"/>
                <w:b/>
                <w:bCs/>
                <w:color w:val="000000"/>
                <w:sz w:val="20"/>
                <w:szCs w:val="20"/>
              </w:rPr>
            </w:pPr>
            <w:r>
              <w:rPr>
                <w:rFonts w:ascii="Arial" w:hAnsi="Arial" w:cs="Arial"/>
                <w:b/>
                <w:bCs/>
                <w:color w:val="000000"/>
                <w:sz w:val="20"/>
                <w:szCs w:val="20"/>
              </w:rPr>
              <w:t>Age median [years]</w:t>
            </w:r>
          </w:p>
        </w:tc>
        <w:tc>
          <w:tcPr>
            <w:tcW w:w="1135" w:type="dxa"/>
            <w:tcBorders>
              <w:top w:val="single" w:sz="4" w:space="0" w:color="auto"/>
              <w:bottom w:val="single" w:sz="4" w:space="0" w:color="auto"/>
            </w:tcBorders>
            <w:shd w:val="clear" w:color="auto" w:fill="BDD6EE" w:themeFill="accent1" w:themeFillTint="66"/>
            <w:vAlign w:val="bottom"/>
            <w:hideMark/>
          </w:tcPr>
          <w:p w14:paraId="76D60BFF" w14:textId="3D09B87F"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Baseline eGFR</w:t>
            </w:r>
            <w:r w:rsidR="00291506">
              <w:rPr>
                <w:rFonts w:ascii="Arial" w:eastAsia="Times New Roman" w:hAnsi="Arial" w:cs="Arial"/>
                <w:b/>
                <w:bCs/>
                <w:color w:val="000000"/>
                <w:sz w:val="20"/>
                <w:szCs w:val="20"/>
                <w:lang w:val="en-US"/>
              </w:rPr>
              <w:br/>
              <w:t>mean</w:t>
            </w:r>
            <w:r>
              <w:rPr>
                <w:rFonts w:ascii="Arial" w:eastAsia="Times New Roman" w:hAnsi="Arial" w:cs="Arial"/>
                <w:b/>
                <w:bCs/>
                <w:color w:val="000000"/>
                <w:sz w:val="20"/>
                <w:szCs w:val="20"/>
                <w:lang w:val="en-US"/>
              </w:rPr>
              <w:t xml:space="preserve"> [ml/min/ 1.73m</w:t>
            </w:r>
            <w:r w:rsidRPr="00B45027">
              <w:rPr>
                <w:rFonts w:ascii="Arial" w:eastAsia="Times New Roman" w:hAnsi="Arial" w:cs="Arial"/>
                <w:b/>
                <w:bCs/>
                <w:color w:val="000000"/>
                <w:sz w:val="20"/>
                <w:szCs w:val="20"/>
                <w:vertAlign w:val="superscript"/>
                <w:lang w:val="en-US"/>
              </w:rPr>
              <w:t>2</w:t>
            </w:r>
            <w:r>
              <w:rPr>
                <w:rFonts w:ascii="Arial" w:eastAsia="Times New Roman" w:hAnsi="Arial" w:cs="Arial"/>
                <w:b/>
                <w:bCs/>
                <w:color w:val="000000"/>
                <w:sz w:val="20"/>
                <w:szCs w:val="20"/>
                <w:lang w:val="en-US"/>
              </w:rPr>
              <w:t>]</w:t>
            </w:r>
          </w:p>
        </w:tc>
        <w:tc>
          <w:tcPr>
            <w:tcW w:w="1276" w:type="dxa"/>
            <w:tcBorders>
              <w:top w:val="single" w:sz="4" w:space="0" w:color="auto"/>
              <w:bottom w:val="single" w:sz="4" w:space="0" w:color="auto"/>
            </w:tcBorders>
            <w:shd w:val="clear" w:color="auto" w:fill="BDD6EE" w:themeFill="accent1" w:themeFillTint="66"/>
            <w:vAlign w:val="bottom"/>
            <w:hideMark/>
          </w:tcPr>
          <w:p w14:paraId="0C972E5A" w14:textId="77777777" w:rsidR="008D6DF4" w:rsidRDefault="007C1EBA" w:rsidP="00FA0460">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Follow-up time [years]</w:t>
            </w:r>
          </w:p>
        </w:tc>
        <w:tc>
          <w:tcPr>
            <w:tcW w:w="1092" w:type="dxa"/>
            <w:tcBorders>
              <w:top w:val="single" w:sz="4" w:space="0" w:color="auto"/>
              <w:bottom w:val="single" w:sz="4" w:space="0" w:color="auto"/>
            </w:tcBorders>
            <w:shd w:val="clear" w:color="auto" w:fill="BDD6EE" w:themeFill="accent1" w:themeFillTint="66"/>
            <w:vAlign w:val="bottom"/>
            <w:hideMark/>
          </w:tcPr>
          <w:p w14:paraId="1ED9D7CA"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N </w:t>
            </w:r>
          </w:p>
          <w:p w14:paraId="2638107D"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cases</w:t>
            </w:r>
            <w:r>
              <w:rPr>
                <w:rFonts w:ascii="Arial" w:eastAsia="Times New Roman" w:hAnsi="Arial" w:cs="Arial"/>
                <w:b/>
                <w:bCs/>
                <w:color w:val="000000"/>
                <w:sz w:val="20"/>
                <w:szCs w:val="20"/>
                <w:lang w:val="en-US"/>
              </w:rPr>
              <w:br/>
              <w:t>Rapid3</w:t>
            </w:r>
          </w:p>
        </w:tc>
        <w:tc>
          <w:tcPr>
            <w:tcW w:w="1093" w:type="dxa"/>
            <w:tcBorders>
              <w:top w:val="single" w:sz="4" w:space="0" w:color="auto"/>
              <w:bottom w:val="single" w:sz="4" w:space="0" w:color="auto"/>
            </w:tcBorders>
            <w:shd w:val="clear" w:color="auto" w:fill="BDD6EE" w:themeFill="accent1" w:themeFillTint="66"/>
            <w:vAlign w:val="bottom"/>
            <w:hideMark/>
          </w:tcPr>
          <w:p w14:paraId="4FDD566A"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 controls</w:t>
            </w:r>
            <w:r>
              <w:rPr>
                <w:rFonts w:ascii="Arial" w:eastAsia="Times New Roman" w:hAnsi="Arial" w:cs="Arial"/>
                <w:b/>
                <w:bCs/>
                <w:color w:val="000000"/>
                <w:sz w:val="20"/>
                <w:szCs w:val="20"/>
                <w:lang w:val="en-US"/>
              </w:rPr>
              <w:br/>
              <w:t>Rapid3</w:t>
            </w:r>
          </w:p>
        </w:tc>
        <w:tc>
          <w:tcPr>
            <w:tcW w:w="1093" w:type="dxa"/>
            <w:tcBorders>
              <w:top w:val="single" w:sz="4" w:space="0" w:color="auto"/>
              <w:bottom w:val="single" w:sz="4" w:space="0" w:color="auto"/>
            </w:tcBorders>
            <w:shd w:val="clear" w:color="auto" w:fill="BDD6EE" w:themeFill="accent1" w:themeFillTint="66"/>
            <w:vAlign w:val="bottom"/>
            <w:hideMark/>
          </w:tcPr>
          <w:p w14:paraId="7948F386"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of cases</w:t>
            </w:r>
            <w:r>
              <w:rPr>
                <w:rFonts w:ascii="Arial" w:eastAsia="Times New Roman" w:hAnsi="Arial" w:cs="Arial"/>
                <w:b/>
                <w:bCs/>
                <w:color w:val="000000"/>
                <w:sz w:val="20"/>
                <w:szCs w:val="20"/>
                <w:lang w:val="en-US"/>
              </w:rPr>
              <w:br/>
              <w:t>Rapid3</w:t>
            </w:r>
          </w:p>
        </w:tc>
        <w:tc>
          <w:tcPr>
            <w:tcW w:w="1092" w:type="dxa"/>
            <w:tcBorders>
              <w:top w:val="single" w:sz="4" w:space="0" w:color="auto"/>
              <w:bottom w:val="single" w:sz="4" w:space="0" w:color="auto"/>
            </w:tcBorders>
            <w:shd w:val="clear" w:color="auto" w:fill="BDD6EE" w:themeFill="accent1" w:themeFillTint="66"/>
            <w:vAlign w:val="bottom"/>
            <w:hideMark/>
          </w:tcPr>
          <w:p w14:paraId="7EB365C5"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N </w:t>
            </w:r>
          </w:p>
          <w:p w14:paraId="43542DC7"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cases</w:t>
            </w:r>
            <w:r>
              <w:rPr>
                <w:rFonts w:ascii="Arial" w:eastAsia="Times New Roman" w:hAnsi="Arial" w:cs="Arial"/>
                <w:b/>
                <w:bCs/>
                <w:color w:val="000000"/>
                <w:sz w:val="20"/>
                <w:szCs w:val="20"/>
                <w:lang w:val="en-US"/>
              </w:rPr>
              <w:br/>
              <w:t>CKDi25</w:t>
            </w:r>
          </w:p>
        </w:tc>
        <w:tc>
          <w:tcPr>
            <w:tcW w:w="1093" w:type="dxa"/>
            <w:tcBorders>
              <w:top w:val="single" w:sz="4" w:space="0" w:color="auto"/>
              <w:bottom w:val="single" w:sz="4" w:space="0" w:color="auto"/>
            </w:tcBorders>
            <w:shd w:val="clear" w:color="auto" w:fill="BDD6EE" w:themeFill="accent1" w:themeFillTint="66"/>
            <w:vAlign w:val="bottom"/>
            <w:hideMark/>
          </w:tcPr>
          <w:p w14:paraId="0F6D04D6"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 controls</w:t>
            </w:r>
            <w:r>
              <w:rPr>
                <w:rFonts w:ascii="Arial" w:eastAsia="Times New Roman" w:hAnsi="Arial" w:cs="Arial"/>
                <w:b/>
                <w:bCs/>
                <w:color w:val="000000"/>
                <w:sz w:val="20"/>
                <w:szCs w:val="20"/>
                <w:lang w:val="en-US"/>
              </w:rPr>
              <w:br/>
              <w:t>CKDi25</w:t>
            </w:r>
          </w:p>
        </w:tc>
        <w:tc>
          <w:tcPr>
            <w:tcW w:w="1093" w:type="dxa"/>
            <w:tcBorders>
              <w:top w:val="single" w:sz="4" w:space="0" w:color="auto"/>
              <w:bottom w:val="single" w:sz="4" w:space="0" w:color="auto"/>
            </w:tcBorders>
            <w:shd w:val="clear" w:color="auto" w:fill="BDD6EE" w:themeFill="accent1" w:themeFillTint="66"/>
            <w:vAlign w:val="bottom"/>
            <w:hideMark/>
          </w:tcPr>
          <w:p w14:paraId="645F3B8A" w14:textId="77777777" w:rsidR="008D6DF4" w:rsidRDefault="007C1EBA" w:rsidP="00FA0460">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of cases</w:t>
            </w:r>
            <w:r>
              <w:rPr>
                <w:rFonts w:ascii="Arial" w:eastAsia="Times New Roman" w:hAnsi="Arial" w:cs="Arial"/>
                <w:b/>
                <w:bCs/>
                <w:color w:val="000000"/>
                <w:sz w:val="20"/>
                <w:szCs w:val="20"/>
                <w:lang w:val="en-US"/>
              </w:rPr>
              <w:br/>
              <w:t>CKDi25</w:t>
            </w:r>
          </w:p>
        </w:tc>
      </w:tr>
      <w:tr w:rsidR="008D6DF4" w:rsidRPr="00E8396C" w14:paraId="7C9414AB" w14:textId="77777777" w:rsidTr="00E8396C">
        <w:trPr>
          <w:jc w:val="center"/>
        </w:trPr>
        <w:tc>
          <w:tcPr>
            <w:tcW w:w="1278" w:type="dxa"/>
            <w:vMerge w:val="restart"/>
            <w:tcBorders>
              <w:top w:val="single" w:sz="4" w:space="0" w:color="auto"/>
            </w:tcBorders>
            <w:shd w:val="clear" w:color="auto" w:fill="D9D9D9" w:themeFill="background1" w:themeFillShade="D9"/>
            <w:vAlign w:val="center"/>
            <w:hideMark/>
          </w:tcPr>
          <w:p w14:paraId="1525A475"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ADVANCE</w:t>
            </w:r>
          </w:p>
        </w:tc>
        <w:tc>
          <w:tcPr>
            <w:tcW w:w="849" w:type="dxa"/>
            <w:tcBorders>
              <w:top w:val="single" w:sz="4" w:space="0" w:color="auto"/>
            </w:tcBorders>
            <w:shd w:val="clear" w:color="auto" w:fill="D9D9D9" w:themeFill="background1" w:themeFillShade="D9"/>
            <w:vAlign w:val="center"/>
          </w:tcPr>
          <w:p w14:paraId="6022CFFA"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w:t>
            </w:r>
          </w:p>
        </w:tc>
        <w:tc>
          <w:tcPr>
            <w:tcW w:w="1132" w:type="dxa"/>
            <w:tcBorders>
              <w:top w:val="single" w:sz="4" w:space="0" w:color="auto"/>
            </w:tcBorders>
            <w:shd w:val="clear" w:color="auto" w:fill="D9D9D9" w:themeFill="background1" w:themeFillShade="D9"/>
            <w:vAlign w:val="center"/>
          </w:tcPr>
          <w:p w14:paraId="3291A1DB" w14:textId="496A1878"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w:t>
            </w:r>
            <w:r w:rsidR="00291506" w:rsidRPr="00E8396C">
              <w:rPr>
                <w:rFonts w:ascii="Arial" w:eastAsia="Times New Roman" w:hAnsi="Arial" w:cs="Arial"/>
                <w:color w:val="000000"/>
                <w:sz w:val="20"/>
                <w:szCs w:val="20"/>
                <w:lang w:val="en-US"/>
              </w:rPr>
              <w:t>UR</w:t>
            </w:r>
          </w:p>
        </w:tc>
        <w:tc>
          <w:tcPr>
            <w:tcW w:w="851" w:type="dxa"/>
            <w:tcBorders>
              <w:top w:val="single" w:sz="4" w:space="0" w:color="auto"/>
            </w:tcBorders>
            <w:shd w:val="clear" w:color="auto" w:fill="D9D9D9" w:themeFill="background1" w:themeFillShade="D9"/>
            <w:vAlign w:val="center"/>
          </w:tcPr>
          <w:p w14:paraId="17FB27F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70%</w:t>
            </w:r>
          </w:p>
        </w:tc>
        <w:tc>
          <w:tcPr>
            <w:tcW w:w="1134" w:type="dxa"/>
            <w:tcBorders>
              <w:top w:val="single" w:sz="4" w:space="0" w:color="auto"/>
            </w:tcBorders>
            <w:shd w:val="clear" w:color="auto" w:fill="D9D9D9" w:themeFill="background1" w:themeFillShade="D9"/>
            <w:vAlign w:val="center"/>
          </w:tcPr>
          <w:p w14:paraId="19386381"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100%</w:t>
            </w:r>
          </w:p>
        </w:tc>
        <w:tc>
          <w:tcPr>
            <w:tcW w:w="992" w:type="dxa"/>
            <w:tcBorders>
              <w:top w:val="single" w:sz="4" w:space="0" w:color="auto"/>
            </w:tcBorders>
            <w:shd w:val="clear" w:color="auto" w:fill="D9D9D9" w:themeFill="background1" w:themeFillShade="D9"/>
            <w:vAlign w:val="center"/>
          </w:tcPr>
          <w:p w14:paraId="234E179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68</w:t>
            </w:r>
          </w:p>
        </w:tc>
        <w:tc>
          <w:tcPr>
            <w:tcW w:w="1135" w:type="dxa"/>
            <w:tcBorders>
              <w:top w:val="single" w:sz="4" w:space="0" w:color="auto"/>
            </w:tcBorders>
            <w:shd w:val="clear" w:color="auto" w:fill="D9D9D9" w:themeFill="background1" w:themeFillShade="D9"/>
            <w:noWrap/>
            <w:vAlign w:val="center"/>
            <w:hideMark/>
          </w:tcPr>
          <w:p w14:paraId="05ECD461"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72.1</w:t>
            </w:r>
          </w:p>
        </w:tc>
        <w:tc>
          <w:tcPr>
            <w:tcW w:w="1276" w:type="dxa"/>
            <w:tcBorders>
              <w:top w:val="single" w:sz="4" w:space="0" w:color="auto"/>
            </w:tcBorders>
            <w:shd w:val="clear" w:color="auto" w:fill="D9D9D9" w:themeFill="background1" w:themeFillShade="D9"/>
            <w:vAlign w:val="center"/>
            <w:hideMark/>
          </w:tcPr>
          <w:p w14:paraId="699C47C1"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4.35</w:t>
            </w:r>
          </w:p>
        </w:tc>
        <w:tc>
          <w:tcPr>
            <w:tcW w:w="1092" w:type="dxa"/>
            <w:tcBorders>
              <w:top w:val="single" w:sz="4" w:space="0" w:color="auto"/>
            </w:tcBorders>
            <w:shd w:val="clear" w:color="auto" w:fill="D9D9D9" w:themeFill="background1" w:themeFillShade="D9"/>
            <w:noWrap/>
            <w:vAlign w:val="center"/>
            <w:hideMark/>
          </w:tcPr>
          <w:p w14:paraId="2B79B1F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218</w:t>
            </w:r>
          </w:p>
        </w:tc>
        <w:tc>
          <w:tcPr>
            <w:tcW w:w="1093" w:type="dxa"/>
            <w:tcBorders>
              <w:top w:val="single" w:sz="4" w:space="0" w:color="auto"/>
            </w:tcBorders>
            <w:shd w:val="clear" w:color="auto" w:fill="D9D9D9" w:themeFill="background1" w:themeFillShade="D9"/>
            <w:vAlign w:val="center"/>
            <w:hideMark/>
          </w:tcPr>
          <w:p w14:paraId="76AE594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560</w:t>
            </w:r>
          </w:p>
        </w:tc>
        <w:tc>
          <w:tcPr>
            <w:tcW w:w="1093" w:type="dxa"/>
            <w:tcBorders>
              <w:top w:val="single" w:sz="4" w:space="0" w:color="auto"/>
            </w:tcBorders>
            <w:shd w:val="clear" w:color="auto" w:fill="D9D9D9" w:themeFill="background1" w:themeFillShade="D9"/>
            <w:vAlign w:val="center"/>
            <w:hideMark/>
          </w:tcPr>
          <w:p w14:paraId="19A3EA3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0.28</w:t>
            </w:r>
          </w:p>
        </w:tc>
        <w:tc>
          <w:tcPr>
            <w:tcW w:w="1092" w:type="dxa"/>
            <w:tcBorders>
              <w:top w:val="single" w:sz="4" w:space="0" w:color="auto"/>
            </w:tcBorders>
            <w:shd w:val="clear" w:color="auto" w:fill="D9D9D9" w:themeFill="background1" w:themeFillShade="D9"/>
            <w:vAlign w:val="center"/>
            <w:hideMark/>
          </w:tcPr>
          <w:p w14:paraId="405DD9F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tcBorders>
              <w:top w:val="single" w:sz="4" w:space="0" w:color="auto"/>
            </w:tcBorders>
            <w:shd w:val="clear" w:color="auto" w:fill="D9D9D9" w:themeFill="background1" w:themeFillShade="D9"/>
            <w:vAlign w:val="center"/>
            <w:hideMark/>
          </w:tcPr>
          <w:p w14:paraId="6B7E935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tcBorders>
              <w:top w:val="single" w:sz="4" w:space="0" w:color="auto"/>
            </w:tcBorders>
            <w:shd w:val="clear" w:color="auto" w:fill="D9D9D9" w:themeFill="background1" w:themeFillShade="D9"/>
            <w:vAlign w:val="center"/>
            <w:hideMark/>
          </w:tcPr>
          <w:p w14:paraId="71E86C6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41F93836" w14:textId="77777777" w:rsidTr="00E8396C">
        <w:trPr>
          <w:jc w:val="center"/>
        </w:trPr>
        <w:tc>
          <w:tcPr>
            <w:tcW w:w="1278" w:type="dxa"/>
            <w:vMerge/>
            <w:shd w:val="clear" w:color="auto" w:fill="D9D9D9" w:themeFill="background1" w:themeFillShade="D9"/>
            <w:vAlign w:val="center"/>
            <w:hideMark/>
          </w:tcPr>
          <w:p w14:paraId="57E9CF31"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3FBE7A5F"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w:t>
            </w:r>
          </w:p>
        </w:tc>
        <w:tc>
          <w:tcPr>
            <w:tcW w:w="1132" w:type="dxa"/>
            <w:shd w:val="clear" w:color="auto" w:fill="D9D9D9" w:themeFill="background1" w:themeFillShade="D9"/>
            <w:vAlign w:val="center"/>
          </w:tcPr>
          <w:p w14:paraId="096953C0" w14:textId="124F4881"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w:t>
            </w:r>
            <w:r w:rsidR="00291506" w:rsidRPr="00E8396C">
              <w:rPr>
                <w:rFonts w:ascii="Arial" w:eastAsia="Times New Roman" w:hAnsi="Arial" w:cs="Arial"/>
                <w:color w:val="000000"/>
                <w:sz w:val="20"/>
                <w:szCs w:val="20"/>
                <w:lang w:val="en-US"/>
              </w:rPr>
              <w:t>UR</w:t>
            </w:r>
          </w:p>
        </w:tc>
        <w:tc>
          <w:tcPr>
            <w:tcW w:w="851" w:type="dxa"/>
            <w:shd w:val="clear" w:color="auto" w:fill="D9D9D9" w:themeFill="background1" w:themeFillShade="D9"/>
            <w:vAlign w:val="center"/>
          </w:tcPr>
          <w:p w14:paraId="28BE99E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62%</w:t>
            </w:r>
          </w:p>
        </w:tc>
        <w:tc>
          <w:tcPr>
            <w:tcW w:w="1134" w:type="dxa"/>
            <w:shd w:val="clear" w:color="auto" w:fill="D9D9D9" w:themeFill="background1" w:themeFillShade="D9"/>
            <w:vAlign w:val="center"/>
          </w:tcPr>
          <w:p w14:paraId="33242D9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100%</w:t>
            </w:r>
          </w:p>
        </w:tc>
        <w:tc>
          <w:tcPr>
            <w:tcW w:w="992" w:type="dxa"/>
            <w:shd w:val="clear" w:color="auto" w:fill="D9D9D9" w:themeFill="background1" w:themeFillShade="D9"/>
            <w:vAlign w:val="center"/>
          </w:tcPr>
          <w:p w14:paraId="0DF66D9A"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68</w:t>
            </w:r>
          </w:p>
        </w:tc>
        <w:tc>
          <w:tcPr>
            <w:tcW w:w="1135" w:type="dxa"/>
            <w:shd w:val="clear" w:color="auto" w:fill="D9D9D9" w:themeFill="background1" w:themeFillShade="D9"/>
            <w:noWrap/>
            <w:vAlign w:val="center"/>
            <w:hideMark/>
          </w:tcPr>
          <w:p w14:paraId="41D75BB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72.1</w:t>
            </w:r>
          </w:p>
        </w:tc>
        <w:tc>
          <w:tcPr>
            <w:tcW w:w="1276" w:type="dxa"/>
            <w:shd w:val="clear" w:color="auto" w:fill="D9D9D9" w:themeFill="background1" w:themeFillShade="D9"/>
            <w:vAlign w:val="center"/>
            <w:hideMark/>
          </w:tcPr>
          <w:p w14:paraId="7DE5C90D"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4.35</w:t>
            </w:r>
          </w:p>
        </w:tc>
        <w:tc>
          <w:tcPr>
            <w:tcW w:w="1092" w:type="dxa"/>
            <w:shd w:val="clear" w:color="auto" w:fill="D9D9D9" w:themeFill="background1" w:themeFillShade="D9"/>
            <w:noWrap/>
            <w:vAlign w:val="center"/>
            <w:hideMark/>
          </w:tcPr>
          <w:p w14:paraId="735EEE8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598</w:t>
            </w:r>
          </w:p>
        </w:tc>
        <w:tc>
          <w:tcPr>
            <w:tcW w:w="1093" w:type="dxa"/>
            <w:shd w:val="clear" w:color="auto" w:fill="D9D9D9" w:themeFill="background1" w:themeFillShade="D9"/>
            <w:vAlign w:val="center"/>
            <w:hideMark/>
          </w:tcPr>
          <w:p w14:paraId="1BF2C11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1,630</w:t>
            </w:r>
          </w:p>
        </w:tc>
        <w:tc>
          <w:tcPr>
            <w:tcW w:w="1093" w:type="dxa"/>
            <w:shd w:val="clear" w:color="auto" w:fill="D9D9D9" w:themeFill="background1" w:themeFillShade="D9"/>
            <w:vAlign w:val="center"/>
            <w:hideMark/>
          </w:tcPr>
          <w:p w14:paraId="4AE63A7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0.27</w:t>
            </w:r>
          </w:p>
        </w:tc>
        <w:tc>
          <w:tcPr>
            <w:tcW w:w="1092" w:type="dxa"/>
            <w:shd w:val="clear" w:color="auto" w:fill="D9D9D9" w:themeFill="background1" w:themeFillShade="D9"/>
            <w:vAlign w:val="center"/>
            <w:hideMark/>
          </w:tcPr>
          <w:p w14:paraId="7D5CC58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267</w:t>
            </w:r>
          </w:p>
        </w:tc>
        <w:tc>
          <w:tcPr>
            <w:tcW w:w="1093" w:type="dxa"/>
            <w:shd w:val="clear" w:color="auto" w:fill="D9D9D9" w:themeFill="background1" w:themeFillShade="D9"/>
            <w:vAlign w:val="center"/>
            <w:hideMark/>
          </w:tcPr>
          <w:p w14:paraId="6B12F35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1,349</w:t>
            </w:r>
          </w:p>
        </w:tc>
        <w:tc>
          <w:tcPr>
            <w:tcW w:w="1093" w:type="dxa"/>
            <w:shd w:val="clear" w:color="auto" w:fill="D9D9D9" w:themeFill="background1" w:themeFillShade="D9"/>
            <w:vAlign w:val="center"/>
            <w:hideMark/>
          </w:tcPr>
          <w:p w14:paraId="510EDB2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0.17</w:t>
            </w:r>
          </w:p>
        </w:tc>
      </w:tr>
      <w:tr w:rsidR="008D6DF4" w:rsidRPr="00E8396C" w14:paraId="23D67A90" w14:textId="77777777" w:rsidTr="00E8396C">
        <w:trPr>
          <w:jc w:val="center"/>
        </w:trPr>
        <w:tc>
          <w:tcPr>
            <w:tcW w:w="1278" w:type="dxa"/>
            <w:vMerge/>
            <w:shd w:val="clear" w:color="auto" w:fill="D9D9D9" w:themeFill="background1" w:themeFillShade="D9"/>
            <w:vAlign w:val="center"/>
            <w:hideMark/>
          </w:tcPr>
          <w:p w14:paraId="10EE4470"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1FC447D8"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UKB</w:t>
            </w:r>
          </w:p>
        </w:tc>
        <w:tc>
          <w:tcPr>
            <w:tcW w:w="1132" w:type="dxa"/>
            <w:shd w:val="clear" w:color="auto" w:fill="D9D9D9" w:themeFill="background1" w:themeFillShade="D9"/>
            <w:vAlign w:val="center"/>
          </w:tcPr>
          <w:p w14:paraId="4804E410" w14:textId="3E899E05"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7EAE154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59%</w:t>
            </w:r>
          </w:p>
        </w:tc>
        <w:tc>
          <w:tcPr>
            <w:tcW w:w="1134" w:type="dxa"/>
            <w:shd w:val="clear" w:color="auto" w:fill="D9D9D9" w:themeFill="background1" w:themeFillShade="D9"/>
            <w:vAlign w:val="center"/>
          </w:tcPr>
          <w:p w14:paraId="7773FC7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100%</w:t>
            </w:r>
          </w:p>
        </w:tc>
        <w:tc>
          <w:tcPr>
            <w:tcW w:w="992" w:type="dxa"/>
            <w:shd w:val="clear" w:color="auto" w:fill="D9D9D9" w:themeFill="background1" w:themeFillShade="D9"/>
            <w:vAlign w:val="center"/>
          </w:tcPr>
          <w:p w14:paraId="37AA5F9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68</w:t>
            </w:r>
          </w:p>
        </w:tc>
        <w:tc>
          <w:tcPr>
            <w:tcW w:w="1135" w:type="dxa"/>
            <w:shd w:val="clear" w:color="auto" w:fill="D9D9D9" w:themeFill="background1" w:themeFillShade="D9"/>
            <w:noWrap/>
            <w:vAlign w:val="center"/>
            <w:hideMark/>
          </w:tcPr>
          <w:p w14:paraId="1E21FA6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72.1</w:t>
            </w:r>
          </w:p>
        </w:tc>
        <w:tc>
          <w:tcPr>
            <w:tcW w:w="1276" w:type="dxa"/>
            <w:shd w:val="clear" w:color="auto" w:fill="D9D9D9" w:themeFill="background1" w:themeFillShade="D9"/>
            <w:vAlign w:val="center"/>
            <w:hideMark/>
          </w:tcPr>
          <w:p w14:paraId="188FED07"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4.35</w:t>
            </w:r>
          </w:p>
        </w:tc>
        <w:tc>
          <w:tcPr>
            <w:tcW w:w="1092" w:type="dxa"/>
            <w:shd w:val="clear" w:color="auto" w:fill="D9D9D9" w:themeFill="background1" w:themeFillShade="D9"/>
            <w:noWrap/>
            <w:vAlign w:val="center"/>
            <w:hideMark/>
          </w:tcPr>
          <w:p w14:paraId="6484F471"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337</w:t>
            </w:r>
          </w:p>
        </w:tc>
        <w:tc>
          <w:tcPr>
            <w:tcW w:w="1093" w:type="dxa"/>
            <w:shd w:val="clear" w:color="auto" w:fill="D9D9D9" w:themeFill="background1" w:themeFillShade="D9"/>
            <w:vAlign w:val="center"/>
            <w:hideMark/>
          </w:tcPr>
          <w:p w14:paraId="5BA2772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755</w:t>
            </w:r>
          </w:p>
        </w:tc>
        <w:tc>
          <w:tcPr>
            <w:tcW w:w="1093" w:type="dxa"/>
            <w:shd w:val="clear" w:color="auto" w:fill="D9D9D9" w:themeFill="background1" w:themeFillShade="D9"/>
            <w:vAlign w:val="center"/>
            <w:hideMark/>
          </w:tcPr>
          <w:p w14:paraId="02C206C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0.31</w:t>
            </w:r>
          </w:p>
        </w:tc>
        <w:tc>
          <w:tcPr>
            <w:tcW w:w="1092" w:type="dxa"/>
            <w:shd w:val="clear" w:color="auto" w:fill="D9D9D9" w:themeFill="background1" w:themeFillShade="D9"/>
            <w:vAlign w:val="center"/>
            <w:hideMark/>
          </w:tcPr>
          <w:p w14:paraId="688B0AE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160</w:t>
            </w:r>
          </w:p>
        </w:tc>
        <w:tc>
          <w:tcPr>
            <w:tcW w:w="1093" w:type="dxa"/>
            <w:shd w:val="clear" w:color="auto" w:fill="D9D9D9" w:themeFill="background1" w:themeFillShade="D9"/>
            <w:vAlign w:val="center"/>
            <w:hideMark/>
          </w:tcPr>
          <w:p w14:paraId="392E67D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513</w:t>
            </w:r>
          </w:p>
        </w:tc>
        <w:tc>
          <w:tcPr>
            <w:tcW w:w="1093" w:type="dxa"/>
            <w:shd w:val="clear" w:color="auto" w:fill="D9D9D9" w:themeFill="background1" w:themeFillShade="D9"/>
            <w:vAlign w:val="center"/>
            <w:hideMark/>
          </w:tcPr>
          <w:p w14:paraId="4452496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0.24</w:t>
            </w:r>
          </w:p>
        </w:tc>
      </w:tr>
      <w:tr w:rsidR="008D6DF4" w:rsidRPr="00E8396C" w14:paraId="62CE066A" w14:textId="77777777" w:rsidTr="00E8396C">
        <w:trPr>
          <w:jc w:val="center"/>
        </w:trPr>
        <w:tc>
          <w:tcPr>
            <w:tcW w:w="1278" w:type="dxa"/>
            <w:shd w:val="clear" w:color="auto" w:fill="auto"/>
            <w:vAlign w:val="center"/>
            <w:hideMark/>
          </w:tcPr>
          <w:p w14:paraId="7628BC1A"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AFTER EU</w:t>
            </w:r>
          </w:p>
        </w:tc>
        <w:tc>
          <w:tcPr>
            <w:tcW w:w="849" w:type="dxa"/>
            <w:vAlign w:val="center"/>
          </w:tcPr>
          <w:p w14:paraId="13C530D4"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0EEEE067" w14:textId="07B0D687"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7D238969"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57%</w:t>
            </w:r>
          </w:p>
        </w:tc>
        <w:tc>
          <w:tcPr>
            <w:tcW w:w="1134" w:type="dxa"/>
            <w:vAlign w:val="center"/>
          </w:tcPr>
          <w:p w14:paraId="575B719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100%</w:t>
            </w:r>
          </w:p>
        </w:tc>
        <w:tc>
          <w:tcPr>
            <w:tcW w:w="992" w:type="dxa"/>
            <w:vAlign w:val="center"/>
          </w:tcPr>
          <w:p w14:paraId="6A22603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43</w:t>
            </w:r>
          </w:p>
        </w:tc>
        <w:tc>
          <w:tcPr>
            <w:tcW w:w="1135" w:type="dxa"/>
            <w:shd w:val="clear" w:color="auto" w:fill="auto"/>
            <w:noWrap/>
            <w:vAlign w:val="center"/>
            <w:hideMark/>
          </w:tcPr>
          <w:p w14:paraId="43D2D39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84.0</w:t>
            </w:r>
          </w:p>
        </w:tc>
        <w:tc>
          <w:tcPr>
            <w:tcW w:w="1276" w:type="dxa"/>
            <w:shd w:val="clear" w:color="auto" w:fill="auto"/>
            <w:noWrap/>
            <w:vAlign w:val="center"/>
            <w:hideMark/>
          </w:tcPr>
          <w:p w14:paraId="0A0BE9A7"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w:t>
            </w:r>
          </w:p>
        </w:tc>
        <w:tc>
          <w:tcPr>
            <w:tcW w:w="1092" w:type="dxa"/>
            <w:shd w:val="clear" w:color="auto" w:fill="auto"/>
            <w:vAlign w:val="center"/>
            <w:hideMark/>
          </w:tcPr>
          <w:p w14:paraId="060F5C1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vAlign w:val="center"/>
            <w:hideMark/>
          </w:tcPr>
          <w:p w14:paraId="164C056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vAlign w:val="center"/>
            <w:hideMark/>
          </w:tcPr>
          <w:p w14:paraId="7D789C6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2" w:type="dxa"/>
            <w:shd w:val="clear" w:color="auto" w:fill="auto"/>
            <w:noWrap/>
            <w:vAlign w:val="center"/>
            <w:hideMark/>
          </w:tcPr>
          <w:p w14:paraId="1715270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174</w:t>
            </w:r>
          </w:p>
        </w:tc>
        <w:tc>
          <w:tcPr>
            <w:tcW w:w="1093" w:type="dxa"/>
            <w:shd w:val="clear" w:color="auto" w:fill="auto"/>
            <w:noWrap/>
            <w:vAlign w:val="center"/>
            <w:hideMark/>
          </w:tcPr>
          <w:p w14:paraId="218660D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487</w:t>
            </w:r>
          </w:p>
        </w:tc>
        <w:tc>
          <w:tcPr>
            <w:tcW w:w="1093" w:type="dxa"/>
            <w:shd w:val="clear" w:color="auto" w:fill="auto"/>
            <w:noWrap/>
            <w:vAlign w:val="center"/>
            <w:hideMark/>
          </w:tcPr>
          <w:p w14:paraId="3B3E5EF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0.26</w:t>
            </w:r>
          </w:p>
        </w:tc>
      </w:tr>
      <w:tr w:rsidR="008D6DF4" w:rsidRPr="00E8396C" w14:paraId="36911FD8" w14:textId="77777777" w:rsidTr="00E8396C">
        <w:trPr>
          <w:jc w:val="center"/>
        </w:trPr>
        <w:tc>
          <w:tcPr>
            <w:tcW w:w="1278" w:type="dxa"/>
            <w:vMerge w:val="restart"/>
            <w:shd w:val="clear" w:color="auto" w:fill="D9D9D9" w:themeFill="background1" w:themeFillShade="D9"/>
            <w:vAlign w:val="center"/>
            <w:hideMark/>
          </w:tcPr>
          <w:p w14:paraId="14D904CD"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ARIC</w:t>
            </w:r>
          </w:p>
        </w:tc>
        <w:tc>
          <w:tcPr>
            <w:tcW w:w="849" w:type="dxa"/>
            <w:shd w:val="clear" w:color="auto" w:fill="D9D9D9" w:themeFill="background1" w:themeFillShade="D9"/>
            <w:vAlign w:val="center"/>
          </w:tcPr>
          <w:p w14:paraId="6499DC5A"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7DA74527"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AA</w:t>
            </w:r>
          </w:p>
        </w:tc>
        <w:tc>
          <w:tcPr>
            <w:tcW w:w="851" w:type="dxa"/>
            <w:shd w:val="clear" w:color="auto" w:fill="D9D9D9" w:themeFill="background1" w:themeFillShade="D9"/>
            <w:vAlign w:val="center"/>
          </w:tcPr>
          <w:p w14:paraId="1514EEE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37%</w:t>
            </w:r>
          </w:p>
        </w:tc>
        <w:tc>
          <w:tcPr>
            <w:tcW w:w="1134" w:type="dxa"/>
            <w:shd w:val="clear" w:color="auto" w:fill="D9D9D9" w:themeFill="background1" w:themeFillShade="D9"/>
            <w:vAlign w:val="center"/>
          </w:tcPr>
          <w:p w14:paraId="5F1E69B0"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20%</w:t>
            </w:r>
          </w:p>
        </w:tc>
        <w:tc>
          <w:tcPr>
            <w:tcW w:w="992" w:type="dxa"/>
            <w:shd w:val="clear" w:color="auto" w:fill="D9D9D9" w:themeFill="background1" w:themeFillShade="D9"/>
            <w:vAlign w:val="center"/>
          </w:tcPr>
          <w:p w14:paraId="2CC9673F"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53</w:t>
            </w:r>
          </w:p>
        </w:tc>
        <w:tc>
          <w:tcPr>
            <w:tcW w:w="1135" w:type="dxa"/>
            <w:shd w:val="clear" w:color="auto" w:fill="D9D9D9" w:themeFill="background1" w:themeFillShade="D9"/>
            <w:noWrap/>
            <w:vAlign w:val="center"/>
            <w:hideMark/>
          </w:tcPr>
          <w:p w14:paraId="458A9B5A"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111.5</w:t>
            </w:r>
          </w:p>
        </w:tc>
        <w:tc>
          <w:tcPr>
            <w:tcW w:w="1276" w:type="dxa"/>
            <w:shd w:val="clear" w:color="auto" w:fill="D9D9D9" w:themeFill="background1" w:themeFillShade="D9"/>
            <w:noWrap/>
            <w:vAlign w:val="center"/>
            <w:hideMark/>
          </w:tcPr>
          <w:p w14:paraId="71769FC3"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8.38</w:t>
            </w:r>
          </w:p>
        </w:tc>
        <w:tc>
          <w:tcPr>
            <w:tcW w:w="1092" w:type="dxa"/>
            <w:shd w:val="clear" w:color="auto" w:fill="D9D9D9" w:themeFill="background1" w:themeFillShade="D9"/>
            <w:noWrap/>
            <w:vAlign w:val="center"/>
            <w:hideMark/>
          </w:tcPr>
          <w:p w14:paraId="6EDBF46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611</w:t>
            </w:r>
          </w:p>
        </w:tc>
        <w:tc>
          <w:tcPr>
            <w:tcW w:w="1093" w:type="dxa"/>
            <w:shd w:val="clear" w:color="auto" w:fill="D9D9D9" w:themeFill="background1" w:themeFillShade="D9"/>
            <w:noWrap/>
            <w:vAlign w:val="center"/>
            <w:hideMark/>
          </w:tcPr>
          <w:p w14:paraId="073BD0F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348</w:t>
            </w:r>
          </w:p>
        </w:tc>
        <w:tc>
          <w:tcPr>
            <w:tcW w:w="1093" w:type="dxa"/>
            <w:shd w:val="clear" w:color="auto" w:fill="D9D9D9" w:themeFill="background1" w:themeFillShade="D9"/>
            <w:noWrap/>
            <w:vAlign w:val="center"/>
            <w:hideMark/>
          </w:tcPr>
          <w:p w14:paraId="1CCB3F9C"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0.64</w:t>
            </w:r>
          </w:p>
        </w:tc>
        <w:tc>
          <w:tcPr>
            <w:tcW w:w="1092" w:type="dxa"/>
            <w:shd w:val="clear" w:color="auto" w:fill="D9D9D9" w:themeFill="background1" w:themeFillShade="D9"/>
            <w:noWrap/>
            <w:vAlign w:val="center"/>
            <w:hideMark/>
          </w:tcPr>
          <w:p w14:paraId="3C5414E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107</w:t>
            </w:r>
          </w:p>
        </w:tc>
        <w:tc>
          <w:tcPr>
            <w:tcW w:w="1093" w:type="dxa"/>
            <w:shd w:val="clear" w:color="auto" w:fill="D9D9D9" w:themeFill="background1" w:themeFillShade="D9"/>
            <w:noWrap/>
            <w:vAlign w:val="center"/>
            <w:hideMark/>
          </w:tcPr>
          <w:p w14:paraId="00B26B2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1,767</w:t>
            </w:r>
          </w:p>
        </w:tc>
        <w:tc>
          <w:tcPr>
            <w:tcW w:w="1093" w:type="dxa"/>
            <w:shd w:val="clear" w:color="auto" w:fill="D9D9D9" w:themeFill="background1" w:themeFillShade="D9"/>
            <w:noWrap/>
            <w:vAlign w:val="center"/>
            <w:hideMark/>
          </w:tcPr>
          <w:p w14:paraId="57C4DE4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0.06</w:t>
            </w:r>
          </w:p>
        </w:tc>
      </w:tr>
      <w:tr w:rsidR="008D6DF4" w:rsidRPr="00E8396C" w14:paraId="66A1B8BF" w14:textId="77777777" w:rsidTr="00E8396C">
        <w:trPr>
          <w:jc w:val="center"/>
        </w:trPr>
        <w:tc>
          <w:tcPr>
            <w:tcW w:w="1278" w:type="dxa"/>
            <w:vMerge/>
            <w:shd w:val="clear" w:color="auto" w:fill="D9D9D9" w:themeFill="background1" w:themeFillShade="D9"/>
            <w:vAlign w:val="center"/>
            <w:hideMark/>
          </w:tcPr>
          <w:p w14:paraId="787F67AC"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4AB93941"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1132" w:type="dxa"/>
            <w:shd w:val="clear" w:color="auto" w:fill="D9D9D9" w:themeFill="background1" w:themeFillShade="D9"/>
            <w:vAlign w:val="center"/>
          </w:tcPr>
          <w:p w14:paraId="3ED6518C" w14:textId="1CE2093D"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3F034705"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47%</w:t>
            </w:r>
          </w:p>
        </w:tc>
        <w:tc>
          <w:tcPr>
            <w:tcW w:w="1134" w:type="dxa"/>
            <w:shd w:val="clear" w:color="auto" w:fill="D9D9D9" w:themeFill="background1" w:themeFillShade="D9"/>
            <w:vAlign w:val="center"/>
          </w:tcPr>
          <w:p w14:paraId="7BC8588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9%</w:t>
            </w:r>
          </w:p>
        </w:tc>
        <w:tc>
          <w:tcPr>
            <w:tcW w:w="992" w:type="dxa"/>
            <w:shd w:val="clear" w:color="auto" w:fill="D9D9D9" w:themeFill="background1" w:themeFillShade="D9"/>
            <w:vAlign w:val="center"/>
          </w:tcPr>
          <w:p w14:paraId="4FF8A7A7"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55</w:t>
            </w:r>
          </w:p>
        </w:tc>
        <w:tc>
          <w:tcPr>
            <w:tcW w:w="1135" w:type="dxa"/>
            <w:shd w:val="clear" w:color="auto" w:fill="D9D9D9" w:themeFill="background1" w:themeFillShade="D9"/>
            <w:noWrap/>
            <w:vAlign w:val="center"/>
            <w:hideMark/>
          </w:tcPr>
          <w:p w14:paraId="11449A7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99.6</w:t>
            </w:r>
          </w:p>
        </w:tc>
        <w:tc>
          <w:tcPr>
            <w:tcW w:w="1276" w:type="dxa"/>
            <w:shd w:val="clear" w:color="auto" w:fill="D9D9D9" w:themeFill="background1" w:themeFillShade="D9"/>
            <w:noWrap/>
            <w:vAlign w:val="center"/>
            <w:hideMark/>
          </w:tcPr>
          <w:p w14:paraId="0FE7B209"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8.69</w:t>
            </w:r>
          </w:p>
        </w:tc>
        <w:tc>
          <w:tcPr>
            <w:tcW w:w="1092" w:type="dxa"/>
            <w:shd w:val="clear" w:color="auto" w:fill="D9D9D9" w:themeFill="background1" w:themeFillShade="D9"/>
            <w:noWrap/>
            <w:vAlign w:val="center"/>
            <w:hideMark/>
          </w:tcPr>
          <w:p w14:paraId="46A5CA1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970</w:t>
            </w:r>
          </w:p>
        </w:tc>
        <w:tc>
          <w:tcPr>
            <w:tcW w:w="1093" w:type="dxa"/>
            <w:shd w:val="clear" w:color="auto" w:fill="D9D9D9" w:themeFill="background1" w:themeFillShade="D9"/>
            <w:noWrap/>
            <w:vAlign w:val="center"/>
            <w:hideMark/>
          </w:tcPr>
          <w:p w14:paraId="61462DB1"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1,693</w:t>
            </w:r>
          </w:p>
        </w:tc>
        <w:tc>
          <w:tcPr>
            <w:tcW w:w="1093" w:type="dxa"/>
            <w:shd w:val="clear" w:color="auto" w:fill="D9D9D9" w:themeFill="background1" w:themeFillShade="D9"/>
            <w:noWrap/>
            <w:vAlign w:val="center"/>
            <w:hideMark/>
          </w:tcPr>
          <w:p w14:paraId="5C53C3A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0.36</w:t>
            </w:r>
          </w:p>
        </w:tc>
        <w:tc>
          <w:tcPr>
            <w:tcW w:w="1092" w:type="dxa"/>
            <w:shd w:val="clear" w:color="auto" w:fill="D9D9D9" w:themeFill="background1" w:themeFillShade="D9"/>
            <w:noWrap/>
            <w:vAlign w:val="center"/>
            <w:hideMark/>
          </w:tcPr>
          <w:p w14:paraId="1484D9A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351</w:t>
            </w:r>
          </w:p>
        </w:tc>
        <w:tc>
          <w:tcPr>
            <w:tcW w:w="1093" w:type="dxa"/>
            <w:shd w:val="clear" w:color="auto" w:fill="D9D9D9" w:themeFill="background1" w:themeFillShade="D9"/>
            <w:noWrap/>
            <w:vAlign w:val="center"/>
            <w:hideMark/>
          </w:tcPr>
          <w:p w14:paraId="479E66D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6,831</w:t>
            </w:r>
          </w:p>
        </w:tc>
        <w:tc>
          <w:tcPr>
            <w:tcW w:w="1093" w:type="dxa"/>
            <w:shd w:val="clear" w:color="auto" w:fill="D9D9D9" w:themeFill="background1" w:themeFillShade="D9"/>
            <w:noWrap/>
            <w:vAlign w:val="center"/>
            <w:hideMark/>
          </w:tcPr>
          <w:p w14:paraId="22DBD5B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0.05</w:t>
            </w:r>
          </w:p>
        </w:tc>
      </w:tr>
      <w:tr w:rsidR="008D6DF4" w:rsidRPr="00E8396C" w14:paraId="2608B790" w14:textId="77777777" w:rsidTr="00E8396C">
        <w:trPr>
          <w:jc w:val="center"/>
        </w:trPr>
        <w:tc>
          <w:tcPr>
            <w:tcW w:w="1278" w:type="dxa"/>
            <w:shd w:val="clear" w:color="auto" w:fill="auto"/>
            <w:vAlign w:val="center"/>
            <w:hideMark/>
          </w:tcPr>
          <w:p w14:paraId="6539623C"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ASPS</w:t>
            </w:r>
          </w:p>
        </w:tc>
        <w:tc>
          <w:tcPr>
            <w:tcW w:w="849" w:type="dxa"/>
            <w:vAlign w:val="center"/>
          </w:tcPr>
          <w:p w14:paraId="657A7262"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25830A98" w14:textId="777AEF99"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2F3A3FC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43%</w:t>
            </w:r>
          </w:p>
        </w:tc>
        <w:tc>
          <w:tcPr>
            <w:tcW w:w="1134" w:type="dxa"/>
            <w:vAlign w:val="center"/>
          </w:tcPr>
          <w:p w14:paraId="68ACEDCF"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0%</w:t>
            </w:r>
          </w:p>
        </w:tc>
        <w:tc>
          <w:tcPr>
            <w:tcW w:w="992" w:type="dxa"/>
            <w:vAlign w:val="center"/>
          </w:tcPr>
          <w:p w14:paraId="4D2C1376"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65</w:t>
            </w:r>
          </w:p>
        </w:tc>
        <w:tc>
          <w:tcPr>
            <w:tcW w:w="1135" w:type="dxa"/>
            <w:shd w:val="clear" w:color="auto" w:fill="auto"/>
            <w:noWrap/>
            <w:vAlign w:val="center"/>
            <w:hideMark/>
          </w:tcPr>
          <w:p w14:paraId="2EF379F9"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75.2</w:t>
            </w:r>
          </w:p>
        </w:tc>
        <w:tc>
          <w:tcPr>
            <w:tcW w:w="1276" w:type="dxa"/>
            <w:shd w:val="clear" w:color="auto" w:fill="auto"/>
            <w:noWrap/>
            <w:vAlign w:val="center"/>
            <w:hideMark/>
          </w:tcPr>
          <w:p w14:paraId="4D9B12B5"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w:t>
            </w:r>
          </w:p>
        </w:tc>
        <w:tc>
          <w:tcPr>
            <w:tcW w:w="1092" w:type="dxa"/>
            <w:shd w:val="clear" w:color="auto" w:fill="auto"/>
            <w:noWrap/>
            <w:vAlign w:val="center"/>
            <w:hideMark/>
          </w:tcPr>
          <w:p w14:paraId="51298E02"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124</w:t>
            </w:r>
          </w:p>
        </w:tc>
        <w:tc>
          <w:tcPr>
            <w:tcW w:w="1093" w:type="dxa"/>
            <w:shd w:val="clear" w:color="auto" w:fill="auto"/>
            <w:noWrap/>
            <w:vAlign w:val="center"/>
            <w:hideMark/>
          </w:tcPr>
          <w:p w14:paraId="4239BDEA"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142</w:t>
            </w:r>
          </w:p>
        </w:tc>
        <w:tc>
          <w:tcPr>
            <w:tcW w:w="1093" w:type="dxa"/>
            <w:shd w:val="clear" w:color="auto" w:fill="auto"/>
            <w:noWrap/>
            <w:vAlign w:val="center"/>
            <w:hideMark/>
          </w:tcPr>
          <w:p w14:paraId="3C37960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0.47</w:t>
            </w:r>
          </w:p>
        </w:tc>
        <w:tc>
          <w:tcPr>
            <w:tcW w:w="1092" w:type="dxa"/>
            <w:shd w:val="clear" w:color="auto" w:fill="auto"/>
            <w:noWrap/>
            <w:vAlign w:val="center"/>
            <w:hideMark/>
          </w:tcPr>
          <w:p w14:paraId="3B8319C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2F7FD61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5644BCB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2716D83C" w14:textId="77777777" w:rsidTr="00E8396C">
        <w:trPr>
          <w:jc w:val="center"/>
        </w:trPr>
        <w:tc>
          <w:tcPr>
            <w:tcW w:w="1278" w:type="dxa"/>
            <w:vMerge w:val="restart"/>
            <w:shd w:val="clear" w:color="auto" w:fill="D9D9D9" w:themeFill="background1" w:themeFillShade="D9"/>
            <w:vAlign w:val="center"/>
            <w:hideMark/>
          </w:tcPr>
          <w:p w14:paraId="3776C530"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BioMe</w:t>
            </w:r>
          </w:p>
        </w:tc>
        <w:tc>
          <w:tcPr>
            <w:tcW w:w="849" w:type="dxa"/>
            <w:shd w:val="clear" w:color="auto" w:fill="D9D9D9" w:themeFill="background1" w:themeFillShade="D9"/>
            <w:vAlign w:val="center"/>
          </w:tcPr>
          <w:p w14:paraId="62778CEA"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1F65DBFB"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AA</w:t>
            </w:r>
          </w:p>
        </w:tc>
        <w:tc>
          <w:tcPr>
            <w:tcW w:w="851" w:type="dxa"/>
            <w:shd w:val="clear" w:color="auto" w:fill="D9D9D9" w:themeFill="background1" w:themeFillShade="D9"/>
            <w:vAlign w:val="center"/>
          </w:tcPr>
          <w:p w14:paraId="21B4E009"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35%</w:t>
            </w:r>
          </w:p>
        </w:tc>
        <w:tc>
          <w:tcPr>
            <w:tcW w:w="1134" w:type="dxa"/>
            <w:shd w:val="clear" w:color="auto" w:fill="D9D9D9" w:themeFill="background1" w:themeFillShade="D9"/>
            <w:vAlign w:val="center"/>
          </w:tcPr>
          <w:p w14:paraId="3303876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w:t>
            </w:r>
          </w:p>
        </w:tc>
        <w:tc>
          <w:tcPr>
            <w:tcW w:w="992" w:type="dxa"/>
            <w:shd w:val="clear" w:color="auto" w:fill="D9D9D9" w:themeFill="background1" w:themeFillShade="D9"/>
            <w:vAlign w:val="center"/>
          </w:tcPr>
          <w:p w14:paraId="296EFF05"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47</w:t>
            </w:r>
          </w:p>
        </w:tc>
        <w:tc>
          <w:tcPr>
            <w:tcW w:w="1135" w:type="dxa"/>
            <w:shd w:val="clear" w:color="auto" w:fill="D9D9D9" w:themeFill="background1" w:themeFillShade="D9"/>
            <w:noWrap/>
            <w:vAlign w:val="center"/>
            <w:hideMark/>
          </w:tcPr>
          <w:p w14:paraId="223A32E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96.4</w:t>
            </w:r>
          </w:p>
        </w:tc>
        <w:tc>
          <w:tcPr>
            <w:tcW w:w="1276" w:type="dxa"/>
            <w:shd w:val="clear" w:color="auto" w:fill="D9D9D9" w:themeFill="background1" w:themeFillShade="D9"/>
            <w:noWrap/>
            <w:vAlign w:val="center"/>
            <w:hideMark/>
          </w:tcPr>
          <w:p w14:paraId="2DC01B84"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5.34</w:t>
            </w:r>
          </w:p>
        </w:tc>
        <w:tc>
          <w:tcPr>
            <w:tcW w:w="1092" w:type="dxa"/>
            <w:shd w:val="clear" w:color="auto" w:fill="D9D9D9" w:themeFill="background1" w:themeFillShade="D9"/>
            <w:noWrap/>
            <w:vAlign w:val="center"/>
            <w:hideMark/>
          </w:tcPr>
          <w:p w14:paraId="3DEC6EF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744</w:t>
            </w:r>
          </w:p>
        </w:tc>
        <w:tc>
          <w:tcPr>
            <w:tcW w:w="1093" w:type="dxa"/>
            <w:shd w:val="clear" w:color="auto" w:fill="D9D9D9" w:themeFill="background1" w:themeFillShade="D9"/>
            <w:noWrap/>
            <w:vAlign w:val="center"/>
            <w:hideMark/>
          </w:tcPr>
          <w:p w14:paraId="326AF08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411</w:t>
            </w:r>
          </w:p>
        </w:tc>
        <w:tc>
          <w:tcPr>
            <w:tcW w:w="1093" w:type="dxa"/>
            <w:shd w:val="clear" w:color="auto" w:fill="D9D9D9" w:themeFill="background1" w:themeFillShade="D9"/>
            <w:noWrap/>
            <w:vAlign w:val="center"/>
            <w:hideMark/>
          </w:tcPr>
          <w:p w14:paraId="4B9A0DE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0.64</w:t>
            </w:r>
          </w:p>
        </w:tc>
        <w:tc>
          <w:tcPr>
            <w:tcW w:w="1092" w:type="dxa"/>
            <w:shd w:val="clear" w:color="auto" w:fill="D9D9D9" w:themeFill="background1" w:themeFillShade="D9"/>
            <w:noWrap/>
            <w:vAlign w:val="center"/>
            <w:hideMark/>
          </w:tcPr>
          <w:p w14:paraId="701382B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3789E09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3F792F4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7CFC5268" w14:textId="77777777" w:rsidTr="00E8396C">
        <w:trPr>
          <w:jc w:val="center"/>
        </w:trPr>
        <w:tc>
          <w:tcPr>
            <w:tcW w:w="1278" w:type="dxa"/>
            <w:vMerge/>
            <w:shd w:val="clear" w:color="auto" w:fill="D9D9D9" w:themeFill="background1" w:themeFillShade="D9"/>
            <w:vAlign w:val="center"/>
            <w:hideMark/>
          </w:tcPr>
          <w:p w14:paraId="327246CC"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6512C125"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1132" w:type="dxa"/>
            <w:shd w:val="clear" w:color="auto" w:fill="D9D9D9" w:themeFill="background1" w:themeFillShade="D9"/>
            <w:vAlign w:val="center"/>
          </w:tcPr>
          <w:p w14:paraId="1B889BC2" w14:textId="2B793D92"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62CC29D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52%</w:t>
            </w:r>
          </w:p>
        </w:tc>
        <w:tc>
          <w:tcPr>
            <w:tcW w:w="1134" w:type="dxa"/>
            <w:shd w:val="clear" w:color="auto" w:fill="D9D9D9" w:themeFill="background1" w:themeFillShade="D9"/>
            <w:vAlign w:val="center"/>
          </w:tcPr>
          <w:p w14:paraId="4D6EA23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w:t>
            </w:r>
          </w:p>
        </w:tc>
        <w:tc>
          <w:tcPr>
            <w:tcW w:w="992" w:type="dxa"/>
            <w:shd w:val="clear" w:color="auto" w:fill="D9D9D9" w:themeFill="background1" w:themeFillShade="D9"/>
            <w:vAlign w:val="center"/>
          </w:tcPr>
          <w:p w14:paraId="28528BF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63</w:t>
            </w:r>
          </w:p>
        </w:tc>
        <w:tc>
          <w:tcPr>
            <w:tcW w:w="1135" w:type="dxa"/>
            <w:shd w:val="clear" w:color="auto" w:fill="D9D9D9" w:themeFill="background1" w:themeFillShade="D9"/>
            <w:noWrap/>
            <w:vAlign w:val="center"/>
            <w:hideMark/>
          </w:tcPr>
          <w:p w14:paraId="01CFACF1"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75.0</w:t>
            </w:r>
          </w:p>
        </w:tc>
        <w:tc>
          <w:tcPr>
            <w:tcW w:w="1276" w:type="dxa"/>
            <w:shd w:val="clear" w:color="auto" w:fill="D9D9D9" w:themeFill="background1" w:themeFillShade="D9"/>
            <w:noWrap/>
            <w:vAlign w:val="center"/>
            <w:hideMark/>
          </w:tcPr>
          <w:p w14:paraId="172A4DDB"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2.77</w:t>
            </w:r>
          </w:p>
        </w:tc>
        <w:tc>
          <w:tcPr>
            <w:tcW w:w="1092" w:type="dxa"/>
            <w:shd w:val="clear" w:color="auto" w:fill="D9D9D9" w:themeFill="background1" w:themeFillShade="D9"/>
            <w:noWrap/>
            <w:vAlign w:val="center"/>
            <w:hideMark/>
          </w:tcPr>
          <w:p w14:paraId="4CF975C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232</w:t>
            </w:r>
          </w:p>
        </w:tc>
        <w:tc>
          <w:tcPr>
            <w:tcW w:w="1093" w:type="dxa"/>
            <w:shd w:val="clear" w:color="auto" w:fill="D9D9D9" w:themeFill="background1" w:themeFillShade="D9"/>
            <w:noWrap/>
            <w:vAlign w:val="center"/>
            <w:hideMark/>
          </w:tcPr>
          <w:p w14:paraId="1928D62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231</w:t>
            </w:r>
          </w:p>
        </w:tc>
        <w:tc>
          <w:tcPr>
            <w:tcW w:w="1093" w:type="dxa"/>
            <w:shd w:val="clear" w:color="auto" w:fill="D9D9D9" w:themeFill="background1" w:themeFillShade="D9"/>
            <w:noWrap/>
            <w:vAlign w:val="center"/>
            <w:hideMark/>
          </w:tcPr>
          <w:p w14:paraId="4EAD1F4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0.50</w:t>
            </w:r>
          </w:p>
        </w:tc>
        <w:tc>
          <w:tcPr>
            <w:tcW w:w="1092" w:type="dxa"/>
            <w:shd w:val="clear" w:color="auto" w:fill="D9D9D9" w:themeFill="background1" w:themeFillShade="D9"/>
            <w:noWrap/>
            <w:vAlign w:val="center"/>
            <w:hideMark/>
          </w:tcPr>
          <w:p w14:paraId="62953FE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12C176B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22F3C5E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5D480BE4" w14:textId="77777777" w:rsidTr="00E8396C">
        <w:trPr>
          <w:jc w:val="center"/>
        </w:trPr>
        <w:tc>
          <w:tcPr>
            <w:tcW w:w="1278" w:type="dxa"/>
            <w:vMerge/>
            <w:shd w:val="clear" w:color="auto" w:fill="D9D9D9" w:themeFill="background1" w:themeFillShade="D9"/>
            <w:vAlign w:val="center"/>
            <w:hideMark/>
          </w:tcPr>
          <w:p w14:paraId="76F26D05"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4D4D41CA"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1132" w:type="dxa"/>
            <w:shd w:val="clear" w:color="auto" w:fill="D9D9D9" w:themeFill="background1" w:themeFillShade="D9"/>
            <w:vAlign w:val="center"/>
          </w:tcPr>
          <w:p w14:paraId="27E1CEA8"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HIS</w:t>
            </w:r>
          </w:p>
        </w:tc>
        <w:tc>
          <w:tcPr>
            <w:tcW w:w="851" w:type="dxa"/>
            <w:shd w:val="clear" w:color="auto" w:fill="D9D9D9" w:themeFill="background1" w:themeFillShade="D9"/>
            <w:vAlign w:val="center"/>
          </w:tcPr>
          <w:p w14:paraId="1CC1C89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37%</w:t>
            </w:r>
          </w:p>
        </w:tc>
        <w:tc>
          <w:tcPr>
            <w:tcW w:w="1134" w:type="dxa"/>
            <w:shd w:val="clear" w:color="auto" w:fill="D9D9D9" w:themeFill="background1" w:themeFillShade="D9"/>
            <w:vAlign w:val="center"/>
          </w:tcPr>
          <w:p w14:paraId="51382BB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w:t>
            </w:r>
          </w:p>
        </w:tc>
        <w:tc>
          <w:tcPr>
            <w:tcW w:w="992" w:type="dxa"/>
            <w:shd w:val="clear" w:color="auto" w:fill="D9D9D9" w:themeFill="background1" w:themeFillShade="D9"/>
            <w:vAlign w:val="center"/>
          </w:tcPr>
          <w:p w14:paraId="72F28297"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48</w:t>
            </w:r>
          </w:p>
        </w:tc>
        <w:tc>
          <w:tcPr>
            <w:tcW w:w="1135" w:type="dxa"/>
            <w:shd w:val="clear" w:color="auto" w:fill="D9D9D9" w:themeFill="background1" w:themeFillShade="D9"/>
            <w:noWrap/>
            <w:vAlign w:val="center"/>
            <w:hideMark/>
          </w:tcPr>
          <w:p w14:paraId="5C88DD01"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90.7</w:t>
            </w:r>
          </w:p>
        </w:tc>
        <w:tc>
          <w:tcPr>
            <w:tcW w:w="1276" w:type="dxa"/>
            <w:shd w:val="clear" w:color="auto" w:fill="D9D9D9" w:themeFill="background1" w:themeFillShade="D9"/>
            <w:noWrap/>
            <w:vAlign w:val="center"/>
            <w:hideMark/>
          </w:tcPr>
          <w:p w14:paraId="09935CD6"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4.97</w:t>
            </w:r>
          </w:p>
        </w:tc>
        <w:tc>
          <w:tcPr>
            <w:tcW w:w="1092" w:type="dxa"/>
            <w:shd w:val="clear" w:color="auto" w:fill="D9D9D9" w:themeFill="background1" w:themeFillShade="D9"/>
            <w:noWrap/>
            <w:vAlign w:val="center"/>
            <w:hideMark/>
          </w:tcPr>
          <w:p w14:paraId="755D3FA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820</w:t>
            </w:r>
          </w:p>
        </w:tc>
        <w:tc>
          <w:tcPr>
            <w:tcW w:w="1093" w:type="dxa"/>
            <w:shd w:val="clear" w:color="auto" w:fill="D9D9D9" w:themeFill="background1" w:themeFillShade="D9"/>
            <w:noWrap/>
            <w:vAlign w:val="center"/>
            <w:hideMark/>
          </w:tcPr>
          <w:p w14:paraId="1560CA0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598</w:t>
            </w:r>
          </w:p>
        </w:tc>
        <w:tc>
          <w:tcPr>
            <w:tcW w:w="1093" w:type="dxa"/>
            <w:shd w:val="clear" w:color="auto" w:fill="D9D9D9" w:themeFill="background1" w:themeFillShade="D9"/>
            <w:noWrap/>
            <w:vAlign w:val="center"/>
            <w:hideMark/>
          </w:tcPr>
          <w:p w14:paraId="3D345ED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0.58</w:t>
            </w:r>
          </w:p>
        </w:tc>
        <w:tc>
          <w:tcPr>
            <w:tcW w:w="1092" w:type="dxa"/>
            <w:shd w:val="clear" w:color="auto" w:fill="D9D9D9" w:themeFill="background1" w:themeFillShade="D9"/>
            <w:noWrap/>
            <w:vAlign w:val="center"/>
            <w:hideMark/>
          </w:tcPr>
          <w:p w14:paraId="1D2648B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115</w:t>
            </w:r>
          </w:p>
        </w:tc>
        <w:tc>
          <w:tcPr>
            <w:tcW w:w="1093" w:type="dxa"/>
            <w:shd w:val="clear" w:color="auto" w:fill="D9D9D9" w:themeFill="background1" w:themeFillShade="D9"/>
            <w:noWrap/>
            <w:vAlign w:val="center"/>
            <w:hideMark/>
          </w:tcPr>
          <w:p w14:paraId="60BFCD8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1,967</w:t>
            </w:r>
          </w:p>
        </w:tc>
        <w:tc>
          <w:tcPr>
            <w:tcW w:w="1093" w:type="dxa"/>
            <w:shd w:val="clear" w:color="auto" w:fill="D9D9D9" w:themeFill="background1" w:themeFillShade="D9"/>
            <w:noWrap/>
            <w:vAlign w:val="center"/>
            <w:hideMark/>
          </w:tcPr>
          <w:p w14:paraId="393C66FF"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0.06</w:t>
            </w:r>
          </w:p>
        </w:tc>
      </w:tr>
      <w:tr w:rsidR="008D6DF4" w:rsidRPr="00E8396C" w14:paraId="19EF74B8" w14:textId="77777777" w:rsidTr="000F6BC1">
        <w:trPr>
          <w:jc w:val="center"/>
        </w:trPr>
        <w:tc>
          <w:tcPr>
            <w:tcW w:w="1278" w:type="dxa"/>
            <w:vMerge w:val="restart"/>
            <w:shd w:val="clear" w:color="auto" w:fill="auto"/>
            <w:vAlign w:val="center"/>
            <w:hideMark/>
          </w:tcPr>
          <w:p w14:paraId="2FFD2011"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CHS</w:t>
            </w:r>
          </w:p>
        </w:tc>
        <w:tc>
          <w:tcPr>
            <w:tcW w:w="849" w:type="dxa"/>
            <w:vAlign w:val="center"/>
          </w:tcPr>
          <w:p w14:paraId="1CC3F7C8"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250571B3"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AA</w:t>
            </w:r>
          </w:p>
        </w:tc>
        <w:tc>
          <w:tcPr>
            <w:tcW w:w="851" w:type="dxa"/>
            <w:vAlign w:val="center"/>
          </w:tcPr>
          <w:p w14:paraId="5CE7A2C9"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39%</w:t>
            </w:r>
          </w:p>
        </w:tc>
        <w:tc>
          <w:tcPr>
            <w:tcW w:w="1134" w:type="dxa"/>
            <w:vAlign w:val="center"/>
          </w:tcPr>
          <w:p w14:paraId="3D5CF327"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24%</w:t>
            </w:r>
          </w:p>
        </w:tc>
        <w:tc>
          <w:tcPr>
            <w:tcW w:w="992" w:type="dxa"/>
            <w:vAlign w:val="center"/>
          </w:tcPr>
          <w:p w14:paraId="31E8FBD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72</w:t>
            </w:r>
          </w:p>
        </w:tc>
        <w:tc>
          <w:tcPr>
            <w:tcW w:w="1135" w:type="dxa"/>
            <w:shd w:val="clear" w:color="auto" w:fill="auto"/>
            <w:noWrap/>
            <w:vAlign w:val="center"/>
            <w:hideMark/>
          </w:tcPr>
          <w:p w14:paraId="5212CE7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72.6</w:t>
            </w:r>
          </w:p>
        </w:tc>
        <w:tc>
          <w:tcPr>
            <w:tcW w:w="1276" w:type="dxa"/>
            <w:shd w:val="clear" w:color="auto" w:fill="auto"/>
            <w:noWrap/>
            <w:vAlign w:val="center"/>
            <w:hideMark/>
          </w:tcPr>
          <w:p w14:paraId="3688414A"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w:t>
            </w:r>
          </w:p>
        </w:tc>
        <w:tc>
          <w:tcPr>
            <w:tcW w:w="1092" w:type="dxa"/>
            <w:shd w:val="clear" w:color="auto" w:fill="auto"/>
            <w:noWrap/>
            <w:vAlign w:val="center"/>
            <w:hideMark/>
          </w:tcPr>
          <w:p w14:paraId="243D9059"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124</w:t>
            </w:r>
          </w:p>
        </w:tc>
        <w:tc>
          <w:tcPr>
            <w:tcW w:w="1093" w:type="dxa"/>
            <w:shd w:val="clear" w:color="auto" w:fill="auto"/>
            <w:noWrap/>
            <w:vAlign w:val="center"/>
            <w:hideMark/>
          </w:tcPr>
          <w:p w14:paraId="68D75F5A"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142</w:t>
            </w:r>
          </w:p>
        </w:tc>
        <w:tc>
          <w:tcPr>
            <w:tcW w:w="1093" w:type="dxa"/>
            <w:shd w:val="clear" w:color="auto" w:fill="auto"/>
            <w:noWrap/>
            <w:vAlign w:val="center"/>
            <w:hideMark/>
          </w:tcPr>
          <w:p w14:paraId="2971E24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0.47</w:t>
            </w:r>
          </w:p>
        </w:tc>
        <w:tc>
          <w:tcPr>
            <w:tcW w:w="1092" w:type="dxa"/>
            <w:shd w:val="clear" w:color="auto" w:fill="auto"/>
            <w:noWrap/>
            <w:vAlign w:val="center"/>
            <w:hideMark/>
          </w:tcPr>
          <w:p w14:paraId="11037F5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4E37E3A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51252B0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021263E9" w14:textId="77777777" w:rsidTr="00E8396C">
        <w:trPr>
          <w:jc w:val="center"/>
        </w:trPr>
        <w:tc>
          <w:tcPr>
            <w:tcW w:w="1278" w:type="dxa"/>
            <w:vMerge/>
            <w:vAlign w:val="center"/>
            <w:hideMark/>
          </w:tcPr>
          <w:p w14:paraId="125D88E5"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vAlign w:val="center"/>
          </w:tcPr>
          <w:p w14:paraId="295968B3"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1132" w:type="dxa"/>
            <w:vAlign w:val="center"/>
          </w:tcPr>
          <w:p w14:paraId="661254A5" w14:textId="4166512B"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684631E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44%</w:t>
            </w:r>
          </w:p>
        </w:tc>
        <w:tc>
          <w:tcPr>
            <w:tcW w:w="1134" w:type="dxa"/>
            <w:vAlign w:val="center"/>
          </w:tcPr>
          <w:p w14:paraId="67F6583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12%</w:t>
            </w:r>
          </w:p>
        </w:tc>
        <w:tc>
          <w:tcPr>
            <w:tcW w:w="992" w:type="dxa"/>
            <w:vAlign w:val="center"/>
          </w:tcPr>
          <w:p w14:paraId="70A23CB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71</w:t>
            </w:r>
          </w:p>
        </w:tc>
        <w:tc>
          <w:tcPr>
            <w:tcW w:w="1135" w:type="dxa"/>
            <w:shd w:val="clear" w:color="auto" w:fill="auto"/>
            <w:noWrap/>
            <w:vAlign w:val="center"/>
            <w:hideMark/>
          </w:tcPr>
          <w:p w14:paraId="1B01494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65.7</w:t>
            </w:r>
          </w:p>
        </w:tc>
        <w:tc>
          <w:tcPr>
            <w:tcW w:w="1276" w:type="dxa"/>
            <w:shd w:val="clear" w:color="auto" w:fill="auto"/>
            <w:noWrap/>
            <w:vAlign w:val="center"/>
            <w:hideMark/>
          </w:tcPr>
          <w:p w14:paraId="1B64CCD6"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w:t>
            </w:r>
          </w:p>
        </w:tc>
        <w:tc>
          <w:tcPr>
            <w:tcW w:w="1092" w:type="dxa"/>
            <w:shd w:val="clear" w:color="auto" w:fill="auto"/>
            <w:noWrap/>
            <w:vAlign w:val="center"/>
            <w:hideMark/>
          </w:tcPr>
          <w:p w14:paraId="0512EF62"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134</w:t>
            </w:r>
          </w:p>
        </w:tc>
        <w:tc>
          <w:tcPr>
            <w:tcW w:w="1093" w:type="dxa"/>
            <w:shd w:val="clear" w:color="auto" w:fill="auto"/>
            <w:noWrap/>
            <w:vAlign w:val="center"/>
            <w:hideMark/>
          </w:tcPr>
          <w:p w14:paraId="42763A9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1,111</w:t>
            </w:r>
          </w:p>
        </w:tc>
        <w:tc>
          <w:tcPr>
            <w:tcW w:w="1093" w:type="dxa"/>
            <w:shd w:val="clear" w:color="auto" w:fill="auto"/>
            <w:noWrap/>
            <w:vAlign w:val="center"/>
            <w:hideMark/>
          </w:tcPr>
          <w:p w14:paraId="4CB1E72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0.11</w:t>
            </w:r>
          </w:p>
        </w:tc>
        <w:tc>
          <w:tcPr>
            <w:tcW w:w="1092" w:type="dxa"/>
            <w:shd w:val="clear" w:color="auto" w:fill="auto"/>
            <w:noWrap/>
            <w:vAlign w:val="center"/>
            <w:hideMark/>
          </w:tcPr>
          <w:p w14:paraId="5FFE980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451AB62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2CCAFB2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2FF14A1D" w14:textId="77777777" w:rsidTr="00E8396C">
        <w:trPr>
          <w:jc w:val="center"/>
        </w:trPr>
        <w:tc>
          <w:tcPr>
            <w:tcW w:w="1278" w:type="dxa"/>
            <w:shd w:val="clear" w:color="auto" w:fill="D9D9D9" w:themeFill="background1" w:themeFillShade="D9"/>
            <w:vAlign w:val="center"/>
            <w:hideMark/>
          </w:tcPr>
          <w:p w14:paraId="168F9978"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DECODE</w:t>
            </w:r>
          </w:p>
        </w:tc>
        <w:tc>
          <w:tcPr>
            <w:tcW w:w="849" w:type="dxa"/>
            <w:shd w:val="clear" w:color="auto" w:fill="D9D9D9" w:themeFill="background1" w:themeFillShade="D9"/>
            <w:vAlign w:val="center"/>
          </w:tcPr>
          <w:p w14:paraId="1DFF5070"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66BD99E0" w14:textId="1D715A8E"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12C5014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47%</w:t>
            </w:r>
          </w:p>
        </w:tc>
        <w:tc>
          <w:tcPr>
            <w:tcW w:w="1134" w:type="dxa"/>
            <w:shd w:val="clear" w:color="auto" w:fill="D9D9D9" w:themeFill="background1" w:themeFillShade="D9"/>
            <w:vAlign w:val="center"/>
          </w:tcPr>
          <w:p w14:paraId="2ACE4DD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w:t>
            </w:r>
          </w:p>
        </w:tc>
        <w:tc>
          <w:tcPr>
            <w:tcW w:w="992" w:type="dxa"/>
            <w:shd w:val="clear" w:color="auto" w:fill="D9D9D9" w:themeFill="background1" w:themeFillShade="D9"/>
            <w:vAlign w:val="center"/>
          </w:tcPr>
          <w:p w14:paraId="478D1D87"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44</w:t>
            </w:r>
          </w:p>
        </w:tc>
        <w:tc>
          <w:tcPr>
            <w:tcW w:w="1135" w:type="dxa"/>
            <w:shd w:val="clear" w:color="auto" w:fill="D9D9D9" w:themeFill="background1" w:themeFillShade="D9"/>
            <w:noWrap/>
            <w:vAlign w:val="center"/>
            <w:hideMark/>
          </w:tcPr>
          <w:p w14:paraId="0BB2978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93.0</w:t>
            </w:r>
          </w:p>
        </w:tc>
        <w:tc>
          <w:tcPr>
            <w:tcW w:w="1276" w:type="dxa"/>
            <w:shd w:val="clear" w:color="auto" w:fill="D9D9D9" w:themeFill="background1" w:themeFillShade="D9"/>
            <w:noWrap/>
            <w:vAlign w:val="center"/>
            <w:hideMark/>
          </w:tcPr>
          <w:p w14:paraId="5D6B63C4"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14</w:t>
            </w:r>
          </w:p>
        </w:tc>
        <w:tc>
          <w:tcPr>
            <w:tcW w:w="1092" w:type="dxa"/>
            <w:shd w:val="clear" w:color="auto" w:fill="D9D9D9" w:themeFill="background1" w:themeFillShade="D9"/>
            <w:noWrap/>
            <w:vAlign w:val="center"/>
            <w:hideMark/>
          </w:tcPr>
          <w:p w14:paraId="7BDF349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9,980</w:t>
            </w:r>
          </w:p>
        </w:tc>
        <w:tc>
          <w:tcPr>
            <w:tcW w:w="1093" w:type="dxa"/>
            <w:shd w:val="clear" w:color="auto" w:fill="D9D9D9" w:themeFill="background1" w:themeFillShade="D9"/>
            <w:noWrap/>
            <w:vAlign w:val="center"/>
            <w:hideMark/>
          </w:tcPr>
          <w:p w14:paraId="3CF23FC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59,017</w:t>
            </w:r>
          </w:p>
        </w:tc>
        <w:tc>
          <w:tcPr>
            <w:tcW w:w="1093" w:type="dxa"/>
            <w:shd w:val="clear" w:color="auto" w:fill="D9D9D9" w:themeFill="background1" w:themeFillShade="D9"/>
            <w:noWrap/>
            <w:vAlign w:val="center"/>
            <w:hideMark/>
          </w:tcPr>
          <w:p w14:paraId="34859FE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0.14</w:t>
            </w:r>
          </w:p>
        </w:tc>
        <w:tc>
          <w:tcPr>
            <w:tcW w:w="1092" w:type="dxa"/>
            <w:shd w:val="clear" w:color="auto" w:fill="D9D9D9" w:themeFill="background1" w:themeFillShade="D9"/>
            <w:noWrap/>
            <w:vAlign w:val="center"/>
            <w:hideMark/>
          </w:tcPr>
          <w:p w14:paraId="0554C00F"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8,235</w:t>
            </w:r>
          </w:p>
        </w:tc>
        <w:tc>
          <w:tcPr>
            <w:tcW w:w="1093" w:type="dxa"/>
            <w:shd w:val="clear" w:color="auto" w:fill="D9D9D9" w:themeFill="background1" w:themeFillShade="D9"/>
            <w:noWrap/>
            <w:vAlign w:val="center"/>
            <w:hideMark/>
          </w:tcPr>
          <w:p w14:paraId="1F58B01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96,496</w:t>
            </w:r>
          </w:p>
        </w:tc>
        <w:tc>
          <w:tcPr>
            <w:tcW w:w="1093" w:type="dxa"/>
            <w:shd w:val="clear" w:color="auto" w:fill="D9D9D9" w:themeFill="background1" w:themeFillShade="D9"/>
            <w:noWrap/>
            <w:vAlign w:val="center"/>
            <w:hideMark/>
          </w:tcPr>
          <w:p w14:paraId="2867C4B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0.08</w:t>
            </w:r>
          </w:p>
        </w:tc>
      </w:tr>
      <w:tr w:rsidR="008D6DF4" w:rsidRPr="00E8396C" w14:paraId="7E63F637" w14:textId="77777777" w:rsidTr="00E8396C">
        <w:trPr>
          <w:jc w:val="center"/>
        </w:trPr>
        <w:tc>
          <w:tcPr>
            <w:tcW w:w="1278" w:type="dxa"/>
            <w:shd w:val="clear" w:color="auto" w:fill="auto"/>
            <w:vAlign w:val="center"/>
            <w:hideMark/>
          </w:tcPr>
          <w:p w14:paraId="56B4FA86"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DIACORE</w:t>
            </w:r>
          </w:p>
        </w:tc>
        <w:tc>
          <w:tcPr>
            <w:tcW w:w="849" w:type="dxa"/>
            <w:vAlign w:val="center"/>
          </w:tcPr>
          <w:p w14:paraId="77FBC529"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10C7B7F9" w14:textId="767CA093"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58E98B85"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60%</w:t>
            </w:r>
          </w:p>
        </w:tc>
        <w:tc>
          <w:tcPr>
            <w:tcW w:w="1134" w:type="dxa"/>
            <w:vAlign w:val="center"/>
          </w:tcPr>
          <w:p w14:paraId="129A52C6"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100%</w:t>
            </w:r>
          </w:p>
        </w:tc>
        <w:tc>
          <w:tcPr>
            <w:tcW w:w="992" w:type="dxa"/>
            <w:vAlign w:val="center"/>
          </w:tcPr>
          <w:p w14:paraId="4566272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67</w:t>
            </w:r>
          </w:p>
        </w:tc>
        <w:tc>
          <w:tcPr>
            <w:tcW w:w="1135" w:type="dxa"/>
            <w:shd w:val="clear" w:color="auto" w:fill="auto"/>
            <w:noWrap/>
            <w:vAlign w:val="center"/>
            <w:hideMark/>
          </w:tcPr>
          <w:p w14:paraId="7AF9105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79.0</w:t>
            </w:r>
          </w:p>
        </w:tc>
        <w:tc>
          <w:tcPr>
            <w:tcW w:w="1276" w:type="dxa"/>
            <w:shd w:val="clear" w:color="auto" w:fill="auto"/>
            <w:noWrap/>
            <w:vAlign w:val="center"/>
            <w:hideMark/>
          </w:tcPr>
          <w:p w14:paraId="3FF46ECF"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2.96</w:t>
            </w:r>
          </w:p>
        </w:tc>
        <w:tc>
          <w:tcPr>
            <w:tcW w:w="1092" w:type="dxa"/>
            <w:shd w:val="clear" w:color="auto" w:fill="auto"/>
            <w:noWrap/>
            <w:vAlign w:val="center"/>
            <w:hideMark/>
          </w:tcPr>
          <w:p w14:paraId="1F4BE4A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705</w:t>
            </w:r>
          </w:p>
        </w:tc>
        <w:tc>
          <w:tcPr>
            <w:tcW w:w="1093" w:type="dxa"/>
            <w:shd w:val="clear" w:color="auto" w:fill="auto"/>
            <w:noWrap/>
            <w:vAlign w:val="center"/>
            <w:hideMark/>
          </w:tcPr>
          <w:p w14:paraId="3D8E976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532</w:t>
            </w:r>
          </w:p>
        </w:tc>
        <w:tc>
          <w:tcPr>
            <w:tcW w:w="1093" w:type="dxa"/>
            <w:shd w:val="clear" w:color="auto" w:fill="auto"/>
            <w:noWrap/>
            <w:vAlign w:val="center"/>
            <w:hideMark/>
          </w:tcPr>
          <w:p w14:paraId="22533CFC"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0.57</w:t>
            </w:r>
          </w:p>
        </w:tc>
        <w:tc>
          <w:tcPr>
            <w:tcW w:w="1092" w:type="dxa"/>
            <w:shd w:val="clear" w:color="auto" w:fill="auto"/>
            <w:noWrap/>
            <w:vAlign w:val="center"/>
            <w:hideMark/>
          </w:tcPr>
          <w:p w14:paraId="6E575EF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124</w:t>
            </w:r>
          </w:p>
        </w:tc>
        <w:tc>
          <w:tcPr>
            <w:tcW w:w="1093" w:type="dxa"/>
            <w:shd w:val="clear" w:color="auto" w:fill="auto"/>
            <w:noWrap/>
            <w:vAlign w:val="center"/>
            <w:hideMark/>
          </w:tcPr>
          <w:p w14:paraId="28E33E9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1,584</w:t>
            </w:r>
          </w:p>
        </w:tc>
        <w:tc>
          <w:tcPr>
            <w:tcW w:w="1093" w:type="dxa"/>
            <w:shd w:val="clear" w:color="auto" w:fill="auto"/>
            <w:noWrap/>
            <w:vAlign w:val="center"/>
            <w:hideMark/>
          </w:tcPr>
          <w:p w14:paraId="30E5E3E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0.07</w:t>
            </w:r>
          </w:p>
        </w:tc>
      </w:tr>
      <w:tr w:rsidR="008D6DF4" w:rsidRPr="00E8396C" w14:paraId="0A7BB84D" w14:textId="77777777" w:rsidTr="00E8396C">
        <w:trPr>
          <w:jc w:val="center"/>
        </w:trPr>
        <w:tc>
          <w:tcPr>
            <w:tcW w:w="1278" w:type="dxa"/>
            <w:shd w:val="clear" w:color="auto" w:fill="D9D9D9" w:themeFill="background1" w:themeFillShade="D9"/>
            <w:vAlign w:val="center"/>
            <w:hideMark/>
          </w:tcPr>
          <w:p w14:paraId="5BE9A71F"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ESTHER</w:t>
            </w:r>
          </w:p>
        </w:tc>
        <w:tc>
          <w:tcPr>
            <w:tcW w:w="849" w:type="dxa"/>
            <w:shd w:val="clear" w:color="auto" w:fill="D9D9D9" w:themeFill="background1" w:themeFillShade="D9"/>
            <w:vAlign w:val="center"/>
          </w:tcPr>
          <w:p w14:paraId="2DBD35F1"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4ECB24AF" w14:textId="1296A5DB"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624B280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42%</w:t>
            </w:r>
          </w:p>
        </w:tc>
        <w:tc>
          <w:tcPr>
            <w:tcW w:w="1134" w:type="dxa"/>
            <w:shd w:val="clear" w:color="auto" w:fill="D9D9D9" w:themeFill="background1" w:themeFillShade="D9"/>
            <w:vAlign w:val="center"/>
          </w:tcPr>
          <w:p w14:paraId="784ADE2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17%</w:t>
            </w:r>
          </w:p>
        </w:tc>
        <w:tc>
          <w:tcPr>
            <w:tcW w:w="992" w:type="dxa"/>
            <w:shd w:val="clear" w:color="auto" w:fill="D9D9D9" w:themeFill="background1" w:themeFillShade="D9"/>
            <w:vAlign w:val="center"/>
          </w:tcPr>
          <w:p w14:paraId="6B391039"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62</w:t>
            </w:r>
          </w:p>
        </w:tc>
        <w:tc>
          <w:tcPr>
            <w:tcW w:w="1135" w:type="dxa"/>
            <w:shd w:val="clear" w:color="auto" w:fill="D9D9D9" w:themeFill="background1" w:themeFillShade="D9"/>
            <w:noWrap/>
            <w:vAlign w:val="center"/>
            <w:hideMark/>
          </w:tcPr>
          <w:p w14:paraId="0730525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89.4</w:t>
            </w:r>
          </w:p>
        </w:tc>
        <w:tc>
          <w:tcPr>
            <w:tcW w:w="1276" w:type="dxa"/>
            <w:shd w:val="clear" w:color="auto" w:fill="D9D9D9" w:themeFill="background1" w:themeFillShade="D9"/>
            <w:noWrap/>
            <w:vAlign w:val="center"/>
            <w:hideMark/>
          </w:tcPr>
          <w:p w14:paraId="63D4BD22"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w:t>
            </w:r>
          </w:p>
        </w:tc>
        <w:tc>
          <w:tcPr>
            <w:tcW w:w="1092" w:type="dxa"/>
            <w:shd w:val="clear" w:color="auto" w:fill="D9D9D9" w:themeFill="background1" w:themeFillShade="D9"/>
            <w:vAlign w:val="center"/>
            <w:hideMark/>
          </w:tcPr>
          <w:p w14:paraId="7368AB2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vAlign w:val="center"/>
            <w:hideMark/>
          </w:tcPr>
          <w:p w14:paraId="117ABCE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vAlign w:val="center"/>
            <w:hideMark/>
          </w:tcPr>
          <w:p w14:paraId="2CAEAE2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2" w:type="dxa"/>
            <w:shd w:val="clear" w:color="auto" w:fill="D9D9D9" w:themeFill="background1" w:themeFillShade="D9"/>
            <w:noWrap/>
            <w:vAlign w:val="center"/>
            <w:hideMark/>
          </w:tcPr>
          <w:p w14:paraId="445B269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582</w:t>
            </w:r>
          </w:p>
        </w:tc>
        <w:tc>
          <w:tcPr>
            <w:tcW w:w="1093" w:type="dxa"/>
            <w:shd w:val="clear" w:color="auto" w:fill="D9D9D9" w:themeFill="background1" w:themeFillShade="D9"/>
            <w:noWrap/>
            <w:vAlign w:val="center"/>
            <w:hideMark/>
          </w:tcPr>
          <w:p w14:paraId="77E5542F"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533</w:t>
            </w:r>
          </w:p>
        </w:tc>
        <w:tc>
          <w:tcPr>
            <w:tcW w:w="1093" w:type="dxa"/>
            <w:shd w:val="clear" w:color="auto" w:fill="D9D9D9" w:themeFill="background1" w:themeFillShade="D9"/>
            <w:noWrap/>
            <w:vAlign w:val="center"/>
            <w:hideMark/>
          </w:tcPr>
          <w:p w14:paraId="33DB98A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0.52</w:t>
            </w:r>
          </w:p>
        </w:tc>
      </w:tr>
      <w:tr w:rsidR="008D6DF4" w:rsidRPr="00E8396C" w14:paraId="26BE4F9F" w14:textId="77777777" w:rsidTr="00E8396C">
        <w:trPr>
          <w:jc w:val="center"/>
        </w:trPr>
        <w:tc>
          <w:tcPr>
            <w:tcW w:w="1278" w:type="dxa"/>
            <w:shd w:val="clear" w:color="auto" w:fill="auto"/>
            <w:vAlign w:val="center"/>
            <w:hideMark/>
          </w:tcPr>
          <w:p w14:paraId="475A2AF4"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FHS</w:t>
            </w:r>
          </w:p>
        </w:tc>
        <w:tc>
          <w:tcPr>
            <w:tcW w:w="849" w:type="dxa"/>
            <w:vAlign w:val="center"/>
          </w:tcPr>
          <w:p w14:paraId="692EA955"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3E2301CA" w14:textId="29651250"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6008690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47%</w:t>
            </w:r>
          </w:p>
        </w:tc>
        <w:tc>
          <w:tcPr>
            <w:tcW w:w="1134" w:type="dxa"/>
            <w:vAlign w:val="center"/>
          </w:tcPr>
          <w:p w14:paraId="3DB2897D"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w:t>
            </w:r>
          </w:p>
        </w:tc>
        <w:tc>
          <w:tcPr>
            <w:tcW w:w="992" w:type="dxa"/>
            <w:vAlign w:val="center"/>
          </w:tcPr>
          <w:p w14:paraId="0551469F"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54</w:t>
            </w:r>
          </w:p>
        </w:tc>
        <w:tc>
          <w:tcPr>
            <w:tcW w:w="1135" w:type="dxa"/>
            <w:shd w:val="clear" w:color="auto" w:fill="auto"/>
            <w:noWrap/>
            <w:vAlign w:val="center"/>
            <w:hideMark/>
          </w:tcPr>
          <w:p w14:paraId="1A0EFCC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78.3</w:t>
            </w:r>
          </w:p>
        </w:tc>
        <w:tc>
          <w:tcPr>
            <w:tcW w:w="1276" w:type="dxa"/>
            <w:shd w:val="clear" w:color="auto" w:fill="auto"/>
            <w:noWrap/>
            <w:vAlign w:val="center"/>
            <w:hideMark/>
          </w:tcPr>
          <w:p w14:paraId="4C0549C5"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15</w:t>
            </w:r>
          </w:p>
        </w:tc>
        <w:tc>
          <w:tcPr>
            <w:tcW w:w="1092" w:type="dxa"/>
            <w:shd w:val="clear" w:color="auto" w:fill="auto"/>
            <w:vAlign w:val="center"/>
            <w:hideMark/>
          </w:tcPr>
          <w:p w14:paraId="01EBE9B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vAlign w:val="center"/>
            <w:hideMark/>
          </w:tcPr>
          <w:p w14:paraId="52725245"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vAlign w:val="center"/>
            <w:hideMark/>
          </w:tcPr>
          <w:p w14:paraId="06CB08C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2" w:type="dxa"/>
            <w:shd w:val="clear" w:color="auto" w:fill="auto"/>
            <w:noWrap/>
            <w:vAlign w:val="center"/>
            <w:hideMark/>
          </w:tcPr>
          <w:p w14:paraId="361C470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198</w:t>
            </w:r>
          </w:p>
        </w:tc>
        <w:tc>
          <w:tcPr>
            <w:tcW w:w="1093" w:type="dxa"/>
            <w:shd w:val="clear" w:color="auto" w:fill="auto"/>
            <w:noWrap/>
            <w:vAlign w:val="center"/>
            <w:hideMark/>
          </w:tcPr>
          <w:p w14:paraId="75DDD31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1,342</w:t>
            </w:r>
          </w:p>
        </w:tc>
        <w:tc>
          <w:tcPr>
            <w:tcW w:w="1093" w:type="dxa"/>
            <w:shd w:val="clear" w:color="auto" w:fill="auto"/>
            <w:noWrap/>
            <w:vAlign w:val="center"/>
            <w:hideMark/>
          </w:tcPr>
          <w:p w14:paraId="59F8541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0.13</w:t>
            </w:r>
          </w:p>
        </w:tc>
      </w:tr>
      <w:tr w:rsidR="008D6DF4" w:rsidRPr="00E8396C" w14:paraId="6C1571DB" w14:textId="77777777" w:rsidTr="00E8396C">
        <w:trPr>
          <w:jc w:val="center"/>
        </w:trPr>
        <w:tc>
          <w:tcPr>
            <w:tcW w:w="1278" w:type="dxa"/>
            <w:shd w:val="clear" w:color="auto" w:fill="D9D9D9" w:themeFill="background1" w:themeFillShade="D9"/>
            <w:vAlign w:val="center"/>
            <w:hideMark/>
          </w:tcPr>
          <w:p w14:paraId="6E013DC2"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FINCAVAS</w:t>
            </w:r>
          </w:p>
        </w:tc>
        <w:tc>
          <w:tcPr>
            <w:tcW w:w="849" w:type="dxa"/>
            <w:shd w:val="clear" w:color="auto" w:fill="D9D9D9" w:themeFill="background1" w:themeFillShade="D9"/>
            <w:vAlign w:val="center"/>
          </w:tcPr>
          <w:p w14:paraId="40AB21C1"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003AC0B5" w14:textId="2AF56543"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68FFA03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61%</w:t>
            </w:r>
          </w:p>
        </w:tc>
        <w:tc>
          <w:tcPr>
            <w:tcW w:w="1134" w:type="dxa"/>
            <w:shd w:val="clear" w:color="auto" w:fill="D9D9D9" w:themeFill="background1" w:themeFillShade="D9"/>
            <w:vAlign w:val="center"/>
          </w:tcPr>
          <w:p w14:paraId="31B159B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13%</w:t>
            </w:r>
          </w:p>
        </w:tc>
        <w:tc>
          <w:tcPr>
            <w:tcW w:w="992" w:type="dxa"/>
            <w:shd w:val="clear" w:color="auto" w:fill="D9D9D9" w:themeFill="background1" w:themeFillShade="D9"/>
            <w:vAlign w:val="center"/>
          </w:tcPr>
          <w:p w14:paraId="7BCC52A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58</w:t>
            </w:r>
          </w:p>
        </w:tc>
        <w:tc>
          <w:tcPr>
            <w:tcW w:w="1135" w:type="dxa"/>
            <w:shd w:val="clear" w:color="auto" w:fill="D9D9D9" w:themeFill="background1" w:themeFillShade="D9"/>
            <w:noWrap/>
            <w:vAlign w:val="center"/>
            <w:hideMark/>
          </w:tcPr>
          <w:p w14:paraId="688C4E0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84.9</w:t>
            </w:r>
          </w:p>
        </w:tc>
        <w:tc>
          <w:tcPr>
            <w:tcW w:w="1276" w:type="dxa"/>
            <w:shd w:val="clear" w:color="auto" w:fill="D9D9D9" w:themeFill="background1" w:themeFillShade="D9"/>
            <w:noWrap/>
            <w:vAlign w:val="center"/>
            <w:hideMark/>
          </w:tcPr>
          <w:p w14:paraId="699934C8"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8.9</w:t>
            </w:r>
          </w:p>
        </w:tc>
        <w:tc>
          <w:tcPr>
            <w:tcW w:w="1092" w:type="dxa"/>
            <w:shd w:val="clear" w:color="auto" w:fill="D9D9D9" w:themeFill="background1" w:themeFillShade="D9"/>
            <w:noWrap/>
            <w:vAlign w:val="center"/>
            <w:hideMark/>
          </w:tcPr>
          <w:p w14:paraId="358AD43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126</w:t>
            </w:r>
          </w:p>
        </w:tc>
        <w:tc>
          <w:tcPr>
            <w:tcW w:w="1093" w:type="dxa"/>
            <w:shd w:val="clear" w:color="auto" w:fill="D9D9D9" w:themeFill="background1" w:themeFillShade="D9"/>
            <w:noWrap/>
            <w:vAlign w:val="center"/>
            <w:hideMark/>
          </w:tcPr>
          <w:p w14:paraId="29FD247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327</w:t>
            </w:r>
          </w:p>
        </w:tc>
        <w:tc>
          <w:tcPr>
            <w:tcW w:w="1093" w:type="dxa"/>
            <w:shd w:val="clear" w:color="auto" w:fill="D9D9D9" w:themeFill="background1" w:themeFillShade="D9"/>
            <w:noWrap/>
            <w:vAlign w:val="center"/>
            <w:hideMark/>
          </w:tcPr>
          <w:p w14:paraId="6F6CD02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0.28</w:t>
            </w:r>
          </w:p>
        </w:tc>
        <w:tc>
          <w:tcPr>
            <w:tcW w:w="1092" w:type="dxa"/>
            <w:shd w:val="clear" w:color="auto" w:fill="D9D9D9" w:themeFill="background1" w:themeFillShade="D9"/>
            <w:noWrap/>
            <w:vAlign w:val="center"/>
            <w:hideMark/>
          </w:tcPr>
          <w:p w14:paraId="3C7B649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64CE62F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5CB6CE4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10802A6D" w14:textId="77777777" w:rsidTr="00E8396C">
        <w:trPr>
          <w:jc w:val="center"/>
        </w:trPr>
        <w:tc>
          <w:tcPr>
            <w:tcW w:w="1278" w:type="dxa"/>
            <w:shd w:val="clear" w:color="auto" w:fill="auto"/>
            <w:vAlign w:val="center"/>
            <w:hideMark/>
          </w:tcPr>
          <w:p w14:paraId="0DBDD181"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GCKD</w:t>
            </w:r>
          </w:p>
        </w:tc>
        <w:tc>
          <w:tcPr>
            <w:tcW w:w="849" w:type="dxa"/>
            <w:vAlign w:val="center"/>
          </w:tcPr>
          <w:p w14:paraId="461AE78D"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1131F414" w14:textId="16FE93F7"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446D4D4D"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60%</w:t>
            </w:r>
          </w:p>
        </w:tc>
        <w:tc>
          <w:tcPr>
            <w:tcW w:w="1134" w:type="dxa"/>
            <w:vAlign w:val="center"/>
          </w:tcPr>
          <w:p w14:paraId="303B58F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35%</w:t>
            </w:r>
          </w:p>
        </w:tc>
        <w:tc>
          <w:tcPr>
            <w:tcW w:w="992" w:type="dxa"/>
            <w:vAlign w:val="center"/>
          </w:tcPr>
          <w:p w14:paraId="6FD1CFD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63</w:t>
            </w:r>
          </w:p>
        </w:tc>
        <w:tc>
          <w:tcPr>
            <w:tcW w:w="1135" w:type="dxa"/>
            <w:shd w:val="clear" w:color="auto" w:fill="auto"/>
            <w:noWrap/>
            <w:vAlign w:val="center"/>
            <w:hideMark/>
          </w:tcPr>
          <w:p w14:paraId="5F1EE3C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49.4</w:t>
            </w:r>
          </w:p>
        </w:tc>
        <w:tc>
          <w:tcPr>
            <w:tcW w:w="1276" w:type="dxa"/>
            <w:shd w:val="clear" w:color="auto" w:fill="auto"/>
            <w:noWrap/>
            <w:vAlign w:val="center"/>
            <w:hideMark/>
          </w:tcPr>
          <w:p w14:paraId="3F149179"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w:t>
            </w:r>
          </w:p>
        </w:tc>
        <w:tc>
          <w:tcPr>
            <w:tcW w:w="1092" w:type="dxa"/>
            <w:shd w:val="clear" w:color="auto" w:fill="auto"/>
            <w:noWrap/>
            <w:vAlign w:val="center"/>
            <w:hideMark/>
          </w:tcPr>
          <w:p w14:paraId="131D9C7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1,652</w:t>
            </w:r>
          </w:p>
        </w:tc>
        <w:tc>
          <w:tcPr>
            <w:tcW w:w="1093" w:type="dxa"/>
            <w:shd w:val="clear" w:color="auto" w:fill="auto"/>
            <w:noWrap/>
            <w:vAlign w:val="center"/>
            <w:hideMark/>
          </w:tcPr>
          <w:p w14:paraId="7207211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641</w:t>
            </w:r>
          </w:p>
        </w:tc>
        <w:tc>
          <w:tcPr>
            <w:tcW w:w="1093" w:type="dxa"/>
            <w:shd w:val="clear" w:color="auto" w:fill="auto"/>
            <w:noWrap/>
            <w:vAlign w:val="center"/>
            <w:hideMark/>
          </w:tcPr>
          <w:p w14:paraId="168E711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0.72</w:t>
            </w:r>
          </w:p>
        </w:tc>
        <w:tc>
          <w:tcPr>
            <w:tcW w:w="1092" w:type="dxa"/>
            <w:shd w:val="clear" w:color="auto" w:fill="auto"/>
            <w:noWrap/>
            <w:vAlign w:val="center"/>
            <w:hideMark/>
          </w:tcPr>
          <w:p w14:paraId="7195362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121</w:t>
            </w:r>
          </w:p>
        </w:tc>
        <w:tc>
          <w:tcPr>
            <w:tcW w:w="1093" w:type="dxa"/>
            <w:shd w:val="clear" w:color="auto" w:fill="auto"/>
            <w:noWrap/>
            <w:vAlign w:val="center"/>
            <w:hideMark/>
          </w:tcPr>
          <w:p w14:paraId="044A615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523</w:t>
            </w:r>
          </w:p>
        </w:tc>
        <w:tc>
          <w:tcPr>
            <w:tcW w:w="1093" w:type="dxa"/>
            <w:shd w:val="clear" w:color="auto" w:fill="auto"/>
            <w:noWrap/>
            <w:vAlign w:val="center"/>
            <w:hideMark/>
          </w:tcPr>
          <w:p w14:paraId="3485EA7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0.19</w:t>
            </w:r>
          </w:p>
        </w:tc>
      </w:tr>
      <w:tr w:rsidR="008D6DF4" w:rsidRPr="00E8396C" w14:paraId="490BCCBC" w14:textId="77777777" w:rsidTr="00E8396C">
        <w:trPr>
          <w:jc w:val="center"/>
        </w:trPr>
        <w:tc>
          <w:tcPr>
            <w:tcW w:w="1278" w:type="dxa"/>
            <w:shd w:val="clear" w:color="auto" w:fill="D9D9D9" w:themeFill="background1" w:themeFillShade="D9"/>
            <w:vAlign w:val="center"/>
            <w:hideMark/>
          </w:tcPr>
          <w:p w14:paraId="1FE8599D"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Jackson Heart Study (JHS)</w:t>
            </w:r>
          </w:p>
        </w:tc>
        <w:tc>
          <w:tcPr>
            <w:tcW w:w="849" w:type="dxa"/>
            <w:shd w:val="clear" w:color="auto" w:fill="D9D9D9" w:themeFill="background1" w:themeFillShade="D9"/>
            <w:vAlign w:val="center"/>
          </w:tcPr>
          <w:p w14:paraId="2FC2907C"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562DC494"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AA</w:t>
            </w:r>
          </w:p>
        </w:tc>
        <w:tc>
          <w:tcPr>
            <w:tcW w:w="851" w:type="dxa"/>
            <w:shd w:val="clear" w:color="auto" w:fill="D9D9D9" w:themeFill="background1" w:themeFillShade="D9"/>
            <w:vAlign w:val="center"/>
          </w:tcPr>
          <w:p w14:paraId="34DB524F"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38%</w:t>
            </w:r>
          </w:p>
        </w:tc>
        <w:tc>
          <w:tcPr>
            <w:tcW w:w="1134" w:type="dxa"/>
            <w:shd w:val="clear" w:color="auto" w:fill="D9D9D9" w:themeFill="background1" w:themeFillShade="D9"/>
            <w:vAlign w:val="center"/>
          </w:tcPr>
          <w:p w14:paraId="5CF173C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22%</w:t>
            </w:r>
          </w:p>
        </w:tc>
        <w:tc>
          <w:tcPr>
            <w:tcW w:w="992" w:type="dxa"/>
            <w:shd w:val="clear" w:color="auto" w:fill="D9D9D9" w:themeFill="background1" w:themeFillShade="D9"/>
            <w:vAlign w:val="center"/>
          </w:tcPr>
          <w:p w14:paraId="35F41D72"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56</w:t>
            </w:r>
          </w:p>
        </w:tc>
        <w:tc>
          <w:tcPr>
            <w:tcW w:w="1135" w:type="dxa"/>
            <w:shd w:val="clear" w:color="auto" w:fill="D9D9D9" w:themeFill="background1" w:themeFillShade="D9"/>
            <w:noWrap/>
            <w:vAlign w:val="center"/>
            <w:hideMark/>
          </w:tcPr>
          <w:p w14:paraId="711A6B1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94.1</w:t>
            </w:r>
          </w:p>
        </w:tc>
        <w:tc>
          <w:tcPr>
            <w:tcW w:w="1276" w:type="dxa"/>
            <w:shd w:val="clear" w:color="auto" w:fill="D9D9D9" w:themeFill="background1" w:themeFillShade="D9"/>
            <w:noWrap/>
            <w:vAlign w:val="center"/>
            <w:hideMark/>
          </w:tcPr>
          <w:p w14:paraId="1D8A3E0D"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6.6</w:t>
            </w:r>
          </w:p>
        </w:tc>
        <w:tc>
          <w:tcPr>
            <w:tcW w:w="1092" w:type="dxa"/>
            <w:shd w:val="clear" w:color="auto" w:fill="D9D9D9" w:themeFill="background1" w:themeFillShade="D9"/>
            <w:noWrap/>
            <w:vAlign w:val="center"/>
            <w:hideMark/>
          </w:tcPr>
          <w:p w14:paraId="5B7B284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345</w:t>
            </w:r>
          </w:p>
        </w:tc>
        <w:tc>
          <w:tcPr>
            <w:tcW w:w="1093" w:type="dxa"/>
            <w:shd w:val="clear" w:color="auto" w:fill="D9D9D9" w:themeFill="background1" w:themeFillShade="D9"/>
            <w:noWrap/>
            <w:vAlign w:val="center"/>
            <w:hideMark/>
          </w:tcPr>
          <w:p w14:paraId="1EC5F8E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844</w:t>
            </w:r>
          </w:p>
        </w:tc>
        <w:tc>
          <w:tcPr>
            <w:tcW w:w="1093" w:type="dxa"/>
            <w:shd w:val="clear" w:color="auto" w:fill="D9D9D9" w:themeFill="background1" w:themeFillShade="D9"/>
            <w:noWrap/>
            <w:vAlign w:val="center"/>
            <w:hideMark/>
          </w:tcPr>
          <w:p w14:paraId="2BEB659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0.29</w:t>
            </w:r>
          </w:p>
        </w:tc>
        <w:tc>
          <w:tcPr>
            <w:tcW w:w="1092" w:type="dxa"/>
            <w:shd w:val="clear" w:color="auto" w:fill="D9D9D9" w:themeFill="background1" w:themeFillShade="D9"/>
            <w:noWrap/>
            <w:vAlign w:val="center"/>
            <w:hideMark/>
          </w:tcPr>
          <w:p w14:paraId="00A5A60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158</w:t>
            </w:r>
          </w:p>
        </w:tc>
        <w:tc>
          <w:tcPr>
            <w:tcW w:w="1093" w:type="dxa"/>
            <w:shd w:val="clear" w:color="auto" w:fill="D9D9D9" w:themeFill="background1" w:themeFillShade="D9"/>
            <w:noWrap/>
            <w:vAlign w:val="center"/>
            <w:hideMark/>
          </w:tcPr>
          <w:p w14:paraId="6DE02A2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1,847</w:t>
            </w:r>
          </w:p>
        </w:tc>
        <w:tc>
          <w:tcPr>
            <w:tcW w:w="1093" w:type="dxa"/>
            <w:shd w:val="clear" w:color="auto" w:fill="D9D9D9" w:themeFill="background1" w:themeFillShade="D9"/>
            <w:noWrap/>
            <w:vAlign w:val="center"/>
            <w:hideMark/>
          </w:tcPr>
          <w:p w14:paraId="4BBDBD1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0.08</w:t>
            </w:r>
          </w:p>
        </w:tc>
      </w:tr>
      <w:tr w:rsidR="008D6DF4" w:rsidRPr="00E8396C" w14:paraId="5C6698B0" w14:textId="77777777" w:rsidTr="00E8396C">
        <w:trPr>
          <w:jc w:val="center"/>
        </w:trPr>
        <w:tc>
          <w:tcPr>
            <w:tcW w:w="1278" w:type="dxa"/>
            <w:vMerge w:val="restart"/>
            <w:shd w:val="clear" w:color="auto" w:fill="auto"/>
            <w:vAlign w:val="center"/>
            <w:hideMark/>
          </w:tcPr>
          <w:p w14:paraId="64BA16AC"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KORA</w:t>
            </w:r>
          </w:p>
        </w:tc>
        <w:tc>
          <w:tcPr>
            <w:tcW w:w="849" w:type="dxa"/>
            <w:vAlign w:val="center"/>
          </w:tcPr>
          <w:p w14:paraId="52049E2C"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S3/F3</w:t>
            </w:r>
          </w:p>
        </w:tc>
        <w:tc>
          <w:tcPr>
            <w:tcW w:w="1132" w:type="dxa"/>
            <w:vAlign w:val="center"/>
          </w:tcPr>
          <w:p w14:paraId="1634E816" w14:textId="0EE6D8B1"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06B84F4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49%</w:t>
            </w:r>
          </w:p>
        </w:tc>
        <w:tc>
          <w:tcPr>
            <w:tcW w:w="1134" w:type="dxa"/>
            <w:vAlign w:val="center"/>
          </w:tcPr>
          <w:p w14:paraId="67C58AD0"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2%</w:t>
            </w:r>
          </w:p>
        </w:tc>
        <w:tc>
          <w:tcPr>
            <w:tcW w:w="992" w:type="dxa"/>
            <w:vAlign w:val="center"/>
          </w:tcPr>
          <w:p w14:paraId="206B46B9"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47</w:t>
            </w:r>
          </w:p>
        </w:tc>
        <w:tc>
          <w:tcPr>
            <w:tcW w:w="1135" w:type="dxa"/>
            <w:shd w:val="clear" w:color="auto" w:fill="auto"/>
            <w:noWrap/>
            <w:vAlign w:val="center"/>
            <w:hideMark/>
          </w:tcPr>
          <w:p w14:paraId="4E84F60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102.7</w:t>
            </w:r>
          </w:p>
        </w:tc>
        <w:tc>
          <w:tcPr>
            <w:tcW w:w="1276" w:type="dxa"/>
            <w:shd w:val="clear" w:color="auto" w:fill="auto"/>
            <w:noWrap/>
            <w:vAlign w:val="center"/>
            <w:hideMark/>
          </w:tcPr>
          <w:p w14:paraId="5DDF6E0A"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w:t>
            </w:r>
          </w:p>
        </w:tc>
        <w:tc>
          <w:tcPr>
            <w:tcW w:w="1092" w:type="dxa"/>
            <w:shd w:val="clear" w:color="auto" w:fill="auto"/>
            <w:noWrap/>
            <w:vAlign w:val="center"/>
            <w:hideMark/>
          </w:tcPr>
          <w:p w14:paraId="5F8D6D5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321</w:t>
            </w:r>
          </w:p>
        </w:tc>
        <w:tc>
          <w:tcPr>
            <w:tcW w:w="1093" w:type="dxa"/>
            <w:shd w:val="clear" w:color="auto" w:fill="auto"/>
            <w:noWrap/>
            <w:vAlign w:val="center"/>
            <w:hideMark/>
          </w:tcPr>
          <w:p w14:paraId="4FA9930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851</w:t>
            </w:r>
          </w:p>
        </w:tc>
        <w:tc>
          <w:tcPr>
            <w:tcW w:w="1093" w:type="dxa"/>
            <w:shd w:val="clear" w:color="auto" w:fill="auto"/>
            <w:noWrap/>
            <w:vAlign w:val="center"/>
            <w:hideMark/>
          </w:tcPr>
          <w:p w14:paraId="377A524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0.27</w:t>
            </w:r>
          </w:p>
        </w:tc>
        <w:tc>
          <w:tcPr>
            <w:tcW w:w="1092" w:type="dxa"/>
            <w:shd w:val="clear" w:color="auto" w:fill="auto"/>
            <w:noWrap/>
            <w:vAlign w:val="center"/>
            <w:hideMark/>
          </w:tcPr>
          <w:p w14:paraId="6AB251D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168</w:t>
            </w:r>
          </w:p>
        </w:tc>
        <w:tc>
          <w:tcPr>
            <w:tcW w:w="1093" w:type="dxa"/>
            <w:shd w:val="clear" w:color="auto" w:fill="auto"/>
            <w:noWrap/>
            <w:vAlign w:val="center"/>
            <w:hideMark/>
          </w:tcPr>
          <w:p w14:paraId="55FB8BB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2,651</w:t>
            </w:r>
          </w:p>
        </w:tc>
        <w:tc>
          <w:tcPr>
            <w:tcW w:w="1093" w:type="dxa"/>
            <w:shd w:val="clear" w:color="auto" w:fill="auto"/>
            <w:noWrap/>
            <w:vAlign w:val="center"/>
            <w:hideMark/>
          </w:tcPr>
          <w:p w14:paraId="2E2BABB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0.06</w:t>
            </w:r>
          </w:p>
        </w:tc>
      </w:tr>
      <w:tr w:rsidR="008D6DF4" w:rsidRPr="00E8396C" w14:paraId="1F165B34" w14:textId="77777777" w:rsidTr="00E8396C">
        <w:trPr>
          <w:jc w:val="center"/>
        </w:trPr>
        <w:tc>
          <w:tcPr>
            <w:tcW w:w="1278" w:type="dxa"/>
            <w:vMerge/>
            <w:vAlign w:val="center"/>
            <w:hideMark/>
          </w:tcPr>
          <w:p w14:paraId="66FC8DA6"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vAlign w:val="center"/>
          </w:tcPr>
          <w:p w14:paraId="01D300DC"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S4/F4</w:t>
            </w:r>
          </w:p>
        </w:tc>
        <w:tc>
          <w:tcPr>
            <w:tcW w:w="1132" w:type="dxa"/>
            <w:vAlign w:val="center"/>
          </w:tcPr>
          <w:p w14:paraId="16D4AC73" w14:textId="13221645"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77E877E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49%</w:t>
            </w:r>
          </w:p>
        </w:tc>
        <w:tc>
          <w:tcPr>
            <w:tcW w:w="1134" w:type="dxa"/>
            <w:vAlign w:val="center"/>
          </w:tcPr>
          <w:p w14:paraId="2C4D4F6F"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2%</w:t>
            </w:r>
          </w:p>
        </w:tc>
        <w:tc>
          <w:tcPr>
            <w:tcW w:w="992" w:type="dxa"/>
            <w:vAlign w:val="center"/>
          </w:tcPr>
          <w:p w14:paraId="2CED1FE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49</w:t>
            </w:r>
          </w:p>
        </w:tc>
        <w:tc>
          <w:tcPr>
            <w:tcW w:w="1135" w:type="dxa"/>
            <w:shd w:val="clear" w:color="auto" w:fill="auto"/>
            <w:noWrap/>
            <w:vAlign w:val="center"/>
            <w:hideMark/>
          </w:tcPr>
          <w:p w14:paraId="1FECCA5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93.0</w:t>
            </w:r>
          </w:p>
        </w:tc>
        <w:tc>
          <w:tcPr>
            <w:tcW w:w="1276" w:type="dxa"/>
            <w:shd w:val="clear" w:color="auto" w:fill="auto"/>
            <w:noWrap/>
            <w:vAlign w:val="center"/>
            <w:hideMark/>
          </w:tcPr>
          <w:p w14:paraId="5A1A3527"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w:t>
            </w:r>
          </w:p>
        </w:tc>
        <w:tc>
          <w:tcPr>
            <w:tcW w:w="1092" w:type="dxa"/>
            <w:shd w:val="clear" w:color="auto" w:fill="auto"/>
            <w:noWrap/>
            <w:vAlign w:val="center"/>
            <w:hideMark/>
          </w:tcPr>
          <w:p w14:paraId="3A760E0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241</w:t>
            </w:r>
          </w:p>
        </w:tc>
        <w:tc>
          <w:tcPr>
            <w:tcW w:w="1093" w:type="dxa"/>
            <w:shd w:val="clear" w:color="auto" w:fill="auto"/>
            <w:noWrap/>
            <w:vAlign w:val="center"/>
            <w:hideMark/>
          </w:tcPr>
          <w:p w14:paraId="5E0616B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1,368</w:t>
            </w:r>
          </w:p>
        </w:tc>
        <w:tc>
          <w:tcPr>
            <w:tcW w:w="1093" w:type="dxa"/>
            <w:shd w:val="clear" w:color="auto" w:fill="auto"/>
            <w:noWrap/>
            <w:vAlign w:val="center"/>
            <w:hideMark/>
          </w:tcPr>
          <w:p w14:paraId="2AA225F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0.15</w:t>
            </w:r>
          </w:p>
        </w:tc>
        <w:tc>
          <w:tcPr>
            <w:tcW w:w="1092" w:type="dxa"/>
            <w:shd w:val="clear" w:color="auto" w:fill="auto"/>
            <w:noWrap/>
            <w:vAlign w:val="center"/>
            <w:hideMark/>
          </w:tcPr>
          <w:p w14:paraId="2997A3D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3975358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6093BF1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6374927D" w14:textId="77777777" w:rsidTr="008C28AF">
        <w:trPr>
          <w:jc w:val="center"/>
        </w:trPr>
        <w:tc>
          <w:tcPr>
            <w:tcW w:w="1278" w:type="dxa"/>
            <w:shd w:val="clear" w:color="auto" w:fill="D9D9D9" w:themeFill="background1" w:themeFillShade="D9"/>
            <w:vAlign w:val="center"/>
            <w:hideMark/>
          </w:tcPr>
          <w:p w14:paraId="37B593D0"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Lifelines</w:t>
            </w:r>
          </w:p>
        </w:tc>
        <w:tc>
          <w:tcPr>
            <w:tcW w:w="849" w:type="dxa"/>
            <w:shd w:val="clear" w:color="auto" w:fill="D9D9D9" w:themeFill="background1" w:themeFillShade="D9"/>
            <w:vAlign w:val="center"/>
          </w:tcPr>
          <w:p w14:paraId="4BF455B3"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77888446" w14:textId="7A3F542C"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4B475FE0"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42%</w:t>
            </w:r>
          </w:p>
        </w:tc>
        <w:tc>
          <w:tcPr>
            <w:tcW w:w="1134" w:type="dxa"/>
            <w:shd w:val="clear" w:color="auto" w:fill="D9D9D9" w:themeFill="background1" w:themeFillShade="D9"/>
            <w:vAlign w:val="center"/>
          </w:tcPr>
          <w:p w14:paraId="0C35E45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w:t>
            </w:r>
          </w:p>
        </w:tc>
        <w:tc>
          <w:tcPr>
            <w:tcW w:w="992" w:type="dxa"/>
            <w:shd w:val="clear" w:color="auto" w:fill="D9D9D9" w:themeFill="background1" w:themeFillShade="D9"/>
            <w:vAlign w:val="center"/>
          </w:tcPr>
          <w:p w14:paraId="0A8516B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47</w:t>
            </w:r>
          </w:p>
        </w:tc>
        <w:tc>
          <w:tcPr>
            <w:tcW w:w="1135" w:type="dxa"/>
            <w:shd w:val="clear" w:color="auto" w:fill="D9D9D9" w:themeFill="background1" w:themeFillShade="D9"/>
            <w:noWrap/>
            <w:vAlign w:val="center"/>
            <w:hideMark/>
          </w:tcPr>
          <w:p w14:paraId="2EC5977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93.2</w:t>
            </w:r>
          </w:p>
        </w:tc>
        <w:tc>
          <w:tcPr>
            <w:tcW w:w="1276" w:type="dxa"/>
            <w:shd w:val="clear" w:color="auto" w:fill="D9D9D9" w:themeFill="background1" w:themeFillShade="D9"/>
            <w:noWrap/>
            <w:vAlign w:val="center"/>
            <w:hideMark/>
          </w:tcPr>
          <w:p w14:paraId="6D517FE8"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5.5</w:t>
            </w:r>
          </w:p>
        </w:tc>
        <w:tc>
          <w:tcPr>
            <w:tcW w:w="1092" w:type="dxa"/>
            <w:shd w:val="clear" w:color="auto" w:fill="D9D9D9" w:themeFill="background1" w:themeFillShade="D9"/>
            <w:noWrap/>
            <w:vAlign w:val="center"/>
            <w:hideMark/>
          </w:tcPr>
          <w:p w14:paraId="6AA4DDE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821</w:t>
            </w:r>
          </w:p>
        </w:tc>
        <w:tc>
          <w:tcPr>
            <w:tcW w:w="1093" w:type="dxa"/>
            <w:shd w:val="clear" w:color="auto" w:fill="D9D9D9" w:themeFill="background1" w:themeFillShade="D9"/>
            <w:noWrap/>
            <w:vAlign w:val="center"/>
            <w:hideMark/>
          </w:tcPr>
          <w:p w14:paraId="51E16259"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4,743</w:t>
            </w:r>
          </w:p>
        </w:tc>
        <w:tc>
          <w:tcPr>
            <w:tcW w:w="1093" w:type="dxa"/>
            <w:shd w:val="clear" w:color="auto" w:fill="D9D9D9" w:themeFill="background1" w:themeFillShade="D9"/>
            <w:noWrap/>
            <w:vAlign w:val="center"/>
            <w:hideMark/>
          </w:tcPr>
          <w:p w14:paraId="4E86C71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0.15</w:t>
            </w:r>
          </w:p>
        </w:tc>
        <w:tc>
          <w:tcPr>
            <w:tcW w:w="1092" w:type="dxa"/>
            <w:shd w:val="clear" w:color="auto" w:fill="D9D9D9" w:themeFill="background1" w:themeFillShade="D9"/>
            <w:noWrap/>
            <w:vAlign w:val="center"/>
            <w:hideMark/>
          </w:tcPr>
          <w:p w14:paraId="2390F0F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0A78CFE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57CCB625"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6BFE219A" w14:textId="77777777" w:rsidTr="008C28AF">
        <w:trPr>
          <w:jc w:val="center"/>
        </w:trPr>
        <w:tc>
          <w:tcPr>
            <w:tcW w:w="1278" w:type="dxa"/>
            <w:tcBorders>
              <w:bottom w:val="single" w:sz="4" w:space="0" w:color="auto"/>
            </w:tcBorders>
            <w:shd w:val="clear" w:color="auto" w:fill="auto"/>
            <w:vAlign w:val="center"/>
            <w:hideMark/>
          </w:tcPr>
          <w:p w14:paraId="0A24B894"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MDC-CC</w:t>
            </w:r>
          </w:p>
        </w:tc>
        <w:tc>
          <w:tcPr>
            <w:tcW w:w="849" w:type="dxa"/>
            <w:tcBorders>
              <w:bottom w:val="single" w:sz="4" w:space="0" w:color="auto"/>
            </w:tcBorders>
            <w:vAlign w:val="center"/>
          </w:tcPr>
          <w:p w14:paraId="3DC9C036"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tcBorders>
              <w:bottom w:val="single" w:sz="4" w:space="0" w:color="auto"/>
            </w:tcBorders>
            <w:vAlign w:val="center"/>
          </w:tcPr>
          <w:p w14:paraId="7FDFA52A" w14:textId="3F06F739"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tcBorders>
              <w:bottom w:val="single" w:sz="4" w:space="0" w:color="auto"/>
            </w:tcBorders>
            <w:vAlign w:val="center"/>
          </w:tcPr>
          <w:p w14:paraId="41D03C6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41%</w:t>
            </w:r>
          </w:p>
        </w:tc>
        <w:tc>
          <w:tcPr>
            <w:tcW w:w="1134" w:type="dxa"/>
            <w:tcBorders>
              <w:bottom w:val="single" w:sz="4" w:space="0" w:color="auto"/>
            </w:tcBorders>
            <w:vAlign w:val="center"/>
          </w:tcPr>
          <w:p w14:paraId="6CA96CD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w:t>
            </w:r>
          </w:p>
        </w:tc>
        <w:tc>
          <w:tcPr>
            <w:tcW w:w="992" w:type="dxa"/>
            <w:tcBorders>
              <w:bottom w:val="single" w:sz="4" w:space="0" w:color="auto"/>
            </w:tcBorders>
            <w:vAlign w:val="center"/>
          </w:tcPr>
          <w:p w14:paraId="3AC07960"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58</w:t>
            </w:r>
          </w:p>
        </w:tc>
        <w:tc>
          <w:tcPr>
            <w:tcW w:w="1135" w:type="dxa"/>
            <w:tcBorders>
              <w:bottom w:val="single" w:sz="4" w:space="0" w:color="auto"/>
            </w:tcBorders>
            <w:shd w:val="clear" w:color="auto" w:fill="auto"/>
            <w:noWrap/>
            <w:vAlign w:val="center"/>
            <w:hideMark/>
          </w:tcPr>
          <w:p w14:paraId="04FD1DA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80.3</w:t>
            </w:r>
          </w:p>
        </w:tc>
        <w:tc>
          <w:tcPr>
            <w:tcW w:w="1276" w:type="dxa"/>
            <w:tcBorders>
              <w:bottom w:val="single" w:sz="4" w:space="0" w:color="auto"/>
            </w:tcBorders>
            <w:shd w:val="clear" w:color="auto" w:fill="auto"/>
            <w:noWrap/>
            <w:vAlign w:val="center"/>
            <w:hideMark/>
          </w:tcPr>
          <w:p w14:paraId="7D66ADCF"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15.14</w:t>
            </w:r>
          </w:p>
        </w:tc>
        <w:tc>
          <w:tcPr>
            <w:tcW w:w="1092" w:type="dxa"/>
            <w:tcBorders>
              <w:bottom w:val="single" w:sz="4" w:space="0" w:color="auto"/>
            </w:tcBorders>
            <w:shd w:val="clear" w:color="auto" w:fill="auto"/>
            <w:noWrap/>
            <w:vAlign w:val="center"/>
            <w:hideMark/>
          </w:tcPr>
          <w:p w14:paraId="6726D5D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tcBorders>
              <w:bottom w:val="single" w:sz="4" w:space="0" w:color="auto"/>
            </w:tcBorders>
            <w:shd w:val="clear" w:color="auto" w:fill="auto"/>
            <w:noWrap/>
            <w:vAlign w:val="center"/>
            <w:hideMark/>
          </w:tcPr>
          <w:p w14:paraId="57E735E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tcBorders>
              <w:bottom w:val="single" w:sz="4" w:space="0" w:color="auto"/>
            </w:tcBorders>
            <w:shd w:val="clear" w:color="auto" w:fill="auto"/>
            <w:noWrap/>
            <w:vAlign w:val="center"/>
            <w:hideMark/>
          </w:tcPr>
          <w:p w14:paraId="5C0BEF1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2" w:type="dxa"/>
            <w:tcBorders>
              <w:bottom w:val="single" w:sz="4" w:space="0" w:color="auto"/>
            </w:tcBorders>
            <w:shd w:val="clear" w:color="auto" w:fill="auto"/>
            <w:noWrap/>
            <w:vAlign w:val="center"/>
            <w:hideMark/>
          </w:tcPr>
          <w:p w14:paraId="50DFBE6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296</w:t>
            </w:r>
          </w:p>
        </w:tc>
        <w:tc>
          <w:tcPr>
            <w:tcW w:w="1093" w:type="dxa"/>
            <w:tcBorders>
              <w:bottom w:val="single" w:sz="4" w:space="0" w:color="auto"/>
            </w:tcBorders>
            <w:shd w:val="clear" w:color="auto" w:fill="auto"/>
            <w:noWrap/>
            <w:vAlign w:val="center"/>
            <w:hideMark/>
          </w:tcPr>
          <w:p w14:paraId="3297B9E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2,279</w:t>
            </w:r>
          </w:p>
        </w:tc>
        <w:tc>
          <w:tcPr>
            <w:tcW w:w="1093" w:type="dxa"/>
            <w:tcBorders>
              <w:bottom w:val="single" w:sz="4" w:space="0" w:color="auto"/>
            </w:tcBorders>
            <w:shd w:val="clear" w:color="auto" w:fill="auto"/>
            <w:noWrap/>
            <w:vAlign w:val="center"/>
            <w:hideMark/>
          </w:tcPr>
          <w:p w14:paraId="01C48A6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0.11</w:t>
            </w:r>
          </w:p>
        </w:tc>
      </w:tr>
    </w:tbl>
    <w:p w14:paraId="0A34BA08" w14:textId="77777777" w:rsidR="008C28AF" w:rsidRPr="000709F4" w:rsidRDefault="008C28AF" w:rsidP="008C28AF">
      <w:pPr>
        <w:ind w:right="-456"/>
        <w:jc w:val="right"/>
        <w:rPr>
          <w:lang w:val="en-US"/>
        </w:rPr>
      </w:pPr>
      <w:r w:rsidRPr="009650D7">
        <w:rPr>
          <w:lang w:val="en-US"/>
        </w:rPr>
        <w:t>… to be continued</w:t>
      </w:r>
    </w:p>
    <w:p w14:paraId="71F90704" w14:textId="77777777" w:rsidR="008C28AF" w:rsidRDefault="008C28AF">
      <w:pPr>
        <w:rPr>
          <w:rFonts w:ascii="Arial" w:eastAsia="Times New Roman" w:hAnsi="Arial" w:cs="Arial"/>
          <w:b/>
          <w:bCs/>
          <w:color w:val="000000"/>
          <w:lang w:val="en-US"/>
        </w:rPr>
      </w:pPr>
      <w:r>
        <w:rPr>
          <w:rFonts w:ascii="Arial" w:eastAsia="Times New Roman" w:hAnsi="Arial" w:cs="Arial"/>
          <w:b/>
          <w:bCs/>
          <w:color w:val="000000"/>
          <w:lang w:val="en-US"/>
        </w:rPr>
        <w:br w:type="page"/>
      </w:r>
    </w:p>
    <w:p w14:paraId="5DB2E10B" w14:textId="1D0046C1" w:rsidR="00FA0460" w:rsidRPr="00E8396C" w:rsidRDefault="00FA0460" w:rsidP="00FA0460">
      <w:pPr>
        <w:spacing w:after="120" w:line="240" w:lineRule="auto"/>
        <w:jc w:val="both"/>
        <w:rPr>
          <w:rFonts w:ascii="Arial" w:eastAsia="Times New Roman" w:hAnsi="Arial" w:cs="Arial"/>
          <w:bCs/>
          <w:color w:val="000000"/>
          <w:lang w:val="en-US"/>
        </w:rPr>
      </w:pPr>
      <w:r>
        <w:rPr>
          <w:rFonts w:ascii="Arial" w:eastAsia="Times New Roman" w:hAnsi="Arial" w:cs="Arial"/>
          <w:b/>
          <w:bCs/>
          <w:color w:val="000000"/>
          <w:lang w:val="en-US"/>
        </w:rPr>
        <w:lastRenderedPageBreak/>
        <w:t>Supplementary Table 1</w:t>
      </w:r>
      <w:r w:rsidR="006F789D">
        <w:rPr>
          <w:rFonts w:ascii="Arial" w:eastAsia="Times New Roman" w:hAnsi="Arial" w:cs="Arial"/>
          <w:b/>
          <w:bCs/>
          <w:color w:val="000000"/>
          <w:lang w:val="en-US"/>
        </w:rPr>
        <w:t>B</w:t>
      </w:r>
      <w:r>
        <w:rPr>
          <w:rFonts w:ascii="Arial" w:eastAsia="Times New Roman" w:hAnsi="Arial" w:cs="Arial"/>
          <w:b/>
          <w:bCs/>
          <w:color w:val="000000"/>
          <w:lang w:val="en-US"/>
        </w:rPr>
        <w:t>: continued</w:t>
      </w:r>
    </w:p>
    <w:tbl>
      <w:tblPr>
        <w:tblW w:w="15203" w:type="dxa"/>
        <w:jc w:val="center"/>
        <w:tblLayout w:type="fixed"/>
        <w:tblLook w:val="04A0" w:firstRow="1" w:lastRow="0" w:firstColumn="1" w:lastColumn="0" w:noHBand="0" w:noVBand="1"/>
      </w:tblPr>
      <w:tblGrid>
        <w:gridCol w:w="1278"/>
        <w:gridCol w:w="849"/>
        <w:gridCol w:w="1132"/>
        <w:gridCol w:w="851"/>
        <w:gridCol w:w="1134"/>
        <w:gridCol w:w="992"/>
        <w:gridCol w:w="1135"/>
        <w:gridCol w:w="1276"/>
        <w:gridCol w:w="1092"/>
        <w:gridCol w:w="1093"/>
        <w:gridCol w:w="1093"/>
        <w:gridCol w:w="1092"/>
        <w:gridCol w:w="1093"/>
        <w:gridCol w:w="1093"/>
      </w:tblGrid>
      <w:tr w:rsidR="00FA0460" w14:paraId="56612D26" w14:textId="77777777" w:rsidTr="00DC566E">
        <w:trPr>
          <w:trHeight w:val="510"/>
          <w:jc w:val="center"/>
        </w:trPr>
        <w:tc>
          <w:tcPr>
            <w:tcW w:w="1278" w:type="dxa"/>
            <w:tcBorders>
              <w:top w:val="single" w:sz="4" w:space="0" w:color="auto"/>
              <w:bottom w:val="single" w:sz="4" w:space="0" w:color="auto"/>
            </w:tcBorders>
            <w:shd w:val="clear" w:color="auto" w:fill="BDD6EE" w:themeFill="accent1" w:themeFillTint="66"/>
            <w:noWrap/>
            <w:vAlign w:val="bottom"/>
            <w:hideMark/>
          </w:tcPr>
          <w:p w14:paraId="32704C6C" w14:textId="5E082296" w:rsidR="00FA0460" w:rsidRDefault="00FA0460" w:rsidP="00DC566E">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Study</w:t>
            </w:r>
            <w:r w:rsidR="008C28AF">
              <w:rPr>
                <w:rFonts w:ascii="Arial" w:eastAsia="Times New Roman" w:hAnsi="Arial" w:cs="Arial"/>
                <w:b/>
                <w:bCs/>
                <w:color w:val="000000"/>
                <w:sz w:val="20"/>
                <w:szCs w:val="20"/>
                <w:lang w:val="en-US"/>
              </w:rPr>
              <w:t xml:space="preserve"> short name</w:t>
            </w:r>
          </w:p>
        </w:tc>
        <w:tc>
          <w:tcPr>
            <w:tcW w:w="849" w:type="dxa"/>
            <w:tcBorders>
              <w:top w:val="single" w:sz="4" w:space="0" w:color="auto"/>
              <w:bottom w:val="single" w:sz="4" w:space="0" w:color="auto"/>
            </w:tcBorders>
            <w:shd w:val="clear" w:color="auto" w:fill="BDD6EE" w:themeFill="accent1" w:themeFillTint="66"/>
            <w:vAlign w:val="bottom"/>
          </w:tcPr>
          <w:p w14:paraId="77BE5827" w14:textId="300E0911" w:rsidR="00FA0460" w:rsidRDefault="00FA0460" w:rsidP="006800B7">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Sub</w:t>
            </w:r>
            <w:r w:rsidR="006800B7">
              <w:rPr>
                <w:rFonts w:ascii="Arial" w:eastAsia="Times New Roman" w:hAnsi="Arial" w:cs="Arial"/>
                <w:b/>
                <w:bCs/>
                <w:color w:val="000000"/>
                <w:sz w:val="20"/>
                <w:szCs w:val="20"/>
                <w:lang w:val="en-US"/>
              </w:rPr>
              <w:t>-g</w:t>
            </w:r>
            <w:r>
              <w:rPr>
                <w:rFonts w:ascii="Arial" w:eastAsia="Times New Roman" w:hAnsi="Arial" w:cs="Arial"/>
                <w:b/>
                <w:bCs/>
                <w:color w:val="000000"/>
                <w:sz w:val="20"/>
                <w:szCs w:val="20"/>
                <w:lang w:val="en-US"/>
              </w:rPr>
              <w:t>roup</w:t>
            </w:r>
            <w:r w:rsidR="006800B7">
              <w:rPr>
                <w:rFonts w:ascii="Arial" w:eastAsia="Times New Roman" w:hAnsi="Arial" w:cs="Arial"/>
                <w:b/>
                <w:bCs/>
                <w:color w:val="000000"/>
                <w:sz w:val="20"/>
                <w:szCs w:val="20"/>
                <w:lang w:val="en-US"/>
              </w:rPr>
              <w:t>*</w:t>
            </w:r>
          </w:p>
        </w:tc>
        <w:tc>
          <w:tcPr>
            <w:tcW w:w="1132" w:type="dxa"/>
            <w:tcBorders>
              <w:top w:val="single" w:sz="4" w:space="0" w:color="auto"/>
              <w:bottom w:val="single" w:sz="4" w:space="0" w:color="auto"/>
            </w:tcBorders>
            <w:shd w:val="clear" w:color="auto" w:fill="BDD6EE" w:themeFill="accent1" w:themeFillTint="66"/>
            <w:vAlign w:val="bottom"/>
          </w:tcPr>
          <w:p w14:paraId="5C48C5F4" w14:textId="188B0843" w:rsidR="00FA0460" w:rsidRDefault="00FA0460" w:rsidP="00DC566E">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Ancestry</w:t>
            </w:r>
            <w:r w:rsidR="006800B7">
              <w:rPr>
                <w:rFonts w:ascii="Arial" w:eastAsia="Times New Roman" w:hAnsi="Arial" w:cs="Arial"/>
                <w:b/>
                <w:bCs/>
                <w:color w:val="000000"/>
                <w:sz w:val="20"/>
                <w:szCs w:val="20"/>
                <w:lang w:val="en-US"/>
              </w:rPr>
              <w:t>**</w:t>
            </w:r>
          </w:p>
        </w:tc>
        <w:tc>
          <w:tcPr>
            <w:tcW w:w="851" w:type="dxa"/>
            <w:tcBorders>
              <w:top w:val="single" w:sz="4" w:space="0" w:color="auto"/>
              <w:bottom w:val="single" w:sz="4" w:space="0" w:color="auto"/>
            </w:tcBorders>
            <w:shd w:val="clear" w:color="auto" w:fill="BDD6EE" w:themeFill="accent1" w:themeFillTint="66"/>
            <w:vAlign w:val="bottom"/>
          </w:tcPr>
          <w:p w14:paraId="6EDF1028" w14:textId="77777777" w:rsidR="00FA0460" w:rsidRDefault="00FA0460" w:rsidP="00DC566E">
            <w:pPr>
              <w:spacing w:after="0" w:line="240" w:lineRule="auto"/>
              <w:jc w:val="right"/>
              <w:rPr>
                <w:rFonts w:ascii="Arial" w:hAnsi="Arial" w:cs="Arial"/>
                <w:b/>
                <w:bCs/>
                <w:color w:val="000000"/>
                <w:sz w:val="20"/>
                <w:szCs w:val="20"/>
              </w:rPr>
            </w:pPr>
            <w:r>
              <w:rPr>
                <w:rFonts w:ascii="Arial" w:hAnsi="Arial" w:cs="Arial"/>
                <w:b/>
                <w:bCs/>
                <w:color w:val="000000"/>
                <w:sz w:val="20"/>
                <w:szCs w:val="20"/>
              </w:rPr>
              <w:t>Male (%)</w:t>
            </w:r>
          </w:p>
        </w:tc>
        <w:tc>
          <w:tcPr>
            <w:tcW w:w="1134" w:type="dxa"/>
            <w:tcBorders>
              <w:top w:val="single" w:sz="4" w:space="0" w:color="auto"/>
              <w:bottom w:val="single" w:sz="4" w:space="0" w:color="auto"/>
            </w:tcBorders>
            <w:shd w:val="clear" w:color="auto" w:fill="BDD6EE" w:themeFill="accent1" w:themeFillTint="66"/>
            <w:vAlign w:val="bottom"/>
          </w:tcPr>
          <w:p w14:paraId="7E7BCBA8" w14:textId="77777777" w:rsidR="00FA0460" w:rsidRDefault="00FA0460" w:rsidP="00DC566E">
            <w:pPr>
              <w:spacing w:after="0" w:line="240" w:lineRule="auto"/>
              <w:jc w:val="right"/>
              <w:rPr>
                <w:rFonts w:ascii="Arial" w:hAnsi="Arial" w:cs="Arial"/>
                <w:b/>
                <w:bCs/>
                <w:color w:val="000000"/>
                <w:sz w:val="20"/>
                <w:szCs w:val="20"/>
              </w:rPr>
            </w:pPr>
            <w:r>
              <w:rPr>
                <w:rFonts w:ascii="Arial" w:hAnsi="Arial" w:cs="Arial"/>
                <w:b/>
                <w:bCs/>
                <w:color w:val="000000"/>
                <w:sz w:val="20"/>
                <w:szCs w:val="20"/>
              </w:rPr>
              <w:t>Diabetes (%)</w:t>
            </w:r>
          </w:p>
        </w:tc>
        <w:tc>
          <w:tcPr>
            <w:tcW w:w="992" w:type="dxa"/>
            <w:tcBorders>
              <w:top w:val="single" w:sz="4" w:space="0" w:color="auto"/>
              <w:bottom w:val="single" w:sz="4" w:space="0" w:color="auto"/>
            </w:tcBorders>
            <w:shd w:val="clear" w:color="auto" w:fill="BDD6EE" w:themeFill="accent1" w:themeFillTint="66"/>
            <w:vAlign w:val="bottom"/>
          </w:tcPr>
          <w:p w14:paraId="6E40F96B" w14:textId="77777777" w:rsidR="00FA0460" w:rsidRDefault="00FA0460" w:rsidP="00DC566E">
            <w:pPr>
              <w:spacing w:after="0" w:line="240" w:lineRule="auto"/>
              <w:jc w:val="right"/>
              <w:rPr>
                <w:rFonts w:ascii="Arial" w:hAnsi="Arial" w:cs="Arial"/>
                <w:b/>
                <w:bCs/>
                <w:color w:val="000000"/>
                <w:sz w:val="20"/>
                <w:szCs w:val="20"/>
              </w:rPr>
            </w:pPr>
            <w:r>
              <w:rPr>
                <w:rFonts w:ascii="Arial" w:hAnsi="Arial" w:cs="Arial"/>
                <w:b/>
                <w:bCs/>
                <w:color w:val="000000"/>
                <w:sz w:val="20"/>
                <w:szCs w:val="20"/>
              </w:rPr>
              <w:t>Age median [years]</w:t>
            </w:r>
          </w:p>
        </w:tc>
        <w:tc>
          <w:tcPr>
            <w:tcW w:w="1135" w:type="dxa"/>
            <w:tcBorders>
              <w:top w:val="single" w:sz="4" w:space="0" w:color="auto"/>
              <w:bottom w:val="single" w:sz="4" w:space="0" w:color="auto"/>
            </w:tcBorders>
            <w:shd w:val="clear" w:color="auto" w:fill="BDD6EE" w:themeFill="accent1" w:themeFillTint="66"/>
            <w:vAlign w:val="bottom"/>
            <w:hideMark/>
          </w:tcPr>
          <w:p w14:paraId="4DAD74C8"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Baseline eGFR</w:t>
            </w:r>
            <w:r>
              <w:rPr>
                <w:rFonts w:ascii="Arial" w:eastAsia="Times New Roman" w:hAnsi="Arial" w:cs="Arial"/>
                <w:b/>
                <w:bCs/>
                <w:color w:val="000000"/>
                <w:sz w:val="20"/>
                <w:szCs w:val="20"/>
                <w:lang w:val="en-US"/>
              </w:rPr>
              <w:br/>
              <w:t>mean [ml/min/ 1.73m</w:t>
            </w:r>
            <w:r w:rsidRPr="00B45027">
              <w:rPr>
                <w:rFonts w:ascii="Arial" w:eastAsia="Times New Roman" w:hAnsi="Arial" w:cs="Arial"/>
                <w:b/>
                <w:bCs/>
                <w:color w:val="000000"/>
                <w:sz w:val="20"/>
                <w:szCs w:val="20"/>
                <w:vertAlign w:val="superscript"/>
                <w:lang w:val="en-US"/>
              </w:rPr>
              <w:t>2</w:t>
            </w:r>
            <w:r>
              <w:rPr>
                <w:rFonts w:ascii="Arial" w:eastAsia="Times New Roman" w:hAnsi="Arial" w:cs="Arial"/>
                <w:b/>
                <w:bCs/>
                <w:color w:val="000000"/>
                <w:sz w:val="20"/>
                <w:szCs w:val="20"/>
                <w:lang w:val="en-US"/>
              </w:rPr>
              <w:t>]</w:t>
            </w:r>
          </w:p>
        </w:tc>
        <w:tc>
          <w:tcPr>
            <w:tcW w:w="1276" w:type="dxa"/>
            <w:tcBorders>
              <w:top w:val="single" w:sz="4" w:space="0" w:color="auto"/>
              <w:bottom w:val="single" w:sz="4" w:space="0" w:color="auto"/>
            </w:tcBorders>
            <w:shd w:val="clear" w:color="auto" w:fill="BDD6EE" w:themeFill="accent1" w:themeFillTint="66"/>
            <w:vAlign w:val="bottom"/>
            <w:hideMark/>
          </w:tcPr>
          <w:p w14:paraId="126600B0" w14:textId="77777777" w:rsidR="00FA0460" w:rsidRDefault="00FA0460" w:rsidP="00DC566E">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Follow-up time [years]</w:t>
            </w:r>
          </w:p>
        </w:tc>
        <w:tc>
          <w:tcPr>
            <w:tcW w:w="1092" w:type="dxa"/>
            <w:tcBorders>
              <w:top w:val="single" w:sz="4" w:space="0" w:color="auto"/>
              <w:bottom w:val="single" w:sz="4" w:space="0" w:color="auto"/>
            </w:tcBorders>
            <w:shd w:val="clear" w:color="auto" w:fill="BDD6EE" w:themeFill="accent1" w:themeFillTint="66"/>
            <w:vAlign w:val="bottom"/>
            <w:hideMark/>
          </w:tcPr>
          <w:p w14:paraId="6E352638"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N </w:t>
            </w:r>
          </w:p>
          <w:p w14:paraId="08081AB9"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cases</w:t>
            </w:r>
            <w:r>
              <w:rPr>
                <w:rFonts w:ascii="Arial" w:eastAsia="Times New Roman" w:hAnsi="Arial" w:cs="Arial"/>
                <w:b/>
                <w:bCs/>
                <w:color w:val="000000"/>
                <w:sz w:val="20"/>
                <w:szCs w:val="20"/>
                <w:lang w:val="en-US"/>
              </w:rPr>
              <w:br/>
              <w:t>Rapid3</w:t>
            </w:r>
          </w:p>
        </w:tc>
        <w:tc>
          <w:tcPr>
            <w:tcW w:w="1093" w:type="dxa"/>
            <w:tcBorders>
              <w:top w:val="single" w:sz="4" w:space="0" w:color="auto"/>
              <w:bottom w:val="single" w:sz="4" w:space="0" w:color="auto"/>
            </w:tcBorders>
            <w:shd w:val="clear" w:color="auto" w:fill="BDD6EE" w:themeFill="accent1" w:themeFillTint="66"/>
            <w:vAlign w:val="bottom"/>
            <w:hideMark/>
          </w:tcPr>
          <w:p w14:paraId="39F5DFBC"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 controls</w:t>
            </w:r>
            <w:r>
              <w:rPr>
                <w:rFonts w:ascii="Arial" w:eastAsia="Times New Roman" w:hAnsi="Arial" w:cs="Arial"/>
                <w:b/>
                <w:bCs/>
                <w:color w:val="000000"/>
                <w:sz w:val="20"/>
                <w:szCs w:val="20"/>
                <w:lang w:val="en-US"/>
              </w:rPr>
              <w:br/>
              <w:t>Rapid3</w:t>
            </w:r>
          </w:p>
        </w:tc>
        <w:tc>
          <w:tcPr>
            <w:tcW w:w="1093" w:type="dxa"/>
            <w:tcBorders>
              <w:top w:val="single" w:sz="4" w:space="0" w:color="auto"/>
              <w:bottom w:val="single" w:sz="4" w:space="0" w:color="auto"/>
            </w:tcBorders>
            <w:shd w:val="clear" w:color="auto" w:fill="BDD6EE" w:themeFill="accent1" w:themeFillTint="66"/>
            <w:vAlign w:val="bottom"/>
            <w:hideMark/>
          </w:tcPr>
          <w:p w14:paraId="2894EF70"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of cases</w:t>
            </w:r>
            <w:r>
              <w:rPr>
                <w:rFonts w:ascii="Arial" w:eastAsia="Times New Roman" w:hAnsi="Arial" w:cs="Arial"/>
                <w:b/>
                <w:bCs/>
                <w:color w:val="000000"/>
                <w:sz w:val="20"/>
                <w:szCs w:val="20"/>
                <w:lang w:val="en-US"/>
              </w:rPr>
              <w:br/>
              <w:t>Rapid3</w:t>
            </w:r>
          </w:p>
        </w:tc>
        <w:tc>
          <w:tcPr>
            <w:tcW w:w="1092" w:type="dxa"/>
            <w:tcBorders>
              <w:top w:val="single" w:sz="4" w:space="0" w:color="auto"/>
              <w:bottom w:val="single" w:sz="4" w:space="0" w:color="auto"/>
            </w:tcBorders>
            <w:shd w:val="clear" w:color="auto" w:fill="BDD6EE" w:themeFill="accent1" w:themeFillTint="66"/>
            <w:vAlign w:val="bottom"/>
            <w:hideMark/>
          </w:tcPr>
          <w:p w14:paraId="74B261BE"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N </w:t>
            </w:r>
          </w:p>
          <w:p w14:paraId="7A5CAFDB"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cases</w:t>
            </w:r>
            <w:r>
              <w:rPr>
                <w:rFonts w:ascii="Arial" w:eastAsia="Times New Roman" w:hAnsi="Arial" w:cs="Arial"/>
                <w:b/>
                <w:bCs/>
                <w:color w:val="000000"/>
                <w:sz w:val="20"/>
                <w:szCs w:val="20"/>
                <w:lang w:val="en-US"/>
              </w:rPr>
              <w:br/>
              <w:t>CKDi25</w:t>
            </w:r>
          </w:p>
        </w:tc>
        <w:tc>
          <w:tcPr>
            <w:tcW w:w="1093" w:type="dxa"/>
            <w:tcBorders>
              <w:top w:val="single" w:sz="4" w:space="0" w:color="auto"/>
              <w:bottom w:val="single" w:sz="4" w:space="0" w:color="auto"/>
            </w:tcBorders>
            <w:shd w:val="clear" w:color="auto" w:fill="BDD6EE" w:themeFill="accent1" w:themeFillTint="66"/>
            <w:vAlign w:val="bottom"/>
            <w:hideMark/>
          </w:tcPr>
          <w:p w14:paraId="50D34BE2"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 controls</w:t>
            </w:r>
            <w:r>
              <w:rPr>
                <w:rFonts w:ascii="Arial" w:eastAsia="Times New Roman" w:hAnsi="Arial" w:cs="Arial"/>
                <w:b/>
                <w:bCs/>
                <w:color w:val="000000"/>
                <w:sz w:val="20"/>
                <w:szCs w:val="20"/>
                <w:lang w:val="en-US"/>
              </w:rPr>
              <w:br/>
              <w:t>CKDi25</w:t>
            </w:r>
          </w:p>
        </w:tc>
        <w:tc>
          <w:tcPr>
            <w:tcW w:w="1093" w:type="dxa"/>
            <w:tcBorders>
              <w:top w:val="single" w:sz="4" w:space="0" w:color="auto"/>
              <w:bottom w:val="single" w:sz="4" w:space="0" w:color="auto"/>
            </w:tcBorders>
            <w:shd w:val="clear" w:color="auto" w:fill="BDD6EE" w:themeFill="accent1" w:themeFillTint="66"/>
            <w:vAlign w:val="bottom"/>
            <w:hideMark/>
          </w:tcPr>
          <w:p w14:paraId="55130986" w14:textId="77777777" w:rsidR="00FA0460" w:rsidRDefault="00FA0460" w:rsidP="00DC566E">
            <w:pPr>
              <w:spacing w:after="0" w:line="240" w:lineRule="auto"/>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of cases</w:t>
            </w:r>
            <w:r>
              <w:rPr>
                <w:rFonts w:ascii="Arial" w:eastAsia="Times New Roman" w:hAnsi="Arial" w:cs="Arial"/>
                <w:b/>
                <w:bCs/>
                <w:color w:val="000000"/>
                <w:sz w:val="20"/>
                <w:szCs w:val="20"/>
                <w:lang w:val="en-US"/>
              </w:rPr>
              <w:br/>
              <w:t>CKDi25</w:t>
            </w:r>
          </w:p>
        </w:tc>
      </w:tr>
    </w:tbl>
    <w:p w14:paraId="71C8ABC8" w14:textId="77777777" w:rsidR="00FA0460" w:rsidRDefault="00FA0460"/>
    <w:tbl>
      <w:tblPr>
        <w:tblW w:w="15203" w:type="dxa"/>
        <w:jc w:val="center"/>
        <w:tblLayout w:type="fixed"/>
        <w:tblLook w:val="04A0" w:firstRow="1" w:lastRow="0" w:firstColumn="1" w:lastColumn="0" w:noHBand="0" w:noVBand="1"/>
      </w:tblPr>
      <w:tblGrid>
        <w:gridCol w:w="1278"/>
        <w:gridCol w:w="849"/>
        <w:gridCol w:w="1132"/>
        <w:gridCol w:w="851"/>
        <w:gridCol w:w="1134"/>
        <w:gridCol w:w="992"/>
        <w:gridCol w:w="1135"/>
        <w:gridCol w:w="1276"/>
        <w:gridCol w:w="1092"/>
        <w:gridCol w:w="1093"/>
        <w:gridCol w:w="1093"/>
        <w:gridCol w:w="1092"/>
        <w:gridCol w:w="1093"/>
        <w:gridCol w:w="1093"/>
      </w:tblGrid>
      <w:tr w:rsidR="008D6DF4" w:rsidRPr="00E8396C" w14:paraId="54980CB9" w14:textId="77777777" w:rsidTr="00E8396C">
        <w:trPr>
          <w:jc w:val="center"/>
        </w:trPr>
        <w:tc>
          <w:tcPr>
            <w:tcW w:w="1278" w:type="dxa"/>
            <w:vMerge w:val="restart"/>
            <w:shd w:val="clear" w:color="auto" w:fill="D9D9D9" w:themeFill="background1" w:themeFillShade="D9"/>
            <w:vAlign w:val="center"/>
            <w:hideMark/>
          </w:tcPr>
          <w:p w14:paraId="0F5BF3C8" w14:textId="05A6A91F"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MESA</w:t>
            </w:r>
          </w:p>
        </w:tc>
        <w:tc>
          <w:tcPr>
            <w:tcW w:w="849" w:type="dxa"/>
            <w:shd w:val="clear" w:color="auto" w:fill="D9D9D9" w:themeFill="background1" w:themeFillShade="D9"/>
            <w:vAlign w:val="center"/>
          </w:tcPr>
          <w:p w14:paraId="55A3FA2D"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0EC164DF"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AA</w:t>
            </w:r>
          </w:p>
        </w:tc>
        <w:tc>
          <w:tcPr>
            <w:tcW w:w="851" w:type="dxa"/>
            <w:shd w:val="clear" w:color="auto" w:fill="D9D9D9" w:themeFill="background1" w:themeFillShade="D9"/>
            <w:vAlign w:val="center"/>
          </w:tcPr>
          <w:p w14:paraId="2C476E4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46%</w:t>
            </w:r>
          </w:p>
        </w:tc>
        <w:tc>
          <w:tcPr>
            <w:tcW w:w="1134" w:type="dxa"/>
            <w:shd w:val="clear" w:color="auto" w:fill="D9D9D9" w:themeFill="background1" w:themeFillShade="D9"/>
            <w:vAlign w:val="center"/>
          </w:tcPr>
          <w:p w14:paraId="4B5EFE5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17%</w:t>
            </w:r>
          </w:p>
        </w:tc>
        <w:tc>
          <w:tcPr>
            <w:tcW w:w="992" w:type="dxa"/>
            <w:shd w:val="clear" w:color="auto" w:fill="D9D9D9" w:themeFill="background1" w:themeFillShade="D9"/>
            <w:vAlign w:val="center"/>
          </w:tcPr>
          <w:p w14:paraId="164F9025"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63</w:t>
            </w:r>
          </w:p>
        </w:tc>
        <w:tc>
          <w:tcPr>
            <w:tcW w:w="1135" w:type="dxa"/>
            <w:shd w:val="clear" w:color="auto" w:fill="D9D9D9" w:themeFill="background1" w:themeFillShade="D9"/>
            <w:noWrap/>
            <w:vAlign w:val="center"/>
            <w:hideMark/>
          </w:tcPr>
          <w:p w14:paraId="055994B1"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82.3</w:t>
            </w:r>
          </w:p>
        </w:tc>
        <w:tc>
          <w:tcPr>
            <w:tcW w:w="1276" w:type="dxa"/>
            <w:shd w:val="clear" w:color="auto" w:fill="D9D9D9" w:themeFill="background1" w:themeFillShade="D9"/>
            <w:noWrap/>
            <w:vAlign w:val="center"/>
            <w:hideMark/>
          </w:tcPr>
          <w:p w14:paraId="58A9F515"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w:t>
            </w:r>
          </w:p>
        </w:tc>
        <w:tc>
          <w:tcPr>
            <w:tcW w:w="1092" w:type="dxa"/>
            <w:shd w:val="clear" w:color="auto" w:fill="D9D9D9" w:themeFill="background1" w:themeFillShade="D9"/>
            <w:noWrap/>
            <w:vAlign w:val="center"/>
            <w:hideMark/>
          </w:tcPr>
          <w:p w14:paraId="0B2C1BF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312</w:t>
            </w:r>
          </w:p>
        </w:tc>
        <w:tc>
          <w:tcPr>
            <w:tcW w:w="1093" w:type="dxa"/>
            <w:shd w:val="clear" w:color="auto" w:fill="D9D9D9" w:themeFill="background1" w:themeFillShade="D9"/>
            <w:noWrap/>
            <w:vAlign w:val="center"/>
            <w:hideMark/>
          </w:tcPr>
          <w:p w14:paraId="3639BDC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458</w:t>
            </w:r>
          </w:p>
        </w:tc>
        <w:tc>
          <w:tcPr>
            <w:tcW w:w="1093" w:type="dxa"/>
            <w:shd w:val="clear" w:color="auto" w:fill="D9D9D9" w:themeFill="background1" w:themeFillShade="D9"/>
            <w:noWrap/>
            <w:vAlign w:val="center"/>
            <w:hideMark/>
          </w:tcPr>
          <w:p w14:paraId="603350F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0.41</w:t>
            </w:r>
          </w:p>
        </w:tc>
        <w:tc>
          <w:tcPr>
            <w:tcW w:w="1092" w:type="dxa"/>
            <w:shd w:val="clear" w:color="auto" w:fill="D9D9D9" w:themeFill="background1" w:themeFillShade="D9"/>
            <w:noWrap/>
            <w:vAlign w:val="center"/>
            <w:hideMark/>
          </w:tcPr>
          <w:p w14:paraId="2BB5F85C"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7F05B91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199A6EC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4F72272B" w14:textId="77777777" w:rsidTr="00E8396C">
        <w:trPr>
          <w:jc w:val="center"/>
        </w:trPr>
        <w:tc>
          <w:tcPr>
            <w:tcW w:w="1278" w:type="dxa"/>
            <w:vMerge/>
            <w:shd w:val="clear" w:color="auto" w:fill="D9D9D9" w:themeFill="background1" w:themeFillShade="D9"/>
            <w:vAlign w:val="center"/>
            <w:hideMark/>
          </w:tcPr>
          <w:p w14:paraId="682D05E6"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22482997"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1132" w:type="dxa"/>
            <w:shd w:val="clear" w:color="auto" w:fill="D9D9D9" w:themeFill="background1" w:themeFillShade="D9"/>
            <w:vAlign w:val="center"/>
          </w:tcPr>
          <w:p w14:paraId="457041F3" w14:textId="05F44DAB"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7E9ED4AD"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48%</w:t>
            </w:r>
          </w:p>
        </w:tc>
        <w:tc>
          <w:tcPr>
            <w:tcW w:w="1134" w:type="dxa"/>
            <w:shd w:val="clear" w:color="auto" w:fill="D9D9D9" w:themeFill="background1" w:themeFillShade="D9"/>
            <w:vAlign w:val="center"/>
          </w:tcPr>
          <w:p w14:paraId="2E51E30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w:t>
            </w:r>
          </w:p>
        </w:tc>
        <w:tc>
          <w:tcPr>
            <w:tcW w:w="992" w:type="dxa"/>
            <w:shd w:val="clear" w:color="auto" w:fill="D9D9D9" w:themeFill="background1" w:themeFillShade="D9"/>
            <w:vAlign w:val="center"/>
          </w:tcPr>
          <w:p w14:paraId="167FC995"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63</w:t>
            </w:r>
          </w:p>
        </w:tc>
        <w:tc>
          <w:tcPr>
            <w:tcW w:w="1135" w:type="dxa"/>
            <w:shd w:val="clear" w:color="auto" w:fill="D9D9D9" w:themeFill="background1" w:themeFillShade="D9"/>
            <w:noWrap/>
            <w:vAlign w:val="center"/>
            <w:hideMark/>
          </w:tcPr>
          <w:p w14:paraId="3F650F8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75.5</w:t>
            </w:r>
          </w:p>
        </w:tc>
        <w:tc>
          <w:tcPr>
            <w:tcW w:w="1276" w:type="dxa"/>
            <w:shd w:val="clear" w:color="auto" w:fill="D9D9D9" w:themeFill="background1" w:themeFillShade="D9"/>
            <w:noWrap/>
            <w:vAlign w:val="center"/>
            <w:hideMark/>
          </w:tcPr>
          <w:p w14:paraId="231182F0"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w:t>
            </w:r>
          </w:p>
        </w:tc>
        <w:tc>
          <w:tcPr>
            <w:tcW w:w="1092" w:type="dxa"/>
            <w:shd w:val="clear" w:color="auto" w:fill="D9D9D9" w:themeFill="background1" w:themeFillShade="D9"/>
            <w:noWrap/>
            <w:vAlign w:val="center"/>
            <w:hideMark/>
          </w:tcPr>
          <w:p w14:paraId="71D9034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339</w:t>
            </w:r>
          </w:p>
        </w:tc>
        <w:tc>
          <w:tcPr>
            <w:tcW w:w="1093" w:type="dxa"/>
            <w:shd w:val="clear" w:color="auto" w:fill="D9D9D9" w:themeFill="background1" w:themeFillShade="D9"/>
            <w:noWrap/>
            <w:vAlign w:val="center"/>
            <w:hideMark/>
          </w:tcPr>
          <w:p w14:paraId="2D60CA89"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956</w:t>
            </w:r>
          </w:p>
        </w:tc>
        <w:tc>
          <w:tcPr>
            <w:tcW w:w="1093" w:type="dxa"/>
            <w:shd w:val="clear" w:color="auto" w:fill="D9D9D9" w:themeFill="background1" w:themeFillShade="D9"/>
            <w:noWrap/>
            <w:vAlign w:val="center"/>
            <w:hideMark/>
          </w:tcPr>
          <w:p w14:paraId="7546C5B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0.26</w:t>
            </w:r>
          </w:p>
        </w:tc>
        <w:tc>
          <w:tcPr>
            <w:tcW w:w="1092" w:type="dxa"/>
            <w:shd w:val="clear" w:color="auto" w:fill="D9D9D9" w:themeFill="background1" w:themeFillShade="D9"/>
            <w:noWrap/>
            <w:vAlign w:val="center"/>
            <w:hideMark/>
          </w:tcPr>
          <w:p w14:paraId="371B85B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103</w:t>
            </w:r>
          </w:p>
        </w:tc>
        <w:tc>
          <w:tcPr>
            <w:tcW w:w="1093" w:type="dxa"/>
            <w:shd w:val="clear" w:color="auto" w:fill="D9D9D9" w:themeFill="background1" w:themeFillShade="D9"/>
            <w:noWrap/>
            <w:vAlign w:val="center"/>
            <w:hideMark/>
          </w:tcPr>
          <w:p w14:paraId="35E5E37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1,600</w:t>
            </w:r>
          </w:p>
        </w:tc>
        <w:tc>
          <w:tcPr>
            <w:tcW w:w="1093" w:type="dxa"/>
            <w:shd w:val="clear" w:color="auto" w:fill="D9D9D9" w:themeFill="background1" w:themeFillShade="D9"/>
            <w:noWrap/>
            <w:vAlign w:val="center"/>
            <w:hideMark/>
          </w:tcPr>
          <w:p w14:paraId="4F53731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0.06</w:t>
            </w:r>
          </w:p>
        </w:tc>
      </w:tr>
      <w:tr w:rsidR="008D6DF4" w:rsidRPr="00E8396C" w14:paraId="0BED81D0" w14:textId="77777777" w:rsidTr="00E8396C">
        <w:trPr>
          <w:jc w:val="center"/>
        </w:trPr>
        <w:tc>
          <w:tcPr>
            <w:tcW w:w="1278" w:type="dxa"/>
            <w:vMerge/>
            <w:shd w:val="clear" w:color="auto" w:fill="D9D9D9" w:themeFill="background1" w:themeFillShade="D9"/>
            <w:vAlign w:val="center"/>
            <w:hideMark/>
          </w:tcPr>
          <w:p w14:paraId="69558E36"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123D958C"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1132" w:type="dxa"/>
            <w:shd w:val="clear" w:color="auto" w:fill="D9D9D9" w:themeFill="background1" w:themeFillShade="D9"/>
            <w:vAlign w:val="center"/>
          </w:tcPr>
          <w:p w14:paraId="5F9ECCDC"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HIS</w:t>
            </w:r>
          </w:p>
        </w:tc>
        <w:tc>
          <w:tcPr>
            <w:tcW w:w="851" w:type="dxa"/>
            <w:shd w:val="clear" w:color="auto" w:fill="D9D9D9" w:themeFill="background1" w:themeFillShade="D9"/>
            <w:vAlign w:val="center"/>
          </w:tcPr>
          <w:p w14:paraId="6A260C2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48%</w:t>
            </w:r>
          </w:p>
        </w:tc>
        <w:tc>
          <w:tcPr>
            <w:tcW w:w="1134" w:type="dxa"/>
            <w:shd w:val="clear" w:color="auto" w:fill="D9D9D9" w:themeFill="background1" w:themeFillShade="D9"/>
            <w:vAlign w:val="center"/>
          </w:tcPr>
          <w:p w14:paraId="50AE2F0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17%</w:t>
            </w:r>
          </w:p>
        </w:tc>
        <w:tc>
          <w:tcPr>
            <w:tcW w:w="992" w:type="dxa"/>
            <w:shd w:val="clear" w:color="auto" w:fill="D9D9D9" w:themeFill="background1" w:themeFillShade="D9"/>
            <w:vAlign w:val="center"/>
          </w:tcPr>
          <w:p w14:paraId="454E2197"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61</w:t>
            </w:r>
          </w:p>
        </w:tc>
        <w:tc>
          <w:tcPr>
            <w:tcW w:w="1135" w:type="dxa"/>
            <w:shd w:val="clear" w:color="auto" w:fill="D9D9D9" w:themeFill="background1" w:themeFillShade="D9"/>
            <w:noWrap/>
            <w:vAlign w:val="center"/>
            <w:hideMark/>
          </w:tcPr>
          <w:p w14:paraId="616B6AB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81.9</w:t>
            </w:r>
          </w:p>
        </w:tc>
        <w:tc>
          <w:tcPr>
            <w:tcW w:w="1276" w:type="dxa"/>
            <w:shd w:val="clear" w:color="auto" w:fill="D9D9D9" w:themeFill="background1" w:themeFillShade="D9"/>
            <w:noWrap/>
            <w:vAlign w:val="center"/>
            <w:hideMark/>
          </w:tcPr>
          <w:p w14:paraId="70EA6FB5"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w:t>
            </w:r>
          </w:p>
        </w:tc>
        <w:tc>
          <w:tcPr>
            <w:tcW w:w="1092" w:type="dxa"/>
            <w:shd w:val="clear" w:color="auto" w:fill="D9D9D9" w:themeFill="background1" w:themeFillShade="D9"/>
            <w:noWrap/>
            <w:vAlign w:val="center"/>
            <w:hideMark/>
          </w:tcPr>
          <w:p w14:paraId="6CCC628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218</w:t>
            </w:r>
          </w:p>
        </w:tc>
        <w:tc>
          <w:tcPr>
            <w:tcW w:w="1093" w:type="dxa"/>
            <w:shd w:val="clear" w:color="auto" w:fill="D9D9D9" w:themeFill="background1" w:themeFillShade="D9"/>
            <w:noWrap/>
            <w:vAlign w:val="center"/>
            <w:hideMark/>
          </w:tcPr>
          <w:p w14:paraId="77ED6EF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486</w:t>
            </w:r>
          </w:p>
        </w:tc>
        <w:tc>
          <w:tcPr>
            <w:tcW w:w="1093" w:type="dxa"/>
            <w:shd w:val="clear" w:color="auto" w:fill="D9D9D9" w:themeFill="background1" w:themeFillShade="D9"/>
            <w:noWrap/>
            <w:vAlign w:val="center"/>
            <w:hideMark/>
          </w:tcPr>
          <w:p w14:paraId="6AC81A4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0.31</w:t>
            </w:r>
          </w:p>
        </w:tc>
        <w:tc>
          <w:tcPr>
            <w:tcW w:w="1092" w:type="dxa"/>
            <w:shd w:val="clear" w:color="auto" w:fill="D9D9D9" w:themeFill="background1" w:themeFillShade="D9"/>
            <w:noWrap/>
            <w:vAlign w:val="center"/>
            <w:hideMark/>
          </w:tcPr>
          <w:p w14:paraId="19A425E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494FC7B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14AEAB4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6201A620" w14:textId="77777777" w:rsidTr="00E8396C">
        <w:trPr>
          <w:jc w:val="center"/>
        </w:trPr>
        <w:tc>
          <w:tcPr>
            <w:tcW w:w="1278" w:type="dxa"/>
            <w:shd w:val="clear" w:color="auto" w:fill="auto"/>
            <w:vAlign w:val="center"/>
            <w:hideMark/>
          </w:tcPr>
          <w:p w14:paraId="3199B2D3" w14:textId="7675E9B9" w:rsidR="008D6DF4" w:rsidRPr="00E8396C" w:rsidRDefault="008C28AF" w:rsidP="008C28AF">
            <w:pPr>
              <w:spacing w:after="0" w:line="280" w:lineRule="exact"/>
              <w:rPr>
                <w:rFonts w:ascii="Arial" w:eastAsia="Times New Roman" w:hAnsi="Arial" w:cs="Arial"/>
                <w:color w:val="000000"/>
                <w:sz w:val="20"/>
                <w:szCs w:val="20"/>
                <w:lang w:val="en-US"/>
              </w:rPr>
            </w:pPr>
            <w:r>
              <w:rPr>
                <w:rFonts w:ascii="Arial" w:eastAsia="Times New Roman" w:hAnsi="Arial" w:cs="Arial"/>
                <w:color w:val="000000"/>
                <w:sz w:val="20"/>
                <w:szCs w:val="20"/>
                <w:lang w:val="en-US"/>
              </w:rPr>
              <w:t>MyCode</w:t>
            </w:r>
          </w:p>
        </w:tc>
        <w:tc>
          <w:tcPr>
            <w:tcW w:w="849" w:type="dxa"/>
            <w:vAlign w:val="center"/>
          </w:tcPr>
          <w:p w14:paraId="706E0D36"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48FDB22C" w14:textId="25253A18"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47A92F0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42%</w:t>
            </w:r>
          </w:p>
        </w:tc>
        <w:tc>
          <w:tcPr>
            <w:tcW w:w="1134" w:type="dxa"/>
            <w:vAlign w:val="center"/>
          </w:tcPr>
          <w:p w14:paraId="407D1E3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13%</w:t>
            </w:r>
          </w:p>
        </w:tc>
        <w:tc>
          <w:tcPr>
            <w:tcW w:w="992" w:type="dxa"/>
            <w:vAlign w:val="center"/>
          </w:tcPr>
          <w:p w14:paraId="1AFD108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50</w:t>
            </w:r>
          </w:p>
        </w:tc>
        <w:tc>
          <w:tcPr>
            <w:tcW w:w="1135" w:type="dxa"/>
            <w:shd w:val="clear" w:color="auto" w:fill="auto"/>
            <w:noWrap/>
            <w:vAlign w:val="center"/>
            <w:hideMark/>
          </w:tcPr>
          <w:p w14:paraId="7970D2A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93.3</w:t>
            </w:r>
          </w:p>
        </w:tc>
        <w:tc>
          <w:tcPr>
            <w:tcW w:w="1276" w:type="dxa"/>
            <w:shd w:val="clear" w:color="auto" w:fill="auto"/>
            <w:noWrap/>
            <w:vAlign w:val="center"/>
            <w:hideMark/>
          </w:tcPr>
          <w:p w14:paraId="784D496B"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13</w:t>
            </w:r>
          </w:p>
        </w:tc>
        <w:tc>
          <w:tcPr>
            <w:tcW w:w="1092" w:type="dxa"/>
            <w:shd w:val="clear" w:color="auto" w:fill="auto"/>
            <w:noWrap/>
            <w:vAlign w:val="center"/>
            <w:hideMark/>
          </w:tcPr>
          <w:p w14:paraId="4806937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5,993</w:t>
            </w:r>
          </w:p>
        </w:tc>
        <w:tc>
          <w:tcPr>
            <w:tcW w:w="1093" w:type="dxa"/>
            <w:shd w:val="clear" w:color="auto" w:fill="auto"/>
            <w:noWrap/>
            <w:vAlign w:val="center"/>
            <w:hideMark/>
          </w:tcPr>
          <w:p w14:paraId="3F54375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12,957</w:t>
            </w:r>
          </w:p>
        </w:tc>
        <w:tc>
          <w:tcPr>
            <w:tcW w:w="1093" w:type="dxa"/>
            <w:shd w:val="clear" w:color="auto" w:fill="auto"/>
            <w:noWrap/>
            <w:vAlign w:val="center"/>
            <w:hideMark/>
          </w:tcPr>
          <w:p w14:paraId="1CDBC8C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0.32</w:t>
            </w:r>
          </w:p>
        </w:tc>
        <w:tc>
          <w:tcPr>
            <w:tcW w:w="1092" w:type="dxa"/>
            <w:shd w:val="clear" w:color="auto" w:fill="auto"/>
            <w:noWrap/>
            <w:vAlign w:val="center"/>
            <w:hideMark/>
          </w:tcPr>
          <w:p w14:paraId="36B2D27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6,645</w:t>
            </w:r>
          </w:p>
        </w:tc>
        <w:tc>
          <w:tcPr>
            <w:tcW w:w="1093" w:type="dxa"/>
            <w:shd w:val="clear" w:color="auto" w:fill="auto"/>
            <w:noWrap/>
            <w:vAlign w:val="center"/>
            <w:hideMark/>
          </w:tcPr>
          <w:p w14:paraId="0540D3FC"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26,487</w:t>
            </w:r>
          </w:p>
        </w:tc>
        <w:tc>
          <w:tcPr>
            <w:tcW w:w="1093" w:type="dxa"/>
            <w:shd w:val="clear" w:color="auto" w:fill="auto"/>
            <w:noWrap/>
            <w:vAlign w:val="center"/>
            <w:hideMark/>
          </w:tcPr>
          <w:p w14:paraId="2311193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0.20</w:t>
            </w:r>
          </w:p>
        </w:tc>
      </w:tr>
      <w:tr w:rsidR="008D6DF4" w:rsidRPr="00E8396C" w14:paraId="42E3DC39" w14:textId="77777777" w:rsidTr="00E8396C">
        <w:trPr>
          <w:jc w:val="center"/>
        </w:trPr>
        <w:tc>
          <w:tcPr>
            <w:tcW w:w="1278" w:type="dxa"/>
            <w:shd w:val="clear" w:color="auto" w:fill="D9D9D9" w:themeFill="background1" w:themeFillShade="D9"/>
            <w:vAlign w:val="center"/>
            <w:hideMark/>
          </w:tcPr>
          <w:p w14:paraId="744F1494"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NESDA</w:t>
            </w:r>
          </w:p>
        </w:tc>
        <w:tc>
          <w:tcPr>
            <w:tcW w:w="849" w:type="dxa"/>
            <w:shd w:val="clear" w:color="auto" w:fill="D9D9D9" w:themeFill="background1" w:themeFillShade="D9"/>
            <w:vAlign w:val="center"/>
          </w:tcPr>
          <w:p w14:paraId="18D574BE"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4FEC63FB" w14:textId="4774146A"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3AC46E8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34%</w:t>
            </w:r>
          </w:p>
        </w:tc>
        <w:tc>
          <w:tcPr>
            <w:tcW w:w="1134" w:type="dxa"/>
            <w:shd w:val="clear" w:color="auto" w:fill="D9D9D9" w:themeFill="background1" w:themeFillShade="D9"/>
            <w:vAlign w:val="center"/>
          </w:tcPr>
          <w:p w14:paraId="1CD1CCF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w:t>
            </w:r>
          </w:p>
        </w:tc>
        <w:tc>
          <w:tcPr>
            <w:tcW w:w="992" w:type="dxa"/>
            <w:shd w:val="clear" w:color="auto" w:fill="D9D9D9" w:themeFill="background1" w:themeFillShade="D9"/>
            <w:vAlign w:val="center"/>
          </w:tcPr>
          <w:p w14:paraId="37B042D2"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43</w:t>
            </w:r>
          </w:p>
        </w:tc>
        <w:tc>
          <w:tcPr>
            <w:tcW w:w="1135" w:type="dxa"/>
            <w:shd w:val="clear" w:color="auto" w:fill="D9D9D9" w:themeFill="background1" w:themeFillShade="D9"/>
            <w:noWrap/>
            <w:vAlign w:val="center"/>
            <w:hideMark/>
          </w:tcPr>
          <w:p w14:paraId="0000432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103.7</w:t>
            </w:r>
          </w:p>
        </w:tc>
        <w:tc>
          <w:tcPr>
            <w:tcW w:w="1276" w:type="dxa"/>
            <w:shd w:val="clear" w:color="auto" w:fill="D9D9D9" w:themeFill="background1" w:themeFillShade="D9"/>
            <w:noWrap/>
            <w:vAlign w:val="center"/>
            <w:hideMark/>
          </w:tcPr>
          <w:p w14:paraId="251C6F2E"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w:t>
            </w:r>
          </w:p>
        </w:tc>
        <w:tc>
          <w:tcPr>
            <w:tcW w:w="1092" w:type="dxa"/>
            <w:shd w:val="clear" w:color="auto" w:fill="D9D9D9" w:themeFill="background1" w:themeFillShade="D9"/>
            <w:noWrap/>
            <w:vAlign w:val="center"/>
            <w:hideMark/>
          </w:tcPr>
          <w:p w14:paraId="4EE20CE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253</w:t>
            </w:r>
          </w:p>
        </w:tc>
        <w:tc>
          <w:tcPr>
            <w:tcW w:w="1093" w:type="dxa"/>
            <w:shd w:val="clear" w:color="auto" w:fill="D9D9D9" w:themeFill="background1" w:themeFillShade="D9"/>
            <w:noWrap/>
            <w:vAlign w:val="center"/>
            <w:hideMark/>
          </w:tcPr>
          <w:p w14:paraId="5115F5B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607</w:t>
            </w:r>
          </w:p>
        </w:tc>
        <w:tc>
          <w:tcPr>
            <w:tcW w:w="1093" w:type="dxa"/>
            <w:shd w:val="clear" w:color="auto" w:fill="D9D9D9" w:themeFill="background1" w:themeFillShade="D9"/>
            <w:noWrap/>
            <w:vAlign w:val="center"/>
            <w:hideMark/>
          </w:tcPr>
          <w:p w14:paraId="527FB09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0.29</w:t>
            </w:r>
          </w:p>
        </w:tc>
        <w:tc>
          <w:tcPr>
            <w:tcW w:w="1092" w:type="dxa"/>
            <w:shd w:val="clear" w:color="auto" w:fill="D9D9D9" w:themeFill="background1" w:themeFillShade="D9"/>
            <w:noWrap/>
            <w:vAlign w:val="center"/>
            <w:hideMark/>
          </w:tcPr>
          <w:p w14:paraId="07A56AA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6FF9DA3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5F36583C"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69C3245C" w14:textId="77777777" w:rsidTr="00E8396C">
        <w:trPr>
          <w:jc w:val="center"/>
        </w:trPr>
        <w:tc>
          <w:tcPr>
            <w:tcW w:w="1278" w:type="dxa"/>
            <w:shd w:val="clear" w:color="auto" w:fill="auto"/>
            <w:vAlign w:val="center"/>
            <w:hideMark/>
          </w:tcPr>
          <w:p w14:paraId="3A845C29"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POPGEN</w:t>
            </w:r>
          </w:p>
        </w:tc>
        <w:tc>
          <w:tcPr>
            <w:tcW w:w="849" w:type="dxa"/>
            <w:vAlign w:val="center"/>
          </w:tcPr>
          <w:p w14:paraId="02D0687D"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104543DA" w14:textId="703D94CE"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4C48BDC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53%</w:t>
            </w:r>
          </w:p>
        </w:tc>
        <w:tc>
          <w:tcPr>
            <w:tcW w:w="1134" w:type="dxa"/>
            <w:vAlign w:val="center"/>
          </w:tcPr>
          <w:p w14:paraId="1DA4E232"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w:t>
            </w:r>
          </w:p>
        </w:tc>
        <w:tc>
          <w:tcPr>
            <w:tcW w:w="992" w:type="dxa"/>
            <w:vAlign w:val="center"/>
          </w:tcPr>
          <w:p w14:paraId="5986516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57</w:t>
            </w:r>
          </w:p>
        </w:tc>
        <w:tc>
          <w:tcPr>
            <w:tcW w:w="1135" w:type="dxa"/>
            <w:shd w:val="clear" w:color="auto" w:fill="auto"/>
            <w:noWrap/>
            <w:vAlign w:val="center"/>
            <w:hideMark/>
          </w:tcPr>
          <w:p w14:paraId="10EDFA4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90.7</w:t>
            </w:r>
          </w:p>
        </w:tc>
        <w:tc>
          <w:tcPr>
            <w:tcW w:w="1276" w:type="dxa"/>
            <w:shd w:val="clear" w:color="auto" w:fill="auto"/>
            <w:noWrap/>
            <w:vAlign w:val="center"/>
            <w:hideMark/>
          </w:tcPr>
          <w:p w14:paraId="14A7DE39"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w:t>
            </w:r>
          </w:p>
        </w:tc>
        <w:tc>
          <w:tcPr>
            <w:tcW w:w="1092" w:type="dxa"/>
            <w:shd w:val="clear" w:color="auto" w:fill="auto"/>
            <w:noWrap/>
            <w:vAlign w:val="center"/>
            <w:hideMark/>
          </w:tcPr>
          <w:p w14:paraId="0704F56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108</w:t>
            </w:r>
          </w:p>
        </w:tc>
        <w:tc>
          <w:tcPr>
            <w:tcW w:w="1093" w:type="dxa"/>
            <w:shd w:val="clear" w:color="auto" w:fill="auto"/>
            <w:noWrap/>
            <w:vAlign w:val="center"/>
            <w:hideMark/>
          </w:tcPr>
          <w:p w14:paraId="6447D30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334</w:t>
            </w:r>
          </w:p>
        </w:tc>
        <w:tc>
          <w:tcPr>
            <w:tcW w:w="1093" w:type="dxa"/>
            <w:shd w:val="clear" w:color="auto" w:fill="auto"/>
            <w:noWrap/>
            <w:vAlign w:val="center"/>
            <w:hideMark/>
          </w:tcPr>
          <w:p w14:paraId="32768BA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0.24</w:t>
            </w:r>
          </w:p>
        </w:tc>
        <w:tc>
          <w:tcPr>
            <w:tcW w:w="1092" w:type="dxa"/>
            <w:shd w:val="clear" w:color="auto" w:fill="auto"/>
            <w:noWrap/>
            <w:vAlign w:val="center"/>
            <w:hideMark/>
          </w:tcPr>
          <w:p w14:paraId="08D7772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4D0300F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0747D50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45859AB5" w14:textId="77777777" w:rsidTr="00E8396C">
        <w:trPr>
          <w:jc w:val="center"/>
        </w:trPr>
        <w:tc>
          <w:tcPr>
            <w:tcW w:w="1278" w:type="dxa"/>
            <w:shd w:val="clear" w:color="auto" w:fill="D9D9D9" w:themeFill="background1" w:themeFillShade="D9"/>
            <w:vAlign w:val="center"/>
            <w:hideMark/>
          </w:tcPr>
          <w:p w14:paraId="7E56C292"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PREVEND</w:t>
            </w:r>
          </w:p>
        </w:tc>
        <w:tc>
          <w:tcPr>
            <w:tcW w:w="849" w:type="dxa"/>
            <w:shd w:val="clear" w:color="auto" w:fill="D9D9D9" w:themeFill="background1" w:themeFillShade="D9"/>
            <w:vAlign w:val="center"/>
          </w:tcPr>
          <w:p w14:paraId="6173637B"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22BC5D0C" w14:textId="7D8AC169"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2F4A5666"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52%</w:t>
            </w:r>
          </w:p>
        </w:tc>
        <w:tc>
          <w:tcPr>
            <w:tcW w:w="1134" w:type="dxa"/>
            <w:shd w:val="clear" w:color="auto" w:fill="D9D9D9" w:themeFill="background1" w:themeFillShade="D9"/>
            <w:vAlign w:val="center"/>
          </w:tcPr>
          <w:p w14:paraId="51E15401"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w:t>
            </w:r>
          </w:p>
        </w:tc>
        <w:tc>
          <w:tcPr>
            <w:tcW w:w="992" w:type="dxa"/>
            <w:shd w:val="clear" w:color="auto" w:fill="D9D9D9" w:themeFill="background1" w:themeFillShade="D9"/>
            <w:vAlign w:val="center"/>
          </w:tcPr>
          <w:p w14:paraId="4C60991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49</w:t>
            </w:r>
          </w:p>
        </w:tc>
        <w:tc>
          <w:tcPr>
            <w:tcW w:w="1135" w:type="dxa"/>
            <w:shd w:val="clear" w:color="auto" w:fill="D9D9D9" w:themeFill="background1" w:themeFillShade="D9"/>
            <w:noWrap/>
            <w:vAlign w:val="center"/>
            <w:hideMark/>
          </w:tcPr>
          <w:p w14:paraId="30DE8C7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83.9</w:t>
            </w:r>
          </w:p>
        </w:tc>
        <w:tc>
          <w:tcPr>
            <w:tcW w:w="1276" w:type="dxa"/>
            <w:shd w:val="clear" w:color="auto" w:fill="D9D9D9" w:themeFill="background1" w:themeFillShade="D9"/>
            <w:noWrap/>
            <w:vAlign w:val="center"/>
            <w:hideMark/>
          </w:tcPr>
          <w:p w14:paraId="64C02532"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w:t>
            </w:r>
          </w:p>
        </w:tc>
        <w:tc>
          <w:tcPr>
            <w:tcW w:w="1092" w:type="dxa"/>
            <w:shd w:val="clear" w:color="auto" w:fill="D9D9D9" w:themeFill="background1" w:themeFillShade="D9"/>
            <w:noWrap/>
            <w:vAlign w:val="center"/>
            <w:hideMark/>
          </w:tcPr>
          <w:p w14:paraId="3A5FD930"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361</w:t>
            </w:r>
          </w:p>
        </w:tc>
        <w:tc>
          <w:tcPr>
            <w:tcW w:w="1093" w:type="dxa"/>
            <w:shd w:val="clear" w:color="auto" w:fill="D9D9D9" w:themeFill="background1" w:themeFillShade="D9"/>
            <w:noWrap/>
            <w:vAlign w:val="center"/>
            <w:hideMark/>
          </w:tcPr>
          <w:p w14:paraId="0A1BE11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1,144</w:t>
            </w:r>
          </w:p>
        </w:tc>
        <w:tc>
          <w:tcPr>
            <w:tcW w:w="1093" w:type="dxa"/>
            <w:shd w:val="clear" w:color="auto" w:fill="D9D9D9" w:themeFill="background1" w:themeFillShade="D9"/>
            <w:noWrap/>
            <w:vAlign w:val="center"/>
            <w:hideMark/>
          </w:tcPr>
          <w:p w14:paraId="6A97740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0.24</w:t>
            </w:r>
          </w:p>
        </w:tc>
        <w:tc>
          <w:tcPr>
            <w:tcW w:w="1092" w:type="dxa"/>
            <w:shd w:val="clear" w:color="auto" w:fill="D9D9D9" w:themeFill="background1" w:themeFillShade="D9"/>
            <w:noWrap/>
            <w:vAlign w:val="center"/>
            <w:hideMark/>
          </w:tcPr>
          <w:p w14:paraId="4F4B9C6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22BC873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359C3AB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79961456" w14:textId="77777777" w:rsidTr="00E8396C">
        <w:trPr>
          <w:jc w:val="center"/>
        </w:trPr>
        <w:tc>
          <w:tcPr>
            <w:tcW w:w="1278" w:type="dxa"/>
            <w:shd w:val="clear" w:color="auto" w:fill="auto"/>
            <w:vAlign w:val="center"/>
            <w:hideMark/>
          </w:tcPr>
          <w:p w14:paraId="318CE0E1"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RS III</w:t>
            </w:r>
          </w:p>
        </w:tc>
        <w:tc>
          <w:tcPr>
            <w:tcW w:w="849" w:type="dxa"/>
            <w:vAlign w:val="center"/>
          </w:tcPr>
          <w:p w14:paraId="049BEA63"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6C7B98DA" w14:textId="3A5C9798"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5CA3C892"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44%</w:t>
            </w:r>
          </w:p>
        </w:tc>
        <w:tc>
          <w:tcPr>
            <w:tcW w:w="1134" w:type="dxa"/>
            <w:vAlign w:val="center"/>
          </w:tcPr>
          <w:p w14:paraId="1252801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9%</w:t>
            </w:r>
          </w:p>
        </w:tc>
        <w:tc>
          <w:tcPr>
            <w:tcW w:w="992" w:type="dxa"/>
            <w:vAlign w:val="center"/>
          </w:tcPr>
          <w:p w14:paraId="020930F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57</w:t>
            </w:r>
          </w:p>
        </w:tc>
        <w:tc>
          <w:tcPr>
            <w:tcW w:w="1135" w:type="dxa"/>
            <w:shd w:val="clear" w:color="auto" w:fill="auto"/>
            <w:noWrap/>
            <w:vAlign w:val="center"/>
            <w:hideMark/>
          </w:tcPr>
          <w:p w14:paraId="35A89DE5"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85.4</w:t>
            </w:r>
          </w:p>
        </w:tc>
        <w:tc>
          <w:tcPr>
            <w:tcW w:w="1276" w:type="dxa"/>
            <w:shd w:val="clear" w:color="auto" w:fill="auto"/>
            <w:noWrap/>
            <w:vAlign w:val="center"/>
            <w:hideMark/>
          </w:tcPr>
          <w:p w14:paraId="20BE2114"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5.34</w:t>
            </w:r>
          </w:p>
        </w:tc>
        <w:tc>
          <w:tcPr>
            <w:tcW w:w="1092" w:type="dxa"/>
            <w:shd w:val="clear" w:color="auto" w:fill="auto"/>
            <w:noWrap/>
            <w:vAlign w:val="center"/>
            <w:hideMark/>
          </w:tcPr>
          <w:p w14:paraId="3907C04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285</w:t>
            </w:r>
          </w:p>
        </w:tc>
        <w:tc>
          <w:tcPr>
            <w:tcW w:w="1093" w:type="dxa"/>
            <w:shd w:val="clear" w:color="auto" w:fill="auto"/>
            <w:noWrap/>
            <w:vAlign w:val="center"/>
            <w:hideMark/>
          </w:tcPr>
          <w:p w14:paraId="7969211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955</w:t>
            </w:r>
          </w:p>
        </w:tc>
        <w:tc>
          <w:tcPr>
            <w:tcW w:w="1093" w:type="dxa"/>
            <w:shd w:val="clear" w:color="auto" w:fill="auto"/>
            <w:noWrap/>
            <w:vAlign w:val="center"/>
            <w:hideMark/>
          </w:tcPr>
          <w:p w14:paraId="512838E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0.23</w:t>
            </w:r>
          </w:p>
        </w:tc>
        <w:tc>
          <w:tcPr>
            <w:tcW w:w="1092" w:type="dxa"/>
            <w:shd w:val="clear" w:color="auto" w:fill="auto"/>
            <w:noWrap/>
            <w:vAlign w:val="center"/>
            <w:hideMark/>
          </w:tcPr>
          <w:p w14:paraId="0F1B574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26EFE71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5C81C60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03E55216" w14:textId="77777777" w:rsidTr="00E8396C">
        <w:trPr>
          <w:jc w:val="center"/>
        </w:trPr>
        <w:tc>
          <w:tcPr>
            <w:tcW w:w="1278" w:type="dxa"/>
            <w:shd w:val="clear" w:color="auto" w:fill="D9D9D9" w:themeFill="background1" w:themeFillShade="D9"/>
            <w:vAlign w:val="center"/>
            <w:hideMark/>
          </w:tcPr>
          <w:p w14:paraId="0D9730BD"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SHIP 1</w:t>
            </w:r>
          </w:p>
        </w:tc>
        <w:tc>
          <w:tcPr>
            <w:tcW w:w="849" w:type="dxa"/>
            <w:shd w:val="clear" w:color="auto" w:fill="D9D9D9" w:themeFill="background1" w:themeFillShade="D9"/>
            <w:vAlign w:val="center"/>
          </w:tcPr>
          <w:p w14:paraId="7C35821F"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2BCDD9B2" w14:textId="168A4ED7"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1325540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48%</w:t>
            </w:r>
          </w:p>
        </w:tc>
        <w:tc>
          <w:tcPr>
            <w:tcW w:w="1134" w:type="dxa"/>
            <w:shd w:val="clear" w:color="auto" w:fill="D9D9D9" w:themeFill="background1" w:themeFillShade="D9"/>
            <w:vAlign w:val="center"/>
          </w:tcPr>
          <w:p w14:paraId="1A14C27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9%</w:t>
            </w:r>
          </w:p>
        </w:tc>
        <w:tc>
          <w:tcPr>
            <w:tcW w:w="992" w:type="dxa"/>
            <w:shd w:val="clear" w:color="auto" w:fill="D9D9D9" w:themeFill="background1" w:themeFillShade="D9"/>
            <w:vAlign w:val="center"/>
          </w:tcPr>
          <w:p w14:paraId="2975451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55</w:t>
            </w:r>
          </w:p>
        </w:tc>
        <w:tc>
          <w:tcPr>
            <w:tcW w:w="1135" w:type="dxa"/>
            <w:shd w:val="clear" w:color="auto" w:fill="D9D9D9" w:themeFill="background1" w:themeFillShade="D9"/>
            <w:noWrap/>
            <w:vAlign w:val="center"/>
            <w:hideMark/>
          </w:tcPr>
          <w:p w14:paraId="12E878D9"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88.8</w:t>
            </w:r>
          </w:p>
        </w:tc>
        <w:tc>
          <w:tcPr>
            <w:tcW w:w="1276" w:type="dxa"/>
            <w:shd w:val="clear" w:color="auto" w:fill="D9D9D9" w:themeFill="background1" w:themeFillShade="D9"/>
            <w:noWrap/>
            <w:vAlign w:val="center"/>
            <w:hideMark/>
          </w:tcPr>
          <w:p w14:paraId="7B70C91D"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w:t>
            </w:r>
          </w:p>
        </w:tc>
        <w:tc>
          <w:tcPr>
            <w:tcW w:w="1092" w:type="dxa"/>
            <w:shd w:val="clear" w:color="auto" w:fill="D9D9D9" w:themeFill="background1" w:themeFillShade="D9"/>
            <w:noWrap/>
            <w:vAlign w:val="center"/>
            <w:hideMark/>
          </w:tcPr>
          <w:p w14:paraId="30E044CA"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217</w:t>
            </w:r>
          </w:p>
        </w:tc>
        <w:tc>
          <w:tcPr>
            <w:tcW w:w="1093" w:type="dxa"/>
            <w:shd w:val="clear" w:color="auto" w:fill="D9D9D9" w:themeFill="background1" w:themeFillShade="D9"/>
            <w:noWrap/>
            <w:vAlign w:val="center"/>
            <w:hideMark/>
          </w:tcPr>
          <w:p w14:paraId="26BBB88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832</w:t>
            </w:r>
          </w:p>
        </w:tc>
        <w:tc>
          <w:tcPr>
            <w:tcW w:w="1093" w:type="dxa"/>
            <w:shd w:val="clear" w:color="auto" w:fill="D9D9D9" w:themeFill="background1" w:themeFillShade="D9"/>
            <w:noWrap/>
            <w:vAlign w:val="center"/>
            <w:hideMark/>
          </w:tcPr>
          <w:p w14:paraId="0AA3B16C"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0.21</w:t>
            </w:r>
          </w:p>
        </w:tc>
        <w:tc>
          <w:tcPr>
            <w:tcW w:w="1092" w:type="dxa"/>
            <w:shd w:val="clear" w:color="auto" w:fill="D9D9D9" w:themeFill="background1" w:themeFillShade="D9"/>
            <w:noWrap/>
            <w:vAlign w:val="center"/>
            <w:hideMark/>
          </w:tcPr>
          <w:p w14:paraId="44DA388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02B85B8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759C2FD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7A04F0A0" w14:textId="77777777" w:rsidTr="00E8396C">
        <w:trPr>
          <w:jc w:val="center"/>
        </w:trPr>
        <w:tc>
          <w:tcPr>
            <w:tcW w:w="1278" w:type="dxa"/>
            <w:shd w:val="clear" w:color="auto" w:fill="auto"/>
            <w:vAlign w:val="center"/>
            <w:hideMark/>
          </w:tcPr>
          <w:p w14:paraId="0F8AD8E8"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SiMES</w:t>
            </w:r>
          </w:p>
        </w:tc>
        <w:tc>
          <w:tcPr>
            <w:tcW w:w="849" w:type="dxa"/>
            <w:vAlign w:val="center"/>
          </w:tcPr>
          <w:p w14:paraId="5CAFF79F"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65BB8991"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SA</w:t>
            </w:r>
          </w:p>
        </w:tc>
        <w:tc>
          <w:tcPr>
            <w:tcW w:w="851" w:type="dxa"/>
            <w:vAlign w:val="center"/>
          </w:tcPr>
          <w:p w14:paraId="669974B6"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49%</w:t>
            </w:r>
          </w:p>
        </w:tc>
        <w:tc>
          <w:tcPr>
            <w:tcW w:w="1134" w:type="dxa"/>
            <w:vAlign w:val="center"/>
          </w:tcPr>
          <w:p w14:paraId="281F5FA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31%</w:t>
            </w:r>
          </w:p>
        </w:tc>
        <w:tc>
          <w:tcPr>
            <w:tcW w:w="992" w:type="dxa"/>
            <w:vAlign w:val="center"/>
          </w:tcPr>
          <w:p w14:paraId="56A66FD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59</w:t>
            </w:r>
          </w:p>
        </w:tc>
        <w:tc>
          <w:tcPr>
            <w:tcW w:w="1135" w:type="dxa"/>
            <w:shd w:val="clear" w:color="auto" w:fill="auto"/>
            <w:noWrap/>
            <w:vAlign w:val="center"/>
            <w:hideMark/>
          </w:tcPr>
          <w:p w14:paraId="4A1CD4C8"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77.6</w:t>
            </w:r>
          </w:p>
        </w:tc>
        <w:tc>
          <w:tcPr>
            <w:tcW w:w="1276" w:type="dxa"/>
            <w:shd w:val="clear" w:color="auto" w:fill="auto"/>
            <w:noWrap/>
            <w:vAlign w:val="center"/>
            <w:hideMark/>
          </w:tcPr>
          <w:p w14:paraId="4F1BE269"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3.67</w:t>
            </w:r>
          </w:p>
        </w:tc>
        <w:tc>
          <w:tcPr>
            <w:tcW w:w="1092" w:type="dxa"/>
            <w:shd w:val="clear" w:color="auto" w:fill="auto"/>
            <w:noWrap/>
            <w:vAlign w:val="center"/>
            <w:hideMark/>
          </w:tcPr>
          <w:p w14:paraId="7BC9A33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163</w:t>
            </w:r>
          </w:p>
        </w:tc>
        <w:tc>
          <w:tcPr>
            <w:tcW w:w="1093" w:type="dxa"/>
            <w:shd w:val="clear" w:color="auto" w:fill="auto"/>
            <w:noWrap/>
            <w:vAlign w:val="center"/>
            <w:hideMark/>
          </w:tcPr>
          <w:p w14:paraId="01887E35"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541</w:t>
            </w:r>
          </w:p>
        </w:tc>
        <w:tc>
          <w:tcPr>
            <w:tcW w:w="1093" w:type="dxa"/>
            <w:shd w:val="clear" w:color="auto" w:fill="auto"/>
            <w:noWrap/>
            <w:vAlign w:val="center"/>
            <w:hideMark/>
          </w:tcPr>
          <w:p w14:paraId="6C5E745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0.23</w:t>
            </w:r>
          </w:p>
        </w:tc>
        <w:tc>
          <w:tcPr>
            <w:tcW w:w="1092" w:type="dxa"/>
            <w:shd w:val="clear" w:color="auto" w:fill="auto"/>
            <w:noWrap/>
            <w:vAlign w:val="center"/>
            <w:hideMark/>
          </w:tcPr>
          <w:p w14:paraId="7EA1490D"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0C7C663F"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auto"/>
            <w:noWrap/>
            <w:vAlign w:val="center"/>
            <w:hideMark/>
          </w:tcPr>
          <w:p w14:paraId="1B6B2F5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607ABA0A" w14:textId="77777777" w:rsidTr="00E8396C">
        <w:trPr>
          <w:jc w:val="center"/>
        </w:trPr>
        <w:tc>
          <w:tcPr>
            <w:tcW w:w="1278" w:type="dxa"/>
            <w:shd w:val="clear" w:color="auto" w:fill="D9D9D9" w:themeFill="background1" w:themeFillShade="D9"/>
            <w:vAlign w:val="center"/>
            <w:hideMark/>
          </w:tcPr>
          <w:p w14:paraId="2A903545"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SINDI</w:t>
            </w:r>
          </w:p>
        </w:tc>
        <w:tc>
          <w:tcPr>
            <w:tcW w:w="849" w:type="dxa"/>
            <w:shd w:val="clear" w:color="auto" w:fill="D9D9D9" w:themeFill="background1" w:themeFillShade="D9"/>
            <w:vAlign w:val="center"/>
          </w:tcPr>
          <w:p w14:paraId="79585761"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4D1D10BC"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SA</w:t>
            </w:r>
          </w:p>
        </w:tc>
        <w:tc>
          <w:tcPr>
            <w:tcW w:w="851" w:type="dxa"/>
            <w:shd w:val="clear" w:color="auto" w:fill="D9D9D9" w:themeFill="background1" w:themeFillShade="D9"/>
            <w:vAlign w:val="center"/>
          </w:tcPr>
          <w:p w14:paraId="6F17D6B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51%</w:t>
            </w:r>
          </w:p>
        </w:tc>
        <w:tc>
          <w:tcPr>
            <w:tcW w:w="1134" w:type="dxa"/>
            <w:shd w:val="clear" w:color="auto" w:fill="D9D9D9" w:themeFill="background1" w:themeFillShade="D9"/>
            <w:vAlign w:val="center"/>
          </w:tcPr>
          <w:p w14:paraId="0095CD5B"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40%</w:t>
            </w:r>
          </w:p>
        </w:tc>
        <w:tc>
          <w:tcPr>
            <w:tcW w:w="992" w:type="dxa"/>
            <w:shd w:val="clear" w:color="auto" w:fill="D9D9D9" w:themeFill="background1" w:themeFillShade="D9"/>
            <w:vAlign w:val="center"/>
          </w:tcPr>
          <w:p w14:paraId="0DF3D4A2"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57</w:t>
            </w:r>
          </w:p>
        </w:tc>
        <w:tc>
          <w:tcPr>
            <w:tcW w:w="1135" w:type="dxa"/>
            <w:shd w:val="clear" w:color="auto" w:fill="D9D9D9" w:themeFill="background1" w:themeFillShade="D9"/>
            <w:noWrap/>
            <w:vAlign w:val="center"/>
            <w:hideMark/>
          </w:tcPr>
          <w:p w14:paraId="5E3103A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90.2</w:t>
            </w:r>
          </w:p>
        </w:tc>
        <w:tc>
          <w:tcPr>
            <w:tcW w:w="1276" w:type="dxa"/>
            <w:shd w:val="clear" w:color="auto" w:fill="D9D9D9" w:themeFill="background1" w:themeFillShade="D9"/>
            <w:noWrap/>
            <w:vAlign w:val="center"/>
            <w:hideMark/>
          </w:tcPr>
          <w:p w14:paraId="1965D082"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4.68</w:t>
            </w:r>
          </w:p>
        </w:tc>
        <w:tc>
          <w:tcPr>
            <w:tcW w:w="1092" w:type="dxa"/>
            <w:shd w:val="clear" w:color="auto" w:fill="D9D9D9" w:themeFill="background1" w:themeFillShade="D9"/>
            <w:noWrap/>
            <w:vAlign w:val="center"/>
            <w:hideMark/>
          </w:tcPr>
          <w:p w14:paraId="71FCDB3F"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215</w:t>
            </w:r>
          </w:p>
        </w:tc>
        <w:tc>
          <w:tcPr>
            <w:tcW w:w="1093" w:type="dxa"/>
            <w:shd w:val="clear" w:color="auto" w:fill="D9D9D9" w:themeFill="background1" w:themeFillShade="D9"/>
            <w:noWrap/>
            <w:vAlign w:val="center"/>
            <w:hideMark/>
          </w:tcPr>
          <w:p w14:paraId="0C73FFC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605</w:t>
            </w:r>
          </w:p>
        </w:tc>
        <w:tc>
          <w:tcPr>
            <w:tcW w:w="1093" w:type="dxa"/>
            <w:shd w:val="clear" w:color="auto" w:fill="D9D9D9" w:themeFill="background1" w:themeFillShade="D9"/>
            <w:noWrap/>
            <w:vAlign w:val="center"/>
            <w:hideMark/>
          </w:tcPr>
          <w:p w14:paraId="5928C49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0.26</w:t>
            </w:r>
          </w:p>
        </w:tc>
        <w:tc>
          <w:tcPr>
            <w:tcW w:w="1092" w:type="dxa"/>
            <w:shd w:val="clear" w:color="auto" w:fill="D9D9D9" w:themeFill="background1" w:themeFillShade="D9"/>
            <w:noWrap/>
            <w:vAlign w:val="center"/>
            <w:hideMark/>
          </w:tcPr>
          <w:p w14:paraId="0C0BD23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3C8D5D2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shd w:val="clear" w:color="auto" w:fill="D9D9D9" w:themeFill="background1" w:themeFillShade="D9"/>
            <w:noWrap/>
            <w:vAlign w:val="center"/>
            <w:hideMark/>
          </w:tcPr>
          <w:p w14:paraId="163A953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r w:rsidR="008D6DF4" w:rsidRPr="00E8396C" w14:paraId="5C3F68FE" w14:textId="77777777" w:rsidTr="00E8396C">
        <w:trPr>
          <w:jc w:val="center"/>
        </w:trPr>
        <w:tc>
          <w:tcPr>
            <w:tcW w:w="1278" w:type="dxa"/>
            <w:shd w:val="clear" w:color="auto" w:fill="auto"/>
            <w:vAlign w:val="center"/>
            <w:hideMark/>
          </w:tcPr>
          <w:p w14:paraId="5F3FFCC7"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SOLID-TIMI 52</w:t>
            </w:r>
          </w:p>
        </w:tc>
        <w:tc>
          <w:tcPr>
            <w:tcW w:w="849" w:type="dxa"/>
            <w:vAlign w:val="center"/>
          </w:tcPr>
          <w:p w14:paraId="34D154C1"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5DAD509F" w14:textId="2991741E"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5CFABBCD"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75%</w:t>
            </w:r>
          </w:p>
        </w:tc>
        <w:tc>
          <w:tcPr>
            <w:tcW w:w="1134" w:type="dxa"/>
            <w:vAlign w:val="center"/>
          </w:tcPr>
          <w:p w14:paraId="1A0391B9"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26%</w:t>
            </w:r>
          </w:p>
        </w:tc>
        <w:tc>
          <w:tcPr>
            <w:tcW w:w="992" w:type="dxa"/>
            <w:vAlign w:val="center"/>
          </w:tcPr>
          <w:p w14:paraId="15FA2F6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64</w:t>
            </w:r>
          </w:p>
        </w:tc>
        <w:tc>
          <w:tcPr>
            <w:tcW w:w="1135" w:type="dxa"/>
            <w:shd w:val="clear" w:color="auto" w:fill="auto"/>
            <w:noWrap/>
            <w:vAlign w:val="center"/>
            <w:hideMark/>
          </w:tcPr>
          <w:p w14:paraId="39F9BAB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77.1</w:t>
            </w:r>
          </w:p>
        </w:tc>
        <w:tc>
          <w:tcPr>
            <w:tcW w:w="1276" w:type="dxa"/>
            <w:shd w:val="clear" w:color="auto" w:fill="auto"/>
            <w:noWrap/>
            <w:vAlign w:val="center"/>
            <w:hideMark/>
          </w:tcPr>
          <w:p w14:paraId="3C7DDE92"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w:t>
            </w:r>
          </w:p>
        </w:tc>
        <w:tc>
          <w:tcPr>
            <w:tcW w:w="1092" w:type="dxa"/>
            <w:shd w:val="clear" w:color="auto" w:fill="auto"/>
            <w:noWrap/>
            <w:vAlign w:val="center"/>
            <w:hideMark/>
          </w:tcPr>
          <w:p w14:paraId="43D04ED2"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2,006</w:t>
            </w:r>
          </w:p>
        </w:tc>
        <w:tc>
          <w:tcPr>
            <w:tcW w:w="1093" w:type="dxa"/>
            <w:shd w:val="clear" w:color="auto" w:fill="auto"/>
            <w:noWrap/>
            <w:vAlign w:val="center"/>
            <w:hideMark/>
          </w:tcPr>
          <w:p w14:paraId="296CA89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1,280</w:t>
            </w:r>
          </w:p>
        </w:tc>
        <w:tc>
          <w:tcPr>
            <w:tcW w:w="1093" w:type="dxa"/>
            <w:shd w:val="clear" w:color="auto" w:fill="auto"/>
            <w:noWrap/>
            <w:vAlign w:val="center"/>
            <w:hideMark/>
          </w:tcPr>
          <w:p w14:paraId="488C0AE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0.61</w:t>
            </w:r>
          </w:p>
        </w:tc>
        <w:tc>
          <w:tcPr>
            <w:tcW w:w="1092" w:type="dxa"/>
            <w:shd w:val="clear" w:color="auto" w:fill="auto"/>
            <w:noWrap/>
            <w:vAlign w:val="center"/>
            <w:hideMark/>
          </w:tcPr>
          <w:p w14:paraId="3F8A672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294</w:t>
            </w:r>
          </w:p>
        </w:tc>
        <w:tc>
          <w:tcPr>
            <w:tcW w:w="1093" w:type="dxa"/>
            <w:shd w:val="clear" w:color="auto" w:fill="auto"/>
            <w:noWrap/>
            <w:vAlign w:val="center"/>
            <w:hideMark/>
          </w:tcPr>
          <w:p w14:paraId="3BA32D76"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4,244</w:t>
            </w:r>
          </w:p>
        </w:tc>
        <w:tc>
          <w:tcPr>
            <w:tcW w:w="1093" w:type="dxa"/>
            <w:shd w:val="clear" w:color="auto" w:fill="auto"/>
            <w:noWrap/>
            <w:vAlign w:val="center"/>
            <w:hideMark/>
          </w:tcPr>
          <w:p w14:paraId="7E13E4D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0.06</w:t>
            </w:r>
          </w:p>
        </w:tc>
      </w:tr>
      <w:tr w:rsidR="008D6DF4" w:rsidRPr="00E8396C" w14:paraId="69AE86DB" w14:textId="77777777" w:rsidTr="00E8396C">
        <w:trPr>
          <w:jc w:val="center"/>
        </w:trPr>
        <w:tc>
          <w:tcPr>
            <w:tcW w:w="1278" w:type="dxa"/>
            <w:shd w:val="clear" w:color="auto" w:fill="D9D9D9" w:themeFill="background1" w:themeFillShade="D9"/>
            <w:vAlign w:val="center"/>
            <w:hideMark/>
          </w:tcPr>
          <w:p w14:paraId="07ABC466"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STABILITY</w:t>
            </w:r>
          </w:p>
        </w:tc>
        <w:tc>
          <w:tcPr>
            <w:tcW w:w="849" w:type="dxa"/>
            <w:shd w:val="clear" w:color="auto" w:fill="D9D9D9" w:themeFill="background1" w:themeFillShade="D9"/>
            <w:vAlign w:val="center"/>
          </w:tcPr>
          <w:p w14:paraId="639A34A6"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shd w:val="clear" w:color="auto" w:fill="D9D9D9" w:themeFill="background1" w:themeFillShade="D9"/>
            <w:vAlign w:val="center"/>
          </w:tcPr>
          <w:p w14:paraId="2DE2BBF7" w14:textId="10D204B6"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6E51CFA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82%</w:t>
            </w:r>
          </w:p>
        </w:tc>
        <w:tc>
          <w:tcPr>
            <w:tcW w:w="1134" w:type="dxa"/>
            <w:shd w:val="clear" w:color="auto" w:fill="D9D9D9" w:themeFill="background1" w:themeFillShade="D9"/>
            <w:vAlign w:val="center"/>
          </w:tcPr>
          <w:p w14:paraId="5397A96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37%</w:t>
            </w:r>
          </w:p>
        </w:tc>
        <w:tc>
          <w:tcPr>
            <w:tcW w:w="992" w:type="dxa"/>
            <w:shd w:val="clear" w:color="auto" w:fill="D9D9D9" w:themeFill="background1" w:themeFillShade="D9"/>
            <w:vAlign w:val="center"/>
          </w:tcPr>
          <w:p w14:paraId="7C4AEB1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65</w:t>
            </w:r>
          </w:p>
        </w:tc>
        <w:tc>
          <w:tcPr>
            <w:tcW w:w="1135" w:type="dxa"/>
            <w:shd w:val="clear" w:color="auto" w:fill="D9D9D9" w:themeFill="background1" w:themeFillShade="D9"/>
            <w:noWrap/>
            <w:vAlign w:val="center"/>
            <w:hideMark/>
          </w:tcPr>
          <w:p w14:paraId="612A02A2"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72.8</w:t>
            </w:r>
          </w:p>
        </w:tc>
        <w:tc>
          <w:tcPr>
            <w:tcW w:w="1276" w:type="dxa"/>
            <w:shd w:val="clear" w:color="auto" w:fill="D9D9D9" w:themeFill="background1" w:themeFillShade="D9"/>
            <w:noWrap/>
            <w:vAlign w:val="center"/>
            <w:hideMark/>
          </w:tcPr>
          <w:p w14:paraId="23B3F811"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w:t>
            </w:r>
          </w:p>
        </w:tc>
        <w:tc>
          <w:tcPr>
            <w:tcW w:w="1092" w:type="dxa"/>
            <w:shd w:val="clear" w:color="auto" w:fill="D9D9D9" w:themeFill="background1" w:themeFillShade="D9"/>
            <w:noWrap/>
            <w:vAlign w:val="center"/>
            <w:hideMark/>
          </w:tcPr>
          <w:p w14:paraId="4A40574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1,201</w:t>
            </w:r>
          </w:p>
        </w:tc>
        <w:tc>
          <w:tcPr>
            <w:tcW w:w="1093" w:type="dxa"/>
            <w:shd w:val="clear" w:color="auto" w:fill="D9D9D9" w:themeFill="background1" w:themeFillShade="D9"/>
            <w:noWrap/>
            <w:vAlign w:val="center"/>
            <w:hideMark/>
          </w:tcPr>
          <w:p w14:paraId="216113F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2,561</w:t>
            </w:r>
          </w:p>
        </w:tc>
        <w:tc>
          <w:tcPr>
            <w:tcW w:w="1093" w:type="dxa"/>
            <w:shd w:val="clear" w:color="auto" w:fill="D9D9D9" w:themeFill="background1" w:themeFillShade="D9"/>
            <w:noWrap/>
            <w:vAlign w:val="center"/>
            <w:hideMark/>
          </w:tcPr>
          <w:p w14:paraId="2448988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0.32</w:t>
            </w:r>
          </w:p>
        </w:tc>
        <w:tc>
          <w:tcPr>
            <w:tcW w:w="1092" w:type="dxa"/>
            <w:shd w:val="clear" w:color="auto" w:fill="D9D9D9" w:themeFill="background1" w:themeFillShade="D9"/>
            <w:noWrap/>
            <w:vAlign w:val="center"/>
            <w:hideMark/>
          </w:tcPr>
          <w:p w14:paraId="1010D8D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291</w:t>
            </w:r>
          </w:p>
        </w:tc>
        <w:tc>
          <w:tcPr>
            <w:tcW w:w="1093" w:type="dxa"/>
            <w:shd w:val="clear" w:color="auto" w:fill="D9D9D9" w:themeFill="background1" w:themeFillShade="D9"/>
            <w:noWrap/>
            <w:vAlign w:val="center"/>
            <w:hideMark/>
          </w:tcPr>
          <w:p w14:paraId="715BDA3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5,312</w:t>
            </w:r>
          </w:p>
        </w:tc>
        <w:tc>
          <w:tcPr>
            <w:tcW w:w="1093" w:type="dxa"/>
            <w:shd w:val="clear" w:color="auto" w:fill="D9D9D9" w:themeFill="background1" w:themeFillShade="D9"/>
            <w:noWrap/>
            <w:vAlign w:val="center"/>
            <w:hideMark/>
          </w:tcPr>
          <w:p w14:paraId="6BCE701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0.05</w:t>
            </w:r>
          </w:p>
        </w:tc>
      </w:tr>
      <w:tr w:rsidR="008D6DF4" w:rsidRPr="00E8396C" w14:paraId="4E55FBA3" w14:textId="77777777" w:rsidTr="00E8396C">
        <w:trPr>
          <w:jc w:val="center"/>
        </w:trPr>
        <w:tc>
          <w:tcPr>
            <w:tcW w:w="1278" w:type="dxa"/>
            <w:shd w:val="clear" w:color="auto" w:fill="auto"/>
            <w:vAlign w:val="center"/>
            <w:hideMark/>
          </w:tcPr>
          <w:p w14:paraId="6778666F"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UKBB</w:t>
            </w:r>
          </w:p>
        </w:tc>
        <w:tc>
          <w:tcPr>
            <w:tcW w:w="849" w:type="dxa"/>
            <w:vAlign w:val="center"/>
          </w:tcPr>
          <w:p w14:paraId="10FE993A"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vAlign w:val="center"/>
          </w:tcPr>
          <w:p w14:paraId="124904F0" w14:textId="284F712C"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vAlign w:val="center"/>
          </w:tcPr>
          <w:p w14:paraId="164F2DE0"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49%</w:t>
            </w:r>
          </w:p>
        </w:tc>
        <w:tc>
          <w:tcPr>
            <w:tcW w:w="1134" w:type="dxa"/>
            <w:vAlign w:val="center"/>
          </w:tcPr>
          <w:p w14:paraId="769FB72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w:t>
            </w:r>
          </w:p>
        </w:tc>
        <w:tc>
          <w:tcPr>
            <w:tcW w:w="992" w:type="dxa"/>
            <w:vAlign w:val="center"/>
          </w:tcPr>
          <w:p w14:paraId="68431A27"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58</w:t>
            </w:r>
          </w:p>
        </w:tc>
        <w:tc>
          <w:tcPr>
            <w:tcW w:w="1135" w:type="dxa"/>
            <w:shd w:val="clear" w:color="auto" w:fill="auto"/>
            <w:noWrap/>
            <w:vAlign w:val="center"/>
            <w:hideMark/>
          </w:tcPr>
          <w:p w14:paraId="714F3E1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90.6</w:t>
            </w:r>
          </w:p>
        </w:tc>
        <w:tc>
          <w:tcPr>
            <w:tcW w:w="1276" w:type="dxa"/>
            <w:shd w:val="clear" w:color="auto" w:fill="auto"/>
            <w:noWrap/>
            <w:vAlign w:val="center"/>
            <w:hideMark/>
          </w:tcPr>
          <w:p w14:paraId="080D8566"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4.27</w:t>
            </w:r>
          </w:p>
        </w:tc>
        <w:tc>
          <w:tcPr>
            <w:tcW w:w="1092" w:type="dxa"/>
            <w:shd w:val="clear" w:color="auto" w:fill="auto"/>
            <w:noWrap/>
            <w:vAlign w:val="center"/>
            <w:hideMark/>
          </w:tcPr>
          <w:p w14:paraId="09C33E8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2,416</w:t>
            </w:r>
          </w:p>
        </w:tc>
        <w:tc>
          <w:tcPr>
            <w:tcW w:w="1093" w:type="dxa"/>
            <w:shd w:val="clear" w:color="auto" w:fill="auto"/>
            <w:noWrap/>
            <w:vAlign w:val="center"/>
            <w:hideMark/>
          </w:tcPr>
          <w:p w14:paraId="224345F2"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5,828</w:t>
            </w:r>
          </w:p>
        </w:tc>
        <w:tc>
          <w:tcPr>
            <w:tcW w:w="1093" w:type="dxa"/>
            <w:shd w:val="clear" w:color="auto" w:fill="auto"/>
            <w:noWrap/>
            <w:vAlign w:val="center"/>
            <w:hideMark/>
          </w:tcPr>
          <w:p w14:paraId="09DF1A8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0.29</w:t>
            </w:r>
          </w:p>
        </w:tc>
        <w:tc>
          <w:tcPr>
            <w:tcW w:w="1092" w:type="dxa"/>
            <w:shd w:val="clear" w:color="auto" w:fill="auto"/>
            <w:noWrap/>
            <w:vAlign w:val="center"/>
            <w:hideMark/>
          </w:tcPr>
          <w:p w14:paraId="4F0956B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518</w:t>
            </w:r>
          </w:p>
        </w:tc>
        <w:tc>
          <w:tcPr>
            <w:tcW w:w="1093" w:type="dxa"/>
            <w:shd w:val="clear" w:color="auto" w:fill="auto"/>
            <w:noWrap/>
            <w:vAlign w:val="center"/>
            <w:hideMark/>
          </w:tcPr>
          <w:p w14:paraId="345010E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14,518</w:t>
            </w:r>
          </w:p>
        </w:tc>
        <w:tc>
          <w:tcPr>
            <w:tcW w:w="1093" w:type="dxa"/>
            <w:shd w:val="clear" w:color="auto" w:fill="auto"/>
            <w:noWrap/>
            <w:vAlign w:val="center"/>
            <w:hideMark/>
          </w:tcPr>
          <w:p w14:paraId="7EA6569F"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0.03</w:t>
            </w:r>
          </w:p>
        </w:tc>
      </w:tr>
      <w:tr w:rsidR="008D6DF4" w:rsidRPr="00E8396C" w14:paraId="5A8356F9" w14:textId="77777777" w:rsidTr="00E8396C">
        <w:trPr>
          <w:jc w:val="center"/>
        </w:trPr>
        <w:tc>
          <w:tcPr>
            <w:tcW w:w="1278" w:type="dxa"/>
            <w:vMerge w:val="restart"/>
            <w:shd w:val="clear" w:color="auto" w:fill="D9D9D9" w:themeFill="background1" w:themeFillShade="D9"/>
            <w:vAlign w:val="center"/>
            <w:hideMark/>
          </w:tcPr>
          <w:p w14:paraId="53A36904"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Vanderbilt</w:t>
            </w:r>
          </w:p>
        </w:tc>
        <w:tc>
          <w:tcPr>
            <w:tcW w:w="849" w:type="dxa"/>
            <w:shd w:val="clear" w:color="auto" w:fill="D9D9D9" w:themeFill="background1" w:themeFillShade="D9"/>
            <w:vAlign w:val="center"/>
          </w:tcPr>
          <w:p w14:paraId="3F009F43"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660</w:t>
            </w:r>
          </w:p>
        </w:tc>
        <w:tc>
          <w:tcPr>
            <w:tcW w:w="1132" w:type="dxa"/>
            <w:shd w:val="clear" w:color="auto" w:fill="D9D9D9" w:themeFill="background1" w:themeFillShade="D9"/>
            <w:vAlign w:val="center"/>
          </w:tcPr>
          <w:p w14:paraId="15EA9AE5" w14:textId="6EB862DE"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6444F697"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45%</w:t>
            </w:r>
          </w:p>
        </w:tc>
        <w:tc>
          <w:tcPr>
            <w:tcW w:w="1134" w:type="dxa"/>
            <w:shd w:val="clear" w:color="auto" w:fill="D9D9D9" w:themeFill="background1" w:themeFillShade="D9"/>
            <w:vAlign w:val="center"/>
          </w:tcPr>
          <w:p w14:paraId="44B4EFE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w:t>
            </w:r>
          </w:p>
        </w:tc>
        <w:tc>
          <w:tcPr>
            <w:tcW w:w="992" w:type="dxa"/>
            <w:shd w:val="clear" w:color="auto" w:fill="D9D9D9" w:themeFill="background1" w:themeFillShade="D9"/>
            <w:vAlign w:val="center"/>
          </w:tcPr>
          <w:p w14:paraId="6C650E3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55</w:t>
            </w:r>
          </w:p>
        </w:tc>
        <w:tc>
          <w:tcPr>
            <w:tcW w:w="1135" w:type="dxa"/>
            <w:shd w:val="clear" w:color="auto" w:fill="D9D9D9" w:themeFill="background1" w:themeFillShade="D9"/>
            <w:noWrap/>
            <w:vAlign w:val="center"/>
            <w:hideMark/>
          </w:tcPr>
          <w:p w14:paraId="7BE054B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85.3</w:t>
            </w:r>
          </w:p>
        </w:tc>
        <w:tc>
          <w:tcPr>
            <w:tcW w:w="1276" w:type="dxa"/>
            <w:shd w:val="clear" w:color="auto" w:fill="D9D9D9" w:themeFill="background1" w:themeFillShade="D9"/>
            <w:noWrap/>
            <w:vAlign w:val="center"/>
            <w:hideMark/>
          </w:tcPr>
          <w:p w14:paraId="681FA602"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8.81</w:t>
            </w:r>
          </w:p>
        </w:tc>
        <w:tc>
          <w:tcPr>
            <w:tcW w:w="1092" w:type="dxa"/>
            <w:shd w:val="clear" w:color="auto" w:fill="D9D9D9" w:themeFill="background1" w:themeFillShade="D9"/>
            <w:noWrap/>
            <w:vAlign w:val="center"/>
            <w:hideMark/>
          </w:tcPr>
          <w:p w14:paraId="2130825B"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430</w:t>
            </w:r>
          </w:p>
        </w:tc>
        <w:tc>
          <w:tcPr>
            <w:tcW w:w="1093" w:type="dxa"/>
            <w:shd w:val="clear" w:color="auto" w:fill="D9D9D9" w:themeFill="background1" w:themeFillShade="D9"/>
            <w:noWrap/>
            <w:vAlign w:val="center"/>
            <w:hideMark/>
          </w:tcPr>
          <w:p w14:paraId="5D05988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324</w:t>
            </w:r>
          </w:p>
        </w:tc>
        <w:tc>
          <w:tcPr>
            <w:tcW w:w="1093" w:type="dxa"/>
            <w:shd w:val="clear" w:color="auto" w:fill="D9D9D9" w:themeFill="background1" w:themeFillShade="D9"/>
            <w:noWrap/>
            <w:vAlign w:val="center"/>
            <w:hideMark/>
          </w:tcPr>
          <w:p w14:paraId="3ABA3B9B"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0.57</w:t>
            </w:r>
          </w:p>
        </w:tc>
        <w:tc>
          <w:tcPr>
            <w:tcW w:w="1092" w:type="dxa"/>
            <w:shd w:val="clear" w:color="auto" w:fill="D9D9D9" w:themeFill="background1" w:themeFillShade="D9"/>
            <w:noWrap/>
            <w:vAlign w:val="center"/>
            <w:hideMark/>
          </w:tcPr>
          <w:p w14:paraId="158D6FB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303</w:t>
            </w:r>
          </w:p>
        </w:tc>
        <w:tc>
          <w:tcPr>
            <w:tcW w:w="1093" w:type="dxa"/>
            <w:shd w:val="clear" w:color="auto" w:fill="D9D9D9" w:themeFill="background1" w:themeFillShade="D9"/>
            <w:noWrap/>
            <w:vAlign w:val="center"/>
            <w:hideMark/>
          </w:tcPr>
          <w:p w14:paraId="6E049BF8"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933</w:t>
            </w:r>
          </w:p>
        </w:tc>
        <w:tc>
          <w:tcPr>
            <w:tcW w:w="1093" w:type="dxa"/>
            <w:shd w:val="clear" w:color="auto" w:fill="D9D9D9" w:themeFill="background1" w:themeFillShade="D9"/>
            <w:noWrap/>
            <w:vAlign w:val="center"/>
            <w:hideMark/>
          </w:tcPr>
          <w:p w14:paraId="41E0720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0.25</w:t>
            </w:r>
          </w:p>
        </w:tc>
      </w:tr>
      <w:tr w:rsidR="008D6DF4" w:rsidRPr="00E8396C" w14:paraId="014AEC31" w14:textId="77777777" w:rsidTr="00E8396C">
        <w:trPr>
          <w:jc w:val="center"/>
        </w:trPr>
        <w:tc>
          <w:tcPr>
            <w:tcW w:w="1278" w:type="dxa"/>
            <w:vMerge/>
            <w:shd w:val="clear" w:color="auto" w:fill="D9D9D9" w:themeFill="background1" w:themeFillShade="D9"/>
            <w:vAlign w:val="center"/>
            <w:hideMark/>
          </w:tcPr>
          <w:p w14:paraId="7BAC85E4"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24996A33"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AA1M</w:t>
            </w:r>
          </w:p>
        </w:tc>
        <w:tc>
          <w:tcPr>
            <w:tcW w:w="1132" w:type="dxa"/>
            <w:shd w:val="clear" w:color="auto" w:fill="D9D9D9" w:themeFill="background1" w:themeFillShade="D9"/>
            <w:vAlign w:val="center"/>
          </w:tcPr>
          <w:p w14:paraId="2C8BEF6F"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AA</w:t>
            </w:r>
          </w:p>
        </w:tc>
        <w:tc>
          <w:tcPr>
            <w:tcW w:w="851" w:type="dxa"/>
            <w:shd w:val="clear" w:color="auto" w:fill="D9D9D9" w:themeFill="background1" w:themeFillShade="D9"/>
            <w:vAlign w:val="center"/>
          </w:tcPr>
          <w:p w14:paraId="0F6D450D"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34%</w:t>
            </w:r>
          </w:p>
        </w:tc>
        <w:tc>
          <w:tcPr>
            <w:tcW w:w="1134" w:type="dxa"/>
            <w:shd w:val="clear" w:color="auto" w:fill="D9D9D9" w:themeFill="background1" w:themeFillShade="D9"/>
            <w:vAlign w:val="center"/>
          </w:tcPr>
          <w:p w14:paraId="6DFEC163"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6%</w:t>
            </w:r>
          </w:p>
        </w:tc>
        <w:tc>
          <w:tcPr>
            <w:tcW w:w="992" w:type="dxa"/>
            <w:shd w:val="clear" w:color="auto" w:fill="D9D9D9" w:themeFill="background1" w:themeFillShade="D9"/>
            <w:vAlign w:val="center"/>
          </w:tcPr>
          <w:p w14:paraId="614DDF9C"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48</w:t>
            </w:r>
          </w:p>
        </w:tc>
        <w:tc>
          <w:tcPr>
            <w:tcW w:w="1135" w:type="dxa"/>
            <w:shd w:val="clear" w:color="auto" w:fill="D9D9D9" w:themeFill="background1" w:themeFillShade="D9"/>
            <w:noWrap/>
            <w:vAlign w:val="center"/>
            <w:hideMark/>
          </w:tcPr>
          <w:p w14:paraId="03884C3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99.0</w:t>
            </w:r>
          </w:p>
        </w:tc>
        <w:tc>
          <w:tcPr>
            <w:tcW w:w="1276" w:type="dxa"/>
            <w:shd w:val="clear" w:color="auto" w:fill="D9D9D9" w:themeFill="background1" w:themeFillShade="D9"/>
            <w:noWrap/>
            <w:vAlign w:val="center"/>
            <w:hideMark/>
          </w:tcPr>
          <w:p w14:paraId="1EE002EB"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9.76</w:t>
            </w:r>
          </w:p>
        </w:tc>
        <w:tc>
          <w:tcPr>
            <w:tcW w:w="1092" w:type="dxa"/>
            <w:shd w:val="clear" w:color="auto" w:fill="D9D9D9" w:themeFill="background1" w:themeFillShade="D9"/>
            <w:noWrap/>
            <w:vAlign w:val="center"/>
            <w:hideMark/>
          </w:tcPr>
          <w:p w14:paraId="12DCA24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220</w:t>
            </w:r>
          </w:p>
        </w:tc>
        <w:tc>
          <w:tcPr>
            <w:tcW w:w="1093" w:type="dxa"/>
            <w:shd w:val="clear" w:color="auto" w:fill="D9D9D9" w:themeFill="background1" w:themeFillShade="D9"/>
            <w:noWrap/>
            <w:vAlign w:val="center"/>
            <w:hideMark/>
          </w:tcPr>
          <w:p w14:paraId="354B2EE7"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172</w:t>
            </w:r>
          </w:p>
        </w:tc>
        <w:tc>
          <w:tcPr>
            <w:tcW w:w="1093" w:type="dxa"/>
            <w:shd w:val="clear" w:color="auto" w:fill="D9D9D9" w:themeFill="background1" w:themeFillShade="D9"/>
            <w:noWrap/>
            <w:vAlign w:val="center"/>
            <w:hideMark/>
          </w:tcPr>
          <w:p w14:paraId="20531FF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0.56</w:t>
            </w:r>
          </w:p>
        </w:tc>
        <w:tc>
          <w:tcPr>
            <w:tcW w:w="1092" w:type="dxa"/>
            <w:shd w:val="clear" w:color="auto" w:fill="D9D9D9" w:themeFill="background1" w:themeFillShade="D9"/>
            <w:noWrap/>
            <w:vAlign w:val="center"/>
            <w:hideMark/>
          </w:tcPr>
          <w:p w14:paraId="2FFE54F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109</w:t>
            </w:r>
          </w:p>
        </w:tc>
        <w:tc>
          <w:tcPr>
            <w:tcW w:w="1093" w:type="dxa"/>
            <w:shd w:val="clear" w:color="auto" w:fill="D9D9D9" w:themeFill="background1" w:themeFillShade="D9"/>
            <w:noWrap/>
            <w:vAlign w:val="center"/>
            <w:hideMark/>
          </w:tcPr>
          <w:p w14:paraId="4B0D9850"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569</w:t>
            </w:r>
          </w:p>
        </w:tc>
        <w:tc>
          <w:tcPr>
            <w:tcW w:w="1093" w:type="dxa"/>
            <w:shd w:val="clear" w:color="auto" w:fill="D9D9D9" w:themeFill="background1" w:themeFillShade="D9"/>
            <w:noWrap/>
            <w:vAlign w:val="center"/>
            <w:hideMark/>
          </w:tcPr>
          <w:p w14:paraId="63990B1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0.16</w:t>
            </w:r>
          </w:p>
        </w:tc>
      </w:tr>
      <w:tr w:rsidR="008D6DF4" w:rsidRPr="00E8396C" w14:paraId="35C5AD23" w14:textId="77777777" w:rsidTr="00E8396C">
        <w:trPr>
          <w:jc w:val="center"/>
        </w:trPr>
        <w:tc>
          <w:tcPr>
            <w:tcW w:w="1278" w:type="dxa"/>
            <w:vMerge/>
            <w:shd w:val="clear" w:color="auto" w:fill="D9D9D9" w:themeFill="background1" w:themeFillShade="D9"/>
            <w:vAlign w:val="center"/>
            <w:hideMark/>
          </w:tcPr>
          <w:p w14:paraId="3253B2D2"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500003C5"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Omni1</w:t>
            </w:r>
          </w:p>
        </w:tc>
        <w:tc>
          <w:tcPr>
            <w:tcW w:w="1132" w:type="dxa"/>
            <w:shd w:val="clear" w:color="auto" w:fill="D9D9D9" w:themeFill="background1" w:themeFillShade="D9"/>
            <w:vAlign w:val="center"/>
          </w:tcPr>
          <w:p w14:paraId="2B9D8DF9" w14:textId="02CC2A0F"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565C4CB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53%</w:t>
            </w:r>
          </w:p>
        </w:tc>
        <w:tc>
          <w:tcPr>
            <w:tcW w:w="1134" w:type="dxa"/>
            <w:shd w:val="clear" w:color="auto" w:fill="D9D9D9" w:themeFill="background1" w:themeFillShade="D9"/>
            <w:vAlign w:val="center"/>
          </w:tcPr>
          <w:p w14:paraId="2DF8F336"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w:t>
            </w:r>
          </w:p>
        </w:tc>
        <w:tc>
          <w:tcPr>
            <w:tcW w:w="992" w:type="dxa"/>
            <w:shd w:val="clear" w:color="auto" w:fill="D9D9D9" w:themeFill="background1" w:themeFillShade="D9"/>
            <w:vAlign w:val="center"/>
          </w:tcPr>
          <w:p w14:paraId="42971E75"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55</w:t>
            </w:r>
          </w:p>
        </w:tc>
        <w:tc>
          <w:tcPr>
            <w:tcW w:w="1135" w:type="dxa"/>
            <w:shd w:val="clear" w:color="auto" w:fill="D9D9D9" w:themeFill="background1" w:themeFillShade="D9"/>
            <w:noWrap/>
            <w:vAlign w:val="center"/>
            <w:hideMark/>
          </w:tcPr>
          <w:p w14:paraId="3A783F0D"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86.0</w:t>
            </w:r>
          </w:p>
        </w:tc>
        <w:tc>
          <w:tcPr>
            <w:tcW w:w="1276" w:type="dxa"/>
            <w:shd w:val="clear" w:color="auto" w:fill="D9D9D9" w:themeFill="background1" w:themeFillShade="D9"/>
            <w:noWrap/>
            <w:vAlign w:val="center"/>
            <w:hideMark/>
          </w:tcPr>
          <w:p w14:paraId="3217B9AE"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8.97</w:t>
            </w:r>
          </w:p>
        </w:tc>
        <w:tc>
          <w:tcPr>
            <w:tcW w:w="1092" w:type="dxa"/>
            <w:shd w:val="clear" w:color="auto" w:fill="D9D9D9" w:themeFill="background1" w:themeFillShade="D9"/>
            <w:noWrap/>
            <w:vAlign w:val="center"/>
            <w:hideMark/>
          </w:tcPr>
          <w:p w14:paraId="533B078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643</w:t>
            </w:r>
          </w:p>
        </w:tc>
        <w:tc>
          <w:tcPr>
            <w:tcW w:w="1093" w:type="dxa"/>
            <w:shd w:val="clear" w:color="auto" w:fill="D9D9D9" w:themeFill="background1" w:themeFillShade="D9"/>
            <w:noWrap/>
            <w:vAlign w:val="center"/>
            <w:hideMark/>
          </w:tcPr>
          <w:p w14:paraId="1A9C8C2E"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403</w:t>
            </w:r>
          </w:p>
        </w:tc>
        <w:tc>
          <w:tcPr>
            <w:tcW w:w="1093" w:type="dxa"/>
            <w:shd w:val="clear" w:color="auto" w:fill="D9D9D9" w:themeFill="background1" w:themeFillShade="D9"/>
            <w:noWrap/>
            <w:vAlign w:val="center"/>
            <w:hideMark/>
          </w:tcPr>
          <w:p w14:paraId="02BA74C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0.61</w:t>
            </w:r>
          </w:p>
        </w:tc>
        <w:tc>
          <w:tcPr>
            <w:tcW w:w="1092" w:type="dxa"/>
            <w:shd w:val="clear" w:color="auto" w:fill="D9D9D9" w:themeFill="background1" w:themeFillShade="D9"/>
            <w:noWrap/>
            <w:vAlign w:val="center"/>
            <w:hideMark/>
          </w:tcPr>
          <w:p w14:paraId="461F261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475</w:t>
            </w:r>
          </w:p>
        </w:tc>
        <w:tc>
          <w:tcPr>
            <w:tcW w:w="1093" w:type="dxa"/>
            <w:shd w:val="clear" w:color="auto" w:fill="D9D9D9" w:themeFill="background1" w:themeFillShade="D9"/>
            <w:noWrap/>
            <w:vAlign w:val="center"/>
            <w:hideMark/>
          </w:tcPr>
          <w:p w14:paraId="340485B1"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1,091</w:t>
            </w:r>
          </w:p>
        </w:tc>
        <w:tc>
          <w:tcPr>
            <w:tcW w:w="1093" w:type="dxa"/>
            <w:shd w:val="clear" w:color="auto" w:fill="D9D9D9" w:themeFill="background1" w:themeFillShade="D9"/>
            <w:noWrap/>
            <w:vAlign w:val="center"/>
            <w:hideMark/>
          </w:tcPr>
          <w:p w14:paraId="2C89992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0.30</w:t>
            </w:r>
          </w:p>
        </w:tc>
      </w:tr>
      <w:tr w:rsidR="008D6DF4" w:rsidRPr="00E8396C" w14:paraId="792A9030" w14:textId="77777777" w:rsidTr="00E8396C">
        <w:trPr>
          <w:jc w:val="center"/>
        </w:trPr>
        <w:tc>
          <w:tcPr>
            <w:tcW w:w="1278" w:type="dxa"/>
            <w:vMerge/>
            <w:shd w:val="clear" w:color="auto" w:fill="D9D9D9" w:themeFill="background1" w:themeFillShade="D9"/>
            <w:vAlign w:val="center"/>
            <w:hideMark/>
          </w:tcPr>
          <w:p w14:paraId="7B8FD920" w14:textId="77777777" w:rsidR="008D6DF4" w:rsidRPr="00E8396C" w:rsidRDefault="008D6DF4" w:rsidP="000F6BC1">
            <w:pPr>
              <w:spacing w:after="0" w:line="280" w:lineRule="exact"/>
              <w:rPr>
                <w:rFonts w:ascii="Arial" w:eastAsia="Times New Roman" w:hAnsi="Arial" w:cs="Arial"/>
                <w:color w:val="000000"/>
                <w:sz w:val="20"/>
                <w:szCs w:val="20"/>
                <w:lang w:val="en-US"/>
              </w:rPr>
            </w:pPr>
          </w:p>
        </w:tc>
        <w:tc>
          <w:tcPr>
            <w:tcW w:w="849" w:type="dxa"/>
            <w:shd w:val="clear" w:color="auto" w:fill="D9D9D9" w:themeFill="background1" w:themeFillShade="D9"/>
            <w:vAlign w:val="center"/>
          </w:tcPr>
          <w:p w14:paraId="5889906B"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Omni5</w:t>
            </w:r>
          </w:p>
        </w:tc>
        <w:tc>
          <w:tcPr>
            <w:tcW w:w="1132" w:type="dxa"/>
            <w:shd w:val="clear" w:color="auto" w:fill="D9D9D9" w:themeFill="background1" w:themeFillShade="D9"/>
            <w:vAlign w:val="center"/>
          </w:tcPr>
          <w:p w14:paraId="30763303" w14:textId="682FF86C"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shd w:val="clear" w:color="auto" w:fill="D9D9D9" w:themeFill="background1" w:themeFillShade="D9"/>
            <w:vAlign w:val="center"/>
          </w:tcPr>
          <w:p w14:paraId="418FC146"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55%</w:t>
            </w:r>
          </w:p>
        </w:tc>
        <w:tc>
          <w:tcPr>
            <w:tcW w:w="1134" w:type="dxa"/>
            <w:shd w:val="clear" w:color="auto" w:fill="D9D9D9" w:themeFill="background1" w:themeFillShade="D9"/>
            <w:vAlign w:val="center"/>
          </w:tcPr>
          <w:p w14:paraId="42F66356"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8%</w:t>
            </w:r>
          </w:p>
        </w:tc>
        <w:tc>
          <w:tcPr>
            <w:tcW w:w="992" w:type="dxa"/>
            <w:shd w:val="clear" w:color="auto" w:fill="D9D9D9" w:themeFill="background1" w:themeFillShade="D9"/>
            <w:vAlign w:val="center"/>
          </w:tcPr>
          <w:p w14:paraId="014DA9F8"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56</w:t>
            </w:r>
          </w:p>
        </w:tc>
        <w:tc>
          <w:tcPr>
            <w:tcW w:w="1135" w:type="dxa"/>
            <w:shd w:val="clear" w:color="auto" w:fill="D9D9D9" w:themeFill="background1" w:themeFillShade="D9"/>
            <w:noWrap/>
            <w:vAlign w:val="center"/>
            <w:hideMark/>
          </w:tcPr>
          <w:p w14:paraId="1B7E4CC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86.4</w:t>
            </w:r>
          </w:p>
        </w:tc>
        <w:tc>
          <w:tcPr>
            <w:tcW w:w="1276" w:type="dxa"/>
            <w:shd w:val="clear" w:color="auto" w:fill="D9D9D9" w:themeFill="background1" w:themeFillShade="D9"/>
            <w:noWrap/>
            <w:vAlign w:val="center"/>
            <w:hideMark/>
          </w:tcPr>
          <w:p w14:paraId="57539B1F"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4.32</w:t>
            </w:r>
          </w:p>
        </w:tc>
        <w:tc>
          <w:tcPr>
            <w:tcW w:w="1092" w:type="dxa"/>
            <w:shd w:val="clear" w:color="auto" w:fill="D9D9D9" w:themeFill="background1" w:themeFillShade="D9"/>
            <w:noWrap/>
            <w:vAlign w:val="center"/>
            <w:hideMark/>
          </w:tcPr>
          <w:p w14:paraId="3D72E82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190</w:t>
            </w:r>
          </w:p>
        </w:tc>
        <w:tc>
          <w:tcPr>
            <w:tcW w:w="1093" w:type="dxa"/>
            <w:shd w:val="clear" w:color="auto" w:fill="D9D9D9" w:themeFill="background1" w:themeFillShade="D9"/>
            <w:noWrap/>
            <w:vAlign w:val="center"/>
            <w:hideMark/>
          </w:tcPr>
          <w:p w14:paraId="7C407036"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91</w:t>
            </w:r>
          </w:p>
        </w:tc>
        <w:tc>
          <w:tcPr>
            <w:tcW w:w="1093" w:type="dxa"/>
            <w:shd w:val="clear" w:color="auto" w:fill="D9D9D9" w:themeFill="background1" w:themeFillShade="D9"/>
            <w:noWrap/>
            <w:vAlign w:val="center"/>
            <w:hideMark/>
          </w:tcPr>
          <w:p w14:paraId="4F1DBE3A"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0.68</w:t>
            </w:r>
          </w:p>
        </w:tc>
        <w:tc>
          <w:tcPr>
            <w:tcW w:w="1092" w:type="dxa"/>
            <w:shd w:val="clear" w:color="auto" w:fill="D9D9D9" w:themeFill="background1" w:themeFillShade="D9"/>
            <w:noWrap/>
            <w:vAlign w:val="center"/>
            <w:hideMark/>
          </w:tcPr>
          <w:p w14:paraId="4317A59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105</w:t>
            </w:r>
          </w:p>
        </w:tc>
        <w:tc>
          <w:tcPr>
            <w:tcW w:w="1093" w:type="dxa"/>
            <w:shd w:val="clear" w:color="auto" w:fill="D9D9D9" w:themeFill="background1" w:themeFillShade="D9"/>
            <w:noWrap/>
            <w:vAlign w:val="center"/>
            <w:hideMark/>
          </w:tcPr>
          <w:p w14:paraId="7D38689E"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323</w:t>
            </w:r>
          </w:p>
        </w:tc>
        <w:tc>
          <w:tcPr>
            <w:tcW w:w="1093" w:type="dxa"/>
            <w:shd w:val="clear" w:color="auto" w:fill="D9D9D9" w:themeFill="background1" w:themeFillShade="D9"/>
            <w:noWrap/>
            <w:vAlign w:val="center"/>
            <w:hideMark/>
          </w:tcPr>
          <w:p w14:paraId="781282A3"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0.25</w:t>
            </w:r>
          </w:p>
        </w:tc>
      </w:tr>
      <w:tr w:rsidR="008D6DF4" w:rsidRPr="00E8396C" w14:paraId="0E2B477E" w14:textId="77777777" w:rsidTr="00E8396C">
        <w:trPr>
          <w:jc w:val="center"/>
        </w:trPr>
        <w:tc>
          <w:tcPr>
            <w:tcW w:w="1278" w:type="dxa"/>
            <w:tcBorders>
              <w:bottom w:val="single" w:sz="4" w:space="0" w:color="auto"/>
            </w:tcBorders>
            <w:shd w:val="clear" w:color="auto" w:fill="auto"/>
            <w:vAlign w:val="center"/>
            <w:hideMark/>
          </w:tcPr>
          <w:p w14:paraId="70EA6DB5"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YFS</w:t>
            </w:r>
          </w:p>
        </w:tc>
        <w:tc>
          <w:tcPr>
            <w:tcW w:w="849" w:type="dxa"/>
            <w:tcBorders>
              <w:bottom w:val="single" w:sz="4" w:space="0" w:color="auto"/>
            </w:tcBorders>
            <w:vAlign w:val="center"/>
          </w:tcPr>
          <w:p w14:paraId="6C7FA4B9" w14:textId="77777777" w:rsidR="008D6DF4" w:rsidRPr="00E8396C" w:rsidRDefault="007C1EBA" w:rsidP="000F6BC1">
            <w:pPr>
              <w:spacing w:after="0" w:line="280" w:lineRule="exac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w:t>
            </w:r>
          </w:p>
        </w:tc>
        <w:tc>
          <w:tcPr>
            <w:tcW w:w="1132" w:type="dxa"/>
            <w:tcBorders>
              <w:bottom w:val="single" w:sz="4" w:space="0" w:color="auto"/>
            </w:tcBorders>
            <w:vAlign w:val="center"/>
          </w:tcPr>
          <w:p w14:paraId="77DF43AA" w14:textId="03F8A479" w:rsidR="008D6DF4" w:rsidRPr="00E8396C" w:rsidRDefault="00291506"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EUR</w:t>
            </w:r>
          </w:p>
        </w:tc>
        <w:tc>
          <w:tcPr>
            <w:tcW w:w="851" w:type="dxa"/>
            <w:tcBorders>
              <w:bottom w:val="single" w:sz="4" w:space="0" w:color="auto"/>
            </w:tcBorders>
            <w:vAlign w:val="center"/>
          </w:tcPr>
          <w:p w14:paraId="4B33D7B4"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46%</w:t>
            </w:r>
          </w:p>
        </w:tc>
        <w:tc>
          <w:tcPr>
            <w:tcW w:w="1134" w:type="dxa"/>
            <w:tcBorders>
              <w:bottom w:val="single" w:sz="4" w:space="0" w:color="auto"/>
            </w:tcBorders>
            <w:vAlign w:val="center"/>
          </w:tcPr>
          <w:p w14:paraId="1EE6F37A"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0%</w:t>
            </w:r>
          </w:p>
        </w:tc>
        <w:tc>
          <w:tcPr>
            <w:tcW w:w="992" w:type="dxa"/>
            <w:tcBorders>
              <w:bottom w:val="single" w:sz="4" w:space="0" w:color="auto"/>
            </w:tcBorders>
            <w:vAlign w:val="center"/>
          </w:tcPr>
          <w:p w14:paraId="1D17560E" w14:textId="77777777" w:rsidR="008D6DF4" w:rsidRPr="00E8396C" w:rsidRDefault="007C1EBA" w:rsidP="000F6BC1">
            <w:pPr>
              <w:spacing w:after="0" w:line="280" w:lineRule="exact"/>
              <w:jc w:val="right"/>
              <w:rPr>
                <w:rFonts w:ascii="Arial" w:hAnsi="Arial" w:cs="Arial"/>
                <w:color w:val="000000"/>
                <w:sz w:val="20"/>
                <w:szCs w:val="20"/>
              </w:rPr>
            </w:pPr>
            <w:r w:rsidRPr="00E8396C">
              <w:rPr>
                <w:rFonts w:ascii="Arial" w:hAnsi="Arial" w:cs="Arial"/>
                <w:color w:val="000000"/>
                <w:sz w:val="20"/>
                <w:szCs w:val="20"/>
              </w:rPr>
              <w:t>33</w:t>
            </w:r>
          </w:p>
        </w:tc>
        <w:tc>
          <w:tcPr>
            <w:tcW w:w="1135" w:type="dxa"/>
            <w:tcBorders>
              <w:bottom w:val="single" w:sz="4" w:space="0" w:color="auto"/>
            </w:tcBorders>
            <w:shd w:val="clear" w:color="auto" w:fill="auto"/>
            <w:noWrap/>
            <w:vAlign w:val="center"/>
            <w:hideMark/>
          </w:tcPr>
          <w:p w14:paraId="234D1C8C"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107.8</w:t>
            </w:r>
          </w:p>
        </w:tc>
        <w:tc>
          <w:tcPr>
            <w:tcW w:w="1276" w:type="dxa"/>
            <w:tcBorders>
              <w:bottom w:val="single" w:sz="4" w:space="0" w:color="auto"/>
            </w:tcBorders>
            <w:shd w:val="clear" w:color="auto" w:fill="auto"/>
            <w:noWrap/>
            <w:vAlign w:val="center"/>
            <w:hideMark/>
          </w:tcPr>
          <w:p w14:paraId="604CE8F2" w14:textId="77777777" w:rsidR="008D6DF4" w:rsidRPr="00E8396C" w:rsidRDefault="007C1EBA" w:rsidP="000F6BC1">
            <w:pPr>
              <w:spacing w:after="0" w:line="280" w:lineRule="exact"/>
              <w:jc w:val="center"/>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6</w:t>
            </w:r>
          </w:p>
        </w:tc>
        <w:tc>
          <w:tcPr>
            <w:tcW w:w="1092" w:type="dxa"/>
            <w:tcBorders>
              <w:bottom w:val="single" w:sz="4" w:space="0" w:color="auto"/>
            </w:tcBorders>
            <w:shd w:val="clear" w:color="auto" w:fill="auto"/>
            <w:noWrap/>
            <w:vAlign w:val="center"/>
            <w:hideMark/>
          </w:tcPr>
          <w:p w14:paraId="01916DB3"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192</w:t>
            </w:r>
          </w:p>
        </w:tc>
        <w:tc>
          <w:tcPr>
            <w:tcW w:w="1093" w:type="dxa"/>
            <w:tcBorders>
              <w:bottom w:val="single" w:sz="4" w:space="0" w:color="auto"/>
            </w:tcBorders>
            <w:shd w:val="clear" w:color="auto" w:fill="auto"/>
            <w:noWrap/>
            <w:vAlign w:val="center"/>
            <w:hideMark/>
          </w:tcPr>
          <w:p w14:paraId="432A2114" w14:textId="77777777" w:rsidR="008D6DF4" w:rsidRPr="00E8396C" w:rsidRDefault="007C1EBA" w:rsidP="000F6BC1">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593</w:t>
            </w:r>
          </w:p>
        </w:tc>
        <w:tc>
          <w:tcPr>
            <w:tcW w:w="1093" w:type="dxa"/>
            <w:tcBorders>
              <w:bottom w:val="single" w:sz="4" w:space="0" w:color="auto"/>
            </w:tcBorders>
            <w:shd w:val="clear" w:color="auto" w:fill="auto"/>
            <w:noWrap/>
            <w:vAlign w:val="center"/>
            <w:hideMark/>
          </w:tcPr>
          <w:p w14:paraId="4243C6D2"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0.24</w:t>
            </w:r>
          </w:p>
        </w:tc>
        <w:tc>
          <w:tcPr>
            <w:tcW w:w="1092" w:type="dxa"/>
            <w:tcBorders>
              <w:bottom w:val="single" w:sz="4" w:space="0" w:color="auto"/>
            </w:tcBorders>
            <w:shd w:val="clear" w:color="auto" w:fill="auto"/>
            <w:noWrap/>
            <w:vAlign w:val="center"/>
            <w:hideMark/>
          </w:tcPr>
          <w:p w14:paraId="3D2F4154"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tcBorders>
              <w:bottom w:val="single" w:sz="4" w:space="0" w:color="auto"/>
            </w:tcBorders>
            <w:shd w:val="clear" w:color="auto" w:fill="auto"/>
            <w:noWrap/>
            <w:vAlign w:val="center"/>
            <w:hideMark/>
          </w:tcPr>
          <w:p w14:paraId="58EA0197"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c>
          <w:tcPr>
            <w:tcW w:w="1093" w:type="dxa"/>
            <w:tcBorders>
              <w:bottom w:val="single" w:sz="4" w:space="0" w:color="auto"/>
            </w:tcBorders>
            <w:shd w:val="clear" w:color="auto" w:fill="auto"/>
            <w:noWrap/>
            <w:vAlign w:val="center"/>
            <w:hideMark/>
          </w:tcPr>
          <w:p w14:paraId="244BE209" w14:textId="77777777" w:rsidR="008D6DF4" w:rsidRPr="00E8396C" w:rsidRDefault="007C1EBA" w:rsidP="00FA0460">
            <w:pPr>
              <w:spacing w:after="0" w:line="280" w:lineRule="exact"/>
              <w:jc w:val="right"/>
              <w:rPr>
                <w:rFonts w:ascii="Arial" w:eastAsia="Times New Roman" w:hAnsi="Arial" w:cs="Arial"/>
                <w:color w:val="000000"/>
                <w:sz w:val="20"/>
                <w:szCs w:val="20"/>
                <w:lang w:val="en-US"/>
              </w:rPr>
            </w:pPr>
            <w:r w:rsidRPr="00E8396C">
              <w:rPr>
                <w:rFonts w:ascii="Arial" w:eastAsia="Times New Roman" w:hAnsi="Arial" w:cs="Arial"/>
                <w:color w:val="000000"/>
                <w:sz w:val="20"/>
                <w:szCs w:val="20"/>
                <w:lang w:val="en-US"/>
              </w:rPr>
              <w:t xml:space="preserve"> --</w:t>
            </w:r>
          </w:p>
        </w:tc>
      </w:tr>
    </w:tbl>
    <w:p w14:paraId="18309817" w14:textId="77777777" w:rsidR="006800B7" w:rsidRDefault="006800B7" w:rsidP="006800B7">
      <w:pPr>
        <w:spacing w:before="120" w:after="0" w:line="240" w:lineRule="auto"/>
        <w:ind w:left="-426"/>
        <w:rPr>
          <w:rFonts w:ascii="Arial" w:eastAsia="Times New Roman" w:hAnsi="Arial" w:cs="Arial"/>
          <w:bCs/>
          <w:color w:val="000000"/>
          <w:lang w:val="en-US"/>
        </w:rPr>
      </w:pPr>
      <w:r w:rsidRPr="006800B7">
        <w:rPr>
          <w:rFonts w:ascii="Arial" w:eastAsia="Times New Roman" w:hAnsi="Arial" w:cs="Arial"/>
          <w:bCs/>
          <w:color w:val="000000"/>
          <w:lang w:val="en-US"/>
        </w:rPr>
        <w:t>*</w:t>
      </w:r>
      <w:r w:rsidR="00291506" w:rsidRPr="006800B7">
        <w:rPr>
          <w:rFonts w:ascii="Arial" w:eastAsia="Times New Roman" w:hAnsi="Arial" w:cs="Arial"/>
          <w:bCs/>
          <w:color w:val="000000"/>
          <w:lang w:val="en-US"/>
        </w:rPr>
        <w:t>Subgroup</w:t>
      </w:r>
      <w:r>
        <w:rPr>
          <w:rFonts w:ascii="Arial" w:eastAsia="Times New Roman" w:hAnsi="Arial" w:cs="Arial"/>
          <w:bCs/>
          <w:color w:val="000000"/>
          <w:lang w:val="en-US"/>
        </w:rPr>
        <w:t xml:space="preserve">: </w:t>
      </w:r>
      <w:r w:rsidR="00291506" w:rsidRPr="006800B7">
        <w:rPr>
          <w:rFonts w:ascii="Arial" w:eastAsia="Times New Roman" w:hAnsi="Arial" w:cs="Arial"/>
          <w:bCs/>
          <w:color w:val="000000"/>
          <w:lang w:val="en-US"/>
        </w:rPr>
        <w:t xml:space="preserve">subgrouping of study participants by homogeneous characteristics (SNP array; ancestry); </w:t>
      </w:r>
    </w:p>
    <w:p w14:paraId="570EE6A1" w14:textId="5438B8F6" w:rsidR="006800B7" w:rsidRDefault="006800B7" w:rsidP="006800B7">
      <w:pPr>
        <w:spacing w:before="120" w:after="0" w:line="240" w:lineRule="auto"/>
        <w:ind w:left="-426"/>
        <w:rPr>
          <w:rFonts w:ascii="Arial" w:eastAsia="Times New Roman" w:hAnsi="Arial" w:cs="Arial"/>
          <w:bCs/>
          <w:color w:val="000000"/>
          <w:lang w:val="en-US"/>
        </w:rPr>
      </w:pPr>
      <w:r w:rsidRPr="006800B7">
        <w:rPr>
          <w:rFonts w:ascii="Arial" w:eastAsia="Times New Roman" w:hAnsi="Arial" w:cs="Arial"/>
          <w:bCs/>
          <w:color w:val="000000"/>
          <w:lang w:val="en-US"/>
        </w:rPr>
        <w:t>**</w:t>
      </w:r>
      <w:r w:rsidR="00291506" w:rsidRPr="006800B7">
        <w:rPr>
          <w:rFonts w:ascii="Arial" w:eastAsia="Times New Roman" w:hAnsi="Arial" w:cs="Arial"/>
          <w:bCs/>
          <w:color w:val="000000"/>
          <w:lang w:val="en-US"/>
        </w:rPr>
        <w:t xml:space="preserve">Ancestry: European (EUR), African </w:t>
      </w:r>
      <w:r w:rsidR="0043730A">
        <w:rPr>
          <w:rFonts w:ascii="Arial" w:eastAsia="Times New Roman" w:hAnsi="Arial" w:cs="Arial"/>
          <w:bCs/>
          <w:color w:val="000000"/>
          <w:lang w:val="en-US"/>
        </w:rPr>
        <w:t>American</w:t>
      </w:r>
      <w:r w:rsidR="00291506" w:rsidRPr="006800B7">
        <w:rPr>
          <w:rFonts w:ascii="Arial" w:eastAsia="Times New Roman" w:hAnsi="Arial" w:cs="Arial"/>
          <w:bCs/>
          <w:color w:val="000000"/>
          <w:lang w:val="en-US"/>
        </w:rPr>
        <w:t xml:space="preserve"> (AA), Hispanic (HIS), South Asian (SA)</w:t>
      </w:r>
    </w:p>
    <w:p w14:paraId="5789A96B" w14:textId="77777777" w:rsidR="006800B7" w:rsidRDefault="006800B7" w:rsidP="006800B7">
      <w:pPr>
        <w:spacing w:before="120" w:after="0" w:line="240" w:lineRule="auto"/>
        <w:rPr>
          <w:rFonts w:ascii="Arial" w:eastAsia="Times New Roman" w:hAnsi="Arial" w:cs="Arial"/>
          <w:bCs/>
          <w:color w:val="000000"/>
          <w:lang w:val="en-US"/>
        </w:rPr>
      </w:pPr>
    </w:p>
    <w:p w14:paraId="7E156DE1" w14:textId="27ADF480" w:rsidR="008D6DF4" w:rsidRPr="00B45027" w:rsidRDefault="00291506" w:rsidP="006800B7">
      <w:pPr>
        <w:spacing w:before="120" w:after="0" w:line="240" w:lineRule="auto"/>
        <w:rPr>
          <w:rFonts w:ascii="Arial" w:hAnsi="Arial"/>
          <w:color w:val="000000"/>
          <w:lang w:val="en-US"/>
        </w:rPr>
        <w:sectPr w:rsidR="008D6DF4" w:rsidRPr="00B45027" w:rsidSect="00E65DAB">
          <w:pgSz w:w="16838" w:h="11906" w:orient="landscape"/>
          <w:pgMar w:top="1134" w:right="1134" w:bottom="1021" w:left="1418" w:header="709" w:footer="709" w:gutter="0"/>
          <w:cols w:space="708"/>
          <w:docGrid w:linePitch="360"/>
        </w:sectPr>
      </w:pPr>
      <w:r w:rsidRPr="006800B7">
        <w:rPr>
          <w:rFonts w:ascii="Arial" w:eastAsia="Times New Roman" w:hAnsi="Arial" w:cs="Arial"/>
          <w:bCs/>
          <w:color w:val="000000"/>
          <w:lang w:val="en-US"/>
        </w:rPr>
        <w:t xml:space="preserve"> </w:t>
      </w:r>
    </w:p>
    <w:p w14:paraId="17254DF2" w14:textId="5E3FA49E" w:rsidR="008D6DF4" w:rsidRPr="00661974" w:rsidRDefault="007C1EBA">
      <w:pPr>
        <w:spacing w:after="0" w:line="360" w:lineRule="auto"/>
        <w:jc w:val="both"/>
        <w:rPr>
          <w:rFonts w:ascii="Arial" w:eastAsia="Times New Roman" w:hAnsi="Arial" w:cs="Arial"/>
          <w:color w:val="000000"/>
          <w:lang w:val="en-US"/>
        </w:rPr>
      </w:pPr>
      <w:r>
        <w:rPr>
          <w:rFonts w:ascii="Arial" w:eastAsia="Times New Roman" w:hAnsi="Arial" w:cs="Arial"/>
          <w:b/>
          <w:bCs/>
          <w:color w:val="000000"/>
          <w:lang w:val="en-US"/>
        </w:rPr>
        <w:lastRenderedPageBreak/>
        <w:t xml:space="preserve">Supplementary Table 2 | Number of cases, controls and </w:t>
      </w:r>
      <w:r w:rsidR="001A7458">
        <w:rPr>
          <w:rFonts w:ascii="Arial" w:eastAsia="Times New Roman" w:hAnsi="Arial" w:cs="Arial"/>
          <w:b/>
          <w:bCs/>
          <w:color w:val="000000"/>
          <w:lang w:val="en-US"/>
        </w:rPr>
        <w:t xml:space="preserve">excluded </w:t>
      </w:r>
      <w:r w:rsidR="008B3D06">
        <w:rPr>
          <w:rFonts w:ascii="Arial" w:eastAsia="Times New Roman" w:hAnsi="Arial" w:cs="Arial"/>
          <w:b/>
          <w:bCs/>
          <w:color w:val="000000"/>
          <w:lang w:val="en-US"/>
        </w:rPr>
        <w:t xml:space="preserve">individuals </w:t>
      </w:r>
      <w:r>
        <w:rPr>
          <w:rFonts w:ascii="Arial" w:eastAsia="Times New Roman" w:hAnsi="Arial" w:cs="Arial"/>
          <w:b/>
          <w:bCs/>
          <w:color w:val="000000"/>
          <w:lang w:val="en-US"/>
        </w:rPr>
        <w:t xml:space="preserve">in the UK Biobank study and the KORA studies. </w:t>
      </w:r>
      <w:r>
        <w:rPr>
          <w:rFonts w:ascii="Arial" w:eastAsia="Times New Roman" w:hAnsi="Arial" w:cs="Arial"/>
          <w:color w:val="000000"/>
          <w:lang w:val="en-US"/>
        </w:rPr>
        <w:t xml:space="preserve">Shown are the cross-tables of cases, controls and exclusions for Rapid3 and </w:t>
      </w:r>
      <w:r w:rsidRPr="00661974">
        <w:rPr>
          <w:rFonts w:ascii="Arial" w:eastAsia="Times New Roman" w:hAnsi="Arial" w:cs="Arial"/>
          <w:color w:val="000000"/>
          <w:lang w:val="en-US"/>
        </w:rPr>
        <w:t xml:space="preserve">CKDi25 in the three studies UKBB (n=15,462), KORAS3F3 (n=2,878) and KORAS4F4 (n=2,919) of unrelated, European </w:t>
      </w:r>
      <w:r w:rsidR="002A0A49" w:rsidRPr="00661974">
        <w:rPr>
          <w:rFonts w:ascii="Arial" w:eastAsia="Times New Roman" w:hAnsi="Arial" w:cs="Arial"/>
          <w:color w:val="000000"/>
          <w:lang w:val="en-US"/>
        </w:rPr>
        <w:t>individuals</w:t>
      </w:r>
      <w:r w:rsidRPr="00661974">
        <w:rPr>
          <w:rFonts w:ascii="Arial" w:eastAsia="Times New Roman" w:hAnsi="Arial" w:cs="Arial"/>
          <w:color w:val="000000"/>
          <w:lang w:val="en-US"/>
        </w:rPr>
        <w:t xml:space="preserve"> with all phenotypic information available. Due to the differing exclusion criteria for the two phenotypes, there were some individuals excluded for one or the other analysis. </w:t>
      </w:r>
    </w:p>
    <w:tbl>
      <w:tblPr>
        <w:tblW w:w="7965" w:type="dxa"/>
        <w:tblCellMar>
          <w:left w:w="28" w:type="dxa"/>
          <w:right w:w="28" w:type="dxa"/>
        </w:tblCellMar>
        <w:tblLook w:val="04A0" w:firstRow="1" w:lastRow="0" w:firstColumn="1" w:lastColumn="0" w:noHBand="0" w:noVBand="1"/>
      </w:tblPr>
      <w:tblGrid>
        <w:gridCol w:w="2552"/>
        <w:gridCol w:w="946"/>
        <w:gridCol w:w="70"/>
        <w:gridCol w:w="896"/>
        <w:gridCol w:w="266"/>
        <w:gridCol w:w="646"/>
        <w:gridCol w:w="155"/>
        <w:gridCol w:w="1489"/>
        <w:gridCol w:w="116"/>
        <w:gridCol w:w="829"/>
      </w:tblGrid>
      <w:tr w:rsidR="008D6DF4" w:rsidRPr="00661974" w14:paraId="322703F9" w14:textId="77777777">
        <w:trPr>
          <w:trHeight w:val="300"/>
        </w:trPr>
        <w:tc>
          <w:tcPr>
            <w:tcW w:w="3498" w:type="dxa"/>
            <w:gridSpan w:val="2"/>
            <w:vMerge w:val="restart"/>
            <w:tcBorders>
              <w:top w:val="single" w:sz="4" w:space="0" w:color="auto"/>
              <w:left w:val="nil"/>
              <w:bottom w:val="single" w:sz="4" w:space="0" w:color="000000"/>
              <w:right w:val="nil"/>
            </w:tcBorders>
            <w:shd w:val="clear" w:color="auto" w:fill="auto"/>
            <w:vAlign w:val="center"/>
            <w:hideMark/>
          </w:tcPr>
          <w:p w14:paraId="0D2C0479" w14:textId="1BB7D9E9" w:rsidR="008D6DF4" w:rsidRPr="00661974" w:rsidRDefault="007C1EBA">
            <w:pPr>
              <w:spacing w:after="0" w:line="240" w:lineRule="auto"/>
              <w:jc w:val="center"/>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UK Biobank </w:t>
            </w:r>
            <w:r w:rsidRPr="00661974">
              <w:rPr>
                <w:rFonts w:ascii="Arial" w:eastAsia="Times New Roman" w:hAnsi="Arial" w:cs="Arial"/>
                <w:color w:val="000000"/>
                <w:sz w:val="20"/>
                <w:szCs w:val="20"/>
                <w:vertAlign w:val="superscript"/>
                <w:lang w:val="en-US"/>
              </w:rPr>
              <w:t>(a)</w:t>
            </w:r>
            <w:r w:rsidRPr="00661974">
              <w:rPr>
                <w:rFonts w:ascii="Arial" w:eastAsia="Times New Roman" w:hAnsi="Arial" w:cs="Arial"/>
                <w:color w:val="000000"/>
                <w:sz w:val="20"/>
                <w:szCs w:val="20"/>
                <w:lang w:val="en-US"/>
              </w:rPr>
              <w:br/>
              <w:t>median follow-up time = 4 years</w:t>
            </w:r>
          </w:p>
        </w:tc>
        <w:tc>
          <w:tcPr>
            <w:tcW w:w="70" w:type="dxa"/>
            <w:tcBorders>
              <w:top w:val="single" w:sz="4" w:space="0" w:color="auto"/>
              <w:left w:val="nil"/>
              <w:right w:val="nil"/>
            </w:tcBorders>
          </w:tcPr>
          <w:p w14:paraId="6CB45B57"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4394" w:type="dxa"/>
            <w:gridSpan w:val="7"/>
            <w:tcBorders>
              <w:top w:val="single" w:sz="4" w:space="0" w:color="auto"/>
              <w:left w:val="nil"/>
              <w:bottom w:val="single" w:sz="4" w:space="0" w:color="auto"/>
              <w:right w:val="nil"/>
            </w:tcBorders>
            <w:shd w:val="clear" w:color="auto" w:fill="auto"/>
            <w:noWrap/>
            <w:vAlign w:val="bottom"/>
            <w:hideMark/>
          </w:tcPr>
          <w:p w14:paraId="5E20FA16"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CKDi25</w:t>
            </w:r>
          </w:p>
        </w:tc>
      </w:tr>
      <w:tr w:rsidR="008D6DF4" w:rsidRPr="00661974" w14:paraId="23D47332" w14:textId="77777777">
        <w:trPr>
          <w:trHeight w:val="300"/>
        </w:trPr>
        <w:tc>
          <w:tcPr>
            <w:tcW w:w="3498" w:type="dxa"/>
            <w:gridSpan w:val="2"/>
            <w:vMerge/>
            <w:tcBorders>
              <w:top w:val="single" w:sz="4" w:space="0" w:color="auto"/>
              <w:left w:val="nil"/>
              <w:bottom w:val="single" w:sz="4" w:space="0" w:color="000000"/>
              <w:right w:val="nil"/>
            </w:tcBorders>
            <w:vAlign w:val="center"/>
            <w:hideMark/>
          </w:tcPr>
          <w:p w14:paraId="1DD0231A" w14:textId="77777777" w:rsidR="008D6DF4" w:rsidRPr="00661974" w:rsidRDefault="008D6DF4">
            <w:pPr>
              <w:spacing w:after="0" w:line="240" w:lineRule="auto"/>
              <w:rPr>
                <w:rFonts w:ascii="Arial" w:eastAsia="Times New Roman" w:hAnsi="Arial" w:cs="Arial"/>
                <w:color w:val="000000"/>
                <w:sz w:val="20"/>
                <w:szCs w:val="20"/>
                <w:lang w:val="en-US"/>
              </w:rPr>
            </w:pPr>
          </w:p>
        </w:tc>
        <w:tc>
          <w:tcPr>
            <w:tcW w:w="70" w:type="dxa"/>
            <w:tcBorders>
              <w:left w:val="nil"/>
              <w:right w:val="nil"/>
            </w:tcBorders>
          </w:tcPr>
          <w:p w14:paraId="54DF6666"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896" w:type="dxa"/>
            <w:tcBorders>
              <w:top w:val="nil"/>
              <w:left w:val="nil"/>
              <w:bottom w:val="single" w:sz="4" w:space="0" w:color="auto"/>
              <w:right w:val="nil"/>
            </w:tcBorders>
            <w:shd w:val="clear" w:color="auto" w:fill="auto"/>
            <w:noWrap/>
            <w:vAlign w:val="bottom"/>
            <w:hideMark/>
          </w:tcPr>
          <w:p w14:paraId="19683B9C"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Controls</w:t>
            </w:r>
          </w:p>
        </w:tc>
        <w:tc>
          <w:tcPr>
            <w:tcW w:w="266" w:type="dxa"/>
            <w:tcBorders>
              <w:top w:val="nil"/>
              <w:left w:val="nil"/>
              <w:bottom w:val="nil"/>
              <w:right w:val="nil"/>
            </w:tcBorders>
            <w:shd w:val="clear" w:color="auto" w:fill="auto"/>
            <w:noWrap/>
            <w:vAlign w:val="bottom"/>
            <w:hideMark/>
          </w:tcPr>
          <w:p w14:paraId="4EC3A05E"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646" w:type="dxa"/>
            <w:tcBorders>
              <w:top w:val="nil"/>
              <w:left w:val="nil"/>
              <w:bottom w:val="single" w:sz="4" w:space="0" w:color="auto"/>
              <w:right w:val="nil"/>
            </w:tcBorders>
            <w:shd w:val="clear" w:color="auto" w:fill="auto"/>
            <w:noWrap/>
            <w:vAlign w:val="bottom"/>
            <w:hideMark/>
          </w:tcPr>
          <w:p w14:paraId="41EC280A"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Cases</w:t>
            </w:r>
          </w:p>
        </w:tc>
        <w:tc>
          <w:tcPr>
            <w:tcW w:w="155" w:type="dxa"/>
            <w:tcBorders>
              <w:top w:val="nil"/>
              <w:left w:val="nil"/>
              <w:bottom w:val="nil"/>
              <w:right w:val="nil"/>
            </w:tcBorders>
            <w:shd w:val="clear" w:color="auto" w:fill="auto"/>
            <w:noWrap/>
            <w:vAlign w:val="bottom"/>
            <w:hideMark/>
          </w:tcPr>
          <w:p w14:paraId="1BC8E512"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1489" w:type="dxa"/>
            <w:tcBorders>
              <w:top w:val="nil"/>
              <w:left w:val="nil"/>
              <w:bottom w:val="single" w:sz="4" w:space="0" w:color="auto"/>
              <w:right w:val="nil"/>
            </w:tcBorders>
            <w:shd w:val="clear" w:color="auto" w:fill="auto"/>
            <w:noWrap/>
            <w:vAlign w:val="bottom"/>
            <w:hideMark/>
          </w:tcPr>
          <w:p w14:paraId="0508AA6D" w14:textId="77777777" w:rsidR="008D6DF4" w:rsidRPr="00661974" w:rsidRDefault="007C1EBA">
            <w:pPr>
              <w:spacing w:after="0" w:line="240" w:lineRule="auto"/>
              <w:jc w:val="center"/>
              <w:rPr>
                <w:rFonts w:ascii="Arial" w:eastAsia="Times New Roman" w:hAnsi="Arial" w:cs="Arial"/>
                <w:bCs/>
                <w:color w:val="000000"/>
                <w:sz w:val="20"/>
                <w:szCs w:val="20"/>
                <w:lang w:val="en-US"/>
              </w:rPr>
            </w:pPr>
            <w:r w:rsidRPr="00661974">
              <w:rPr>
                <w:rFonts w:ascii="Arial" w:eastAsia="Times New Roman" w:hAnsi="Arial" w:cs="Arial"/>
                <w:b/>
                <w:bCs/>
                <w:color w:val="000000"/>
                <w:sz w:val="20"/>
                <w:szCs w:val="20"/>
                <w:lang w:val="en-US"/>
              </w:rPr>
              <w:t xml:space="preserve">Excluded </w:t>
            </w:r>
            <w:r w:rsidRPr="00661974">
              <w:rPr>
                <w:rFonts w:ascii="Arial" w:eastAsia="Times New Roman" w:hAnsi="Arial" w:cs="Arial"/>
                <w:b/>
                <w:bCs/>
                <w:color w:val="000000"/>
                <w:sz w:val="20"/>
                <w:szCs w:val="20"/>
                <w:vertAlign w:val="superscript"/>
                <w:lang w:val="en-US"/>
              </w:rPr>
              <w:t>(c)</w:t>
            </w:r>
          </w:p>
        </w:tc>
        <w:tc>
          <w:tcPr>
            <w:tcW w:w="116" w:type="dxa"/>
            <w:tcBorders>
              <w:top w:val="nil"/>
              <w:left w:val="nil"/>
              <w:bottom w:val="nil"/>
              <w:right w:val="nil"/>
            </w:tcBorders>
            <w:shd w:val="clear" w:color="auto" w:fill="auto"/>
            <w:noWrap/>
            <w:vAlign w:val="bottom"/>
            <w:hideMark/>
          </w:tcPr>
          <w:p w14:paraId="387EC4A1"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829" w:type="dxa"/>
            <w:tcBorders>
              <w:top w:val="nil"/>
              <w:left w:val="nil"/>
              <w:bottom w:val="single" w:sz="4" w:space="0" w:color="auto"/>
              <w:right w:val="nil"/>
            </w:tcBorders>
            <w:shd w:val="clear" w:color="auto" w:fill="auto"/>
            <w:noWrap/>
            <w:vAlign w:val="bottom"/>
            <w:hideMark/>
          </w:tcPr>
          <w:p w14:paraId="724A34B2"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SUM</w:t>
            </w:r>
          </w:p>
        </w:tc>
      </w:tr>
      <w:tr w:rsidR="008D6DF4" w:rsidRPr="00661974" w14:paraId="58ED7C3B" w14:textId="77777777">
        <w:trPr>
          <w:trHeight w:val="300"/>
        </w:trPr>
        <w:tc>
          <w:tcPr>
            <w:tcW w:w="2552" w:type="dxa"/>
            <w:vMerge w:val="restart"/>
            <w:tcBorders>
              <w:top w:val="nil"/>
              <w:left w:val="nil"/>
              <w:bottom w:val="single" w:sz="4" w:space="0" w:color="000000"/>
              <w:right w:val="nil"/>
            </w:tcBorders>
            <w:shd w:val="clear" w:color="auto" w:fill="auto"/>
            <w:noWrap/>
            <w:vAlign w:val="center"/>
            <w:hideMark/>
          </w:tcPr>
          <w:p w14:paraId="2854199C"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Rapid3</w:t>
            </w:r>
          </w:p>
        </w:tc>
        <w:tc>
          <w:tcPr>
            <w:tcW w:w="946" w:type="dxa"/>
            <w:tcBorders>
              <w:top w:val="nil"/>
              <w:left w:val="nil"/>
              <w:bottom w:val="nil"/>
              <w:right w:val="nil"/>
            </w:tcBorders>
            <w:shd w:val="clear" w:color="auto" w:fill="auto"/>
            <w:noWrap/>
            <w:vAlign w:val="bottom"/>
            <w:hideMark/>
          </w:tcPr>
          <w:p w14:paraId="3D674459"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Control</w:t>
            </w:r>
          </w:p>
        </w:tc>
        <w:tc>
          <w:tcPr>
            <w:tcW w:w="70" w:type="dxa"/>
            <w:tcBorders>
              <w:left w:val="nil"/>
              <w:bottom w:val="nil"/>
              <w:right w:val="nil"/>
            </w:tcBorders>
          </w:tcPr>
          <w:p w14:paraId="3DB5D988"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04671006"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5,743</w:t>
            </w:r>
          </w:p>
        </w:tc>
        <w:tc>
          <w:tcPr>
            <w:tcW w:w="266" w:type="dxa"/>
            <w:tcBorders>
              <w:top w:val="nil"/>
              <w:left w:val="nil"/>
              <w:bottom w:val="nil"/>
              <w:right w:val="nil"/>
            </w:tcBorders>
            <w:shd w:val="clear" w:color="auto" w:fill="auto"/>
            <w:noWrap/>
            <w:vAlign w:val="bottom"/>
            <w:hideMark/>
          </w:tcPr>
          <w:p w14:paraId="00DE72F3"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70EC93AA"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0</w:t>
            </w:r>
          </w:p>
        </w:tc>
        <w:tc>
          <w:tcPr>
            <w:tcW w:w="155" w:type="dxa"/>
            <w:tcBorders>
              <w:top w:val="nil"/>
              <w:left w:val="nil"/>
              <w:bottom w:val="nil"/>
              <w:right w:val="nil"/>
            </w:tcBorders>
            <w:shd w:val="clear" w:color="auto" w:fill="auto"/>
            <w:noWrap/>
            <w:vAlign w:val="bottom"/>
            <w:hideMark/>
          </w:tcPr>
          <w:p w14:paraId="3EE9D439"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2B7F70A4" w14:textId="77777777" w:rsidR="008D6DF4" w:rsidRPr="00661974" w:rsidRDefault="007C1EBA">
            <w:pPr>
              <w:spacing w:after="0" w:line="240" w:lineRule="auto"/>
              <w:jc w:val="right"/>
              <w:rPr>
                <w:rFonts w:ascii="Arial" w:eastAsia="Times New Roman" w:hAnsi="Arial" w:cs="Arial"/>
                <w:sz w:val="20"/>
                <w:szCs w:val="20"/>
                <w:lang w:val="en-US"/>
              </w:rPr>
            </w:pPr>
            <w:r w:rsidRPr="00661974">
              <w:rPr>
                <w:rFonts w:ascii="Arial" w:eastAsia="Times New Roman" w:hAnsi="Arial" w:cs="Arial"/>
                <w:sz w:val="20"/>
                <w:szCs w:val="20"/>
                <w:lang w:val="en-US"/>
              </w:rPr>
              <w:t>85 (0.5%)</w:t>
            </w:r>
          </w:p>
        </w:tc>
        <w:tc>
          <w:tcPr>
            <w:tcW w:w="116" w:type="dxa"/>
            <w:tcBorders>
              <w:top w:val="nil"/>
              <w:left w:val="nil"/>
              <w:bottom w:val="nil"/>
              <w:right w:val="nil"/>
            </w:tcBorders>
            <w:shd w:val="clear" w:color="auto" w:fill="auto"/>
            <w:noWrap/>
            <w:vAlign w:val="bottom"/>
            <w:hideMark/>
          </w:tcPr>
          <w:p w14:paraId="53110690" w14:textId="77777777" w:rsidR="008D6DF4" w:rsidRPr="00661974" w:rsidRDefault="008D6DF4">
            <w:pPr>
              <w:spacing w:after="0" w:line="240" w:lineRule="auto"/>
              <w:jc w:val="right"/>
              <w:rPr>
                <w:rFonts w:ascii="Arial" w:eastAsia="Times New Roman" w:hAnsi="Arial" w:cs="Arial"/>
                <w:sz w:val="20"/>
                <w:szCs w:val="20"/>
                <w:lang w:val="en-US"/>
              </w:rPr>
            </w:pPr>
          </w:p>
        </w:tc>
        <w:tc>
          <w:tcPr>
            <w:tcW w:w="829" w:type="dxa"/>
            <w:tcBorders>
              <w:top w:val="nil"/>
              <w:left w:val="nil"/>
              <w:bottom w:val="nil"/>
              <w:right w:val="nil"/>
            </w:tcBorders>
            <w:shd w:val="clear" w:color="auto" w:fill="auto"/>
            <w:noWrap/>
            <w:vAlign w:val="bottom"/>
            <w:hideMark/>
          </w:tcPr>
          <w:p w14:paraId="4F35AAFD" w14:textId="77777777" w:rsidR="008D6DF4" w:rsidRPr="00661974" w:rsidRDefault="007C1EBA">
            <w:pPr>
              <w:spacing w:after="0" w:line="240" w:lineRule="auto"/>
              <w:jc w:val="right"/>
              <w:rPr>
                <w:rFonts w:ascii="Arial" w:eastAsia="Times New Roman" w:hAnsi="Arial" w:cs="Arial"/>
                <w:sz w:val="20"/>
                <w:szCs w:val="20"/>
                <w:lang w:val="en-US"/>
              </w:rPr>
            </w:pPr>
            <w:r w:rsidRPr="00661974">
              <w:rPr>
                <w:rFonts w:ascii="Arial" w:eastAsia="Times New Roman" w:hAnsi="Arial" w:cs="Arial"/>
                <w:sz w:val="20"/>
                <w:szCs w:val="20"/>
                <w:lang w:val="en-US"/>
              </w:rPr>
              <w:t>5,828</w:t>
            </w:r>
          </w:p>
        </w:tc>
      </w:tr>
      <w:tr w:rsidR="008D6DF4" w:rsidRPr="00661974" w14:paraId="0FF830AE" w14:textId="77777777">
        <w:trPr>
          <w:trHeight w:val="300"/>
        </w:trPr>
        <w:tc>
          <w:tcPr>
            <w:tcW w:w="2552" w:type="dxa"/>
            <w:vMerge/>
            <w:tcBorders>
              <w:top w:val="nil"/>
              <w:left w:val="nil"/>
              <w:bottom w:val="single" w:sz="4" w:space="0" w:color="000000"/>
              <w:right w:val="nil"/>
            </w:tcBorders>
            <w:vAlign w:val="center"/>
            <w:hideMark/>
          </w:tcPr>
          <w:p w14:paraId="29C3D8D9"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nil"/>
              <w:right w:val="nil"/>
            </w:tcBorders>
            <w:shd w:val="clear" w:color="auto" w:fill="auto"/>
            <w:noWrap/>
            <w:vAlign w:val="bottom"/>
            <w:hideMark/>
          </w:tcPr>
          <w:p w14:paraId="5962C882"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Case</w:t>
            </w:r>
          </w:p>
        </w:tc>
        <w:tc>
          <w:tcPr>
            <w:tcW w:w="70" w:type="dxa"/>
            <w:tcBorders>
              <w:top w:val="nil"/>
              <w:left w:val="nil"/>
              <w:bottom w:val="nil"/>
              <w:right w:val="nil"/>
            </w:tcBorders>
          </w:tcPr>
          <w:p w14:paraId="3DB30E99"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1943E897"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1,830</w:t>
            </w:r>
          </w:p>
        </w:tc>
        <w:tc>
          <w:tcPr>
            <w:tcW w:w="266" w:type="dxa"/>
            <w:tcBorders>
              <w:top w:val="nil"/>
              <w:left w:val="nil"/>
              <w:bottom w:val="nil"/>
              <w:right w:val="nil"/>
            </w:tcBorders>
            <w:shd w:val="clear" w:color="auto" w:fill="auto"/>
            <w:noWrap/>
            <w:vAlign w:val="bottom"/>
            <w:hideMark/>
          </w:tcPr>
          <w:p w14:paraId="5D3E96A3"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4525C461"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516</w:t>
            </w:r>
          </w:p>
        </w:tc>
        <w:tc>
          <w:tcPr>
            <w:tcW w:w="155" w:type="dxa"/>
            <w:tcBorders>
              <w:top w:val="nil"/>
              <w:left w:val="nil"/>
              <w:bottom w:val="nil"/>
              <w:right w:val="nil"/>
            </w:tcBorders>
            <w:shd w:val="clear" w:color="auto" w:fill="auto"/>
            <w:noWrap/>
            <w:vAlign w:val="bottom"/>
            <w:hideMark/>
          </w:tcPr>
          <w:p w14:paraId="54EB9CEC"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6DEFE1D9" w14:textId="77777777" w:rsidR="008D6DF4" w:rsidRPr="00661974" w:rsidRDefault="007C1EBA">
            <w:pPr>
              <w:spacing w:after="0" w:line="240" w:lineRule="auto"/>
              <w:jc w:val="right"/>
              <w:rPr>
                <w:rFonts w:ascii="Arial" w:eastAsia="Times New Roman" w:hAnsi="Arial" w:cs="Arial"/>
                <w:sz w:val="20"/>
                <w:szCs w:val="20"/>
                <w:lang w:val="en-US"/>
              </w:rPr>
            </w:pPr>
            <w:r w:rsidRPr="00661974">
              <w:rPr>
                <w:rFonts w:ascii="Arial" w:eastAsia="Times New Roman" w:hAnsi="Arial" w:cs="Arial"/>
                <w:sz w:val="20"/>
                <w:szCs w:val="20"/>
                <w:lang w:val="en-US"/>
              </w:rPr>
              <w:t>70 (0.4%)</w:t>
            </w:r>
          </w:p>
        </w:tc>
        <w:tc>
          <w:tcPr>
            <w:tcW w:w="116" w:type="dxa"/>
            <w:tcBorders>
              <w:top w:val="nil"/>
              <w:left w:val="nil"/>
              <w:bottom w:val="nil"/>
              <w:right w:val="nil"/>
            </w:tcBorders>
            <w:shd w:val="clear" w:color="auto" w:fill="auto"/>
            <w:noWrap/>
            <w:vAlign w:val="bottom"/>
            <w:hideMark/>
          </w:tcPr>
          <w:p w14:paraId="26B8330D" w14:textId="77777777" w:rsidR="008D6DF4" w:rsidRPr="00661974" w:rsidRDefault="008D6DF4">
            <w:pPr>
              <w:spacing w:after="0" w:line="240" w:lineRule="auto"/>
              <w:jc w:val="right"/>
              <w:rPr>
                <w:rFonts w:ascii="Arial" w:eastAsia="Times New Roman" w:hAnsi="Arial" w:cs="Arial"/>
                <w:sz w:val="20"/>
                <w:szCs w:val="20"/>
                <w:lang w:val="en-US"/>
              </w:rPr>
            </w:pPr>
          </w:p>
        </w:tc>
        <w:tc>
          <w:tcPr>
            <w:tcW w:w="829" w:type="dxa"/>
            <w:tcBorders>
              <w:top w:val="nil"/>
              <w:left w:val="nil"/>
              <w:bottom w:val="nil"/>
              <w:right w:val="nil"/>
            </w:tcBorders>
            <w:shd w:val="clear" w:color="auto" w:fill="auto"/>
            <w:noWrap/>
            <w:vAlign w:val="bottom"/>
            <w:hideMark/>
          </w:tcPr>
          <w:p w14:paraId="038B3EE3" w14:textId="77777777" w:rsidR="008D6DF4" w:rsidRPr="00661974" w:rsidRDefault="007C1EBA">
            <w:pPr>
              <w:spacing w:after="0" w:line="240" w:lineRule="auto"/>
              <w:jc w:val="right"/>
              <w:rPr>
                <w:rFonts w:ascii="Arial" w:eastAsia="Times New Roman" w:hAnsi="Arial" w:cs="Arial"/>
                <w:sz w:val="20"/>
                <w:szCs w:val="20"/>
                <w:lang w:val="en-US"/>
              </w:rPr>
            </w:pPr>
            <w:r w:rsidRPr="00661974">
              <w:rPr>
                <w:rFonts w:ascii="Arial" w:eastAsia="Times New Roman" w:hAnsi="Arial" w:cs="Arial"/>
                <w:sz w:val="20"/>
                <w:szCs w:val="20"/>
                <w:lang w:val="en-US"/>
              </w:rPr>
              <w:t>2,416</w:t>
            </w:r>
          </w:p>
        </w:tc>
      </w:tr>
      <w:tr w:rsidR="008D6DF4" w:rsidRPr="00661974" w14:paraId="7602F4CE" w14:textId="77777777">
        <w:trPr>
          <w:trHeight w:val="300"/>
        </w:trPr>
        <w:tc>
          <w:tcPr>
            <w:tcW w:w="2552" w:type="dxa"/>
            <w:vMerge/>
            <w:tcBorders>
              <w:top w:val="nil"/>
              <w:left w:val="nil"/>
              <w:bottom w:val="single" w:sz="4" w:space="0" w:color="000000"/>
              <w:right w:val="nil"/>
            </w:tcBorders>
            <w:vAlign w:val="center"/>
            <w:hideMark/>
          </w:tcPr>
          <w:p w14:paraId="3F704F1D"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nil"/>
              <w:right w:val="nil"/>
            </w:tcBorders>
            <w:shd w:val="clear" w:color="auto" w:fill="auto"/>
            <w:noWrap/>
            <w:vAlign w:val="bottom"/>
            <w:hideMark/>
          </w:tcPr>
          <w:p w14:paraId="5297E573"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Excluded</w:t>
            </w:r>
          </w:p>
        </w:tc>
        <w:tc>
          <w:tcPr>
            <w:tcW w:w="70" w:type="dxa"/>
            <w:tcBorders>
              <w:top w:val="nil"/>
              <w:left w:val="nil"/>
              <w:bottom w:val="nil"/>
              <w:right w:val="nil"/>
            </w:tcBorders>
          </w:tcPr>
          <w:p w14:paraId="284A456B"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4455EF24" w14:textId="77777777" w:rsidR="008D6DF4" w:rsidRPr="00661974" w:rsidRDefault="007C1EBA">
            <w:pPr>
              <w:spacing w:after="0" w:line="240" w:lineRule="auto"/>
              <w:jc w:val="right"/>
              <w:rPr>
                <w:rFonts w:ascii="Arial" w:eastAsia="Times New Roman" w:hAnsi="Arial" w:cs="Arial"/>
                <w:color w:val="000000"/>
                <w:sz w:val="20"/>
                <w:szCs w:val="20"/>
                <w:vertAlign w:val="superscript"/>
                <w:lang w:val="en-US"/>
              </w:rPr>
            </w:pPr>
            <w:r w:rsidRPr="00661974">
              <w:rPr>
                <w:rFonts w:ascii="Arial" w:eastAsia="Times New Roman" w:hAnsi="Arial" w:cs="Arial"/>
                <w:color w:val="000000"/>
                <w:sz w:val="20"/>
                <w:szCs w:val="20"/>
                <w:lang w:val="en-US"/>
              </w:rPr>
              <w:t xml:space="preserve">6,945 </w:t>
            </w:r>
            <w:r w:rsidRPr="00661974">
              <w:rPr>
                <w:rFonts w:ascii="Arial" w:eastAsia="Times New Roman" w:hAnsi="Arial" w:cs="Arial"/>
                <w:color w:val="000000"/>
                <w:sz w:val="20"/>
                <w:szCs w:val="20"/>
                <w:vertAlign w:val="superscript"/>
                <w:lang w:val="en-US"/>
              </w:rPr>
              <w:t>(d)</w:t>
            </w:r>
          </w:p>
        </w:tc>
        <w:tc>
          <w:tcPr>
            <w:tcW w:w="266" w:type="dxa"/>
            <w:tcBorders>
              <w:top w:val="nil"/>
              <w:left w:val="nil"/>
              <w:bottom w:val="nil"/>
              <w:right w:val="nil"/>
            </w:tcBorders>
            <w:shd w:val="clear" w:color="auto" w:fill="auto"/>
            <w:noWrap/>
            <w:vAlign w:val="bottom"/>
            <w:hideMark/>
          </w:tcPr>
          <w:p w14:paraId="2FC406AE"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0E410972"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2 </w:t>
            </w:r>
            <w:r w:rsidRPr="00661974">
              <w:rPr>
                <w:rFonts w:ascii="Arial" w:eastAsia="Times New Roman" w:hAnsi="Arial" w:cs="Arial"/>
                <w:color w:val="000000"/>
                <w:sz w:val="20"/>
                <w:szCs w:val="20"/>
                <w:vertAlign w:val="superscript"/>
                <w:lang w:val="en-US"/>
              </w:rPr>
              <w:t>(b)</w:t>
            </w:r>
          </w:p>
        </w:tc>
        <w:tc>
          <w:tcPr>
            <w:tcW w:w="155" w:type="dxa"/>
            <w:tcBorders>
              <w:top w:val="nil"/>
              <w:left w:val="nil"/>
              <w:bottom w:val="nil"/>
              <w:right w:val="nil"/>
            </w:tcBorders>
            <w:shd w:val="clear" w:color="auto" w:fill="auto"/>
            <w:noWrap/>
            <w:vAlign w:val="bottom"/>
            <w:hideMark/>
          </w:tcPr>
          <w:p w14:paraId="701411C9"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4CFB2EC6" w14:textId="77777777" w:rsidR="008D6DF4" w:rsidRPr="00661974" w:rsidRDefault="007C1EBA">
            <w:pPr>
              <w:spacing w:after="0" w:line="240" w:lineRule="auto"/>
              <w:jc w:val="right"/>
              <w:rPr>
                <w:rFonts w:ascii="Arial" w:eastAsia="Times New Roman" w:hAnsi="Arial" w:cs="Arial"/>
                <w:sz w:val="20"/>
                <w:szCs w:val="20"/>
                <w:lang w:val="en-US"/>
              </w:rPr>
            </w:pPr>
            <w:r w:rsidRPr="00661974">
              <w:rPr>
                <w:rFonts w:ascii="Arial" w:eastAsia="Times New Roman" w:hAnsi="Arial" w:cs="Arial"/>
                <w:sz w:val="20"/>
                <w:szCs w:val="20"/>
                <w:lang w:val="en-US"/>
              </w:rPr>
              <w:t>271 (1.8%)</w:t>
            </w:r>
          </w:p>
        </w:tc>
        <w:tc>
          <w:tcPr>
            <w:tcW w:w="116" w:type="dxa"/>
            <w:tcBorders>
              <w:top w:val="nil"/>
              <w:left w:val="nil"/>
              <w:bottom w:val="nil"/>
              <w:right w:val="nil"/>
            </w:tcBorders>
            <w:shd w:val="clear" w:color="auto" w:fill="auto"/>
            <w:noWrap/>
            <w:vAlign w:val="bottom"/>
            <w:hideMark/>
          </w:tcPr>
          <w:p w14:paraId="5B3E4B5A" w14:textId="77777777" w:rsidR="008D6DF4" w:rsidRPr="00661974" w:rsidRDefault="008D6DF4">
            <w:pPr>
              <w:spacing w:after="0" w:line="240" w:lineRule="auto"/>
              <w:jc w:val="right"/>
              <w:rPr>
                <w:rFonts w:ascii="Arial" w:eastAsia="Times New Roman" w:hAnsi="Arial" w:cs="Arial"/>
                <w:sz w:val="20"/>
                <w:szCs w:val="20"/>
                <w:lang w:val="en-US"/>
              </w:rPr>
            </w:pPr>
          </w:p>
        </w:tc>
        <w:tc>
          <w:tcPr>
            <w:tcW w:w="829" w:type="dxa"/>
            <w:tcBorders>
              <w:top w:val="nil"/>
              <w:left w:val="nil"/>
              <w:bottom w:val="nil"/>
              <w:right w:val="nil"/>
            </w:tcBorders>
            <w:shd w:val="clear" w:color="auto" w:fill="auto"/>
            <w:noWrap/>
            <w:vAlign w:val="bottom"/>
            <w:hideMark/>
          </w:tcPr>
          <w:p w14:paraId="7FDDAB56" w14:textId="77777777" w:rsidR="008D6DF4" w:rsidRPr="00661974" w:rsidRDefault="007C1EBA">
            <w:pPr>
              <w:spacing w:after="0" w:line="240" w:lineRule="auto"/>
              <w:jc w:val="right"/>
              <w:rPr>
                <w:rFonts w:ascii="Arial" w:eastAsia="Times New Roman" w:hAnsi="Arial" w:cs="Arial"/>
                <w:sz w:val="20"/>
                <w:szCs w:val="20"/>
                <w:lang w:val="en-US"/>
              </w:rPr>
            </w:pPr>
            <w:r w:rsidRPr="00661974">
              <w:rPr>
                <w:rFonts w:ascii="Arial" w:eastAsia="Times New Roman" w:hAnsi="Arial" w:cs="Arial"/>
                <w:sz w:val="20"/>
                <w:szCs w:val="20"/>
                <w:lang w:val="en-US"/>
              </w:rPr>
              <w:t>7,218</w:t>
            </w:r>
          </w:p>
        </w:tc>
      </w:tr>
      <w:tr w:rsidR="008D6DF4" w:rsidRPr="00661974" w14:paraId="79F2FBE6" w14:textId="77777777">
        <w:trPr>
          <w:trHeight w:val="300"/>
        </w:trPr>
        <w:tc>
          <w:tcPr>
            <w:tcW w:w="2552" w:type="dxa"/>
            <w:vMerge/>
            <w:tcBorders>
              <w:top w:val="nil"/>
              <w:left w:val="nil"/>
              <w:bottom w:val="single" w:sz="4" w:space="0" w:color="000000"/>
              <w:right w:val="nil"/>
            </w:tcBorders>
            <w:vAlign w:val="center"/>
            <w:hideMark/>
          </w:tcPr>
          <w:p w14:paraId="6A7678B2"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single" w:sz="4" w:space="0" w:color="auto"/>
              <w:right w:val="nil"/>
            </w:tcBorders>
            <w:shd w:val="clear" w:color="auto" w:fill="auto"/>
            <w:noWrap/>
            <w:vAlign w:val="bottom"/>
            <w:hideMark/>
          </w:tcPr>
          <w:p w14:paraId="5E013A3A"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SUM</w:t>
            </w:r>
          </w:p>
        </w:tc>
        <w:tc>
          <w:tcPr>
            <w:tcW w:w="70" w:type="dxa"/>
            <w:tcBorders>
              <w:top w:val="nil"/>
              <w:left w:val="nil"/>
              <w:bottom w:val="single" w:sz="4" w:space="0" w:color="auto"/>
              <w:right w:val="nil"/>
            </w:tcBorders>
          </w:tcPr>
          <w:p w14:paraId="70239CAF"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single" w:sz="4" w:space="0" w:color="auto"/>
              <w:right w:val="nil"/>
            </w:tcBorders>
            <w:shd w:val="clear" w:color="auto" w:fill="auto"/>
            <w:noWrap/>
            <w:vAlign w:val="bottom"/>
            <w:hideMark/>
          </w:tcPr>
          <w:p w14:paraId="213EC8B5"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14,518</w:t>
            </w:r>
          </w:p>
        </w:tc>
        <w:tc>
          <w:tcPr>
            <w:tcW w:w="266" w:type="dxa"/>
            <w:tcBorders>
              <w:top w:val="nil"/>
              <w:left w:val="nil"/>
              <w:bottom w:val="single" w:sz="4" w:space="0" w:color="auto"/>
              <w:right w:val="nil"/>
            </w:tcBorders>
            <w:shd w:val="clear" w:color="auto" w:fill="auto"/>
            <w:noWrap/>
            <w:vAlign w:val="bottom"/>
            <w:hideMark/>
          </w:tcPr>
          <w:p w14:paraId="00A68739"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646" w:type="dxa"/>
            <w:tcBorders>
              <w:top w:val="nil"/>
              <w:left w:val="nil"/>
              <w:bottom w:val="single" w:sz="4" w:space="0" w:color="auto"/>
              <w:right w:val="nil"/>
            </w:tcBorders>
            <w:shd w:val="clear" w:color="auto" w:fill="auto"/>
            <w:noWrap/>
            <w:vAlign w:val="bottom"/>
            <w:hideMark/>
          </w:tcPr>
          <w:p w14:paraId="0F9E436B"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518</w:t>
            </w:r>
          </w:p>
        </w:tc>
        <w:tc>
          <w:tcPr>
            <w:tcW w:w="155" w:type="dxa"/>
            <w:tcBorders>
              <w:top w:val="nil"/>
              <w:left w:val="nil"/>
              <w:bottom w:val="single" w:sz="4" w:space="0" w:color="auto"/>
              <w:right w:val="nil"/>
            </w:tcBorders>
            <w:shd w:val="clear" w:color="auto" w:fill="auto"/>
            <w:noWrap/>
            <w:vAlign w:val="bottom"/>
            <w:hideMark/>
          </w:tcPr>
          <w:p w14:paraId="458D0BB5"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1489" w:type="dxa"/>
            <w:tcBorders>
              <w:top w:val="nil"/>
              <w:left w:val="nil"/>
              <w:bottom w:val="single" w:sz="4" w:space="0" w:color="auto"/>
              <w:right w:val="nil"/>
            </w:tcBorders>
            <w:shd w:val="clear" w:color="auto" w:fill="auto"/>
            <w:noWrap/>
            <w:vAlign w:val="bottom"/>
            <w:hideMark/>
          </w:tcPr>
          <w:p w14:paraId="4F06E7B2"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426 (2.8%)</w:t>
            </w:r>
          </w:p>
        </w:tc>
        <w:tc>
          <w:tcPr>
            <w:tcW w:w="116" w:type="dxa"/>
            <w:tcBorders>
              <w:top w:val="nil"/>
              <w:left w:val="nil"/>
              <w:bottom w:val="single" w:sz="4" w:space="0" w:color="auto"/>
              <w:right w:val="nil"/>
            </w:tcBorders>
            <w:shd w:val="clear" w:color="auto" w:fill="auto"/>
            <w:noWrap/>
            <w:vAlign w:val="bottom"/>
            <w:hideMark/>
          </w:tcPr>
          <w:p w14:paraId="56F37E04"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829" w:type="dxa"/>
            <w:tcBorders>
              <w:top w:val="nil"/>
              <w:left w:val="nil"/>
              <w:bottom w:val="single" w:sz="4" w:space="0" w:color="auto"/>
              <w:right w:val="nil"/>
            </w:tcBorders>
            <w:shd w:val="clear" w:color="auto" w:fill="auto"/>
            <w:noWrap/>
            <w:vAlign w:val="bottom"/>
            <w:hideMark/>
          </w:tcPr>
          <w:p w14:paraId="56363DF0"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15,462</w:t>
            </w:r>
          </w:p>
        </w:tc>
      </w:tr>
      <w:tr w:rsidR="008D6DF4" w:rsidRPr="00661974" w14:paraId="4F10089E" w14:textId="77777777">
        <w:trPr>
          <w:trHeight w:val="300"/>
        </w:trPr>
        <w:tc>
          <w:tcPr>
            <w:tcW w:w="2552" w:type="dxa"/>
            <w:tcBorders>
              <w:top w:val="nil"/>
              <w:left w:val="nil"/>
              <w:bottom w:val="nil"/>
              <w:right w:val="nil"/>
            </w:tcBorders>
            <w:shd w:val="clear" w:color="auto" w:fill="auto"/>
            <w:noWrap/>
            <w:vAlign w:val="bottom"/>
            <w:hideMark/>
          </w:tcPr>
          <w:p w14:paraId="79B68CFA"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946" w:type="dxa"/>
            <w:tcBorders>
              <w:top w:val="nil"/>
              <w:left w:val="nil"/>
              <w:bottom w:val="nil"/>
              <w:right w:val="nil"/>
            </w:tcBorders>
            <w:shd w:val="clear" w:color="auto" w:fill="auto"/>
            <w:noWrap/>
            <w:vAlign w:val="bottom"/>
            <w:hideMark/>
          </w:tcPr>
          <w:p w14:paraId="6B4B5EB6" w14:textId="77777777" w:rsidR="008D6DF4" w:rsidRPr="00661974" w:rsidRDefault="008D6DF4">
            <w:pPr>
              <w:spacing w:after="0" w:line="240" w:lineRule="auto"/>
              <w:rPr>
                <w:rFonts w:ascii="Arial" w:eastAsia="Times New Roman" w:hAnsi="Arial" w:cs="Arial"/>
                <w:sz w:val="20"/>
                <w:szCs w:val="20"/>
                <w:lang w:val="en-US"/>
              </w:rPr>
            </w:pPr>
          </w:p>
        </w:tc>
        <w:tc>
          <w:tcPr>
            <w:tcW w:w="70" w:type="dxa"/>
            <w:tcBorders>
              <w:top w:val="nil"/>
              <w:left w:val="nil"/>
              <w:bottom w:val="single" w:sz="4" w:space="0" w:color="auto"/>
              <w:right w:val="nil"/>
            </w:tcBorders>
          </w:tcPr>
          <w:p w14:paraId="457D4AC0" w14:textId="77777777" w:rsidR="008D6DF4" w:rsidRPr="00661974" w:rsidRDefault="008D6DF4">
            <w:pPr>
              <w:spacing w:after="0" w:line="240" w:lineRule="auto"/>
              <w:rPr>
                <w:rFonts w:ascii="Arial" w:eastAsia="Times New Roman" w:hAnsi="Arial" w:cs="Arial"/>
                <w:sz w:val="20"/>
                <w:szCs w:val="20"/>
                <w:lang w:val="en-US"/>
              </w:rPr>
            </w:pPr>
          </w:p>
        </w:tc>
        <w:tc>
          <w:tcPr>
            <w:tcW w:w="896" w:type="dxa"/>
            <w:tcBorders>
              <w:top w:val="nil"/>
              <w:left w:val="nil"/>
              <w:bottom w:val="nil"/>
              <w:right w:val="nil"/>
            </w:tcBorders>
            <w:shd w:val="clear" w:color="auto" w:fill="auto"/>
            <w:noWrap/>
            <w:vAlign w:val="bottom"/>
            <w:hideMark/>
          </w:tcPr>
          <w:p w14:paraId="72A99179" w14:textId="77777777" w:rsidR="008D6DF4" w:rsidRPr="00661974" w:rsidRDefault="008D6DF4">
            <w:pPr>
              <w:spacing w:after="0" w:line="240" w:lineRule="auto"/>
              <w:rPr>
                <w:rFonts w:ascii="Arial" w:eastAsia="Times New Roman" w:hAnsi="Arial" w:cs="Arial"/>
                <w:sz w:val="20"/>
                <w:szCs w:val="20"/>
                <w:lang w:val="en-US"/>
              </w:rPr>
            </w:pPr>
          </w:p>
        </w:tc>
        <w:tc>
          <w:tcPr>
            <w:tcW w:w="266" w:type="dxa"/>
            <w:tcBorders>
              <w:top w:val="nil"/>
              <w:left w:val="nil"/>
              <w:bottom w:val="nil"/>
              <w:right w:val="nil"/>
            </w:tcBorders>
            <w:shd w:val="clear" w:color="auto" w:fill="auto"/>
            <w:noWrap/>
            <w:vAlign w:val="bottom"/>
            <w:hideMark/>
          </w:tcPr>
          <w:p w14:paraId="6E3EB41C" w14:textId="77777777" w:rsidR="008D6DF4" w:rsidRPr="00661974" w:rsidRDefault="008D6DF4">
            <w:pPr>
              <w:spacing w:after="0" w:line="240" w:lineRule="auto"/>
              <w:rPr>
                <w:rFonts w:ascii="Arial" w:eastAsia="Times New Roman" w:hAnsi="Arial" w:cs="Arial"/>
                <w:sz w:val="20"/>
                <w:szCs w:val="20"/>
                <w:lang w:val="en-US"/>
              </w:rPr>
            </w:pPr>
          </w:p>
        </w:tc>
        <w:tc>
          <w:tcPr>
            <w:tcW w:w="646" w:type="dxa"/>
            <w:tcBorders>
              <w:top w:val="nil"/>
              <w:left w:val="nil"/>
              <w:bottom w:val="nil"/>
              <w:right w:val="nil"/>
            </w:tcBorders>
            <w:shd w:val="clear" w:color="auto" w:fill="auto"/>
            <w:noWrap/>
            <w:vAlign w:val="bottom"/>
            <w:hideMark/>
          </w:tcPr>
          <w:p w14:paraId="76907866" w14:textId="77777777" w:rsidR="008D6DF4" w:rsidRPr="00661974" w:rsidRDefault="008D6DF4">
            <w:pPr>
              <w:spacing w:after="0" w:line="240" w:lineRule="auto"/>
              <w:rPr>
                <w:rFonts w:ascii="Arial" w:eastAsia="Times New Roman" w:hAnsi="Arial" w:cs="Arial"/>
                <w:sz w:val="20"/>
                <w:szCs w:val="20"/>
                <w:lang w:val="en-US"/>
              </w:rPr>
            </w:pPr>
          </w:p>
        </w:tc>
        <w:tc>
          <w:tcPr>
            <w:tcW w:w="155" w:type="dxa"/>
            <w:tcBorders>
              <w:top w:val="nil"/>
              <w:left w:val="nil"/>
              <w:bottom w:val="nil"/>
              <w:right w:val="nil"/>
            </w:tcBorders>
            <w:shd w:val="clear" w:color="auto" w:fill="auto"/>
            <w:noWrap/>
            <w:vAlign w:val="bottom"/>
            <w:hideMark/>
          </w:tcPr>
          <w:p w14:paraId="1F67E65B" w14:textId="77777777" w:rsidR="008D6DF4" w:rsidRPr="00661974" w:rsidRDefault="008D6DF4">
            <w:pPr>
              <w:spacing w:after="0" w:line="240" w:lineRule="auto"/>
              <w:rPr>
                <w:rFonts w:ascii="Arial" w:eastAsia="Times New Roman" w:hAnsi="Arial" w:cs="Arial"/>
                <w:sz w:val="20"/>
                <w:szCs w:val="20"/>
                <w:lang w:val="en-US"/>
              </w:rPr>
            </w:pPr>
          </w:p>
        </w:tc>
        <w:tc>
          <w:tcPr>
            <w:tcW w:w="1489" w:type="dxa"/>
            <w:tcBorders>
              <w:top w:val="nil"/>
              <w:left w:val="nil"/>
              <w:bottom w:val="nil"/>
              <w:right w:val="nil"/>
            </w:tcBorders>
            <w:shd w:val="clear" w:color="auto" w:fill="auto"/>
            <w:noWrap/>
            <w:vAlign w:val="bottom"/>
            <w:hideMark/>
          </w:tcPr>
          <w:p w14:paraId="6FFCE9ED" w14:textId="77777777" w:rsidR="008D6DF4" w:rsidRPr="00661974" w:rsidRDefault="008D6DF4">
            <w:pPr>
              <w:spacing w:after="0" w:line="240" w:lineRule="auto"/>
              <w:rPr>
                <w:rFonts w:ascii="Arial" w:eastAsia="Times New Roman" w:hAnsi="Arial" w:cs="Arial"/>
                <w:sz w:val="20"/>
                <w:szCs w:val="20"/>
                <w:lang w:val="en-US"/>
              </w:rPr>
            </w:pPr>
          </w:p>
        </w:tc>
        <w:tc>
          <w:tcPr>
            <w:tcW w:w="116" w:type="dxa"/>
            <w:tcBorders>
              <w:top w:val="nil"/>
              <w:left w:val="nil"/>
              <w:bottom w:val="nil"/>
              <w:right w:val="nil"/>
            </w:tcBorders>
            <w:shd w:val="clear" w:color="auto" w:fill="auto"/>
            <w:noWrap/>
            <w:vAlign w:val="bottom"/>
            <w:hideMark/>
          </w:tcPr>
          <w:p w14:paraId="54A72421" w14:textId="77777777" w:rsidR="008D6DF4" w:rsidRPr="00661974" w:rsidRDefault="008D6DF4">
            <w:pPr>
              <w:spacing w:after="0" w:line="240" w:lineRule="auto"/>
              <w:rPr>
                <w:rFonts w:ascii="Arial" w:eastAsia="Times New Roman" w:hAnsi="Arial" w:cs="Arial"/>
                <w:sz w:val="20"/>
                <w:szCs w:val="20"/>
                <w:lang w:val="en-US"/>
              </w:rPr>
            </w:pPr>
          </w:p>
        </w:tc>
        <w:tc>
          <w:tcPr>
            <w:tcW w:w="829" w:type="dxa"/>
            <w:tcBorders>
              <w:top w:val="nil"/>
              <w:left w:val="nil"/>
              <w:bottom w:val="nil"/>
              <w:right w:val="nil"/>
            </w:tcBorders>
            <w:shd w:val="clear" w:color="auto" w:fill="auto"/>
            <w:noWrap/>
            <w:vAlign w:val="bottom"/>
            <w:hideMark/>
          </w:tcPr>
          <w:p w14:paraId="2B21E9B8" w14:textId="77777777" w:rsidR="008D6DF4" w:rsidRPr="00661974" w:rsidRDefault="008D6DF4">
            <w:pPr>
              <w:spacing w:after="0" w:line="240" w:lineRule="auto"/>
              <w:rPr>
                <w:rFonts w:ascii="Arial" w:eastAsia="Times New Roman" w:hAnsi="Arial" w:cs="Arial"/>
                <w:sz w:val="20"/>
                <w:szCs w:val="20"/>
                <w:lang w:val="en-US"/>
              </w:rPr>
            </w:pPr>
          </w:p>
        </w:tc>
      </w:tr>
      <w:tr w:rsidR="008D6DF4" w:rsidRPr="00661974" w14:paraId="76EA5BEB" w14:textId="77777777">
        <w:trPr>
          <w:trHeight w:val="300"/>
        </w:trPr>
        <w:tc>
          <w:tcPr>
            <w:tcW w:w="3498" w:type="dxa"/>
            <w:gridSpan w:val="2"/>
            <w:vMerge w:val="restart"/>
            <w:tcBorders>
              <w:top w:val="single" w:sz="4" w:space="0" w:color="auto"/>
              <w:left w:val="nil"/>
              <w:bottom w:val="single" w:sz="4" w:space="0" w:color="000000"/>
              <w:right w:val="nil"/>
            </w:tcBorders>
            <w:shd w:val="clear" w:color="auto" w:fill="auto"/>
            <w:vAlign w:val="center"/>
            <w:hideMark/>
          </w:tcPr>
          <w:p w14:paraId="352767E5" w14:textId="77777777" w:rsidR="008D6DF4" w:rsidRPr="00661974" w:rsidRDefault="007C1EBA">
            <w:pPr>
              <w:spacing w:after="0" w:line="240" w:lineRule="auto"/>
              <w:jc w:val="center"/>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KORAS3F3 </w:t>
            </w:r>
            <w:r w:rsidRPr="00661974">
              <w:rPr>
                <w:rFonts w:ascii="Arial" w:eastAsia="Times New Roman" w:hAnsi="Arial" w:cs="Arial"/>
                <w:color w:val="000000"/>
                <w:sz w:val="20"/>
                <w:szCs w:val="20"/>
                <w:vertAlign w:val="superscript"/>
                <w:lang w:val="en-US"/>
              </w:rPr>
              <w:t>(a)</w:t>
            </w:r>
            <w:r w:rsidRPr="00661974">
              <w:rPr>
                <w:rFonts w:ascii="Arial" w:eastAsia="Times New Roman" w:hAnsi="Arial" w:cs="Arial"/>
                <w:color w:val="000000"/>
                <w:sz w:val="20"/>
                <w:szCs w:val="20"/>
                <w:lang w:val="en-US"/>
              </w:rPr>
              <w:br/>
              <w:t>median follow-up time = 10 years</w:t>
            </w:r>
          </w:p>
        </w:tc>
        <w:tc>
          <w:tcPr>
            <w:tcW w:w="70" w:type="dxa"/>
            <w:tcBorders>
              <w:top w:val="single" w:sz="4" w:space="0" w:color="auto"/>
              <w:left w:val="nil"/>
              <w:right w:val="nil"/>
            </w:tcBorders>
          </w:tcPr>
          <w:p w14:paraId="43C99582"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4394" w:type="dxa"/>
            <w:gridSpan w:val="7"/>
            <w:tcBorders>
              <w:top w:val="single" w:sz="4" w:space="0" w:color="auto"/>
              <w:left w:val="nil"/>
              <w:bottom w:val="single" w:sz="4" w:space="0" w:color="auto"/>
              <w:right w:val="nil"/>
            </w:tcBorders>
            <w:shd w:val="clear" w:color="auto" w:fill="auto"/>
            <w:noWrap/>
            <w:vAlign w:val="bottom"/>
            <w:hideMark/>
          </w:tcPr>
          <w:p w14:paraId="2779637C"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CKDi25</w:t>
            </w:r>
          </w:p>
        </w:tc>
      </w:tr>
      <w:tr w:rsidR="008D6DF4" w:rsidRPr="00661974" w14:paraId="2D36E4AA" w14:textId="77777777">
        <w:trPr>
          <w:trHeight w:val="300"/>
        </w:trPr>
        <w:tc>
          <w:tcPr>
            <w:tcW w:w="3498" w:type="dxa"/>
            <w:gridSpan w:val="2"/>
            <w:vMerge/>
            <w:tcBorders>
              <w:top w:val="single" w:sz="4" w:space="0" w:color="auto"/>
              <w:left w:val="nil"/>
              <w:bottom w:val="single" w:sz="4" w:space="0" w:color="000000"/>
              <w:right w:val="nil"/>
            </w:tcBorders>
            <w:vAlign w:val="center"/>
            <w:hideMark/>
          </w:tcPr>
          <w:p w14:paraId="17D53857" w14:textId="77777777" w:rsidR="008D6DF4" w:rsidRPr="00661974" w:rsidRDefault="008D6DF4">
            <w:pPr>
              <w:spacing w:after="0" w:line="240" w:lineRule="auto"/>
              <w:rPr>
                <w:rFonts w:ascii="Arial" w:eastAsia="Times New Roman" w:hAnsi="Arial" w:cs="Arial"/>
                <w:color w:val="000000"/>
                <w:sz w:val="20"/>
                <w:szCs w:val="20"/>
                <w:lang w:val="en-US"/>
              </w:rPr>
            </w:pPr>
          </w:p>
        </w:tc>
        <w:tc>
          <w:tcPr>
            <w:tcW w:w="70" w:type="dxa"/>
            <w:tcBorders>
              <w:top w:val="nil"/>
              <w:left w:val="nil"/>
              <w:right w:val="nil"/>
            </w:tcBorders>
          </w:tcPr>
          <w:p w14:paraId="69DF1FB8"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896" w:type="dxa"/>
            <w:tcBorders>
              <w:top w:val="nil"/>
              <w:left w:val="nil"/>
              <w:bottom w:val="single" w:sz="4" w:space="0" w:color="auto"/>
              <w:right w:val="nil"/>
            </w:tcBorders>
            <w:shd w:val="clear" w:color="auto" w:fill="auto"/>
            <w:noWrap/>
            <w:vAlign w:val="bottom"/>
            <w:hideMark/>
          </w:tcPr>
          <w:p w14:paraId="2FD0C5F0"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Controls</w:t>
            </w:r>
          </w:p>
        </w:tc>
        <w:tc>
          <w:tcPr>
            <w:tcW w:w="266" w:type="dxa"/>
            <w:tcBorders>
              <w:top w:val="nil"/>
              <w:left w:val="nil"/>
              <w:bottom w:val="nil"/>
              <w:right w:val="nil"/>
            </w:tcBorders>
            <w:shd w:val="clear" w:color="auto" w:fill="auto"/>
            <w:noWrap/>
            <w:vAlign w:val="bottom"/>
            <w:hideMark/>
          </w:tcPr>
          <w:p w14:paraId="774657D5"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646" w:type="dxa"/>
            <w:tcBorders>
              <w:top w:val="nil"/>
              <w:left w:val="nil"/>
              <w:bottom w:val="single" w:sz="4" w:space="0" w:color="auto"/>
              <w:right w:val="nil"/>
            </w:tcBorders>
            <w:shd w:val="clear" w:color="auto" w:fill="auto"/>
            <w:noWrap/>
            <w:vAlign w:val="bottom"/>
            <w:hideMark/>
          </w:tcPr>
          <w:p w14:paraId="60A489CD"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Cases</w:t>
            </w:r>
          </w:p>
        </w:tc>
        <w:tc>
          <w:tcPr>
            <w:tcW w:w="155" w:type="dxa"/>
            <w:tcBorders>
              <w:top w:val="nil"/>
              <w:left w:val="nil"/>
              <w:bottom w:val="nil"/>
              <w:right w:val="nil"/>
            </w:tcBorders>
            <w:shd w:val="clear" w:color="auto" w:fill="auto"/>
            <w:noWrap/>
            <w:vAlign w:val="bottom"/>
            <w:hideMark/>
          </w:tcPr>
          <w:p w14:paraId="23476E64"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1489" w:type="dxa"/>
            <w:tcBorders>
              <w:top w:val="nil"/>
              <w:left w:val="nil"/>
              <w:bottom w:val="single" w:sz="4" w:space="0" w:color="auto"/>
              <w:right w:val="nil"/>
            </w:tcBorders>
            <w:shd w:val="clear" w:color="auto" w:fill="auto"/>
            <w:noWrap/>
            <w:vAlign w:val="bottom"/>
            <w:hideMark/>
          </w:tcPr>
          <w:p w14:paraId="0662C1E8"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 xml:space="preserve">Excluded </w:t>
            </w:r>
            <w:r w:rsidRPr="00661974">
              <w:rPr>
                <w:rFonts w:ascii="Arial" w:eastAsia="Times New Roman" w:hAnsi="Arial" w:cs="Arial"/>
                <w:b/>
                <w:bCs/>
                <w:color w:val="000000"/>
                <w:sz w:val="20"/>
                <w:szCs w:val="20"/>
                <w:vertAlign w:val="superscript"/>
                <w:lang w:val="en-US"/>
              </w:rPr>
              <w:t>(c)</w:t>
            </w:r>
          </w:p>
        </w:tc>
        <w:tc>
          <w:tcPr>
            <w:tcW w:w="116" w:type="dxa"/>
            <w:tcBorders>
              <w:top w:val="nil"/>
              <w:left w:val="nil"/>
              <w:bottom w:val="nil"/>
              <w:right w:val="nil"/>
            </w:tcBorders>
            <w:shd w:val="clear" w:color="auto" w:fill="auto"/>
            <w:noWrap/>
            <w:vAlign w:val="bottom"/>
            <w:hideMark/>
          </w:tcPr>
          <w:p w14:paraId="15B59103"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829" w:type="dxa"/>
            <w:tcBorders>
              <w:top w:val="nil"/>
              <w:left w:val="nil"/>
              <w:bottom w:val="single" w:sz="4" w:space="0" w:color="auto"/>
              <w:right w:val="nil"/>
            </w:tcBorders>
            <w:shd w:val="clear" w:color="auto" w:fill="auto"/>
            <w:noWrap/>
            <w:vAlign w:val="bottom"/>
            <w:hideMark/>
          </w:tcPr>
          <w:p w14:paraId="7188EE9D"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SUM</w:t>
            </w:r>
          </w:p>
        </w:tc>
      </w:tr>
      <w:tr w:rsidR="008D6DF4" w:rsidRPr="00661974" w14:paraId="4861FBD9" w14:textId="77777777">
        <w:trPr>
          <w:trHeight w:val="300"/>
        </w:trPr>
        <w:tc>
          <w:tcPr>
            <w:tcW w:w="2552" w:type="dxa"/>
            <w:vMerge w:val="restart"/>
            <w:tcBorders>
              <w:top w:val="nil"/>
              <w:left w:val="nil"/>
              <w:bottom w:val="single" w:sz="4" w:space="0" w:color="000000"/>
              <w:right w:val="nil"/>
            </w:tcBorders>
            <w:shd w:val="clear" w:color="auto" w:fill="auto"/>
            <w:noWrap/>
            <w:vAlign w:val="center"/>
            <w:hideMark/>
          </w:tcPr>
          <w:p w14:paraId="2DEF0954"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Rapid3</w:t>
            </w:r>
          </w:p>
        </w:tc>
        <w:tc>
          <w:tcPr>
            <w:tcW w:w="946" w:type="dxa"/>
            <w:tcBorders>
              <w:top w:val="nil"/>
              <w:left w:val="nil"/>
              <w:bottom w:val="nil"/>
              <w:right w:val="nil"/>
            </w:tcBorders>
            <w:shd w:val="clear" w:color="auto" w:fill="auto"/>
            <w:noWrap/>
            <w:vAlign w:val="bottom"/>
            <w:hideMark/>
          </w:tcPr>
          <w:p w14:paraId="46459E80"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Control</w:t>
            </w:r>
          </w:p>
        </w:tc>
        <w:tc>
          <w:tcPr>
            <w:tcW w:w="70" w:type="dxa"/>
            <w:tcBorders>
              <w:left w:val="nil"/>
              <w:bottom w:val="nil"/>
              <w:right w:val="nil"/>
            </w:tcBorders>
          </w:tcPr>
          <w:p w14:paraId="77DE7D2C"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2D74F7AC"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834</w:t>
            </w:r>
          </w:p>
        </w:tc>
        <w:tc>
          <w:tcPr>
            <w:tcW w:w="266" w:type="dxa"/>
            <w:tcBorders>
              <w:top w:val="nil"/>
              <w:left w:val="nil"/>
              <w:bottom w:val="nil"/>
              <w:right w:val="nil"/>
            </w:tcBorders>
            <w:shd w:val="clear" w:color="auto" w:fill="auto"/>
            <w:noWrap/>
            <w:vAlign w:val="bottom"/>
            <w:hideMark/>
          </w:tcPr>
          <w:p w14:paraId="7B4E5088"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06746373"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0</w:t>
            </w:r>
          </w:p>
        </w:tc>
        <w:tc>
          <w:tcPr>
            <w:tcW w:w="155" w:type="dxa"/>
            <w:tcBorders>
              <w:top w:val="nil"/>
              <w:left w:val="nil"/>
              <w:bottom w:val="nil"/>
              <w:right w:val="nil"/>
            </w:tcBorders>
            <w:shd w:val="clear" w:color="auto" w:fill="auto"/>
            <w:noWrap/>
            <w:vAlign w:val="bottom"/>
            <w:hideMark/>
          </w:tcPr>
          <w:p w14:paraId="3A17F7F0"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448F7EC4" w14:textId="1B8267F5"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17 (0.</w:t>
            </w:r>
            <w:r w:rsidR="0043730A" w:rsidRPr="00661974">
              <w:rPr>
                <w:rFonts w:ascii="Arial" w:eastAsia="Times New Roman" w:hAnsi="Arial" w:cs="Arial"/>
                <w:color w:val="000000"/>
                <w:sz w:val="20"/>
                <w:szCs w:val="20"/>
                <w:lang w:val="en-US"/>
              </w:rPr>
              <w:t>6</w:t>
            </w:r>
            <w:r w:rsidRPr="00661974">
              <w:rPr>
                <w:rFonts w:ascii="Arial" w:eastAsia="Times New Roman" w:hAnsi="Arial" w:cs="Arial"/>
                <w:color w:val="000000"/>
                <w:sz w:val="20"/>
                <w:szCs w:val="20"/>
                <w:lang w:val="en-US"/>
              </w:rPr>
              <w:t>%)</w:t>
            </w:r>
          </w:p>
        </w:tc>
        <w:tc>
          <w:tcPr>
            <w:tcW w:w="116" w:type="dxa"/>
            <w:tcBorders>
              <w:top w:val="nil"/>
              <w:left w:val="nil"/>
              <w:bottom w:val="nil"/>
              <w:right w:val="nil"/>
            </w:tcBorders>
            <w:shd w:val="clear" w:color="auto" w:fill="auto"/>
            <w:noWrap/>
            <w:vAlign w:val="bottom"/>
            <w:hideMark/>
          </w:tcPr>
          <w:p w14:paraId="4FFEF11B"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29" w:type="dxa"/>
            <w:tcBorders>
              <w:top w:val="nil"/>
              <w:left w:val="nil"/>
              <w:bottom w:val="nil"/>
              <w:right w:val="nil"/>
            </w:tcBorders>
            <w:shd w:val="clear" w:color="auto" w:fill="auto"/>
            <w:noWrap/>
            <w:vAlign w:val="bottom"/>
            <w:hideMark/>
          </w:tcPr>
          <w:p w14:paraId="027472BA"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851</w:t>
            </w:r>
          </w:p>
        </w:tc>
      </w:tr>
      <w:tr w:rsidR="008D6DF4" w:rsidRPr="00661974" w14:paraId="08B0AAF7" w14:textId="77777777">
        <w:trPr>
          <w:trHeight w:val="300"/>
        </w:trPr>
        <w:tc>
          <w:tcPr>
            <w:tcW w:w="2552" w:type="dxa"/>
            <w:vMerge/>
            <w:tcBorders>
              <w:top w:val="nil"/>
              <w:left w:val="nil"/>
              <w:bottom w:val="single" w:sz="4" w:space="0" w:color="000000"/>
              <w:right w:val="nil"/>
            </w:tcBorders>
            <w:vAlign w:val="center"/>
            <w:hideMark/>
          </w:tcPr>
          <w:p w14:paraId="7207891A"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nil"/>
              <w:right w:val="nil"/>
            </w:tcBorders>
            <w:shd w:val="clear" w:color="auto" w:fill="auto"/>
            <w:noWrap/>
            <w:vAlign w:val="bottom"/>
            <w:hideMark/>
          </w:tcPr>
          <w:p w14:paraId="2623900D"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Case</w:t>
            </w:r>
          </w:p>
        </w:tc>
        <w:tc>
          <w:tcPr>
            <w:tcW w:w="70" w:type="dxa"/>
            <w:tcBorders>
              <w:top w:val="nil"/>
              <w:left w:val="nil"/>
              <w:bottom w:val="nil"/>
              <w:right w:val="nil"/>
            </w:tcBorders>
          </w:tcPr>
          <w:p w14:paraId="3D5A01E3"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41074006"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189</w:t>
            </w:r>
          </w:p>
        </w:tc>
        <w:tc>
          <w:tcPr>
            <w:tcW w:w="266" w:type="dxa"/>
            <w:tcBorders>
              <w:top w:val="nil"/>
              <w:left w:val="nil"/>
              <w:bottom w:val="nil"/>
              <w:right w:val="nil"/>
            </w:tcBorders>
            <w:shd w:val="clear" w:color="auto" w:fill="auto"/>
            <w:noWrap/>
            <w:vAlign w:val="bottom"/>
            <w:hideMark/>
          </w:tcPr>
          <w:p w14:paraId="4E3008DC"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23D0C23B"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131</w:t>
            </w:r>
          </w:p>
        </w:tc>
        <w:tc>
          <w:tcPr>
            <w:tcW w:w="155" w:type="dxa"/>
            <w:tcBorders>
              <w:top w:val="nil"/>
              <w:left w:val="nil"/>
              <w:bottom w:val="nil"/>
              <w:right w:val="nil"/>
            </w:tcBorders>
            <w:shd w:val="clear" w:color="auto" w:fill="auto"/>
            <w:noWrap/>
            <w:vAlign w:val="bottom"/>
            <w:hideMark/>
          </w:tcPr>
          <w:p w14:paraId="1AB810E7"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226D1BA0"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 (0.0%)</w:t>
            </w:r>
          </w:p>
        </w:tc>
        <w:tc>
          <w:tcPr>
            <w:tcW w:w="116" w:type="dxa"/>
            <w:tcBorders>
              <w:top w:val="nil"/>
              <w:left w:val="nil"/>
              <w:bottom w:val="nil"/>
              <w:right w:val="nil"/>
            </w:tcBorders>
            <w:shd w:val="clear" w:color="auto" w:fill="auto"/>
            <w:noWrap/>
            <w:vAlign w:val="bottom"/>
            <w:hideMark/>
          </w:tcPr>
          <w:p w14:paraId="4EC99B52"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29" w:type="dxa"/>
            <w:tcBorders>
              <w:top w:val="nil"/>
              <w:left w:val="nil"/>
              <w:bottom w:val="nil"/>
              <w:right w:val="nil"/>
            </w:tcBorders>
            <w:shd w:val="clear" w:color="auto" w:fill="auto"/>
            <w:noWrap/>
            <w:vAlign w:val="bottom"/>
            <w:hideMark/>
          </w:tcPr>
          <w:p w14:paraId="27587C98"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321</w:t>
            </w:r>
          </w:p>
        </w:tc>
      </w:tr>
      <w:tr w:rsidR="008D6DF4" w:rsidRPr="00661974" w14:paraId="5CA9B15B" w14:textId="77777777">
        <w:trPr>
          <w:trHeight w:val="300"/>
        </w:trPr>
        <w:tc>
          <w:tcPr>
            <w:tcW w:w="2552" w:type="dxa"/>
            <w:vMerge/>
            <w:tcBorders>
              <w:top w:val="nil"/>
              <w:left w:val="nil"/>
              <w:bottom w:val="single" w:sz="4" w:space="0" w:color="000000"/>
              <w:right w:val="nil"/>
            </w:tcBorders>
            <w:vAlign w:val="center"/>
            <w:hideMark/>
          </w:tcPr>
          <w:p w14:paraId="7C9B6DBD"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nil"/>
              <w:right w:val="nil"/>
            </w:tcBorders>
            <w:shd w:val="clear" w:color="auto" w:fill="auto"/>
            <w:noWrap/>
            <w:vAlign w:val="bottom"/>
            <w:hideMark/>
          </w:tcPr>
          <w:p w14:paraId="71CDEBB6"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Excluded</w:t>
            </w:r>
          </w:p>
        </w:tc>
        <w:tc>
          <w:tcPr>
            <w:tcW w:w="70" w:type="dxa"/>
            <w:tcBorders>
              <w:top w:val="nil"/>
              <w:left w:val="nil"/>
              <w:bottom w:val="nil"/>
              <w:right w:val="nil"/>
            </w:tcBorders>
          </w:tcPr>
          <w:p w14:paraId="03D88F4B"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25FDF28F"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1,628 </w:t>
            </w:r>
            <w:r w:rsidRPr="00661974">
              <w:rPr>
                <w:rFonts w:ascii="Arial" w:eastAsia="Times New Roman" w:hAnsi="Arial" w:cs="Arial"/>
                <w:color w:val="000000"/>
                <w:sz w:val="20"/>
                <w:szCs w:val="20"/>
                <w:vertAlign w:val="superscript"/>
                <w:lang w:val="en-US"/>
              </w:rPr>
              <w:t>(d)</w:t>
            </w:r>
          </w:p>
        </w:tc>
        <w:tc>
          <w:tcPr>
            <w:tcW w:w="266" w:type="dxa"/>
            <w:tcBorders>
              <w:top w:val="nil"/>
              <w:left w:val="nil"/>
              <w:bottom w:val="nil"/>
              <w:right w:val="nil"/>
            </w:tcBorders>
            <w:shd w:val="clear" w:color="auto" w:fill="auto"/>
            <w:noWrap/>
            <w:vAlign w:val="bottom"/>
            <w:hideMark/>
          </w:tcPr>
          <w:p w14:paraId="1A4F2846"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69C8D47A"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37 </w:t>
            </w:r>
            <w:r w:rsidRPr="00661974">
              <w:rPr>
                <w:rFonts w:ascii="Arial" w:eastAsia="Times New Roman" w:hAnsi="Arial" w:cs="Arial"/>
                <w:color w:val="000000"/>
                <w:sz w:val="20"/>
                <w:szCs w:val="20"/>
                <w:vertAlign w:val="superscript"/>
                <w:lang w:val="en-US"/>
              </w:rPr>
              <w:t>(b)</w:t>
            </w:r>
          </w:p>
        </w:tc>
        <w:tc>
          <w:tcPr>
            <w:tcW w:w="155" w:type="dxa"/>
            <w:tcBorders>
              <w:top w:val="nil"/>
              <w:left w:val="nil"/>
              <w:bottom w:val="nil"/>
              <w:right w:val="nil"/>
            </w:tcBorders>
            <w:shd w:val="clear" w:color="auto" w:fill="auto"/>
            <w:noWrap/>
            <w:vAlign w:val="bottom"/>
            <w:hideMark/>
          </w:tcPr>
          <w:p w14:paraId="588C3E5C"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17413ACC"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41 (1.4%)</w:t>
            </w:r>
          </w:p>
        </w:tc>
        <w:tc>
          <w:tcPr>
            <w:tcW w:w="116" w:type="dxa"/>
            <w:tcBorders>
              <w:top w:val="nil"/>
              <w:left w:val="nil"/>
              <w:bottom w:val="nil"/>
              <w:right w:val="nil"/>
            </w:tcBorders>
            <w:shd w:val="clear" w:color="auto" w:fill="auto"/>
            <w:noWrap/>
            <w:vAlign w:val="bottom"/>
            <w:hideMark/>
          </w:tcPr>
          <w:p w14:paraId="3C7962C0"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29" w:type="dxa"/>
            <w:tcBorders>
              <w:top w:val="nil"/>
              <w:left w:val="nil"/>
              <w:bottom w:val="nil"/>
              <w:right w:val="nil"/>
            </w:tcBorders>
            <w:shd w:val="clear" w:color="auto" w:fill="auto"/>
            <w:noWrap/>
            <w:vAlign w:val="bottom"/>
            <w:hideMark/>
          </w:tcPr>
          <w:p w14:paraId="17CE33E6"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1,706</w:t>
            </w:r>
          </w:p>
        </w:tc>
      </w:tr>
      <w:tr w:rsidR="008D6DF4" w:rsidRPr="00661974" w14:paraId="50368156" w14:textId="77777777">
        <w:trPr>
          <w:trHeight w:val="300"/>
        </w:trPr>
        <w:tc>
          <w:tcPr>
            <w:tcW w:w="2552" w:type="dxa"/>
            <w:vMerge/>
            <w:tcBorders>
              <w:top w:val="nil"/>
              <w:left w:val="nil"/>
              <w:bottom w:val="single" w:sz="4" w:space="0" w:color="000000"/>
              <w:right w:val="nil"/>
            </w:tcBorders>
            <w:vAlign w:val="center"/>
            <w:hideMark/>
          </w:tcPr>
          <w:p w14:paraId="7505CFBD"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single" w:sz="4" w:space="0" w:color="auto"/>
              <w:right w:val="nil"/>
            </w:tcBorders>
            <w:shd w:val="clear" w:color="auto" w:fill="auto"/>
            <w:noWrap/>
            <w:vAlign w:val="bottom"/>
            <w:hideMark/>
          </w:tcPr>
          <w:p w14:paraId="7AFF8423"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SUM</w:t>
            </w:r>
          </w:p>
        </w:tc>
        <w:tc>
          <w:tcPr>
            <w:tcW w:w="70" w:type="dxa"/>
            <w:tcBorders>
              <w:top w:val="nil"/>
              <w:left w:val="nil"/>
              <w:bottom w:val="single" w:sz="4" w:space="0" w:color="auto"/>
              <w:right w:val="nil"/>
            </w:tcBorders>
          </w:tcPr>
          <w:p w14:paraId="377D23EF"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single" w:sz="4" w:space="0" w:color="auto"/>
              <w:right w:val="nil"/>
            </w:tcBorders>
            <w:shd w:val="clear" w:color="auto" w:fill="auto"/>
            <w:noWrap/>
            <w:vAlign w:val="bottom"/>
            <w:hideMark/>
          </w:tcPr>
          <w:p w14:paraId="56D84CFB"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2,651</w:t>
            </w:r>
          </w:p>
        </w:tc>
        <w:tc>
          <w:tcPr>
            <w:tcW w:w="266" w:type="dxa"/>
            <w:tcBorders>
              <w:top w:val="nil"/>
              <w:left w:val="nil"/>
              <w:bottom w:val="single" w:sz="4" w:space="0" w:color="auto"/>
              <w:right w:val="nil"/>
            </w:tcBorders>
            <w:shd w:val="clear" w:color="auto" w:fill="auto"/>
            <w:noWrap/>
            <w:vAlign w:val="bottom"/>
            <w:hideMark/>
          </w:tcPr>
          <w:p w14:paraId="430E2C20"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646" w:type="dxa"/>
            <w:tcBorders>
              <w:top w:val="nil"/>
              <w:left w:val="nil"/>
              <w:bottom w:val="single" w:sz="4" w:space="0" w:color="auto"/>
              <w:right w:val="nil"/>
            </w:tcBorders>
            <w:shd w:val="clear" w:color="auto" w:fill="auto"/>
            <w:noWrap/>
            <w:vAlign w:val="bottom"/>
            <w:hideMark/>
          </w:tcPr>
          <w:p w14:paraId="11BF9388"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168</w:t>
            </w:r>
          </w:p>
        </w:tc>
        <w:tc>
          <w:tcPr>
            <w:tcW w:w="155" w:type="dxa"/>
            <w:tcBorders>
              <w:top w:val="nil"/>
              <w:left w:val="nil"/>
              <w:bottom w:val="single" w:sz="4" w:space="0" w:color="auto"/>
              <w:right w:val="nil"/>
            </w:tcBorders>
            <w:shd w:val="clear" w:color="auto" w:fill="auto"/>
            <w:noWrap/>
            <w:vAlign w:val="bottom"/>
            <w:hideMark/>
          </w:tcPr>
          <w:p w14:paraId="7D8B7BF4"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1489" w:type="dxa"/>
            <w:tcBorders>
              <w:top w:val="nil"/>
              <w:left w:val="nil"/>
              <w:bottom w:val="single" w:sz="4" w:space="0" w:color="auto"/>
              <w:right w:val="nil"/>
            </w:tcBorders>
            <w:shd w:val="clear" w:color="auto" w:fill="auto"/>
            <w:noWrap/>
            <w:vAlign w:val="bottom"/>
            <w:hideMark/>
          </w:tcPr>
          <w:p w14:paraId="6B1F3EA4" w14:textId="0BA3F131"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59 (2.0</w:t>
            </w:r>
            <w:r w:rsidR="0043730A" w:rsidRPr="00661974">
              <w:rPr>
                <w:rFonts w:ascii="Arial" w:eastAsia="Times New Roman" w:hAnsi="Arial" w:cs="Arial"/>
                <w:color w:val="000000"/>
                <w:sz w:val="20"/>
                <w:szCs w:val="20"/>
                <w:lang w:val="en-US"/>
              </w:rPr>
              <w:t>%</w:t>
            </w:r>
            <w:r w:rsidRPr="00661974">
              <w:rPr>
                <w:rFonts w:ascii="Arial" w:eastAsia="Times New Roman" w:hAnsi="Arial" w:cs="Arial"/>
                <w:color w:val="000000"/>
                <w:sz w:val="20"/>
                <w:szCs w:val="20"/>
                <w:lang w:val="en-US"/>
              </w:rPr>
              <w:t>)</w:t>
            </w:r>
          </w:p>
        </w:tc>
        <w:tc>
          <w:tcPr>
            <w:tcW w:w="116" w:type="dxa"/>
            <w:tcBorders>
              <w:top w:val="nil"/>
              <w:left w:val="nil"/>
              <w:bottom w:val="single" w:sz="4" w:space="0" w:color="auto"/>
              <w:right w:val="nil"/>
            </w:tcBorders>
            <w:shd w:val="clear" w:color="auto" w:fill="auto"/>
            <w:noWrap/>
            <w:vAlign w:val="bottom"/>
            <w:hideMark/>
          </w:tcPr>
          <w:p w14:paraId="28B31549"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829" w:type="dxa"/>
            <w:tcBorders>
              <w:top w:val="nil"/>
              <w:left w:val="nil"/>
              <w:bottom w:val="single" w:sz="4" w:space="0" w:color="auto"/>
              <w:right w:val="nil"/>
            </w:tcBorders>
            <w:shd w:val="clear" w:color="auto" w:fill="auto"/>
            <w:noWrap/>
            <w:vAlign w:val="bottom"/>
            <w:hideMark/>
          </w:tcPr>
          <w:p w14:paraId="79446729"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2,878</w:t>
            </w:r>
          </w:p>
        </w:tc>
      </w:tr>
      <w:tr w:rsidR="008D6DF4" w:rsidRPr="00661974" w14:paraId="3DA220AD" w14:textId="77777777">
        <w:trPr>
          <w:trHeight w:val="300"/>
        </w:trPr>
        <w:tc>
          <w:tcPr>
            <w:tcW w:w="2552" w:type="dxa"/>
            <w:tcBorders>
              <w:top w:val="nil"/>
              <w:left w:val="nil"/>
              <w:bottom w:val="single" w:sz="4" w:space="0" w:color="auto"/>
              <w:right w:val="nil"/>
            </w:tcBorders>
            <w:shd w:val="clear" w:color="auto" w:fill="auto"/>
            <w:noWrap/>
            <w:vAlign w:val="bottom"/>
            <w:hideMark/>
          </w:tcPr>
          <w:p w14:paraId="560C9A61"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946" w:type="dxa"/>
            <w:tcBorders>
              <w:top w:val="nil"/>
              <w:left w:val="nil"/>
              <w:bottom w:val="single" w:sz="4" w:space="0" w:color="auto"/>
              <w:right w:val="nil"/>
            </w:tcBorders>
            <w:shd w:val="clear" w:color="auto" w:fill="auto"/>
            <w:noWrap/>
            <w:vAlign w:val="bottom"/>
            <w:hideMark/>
          </w:tcPr>
          <w:p w14:paraId="3C8B68C9" w14:textId="77777777" w:rsidR="008D6DF4" w:rsidRPr="00661974" w:rsidRDefault="008D6DF4">
            <w:pPr>
              <w:spacing w:after="0" w:line="240" w:lineRule="auto"/>
              <w:rPr>
                <w:rFonts w:ascii="Arial" w:eastAsia="Times New Roman" w:hAnsi="Arial" w:cs="Arial"/>
                <w:sz w:val="20"/>
                <w:szCs w:val="20"/>
                <w:lang w:val="en-US"/>
              </w:rPr>
            </w:pPr>
          </w:p>
        </w:tc>
        <w:tc>
          <w:tcPr>
            <w:tcW w:w="70" w:type="dxa"/>
            <w:tcBorders>
              <w:top w:val="nil"/>
              <w:left w:val="nil"/>
              <w:bottom w:val="single" w:sz="4" w:space="0" w:color="auto"/>
              <w:right w:val="nil"/>
            </w:tcBorders>
          </w:tcPr>
          <w:p w14:paraId="4B3FAFED" w14:textId="77777777" w:rsidR="008D6DF4" w:rsidRPr="00661974" w:rsidRDefault="008D6DF4">
            <w:pPr>
              <w:spacing w:after="0" w:line="240" w:lineRule="auto"/>
              <w:rPr>
                <w:rFonts w:ascii="Arial" w:eastAsia="Times New Roman" w:hAnsi="Arial" w:cs="Arial"/>
                <w:sz w:val="20"/>
                <w:szCs w:val="20"/>
                <w:lang w:val="en-US"/>
              </w:rPr>
            </w:pPr>
          </w:p>
        </w:tc>
        <w:tc>
          <w:tcPr>
            <w:tcW w:w="896" w:type="dxa"/>
            <w:tcBorders>
              <w:top w:val="nil"/>
              <w:left w:val="nil"/>
              <w:bottom w:val="nil"/>
              <w:right w:val="nil"/>
            </w:tcBorders>
            <w:shd w:val="clear" w:color="auto" w:fill="auto"/>
            <w:noWrap/>
            <w:vAlign w:val="bottom"/>
            <w:hideMark/>
          </w:tcPr>
          <w:p w14:paraId="654CE6D2" w14:textId="77777777" w:rsidR="008D6DF4" w:rsidRPr="00661974" w:rsidRDefault="008D6DF4">
            <w:pPr>
              <w:spacing w:after="0" w:line="240" w:lineRule="auto"/>
              <w:rPr>
                <w:rFonts w:ascii="Arial" w:eastAsia="Times New Roman" w:hAnsi="Arial" w:cs="Arial"/>
                <w:sz w:val="20"/>
                <w:szCs w:val="20"/>
                <w:lang w:val="en-US"/>
              </w:rPr>
            </w:pPr>
          </w:p>
        </w:tc>
        <w:tc>
          <w:tcPr>
            <w:tcW w:w="266" w:type="dxa"/>
            <w:tcBorders>
              <w:top w:val="nil"/>
              <w:left w:val="nil"/>
              <w:bottom w:val="nil"/>
              <w:right w:val="nil"/>
            </w:tcBorders>
            <w:shd w:val="clear" w:color="auto" w:fill="auto"/>
            <w:noWrap/>
            <w:vAlign w:val="bottom"/>
            <w:hideMark/>
          </w:tcPr>
          <w:p w14:paraId="523FEA51" w14:textId="77777777" w:rsidR="008D6DF4" w:rsidRPr="00661974" w:rsidRDefault="008D6DF4">
            <w:pPr>
              <w:spacing w:after="0" w:line="240" w:lineRule="auto"/>
              <w:rPr>
                <w:rFonts w:ascii="Arial" w:eastAsia="Times New Roman" w:hAnsi="Arial" w:cs="Arial"/>
                <w:sz w:val="20"/>
                <w:szCs w:val="20"/>
                <w:lang w:val="en-US"/>
              </w:rPr>
            </w:pPr>
          </w:p>
        </w:tc>
        <w:tc>
          <w:tcPr>
            <w:tcW w:w="646" w:type="dxa"/>
            <w:tcBorders>
              <w:top w:val="nil"/>
              <w:left w:val="nil"/>
              <w:bottom w:val="nil"/>
              <w:right w:val="nil"/>
            </w:tcBorders>
            <w:shd w:val="clear" w:color="auto" w:fill="auto"/>
            <w:noWrap/>
            <w:vAlign w:val="bottom"/>
            <w:hideMark/>
          </w:tcPr>
          <w:p w14:paraId="790D1212" w14:textId="77777777" w:rsidR="008D6DF4" w:rsidRPr="00661974" w:rsidRDefault="008D6DF4">
            <w:pPr>
              <w:spacing w:after="0" w:line="240" w:lineRule="auto"/>
              <w:rPr>
                <w:rFonts w:ascii="Arial" w:eastAsia="Times New Roman" w:hAnsi="Arial" w:cs="Arial"/>
                <w:sz w:val="20"/>
                <w:szCs w:val="20"/>
                <w:lang w:val="en-US"/>
              </w:rPr>
            </w:pPr>
          </w:p>
        </w:tc>
        <w:tc>
          <w:tcPr>
            <w:tcW w:w="155" w:type="dxa"/>
            <w:tcBorders>
              <w:top w:val="nil"/>
              <w:left w:val="nil"/>
              <w:bottom w:val="nil"/>
              <w:right w:val="nil"/>
            </w:tcBorders>
            <w:shd w:val="clear" w:color="auto" w:fill="auto"/>
            <w:noWrap/>
            <w:vAlign w:val="bottom"/>
            <w:hideMark/>
          </w:tcPr>
          <w:p w14:paraId="057B24EB" w14:textId="77777777" w:rsidR="008D6DF4" w:rsidRPr="00661974" w:rsidRDefault="008D6DF4">
            <w:pPr>
              <w:spacing w:after="0" w:line="240" w:lineRule="auto"/>
              <w:rPr>
                <w:rFonts w:ascii="Arial" w:eastAsia="Times New Roman" w:hAnsi="Arial" w:cs="Arial"/>
                <w:sz w:val="20"/>
                <w:szCs w:val="20"/>
                <w:lang w:val="en-US"/>
              </w:rPr>
            </w:pPr>
          </w:p>
        </w:tc>
        <w:tc>
          <w:tcPr>
            <w:tcW w:w="1489" w:type="dxa"/>
            <w:tcBorders>
              <w:top w:val="nil"/>
              <w:left w:val="nil"/>
              <w:bottom w:val="nil"/>
              <w:right w:val="nil"/>
            </w:tcBorders>
            <w:shd w:val="clear" w:color="auto" w:fill="auto"/>
            <w:noWrap/>
            <w:vAlign w:val="bottom"/>
            <w:hideMark/>
          </w:tcPr>
          <w:p w14:paraId="6043FFE5" w14:textId="77777777" w:rsidR="008D6DF4" w:rsidRPr="00661974" w:rsidRDefault="008D6DF4">
            <w:pPr>
              <w:spacing w:after="0" w:line="240" w:lineRule="auto"/>
              <w:rPr>
                <w:rFonts w:ascii="Arial" w:eastAsia="Times New Roman" w:hAnsi="Arial" w:cs="Arial"/>
                <w:sz w:val="20"/>
                <w:szCs w:val="20"/>
                <w:lang w:val="en-US"/>
              </w:rPr>
            </w:pPr>
          </w:p>
        </w:tc>
        <w:tc>
          <w:tcPr>
            <w:tcW w:w="116" w:type="dxa"/>
            <w:tcBorders>
              <w:top w:val="nil"/>
              <w:left w:val="nil"/>
              <w:bottom w:val="nil"/>
              <w:right w:val="nil"/>
            </w:tcBorders>
            <w:shd w:val="clear" w:color="auto" w:fill="auto"/>
            <w:noWrap/>
            <w:vAlign w:val="bottom"/>
            <w:hideMark/>
          </w:tcPr>
          <w:p w14:paraId="2BBCDAB2" w14:textId="77777777" w:rsidR="008D6DF4" w:rsidRPr="00661974" w:rsidRDefault="008D6DF4">
            <w:pPr>
              <w:spacing w:after="0" w:line="240" w:lineRule="auto"/>
              <w:rPr>
                <w:rFonts w:ascii="Arial" w:eastAsia="Times New Roman" w:hAnsi="Arial" w:cs="Arial"/>
                <w:sz w:val="20"/>
                <w:szCs w:val="20"/>
                <w:lang w:val="en-US"/>
              </w:rPr>
            </w:pPr>
          </w:p>
        </w:tc>
        <w:tc>
          <w:tcPr>
            <w:tcW w:w="829" w:type="dxa"/>
            <w:tcBorders>
              <w:top w:val="nil"/>
              <w:left w:val="nil"/>
              <w:bottom w:val="nil"/>
              <w:right w:val="nil"/>
            </w:tcBorders>
            <w:shd w:val="clear" w:color="auto" w:fill="auto"/>
            <w:noWrap/>
            <w:vAlign w:val="bottom"/>
            <w:hideMark/>
          </w:tcPr>
          <w:p w14:paraId="071EA4BA" w14:textId="77777777" w:rsidR="008D6DF4" w:rsidRPr="00661974" w:rsidRDefault="008D6DF4">
            <w:pPr>
              <w:spacing w:after="0" w:line="240" w:lineRule="auto"/>
              <w:rPr>
                <w:rFonts w:ascii="Arial" w:eastAsia="Times New Roman" w:hAnsi="Arial" w:cs="Arial"/>
                <w:sz w:val="20"/>
                <w:szCs w:val="20"/>
                <w:lang w:val="en-US"/>
              </w:rPr>
            </w:pPr>
          </w:p>
        </w:tc>
      </w:tr>
      <w:tr w:rsidR="008D6DF4" w:rsidRPr="00661974" w14:paraId="03848122" w14:textId="77777777">
        <w:trPr>
          <w:trHeight w:val="300"/>
        </w:trPr>
        <w:tc>
          <w:tcPr>
            <w:tcW w:w="3498" w:type="dxa"/>
            <w:gridSpan w:val="2"/>
            <w:vMerge w:val="restart"/>
            <w:tcBorders>
              <w:top w:val="single" w:sz="4" w:space="0" w:color="auto"/>
              <w:left w:val="nil"/>
              <w:bottom w:val="single" w:sz="4" w:space="0" w:color="auto"/>
              <w:right w:val="nil"/>
            </w:tcBorders>
            <w:shd w:val="clear" w:color="auto" w:fill="auto"/>
            <w:vAlign w:val="center"/>
            <w:hideMark/>
          </w:tcPr>
          <w:p w14:paraId="0FCC7407" w14:textId="77777777" w:rsidR="008D6DF4" w:rsidRPr="00661974" w:rsidRDefault="007C1EBA">
            <w:pPr>
              <w:spacing w:after="0" w:line="240" w:lineRule="auto"/>
              <w:jc w:val="center"/>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KORAS4F4 </w:t>
            </w:r>
            <w:r w:rsidRPr="00661974">
              <w:rPr>
                <w:rFonts w:ascii="Arial" w:eastAsia="Times New Roman" w:hAnsi="Arial" w:cs="Arial"/>
                <w:color w:val="000000"/>
                <w:sz w:val="20"/>
                <w:szCs w:val="20"/>
                <w:vertAlign w:val="superscript"/>
                <w:lang w:val="en-US"/>
              </w:rPr>
              <w:t>(a)</w:t>
            </w:r>
            <w:r w:rsidRPr="00661974">
              <w:rPr>
                <w:rFonts w:ascii="Arial" w:eastAsia="Times New Roman" w:hAnsi="Arial" w:cs="Arial"/>
                <w:color w:val="000000"/>
                <w:sz w:val="20"/>
                <w:szCs w:val="20"/>
                <w:lang w:val="en-US"/>
              </w:rPr>
              <w:br/>
              <w:t>median follow-up time = 7 years</w:t>
            </w:r>
          </w:p>
        </w:tc>
        <w:tc>
          <w:tcPr>
            <w:tcW w:w="70" w:type="dxa"/>
            <w:tcBorders>
              <w:top w:val="single" w:sz="4" w:space="0" w:color="auto"/>
              <w:left w:val="nil"/>
              <w:right w:val="nil"/>
            </w:tcBorders>
          </w:tcPr>
          <w:p w14:paraId="318BE897"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4394" w:type="dxa"/>
            <w:gridSpan w:val="7"/>
            <w:tcBorders>
              <w:top w:val="single" w:sz="4" w:space="0" w:color="auto"/>
              <w:left w:val="nil"/>
              <w:bottom w:val="single" w:sz="4" w:space="0" w:color="auto"/>
              <w:right w:val="nil"/>
            </w:tcBorders>
            <w:shd w:val="clear" w:color="auto" w:fill="auto"/>
            <w:noWrap/>
            <w:vAlign w:val="bottom"/>
            <w:hideMark/>
          </w:tcPr>
          <w:p w14:paraId="5F66BD99"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CKDi25</w:t>
            </w:r>
          </w:p>
        </w:tc>
      </w:tr>
      <w:tr w:rsidR="008D6DF4" w:rsidRPr="00661974" w14:paraId="68A24DEE" w14:textId="77777777">
        <w:trPr>
          <w:trHeight w:val="300"/>
        </w:trPr>
        <w:tc>
          <w:tcPr>
            <w:tcW w:w="3498" w:type="dxa"/>
            <w:gridSpan w:val="2"/>
            <w:vMerge/>
            <w:tcBorders>
              <w:top w:val="single" w:sz="4" w:space="0" w:color="000000"/>
              <w:left w:val="nil"/>
              <w:bottom w:val="single" w:sz="4" w:space="0" w:color="auto"/>
              <w:right w:val="nil"/>
            </w:tcBorders>
            <w:vAlign w:val="center"/>
            <w:hideMark/>
          </w:tcPr>
          <w:p w14:paraId="0D5AB412" w14:textId="77777777" w:rsidR="008D6DF4" w:rsidRPr="00661974" w:rsidRDefault="008D6DF4">
            <w:pPr>
              <w:spacing w:after="0" w:line="240" w:lineRule="auto"/>
              <w:rPr>
                <w:rFonts w:ascii="Arial" w:eastAsia="Times New Roman" w:hAnsi="Arial" w:cs="Arial"/>
                <w:color w:val="000000"/>
                <w:sz w:val="20"/>
                <w:szCs w:val="20"/>
                <w:lang w:val="en-US"/>
              </w:rPr>
            </w:pPr>
          </w:p>
        </w:tc>
        <w:tc>
          <w:tcPr>
            <w:tcW w:w="70" w:type="dxa"/>
            <w:tcBorders>
              <w:top w:val="nil"/>
              <w:left w:val="nil"/>
              <w:right w:val="nil"/>
            </w:tcBorders>
          </w:tcPr>
          <w:p w14:paraId="6BBACB49"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896" w:type="dxa"/>
            <w:tcBorders>
              <w:top w:val="nil"/>
              <w:left w:val="nil"/>
              <w:bottom w:val="single" w:sz="4" w:space="0" w:color="auto"/>
              <w:right w:val="nil"/>
            </w:tcBorders>
            <w:shd w:val="clear" w:color="auto" w:fill="auto"/>
            <w:noWrap/>
            <w:vAlign w:val="bottom"/>
            <w:hideMark/>
          </w:tcPr>
          <w:p w14:paraId="7815AAEC"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Controls</w:t>
            </w:r>
          </w:p>
        </w:tc>
        <w:tc>
          <w:tcPr>
            <w:tcW w:w="266" w:type="dxa"/>
            <w:tcBorders>
              <w:top w:val="nil"/>
              <w:left w:val="nil"/>
              <w:right w:val="nil"/>
            </w:tcBorders>
            <w:shd w:val="clear" w:color="auto" w:fill="auto"/>
            <w:noWrap/>
            <w:vAlign w:val="bottom"/>
            <w:hideMark/>
          </w:tcPr>
          <w:p w14:paraId="724B263A"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646" w:type="dxa"/>
            <w:tcBorders>
              <w:top w:val="nil"/>
              <w:left w:val="nil"/>
              <w:bottom w:val="single" w:sz="4" w:space="0" w:color="auto"/>
              <w:right w:val="nil"/>
            </w:tcBorders>
            <w:shd w:val="clear" w:color="auto" w:fill="auto"/>
            <w:noWrap/>
            <w:vAlign w:val="bottom"/>
            <w:hideMark/>
          </w:tcPr>
          <w:p w14:paraId="48068112"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Cases</w:t>
            </w:r>
          </w:p>
        </w:tc>
        <w:tc>
          <w:tcPr>
            <w:tcW w:w="155" w:type="dxa"/>
            <w:tcBorders>
              <w:top w:val="nil"/>
              <w:left w:val="nil"/>
              <w:right w:val="nil"/>
            </w:tcBorders>
            <w:shd w:val="clear" w:color="auto" w:fill="auto"/>
            <w:noWrap/>
            <w:vAlign w:val="bottom"/>
            <w:hideMark/>
          </w:tcPr>
          <w:p w14:paraId="3C926F13"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1489" w:type="dxa"/>
            <w:tcBorders>
              <w:top w:val="nil"/>
              <w:left w:val="nil"/>
              <w:bottom w:val="single" w:sz="4" w:space="0" w:color="auto"/>
              <w:right w:val="nil"/>
            </w:tcBorders>
            <w:shd w:val="clear" w:color="auto" w:fill="auto"/>
            <w:noWrap/>
            <w:vAlign w:val="bottom"/>
            <w:hideMark/>
          </w:tcPr>
          <w:p w14:paraId="58BBF615"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 xml:space="preserve">Excluded </w:t>
            </w:r>
            <w:r w:rsidRPr="00661974">
              <w:rPr>
                <w:rFonts w:ascii="Arial" w:eastAsia="Times New Roman" w:hAnsi="Arial" w:cs="Arial"/>
                <w:b/>
                <w:bCs/>
                <w:color w:val="000000"/>
                <w:sz w:val="20"/>
                <w:szCs w:val="20"/>
                <w:vertAlign w:val="superscript"/>
                <w:lang w:val="en-US"/>
              </w:rPr>
              <w:t>(c)</w:t>
            </w:r>
          </w:p>
        </w:tc>
        <w:tc>
          <w:tcPr>
            <w:tcW w:w="116" w:type="dxa"/>
            <w:tcBorders>
              <w:top w:val="nil"/>
              <w:left w:val="nil"/>
              <w:right w:val="nil"/>
            </w:tcBorders>
            <w:shd w:val="clear" w:color="auto" w:fill="auto"/>
            <w:noWrap/>
            <w:vAlign w:val="bottom"/>
            <w:hideMark/>
          </w:tcPr>
          <w:p w14:paraId="3DDC56BA" w14:textId="77777777" w:rsidR="008D6DF4" w:rsidRPr="00661974" w:rsidRDefault="008D6DF4">
            <w:pPr>
              <w:spacing w:after="0" w:line="240" w:lineRule="auto"/>
              <w:jc w:val="center"/>
              <w:rPr>
                <w:rFonts w:ascii="Arial" w:eastAsia="Times New Roman" w:hAnsi="Arial" w:cs="Arial"/>
                <w:b/>
                <w:bCs/>
                <w:color w:val="000000"/>
                <w:sz w:val="20"/>
                <w:szCs w:val="20"/>
                <w:lang w:val="en-US"/>
              </w:rPr>
            </w:pPr>
          </w:p>
        </w:tc>
        <w:tc>
          <w:tcPr>
            <w:tcW w:w="829" w:type="dxa"/>
            <w:tcBorders>
              <w:top w:val="nil"/>
              <w:left w:val="nil"/>
              <w:bottom w:val="single" w:sz="4" w:space="0" w:color="auto"/>
              <w:right w:val="nil"/>
            </w:tcBorders>
            <w:shd w:val="clear" w:color="auto" w:fill="auto"/>
            <w:noWrap/>
            <w:vAlign w:val="bottom"/>
            <w:hideMark/>
          </w:tcPr>
          <w:p w14:paraId="48F7E1E8"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SUM</w:t>
            </w:r>
          </w:p>
        </w:tc>
      </w:tr>
      <w:tr w:rsidR="008D6DF4" w:rsidRPr="00661974" w14:paraId="126C840E" w14:textId="77777777">
        <w:trPr>
          <w:trHeight w:val="300"/>
        </w:trPr>
        <w:tc>
          <w:tcPr>
            <w:tcW w:w="2552" w:type="dxa"/>
            <w:vMerge w:val="restart"/>
            <w:tcBorders>
              <w:top w:val="single" w:sz="4" w:space="0" w:color="auto"/>
              <w:left w:val="nil"/>
              <w:bottom w:val="single" w:sz="4" w:space="0" w:color="000000"/>
              <w:right w:val="nil"/>
            </w:tcBorders>
            <w:shd w:val="clear" w:color="auto" w:fill="auto"/>
            <w:noWrap/>
            <w:vAlign w:val="center"/>
            <w:hideMark/>
          </w:tcPr>
          <w:p w14:paraId="35949CB2" w14:textId="77777777" w:rsidR="008D6DF4" w:rsidRPr="00661974" w:rsidRDefault="007C1EBA">
            <w:pPr>
              <w:spacing w:after="0" w:line="240" w:lineRule="auto"/>
              <w:jc w:val="center"/>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Rapid3</w:t>
            </w:r>
          </w:p>
        </w:tc>
        <w:tc>
          <w:tcPr>
            <w:tcW w:w="946" w:type="dxa"/>
            <w:tcBorders>
              <w:top w:val="single" w:sz="4" w:space="0" w:color="auto"/>
              <w:left w:val="nil"/>
              <w:bottom w:val="nil"/>
              <w:right w:val="nil"/>
            </w:tcBorders>
            <w:shd w:val="clear" w:color="auto" w:fill="auto"/>
            <w:noWrap/>
            <w:vAlign w:val="bottom"/>
            <w:hideMark/>
          </w:tcPr>
          <w:p w14:paraId="214C2E76"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Control</w:t>
            </w:r>
          </w:p>
        </w:tc>
        <w:tc>
          <w:tcPr>
            <w:tcW w:w="70" w:type="dxa"/>
            <w:tcBorders>
              <w:top w:val="single" w:sz="4" w:space="0" w:color="auto"/>
              <w:left w:val="nil"/>
              <w:bottom w:val="nil"/>
              <w:right w:val="nil"/>
            </w:tcBorders>
          </w:tcPr>
          <w:p w14:paraId="029F1786"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single" w:sz="4" w:space="0" w:color="auto"/>
              <w:left w:val="nil"/>
              <w:bottom w:val="nil"/>
              <w:right w:val="nil"/>
            </w:tcBorders>
            <w:shd w:val="clear" w:color="auto" w:fill="auto"/>
            <w:noWrap/>
            <w:vAlign w:val="bottom"/>
            <w:hideMark/>
          </w:tcPr>
          <w:p w14:paraId="2C561B11"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1,338</w:t>
            </w:r>
          </w:p>
        </w:tc>
        <w:tc>
          <w:tcPr>
            <w:tcW w:w="266" w:type="dxa"/>
            <w:tcBorders>
              <w:top w:val="single" w:sz="4" w:space="0" w:color="auto"/>
              <w:left w:val="nil"/>
              <w:bottom w:val="nil"/>
              <w:right w:val="nil"/>
            </w:tcBorders>
            <w:shd w:val="clear" w:color="auto" w:fill="auto"/>
            <w:noWrap/>
            <w:vAlign w:val="bottom"/>
            <w:hideMark/>
          </w:tcPr>
          <w:p w14:paraId="7E59152B"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single" w:sz="4" w:space="0" w:color="auto"/>
              <w:left w:val="nil"/>
              <w:bottom w:val="nil"/>
              <w:right w:val="nil"/>
            </w:tcBorders>
            <w:shd w:val="clear" w:color="auto" w:fill="auto"/>
            <w:noWrap/>
            <w:vAlign w:val="bottom"/>
            <w:hideMark/>
          </w:tcPr>
          <w:p w14:paraId="3A8E1A18"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0</w:t>
            </w:r>
          </w:p>
        </w:tc>
        <w:tc>
          <w:tcPr>
            <w:tcW w:w="155" w:type="dxa"/>
            <w:tcBorders>
              <w:top w:val="single" w:sz="4" w:space="0" w:color="auto"/>
              <w:left w:val="nil"/>
              <w:bottom w:val="nil"/>
              <w:right w:val="nil"/>
            </w:tcBorders>
            <w:shd w:val="clear" w:color="auto" w:fill="auto"/>
            <w:noWrap/>
            <w:vAlign w:val="bottom"/>
            <w:hideMark/>
          </w:tcPr>
          <w:p w14:paraId="788BCDC7"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single" w:sz="4" w:space="0" w:color="auto"/>
              <w:left w:val="nil"/>
              <w:bottom w:val="nil"/>
              <w:right w:val="nil"/>
            </w:tcBorders>
            <w:shd w:val="clear" w:color="auto" w:fill="auto"/>
            <w:noWrap/>
            <w:vAlign w:val="bottom"/>
            <w:hideMark/>
          </w:tcPr>
          <w:p w14:paraId="26623AF0"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30 (1.0%)</w:t>
            </w:r>
          </w:p>
        </w:tc>
        <w:tc>
          <w:tcPr>
            <w:tcW w:w="116" w:type="dxa"/>
            <w:tcBorders>
              <w:top w:val="single" w:sz="4" w:space="0" w:color="auto"/>
              <w:left w:val="nil"/>
              <w:bottom w:val="nil"/>
              <w:right w:val="nil"/>
            </w:tcBorders>
            <w:shd w:val="clear" w:color="auto" w:fill="auto"/>
            <w:noWrap/>
            <w:vAlign w:val="bottom"/>
            <w:hideMark/>
          </w:tcPr>
          <w:p w14:paraId="217BD58B"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29" w:type="dxa"/>
            <w:tcBorders>
              <w:top w:val="single" w:sz="4" w:space="0" w:color="auto"/>
              <w:left w:val="nil"/>
              <w:bottom w:val="nil"/>
              <w:right w:val="nil"/>
            </w:tcBorders>
            <w:shd w:val="clear" w:color="auto" w:fill="auto"/>
            <w:noWrap/>
            <w:vAlign w:val="bottom"/>
            <w:hideMark/>
          </w:tcPr>
          <w:p w14:paraId="26BBEC7F"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1,368</w:t>
            </w:r>
          </w:p>
        </w:tc>
      </w:tr>
      <w:tr w:rsidR="008D6DF4" w:rsidRPr="00661974" w14:paraId="4DAE7878" w14:textId="77777777">
        <w:trPr>
          <w:trHeight w:val="300"/>
        </w:trPr>
        <w:tc>
          <w:tcPr>
            <w:tcW w:w="2552" w:type="dxa"/>
            <w:vMerge/>
            <w:tcBorders>
              <w:top w:val="nil"/>
              <w:left w:val="nil"/>
              <w:bottom w:val="single" w:sz="4" w:space="0" w:color="000000"/>
              <w:right w:val="nil"/>
            </w:tcBorders>
            <w:vAlign w:val="center"/>
            <w:hideMark/>
          </w:tcPr>
          <w:p w14:paraId="6812BE3D"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nil"/>
              <w:right w:val="nil"/>
            </w:tcBorders>
            <w:shd w:val="clear" w:color="auto" w:fill="auto"/>
            <w:noWrap/>
            <w:vAlign w:val="bottom"/>
            <w:hideMark/>
          </w:tcPr>
          <w:p w14:paraId="321909FF"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Case</w:t>
            </w:r>
          </w:p>
        </w:tc>
        <w:tc>
          <w:tcPr>
            <w:tcW w:w="70" w:type="dxa"/>
            <w:tcBorders>
              <w:top w:val="nil"/>
              <w:left w:val="nil"/>
              <w:bottom w:val="nil"/>
              <w:right w:val="nil"/>
            </w:tcBorders>
          </w:tcPr>
          <w:p w14:paraId="05A13B54"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156DC821"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170</w:t>
            </w:r>
          </w:p>
        </w:tc>
        <w:tc>
          <w:tcPr>
            <w:tcW w:w="266" w:type="dxa"/>
            <w:tcBorders>
              <w:top w:val="nil"/>
              <w:left w:val="nil"/>
              <w:bottom w:val="nil"/>
              <w:right w:val="nil"/>
            </w:tcBorders>
            <w:shd w:val="clear" w:color="auto" w:fill="auto"/>
            <w:noWrap/>
            <w:vAlign w:val="bottom"/>
            <w:hideMark/>
          </w:tcPr>
          <w:p w14:paraId="2FA35FD3"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299FE038"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66</w:t>
            </w:r>
          </w:p>
        </w:tc>
        <w:tc>
          <w:tcPr>
            <w:tcW w:w="155" w:type="dxa"/>
            <w:tcBorders>
              <w:top w:val="nil"/>
              <w:left w:val="nil"/>
              <w:bottom w:val="nil"/>
              <w:right w:val="nil"/>
            </w:tcBorders>
            <w:shd w:val="clear" w:color="auto" w:fill="auto"/>
            <w:noWrap/>
            <w:vAlign w:val="bottom"/>
            <w:hideMark/>
          </w:tcPr>
          <w:p w14:paraId="75699184"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6E00789A"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5 (0.2%)</w:t>
            </w:r>
          </w:p>
        </w:tc>
        <w:tc>
          <w:tcPr>
            <w:tcW w:w="116" w:type="dxa"/>
            <w:tcBorders>
              <w:top w:val="nil"/>
              <w:left w:val="nil"/>
              <w:bottom w:val="nil"/>
              <w:right w:val="nil"/>
            </w:tcBorders>
            <w:shd w:val="clear" w:color="auto" w:fill="auto"/>
            <w:noWrap/>
            <w:vAlign w:val="bottom"/>
            <w:hideMark/>
          </w:tcPr>
          <w:p w14:paraId="231F8B55"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29" w:type="dxa"/>
            <w:tcBorders>
              <w:top w:val="nil"/>
              <w:left w:val="nil"/>
              <w:bottom w:val="nil"/>
              <w:right w:val="nil"/>
            </w:tcBorders>
            <w:shd w:val="clear" w:color="auto" w:fill="auto"/>
            <w:noWrap/>
            <w:vAlign w:val="bottom"/>
            <w:hideMark/>
          </w:tcPr>
          <w:p w14:paraId="0C30F833"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241</w:t>
            </w:r>
          </w:p>
        </w:tc>
      </w:tr>
      <w:tr w:rsidR="008D6DF4" w:rsidRPr="00661974" w14:paraId="09802B5A" w14:textId="77777777">
        <w:trPr>
          <w:trHeight w:val="300"/>
        </w:trPr>
        <w:tc>
          <w:tcPr>
            <w:tcW w:w="2552" w:type="dxa"/>
            <w:vMerge/>
            <w:tcBorders>
              <w:top w:val="nil"/>
              <w:left w:val="nil"/>
              <w:bottom w:val="single" w:sz="4" w:space="0" w:color="000000"/>
              <w:right w:val="nil"/>
            </w:tcBorders>
            <w:vAlign w:val="center"/>
            <w:hideMark/>
          </w:tcPr>
          <w:p w14:paraId="3950796C"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nil"/>
              <w:right w:val="nil"/>
            </w:tcBorders>
            <w:shd w:val="clear" w:color="auto" w:fill="auto"/>
            <w:noWrap/>
            <w:vAlign w:val="bottom"/>
            <w:hideMark/>
          </w:tcPr>
          <w:p w14:paraId="5F4EF84D"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Excluded</w:t>
            </w:r>
          </w:p>
        </w:tc>
        <w:tc>
          <w:tcPr>
            <w:tcW w:w="70" w:type="dxa"/>
            <w:tcBorders>
              <w:top w:val="nil"/>
              <w:left w:val="nil"/>
              <w:bottom w:val="nil"/>
              <w:right w:val="nil"/>
            </w:tcBorders>
          </w:tcPr>
          <w:p w14:paraId="73989A88"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nil"/>
              <w:right w:val="nil"/>
            </w:tcBorders>
            <w:shd w:val="clear" w:color="auto" w:fill="auto"/>
            <w:noWrap/>
            <w:vAlign w:val="bottom"/>
            <w:hideMark/>
          </w:tcPr>
          <w:p w14:paraId="406D3736"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1,211 </w:t>
            </w:r>
            <w:r w:rsidRPr="00661974">
              <w:rPr>
                <w:rFonts w:ascii="Arial" w:eastAsia="Times New Roman" w:hAnsi="Arial" w:cs="Arial"/>
                <w:color w:val="000000"/>
                <w:sz w:val="20"/>
                <w:szCs w:val="20"/>
                <w:vertAlign w:val="superscript"/>
                <w:lang w:val="en-US"/>
              </w:rPr>
              <w:t>(d)</w:t>
            </w:r>
          </w:p>
        </w:tc>
        <w:tc>
          <w:tcPr>
            <w:tcW w:w="266" w:type="dxa"/>
            <w:tcBorders>
              <w:top w:val="nil"/>
              <w:left w:val="nil"/>
              <w:bottom w:val="nil"/>
              <w:right w:val="nil"/>
            </w:tcBorders>
            <w:shd w:val="clear" w:color="auto" w:fill="auto"/>
            <w:noWrap/>
            <w:vAlign w:val="bottom"/>
            <w:hideMark/>
          </w:tcPr>
          <w:p w14:paraId="38EBEA5C"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646" w:type="dxa"/>
            <w:tcBorders>
              <w:top w:val="nil"/>
              <w:left w:val="nil"/>
              <w:bottom w:val="nil"/>
              <w:right w:val="nil"/>
            </w:tcBorders>
            <w:shd w:val="clear" w:color="auto" w:fill="auto"/>
            <w:noWrap/>
            <w:vAlign w:val="bottom"/>
            <w:hideMark/>
          </w:tcPr>
          <w:p w14:paraId="4D8A99CC"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xml:space="preserve">19 </w:t>
            </w:r>
            <w:r w:rsidRPr="00661974">
              <w:rPr>
                <w:rFonts w:ascii="Arial" w:eastAsia="Times New Roman" w:hAnsi="Arial" w:cs="Arial"/>
                <w:color w:val="000000"/>
                <w:sz w:val="20"/>
                <w:szCs w:val="20"/>
                <w:vertAlign w:val="superscript"/>
                <w:lang w:val="en-US"/>
              </w:rPr>
              <w:t>(b)</w:t>
            </w:r>
          </w:p>
        </w:tc>
        <w:tc>
          <w:tcPr>
            <w:tcW w:w="155" w:type="dxa"/>
            <w:tcBorders>
              <w:top w:val="nil"/>
              <w:left w:val="nil"/>
              <w:bottom w:val="nil"/>
              <w:right w:val="nil"/>
            </w:tcBorders>
            <w:shd w:val="clear" w:color="auto" w:fill="auto"/>
            <w:noWrap/>
            <w:vAlign w:val="bottom"/>
            <w:hideMark/>
          </w:tcPr>
          <w:p w14:paraId="593B00CC"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1489" w:type="dxa"/>
            <w:tcBorders>
              <w:top w:val="nil"/>
              <w:left w:val="nil"/>
              <w:bottom w:val="nil"/>
              <w:right w:val="nil"/>
            </w:tcBorders>
            <w:shd w:val="clear" w:color="auto" w:fill="auto"/>
            <w:noWrap/>
            <w:vAlign w:val="bottom"/>
            <w:hideMark/>
          </w:tcPr>
          <w:p w14:paraId="479A7C35"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80 (2.7%)</w:t>
            </w:r>
          </w:p>
        </w:tc>
        <w:tc>
          <w:tcPr>
            <w:tcW w:w="116" w:type="dxa"/>
            <w:tcBorders>
              <w:top w:val="nil"/>
              <w:left w:val="nil"/>
              <w:bottom w:val="nil"/>
              <w:right w:val="nil"/>
            </w:tcBorders>
            <w:shd w:val="clear" w:color="auto" w:fill="auto"/>
            <w:noWrap/>
            <w:vAlign w:val="bottom"/>
            <w:hideMark/>
          </w:tcPr>
          <w:p w14:paraId="0C9BDEE4"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29" w:type="dxa"/>
            <w:tcBorders>
              <w:top w:val="nil"/>
              <w:left w:val="nil"/>
              <w:bottom w:val="nil"/>
              <w:right w:val="nil"/>
            </w:tcBorders>
            <w:shd w:val="clear" w:color="auto" w:fill="auto"/>
            <w:noWrap/>
            <w:vAlign w:val="bottom"/>
            <w:hideMark/>
          </w:tcPr>
          <w:p w14:paraId="52C277F1"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1,310</w:t>
            </w:r>
          </w:p>
        </w:tc>
      </w:tr>
      <w:tr w:rsidR="008D6DF4" w:rsidRPr="00661974" w14:paraId="3DE545D4" w14:textId="77777777">
        <w:trPr>
          <w:trHeight w:val="300"/>
        </w:trPr>
        <w:tc>
          <w:tcPr>
            <w:tcW w:w="2552" w:type="dxa"/>
            <w:vMerge/>
            <w:tcBorders>
              <w:top w:val="nil"/>
              <w:left w:val="nil"/>
              <w:bottom w:val="single" w:sz="4" w:space="0" w:color="auto"/>
              <w:right w:val="nil"/>
            </w:tcBorders>
            <w:vAlign w:val="center"/>
            <w:hideMark/>
          </w:tcPr>
          <w:p w14:paraId="150BC429" w14:textId="77777777" w:rsidR="008D6DF4" w:rsidRPr="00661974" w:rsidRDefault="008D6DF4">
            <w:pPr>
              <w:spacing w:after="0" w:line="240" w:lineRule="auto"/>
              <w:rPr>
                <w:rFonts w:ascii="Arial" w:eastAsia="Times New Roman" w:hAnsi="Arial" w:cs="Arial"/>
                <w:b/>
                <w:bCs/>
                <w:color w:val="000000"/>
                <w:sz w:val="20"/>
                <w:szCs w:val="20"/>
                <w:lang w:val="en-US"/>
              </w:rPr>
            </w:pPr>
          </w:p>
        </w:tc>
        <w:tc>
          <w:tcPr>
            <w:tcW w:w="946" w:type="dxa"/>
            <w:tcBorders>
              <w:top w:val="nil"/>
              <w:left w:val="nil"/>
              <w:bottom w:val="single" w:sz="4" w:space="0" w:color="auto"/>
              <w:right w:val="nil"/>
            </w:tcBorders>
            <w:shd w:val="clear" w:color="auto" w:fill="auto"/>
            <w:noWrap/>
            <w:vAlign w:val="bottom"/>
            <w:hideMark/>
          </w:tcPr>
          <w:p w14:paraId="7F710FAA" w14:textId="77777777" w:rsidR="008D6DF4" w:rsidRPr="00661974" w:rsidRDefault="007C1EBA">
            <w:pPr>
              <w:spacing w:after="0" w:line="240" w:lineRule="auto"/>
              <w:rPr>
                <w:rFonts w:ascii="Arial" w:eastAsia="Times New Roman" w:hAnsi="Arial" w:cs="Arial"/>
                <w:b/>
                <w:bCs/>
                <w:color w:val="000000"/>
                <w:sz w:val="20"/>
                <w:szCs w:val="20"/>
                <w:lang w:val="en-US"/>
              </w:rPr>
            </w:pPr>
            <w:r w:rsidRPr="00661974">
              <w:rPr>
                <w:rFonts w:ascii="Arial" w:eastAsia="Times New Roman" w:hAnsi="Arial" w:cs="Arial"/>
                <w:b/>
                <w:bCs/>
                <w:color w:val="000000"/>
                <w:sz w:val="20"/>
                <w:szCs w:val="20"/>
                <w:lang w:val="en-US"/>
              </w:rPr>
              <w:t>SUM</w:t>
            </w:r>
          </w:p>
        </w:tc>
        <w:tc>
          <w:tcPr>
            <w:tcW w:w="70" w:type="dxa"/>
            <w:tcBorders>
              <w:top w:val="nil"/>
              <w:left w:val="nil"/>
              <w:bottom w:val="single" w:sz="4" w:space="0" w:color="auto"/>
              <w:right w:val="nil"/>
            </w:tcBorders>
          </w:tcPr>
          <w:p w14:paraId="2F72E47F" w14:textId="77777777" w:rsidR="008D6DF4" w:rsidRPr="00661974" w:rsidRDefault="008D6DF4">
            <w:pPr>
              <w:spacing w:after="0" w:line="240" w:lineRule="auto"/>
              <w:jc w:val="right"/>
              <w:rPr>
                <w:rFonts w:ascii="Arial" w:eastAsia="Times New Roman" w:hAnsi="Arial" w:cs="Arial"/>
                <w:color w:val="000000"/>
                <w:sz w:val="20"/>
                <w:szCs w:val="20"/>
                <w:lang w:val="en-US"/>
              </w:rPr>
            </w:pPr>
          </w:p>
        </w:tc>
        <w:tc>
          <w:tcPr>
            <w:tcW w:w="896" w:type="dxa"/>
            <w:tcBorders>
              <w:top w:val="nil"/>
              <w:left w:val="nil"/>
              <w:bottom w:val="single" w:sz="4" w:space="0" w:color="auto"/>
              <w:right w:val="nil"/>
            </w:tcBorders>
            <w:shd w:val="clear" w:color="auto" w:fill="auto"/>
            <w:noWrap/>
            <w:vAlign w:val="bottom"/>
            <w:hideMark/>
          </w:tcPr>
          <w:p w14:paraId="65B499CD"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2,719</w:t>
            </w:r>
          </w:p>
        </w:tc>
        <w:tc>
          <w:tcPr>
            <w:tcW w:w="266" w:type="dxa"/>
            <w:tcBorders>
              <w:top w:val="nil"/>
              <w:left w:val="nil"/>
              <w:bottom w:val="single" w:sz="4" w:space="0" w:color="auto"/>
              <w:right w:val="nil"/>
            </w:tcBorders>
            <w:shd w:val="clear" w:color="auto" w:fill="auto"/>
            <w:noWrap/>
            <w:vAlign w:val="bottom"/>
            <w:hideMark/>
          </w:tcPr>
          <w:p w14:paraId="5C7D3A1E"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646" w:type="dxa"/>
            <w:tcBorders>
              <w:top w:val="nil"/>
              <w:left w:val="nil"/>
              <w:bottom w:val="single" w:sz="4" w:space="0" w:color="auto"/>
              <w:right w:val="nil"/>
            </w:tcBorders>
            <w:shd w:val="clear" w:color="auto" w:fill="auto"/>
            <w:noWrap/>
            <w:vAlign w:val="bottom"/>
            <w:hideMark/>
          </w:tcPr>
          <w:p w14:paraId="4B2B7946"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85</w:t>
            </w:r>
          </w:p>
        </w:tc>
        <w:tc>
          <w:tcPr>
            <w:tcW w:w="155" w:type="dxa"/>
            <w:tcBorders>
              <w:top w:val="nil"/>
              <w:left w:val="nil"/>
              <w:bottom w:val="single" w:sz="4" w:space="0" w:color="auto"/>
              <w:right w:val="nil"/>
            </w:tcBorders>
            <w:shd w:val="clear" w:color="auto" w:fill="auto"/>
            <w:noWrap/>
            <w:vAlign w:val="bottom"/>
            <w:hideMark/>
          </w:tcPr>
          <w:p w14:paraId="5DD84D3E"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1489" w:type="dxa"/>
            <w:tcBorders>
              <w:top w:val="nil"/>
              <w:left w:val="nil"/>
              <w:bottom w:val="single" w:sz="4" w:space="0" w:color="auto"/>
              <w:right w:val="nil"/>
            </w:tcBorders>
            <w:shd w:val="clear" w:color="auto" w:fill="auto"/>
            <w:noWrap/>
            <w:vAlign w:val="bottom"/>
            <w:hideMark/>
          </w:tcPr>
          <w:p w14:paraId="4E18230E"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115 (3.9%)</w:t>
            </w:r>
          </w:p>
        </w:tc>
        <w:tc>
          <w:tcPr>
            <w:tcW w:w="116" w:type="dxa"/>
            <w:tcBorders>
              <w:top w:val="nil"/>
              <w:left w:val="nil"/>
              <w:bottom w:val="single" w:sz="4" w:space="0" w:color="auto"/>
              <w:right w:val="nil"/>
            </w:tcBorders>
            <w:shd w:val="clear" w:color="auto" w:fill="auto"/>
            <w:noWrap/>
            <w:vAlign w:val="bottom"/>
            <w:hideMark/>
          </w:tcPr>
          <w:p w14:paraId="0F05C0A2" w14:textId="77777777" w:rsidR="008D6DF4" w:rsidRPr="00661974" w:rsidRDefault="007C1EBA">
            <w:pPr>
              <w:spacing w:after="0" w:line="240" w:lineRule="auto"/>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 </w:t>
            </w:r>
          </w:p>
        </w:tc>
        <w:tc>
          <w:tcPr>
            <w:tcW w:w="829" w:type="dxa"/>
            <w:tcBorders>
              <w:top w:val="nil"/>
              <w:left w:val="nil"/>
              <w:bottom w:val="single" w:sz="4" w:space="0" w:color="auto"/>
              <w:right w:val="nil"/>
            </w:tcBorders>
            <w:shd w:val="clear" w:color="auto" w:fill="auto"/>
            <w:noWrap/>
            <w:vAlign w:val="bottom"/>
            <w:hideMark/>
          </w:tcPr>
          <w:p w14:paraId="6ABBB395" w14:textId="77777777" w:rsidR="008D6DF4" w:rsidRPr="00661974" w:rsidRDefault="007C1EBA">
            <w:pPr>
              <w:spacing w:after="0" w:line="240" w:lineRule="auto"/>
              <w:jc w:val="right"/>
              <w:rPr>
                <w:rFonts w:ascii="Arial" w:eastAsia="Times New Roman" w:hAnsi="Arial" w:cs="Arial"/>
                <w:color w:val="000000"/>
                <w:sz w:val="20"/>
                <w:szCs w:val="20"/>
                <w:lang w:val="en-US"/>
              </w:rPr>
            </w:pPr>
            <w:r w:rsidRPr="00661974">
              <w:rPr>
                <w:rFonts w:ascii="Arial" w:eastAsia="Times New Roman" w:hAnsi="Arial" w:cs="Arial"/>
                <w:color w:val="000000"/>
                <w:sz w:val="20"/>
                <w:szCs w:val="20"/>
                <w:lang w:val="en-US"/>
              </w:rPr>
              <w:t>2,919</w:t>
            </w:r>
          </w:p>
        </w:tc>
      </w:tr>
    </w:tbl>
    <w:p w14:paraId="1FB4A2AB" w14:textId="7D0C123D" w:rsidR="008D6DF4" w:rsidRDefault="007C1EBA">
      <w:pPr>
        <w:spacing w:after="0" w:line="240" w:lineRule="auto"/>
        <w:ind w:right="-18"/>
        <w:jc w:val="both"/>
        <w:rPr>
          <w:rFonts w:ascii="Arial" w:eastAsia="Times New Roman" w:hAnsi="Arial" w:cs="Arial"/>
          <w:bCs/>
          <w:color w:val="000000"/>
          <w:sz w:val="20"/>
          <w:szCs w:val="20"/>
          <w:lang w:val="en-US"/>
        </w:rPr>
        <w:sectPr w:rsidR="008D6DF4">
          <w:pgSz w:w="11906" w:h="16838"/>
          <w:pgMar w:top="1134" w:right="1417" w:bottom="1417" w:left="1417" w:header="708" w:footer="708" w:gutter="0"/>
          <w:cols w:space="708"/>
          <w:docGrid w:linePitch="360"/>
        </w:sectPr>
      </w:pPr>
      <w:r w:rsidRPr="00661974">
        <w:rPr>
          <w:rFonts w:ascii="Arial" w:eastAsia="Times New Roman" w:hAnsi="Arial" w:cs="Arial"/>
          <w:bCs/>
          <w:color w:val="000000"/>
          <w:sz w:val="20"/>
          <w:szCs w:val="20"/>
          <w:lang w:val="en-US"/>
        </w:rPr>
        <w:t xml:space="preserve">(a) The number of related or non-European </w:t>
      </w:r>
      <w:r w:rsidR="002A0A49" w:rsidRPr="00661974">
        <w:rPr>
          <w:rFonts w:ascii="Arial" w:eastAsia="Times New Roman" w:hAnsi="Arial" w:cs="Arial"/>
          <w:bCs/>
          <w:color w:val="000000"/>
          <w:sz w:val="20"/>
          <w:szCs w:val="20"/>
          <w:lang w:val="en-US"/>
        </w:rPr>
        <w:t>individuals</w:t>
      </w:r>
      <w:r w:rsidRPr="00661974">
        <w:rPr>
          <w:rFonts w:ascii="Arial" w:eastAsia="Times New Roman" w:hAnsi="Arial" w:cs="Arial"/>
          <w:bCs/>
          <w:color w:val="000000"/>
          <w:sz w:val="20"/>
          <w:szCs w:val="20"/>
          <w:lang w:val="en-US"/>
        </w:rPr>
        <w:t xml:space="preserve"> or </w:t>
      </w:r>
      <w:r w:rsidR="002A0A49" w:rsidRPr="00661974">
        <w:rPr>
          <w:rFonts w:ascii="Arial" w:eastAsia="Times New Roman" w:hAnsi="Arial" w:cs="Arial"/>
          <w:bCs/>
          <w:color w:val="000000"/>
          <w:sz w:val="20"/>
          <w:szCs w:val="20"/>
          <w:lang w:val="en-US"/>
        </w:rPr>
        <w:t>individuals</w:t>
      </w:r>
      <w:r w:rsidRPr="00661974">
        <w:rPr>
          <w:rFonts w:ascii="Arial" w:eastAsia="Times New Roman" w:hAnsi="Arial" w:cs="Arial"/>
          <w:bCs/>
          <w:color w:val="000000"/>
          <w:sz w:val="20"/>
          <w:szCs w:val="20"/>
          <w:lang w:val="en-US"/>
        </w:rPr>
        <w:t xml:space="preserve"> with missing age, sex or serum creatinine at baseline or follow-up was 471,947 in UKBB, 386 i</w:t>
      </w:r>
      <w:r w:rsidR="00356522">
        <w:rPr>
          <w:rFonts w:ascii="Arial" w:eastAsia="Times New Roman" w:hAnsi="Arial" w:cs="Arial"/>
          <w:bCs/>
          <w:color w:val="000000"/>
          <w:sz w:val="20"/>
          <w:szCs w:val="20"/>
          <w:lang w:val="en-US"/>
        </w:rPr>
        <w:t>n KORAS3F3 and 869 in KORAS4F4.</w:t>
      </w:r>
      <w:r w:rsidRPr="00661974">
        <w:rPr>
          <w:rFonts w:ascii="Arial" w:eastAsia="Times New Roman" w:hAnsi="Arial" w:cs="Arial"/>
          <w:bCs/>
          <w:color w:val="000000"/>
          <w:sz w:val="20"/>
          <w:szCs w:val="20"/>
          <w:lang w:val="en-US"/>
        </w:rPr>
        <w:t xml:space="preserve"> (b) Individuals were excluded in Rapid3 analysis due to annual eGFRcrea decline of 2.7 to 2.8 </w:t>
      </w:r>
      <w:r w:rsidRPr="00661974">
        <w:rPr>
          <w:rFonts w:ascii="Arial" w:hAnsi="Arial" w:cs="Arial"/>
          <w:sz w:val="20"/>
          <w:szCs w:val="20"/>
          <w:lang w:val="en-US"/>
        </w:rPr>
        <w:t>mL/min/1.73m</w:t>
      </w:r>
      <w:r w:rsidRPr="00661974">
        <w:rPr>
          <w:rFonts w:ascii="Arial" w:hAnsi="Arial" w:cs="Arial"/>
          <w:sz w:val="20"/>
          <w:szCs w:val="20"/>
          <w:vertAlign w:val="superscript"/>
          <w:lang w:val="en-US"/>
        </w:rPr>
        <w:t xml:space="preserve">2 </w:t>
      </w:r>
      <w:r w:rsidRPr="00661974">
        <w:rPr>
          <w:rFonts w:ascii="Arial" w:hAnsi="Arial" w:cs="Arial"/>
          <w:sz w:val="20"/>
          <w:szCs w:val="20"/>
          <w:lang w:val="en-US"/>
        </w:rPr>
        <w:t>/y</w:t>
      </w:r>
      <w:r w:rsidR="00A22573" w:rsidRPr="00661974">
        <w:rPr>
          <w:rFonts w:ascii="Arial" w:hAnsi="Arial" w:cs="Arial"/>
          <w:sz w:val="20"/>
          <w:szCs w:val="20"/>
          <w:lang w:val="en-US"/>
        </w:rPr>
        <w:t>ea</w:t>
      </w:r>
      <w:r w:rsidRPr="00661974">
        <w:rPr>
          <w:rFonts w:ascii="Arial" w:hAnsi="Arial" w:cs="Arial"/>
          <w:sz w:val="20"/>
          <w:szCs w:val="20"/>
          <w:lang w:val="en-US"/>
        </w:rPr>
        <w:t xml:space="preserve">r in UK Biobank and </w:t>
      </w:r>
      <w:r w:rsidR="00395C96" w:rsidRPr="00661974">
        <w:rPr>
          <w:rFonts w:ascii="Arial" w:hAnsi="Arial" w:cs="Arial"/>
          <w:sz w:val="20"/>
          <w:szCs w:val="20"/>
          <w:lang w:val="en-US"/>
        </w:rPr>
        <w:t>1.8 to 2.9</w:t>
      </w:r>
      <w:r w:rsidRPr="00661974">
        <w:rPr>
          <w:rFonts w:ascii="Arial" w:hAnsi="Arial" w:cs="Arial"/>
          <w:sz w:val="20"/>
          <w:szCs w:val="20"/>
          <w:lang w:val="en-US"/>
        </w:rPr>
        <w:t xml:space="preserve"> in the KORA studies; none was excluded due to an annual decline &lt;</w:t>
      </w:r>
      <w:r w:rsidR="001A7458" w:rsidRPr="00661974">
        <w:rPr>
          <w:rFonts w:ascii="Arial" w:hAnsi="Arial" w:cs="Arial"/>
          <w:sz w:val="20"/>
          <w:szCs w:val="20"/>
          <w:lang w:val="en-US"/>
        </w:rPr>
        <w:t xml:space="preserve">-1 </w:t>
      </w:r>
      <w:r w:rsidRPr="00661974">
        <w:rPr>
          <w:rFonts w:ascii="Arial" w:hAnsi="Arial" w:cs="Arial"/>
          <w:sz w:val="20"/>
          <w:szCs w:val="20"/>
          <w:lang w:val="en-US"/>
        </w:rPr>
        <w:t>mL/min/1.73m</w:t>
      </w:r>
      <w:r w:rsidRPr="00661974">
        <w:rPr>
          <w:rFonts w:ascii="Arial" w:hAnsi="Arial" w:cs="Arial"/>
          <w:sz w:val="20"/>
          <w:szCs w:val="20"/>
          <w:vertAlign w:val="superscript"/>
          <w:lang w:val="en-US"/>
        </w:rPr>
        <w:t xml:space="preserve">2 </w:t>
      </w:r>
      <w:r w:rsidRPr="00661974">
        <w:rPr>
          <w:rFonts w:ascii="Arial" w:hAnsi="Arial" w:cs="Arial"/>
          <w:sz w:val="20"/>
          <w:szCs w:val="20"/>
          <w:lang w:val="en-US"/>
        </w:rPr>
        <w:t>/y</w:t>
      </w:r>
      <w:r w:rsidR="00A22573" w:rsidRPr="00661974">
        <w:rPr>
          <w:rFonts w:ascii="Arial" w:hAnsi="Arial" w:cs="Arial"/>
          <w:sz w:val="20"/>
          <w:szCs w:val="20"/>
          <w:lang w:val="en-US"/>
        </w:rPr>
        <w:t>ea</w:t>
      </w:r>
      <w:r w:rsidRPr="00661974">
        <w:rPr>
          <w:rFonts w:ascii="Arial" w:hAnsi="Arial" w:cs="Arial"/>
          <w:sz w:val="20"/>
          <w:szCs w:val="20"/>
          <w:lang w:val="en-US"/>
        </w:rPr>
        <w:t>r</w:t>
      </w:r>
      <w:r w:rsidRPr="00661974">
        <w:rPr>
          <w:rFonts w:ascii="Arial" w:eastAsia="Times New Roman" w:hAnsi="Arial" w:cs="Arial"/>
          <w:bCs/>
          <w:color w:val="000000"/>
          <w:sz w:val="20"/>
          <w:szCs w:val="20"/>
          <w:lang w:val="en-US"/>
        </w:rPr>
        <w:t xml:space="preserve">. (c) Individuals were excluded for the CKDi25 analysis, when they had </w:t>
      </w:r>
      <w:r w:rsidR="00395C96" w:rsidRPr="00661974">
        <w:rPr>
          <w:rFonts w:ascii="Arial" w:hAnsi="Arial" w:cs="Arial"/>
          <w:sz w:val="20"/>
          <w:szCs w:val="20"/>
          <w:lang w:val="en-US"/>
        </w:rPr>
        <w:t>eGFRcrea &lt;</w:t>
      </w:r>
      <w:r w:rsidRPr="00661974">
        <w:rPr>
          <w:rFonts w:ascii="Arial" w:hAnsi="Arial" w:cs="Arial"/>
          <w:sz w:val="20"/>
          <w:szCs w:val="20"/>
          <w:lang w:val="en-US"/>
        </w:rPr>
        <w:t>60 mL/min/1.73m</w:t>
      </w:r>
      <w:r w:rsidRPr="00661974">
        <w:rPr>
          <w:rFonts w:ascii="Arial" w:hAnsi="Arial" w:cs="Arial"/>
          <w:sz w:val="20"/>
          <w:szCs w:val="20"/>
          <w:vertAlign w:val="superscript"/>
          <w:lang w:val="en-US"/>
        </w:rPr>
        <w:t xml:space="preserve">2 </w:t>
      </w:r>
      <w:r w:rsidRPr="00661974">
        <w:rPr>
          <w:rFonts w:ascii="Arial" w:hAnsi="Arial" w:cs="Arial"/>
          <w:sz w:val="20"/>
          <w:szCs w:val="20"/>
          <w:lang w:val="en-US"/>
        </w:rPr>
        <w:t>at baseline (</w:t>
      </w:r>
      <w:r w:rsidR="001A7458" w:rsidRPr="00661974">
        <w:rPr>
          <w:rFonts w:ascii="Arial" w:hAnsi="Arial" w:cs="Arial"/>
          <w:sz w:val="20"/>
          <w:szCs w:val="20"/>
          <w:lang w:val="en-US"/>
        </w:rPr>
        <w:t xml:space="preserve">in parentheses, </w:t>
      </w:r>
      <w:r w:rsidRPr="00661974">
        <w:rPr>
          <w:rFonts w:ascii="Arial" w:hAnsi="Arial" w:cs="Arial"/>
          <w:sz w:val="20"/>
          <w:szCs w:val="20"/>
          <w:lang w:val="en-US"/>
        </w:rPr>
        <w:t xml:space="preserve">stating </w:t>
      </w:r>
      <w:r w:rsidR="001A7458" w:rsidRPr="00661974">
        <w:rPr>
          <w:rFonts w:ascii="Arial" w:hAnsi="Arial" w:cs="Arial"/>
          <w:sz w:val="20"/>
          <w:szCs w:val="20"/>
          <w:lang w:val="en-US"/>
        </w:rPr>
        <w:t xml:space="preserve">the </w:t>
      </w:r>
      <w:r w:rsidRPr="00661974">
        <w:rPr>
          <w:rFonts w:ascii="Arial" w:hAnsi="Arial" w:cs="Arial"/>
          <w:sz w:val="20"/>
          <w:szCs w:val="20"/>
          <w:lang w:val="en-US"/>
        </w:rPr>
        <w:t xml:space="preserve">proportion </w:t>
      </w:r>
      <w:r w:rsidR="001A7458" w:rsidRPr="00661974">
        <w:rPr>
          <w:rFonts w:ascii="Arial" w:hAnsi="Arial" w:cs="Arial"/>
          <w:sz w:val="20"/>
          <w:szCs w:val="20"/>
          <w:lang w:val="en-US"/>
        </w:rPr>
        <w:t xml:space="preserve">of excluded </w:t>
      </w:r>
      <w:r w:rsidRPr="00661974">
        <w:rPr>
          <w:rFonts w:ascii="Arial" w:hAnsi="Arial" w:cs="Arial"/>
          <w:sz w:val="20"/>
          <w:szCs w:val="20"/>
          <w:lang w:val="en-US"/>
        </w:rPr>
        <w:t>compared to total number of individuals in the study)</w:t>
      </w:r>
      <w:r w:rsidRPr="00661974">
        <w:rPr>
          <w:rFonts w:ascii="Arial" w:eastAsia="Times New Roman" w:hAnsi="Arial" w:cs="Arial"/>
          <w:bCs/>
          <w:color w:val="000000"/>
          <w:sz w:val="20"/>
          <w:szCs w:val="20"/>
          <w:lang w:val="en-US"/>
        </w:rPr>
        <w:t xml:space="preserve">. (d) CKDi25 controls were excluded from Rapid3 analysis due to </w:t>
      </w:r>
      <w:r w:rsidRPr="00661974">
        <w:rPr>
          <w:rFonts w:ascii="Arial" w:hAnsi="Arial" w:cs="Arial"/>
          <w:sz w:val="20"/>
          <w:szCs w:val="20"/>
          <w:lang w:val="en-US"/>
        </w:rPr>
        <w:t>annual decline between 1 and 3 mL/min/1.73m</w:t>
      </w:r>
      <w:r w:rsidRPr="00661974">
        <w:rPr>
          <w:rFonts w:ascii="Arial" w:hAnsi="Arial" w:cs="Arial"/>
          <w:sz w:val="20"/>
          <w:szCs w:val="20"/>
          <w:vertAlign w:val="superscript"/>
          <w:lang w:val="en-US"/>
        </w:rPr>
        <w:t xml:space="preserve">2 </w:t>
      </w:r>
      <w:r w:rsidRPr="00661974">
        <w:rPr>
          <w:rFonts w:ascii="Arial" w:hAnsi="Arial" w:cs="Arial"/>
          <w:sz w:val="20"/>
          <w:szCs w:val="20"/>
          <w:lang w:val="en-US"/>
        </w:rPr>
        <w:t>/y</w:t>
      </w:r>
      <w:r w:rsidR="00A22573" w:rsidRPr="00661974">
        <w:rPr>
          <w:rFonts w:ascii="Arial" w:hAnsi="Arial" w:cs="Arial"/>
          <w:sz w:val="20"/>
          <w:szCs w:val="20"/>
          <w:lang w:val="en-US"/>
        </w:rPr>
        <w:t>ea</w:t>
      </w:r>
      <w:r w:rsidRPr="00661974">
        <w:rPr>
          <w:rFonts w:ascii="Arial" w:hAnsi="Arial" w:cs="Arial"/>
          <w:sz w:val="20"/>
          <w:szCs w:val="20"/>
          <w:lang w:val="en-US"/>
        </w:rPr>
        <w:t>r</w:t>
      </w:r>
      <w:r w:rsidR="00A22573" w:rsidRPr="00661974">
        <w:rPr>
          <w:rFonts w:ascii="Arial" w:hAnsi="Arial" w:cs="Arial"/>
          <w:sz w:val="20"/>
          <w:szCs w:val="20"/>
          <w:lang w:val="en-US"/>
        </w:rPr>
        <w:t>.</w:t>
      </w:r>
    </w:p>
    <w:p w14:paraId="455EA13B" w14:textId="77777777" w:rsidR="0001057B" w:rsidRPr="009616A4" w:rsidRDefault="0001057B" w:rsidP="0001057B">
      <w:pPr>
        <w:spacing w:after="120" w:line="240" w:lineRule="auto"/>
        <w:jc w:val="both"/>
        <w:rPr>
          <w:rFonts w:ascii="Arial" w:eastAsia="Times New Roman" w:hAnsi="Arial" w:cs="Arial"/>
          <w:bCs/>
          <w:color w:val="000000"/>
          <w:lang w:val="en-US"/>
        </w:rPr>
      </w:pPr>
      <w:r>
        <w:rPr>
          <w:rFonts w:ascii="Arial" w:eastAsia="Times New Roman" w:hAnsi="Arial" w:cs="Arial"/>
          <w:b/>
          <w:bCs/>
          <w:color w:val="000000"/>
          <w:lang w:val="en-US"/>
        </w:rPr>
        <w:lastRenderedPageBreak/>
        <w:t xml:space="preserve">Supplementary Table 3 | Genotyping and imputation information of participating studies. </w:t>
      </w:r>
      <w:r w:rsidRPr="009616A4">
        <w:rPr>
          <w:rFonts w:ascii="Arial" w:eastAsia="Times New Roman" w:hAnsi="Arial" w:cs="Arial"/>
          <w:bCs/>
          <w:color w:val="000000"/>
          <w:lang w:val="en-US"/>
        </w:rPr>
        <w:t>Shown are the information of the genotyping and imputation for all studies from the Rapid3 and CKDi25 GWAs.</w:t>
      </w:r>
    </w:p>
    <w:tbl>
      <w:tblPr>
        <w:tblW w:w="15857" w:type="dxa"/>
        <w:jc w:val="center"/>
        <w:tblLayout w:type="fixed"/>
        <w:tblLook w:val="0000" w:firstRow="0" w:lastRow="0" w:firstColumn="0" w:lastColumn="0" w:noHBand="0" w:noVBand="0"/>
      </w:tblPr>
      <w:tblGrid>
        <w:gridCol w:w="1276"/>
        <w:gridCol w:w="2693"/>
        <w:gridCol w:w="1560"/>
        <w:gridCol w:w="992"/>
        <w:gridCol w:w="2268"/>
        <w:gridCol w:w="992"/>
        <w:gridCol w:w="1829"/>
        <w:gridCol w:w="1701"/>
        <w:gridCol w:w="1276"/>
        <w:gridCol w:w="1270"/>
      </w:tblGrid>
      <w:tr w:rsidR="0001057B" w:rsidRPr="00685851" w14:paraId="4261F715" w14:textId="77777777" w:rsidTr="00685851">
        <w:trPr>
          <w:jc w:val="center"/>
        </w:trPr>
        <w:tc>
          <w:tcPr>
            <w:tcW w:w="1276" w:type="dxa"/>
            <w:tcBorders>
              <w:top w:val="single" w:sz="4" w:space="0" w:color="auto"/>
              <w:bottom w:val="single" w:sz="4" w:space="0" w:color="auto"/>
            </w:tcBorders>
            <w:shd w:val="clear" w:color="auto" w:fill="BDD6EE" w:themeFill="accent1" w:themeFillTint="66"/>
            <w:vAlign w:val="bottom"/>
          </w:tcPr>
          <w:p w14:paraId="5A5C34CA" w14:textId="77777777" w:rsidR="0001057B" w:rsidRPr="00685851"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685851">
              <w:rPr>
                <w:rFonts w:ascii="Arial" w:hAnsi="Arial" w:cs="Arial"/>
                <w:bCs/>
                <w:color w:val="000000"/>
                <w:sz w:val="18"/>
                <w:szCs w:val="18"/>
                <w:lang w:val="en-US"/>
              </w:rPr>
              <w:t>Study</w:t>
            </w:r>
          </w:p>
        </w:tc>
        <w:tc>
          <w:tcPr>
            <w:tcW w:w="2693" w:type="dxa"/>
            <w:tcBorders>
              <w:top w:val="single" w:sz="4" w:space="0" w:color="auto"/>
              <w:bottom w:val="single" w:sz="4" w:space="0" w:color="auto"/>
            </w:tcBorders>
            <w:shd w:val="clear" w:color="auto" w:fill="BDD6EE" w:themeFill="accent1" w:themeFillTint="66"/>
            <w:vAlign w:val="bottom"/>
          </w:tcPr>
          <w:p w14:paraId="1E6219DA" w14:textId="77777777" w:rsidR="0001057B" w:rsidRPr="00685851"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685851">
              <w:rPr>
                <w:rFonts w:ascii="Arial" w:hAnsi="Arial" w:cs="Arial"/>
                <w:bCs/>
                <w:color w:val="000000"/>
                <w:sz w:val="18"/>
                <w:szCs w:val="18"/>
                <w:lang w:val="en-US"/>
              </w:rPr>
              <w:t>Exclusions of individuals</w:t>
            </w:r>
          </w:p>
        </w:tc>
        <w:tc>
          <w:tcPr>
            <w:tcW w:w="1560" w:type="dxa"/>
            <w:tcBorders>
              <w:top w:val="single" w:sz="4" w:space="0" w:color="auto"/>
              <w:bottom w:val="single" w:sz="4" w:space="0" w:color="auto"/>
            </w:tcBorders>
            <w:shd w:val="clear" w:color="auto" w:fill="BDD6EE" w:themeFill="accent1" w:themeFillTint="66"/>
            <w:vAlign w:val="bottom"/>
          </w:tcPr>
          <w:p w14:paraId="34868C53" w14:textId="77777777" w:rsidR="0001057B" w:rsidRPr="00685851"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685851">
              <w:rPr>
                <w:rFonts w:ascii="Arial" w:hAnsi="Arial" w:cs="Arial"/>
                <w:bCs/>
                <w:color w:val="000000"/>
                <w:sz w:val="18"/>
                <w:szCs w:val="18"/>
                <w:lang w:val="en-US"/>
              </w:rPr>
              <w:t>Genotyping Array</w:t>
            </w:r>
          </w:p>
        </w:tc>
        <w:tc>
          <w:tcPr>
            <w:tcW w:w="992" w:type="dxa"/>
            <w:tcBorders>
              <w:top w:val="single" w:sz="4" w:space="0" w:color="auto"/>
              <w:bottom w:val="single" w:sz="4" w:space="0" w:color="auto"/>
            </w:tcBorders>
            <w:shd w:val="clear" w:color="auto" w:fill="BDD6EE" w:themeFill="accent1" w:themeFillTint="66"/>
            <w:vAlign w:val="bottom"/>
          </w:tcPr>
          <w:p w14:paraId="28C2149C" w14:textId="77777777" w:rsidR="0001057B" w:rsidRPr="00685851"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685851">
              <w:rPr>
                <w:rFonts w:ascii="Arial" w:hAnsi="Arial" w:cs="Arial"/>
                <w:bCs/>
                <w:color w:val="000000"/>
                <w:sz w:val="18"/>
                <w:szCs w:val="18"/>
                <w:lang w:val="en-US"/>
              </w:rPr>
              <w:t>Geno-type calling</w:t>
            </w:r>
          </w:p>
        </w:tc>
        <w:tc>
          <w:tcPr>
            <w:tcW w:w="2268" w:type="dxa"/>
            <w:tcBorders>
              <w:top w:val="single" w:sz="4" w:space="0" w:color="auto"/>
              <w:bottom w:val="single" w:sz="4" w:space="0" w:color="auto"/>
            </w:tcBorders>
            <w:shd w:val="clear" w:color="auto" w:fill="BDD6EE" w:themeFill="accent1" w:themeFillTint="66"/>
            <w:vAlign w:val="bottom"/>
          </w:tcPr>
          <w:p w14:paraId="389D70F3" w14:textId="77777777" w:rsidR="0001057B" w:rsidRPr="00685851"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685851">
              <w:rPr>
                <w:rFonts w:ascii="Arial" w:hAnsi="Arial" w:cs="Arial"/>
                <w:bCs/>
                <w:color w:val="000000"/>
                <w:sz w:val="18"/>
                <w:szCs w:val="18"/>
                <w:lang w:val="en-US"/>
              </w:rPr>
              <w:t>Variant QC before imputation</w:t>
            </w:r>
          </w:p>
        </w:tc>
        <w:tc>
          <w:tcPr>
            <w:tcW w:w="992"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0B02F0AC" w14:textId="77777777" w:rsidR="0001057B" w:rsidRPr="00685851"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685851">
              <w:rPr>
                <w:rFonts w:ascii="Arial" w:hAnsi="Arial" w:cs="Arial"/>
                <w:bCs/>
                <w:color w:val="000000"/>
                <w:sz w:val="18"/>
                <w:szCs w:val="18"/>
                <w:lang w:val="en-US"/>
              </w:rPr>
              <w:t># SNPs used for imputation</w:t>
            </w:r>
          </w:p>
        </w:tc>
        <w:tc>
          <w:tcPr>
            <w:tcW w:w="1829" w:type="dxa"/>
            <w:tcBorders>
              <w:top w:val="single" w:sz="4" w:space="0" w:color="auto"/>
              <w:bottom w:val="single" w:sz="4" w:space="0" w:color="auto"/>
            </w:tcBorders>
            <w:shd w:val="clear" w:color="auto" w:fill="BDD6EE" w:themeFill="accent1" w:themeFillTint="66"/>
            <w:vAlign w:val="bottom"/>
          </w:tcPr>
          <w:p w14:paraId="0AD7BA86" w14:textId="77777777" w:rsidR="0001057B" w:rsidRPr="00685851" w:rsidRDefault="0001057B" w:rsidP="00685851">
            <w:pPr>
              <w:spacing w:after="0" w:line="240" w:lineRule="auto"/>
              <w:rPr>
                <w:rFonts w:ascii="Arial" w:hAnsi="Arial" w:cs="Arial"/>
                <w:bCs/>
                <w:color w:val="000000"/>
                <w:sz w:val="18"/>
                <w:szCs w:val="18"/>
                <w:lang w:val="en-US"/>
              </w:rPr>
            </w:pPr>
            <w:r w:rsidRPr="00685851">
              <w:rPr>
                <w:rFonts w:ascii="Arial" w:hAnsi="Arial" w:cs="Arial"/>
                <w:bCs/>
                <w:color w:val="000000"/>
                <w:sz w:val="18"/>
                <w:szCs w:val="18"/>
                <w:lang w:val="en-US"/>
              </w:rPr>
              <w:t xml:space="preserve">Software phasing and imputation </w:t>
            </w:r>
            <w:r w:rsidRPr="00685851">
              <w:rPr>
                <w:rFonts w:ascii="Arial" w:hAnsi="Arial" w:cs="Arial"/>
                <w:bCs/>
                <w:color w:val="000000"/>
                <w:sz w:val="18"/>
                <w:szCs w:val="18"/>
                <w:lang w:val="en-US"/>
              </w:rPr>
              <w:br/>
              <w:t>(imputation quality)</w:t>
            </w:r>
          </w:p>
        </w:tc>
        <w:tc>
          <w:tcPr>
            <w:tcW w:w="1701" w:type="dxa"/>
            <w:tcBorders>
              <w:top w:val="single" w:sz="4" w:space="0" w:color="auto"/>
              <w:bottom w:val="single" w:sz="4" w:space="0" w:color="auto"/>
            </w:tcBorders>
            <w:shd w:val="clear" w:color="auto" w:fill="BDD6EE" w:themeFill="accent1" w:themeFillTint="66"/>
            <w:vAlign w:val="bottom"/>
          </w:tcPr>
          <w:p w14:paraId="111B5776" w14:textId="77777777" w:rsidR="0001057B" w:rsidRPr="00685851" w:rsidRDefault="0001057B" w:rsidP="00685851">
            <w:pPr>
              <w:spacing w:after="0" w:line="240" w:lineRule="auto"/>
              <w:rPr>
                <w:rFonts w:ascii="Arial" w:hAnsi="Arial" w:cs="Arial"/>
                <w:bCs/>
                <w:color w:val="000000"/>
                <w:sz w:val="18"/>
                <w:szCs w:val="18"/>
              </w:rPr>
            </w:pPr>
            <w:r w:rsidRPr="00685851">
              <w:rPr>
                <w:rFonts w:ascii="Arial" w:hAnsi="Arial" w:cs="Arial"/>
                <w:bCs/>
                <w:color w:val="000000"/>
                <w:sz w:val="18"/>
                <w:szCs w:val="18"/>
              </w:rPr>
              <w:t>Imputation reference panel</w:t>
            </w:r>
          </w:p>
        </w:tc>
        <w:tc>
          <w:tcPr>
            <w:tcW w:w="1276" w:type="dxa"/>
            <w:tcBorders>
              <w:top w:val="single" w:sz="4" w:space="0" w:color="auto"/>
              <w:bottom w:val="single" w:sz="4" w:space="0" w:color="auto"/>
            </w:tcBorders>
            <w:shd w:val="clear" w:color="auto" w:fill="BDD6EE" w:themeFill="accent1" w:themeFillTint="66"/>
            <w:vAlign w:val="bottom"/>
          </w:tcPr>
          <w:p w14:paraId="60F706DB" w14:textId="77777777" w:rsidR="0001057B" w:rsidRPr="00685851" w:rsidRDefault="0001057B" w:rsidP="00F04804">
            <w:pPr>
              <w:spacing w:after="0" w:line="240" w:lineRule="auto"/>
              <w:rPr>
                <w:rFonts w:ascii="Arial" w:hAnsi="Arial" w:cs="Arial"/>
                <w:bCs/>
                <w:color w:val="000000"/>
                <w:sz w:val="18"/>
                <w:szCs w:val="18"/>
              </w:rPr>
            </w:pPr>
            <w:r w:rsidRPr="00685851">
              <w:rPr>
                <w:rFonts w:ascii="Arial" w:hAnsi="Arial" w:cs="Arial"/>
                <w:bCs/>
                <w:color w:val="000000"/>
                <w:sz w:val="18"/>
                <w:szCs w:val="18"/>
              </w:rPr>
              <w:t>Variant QC after imputation</w:t>
            </w:r>
          </w:p>
        </w:tc>
        <w:tc>
          <w:tcPr>
            <w:tcW w:w="1270"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7FCEFA36" w14:textId="77777777" w:rsidR="0001057B" w:rsidRPr="00685851" w:rsidRDefault="0001057B" w:rsidP="00F04804">
            <w:pPr>
              <w:autoSpaceDE w:val="0"/>
              <w:autoSpaceDN w:val="0"/>
              <w:adjustRightInd w:val="0"/>
              <w:spacing w:after="0" w:line="240" w:lineRule="auto"/>
              <w:rPr>
                <w:rFonts w:ascii="Arial" w:hAnsi="Arial" w:cs="Arial"/>
                <w:bCs/>
                <w:color w:val="000000"/>
                <w:sz w:val="18"/>
                <w:szCs w:val="18"/>
                <w:lang w:val="en-US"/>
              </w:rPr>
            </w:pPr>
            <w:r w:rsidRPr="00685851">
              <w:rPr>
                <w:rFonts w:ascii="Arial" w:hAnsi="Arial" w:cs="Arial"/>
                <w:bCs/>
                <w:color w:val="000000"/>
                <w:sz w:val="18"/>
                <w:szCs w:val="18"/>
                <w:lang w:val="en-US"/>
              </w:rPr>
              <w:t>Handling of population stratification</w:t>
            </w:r>
          </w:p>
        </w:tc>
      </w:tr>
      <w:tr w:rsidR="0001057B" w:rsidRPr="007E4C2C" w14:paraId="4FEFC894" w14:textId="77777777" w:rsidTr="0001057B">
        <w:trPr>
          <w:jc w:val="center"/>
        </w:trPr>
        <w:tc>
          <w:tcPr>
            <w:tcW w:w="1276" w:type="dxa"/>
            <w:tcBorders>
              <w:top w:val="single" w:sz="4" w:space="0" w:color="auto"/>
            </w:tcBorders>
            <w:shd w:val="clear" w:color="auto" w:fill="D9D9D9" w:themeFill="background1" w:themeFillShade="D9"/>
            <w:vAlign w:val="center"/>
          </w:tcPr>
          <w:p w14:paraId="4350B81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ADVANCE</w:t>
            </w:r>
          </w:p>
        </w:tc>
        <w:tc>
          <w:tcPr>
            <w:tcW w:w="2693" w:type="dxa"/>
            <w:tcBorders>
              <w:top w:val="single" w:sz="4" w:space="0" w:color="auto"/>
            </w:tcBorders>
            <w:shd w:val="clear" w:color="auto" w:fill="D9D9D9" w:themeFill="background1" w:themeFillShade="D9"/>
            <w:vAlign w:val="center"/>
          </w:tcPr>
          <w:p w14:paraId="0AB2636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Ethnic outliers, sex mismatches, </w:t>
            </w:r>
            <w:r>
              <w:rPr>
                <w:rFonts w:ascii="Arial" w:hAnsi="Arial" w:cs="Arial"/>
                <w:color w:val="000000"/>
                <w:sz w:val="18"/>
                <w:szCs w:val="18"/>
                <w:lang w:val="en-US"/>
              </w:rPr>
              <w:t>CR</w:t>
            </w:r>
            <w:r w:rsidRPr="005371F2">
              <w:rPr>
                <w:rFonts w:ascii="Arial" w:hAnsi="Arial" w:cs="Arial"/>
                <w:color w:val="000000"/>
                <w:sz w:val="18"/>
                <w:szCs w:val="18"/>
                <w:lang w:val="en-US"/>
              </w:rPr>
              <w:t xml:space="preserve"> &lt; 95%</w:t>
            </w:r>
          </w:p>
        </w:tc>
        <w:tc>
          <w:tcPr>
            <w:tcW w:w="1560" w:type="dxa"/>
            <w:tcBorders>
              <w:top w:val="single" w:sz="4" w:space="0" w:color="auto"/>
            </w:tcBorders>
            <w:shd w:val="clear" w:color="auto" w:fill="D9D9D9" w:themeFill="background1" w:themeFillShade="D9"/>
            <w:vAlign w:val="center"/>
          </w:tcPr>
          <w:p w14:paraId="789C509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5.0,</w:t>
            </w:r>
          </w:p>
          <w:p w14:paraId="1FCC997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6.0,</w:t>
            </w:r>
          </w:p>
          <w:p w14:paraId="0727E6D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UKB</w:t>
            </w:r>
          </w:p>
        </w:tc>
        <w:tc>
          <w:tcPr>
            <w:tcW w:w="992" w:type="dxa"/>
            <w:tcBorders>
              <w:top w:val="single" w:sz="4" w:space="0" w:color="auto"/>
            </w:tcBorders>
            <w:shd w:val="clear" w:color="auto" w:fill="D9D9D9" w:themeFill="background1" w:themeFillShade="D9"/>
            <w:vAlign w:val="center"/>
          </w:tcPr>
          <w:p w14:paraId="20D0591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power tools 1.17.0</w:t>
            </w:r>
          </w:p>
        </w:tc>
        <w:tc>
          <w:tcPr>
            <w:tcW w:w="2268" w:type="dxa"/>
            <w:tcBorders>
              <w:top w:val="single" w:sz="4" w:space="0" w:color="auto"/>
            </w:tcBorders>
            <w:shd w:val="clear" w:color="auto" w:fill="D9D9D9" w:themeFill="background1" w:themeFillShade="D9"/>
            <w:vAlign w:val="center"/>
          </w:tcPr>
          <w:p w14:paraId="73F6B905" w14:textId="77777777" w:rsidR="0001057B" w:rsidRPr="005371F2" w:rsidRDefault="0001057B" w:rsidP="0001057B">
            <w:pPr>
              <w:autoSpaceDE w:val="0"/>
              <w:autoSpaceDN w:val="0"/>
              <w:adjustRightInd w:val="0"/>
              <w:spacing w:after="0" w:line="240" w:lineRule="auto"/>
              <w:ind w:left="-20"/>
              <w:rPr>
                <w:rFonts w:ascii="Arial" w:hAnsi="Arial" w:cs="Arial"/>
                <w:color w:val="000000"/>
                <w:sz w:val="18"/>
                <w:szCs w:val="18"/>
                <w:lang w:val="en-US"/>
              </w:rPr>
            </w:pPr>
            <w:r w:rsidRPr="005371F2">
              <w:rPr>
                <w:rFonts w:ascii="Arial" w:hAnsi="Arial" w:cs="Arial"/>
                <w:color w:val="000000"/>
                <w:sz w:val="18"/>
                <w:szCs w:val="18"/>
                <w:lang w:val="en-US"/>
              </w:rPr>
              <w:t xml:space="preserve">avg_het &lt;23% or &gt;30%; </w:t>
            </w:r>
            <w:r>
              <w:rPr>
                <w:rFonts w:ascii="Arial" w:hAnsi="Arial" w:cs="Arial"/>
                <w:color w:val="000000"/>
                <w:sz w:val="18"/>
                <w:szCs w:val="18"/>
                <w:lang w:val="en-US"/>
              </w:rPr>
              <w:t>CR</w:t>
            </w:r>
            <w:r w:rsidRPr="005371F2">
              <w:rPr>
                <w:rFonts w:ascii="Arial" w:hAnsi="Arial" w:cs="Arial"/>
                <w:color w:val="000000"/>
                <w:sz w:val="18"/>
                <w:szCs w:val="18"/>
                <w:lang w:val="en-US"/>
              </w:rPr>
              <w:t xml:space="preserve"> &lt;97%; MAF &lt;1%; snp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 HWE &lt;0.001;</w:t>
            </w:r>
          </w:p>
        </w:tc>
        <w:tc>
          <w:tcPr>
            <w:tcW w:w="992" w:type="dxa"/>
            <w:tcBorders>
              <w:top w:val="single" w:sz="4" w:space="0" w:color="auto"/>
            </w:tcBorders>
            <w:shd w:val="clear" w:color="auto" w:fill="D9D9D9" w:themeFill="background1" w:themeFillShade="D9"/>
            <w:vAlign w:val="center"/>
          </w:tcPr>
          <w:p w14:paraId="5B24E3B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w:t>
            </w:r>
            <w:r>
              <w:rPr>
                <w:rFonts w:ascii="Arial" w:hAnsi="Arial" w:cs="Arial"/>
                <w:color w:val="000000"/>
                <w:sz w:val="18"/>
                <w:szCs w:val="18"/>
                <w:lang w:val="en-US"/>
              </w:rPr>
              <w:t>.5.0</w:t>
            </w:r>
            <w:r w:rsidRPr="005371F2">
              <w:rPr>
                <w:rFonts w:ascii="Arial" w:hAnsi="Arial" w:cs="Arial"/>
                <w:color w:val="000000"/>
                <w:sz w:val="18"/>
                <w:szCs w:val="18"/>
                <w:lang w:val="en-US"/>
              </w:rPr>
              <w:t>: 363062;</w:t>
            </w:r>
          </w:p>
          <w:p w14:paraId="3140905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w:t>
            </w:r>
            <w:r>
              <w:rPr>
                <w:rFonts w:ascii="Arial" w:hAnsi="Arial" w:cs="Arial"/>
                <w:color w:val="000000"/>
                <w:sz w:val="18"/>
                <w:szCs w:val="18"/>
                <w:lang w:val="en-US"/>
              </w:rPr>
              <w:t>.</w:t>
            </w:r>
            <w:r w:rsidRPr="005371F2">
              <w:rPr>
                <w:rFonts w:ascii="Arial" w:hAnsi="Arial" w:cs="Arial"/>
                <w:color w:val="000000"/>
                <w:sz w:val="18"/>
                <w:szCs w:val="18"/>
                <w:lang w:val="en-US"/>
              </w:rPr>
              <w:t>6.0: 702628;</w:t>
            </w:r>
          </w:p>
          <w:p w14:paraId="14EF120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w:t>
            </w:r>
            <w:r>
              <w:rPr>
                <w:rFonts w:ascii="Arial" w:hAnsi="Arial" w:cs="Arial"/>
                <w:color w:val="000000"/>
                <w:sz w:val="18"/>
                <w:szCs w:val="18"/>
                <w:lang w:val="en-US"/>
              </w:rPr>
              <w:t>.</w:t>
            </w:r>
            <w:r w:rsidRPr="005371F2">
              <w:rPr>
                <w:rFonts w:ascii="Arial" w:hAnsi="Arial" w:cs="Arial"/>
                <w:color w:val="000000"/>
                <w:sz w:val="18"/>
                <w:szCs w:val="18"/>
                <w:lang w:val="en-US"/>
              </w:rPr>
              <w:t>UKB</w:t>
            </w:r>
            <w:r>
              <w:rPr>
                <w:rFonts w:ascii="Arial" w:hAnsi="Arial" w:cs="Arial"/>
                <w:color w:val="000000"/>
                <w:sz w:val="18"/>
                <w:szCs w:val="18"/>
                <w:lang w:val="en-US"/>
              </w:rPr>
              <w:t>:759238</w:t>
            </w:r>
          </w:p>
        </w:tc>
        <w:tc>
          <w:tcPr>
            <w:tcW w:w="1829" w:type="dxa"/>
            <w:tcBorders>
              <w:top w:val="single" w:sz="4" w:space="0" w:color="auto"/>
            </w:tcBorders>
            <w:shd w:val="clear" w:color="auto" w:fill="D9D9D9" w:themeFill="background1" w:themeFillShade="D9"/>
            <w:vAlign w:val="center"/>
          </w:tcPr>
          <w:p w14:paraId="32948DDC" w14:textId="77777777" w:rsidR="0001057B" w:rsidRPr="005371F2" w:rsidRDefault="0001057B" w:rsidP="0001057B">
            <w:pPr>
              <w:rPr>
                <w:rFonts w:ascii="Arial" w:hAnsi="Arial" w:cs="Arial"/>
                <w:color w:val="000000"/>
                <w:sz w:val="18"/>
                <w:szCs w:val="18"/>
                <w:lang w:val="it-IT"/>
              </w:rPr>
            </w:pPr>
            <w:r w:rsidRPr="005371F2">
              <w:rPr>
                <w:rFonts w:ascii="Arial" w:hAnsi="Arial" w:cs="Arial"/>
                <w:color w:val="000000"/>
                <w:sz w:val="18"/>
                <w:szCs w:val="18"/>
                <w:lang w:val="it-IT"/>
              </w:rPr>
              <w:t>SHAPEIT2; IMPUTE2 (IMPUTE2 Info Score)</w:t>
            </w:r>
          </w:p>
        </w:tc>
        <w:tc>
          <w:tcPr>
            <w:tcW w:w="1701" w:type="dxa"/>
            <w:tcBorders>
              <w:top w:val="single" w:sz="4" w:space="0" w:color="auto"/>
            </w:tcBorders>
            <w:shd w:val="clear" w:color="auto" w:fill="D9D9D9" w:themeFill="background1" w:themeFillShade="D9"/>
            <w:vAlign w:val="center"/>
          </w:tcPr>
          <w:p w14:paraId="0813048C" w14:textId="77777777" w:rsidR="0001057B" w:rsidRPr="007E4C2C" w:rsidRDefault="0001057B" w:rsidP="0001057B">
            <w:pPr>
              <w:rPr>
                <w:rFonts w:ascii="Arial" w:hAnsi="Arial" w:cs="Arial"/>
                <w:color w:val="000000"/>
                <w:sz w:val="18"/>
                <w:szCs w:val="18"/>
                <w:lang w:val="en-US"/>
              </w:rPr>
            </w:pPr>
            <w:r w:rsidRPr="007E4C2C">
              <w:rPr>
                <w:rFonts w:ascii="Arial" w:hAnsi="Arial" w:cs="Arial"/>
                <w:color w:val="000000"/>
                <w:sz w:val="18"/>
                <w:szCs w:val="18"/>
                <w:lang w:val="en-US"/>
              </w:rPr>
              <w:t>1000G Phase 3 Version 5</w:t>
            </w:r>
          </w:p>
        </w:tc>
        <w:tc>
          <w:tcPr>
            <w:tcW w:w="1276" w:type="dxa"/>
            <w:tcBorders>
              <w:top w:val="single" w:sz="4" w:space="0" w:color="auto"/>
            </w:tcBorders>
            <w:shd w:val="clear" w:color="auto" w:fill="D9D9D9" w:themeFill="background1" w:themeFillShade="D9"/>
            <w:vAlign w:val="center"/>
          </w:tcPr>
          <w:p w14:paraId="5CA2173F" w14:textId="77777777" w:rsidR="0001057B" w:rsidRPr="007E4C2C" w:rsidRDefault="0001057B" w:rsidP="0001057B">
            <w:pPr>
              <w:rPr>
                <w:rFonts w:ascii="Arial" w:hAnsi="Arial" w:cs="Arial"/>
                <w:color w:val="000000"/>
                <w:sz w:val="18"/>
                <w:szCs w:val="18"/>
                <w:lang w:val="en-US"/>
              </w:rPr>
            </w:pPr>
            <w:r w:rsidRPr="007E4C2C">
              <w:rPr>
                <w:rFonts w:ascii="Arial" w:hAnsi="Arial" w:cs="Arial"/>
                <w:color w:val="000000"/>
                <w:sz w:val="18"/>
                <w:szCs w:val="18"/>
                <w:lang w:val="en-US"/>
              </w:rPr>
              <w:t>MAF&lt;0.005; info &lt;0.3</w:t>
            </w:r>
          </w:p>
        </w:tc>
        <w:tc>
          <w:tcPr>
            <w:tcW w:w="1270" w:type="dxa"/>
            <w:tcBorders>
              <w:top w:val="single" w:sz="4" w:space="0" w:color="auto"/>
            </w:tcBorders>
            <w:shd w:val="clear" w:color="auto" w:fill="D9D9D9" w:themeFill="background1" w:themeFillShade="D9"/>
            <w:vAlign w:val="center"/>
          </w:tcPr>
          <w:p w14:paraId="5162A20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w:t>
            </w:r>
            <w:r>
              <w:rPr>
                <w:rFonts w:ascii="Arial" w:hAnsi="Arial" w:cs="Arial"/>
                <w:color w:val="000000"/>
                <w:sz w:val="18"/>
                <w:szCs w:val="18"/>
                <w:lang w:val="en-US"/>
              </w:rPr>
              <w:t>C</w:t>
            </w:r>
            <w:r w:rsidRPr="005371F2">
              <w:rPr>
                <w:rFonts w:ascii="Arial" w:hAnsi="Arial" w:cs="Arial"/>
                <w:color w:val="000000"/>
                <w:sz w:val="18"/>
                <w:szCs w:val="18"/>
                <w:lang w:val="en-US"/>
              </w:rPr>
              <w:t> 1 and 2</w:t>
            </w:r>
          </w:p>
        </w:tc>
      </w:tr>
      <w:tr w:rsidR="0001057B" w:rsidRPr="005371F2" w14:paraId="0FC3887C" w14:textId="77777777" w:rsidTr="0001057B">
        <w:trPr>
          <w:jc w:val="center"/>
        </w:trPr>
        <w:tc>
          <w:tcPr>
            <w:tcW w:w="1276" w:type="dxa"/>
            <w:vAlign w:val="center"/>
          </w:tcPr>
          <w:p w14:paraId="3CEEB94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AFTER EU</w:t>
            </w:r>
          </w:p>
        </w:tc>
        <w:tc>
          <w:tcPr>
            <w:tcW w:w="2693" w:type="dxa"/>
            <w:vAlign w:val="center"/>
          </w:tcPr>
          <w:p w14:paraId="2D466E4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sample </w:t>
            </w:r>
            <w:r>
              <w:rPr>
                <w:rFonts w:ascii="Arial" w:hAnsi="Arial" w:cs="Arial"/>
                <w:color w:val="000000"/>
                <w:sz w:val="18"/>
                <w:szCs w:val="18"/>
                <w:lang w:val="en-US"/>
              </w:rPr>
              <w:t>CR</w:t>
            </w:r>
            <w:r w:rsidRPr="005371F2">
              <w:rPr>
                <w:rFonts w:ascii="Arial" w:hAnsi="Arial" w:cs="Arial"/>
                <w:color w:val="000000"/>
                <w:sz w:val="18"/>
                <w:szCs w:val="18"/>
                <w:lang w:val="en-US"/>
              </w:rPr>
              <w:t xml:space="preserve"> &lt;98%, extreme heterozygosity, sex mismatches, non-European ancestry, cryptic relatedness, duplicates</w:t>
            </w:r>
          </w:p>
        </w:tc>
        <w:tc>
          <w:tcPr>
            <w:tcW w:w="1560" w:type="dxa"/>
            <w:vAlign w:val="center"/>
          </w:tcPr>
          <w:p w14:paraId="0202387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HumanCore Exome v1.0/v1.1</w:t>
            </w:r>
          </w:p>
        </w:tc>
        <w:tc>
          <w:tcPr>
            <w:tcW w:w="992" w:type="dxa"/>
            <w:vAlign w:val="center"/>
          </w:tcPr>
          <w:p w14:paraId="2A3D2BC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Genome Studio</w:t>
            </w:r>
          </w:p>
        </w:tc>
        <w:tc>
          <w:tcPr>
            <w:tcW w:w="2268" w:type="dxa"/>
            <w:vAlign w:val="center"/>
          </w:tcPr>
          <w:p w14:paraId="07C58FD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CR≤95%, HWE&lt;</w:t>
            </w:r>
            <w:r w:rsidRPr="005371F2">
              <w:rPr>
                <w:rFonts w:ascii="Arial" w:hAnsi="Arial" w:cs="Arial"/>
                <w:color w:val="000000"/>
                <w:sz w:val="18"/>
                <w:szCs w:val="18"/>
                <w:lang w:val="en-US"/>
              </w:rPr>
              <w:t>10e</w:t>
            </w:r>
            <w:r w:rsidRPr="0061788C">
              <w:rPr>
                <w:rFonts w:ascii="Arial" w:hAnsi="Arial" w:cs="Arial"/>
                <w:color w:val="000000"/>
                <w:sz w:val="18"/>
                <w:szCs w:val="18"/>
                <w:lang w:val="en-US"/>
              </w:rPr>
              <w:t>-6</w:t>
            </w:r>
            <w:r w:rsidRPr="005371F2">
              <w:rPr>
                <w:rFonts w:ascii="Arial" w:hAnsi="Arial" w:cs="Arial"/>
                <w:color w:val="000000"/>
                <w:sz w:val="18"/>
                <w:szCs w:val="18"/>
                <w:lang w:val="en-US"/>
              </w:rPr>
              <w:t>, INDEL</w:t>
            </w:r>
            <w:r>
              <w:rPr>
                <w:rFonts w:ascii="Arial" w:hAnsi="Arial" w:cs="Arial"/>
                <w:color w:val="000000"/>
                <w:sz w:val="18"/>
                <w:szCs w:val="18"/>
                <w:lang w:val="en-US"/>
              </w:rPr>
              <w:t>s</w:t>
            </w:r>
            <w:r w:rsidRPr="005371F2">
              <w:rPr>
                <w:rFonts w:ascii="Arial" w:hAnsi="Arial" w:cs="Arial"/>
                <w:color w:val="000000"/>
                <w:sz w:val="18"/>
                <w:szCs w:val="18"/>
                <w:lang w:val="en-US"/>
              </w:rPr>
              <w:t xml:space="preserve">, non 1KG variants, </w:t>
            </w:r>
            <w:r>
              <w:rPr>
                <w:rFonts w:ascii="Arial" w:hAnsi="Arial" w:cs="Arial"/>
                <w:color w:val="000000"/>
                <w:sz w:val="18"/>
                <w:szCs w:val="18"/>
                <w:lang w:val="en-US"/>
              </w:rPr>
              <w:t>40% MAF difference with 1000G, d</w:t>
            </w:r>
            <w:r w:rsidRPr="005371F2">
              <w:rPr>
                <w:rFonts w:ascii="Arial" w:hAnsi="Arial" w:cs="Arial"/>
                <w:color w:val="000000"/>
                <w:sz w:val="18"/>
                <w:szCs w:val="18"/>
                <w:lang w:val="en-US"/>
              </w:rPr>
              <w:t>uplicate SNPs</w:t>
            </w:r>
          </w:p>
        </w:tc>
        <w:tc>
          <w:tcPr>
            <w:tcW w:w="992" w:type="dxa"/>
            <w:vAlign w:val="center"/>
          </w:tcPr>
          <w:p w14:paraId="412C296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318207</w:t>
            </w:r>
          </w:p>
        </w:tc>
        <w:tc>
          <w:tcPr>
            <w:tcW w:w="1829" w:type="dxa"/>
            <w:vAlign w:val="center"/>
          </w:tcPr>
          <w:p w14:paraId="563E6A9A"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v2 r837; Minimac3/Minimac3 version 2.0.1 (r2)</w:t>
            </w:r>
          </w:p>
        </w:tc>
        <w:tc>
          <w:tcPr>
            <w:tcW w:w="1701" w:type="dxa"/>
            <w:vAlign w:val="center"/>
          </w:tcPr>
          <w:p w14:paraId="338C89A3" w14:textId="575257DD"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3 Version 5 (October 2015)</w:t>
            </w:r>
          </w:p>
        </w:tc>
        <w:tc>
          <w:tcPr>
            <w:tcW w:w="1276" w:type="dxa"/>
            <w:vAlign w:val="center"/>
          </w:tcPr>
          <w:p w14:paraId="3188F713"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270" w:type="dxa"/>
            <w:vAlign w:val="center"/>
          </w:tcPr>
          <w:p w14:paraId="6E7B6AF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First 5 PCs</w:t>
            </w:r>
          </w:p>
        </w:tc>
      </w:tr>
      <w:tr w:rsidR="0001057B" w:rsidRPr="00476738" w14:paraId="681DA1AF" w14:textId="77777777" w:rsidTr="0001057B">
        <w:trPr>
          <w:jc w:val="center"/>
        </w:trPr>
        <w:tc>
          <w:tcPr>
            <w:tcW w:w="1276" w:type="dxa"/>
            <w:shd w:val="clear" w:color="auto" w:fill="D9D9D9" w:themeFill="background1" w:themeFillShade="D9"/>
            <w:vAlign w:val="center"/>
          </w:tcPr>
          <w:p w14:paraId="5B57AF2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ARIC EA</w:t>
            </w:r>
          </w:p>
        </w:tc>
        <w:tc>
          <w:tcPr>
            <w:tcW w:w="2693" w:type="dxa"/>
            <w:shd w:val="clear" w:color="auto" w:fill="D9D9D9" w:themeFill="background1" w:themeFillShade="D9"/>
            <w:vAlign w:val="center"/>
          </w:tcPr>
          <w:p w14:paraId="4DE818A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658 individuals</w:t>
            </w:r>
            <w:r>
              <w:rPr>
                <w:rFonts w:ascii="Arial" w:hAnsi="Arial" w:cs="Arial"/>
                <w:color w:val="000000"/>
                <w:sz w:val="18"/>
                <w:szCs w:val="18"/>
                <w:lang w:val="en-US"/>
              </w:rPr>
              <w:t xml:space="preserve">: </w:t>
            </w:r>
            <w:r w:rsidRPr="005371F2">
              <w:rPr>
                <w:rFonts w:ascii="Arial" w:hAnsi="Arial" w:cs="Arial"/>
                <w:color w:val="000000"/>
                <w:sz w:val="18"/>
                <w:szCs w:val="18"/>
                <w:lang w:val="en-US"/>
              </w:rPr>
              <w:t xml:space="preserve">discrepancies with previous genotypes, </w:t>
            </w:r>
            <w:r>
              <w:rPr>
                <w:rFonts w:ascii="Arial" w:hAnsi="Arial" w:cs="Arial"/>
                <w:color w:val="000000"/>
                <w:sz w:val="18"/>
                <w:szCs w:val="18"/>
                <w:lang w:val="en-US"/>
              </w:rPr>
              <w:t>sex mismatch</w:t>
            </w:r>
            <w:r w:rsidRPr="005371F2">
              <w:rPr>
                <w:rFonts w:ascii="Arial" w:hAnsi="Arial" w:cs="Arial"/>
                <w:color w:val="000000"/>
                <w:sz w:val="18"/>
                <w:szCs w:val="18"/>
                <w:lang w:val="en-US"/>
              </w:rPr>
              <w:t xml:space="preserve">, </w:t>
            </w:r>
            <w:r>
              <w:rPr>
                <w:rFonts w:ascii="Arial" w:hAnsi="Arial" w:cs="Arial"/>
                <w:color w:val="000000"/>
                <w:sz w:val="18"/>
                <w:szCs w:val="18"/>
                <w:lang w:val="en-US"/>
              </w:rPr>
              <w:t>relatives</w:t>
            </w:r>
            <w:r w:rsidRPr="005371F2">
              <w:rPr>
                <w:rFonts w:ascii="Arial" w:hAnsi="Arial" w:cs="Arial"/>
                <w:color w:val="000000"/>
                <w:sz w:val="18"/>
                <w:szCs w:val="18"/>
                <w:lang w:val="en-US"/>
              </w:rPr>
              <w:t>, outlier</w:t>
            </w:r>
            <w:r>
              <w:rPr>
                <w:rFonts w:ascii="Arial" w:hAnsi="Arial" w:cs="Arial"/>
                <w:color w:val="000000"/>
                <w:sz w:val="18"/>
                <w:szCs w:val="18"/>
                <w:lang w:val="en-US"/>
              </w:rPr>
              <w:t>s</w:t>
            </w:r>
            <w:r w:rsidRPr="005371F2">
              <w:rPr>
                <w:rFonts w:ascii="Arial" w:hAnsi="Arial" w:cs="Arial"/>
                <w:color w:val="000000"/>
                <w:sz w:val="18"/>
                <w:szCs w:val="18"/>
                <w:lang w:val="en-US"/>
              </w:rPr>
              <w:t xml:space="preserve"> </w:t>
            </w:r>
            <w:r>
              <w:rPr>
                <w:rFonts w:ascii="Arial" w:hAnsi="Arial" w:cs="Arial"/>
                <w:color w:val="000000"/>
                <w:sz w:val="18"/>
                <w:szCs w:val="18"/>
                <w:lang w:val="en-US"/>
              </w:rPr>
              <w:t>(</w:t>
            </w:r>
            <w:r w:rsidRPr="005371F2">
              <w:rPr>
                <w:rFonts w:ascii="Arial" w:hAnsi="Arial" w:cs="Arial"/>
                <w:color w:val="000000"/>
                <w:sz w:val="18"/>
                <w:szCs w:val="18"/>
                <w:lang w:val="en-US"/>
              </w:rPr>
              <w:t xml:space="preserve">measures of average DST or &gt;8 SD away on any of the first 10 </w:t>
            </w:r>
            <w:r>
              <w:rPr>
                <w:rFonts w:ascii="Arial" w:hAnsi="Arial" w:cs="Arial"/>
                <w:color w:val="000000"/>
                <w:sz w:val="18"/>
                <w:szCs w:val="18"/>
                <w:lang w:val="en-US"/>
              </w:rPr>
              <w:t>PCs)</w:t>
            </w:r>
          </w:p>
        </w:tc>
        <w:tc>
          <w:tcPr>
            <w:tcW w:w="1560" w:type="dxa"/>
            <w:shd w:val="clear" w:color="auto" w:fill="D9D9D9" w:themeFill="background1" w:themeFillShade="D9"/>
            <w:vAlign w:val="center"/>
          </w:tcPr>
          <w:p w14:paraId="5C07A20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6.0</w:t>
            </w:r>
          </w:p>
        </w:tc>
        <w:tc>
          <w:tcPr>
            <w:tcW w:w="992" w:type="dxa"/>
            <w:shd w:val="clear" w:color="auto" w:fill="D9D9D9" w:themeFill="background1" w:themeFillShade="D9"/>
            <w:vAlign w:val="center"/>
          </w:tcPr>
          <w:p w14:paraId="2BE0BA9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w:t>
            </w:r>
          </w:p>
        </w:tc>
        <w:tc>
          <w:tcPr>
            <w:tcW w:w="2268" w:type="dxa"/>
            <w:shd w:val="clear" w:color="auto" w:fill="D9D9D9" w:themeFill="background1" w:themeFillShade="D9"/>
            <w:vAlign w:val="center"/>
          </w:tcPr>
          <w:p w14:paraId="6762317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&lt;95%, MAF&lt;0.5%, pHWE&lt;10e-5</w:t>
            </w:r>
          </w:p>
        </w:tc>
        <w:tc>
          <w:tcPr>
            <w:tcW w:w="992" w:type="dxa"/>
            <w:shd w:val="clear" w:color="auto" w:fill="D9D9D9" w:themeFill="background1" w:themeFillShade="D9"/>
            <w:vAlign w:val="center"/>
          </w:tcPr>
          <w:p w14:paraId="3D1014B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682749</w:t>
            </w:r>
          </w:p>
        </w:tc>
        <w:tc>
          <w:tcPr>
            <w:tcW w:w="1829" w:type="dxa"/>
            <w:shd w:val="clear" w:color="auto" w:fill="D9D9D9" w:themeFill="background1" w:themeFillShade="D9"/>
            <w:vAlign w:val="center"/>
          </w:tcPr>
          <w:p w14:paraId="2CF8A28E"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IMPUTE2 (IMPUTE2 Info)</w:t>
            </w:r>
          </w:p>
        </w:tc>
        <w:tc>
          <w:tcPr>
            <w:tcW w:w="1701" w:type="dxa"/>
            <w:shd w:val="clear" w:color="auto" w:fill="D9D9D9" w:themeFill="background1" w:themeFillShade="D9"/>
            <w:vAlign w:val="center"/>
          </w:tcPr>
          <w:p w14:paraId="5980D9C8"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276" w:type="dxa"/>
            <w:shd w:val="clear" w:color="auto" w:fill="D9D9D9" w:themeFill="background1" w:themeFillShade="D9"/>
            <w:vAlign w:val="center"/>
          </w:tcPr>
          <w:p w14:paraId="3F2FB056"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270" w:type="dxa"/>
            <w:shd w:val="clear" w:color="auto" w:fill="D9D9D9" w:themeFill="background1" w:themeFillShade="D9"/>
            <w:vAlign w:val="center"/>
          </w:tcPr>
          <w:p w14:paraId="238CB58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first 10 </w:t>
            </w:r>
            <w:r>
              <w:rPr>
                <w:rFonts w:ascii="Arial" w:hAnsi="Arial" w:cs="Arial"/>
                <w:color w:val="000000"/>
                <w:sz w:val="18"/>
                <w:szCs w:val="18"/>
                <w:lang w:val="en-US"/>
              </w:rPr>
              <w:t>PCs</w:t>
            </w:r>
          </w:p>
        </w:tc>
      </w:tr>
      <w:tr w:rsidR="0001057B" w:rsidRPr="00476738" w14:paraId="5E143981" w14:textId="77777777" w:rsidTr="0001057B">
        <w:trPr>
          <w:jc w:val="center"/>
        </w:trPr>
        <w:tc>
          <w:tcPr>
            <w:tcW w:w="1276" w:type="dxa"/>
            <w:shd w:val="solid" w:color="FFFFFF" w:fill="auto"/>
            <w:vAlign w:val="center"/>
          </w:tcPr>
          <w:p w14:paraId="53D0B10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ARIC AA</w:t>
            </w:r>
          </w:p>
        </w:tc>
        <w:tc>
          <w:tcPr>
            <w:tcW w:w="2693" w:type="dxa"/>
            <w:vAlign w:val="center"/>
          </w:tcPr>
          <w:p w14:paraId="08236BE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336 individuals</w:t>
            </w:r>
            <w:r>
              <w:rPr>
                <w:rFonts w:ascii="Arial" w:hAnsi="Arial" w:cs="Arial"/>
                <w:color w:val="000000"/>
                <w:sz w:val="18"/>
                <w:szCs w:val="18"/>
                <w:lang w:val="en-US"/>
              </w:rPr>
              <w:t xml:space="preserve">: </w:t>
            </w:r>
            <w:r w:rsidRPr="005371F2">
              <w:rPr>
                <w:rFonts w:ascii="Arial" w:hAnsi="Arial" w:cs="Arial"/>
                <w:color w:val="000000"/>
                <w:sz w:val="18"/>
                <w:szCs w:val="18"/>
                <w:lang w:val="en-US"/>
              </w:rPr>
              <w:t xml:space="preserve">discrepancies with previous genotypes, </w:t>
            </w:r>
            <w:r>
              <w:rPr>
                <w:rFonts w:ascii="Arial" w:hAnsi="Arial" w:cs="Arial"/>
                <w:color w:val="000000"/>
                <w:sz w:val="18"/>
                <w:szCs w:val="18"/>
                <w:lang w:val="en-US"/>
              </w:rPr>
              <w:t>sex mismatch</w:t>
            </w:r>
            <w:r w:rsidRPr="005371F2">
              <w:rPr>
                <w:rFonts w:ascii="Arial" w:hAnsi="Arial" w:cs="Arial"/>
                <w:color w:val="000000"/>
                <w:sz w:val="18"/>
                <w:szCs w:val="18"/>
                <w:lang w:val="en-US"/>
              </w:rPr>
              <w:t xml:space="preserve">, </w:t>
            </w:r>
            <w:r>
              <w:rPr>
                <w:rFonts w:ascii="Arial" w:hAnsi="Arial" w:cs="Arial"/>
                <w:color w:val="000000"/>
                <w:sz w:val="18"/>
                <w:szCs w:val="18"/>
                <w:lang w:val="en-US"/>
              </w:rPr>
              <w:t>relatives</w:t>
            </w:r>
            <w:r w:rsidRPr="005371F2">
              <w:rPr>
                <w:rFonts w:ascii="Arial" w:hAnsi="Arial" w:cs="Arial"/>
                <w:color w:val="000000"/>
                <w:sz w:val="18"/>
                <w:szCs w:val="18"/>
                <w:lang w:val="en-US"/>
              </w:rPr>
              <w:t>, outlier</w:t>
            </w:r>
            <w:r>
              <w:rPr>
                <w:rFonts w:ascii="Arial" w:hAnsi="Arial" w:cs="Arial"/>
                <w:color w:val="000000"/>
                <w:sz w:val="18"/>
                <w:szCs w:val="18"/>
                <w:lang w:val="en-US"/>
              </w:rPr>
              <w:t>s</w:t>
            </w:r>
            <w:r w:rsidRPr="005371F2">
              <w:rPr>
                <w:rFonts w:ascii="Arial" w:hAnsi="Arial" w:cs="Arial"/>
                <w:color w:val="000000"/>
                <w:sz w:val="18"/>
                <w:szCs w:val="18"/>
                <w:lang w:val="en-US"/>
              </w:rPr>
              <w:t xml:space="preserve"> </w:t>
            </w:r>
            <w:r>
              <w:rPr>
                <w:rFonts w:ascii="Arial" w:hAnsi="Arial" w:cs="Arial"/>
                <w:color w:val="000000"/>
                <w:sz w:val="18"/>
                <w:szCs w:val="18"/>
                <w:lang w:val="en-US"/>
              </w:rPr>
              <w:t>(</w:t>
            </w:r>
            <w:r w:rsidRPr="005371F2">
              <w:rPr>
                <w:rFonts w:ascii="Arial" w:hAnsi="Arial" w:cs="Arial"/>
                <w:color w:val="000000"/>
                <w:sz w:val="18"/>
                <w:szCs w:val="18"/>
                <w:lang w:val="en-US"/>
              </w:rPr>
              <w:t xml:space="preserve">measures of average DST or &gt;6 SD away on any of the first 10 </w:t>
            </w:r>
            <w:r>
              <w:rPr>
                <w:rFonts w:ascii="Arial" w:hAnsi="Arial" w:cs="Arial"/>
                <w:color w:val="000000"/>
                <w:sz w:val="18"/>
                <w:szCs w:val="18"/>
                <w:lang w:val="en-US"/>
              </w:rPr>
              <w:t>PCs)</w:t>
            </w:r>
          </w:p>
        </w:tc>
        <w:tc>
          <w:tcPr>
            <w:tcW w:w="1560" w:type="dxa"/>
            <w:vAlign w:val="center"/>
          </w:tcPr>
          <w:p w14:paraId="51F0208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6.0</w:t>
            </w:r>
          </w:p>
        </w:tc>
        <w:tc>
          <w:tcPr>
            <w:tcW w:w="992" w:type="dxa"/>
            <w:vAlign w:val="center"/>
          </w:tcPr>
          <w:p w14:paraId="041D25E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w:t>
            </w:r>
          </w:p>
        </w:tc>
        <w:tc>
          <w:tcPr>
            <w:tcW w:w="2268" w:type="dxa"/>
            <w:vAlign w:val="center"/>
          </w:tcPr>
          <w:p w14:paraId="6D42D0B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&lt;95%, MAF&lt;1%, pHWE&lt;10e-5</w:t>
            </w:r>
          </w:p>
        </w:tc>
        <w:tc>
          <w:tcPr>
            <w:tcW w:w="992" w:type="dxa"/>
            <w:vAlign w:val="center"/>
          </w:tcPr>
          <w:p w14:paraId="374F2F7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773,317</w:t>
            </w:r>
          </w:p>
        </w:tc>
        <w:tc>
          <w:tcPr>
            <w:tcW w:w="1829" w:type="dxa"/>
            <w:vAlign w:val="center"/>
          </w:tcPr>
          <w:p w14:paraId="73DBC5DC"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IMPUTE2 (IMPUTE2 Info)</w:t>
            </w:r>
          </w:p>
        </w:tc>
        <w:tc>
          <w:tcPr>
            <w:tcW w:w="1701" w:type="dxa"/>
            <w:vAlign w:val="center"/>
          </w:tcPr>
          <w:p w14:paraId="51427185"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276" w:type="dxa"/>
            <w:vAlign w:val="center"/>
          </w:tcPr>
          <w:p w14:paraId="7D09EB08"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270" w:type="dxa"/>
            <w:vAlign w:val="center"/>
          </w:tcPr>
          <w:p w14:paraId="008A8B7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first 10 </w:t>
            </w:r>
            <w:r>
              <w:rPr>
                <w:rFonts w:ascii="Arial" w:hAnsi="Arial" w:cs="Arial"/>
                <w:color w:val="000000"/>
                <w:sz w:val="18"/>
                <w:szCs w:val="18"/>
                <w:lang w:val="en-US"/>
              </w:rPr>
              <w:t>PC</w:t>
            </w:r>
          </w:p>
        </w:tc>
      </w:tr>
      <w:tr w:rsidR="0001057B" w:rsidRPr="00476738" w14:paraId="71F91B20" w14:textId="77777777" w:rsidTr="0001057B">
        <w:trPr>
          <w:jc w:val="center"/>
        </w:trPr>
        <w:tc>
          <w:tcPr>
            <w:tcW w:w="1276" w:type="dxa"/>
            <w:shd w:val="clear" w:color="auto" w:fill="D9D9D9" w:themeFill="background1" w:themeFillShade="D9"/>
            <w:vAlign w:val="center"/>
          </w:tcPr>
          <w:p w14:paraId="48EEE05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ASPS</w:t>
            </w:r>
          </w:p>
        </w:tc>
        <w:tc>
          <w:tcPr>
            <w:tcW w:w="2693" w:type="dxa"/>
            <w:shd w:val="clear" w:color="auto" w:fill="D9D9D9" w:themeFill="background1" w:themeFillShade="D9"/>
            <w:vAlign w:val="center"/>
          </w:tcPr>
          <w:p w14:paraId="0F20F35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Ethnic outliers; duplicates; gender mismatch; cryptic relatedness; sample </w:t>
            </w:r>
            <w:r>
              <w:rPr>
                <w:rFonts w:ascii="Arial" w:hAnsi="Arial" w:cs="Arial"/>
                <w:color w:val="000000"/>
                <w:sz w:val="18"/>
                <w:szCs w:val="18"/>
                <w:lang w:val="en-US"/>
              </w:rPr>
              <w:t>CR</w:t>
            </w:r>
            <w:r w:rsidRPr="005371F2">
              <w:rPr>
                <w:rFonts w:ascii="Arial" w:hAnsi="Arial" w:cs="Arial"/>
                <w:color w:val="000000"/>
                <w:sz w:val="18"/>
                <w:szCs w:val="18"/>
                <w:lang w:val="en-US"/>
              </w:rPr>
              <w:t xml:space="preserve"> &lt; 98%; excess heterozygosity</w:t>
            </w:r>
          </w:p>
        </w:tc>
        <w:tc>
          <w:tcPr>
            <w:tcW w:w="1560" w:type="dxa"/>
            <w:shd w:val="clear" w:color="auto" w:fill="D9D9D9" w:themeFill="background1" w:themeFillShade="D9"/>
            <w:vAlign w:val="center"/>
          </w:tcPr>
          <w:p w14:paraId="7E246855" w14:textId="1C687495" w:rsidR="0001057B" w:rsidRPr="005371F2" w:rsidRDefault="0001057B" w:rsidP="00356522">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Human610-Quad BeadChip</w:t>
            </w:r>
          </w:p>
        </w:tc>
        <w:tc>
          <w:tcPr>
            <w:tcW w:w="992" w:type="dxa"/>
            <w:shd w:val="clear" w:color="auto" w:fill="D9D9D9" w:themeFill="background1" w:themeFillShade="D9"/>
            <w:vAlign w:val="center"/>
          </w:tcPr>
          <w:p w14:paraId="55C37E4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w:t>
            </w:r>
          </w:p>
        </w:tc>
        <w:tc>
          <w:tcPr>
            <w:tcW w:w="2268" w:type="dxa"/>
            <w:shd w:val="clear" w:color="auto" w:fill="D9D9D9" w:themeFill="background1" w:themeFillShade="D9"/>
            <w:vAlign w:val="center"/>
          </w:tcPr>
          <w:p w14:paraId="47CFB412" w14:textId="73BFCF79" w:rsidR="0001057B" w:rsidRPr="005371F2" w:rsidRDefault="0001057B" w:rsidP="00356522">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00356522">
              <w:rPr>
                <w:rFonts w:ascii="Arial" w:hAnsi="Arial" w:cs="Arial"/>
                <w:color w:val="000000"/>
                <w:sz w:val="18"/>
                <w:szCs w:val="18"/>
                <w:lang w:val="en-US"/>
              </w:rPr>
              <w:t xml:space="preserve">&lt; 98 %; MAF&lt;1%; </w:t>
            </w:r>
            <w:r w:rsidRPr="005371F2">
              <w:rPr>
                <w:rFonts w:ascii="Arial" w:hAnsi="Arial" w:cs="Arial"/>
                <w:color w:val="000000"/>
                <w:sz w:val="18"/>
                <w:szCs w:val="18"/>
                <w:lang w:val="en-US"/>
              </w:rPr>
              <w:t>pHWE &lt; 5×10-6</w:t>
            </w:r>
          </w:p>
        </w:tc>
        <w:tc>
          <w:tcPr>
            <w:tcW w:w="992" w:type="dxa"/>
            <w:shd w:val="clear" w:color="auto" w:fill="D9D9D9" w:themeFill="background1" w:themeFillShade="D9"/>
            <w:vAlign w:val="center"/>
          </w:tcPr>
          <w:p w14:paraId="063BE75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566930</w:t>
            </w:r>
          </w:p>
        </w:tc>
        <w:tc>
          <w:tcPr>
            <w:tcW w:w="1829" w:type="dxa"/>
            <w:shd w:val="clear" w:color="auto" w:fill="D9D9D9" w:themeFill="background1" w:themeFillShade="D9"/>
            <w:vAlign w:val="center"/>
          </w:tcPr>
          <w:p w14:paraId="4325BA8F"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IMPUTE2 (IMPUTE2 info)</w:t>
            </w:r>
          </w:p>
        </w:tc>
        <w:tc>
          <w:tcPr>
            <w:tcW w:w="1701" w:type="dxa"/>
            <w:shd w:val="clear" w:color="auto" w:fill="D9D9D9" w:themeFill="background1" w:themeFillShade="D9"/>
            <w:vAlign w:val="center"/>
          </w:tcPr>
          <w:p w14:paraId="1972D944"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276" w:type="dxa"/>
            <w:shd w:val="clear" w:color="auto" w:fill="D9D9D9" w:themeFill="background1" w:themeFillShade="D9"/>
            <w:vAlign w:val="center"/>
          </w:tcPr>
          <w:p w14:paraId="6605CCF5"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270" w:type="dxa"/>
            <w:shd w:val="clear" w:color="auto" w:fill="D9D9D9" w:themeFill="background1" w:themeFillShade="D9"/>
            <w:vAlign w:val="center"/>
          </w:tcPr>
          <w:p w14:paraId="0794C93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First 4 PCs </w:t>
            </w:r>
          </w:p>
        </w:tc>
      </w:tr>
      <w:tr w:rsidR="0001057B" w:rsidRPr="005371F2" w14:paraId="3EAA03B5" w14:textId="77777777" w:rsidTr="0001057B">
        <w:trPr>
          <w:jc w:val="center"/>
        </w:trPr>
        <w:tc>
          <w:tcPr>
            <w:tcW w:w="1276" w:type="dxa"/>
            <w:tcBorders>
              <w:bottom w:val="single" w:sz="4" w:space="0" w:color="auto"/>
            </w:tcBorders>
            <w:shd w:val="solid" w:color="FFFFFF" w:fill="auto"/>
            <w:vAlign w:val="center"/>
          </w:tcPr>
          <w:p w14:paraId="7C927F07" w14:textId="77777777" w:rsidR="0001057B" w:rsidRPr="000F50C9"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Bio</w:t>
            </w:r>
            <w:r w:rsidRPr="000F50C9">
              <w:rPr>
                <w:rFonts w:ascii="Arial" w:hAnsi="Arial" w:cs="Arial"/>
                <w:color w:val="000000"/>
                <w:sz w:val="18"/>
                <w:szCs w:val="18"/>
                <w:lang w:val="en-US"/>
              </w:rPr>
              <w:t>Me</w:t>
            </w:r>
          </w:p>
        </w:tc>
        <w:tc>
          <w:tcPr>
            <w:tcW w:w="2693" w:type="dxa"/>
            <w:tcBorders>
              <w:bottom w:val="single" w:sz="4" w:space="0" w:color="auto"/>
            </w:tcBorders>
            <w:vAlign w:val="center"/>
          </w:tcPr>
          <w:p w14:paraId="1B2018A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none</w:t>
            </w:r>
          </w:p>
        </w:tc>
        <w:tc>
          <w:tcPr>
            <w:tcW w:w="1560" w:type="dxa"/>
            <w:tcBorders>
              <w:bottom w:val="single" w:sz="4" w:space="0" w:color="auto"/>
            </w:tcBorders>
            <w:vAlign w:val="center"/>
          </w:tcPr>
          <w:p w14:paraId="395F2BF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HumanOmniExpressExome-8 v1.0</w:t>
            </w:r>
          </w:p>
        </w:tc>
        <w:tc>
          <w:tcPr>
            <w:tcW w:w="992" w:type="dxa"/>
            <w:tcBorders>
              <w:bottom w:val="single" w:sz="4" w:space="0" w:color="auto"/>
            </w:tcBorders>
            <w:vAlign w:val="center"/>
          </w:tcPr>
          <w:p w14:paraId="1326866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BeadStudio</w:t>
            </w:r>
          </w:p>
        </w:tc>
        <w:tc>
          <w:tcPr>
            <w:tcW w:w="2268" w:type="dxa"/>
            <w:tcBorders>
              <w:bottom w:val="single" w:sz="4" w:space="0" w:color="auto"/>
            </w:tcBorders>
            <w:vAlign w:val="center"/>
          </w:tcPr>
          <w:p w14:paraId="47FE4DC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&lt; 98%</w:t>
            </w:r>
            <w:r>
              <w:rPr>
                <w:rFonts w:ascii="Arial" w:hAnsi="Arial" w:cs="Arial"/>
                <w:color w:val="000000"/>
                <w:sz w:val="18"/>
                <w:szCs w:val="18"/>
                <w:lang w:val="en-US"/>
              </w:rPr>
              <w:t xml:space="preserve">; </w:t>
            </w:r>
            <w:r w:rsidRPr="005371F2">
              <w:rPr>
                <w:rFonts w:ascii="Arial" w:hAnsi="Arial" w:cs="Arial"/>
                <w:color w:val="000000"/>
                <w:sz w:val="18"/>
                <w:szCs w:val="18"/>
                <w:lang w:val="en-US"/>
              </w:rPr>
              <w:t>Heterozygosity</w:t>
            </w:r>
            <w:r>
              <w:rPr>
                <w:rFonts w:ascii="Arial" w:hAnsi="Arial" w:cs="Arial"/>
                <w:color w:val="000000"/>
                <w:sz w:val="18"/>
                <w:szCs w:val="18"/>
                <w:lang w:val="en-US"/>
              </w:rPr>
              <w:t xml:space="preserve"> </w:t>
            </w:r>
            <w:r w:rsidRPr="005371F2">
              <w:rPr>
                <w:rFonts w:ascii="Arial" w:hAnsi="Arial" w:cs="Arial"/>
                <w:color w:val="000000"/>
                <w:sz w:val="18"/>
                <w:szCs w:val="18"/>
                <w:lang w:val="en-US"/>
              </w:rPr>
              <w:t>&lt; -0.1 or &gt; 0.3 for common variants (MAF&gt;1%)</w:t>
            </w:r>
            <w:r>
              <w:rPr>
                <w:rFonts w:ascii="Arial" w:hAnsi="Arial" w:cs="Arial"/>
                <w:color w:val="000000"/>
                <w:sz w:val="18"/>
                <w:szCs w:val="18"/>
                <w:lang w:val="en-US"/>
              </w:rPr>
              <w:t xml:space="preserve">; </w:t>
            </w:r>
            <w:r w:rsidRPr="005371F2">
              <w:rPr>
                <w:rFonts w:ascii="Arial" w:hAnsi="Arial" w:cs="Arial"/>
                <w:color w:val="000000"/>
                <w:sz w:val="18"/>
                <w:szCs w:val="18"/>
                <w:lang w:val="en-US"/>
              </w:rPr>
              <w:t>inbreeding coefficient &lt; 0.4 or &gt; 0.9 for rare variants (MAF&lt;1%)</w:t>
            </w:r>
            <w:r>
              <w:rPr>
                <w:rFonts w:ascii="Arial" w:hAnsi="Arial" w:cs="Arial"/>
                <w:color w:val="000000"/>
                <w:sz w:val="18"/>
                <w:szCs w:val="18"/>
                <w:lang w:val="en-US"/>
              </w:rPr>
              <w:t xml:space="preserve">; </w:t>
            </w:r>
            <w:r w:rsidRPr="005371F2">
              <w:rPr>
                <w:rFonts w:ascii="Arial" w:hAnsi="Arial" w:cs="Arial"/>
                <w:color w:val="000000"/>
                <w:sz w:val="18"/>
                <w:szCs w:val="18"/>
                <w:lang w:val="en-US"/>
              </w:rPr>
              <w:t>MAF = 0</w:t>
            </w:r>
            <w:r>
              <w:rPr>
                <w:rFonts w:ascii="Arial" w:hAnsi="Arial" w:cs="Arial"/>
                <w:color w:val="000000"/>
                <w:sz w:val="18"/>
                <w:szCs w:val="18"/>
                <w:lang w:val="en-US"/>
              </w:rPr>
              <w:t xml:space="preserve">; </w:t>
            </w:r>
            <w:r w:rsidRPr="005371F2">
              <w:rPr>
                <w:rFonts w:ascii="Arial" w:hAnsi="Arial" w:cs="Arial"/>
                <w:color w:val="000000"/>
                <w:sz w:val="18"/>
                <w:szCs w:val="18"/>
                <w:lang w:val="en-US"/>
              </w:rPr>
              <w:t>HWE &lt; 1x10-5</w:t>
            </w:r>
          </w:p>
        </w:tc>
        <w:tc>
          <w:tcPr>
            <w:tcW w:w="992" w:type="dxa"/>
            <w:tcBorders>
              <w:bottom w:val="single" w:sz="4" w:space="0" w:color="auto"/>
            </w:tcBorders>
            <w:vAlign w:val="center"/>
          </w:tcPr>
          <w:p w14:paraId="01FA553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AA/HA: 828,109</w:t>
            </w:r>
          </w:p>
          <w:p w14:paraId="7BA2C50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EA: 688,734</w:t>
            </w:r>
          </w:p>
          <w:p w14:paraId="2E6CF53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p w14:paraId="2508D3F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tc>
        <w:tc>
          <w:tcPr>
            <w:tcW w:w="1829" w:type="dxa"/>
            <w:tcBorders>
              <w:bottom w:val="single" w:sz="4" w:space="0" w:color="auto"/>
            </w:tcBorders>
            <w:vAlign w:val="center"/>
          </w:tcPr>
          <w:p w14:paraId="5EB97EE7" w14:textId="77777777" w:rsidR="0001057B" w:rsidRPr="000F50C9" w:rsidRDefault="0001057B" w:rsidP="0001057B">
            <w:pPr>
              <w:rPr>
                <w:rFonts w:ascii="Arial" w:hAnsi="Arial" w:cs="Arial"/>
                <w:color w:val="000000"/>
                <w:sz w:val="18"/>
                <w:szCs w:val="18"/>
              </w:rPr>
            </w:pPr>
            <w:r w:rsidRPr="000F50C9">
              <w:rPr>
                <w:rFonts w:ascii="Arial" w:hAnsi="Arial" w:cs="Arial"/>
                <w:color w:val="000000"/>
                <w:sz w:val="18"/>
                <w:szCs w:val="18"/>
              </w:rPr>
              <w:t>AA/HA: SHAPEIT2;</w:t>
            </w:r>
            <w:r w:rsidRPr="000F50C9">
              <w:rPr>
                <w:rFonts w:ascii="Arial" w:hAnsi="Arial" w:cs="Arial"/>
                <w:color w:val="000000"/>
                <w:sz w:val="18"/>
                <w:szCs w:val="18"/>
              </w:rPr>
              <w:br/>
              <w:t>IMPUTE2 (IMPUTE2 Info Score)</w:t>
            </w:r>
            <w:r w:rsidRPr="000F50C9">
              <w:rPr>
                <w:rFonts w:ascii="Arial" w:hAnsi="Arial" w:cs="Arial"/>
                <w:color w:val="000000"/>
                <w:sz w:val="18"/>
                <w:szCs w:val="18"/>
              </w:rPr>
              <w:br/>
              <w:t>EA: minimac; Michigan Imputation Server</w:t>
            </w:r>
            <w:r w:rsidRPr="000F50C9">
              <w:rPr>
                <w:rFonts w:ascii="Arial" w:hAnsi="Arial" w:cs="Arial"/>
                <w:color w:val="000000"/>
                <w:sz w:val="18"/>
                <w:szCs w:val="18"/>
              </w:rPr>
              <w:br/>
              <w:t>(minimac RSQ)</w:t>
            </w:r>
          </w:p>
        </w:tc>
        <w:tc>
          <w:tcPr>
            <w:tcW w:w="1701" w:type="dxa"/>
            <w:tcBorders>
              <w:bottom w:val="single" w:sz="4" w:space="0" w:color="auto"/>
            </w:tcBorders>
            <w:vAlign w:val="center"/>
          </w:tcPr>
          <w:p w14:paraId="0D4656A3"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AA/HA: 1000G Phase 1 Version 3</w:t>
            </w:r>
            <w:r w:rsidRPr="005371F2">
              <w:rPr>
                <w:rFonts w:ascii="Arial" w:hAnsi="Arial" w:cs="Arial"/>
                <w:color w:val="000000"/>
                <w:sz w:val="18"/>
                <w:szCs w:val="18"/>
                <w:lang w:val="en-US"/>
              </w:rPr>
              <w:br/>
            </w:r>
            <w:r w:rsidRPr="005371F2">
              <w:rPr>
                <w:rFonts w:ascii="Arial" w:hAnsi="Arial" w:cs="Arial"/>
                <w:color w:val="000000"/>
                <w:sz w:val="18"/>
                <w:szCs w:val="18"/>
                <w:lang w:val="en-US"/>
              </w:rPr>
              <w:br/>
              <w:t>EA: H</w:t>
            </w:r>
            <w:r>
              <w:rPr>
                <w:rFonts w:ascii="Arial" w:hAnsi="Arial" w:cs="Arial"/>
                <w:color w:val="000000"/>
                <w:sz w:val="18"/>
                <w:szCs w:val="18"/>
                <w:lang w:val="en-US"/>
              </w:rPr>
              <w:t>RC</w:t>
            </w:r>
            <w:r w:rsidRPr="005371F2">
              <w:rPr>
                <w:rFonts w:ascii="Arial" w:hAnsi="Arial" w:cs="Arial"/>
                <w:color w:val="000000"/>
                <w:sz w:val="18"/>
                <w:szCs w:val="18"/>
                <w:lang w:val="en-US"/>
              </w:rPr>
              <w:t xml:space="preserve"> 1.1</w:t>
            </w:r>
          </w:p>
        </w:tc>
        <w:tc>
          <w:tcPr>
            <w:tcW w:w="1276" w:type="dxa"/>
            <w:tcBorders>
              <w:bottom w:val="single" w:sz="4" w:space="0" w:color="auto"/>
            </w:tcBorders>
            <w:vAlign w:val="center"/>
          </w:tcPr>
          <w:p w14:paraId="5E766236" w14:textId="77777777" w:rsidR="0001057B" w:rsidRPr="000F50C9" w:rsidRDefault="0001057B" w:rsidP="0001057B">
            <w:pPr>
              <w:rPr>
                <w:rFonts w:ascii="Arial" w:hAnsi="Arial" w:cs="Arial"/>
                <w:color w:val="000000"/>
                <w:sz w:val="18"/>
                <w:szCs w:val="18"/>
              </w:rPr>
            </w:pPr>
          </w:p>
        </w:tc>
        <w:tc>
          <w:tcPr>
            <w:tcW w:w="1270" w:type="dxa"/>
            <w:tcBorders>
              <w:bottom w:val="single" w:sz="4" w:space="0" w:color="auto"/>
            </w:tcBorders>
            <w:vAlign w:val="center"/>
          </w:tcPr>
          <w:p w14:paraId="7EA297E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PC1-PC8</w:t>
            </w:r>
          </w:p>
        </w:tc>
      </w:tr>
    </w:tbl>
    <w:p w14:paraId="1B5D1697" w14:textId="77777777" w:rsidR="0001057B" w:rsidRPr="00E36097" w:rsidRDefault="0001057B" w:rsidP="0001057B">
      <w:pPr>
        <w:spacing w:after="0" w:line="240" w:lineRule="auto"/>
        <w:ind w:right="-343"/>
        <w:jc w:val="right"/>
        <w:rPr>
          <w:lang w:val="en-US"/>
        </w:rPr>
      </w:pPr>
      <w:r>
        <w:rPr>
          <w:lang w:val="en-US"/>
        </w:rPr>
        <w:t>… t</w:t>
      </w:r>
      <w:r w:rsidRPr="00E36097">
        <w:rPr>
          <w:lang w:val="en-US"/>
        </w:rPr>
        <w:t>o be continued</w:t>
      </w:r>
    </w:p>
    <w:p w14:paraId="5D385E8B" w14:textId="77777777" w:rsidR="0001057B" w:rsidRPr="00E36097" w:rsidRDefault="0001057B" w:rsidP="0001057B">
      <w:pPr>
        <w:rPr>
          <w:lang w:val="en-US"/>
        </w:rPr>
      </w:pPr>
      <w:r w:rsidRPr="00E36097">
        <w:rPr>
          <w:lang w:val="en-US"/>
        </w:rPr>
        <w:br w:type="page"/>
      </w:r>
    </w:p>
    <w:p w14:paraId="568FE378" w14:textId="77777777" w:rsidR="0001057B" w:rsidRPr="00E36097" w:rsidRDefault="0001057B" w:rsidP="0001057B">
      <w:pPr>
        <w:spacing w:after="120" w:line="240" w:lineRule="auto"/>
        <w:rPr>
          <w:lang w:val="en-US"/>
        </w:rPr>
      </w:pPr>
      <w:r w:rsidRPr="00E36097">
        <w:rPr>
          <w:b/>
          <w:bCs/>
          <w:lang w:val="en-US"/>
        </w:rPr>
        <w:lastRenderedPageBreak/>
        <w:t>Supplementary Table 3</w:t>
      </w:r>
      <w:r>
        <w:rPr>
          <w:b/>
          <w:bCs/>
          <w:lang w:val="en-US"/>
        </w:rPr>
        <w:t>: continued</w:t>
      </w:r>
    </w:p>
    <w:tbl>
      <w:tblPr>
        <w:tblW w:w="15876" w:type="dxa"/>
        <w:jc w:val="center"/>
        <w:tblLayout w:type="fixed"/>
        <w:tblLook w:val="0000" w:firstRow="0" w:lastRow="0" w:firstColumn="0" w:lastColumn="0" w:noHBand="0" w:noVBand="0"/>
      </w:tblPr>
      <w:tblGrid>
        <w:gridCol w:w="1276"/>
        <w:gridCol w:w="2693"/>
        <w:gridCol w:w="1560"/>
        <w:gridCol w:w="992"/>
        <w:gridCol w:w="2268"/>
        <w:gridCol w:w="992"/>
        <w:gridCol w:w="1829"/>
        <w:gridCol w:w="14"/>
        <w:gridCol w:w="1687"/>
        <w:gridCol w:w="14"/>
        <w:gridCol w:w="1134"/>
        <w:gridCol w:w="128"/>
        <w:gridCol w:w="1270"/>
        <w:gridCol w:w="19"/>
      </w:tblGrid>
      <w:tr w:rsidR="0001057B" w:rsidRPr="00EA57AC" w14:paraId="68B40C6C" w14:textId="77777777" w:rsidTr="00F04804">
        <w:trPr>
          <w:gridAfter w:val="1"/>
          <w:wAfter w:w="19" w:type="dxa"/>
          <w:jc w:val="center"/>
        </w:trPr>
        <w:tc>
          <w:tcPr>
            <w:tcW w:w="1276" w:type="dxa"/>
            <w:tcBorders>
              <w:top w:val="single" w:sz="4" w:space="0" w:color="auto"/>
              <w:bottom w:val="single" w:sz="4" w:space="0" w:color="auto"/>
            </w:tcBorders>
            <w:shd w:val="clear" w:color="auto" w:fill="BDD6EE" w:themeFill="accent1" w:themeFillTint="66"/>
            <w:vAlign w:val="bottom"/>
          </w:tcPr>
          <w:p w14:paraId="69165ECA"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Study</w:t>
            </w:r>
          </w:p>
        </w:tc>
        <w:tc>
          <w:tcPr>
            <w:tcW w:w="2693" w:type="dxa"/>
            <w:tcBorders>
              <w:top w:val="single" w:sz="4" w:space="0" w:color="auto"/>
              <w:bottom w:val="single" w:sz="4" w:space="0" w:color="auto"/>
            </w:tcBorders>
            <w:shd w:val="clear" w:color="auto" w:fill="BDD6EE" w:themeFill="accent1" w:themeFillTint="66"/>
            <w:vAlign w:val="bottom"/>
          </w:tcPr>
          <w:p w14:paraId="1A3F5050"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Exclusions of individuals</w:t>
            </w:r>
          </w:p>
        </w:tc>
        <w:tc>
          <w:tcPr>
            <w:tcW w:w="1560" w:type="dxa"/>
            <w:tcBorders>
              <w:top w:val="single" w:sz="4" w:space="0" w:color="auto"/>
              <w:bottom w:val="single" w:sz="4" w:space="0" w:color="auto"/>
            </w:tcBorders>
            <w:shd w:val="clear" w:color="auto" w:fill="BDD6EE" w:themeFill="accent1" w:themeFillTint="66"/>
            <w:vAlign w:val="bottom"/>
          </w:tcPr>
          <w:p w14:paraId="09F8DA3E"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Genotyping Array</w:t>
            </w:r>
          </w:p>
        </w:tc>
        <w:tc>
          <w:tcPr>
            <w:tcW w:w="992" w:type="dxa"/>
            <w:tcBorders>
              <w:top w:val="single" w:sz="4" w:space="0" w:color="auto"/>
              <w:bottom w:val="single" w:sz="4" w:space="0" w:color="auto"/>
            </w:tcBorders>
            <w:shd w:val="clear" w:color="auto" w:fill="BDD6EE" w:themeFill="accent1" w:themeFillTint="66"/>
            <w:vAlign w:val="bottom"/>
          </w:tcPr>
          <w:p w14:paraId="2AD93373"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Geno-type calling</w:t>
            </w:r>
          </w:p>
        </w:tc>
        <w:tc>
          <w:tcPr>
            <w:tcW w:w="2268" w:type="dxa"/>
            <w:tcBorders>
              <w:top w:val="single" w:sz="4" w:space="0" w:color="auto"/>
              <w:bottom w:val="single" w:sz="4" w:space="0" w:color="auto"/>
            </w:tcBorders>
            <w:shd w:val="clear" w:color="auto" w:fill="BDD6EE" w:themeFill="accent1" w:themeFillTint="66"/>
            <w:vAlign w:val="bottom"/>
          </w:tcPr>
          <w:p w14:paraId="69977BB8"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Variant QC before imputation</w:t>
            </w:r>
          </w:p>
        </w:tc>
        <w:tc>
          <w:tcPr>
            <w:tcW w:w="992"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737243D7"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w:t>
            </w:r>
            <w:r w:rsidRPr="00EA57AC">
              <w:rPr>
                <w:rFonts w:ascii="Arial" w:hAnsi="Arial" w:cs="Arial"/>
                <w:bCs/>
                <w:color w:val="000000"/>
                <w:sz w:val="18"/>
                <w:szCs w:val="18"/>
                <w:lang w:val="en-US"/>
              </w:rPr>
              <w:t xml:space="preserve"> SNPs used for imputation</w:t>
            </w:r>
          </w:p>
        </w:tc>
        <w:tc>
          <w:tcPr>
            <w:tcW w:w="1829" w:type="dxa"/>
            <w:tcBorders>
              <w:top w:val="single" w:sz="4" w:space="0" w:color="auto"/>
              <w:bottom w:val="single" w:sz="4" w:space="0" w:color="auto"/>
            </w:tcBorders>
            <w:shd w:val="clear" w:color="auto" w:fill="BDD6EE" w:themeFill="accent1" w:themeFillTint="66"/>
            <w:vAlign w:val="bottom"/>
          </w:tcPr>
          <w:p w14:paraId="01A194EE" w14:textId="77777777" w:rsidR="0001057B" w:rsidRPr="00EA57AC" w:rsidRDefault="0001057B" w:rsidP="00685851">
            <w:pPr>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Software phasing</w:t>
            </w:r>
            <w:r>
              <w:rPr>
                <w:rFonts w:ascii="Arial" w:hAnsi="Arial" w:cs="Arial"/>
                <w:bCs/>
                <w:color w:val="000000"/>
                <w:sz w:val="18"/>
                <w:szCs w:val="18"/>
                <w:lang w:val="en-US"/>
              </w:rPr>
              <w:t xml:space="preserve"> and </w:t>
            </w:r>
            <w:r w:rsidRPr="00EA57AC">
              <w:rPr>
                <w:rFonts w:ascii="Arial" w:hAnsi="Arial" w:cs="Arial"/>
                <w:bCs/>
                <w:color w:val="000000"/>
                <w:sz w:val="18"/>
                <w:szCs w:val="18"/>
                <w:lang w:val="en-US"/>
              </w:rPr>
              <w:t xml:space="preserve">imputation </w:t>
            </w:r>
            <w:r w:rsidRPr="00EA57AC">
              <w:rPr>
                <w:rFonts w:ascii="Arial" w:hAnsi="Arial" w:cs="Arial"/>
                <w:bCs/>
                <w:color w:val="000000"/>
                <w:sz w:val="18"/>
                <w:szCs w:val="18"/>
                <w:lang w:val="en-US"/>
              </w:rPr>
              <w:br/>
              <w:t>(imputation quality)</w:t>
            </w:r>
          </w:p>
        </w:tc>
        <w:tc>
          <w:tcPr>
            <w:tcW w:w="1701" w:type="dxa"/>
            <w:gridSpan w:val="2"/>
            <w:tcBorders>
              <w:top w:val="single" w:sz="4" w:space="0" w:color="auto"/>
              <w:bottom w:val="single" w:sz="4" w:space="0" w:color="auto"/>
            </w:tcBorders>
            <w:shd w:val="clear" w:color="auto" w:fill="BDD6EE" w:themeFill="accent1" w:themeFillTint="66"/>
            <w:vAlign w:val="bottom"/>
          </w:tcPr>
          <w:p w14:paraId="2EDB31D3" w14:textId="77777777" w:rsidR="0001057B" w:rsidRPr="00EA57AC" w:rsidRDefault="0001057B" w:rsidP="00685851">
            <w:pPr>
              <w:spacing w:after="0" w:line="240" w:lineRule="auto"/>
              <w:rPr>
                <w:rFonts w:ascii="Arial" w:hAnsi="Arial" w:cs="Arial"/>
                <w:bCs/>
                <w:color w:val="000000"/>
                <w:sz w:val="18"/>
                <w:szCs w:val="18"/>
              </w:rPr>
            </w:pPr>
            <w:r w:rsidRPr="00EA57AC">
              <w:rPr>
                <w:rFonts w:ascii="Arial" w:hAnsi="Arial" w:cs="Arial"/>
                <w:bCs/>
                <w:color w:val="000000"/>
                <w:sz w:val="18"/>
                <w:szCs w:val="18"/>
              </w:rPr>
              <w:t>Imputation reference panel</w:t>
            </w:r>
          </w:p>
        </w:tc>
        <w:tc>
          <w:tcPr>
            <w:tcW w:w="1276" w:type="dxa"/>
            <w:gridSpan w:val="3"/>
            <w:tcBorders>
              <w:top w:val="single" w:sz="4" w:space="0" w:color="auto"/>
              <w:bottom w:val="single" w:sz="4" w:space="0" w:color="auto"/>
            </w:tcBorders>
            <w:shd w:val="clear" w:color="auto" w:fill="BDD6EE" w:themeFill="accent1" w:themeFillTint="66"/>
            <w:vAlign w:val="bottom"/>
          </w:tcPr>
          <w:p w14:paraId="2A132A72" w14:textId="77777777" w:rsidR="0001057B" w:rsidRPr="00EA57AC" w:rsidRDefault="0001057B" w:rsidP="00F04804">
            <w:pPr>
              <w:spacing w:after="0" w:line="240" w:lineRule="auto"/>
              <w:rPr>
                <w:rFonts w:ascii="Arial" w:hAnsi="Arial" w:cs="Arial"/>
                <w:bCs/>
                <w:color w:val="000000"/>
                <w:sz w:val="18"/>
                <w:szCs w:val="18"/>
              </w:rPr>
            </w:pPr>
            <w:r>
              <w:rPr>
                <w:rFonts w:ascii="Arial" w:hAnsi="Arial" w:cs="Arial"/>
                <w:bCs/>
                <w:color w:val="000000"/>
                <w:sz w:val="18"/>
                <w:szCs w:val="18"/>
              </w:rPr>
              <w:t>Variant QC after imputation</w:t>
            </w:r>
          </w:p>
        </w:tc>
        <w:tc>
          <w:tcPr>
            <w:tcW w:w="1270"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3C501EA2" w14:textId="77777777" w:rsidR="0001057B" w:rsidRPr="00EA57AC" w:rsidRDefault="0001057B" w:rsidP="00F04804">
            <w:pPr>
              <w:autoSpaceDE w:val="0"/>
              <w:autoSpaceDN w:val="0"/>
              <w:adjustRightInd w:val="0"/>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Handling of population stratification</w:t>
            </w:r>
          </w:p>
        </w:tc>
      </w:tr>
      <w:tr w:rsidR="0001057B" w:rsidRPr="00F47932" w14:paraId="57421E33" w14:textId="77777777" w:rsidTr="00F04804">
        <w:trPr>
          <w:jc w:val="center"/>
        </w:trPr>
        <w:tc>
          <w:tcPr>
            <w:tcW w:w="1276" w:type="dxa"/>
            <w:shd w:val="clear" w:color="auto" w:fill="D9D9D9" w:themeFill="background1" w:themeFillShade="D9"/>
            <w:vAlign w:val="center"/>
          </w:tcPr>
          <w:p w14:paraId="5E4D6C0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CHS AA</w:t>
            </w:r>
          </w:p>
        </w:tc>
        <w:tc>
          <w:tcPr>
            <w:tcW w:w="2693" w:type="dxa"/>
            <w:shd w:val="clear" w:color="auto" w:fill="D9D9D9" w:themeFill="background1" w:themeFillShade="D9"/>
            <w:vAlign w:val="center"/>
          </w:tcPr>
          <w:p w14:paraId="5B36AF8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&lt;=95%</w:t>
            </w:r>
            <w:r>
              <w:rPr>
                <w:rFonts w:ascii="Arial" w:hAnsi="Arial" w:cs="Arial"/>
                <w:color w:val="000000"/>
                <w:sz w:val="18"/>
                <w:szCs w:val="18"/>
                <w:lang w:val="en-US"/>
              </w:rPr>
              <w:t xml:space="preserve">; </w:t>
            </w:r>
            <w:r w:rsidRPr="005371F2">
              <w:rPr>
                <w:rFonts w:ascii="Arial" w:hAnsi="Arial" w:cs="Arial"/>
                <w:color w:val="000000"/>
                <w:sz w:val="18"/>
                <w:szCs w:val="18"/>
                <w:lang w:val="en-US"/>
              </w:rPr>
              <w:t>discordant genotype with known sex or prior genotyping</w:t>
            </w:r>
          </w:p>
        </w:tc>
        <w:tc>
          <w:tcPr>
            <w:tcW w:w="1560" w:type="dxa"/>
            <w:shd w:val="clear" w:color="auto" w:fill="D9D9D9" w:themeFill="background1" w:themeFillShade="D9"/>
            <w:vAlign w:val="center"/>
          </w:tcPr>
          <w:p w14:paraId="5BF9679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HumanOmni1-Quad_v1 BeadChip</w:t>
            </w:r>
          </w:p>
        </w:tc>
        <w:tc>
          <w:tcPr>
            <w:tcW w:w="992" w:type="dxa"/>
            <w:shd w:val="clear" w:color="auto" w:fill="D9D9D9" w:themeFill="background1" w:themeFillShade="D9"/>
            <w:vAlign w:val="center"/>
          </w:tcPr>
          <w:p w14:paraId="0A092FD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GenomeStudio</w:t>
            </w:r>
          </w:p>
        </w:tc>
        <w:tc>
          <w:tcPr>
            <w:tcW w:w="2268" w:type="dxa"/>
            <w:shd w:val="clear" w:color="auto" w:fill="D9D9D9" w:themeFill="background1" w:themeFillShade="D9"/>
            <w:vAlign w:val="center"/>
          </w:tcPr>
          <w:p w14:paraId="1D7CB58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&lt;97%, HWE&lt;10-5, </w:t>
            </w:r>
            <w:r>
              <w:rPr>
                <w:rFonts w:ascii="Arial" w:hAnsi="Arial" w:cs="Arial"/>
                <w:color w:val="000000"/>
                <w:sz w:val="18"/>
                <w:szCs w:val="18"/>
                <w:lang w:val="en-US"/>
              </w:rPr>
              <w:br/>
            </w:r>
            <w:r w:rsidRPr="005371F2">
              <w:rPr>
                <w:rFonts w:ascii="Arial" w:hAnsi="Arial" w:cs="Arial"/>
                <w:color w:val="000000"/>
                <w:sz w:val="18"/>
                <w:szCs w:val="18"/>
                <w:lang w:val="en-US"/>
              </w:rPr>
              <w:t>&gt; 1 duplicate error or Mendelian inconsistency (reference</w:t>
            </w:r>
            <w:r>
              <w:rPr>
                <w:rFonts w:ascii="Arial" w:hAnsi="Arial" w:cs="Arial"/>
                <w:color w:val="000000"/>
                <w:sz w:val="18"/>
                <w:szCs w:val="18"/>
                <w:lang w:val="en-US"/>
              </w:rPr>
              <w:t xml:space="preserve">: </w:t>
            </w:r>
            <w:r w:rsidRPr="005371F2">
              <w:rPr>
                <w:rFonts w:ascii="Arial" w:hAnsi="Arial" w:cs="Arial"/>
                <w:color w:val="000000"/>
                <w:sz w:val="18"/>
                <w:szCs w:val="18"/>
                <w:lang w:val="en-US"/>
              </w:rPr>
              <w:t>CEPH trios), heterozygote frequency = 0</w:t>
            </w:r>
          </w:p>
        </w:tc>
        <w:tc>
          <w:tcPr>
            <w:tcW w:w="992" w:type="dxa"/>
            <w:shd w:val="clear" w:color="auto" w:fill="D9D9D9" w:themeFill="background1" w:themeFillShade="D9"/>
            <w:vAlign w:val="center"/>
          </w:tcPr>
          <w:p w14:paraId="544CC9E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963248 SNPs (940567 autosomal</w:t>
            </w:r>
            <w:r>
              <w:rPr>
                <w:rFonts w:ascii="Arial" w:hAnsi="Arial" w:cs="Arial"/>
                <w:color w:val="000000"/>
                <w:sz w:val="18"/>
                <w:szCs w:val="18"/>
                <w:lang w:val="en-US"/>
              </w:rPr>
              <w:t>,</w:t>
            </w:r>
            <w:r w:rsidRPr="005371F2">
              <w:rPr>
                <w:rFonts w:ascii="Arial" w:hAnsi="Arial" w:cs="Arial"/>
                <w:color w:val="000000"/>
                <w:sz w:val="18"/>
                <w:szCs w:val="18"/>
                <w:lang w:val="en-US"/>
              </w:rPr>
              <w:t xml:space="preserve"> 22681 X)</w:t>
            </w:r>
          </w:p>
        </w:tc>
        <w:tc>
          <w:tcPr>
            <w:tcW w:w="1843" w:type="dxa"/>
            <w:gridSpan w:val="2"/>
            <w:shd w:val="clear" w:color="auto" w:fill="D9D9D9" w:themeFill="background1" w:themeFillShade="D9"/>
            <w:vAlign w:val="center"/>
          </w:tcPr>
          <w:p w14:paraId="20EA2578"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none (no pre-phasing performed); IMPUTE version 2.2.2 (r2)</w:t>
            </w:r>
          </w:p>
        </w:tc>
        <w:tc>
          <w:tcPr>
            <w:tcW w:w="1701" w:type="dxa"/>
            <w:gridSpan w:val="2"/>
            <w:shd w:val="clear" w:color="auto" w:fill="D9D9D9" w:themeFill="background1" w:themeFillShade="D9"/>
            <w:vAlign w:val="center"/>
          </w:tcPr>
          <w:p w14:paraId="51AC26D0" w14:textId="77777777" w:rsidR="0001057B" w:rsidRPr="00DC075A" w:rsidRDefault="0001057B" w:rsidP="0001057B">
            <w:pPr>
              <w:rPr>
                <w:rFonts w:ascii="Arial" w:hAnsi="Arial" w:cs="Arial"/>
                <w:color w:val="000000"/>
                <w:sz w:val="18"/>
                <w:szCs w:val="18"/>
                <w:lang w:val="en-US"/>
              </w:rPr>
            </w:pPr>
            <w:r w:rsidRPr="00DC075A">
              <w:rPr>
                <w:rFonts w:ascii="Arial" w:hAnsi="Arial" w:cs="Arial"/>
                <w:color w:val="000000"/>
                <w:sz w:val="18"/>
                <w:szCs w:val="18"/>
                <w:lang w:val="en-US"/>
              </w:rPr>
              <w:t>1000G Phase 3</w:t>
            </w:r>
          </w:p>
        </w:tc>
        <w:tc>
          <w:tcPr>
            <w:tcW w:w="1134" w:type="dxa"/>
            <w:shd w:val="clear" w:color="auto" w:fill="D9D9D9" w:themeFill="background1" w:themeFillShade="D9"/>
            <w:vAlign w:val="center"/>
          </w:tcPr>
          <w:p w14:paraId="5459D892" w14:textId="49B0EE8D" w:rsidR="0001057B" w:rsidRPr="005371F2" w:rsidRDefault="008223CD" w:rsidP="0001057B">
            <w:pPr>
              <w:rPr>
                <w:rFonts w:ascii="Arial" w:hAnsi="Arial" w:cs="Arial"/>
                <w:color w:val="000000"/>
                <w:sz w:val="18"/>
                <w:szCs w:val="18"/>
                <w:lang w:val="en-US"/>
              </w:rPr>
            </w:pPr>
            <w:r>
              <w:rPr>
                <w:rFonts w:ascii="Arial" w:hAnsi="Arial" w:cs="Arial"/>
                <w:color w:val="000000"/>
                <w:sz w:val="18"/>
                <w:szCs w:val="18"/>
                <w:lang w:val="en-US"/>
              </w:rPr>
              <w:t>Effective MAC &lt; 5</w:t>
            </w:r>
          </w:p>
        </w:tc>
        <w:tc>
          <w:tcPr>
            <w:tcW w:w="1417" w:type="dxa"/>
            <w:gridSpan w:val="3"/>
            <w:shd w:val="clear" w:color="auto" w:fill="D9D9D9" w:themeFill="background1" w:themeFillShade="D9"/>
            <w:vAlign w:val="center"/>
          </w:tcPr>
          <w:p w14:paraId="15D63F2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First 5 PCs</w:t>
            </w:r>
          </w:p>
        </w:tc>
      </w:tr>
      <w:tr w:rsidR="0001057B" w:rsidRPr="005371F2" w14:paraId="4BD9D8D5" w14:textId="77777777" w:rsidTr="00F04804">
        <w:trPr>
          <w:jc w:val="center"/>
        </w:trPr>
        <w:tc>
          <w:tcPr>
            <w:tcW w:w="1276" w:type="dxa"/>
            <w:vAlign w:val="center"/>
          </w:tcPr>
          <w:p w14:paraId="1E8D729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CHS EA</w:t>
            </w:r>
          </w:p>
        </w:tc>
        <w:tc>
          <w:tcPr>
            <w:tcW w:w="2693" w:type="dxa"/>
            <w:vAlign w:val="center"/>
          </w:tcPr>
          <w:p w14:paraId="3372634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CHD</w:t>
            </w:r>
            <w:r w:rsidRPr="005371F2">
              <w:rPr>
                <w:rFonts w:ascii="Arial" w:hAnsi="Arial" w:cs="Arial"/>
                <w:color w:val="000000"/>
                <w:sz w:val="18"/>
                <w:szCs w:val="18"/>
                <w:lang w:val="en-US"/>
              </w:rPr>
              <w:t xml:space="preserve">, congestive heart failure, </w:t>
            </w:r>
            <w:r>
              <w:rPr>
                <w:rFonts w:ascii="Arial" w:hAnsi="Arial" w:cs="Arial"/>
                <w:color w:val="000000"/>
                <w:sz w:val="18"/>
                <w:szCs w:val="18"/>
                <w:lang w:val="en-US"/>
              </w:rPr>
              <w:t>PVD</w:t>
            </w:r>
            <w:r w:rsidRPr="005371F2">
              <w:rPr>
                <w:rFonts w:ascii="Arial" w:hAnsi="Arial" w:cs="Arial"/>
                <w:color w:val="000000"/>
                <w:sz w:val="18"/>
                <w:szCs w:val="18"/>
                <w:lang w:val="en-US"/>
              </w:rPr>
              <w:t xml:space="preserve">, valvular heart disease, stroke or </w:t>
            </w:r>
            <w:r>
              <w:rPr>
                <w:rFonts w:ascii="Arial" w:hAnsi="Arial" w:cs="Arial"/>
                <w:color w:val="000000"/>
                <w:sz w:val="18"/>
                <w:szCs w:val="18"/>
                <w:lang w:val="en-US"/>
              </w:rPr>
              <w:t>TIA at baseline</w:t>
            </w:r>
            <w:r w:rsidRPr="005371F2">
              <w:rPr>
                <w:rFonts w:ascii="Arial" w:hAnsi="Arial" w:cs="Arial"/>
                <w:color w:val="000000"/>
                <w:sz w:val="18"/>
                <w:szCs w:val="18"/>
                <w:lang w:val="en-US"/>
              </w:rPr>
              <w:t xml:space="preserve"> or lack of available DNA</w:t>
            </w:r>
            <w:r>
              <w:rPr>
                <w:rFonts w:ascii="Arial" w:hAnsi="Arial" w:cs="Arial"/>
                <w:color w:val="000000"/>
                <w:sz w:val="18"/>
                <w:szCs w:val="18"/>
                <w:lang w:val="en-US"/>
              </w:rPr>
              <w:t>;</w:t>
            </w:r>
            <w:r w:rsidRPr="005371F2">
              <w:rPr>
                <w:rFonts w:ascii="Arial" w:hAnsi="Arial" w:cs="Arial"/>
                <w:color w:val="000000"/>
                <w:sz w:val="18"/>
                <w:szCs w:val="18"/>
                <w:lang w:val="en-US"/>
              </w:rPr>
              <w:t xml:space="preserve"> </w:t>
            </w:r>
            <w:r>
              <w:rPr>
                <w:rFonts w:ascii="Arial" w:hAnsi="Arial" w:cs="Arial"/>
                <w:color w:val="000000"/>
                <w:sz w:val="18"/>
                <w:szCs w:val="18"/>
                <w:lang w:val="en-US"/>
              </w:rPr>
              <w:t>CR</w:t>
            </w:r>
            <w:r w:rsidRPr="005371F2">
              <w:rPr>
                <w:rFonts w:ascii="Arial" w:hAnsi="Arial" w:cs="Arial"/>
                <w:color w:val="000000"/>
                <w:sz w:val="18"/>
                <w:szCs w:val="18"/>
                <w:lang w:val="en-US"/>
              </w:rPr>
              <w:t xml:space="preserve">&lt;=95% or if discordant genotype with known sex or prior genotyping </w:t>
            </w:r>
          </w:p>
        </w:tc>
        <w:tc>
          <w:tcPr>
            <w:tcW w:w="1560" w:type="dxa"/>
            <w:vAlign w:val="center"/>
          </w:tcPr>
          <w:p w14:paraId="465657E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370CNV BeadChip</w:t>
            </w:r>
          </w:p>
        </w:tc>
        <w:tc>
          <w:tcPr>
            <w:tcW w:w="992" w:type="dxa"/>
            <w:vAlign w:val="center"/>
          </w:tcPr>
          <w:p w14:paraId="797727F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BeadStudio</w:t>
            </w:r>
          </w:p>
        </w:tc>
        <w:tc>
          <w:tcPr>
            <w:tcW w:w="2268" w:type="dxa"/>
            <w:vAlign w:val="center"/>
          </w:tcPr>
          <w:p w14:paraId="6B44E98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&lt;97%, HWE P &lt;10-5, &gt; 2 duplicate errors or Mendelian inconsistencies (reference</w:t>
            </w:r>
            <w:r>
              <w:rPr>
                <w:rFonts w:ascii="Arial" w:hAnsi="Arial" w:cs="Arial"/>
                <w:color w:val="000000"/>
                <w:sz w:val="18"/>
                <w:szCs w:val="18"/>
                <w:lang w:val="en-US"/>
              </w:rPr>
              <w:t>:</w:t>
            </w:r>
            <w:r w:rsidRPr="005371F2">
              <w:rPr>
                <w:rFonts w:ascii="Arial" w:hAnsi="Arial" w:cs="Arial"/>
                <w:color w:val="000000"/>
                <w:sz w:val="18"/>
                <w:szCs w:val="18"/>
                <w:lang w:val="en-US"/>
              </w:rPr>
              <w:t xml:space="preserve"> CEPH trios), heterozygote frequency=0, SNP not in HapMap</w:t>
            </w:r>
          </w:p>
        </w:tc>
        <w:tc>
          <w:tcPr>
            <w:tcW w:w="992" w:type="dxa"/>
            <w:vAlign w:val="center"/>
          </w:tcPr>
          <w:p w14:paraId="4DC0905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359592</w:t>
            </w:r>
          </w:p>
        </w:tc>
        <w:tc>
          <w:tcPr>
            <w:tcW w:w="1843" w:type="dxa"/>
            <w:gridSpan w:val="2"/>
            <w:vAlign w:val="center"/>
          </w:tcPr>
          <w:p w14:paraId="6F6DB2B7"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MaCH; minimac (r2)</w:t>
            </w:r>
          </w:p>
        </w:tc>
        <w:tc>
          <w:tcPr>
            <w:tcW w:w="1701" w:type="dxa"/>
            <w:gridSpan w:val="2"/>
            <w:vAlign w:val="center"/>
          </w:tcPr>
          <w:p w14:paraId="5E6E0C44"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1000G Phase 3</w:t>
            </w:r>
          </w:p>
        </w:tc>
        <w:tc>
          <w:tcPr>
            <w:tcW w:w="1134" w:type="dxa"/>
            <w:vAlign w:val="center"/>
          </w:tcPr>
          <w:p w14:paraId="3ED97B39" w14:textId="0DC07635" w:rsidR="0001057B" w:rsidRPr="005371F2" w:rsidRDefault="008223CD" w:rsidP="0001057B">
            <w:pPr>
              <w:rPr>
                <w:rFonts w:ascii="Arial" w:hAnsi="Arial" w:cs="Arial"/>
                <w:color w:val="000000"/>
                <w:sz w:val="18"/>
                <w:szCs w:val="18"/>
                <w:lang w:val="en-US"/>
              </w:rPr>
            </w:pPr>
            <w:r>
              <w:rPr>
                <w:rFonts w:ascii="Arial" w:hAnsi="Arial" w:cs="Arial"/>
                <w:color w:val="000000"/>
                <w:sz w:val="18"/>
                <w:szCs w:val="18"/>
                <w:lang w:val="en-US"/>
              </w:rPr>
              <w:t xml:space="preserve">Effective </w:t>
            </w:r>
            <w:r w:rsidR="0001057B">
              <w:rPr>
                <w:rFonts w:ascii="Arial" w:hAnsi="Arial" w:cs="Arial"/>
                <w:color w:val="000000"/>
                <w:sz w:val="18"/>
                <w:szCs w:val="18"/>
                <w:lang w:val="en-US"/>
              </w:rPr>
              <w:t>MAC&lt;10</w:t>
            </w:r>
          </w:p>
        </w:tc>
        <w:tc>
          <w:tcPr>
            <w:tcW w:w="1417" w:type="dxa"/>
            <w:gridSpan w:val="3"/>
            <w:vAlign w:val="center"/>
          </w:tcPr>
          <w:p w14:paraId="3859107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First 5 PCs</w:t>
            </w:r>
          </w:p>
        </w:tc>
      </w:tr>
      <w:tr w:rsidR="0001057B" w:rsidRPr="005371F2" w14:paraId="362656D7" w14:textId="77777777" w:rsidTr="00F04804">
        <w:trPr>
          <w:jc w:val="center"/>
        </w:trPr>
        <w:tc>
          <w:tcPr>
            <w:tcW w:w="1276" w:type="dxa"/>
            <w:shd w:val="clear" w:color="auto" w:fill="D9D9D9" w:themeFill="background1" w:themeFillShade="D9"/>
            <w:vAlign w:val="center"/>
          </w:tcPr>
          <w:p w14:paraId="7F604C4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DECODE</w:t>
            </w:r>
          </w:p>
        </w:tc>
        <w:tc>
          <w:tcPr>
            <w:tcW w:w="2693" w:type="dxa"/>
            <w:shd w:val="clear" w:color="auto" w:fill="D9D9D9" w:themeFill="background1" w:themeFillShade="D9"/>
            <w:vAlign w:val="center"/>
          </w:tcPr>
          <w:p w14:paraId="2C5B250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 97%</w:t>
            </w:r>
          </w:p>
        </w:tc>
        <w:tc>
          <w:tcPr>
            <w:tcW w:w="1560" w:type="dxa"/>
            <w:shd w:val="clear" w:color="auto" w:fill="D9D9D9" w:themeFill="background1" w:themeFillShade="D9"/>
            <w:vAlign w:val="center"/>
          </w:tcPr>
          <w:p w14:paraId="3FA819F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HumanHap300, HumanCNV370, HumanHap610, HumanHap1M, HumanHap660, Omni-1, Omni</w:t>
            </w:r>
            <w:r>
              <w:rPr>
                <w:rFonts w:ascii="Arial" w:hAnsi="Arial" w:cs="Arial"/>
                <w:color w:val="000000"/>
                <w:sz w:val="18"/>
                <w:szCs w:val="18"/>
                <w:lang w:val="en-US"/>
              </w:rPr>
              <w:t xml:space="preserve"> 2.5 or Omni Express bead chips</w:t>
            </w:r>
          </w:p>
        </w:tc>
        <w:tc>
          <w:tcPr>
            <w:tcW w:w="992" w:type="dxa"/>
            <w:shd w:val="clear" w:color="auto" w:fill="D9D9D9" w:themeFill="background1" w:themeFillShade="D9"/>
            <w:vAlign w:val="center"/>
          </w:tcPr>
          <w:p w14:paraId="2EF8065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Graph</w:t>
            </w:r>
            <w:r>
              <w:rPr>
                <w:rFonts w:ascii="Arial" w:hAnsi="Arial" w:cs="Arial"/>
                <w:color w:val="000000"/>
                <w:sz w:val="18"/>
                <w:szCs w:val="18"/>
                <w:lang w:val="en-US"/>
              </w:rPr>
              <w:t>-</w:t>
            </w:r>
            <w:r w:rsidRPr="005371F2">
              <w:rPr>
                <w:rFonts w:ascii="Arial" w:hAnsi="Arial" w:cs="Arial"/>
                <w:color w:val="000000"/>
                <w:sz w:val="18"/>
                <w:szCs w:val="18"/>
                <w:lang w:val="en-US"/>
              </w:rPr>
              <w:t>typer</w:t>
            </w:r>
          </w:p>
        </w:tc>
        <w:tc>
          <w:tcPr>
            <w:tcW w:w="2268" w:type="dxa"/>
            <w:shd w:val="clear" w:color="auto" w:fill="D9D9D9" w:themeFill="background1" w:themeFillShade="D9"/>
            <w:vAlign w:val="center"/>
          </w:tcPr>
          <w:p w14:paraId="7C17547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Yield &lt; 95%, MAF&gt;0.01, HW &lt; 0.001</w:t>
            </w:r>
          </w:p>
        </w:tc>
        <w:tc>
          <w:tcPr>
            <w:tcW w:w="992" w:type="dxa"/>
            <w:shd w:val="clear" w:color="auto" w:fill="D9D9D9" w:themeFill="background1" w:themeFillShade="D9"/>
            <w:vAlign w:val="center"/>
          </w:tcPr>
          <w:p w14:paraId="26109A3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tc>
        <w:tc>
          <w:tcPr>
            <w:tcW w:w="1843" w:type="dxa"/>
            <w:gridSpan w:val="2"/>
            <w:shd w:val="clear" w:color="auto" w:fill="D9D9D9" w:themeFill="background1" w:themeFillShade="D9"/>
            <w:vAlign w:val="center"/>
          </w:tcPr>
          <w:p w14:paraId="65FA3921" w14:textId="77777777" w:rsidR="0001057B" w:rsidRPr="00EA57AC"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Inhouse software; Inhouse software, similar to IMPUTE (Info)</w:t>
            </w:r>
          </w:p>
        </w:tc>
        <w:tc>
          <w:tcPr>
            <w:tcW w:w="1701" w:type="dxa"/>
            <w:gridSpan w:val="2"/>
            <w:shd w:val="clear" w:color="auto" w:fill="D9D9D9" w:themeFill="background1" w:themeFillShade="D9"/>
            <w:vAlign w:val="center"/>
          </w:tcPr>
          <w:p w14:paraId="4B6E8373" w14:textId="77777777" w:rsidR="0001057B" w:rsidRPr="00EA57AC"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Icelandic reference panel - variants matched with H</w:t>
            </w:r>
            <w:r>
              <w:rPr>
                <w:rFonts w:ascii="Arial" w:hAnsi="Arial" w:cs="Arial"/>
                <w:color w:val="000000"/>
                <w:sz w:val="18"/>
                <w:szCs w:val="18"/>
                <w:lang w:val="en-US"/>
              </w:rPr>
              <w:t xml:space="preserve">RC </w:t>
            </w:r>
            <w:r w:rsidRPr="005371F2">
              <w:rPr>
                <w:rFonts w:ascii="Arial" w:hAnsi="Arial" w:cs="Arial"/>
                <w:color w:val="000000"/>
                <w:sz w:val="18"/>
                <w:szCs w:val="18"/>
                <w:lang w:val="en-US"/>
              </w:rPr>
              <w:t>or 1000G Phase 3</w:t>
            </w:r>
          </w:p>
        </w:tc>
        <w:tc>
          <w:tcPr>
            <w:tcW w:w="1134" w:type="dxa"/>
            <w:shd w:val="clear" w:color="auto" w:fill="D9D9D9" w:themeFill="background1" w:themeFillShade="D9"/>
            <w:vAlign w:val="center"/>
          </w:tcPr>
          <w:p w14:paraId="69B5B229" w14:textId="77777777" w:rsidR="0001057B" w:rsidRPr="005371F2" w:rsidRDefault="0001057B" w:rsidP="0001057B">
            <w:pPr>
              <w:rPr>
                <w:rFonts w:ascii="Arial" w:hAnsi="Arial" w:cs="Arial"/>
                <w:color w:val="000000"/>
                <w:sz w:val="18"/>
                <w:szCs w:val="18"/>
              </w:rPr>
            </w:pPr>
            <w:r>
              <w:rPr>
                <w:rFonts w:ascii="Arial" w:hAnsi="Arial" w:cs="Arial"/>
                <w:color w:val="000000"/>
                <w:sz w:val="18"/>
                <w:szCs w:val="18"/>
              </w:rPr>
              <w:t>n</w:t>
            </w:r>
            <w:r w:rsidRPr="005371F2">
              <w:rPr>
                <w:rFonts w:ascii="Arial" w:hAnsi="Arial" w:cs="Arial"/>
                <w:color w:val="000000"/>
                <w:sz w:val="18"/>
                <w:szCs w:val="18"/>
              </w:rPr>
              <w:t>one</w:t>
            </w:r>
          </w:p>
        </w:tc>
        <w:tc>
          <w:tcPr>
            <w:tcW w:w="1417" w:type="dxa"/>
            <w:gridSpan w:val="3"/>
            <w:shd w:val="clear" w:color="auto" w:fill="D9D9D9" w:themeFill="background1" w:themeFillShade="D9"/>
            <w:vAlign w:val="center"/>
          </w:tcPr>
          <w:p w14:paraId="7A80B17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tc>
      </w:tr>
      <w:tr w:rsidR="0001057B" w:rsidRPr="005371F2" w14:paraId="55E92D2E" w14:textId="77777777" w:rsidTr="00F04804">
        <w:trPr>
          <w:jc w:val="center"/>
        </w:trPr>
        <w:tc>
          <w:tcPr>
            <w:tcW w:w="1276" w:type="dxa"/>
            <w:shd w:val="clear" w:color="auto" w:fill="auto"/>
            <w:vAlign w:val="center"/>
          </w:tcPr>
          <w:p w14:paraId="77DE39C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DIACORE</w:t>
            </w:r>
          </w:p>
        </w:tc>
        <w:tc>
          <w:tcPr>
            <w:tcW w:w="2693" w:type="dxa"/>
            <w:shd w:val="clear" w:color="auto" w:fill="auto"/>
            <w:vAlign w:val="center"/>
          </w:tcPr>
          <w:p w14:paraId="235AEED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all patients included</w:t>
            </w:r>
          </w:p>
        </w:tc>
        <w:tc>
          <w:tcPr>
            <w:tcW w:w="1560" w:type="dxa"/>
            <w:shd w:val="clear" w:color="auto" w:fill="auto"/>
            <w:vAlign w:val="center"/>
          </w:tcPr>
          <w:p w14:paraId="728A8C6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Axiom UK Biobank Array</w:t>
            </w:r>
          </w:p>
        </w:tc>
        <w:tc>
          <w:tcPr>
            <w:tcW w:w="992" w:type="dxa"/>
            <w:shd w:val="clear" w:color="auto" w:fill="auto"/>
            <w:vAlign w:val="center"/>
          </w:tcPr>
          <w:p w14:paraId="4838DF0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Axiom GT1 in Geno</w:t>
            </w:r>
            <w:r>
              <w:rPr>
                <w:rFonts w:ascii="Arial" w:hAnsi="Arial" w:cs="Arial"/>
                <w:color w:val="000000"/>
                <w:sz w:val="18"/>
                <w:szCs w:val="18"/>
                <w:lang w:val="en-US"/>
              </w:rPr>
              <w:t>-</w:t>
            </w:r>
            <w:r w:rsidRPr="005371F2">
              <w:rPr>
                <w:rFonts w:ascii="Arial" w:hAnsi="Arial" w:cs="Arial"/>
                <w:color w:val="000000"/>
                <w:sz w:val="18"/>
                <w:szCs w:val="18"/>
                <w:lang w:val="en-US"/>
              </w:rPr>
              <w:t>typing Console 4.0</w:t>
            </w:r>
          </w:p>
        </w:tc>
        <w:tc>
          <w:tcPr>
            <w:tcW w:w="2268" w:type="dxa"/>
            <w:shd w:val="clear" w:color="auto" w:fill="auto"/>
            <w:vAlign w:val="center"/>
          </w:tcPr>
          <w:p w14:paraId="48D1BFF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Missing phenotype</w:t>
            </w:r>
            <w:r>
              <w:rPr>
                <w:rFonts w:ascii="Arial" w:hAnsi="Arial" w:cs="Arial"/>
                <w:color w:val="000000"/>
                <w:sz w:val="18"/>
                <w:szCs w:val="18"/>
                <w:lang w:val="en-US"/>
              </w:rPr>
              <w:t xml:space="preserve">; </w:t>
            </w:r>
            <w:r w:rsidRPr="005371F2">
              <w:rPr>
                <w:rFonts w:ascii="Arial" w:hAnsi="Arial" w:cs="Arial"/>
                <w:color w:val="000000"/>
                <w:sz w:val="18"/>
                <w:szCs w:val="18"/>
                <w:lang w:val="en-US"/>
              </w:rPr>
              <w:t>Ancestry not European</w:t>
            </w:r>
            <w:r>
              <w:rPr>
                <w:rFonts w:ascii="Arial" w:hAnsi="Arial" w:cs="Arial"/>
                <w:color w:val="000000"/>
                <w:sz w:val="18"/>
                <w:szCs w:val="18"/>
                <w:lang w:val="en-US"/>
              </w:rPr>
              <w:t xml:space="preserve">; </w:t>
            </w:r>
            <w:r w:rsidRPr="005371F2">
              <w:rPr>
                <w:rFonts w:ascii="Arial" w:hAnsi="Arial" w:cs="Arial"/>
                <w:color w:val="000000"/>
                <w:sz w:val="18"/>
                <w:szCs w:val="18"/>
                <w:lang w:val="en-US"/>
              </w:rPr>
              <w:t xml:space="preserve">Relatedness </w:t>
            </w:r>
            <w:r>
              <w:rPr>
                <w:rFonts w:ascii="Arial" w:hAnsi="Arial" w:cs="Arial"/>
                <w:color w:val="000000"/>
                <w:sz w:val="18"/>
                <w:szCs w:val="18"/>
                <w:lang w:val="en-US"/>
              </w:rPr>
              <w:t>≤</w:t>
            </w:r>
            <w:r w:rsidRPr="005371F2">
              <w:rPr>
                <w:rFonts w:ascii="Arial" w:hAnsi="Arial" w:cs="Arial"/>
                <w:color w:val="000000"/>
                <w:sz w:val="18"/>
                <w:szCs w:val="18"/>
                <w:lang w:val="en-US"/>
              </w:rPr>
              <w:t>2nd degree</w:t>
            </w:r>
            <w:r>
              <w:rPr>
                <w:rFonts w:ascii="Arial" w:hAnsi="Arial" w:cs="Arial"/>
                <w:color w:val="000000"/>
                <w:sz w:val="18"/>
                <w:szCs w:val="18"/>
                <w:lang w:val="en-US"/>
              </w:rPr>
              <w:t xml:space="preserve">; sex mismatch; </w:t>
            </w:r>
            <w:r w:rsidRPr="005371F2">
              <w:rPr>
                <w:rFonts w:ascii="Arial" w:hAnsi="Arial" w:cs="Arial"/>
                <w:color w:val="000000"/>
                <w:sz w:val="18"/>
                <w:szCs w:val="18"/>
                <w:lang w:val="en-US"/>
              </w:rPr>
              <w:t xml:space="preserve">Gonosomal </w:t>
            </w:r>
            <w:r>
              <w:rPr>
                <w:rFonts w:ascii="Arial" w:hAnsi="Arial" w:cs="Arial"/>
                <w:color w:val="000000"/>
                <w:sz w:val="18"/>
                <w:szCs w:val="18"/>
                <w:lang w:val="en-US"/>
              </w:rPr>
              <w:t xml:space="preserve">aberration; </w:t>
            </w:r>
            <w:r w:rsidRPr="005371F2">
              <w:rPr>
                <w:rFonts w:ascii="Arial" w:hAnsi="Arial" w:cs="Arial"/>
                <w:color w:val="000000"/>
                <w:sz w:val="18"/>
                <w:szCs w:val="18"/>
                <w:lang w:val="en-US"/>
              </w:rPr>
              <w:t>Excess of Hetero</w:t>
            </w:r>
            <w:r>
              <w:rPr>
                <w:rFonts w:ascii="Arial" w:hAnsi="Arial" w:cs="Arial"/>
                <w:color w:val="000000"/>
                <w:sz w:val="18"/>
                <w:szCs w:val="18"/>
                <w:lang w:val="en-US"/>
              </w:rPr>
              <w:t>-</w:t>
            </w:r>
            <w:r w:rsidRPr="005371F2">
              <w:rPr>
                <w:rFonts w:ascii="Arial" w:hAnsi="Arial" w:cs="Arial"/>
                <w:color w:val="000000"/>
                <w:sz w:val="18"/>
                <w:szCs w:val="18"/>
                <w:lang w:val="en-US"/>
              </w:rPr>
              <w:t>cygosity</w:t>
            </w:r>
            <w:r>
              <w:rPr>
                <w:rFonts w:ascii="Arial" w:hAnsi="Arial" w:cs="Arial"/>
                <w:color w:val="000000"/>
                <w:sz w:val="18"/>
                <w:szCs w:val="18"/>
                <w:lang w:val="en-US"/>
              </w:rPr>
              <w:t xml:space="preserve">; </w:t>
            </w:r>
            <w:r w:rsidRPr="005371F2">
              <w:rPr>
                <w:rFonts w:ascii="Arial" w:hAnsi="Arial" w:cs="Arial"/>
                <w:color w:val="000000"/>
                <w:sz w:val="18"/>
                <w:szCs w:val="18"/>
                <w:lang w:val="en-US"/>
              </w:rPr>
              <w:t xml:space="preserve">Low </w:t>
            </w:r>
            <w:r>
              <w:rPr>
                <w:rFonts w:ascii="Arial" w:hAnsi="Arial" w:cs="Arial"/>
                <w:color w:val="000000"/>
                <w:sz w:val="18"/>
                <w:szCs w:val="18"/>
                <w:lang w:val="en-US"/>
              </w:rPr>
              <w:t>CR</w:t>
            </w:r>
          </w:p>
        </w:tc>
        <w:tc>
          <w:tcPr>
            <w:tcW w:w="992" w:type="dxa"/>
            <w:shd w:val="clear" w:color="auto" w:fill="auto"/>
            <w:vAlign w:val="center"/>
          </w:tcPr>
          <w:p w14:paraId="31BEB3E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799756</w:t>
            </w:r>
          </w:p>
        </w:tc>
        <w:tc>
          <w:tcPr>
            <w:tcW w:w="1843" w:type="dxa"/>
            <w:gridSpan w:val="2"/>
            <w:shd w:val="clear" w:color="auto" w:fill="auto"/>
            <w:vAlign w:val="center"/>
          </w:tcPr>
          <w:p w14:paraId="7C07CBAD" w14:textId="77777777" w:rsidR="0001057B" w:rsidRPr="000F50C9" w:rsidRDefault="0001057B" w:rsidP="0001057B">
            <w:pPr>
              <w:rPr>
                <w:rFonts w:ascii="Arial" w:hAnsi="Arial" w:cs="Arial"/>
                <w:color w:val="000000"/>
                <w:sz w:val="18"/>
                <w:szCs w:val="18"/>
                <w:lang w:val="en-US"/>
              </w:rPr>
            </w:pPr>
            <w:r w:rsidRPr="000F50C9">
              <w:rPr>
                <w:rFonts w:ascii="Arial" w:hAnsi="Arial" w:cs="Arial"/>
                <w:color w:val="000000"/>
                <w:sz w:val="18"/>
                <w:szCs w:val="18"/>
                <w:lang w:val="en-US"/>
              </w:rPr>
              <w:t>ShapeIT v2.r727; minimac-2013-7-17 (minimac RSQ)</w:t>
            </w:r>
          </w:p>
        </w:tc>
        <w:tc>
          <w:tcPr>
            <w:tcW w:w="1701" w:type="dxa"/>
            <w:gridSpan w:val="2"/>
            <w:shd w:val="clear" w:color="auto" w:fill="auto"/>
            <w:vAlign w:val="center"/>
          </w:tcPr>
          <w:p w14:paraId="521D9F3D" w14:textId="77777777" w:rsidR="0001057B" w:rsidRPr="000F50C9" w:rsidRDefault="0001057B" w:rsidP="0001057B">
            <w:pPr>
              <w:rPr>
                <w:rFonts w:ascii="Arial" w:hAnsi="Arial" w:cs="Arial"/>
                <w:color w:val="000000"/>
                <w:sz w:val="18"/>
                <w:szCs w:val="18"/>
                <w:lang w:val="en-US"/>
              </w:rPr>
            </w:pPr>
            <w:r w:rsidRPr="000F50C9">
              <w:rPr>
                <w:rFonts w:ascii="Arial" w:hAnsi="Arial" w:cs="Arial"/>
                <w:color w:val="000000"/>
                <w:sz w:val="18"/>
                <w:szCs w:val="18"/>
                <w:lang w:val="en-US"/>
              </w:rPr>
              <w:t>1000G Phase 3 Version 5</w:t>
            </w:r>
          </w:p>
        </w:tc>
        <w:tc>
          <w:tcPr>
            <w:tcW w:w="1134" w:type="dxa"/>
            <w:shd w:val="clear" w:color="auto" w:fill="auto"/>
            <w:vAlign w:val="center"/>
          </w:tcPr>
          <w:p w14:paraId="5572B682"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auto"/>
            <w:vAlign w:val="center"/>
          </w:tcPr>
          <w:p w14:paraId="2CD080C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first 10 PCs</w:t>
            </w:r>
          </w:p>
        </w:tc>
      </w:tr>
      <w:tr w:rsidR="0001057B" w:rsidRPr="005371F2" w14:paraId="6A5E4649" w14:textId="77777777" w:rsidTr="00F04804">
        <w:trPr>
          <w:jc w:val="center"/>
        </w:trPr>
        <w:tc>
          <w:tcPr>
            <w:tcW w:w="1276" w:type="dxa"/>
            <w:tcBorders>
              <w:bottom w:val="single" w:sz="4" w:space="0" w:color="auto"/>
            </w:tcBorders>
            <w:shd w:val="clear" w:color="auto" w:fill="D9D9D9" w:themeFill="background1" w:themeFillShade="D9"/>
            <w:vAlign w:val="center"/>
          </w:tcPr>
          <w:p w14:paraId="6D77243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ESTHER</w:t>
            </w:r>
          </w:p>
        </w:tc>
        <w:tc>
          <w:tcPr>
            <w:tcW w:w="2693" w:type="dxa"/>
            <w:tcBorders>
              <w:bottom w:val="single" w:sz="4" w:space="0" w:color="auto"/>
            </w:tcBorders>
            <w:shd w:val="clear" w:color="auto" w:fill="D9D9D9" w:themeFill="background1" w:themeFillShade="D9"/>
            <w:vAlign w:val="center"/>
          </w:tcPr>
          <w:p w14:paraId="0EB5180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sex</w:t>
            </w:r>
            <w:r w:rsidRPr="005371F2">
              <w:rPr>
                <w:rFonts w:ascii="Arial" w:hAnsi="Arial" w:cs="Arial"/>
                <w:color w:val="000000"/>
                <w:sz w:val="18"/>
                <w:szCs w:val="18"/>
                <w:lang w:val="en-US"/>
              </w:rPr>
              <w:t xml:space="preserve"> mismatch, sample </w:t>
            </w:r>
            <w:r>
              <w:rPr>
                <w:rFonts w:ascii="Arial" w:hAnsi="Arial" w:cs="Arial"/>
                <w:color w:val="000000"/>
                <w:sz w:val="18"/>
                <w:szCs w:val="18"/>
                <w:lang w:val="en-US"/>
              </w:rPr>
              <w:t>CR</w:t>
            </w:r>
            <w:r w:rsidRPr="005371F2">
              <w:rPr>
                <w:rFonts w:ascii="Arial" w:hAnsi="Arial" w:cs="Arial"/>
                <w:color w:val="000000"/>
                <w:sz w:val="18"/>
                <w:szCs w:val="18"/>
                <w:lang w:val="en-US"/>
              </w:rPr>
              <w:t xml:space="preserve"> &lt; 97%,</w:t>
            </w:r>
            <w:r>
              <w:rPr>
                <w:rFonts w:ascii="Arial" w:hAnsi="Arial" w:cs="Arial"/>
                <w:color w:val="000000"/>
                <w:sz w:val="18"/>
                <w:szCs w:val="18"/>
                <w:lang w:val="en-US"/>
              </w:rPr>
              <w:t xml:space="preserve"> </w:t>
            </w:r>
            <w:r w:rsidRPr="005371F2">
              <w:rPr>
                <w:rFonts w:ascii="Arial" w:hAnsi="Arial" w:cs="Arial"/>
                <w:color w:val="000000"/>
                <w:sz w:val="18"/>
                <w:szCs w:val="18"/>
                <w:lang w:val="en-US"/>
              </w:rPr>
              <w:t xml:space="preserve">duplicated or related samples, ethnic outliers (Germans only remained), </w:t>
            </w:r>
          </w:p>
        </w:tc>
        <w:tc>
          <w:tcPr>
            <w:tcW w:w="1560" w:type="dxa"/>
            <w:tcBorders>
              <w:bottom w:val="single" w:sz="4" w:space="0" w:color="auto"/>
            </w:tcBorders>
            <w:shd w:val="clear" w:color="auto" w:fill="D9D9D9" w:themeFill="background1" w:themeFillShade="D9"/>
            <w:vAlign w:val="center"/>
          </w:tcPr>
          <w:p w14:paraId="54680B2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Infinium OncoArray-500K BeadChip</w:t>
            </w:r>
          </w:p>
        </w:tc>
        <w:tc>
          <w:tcPr>
            <w:tcW w:w="992" w:type="dxa"/>
            <w:tcBorders>
              <w:bottom w:val="single" w:sz="4" w:space="0" w:color="auto"/>
            </w:tcBorders>
            <w:shd w:val="clear" w:color="auto" w:fill="D9D9D9" w:themeFill="background1" w:themeFillShade="D9"/>
            <w:vAlign w:val="center"/>
          </w:tcPr>
          <w:p w14:paraId="3681AB7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GenomeStudio</w:t>
            </w:r>
          </w:p>
        </w:tc>
        <w:tc>
          <w:tcPr>
            <w:tcW w:w="2268" w:type="dxa"/>
            <w:tcBorders>
              <w:bottom w:val="single" w:sz="4" w:space="0" w:color="auto"/>
            </w:tcBorders>
            <w:shd w:val="clear" w:color="auto" w:fill="D9D9D9" w:themeFill="background1" w:themeFillShade="D9"/>
            <w:vAlign w:val="center"/>
          </w:tcPr>
          <w:p w14:paraId="279CDB1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F725B1">
              <w:rPr>
                <w:rFonts w:ascii="Arial" w:hAnsi="Arial" w:cs="Arial"/>
                <w:color w:val="000000"/>
                <w:sz w:val="18"/>
                <w:szCs w:val="18"/>
              </w:rPr>
              <w:t xml:space="preserve">MAF 0.01, GENO 0.05, HWE 0.00001 (Anderson et al., Nat. </w:t>
            </w:r>
            <w:r w:rsidRPr="005371F2">
              <w:rPr>
                <w:rFonts w:ascii="Arial" w:hAnsi="Arial" w:cs="Arial"/>
                <w:color w:val="000000"/>
                <w:sz w:val="18"/>
                <w:szCs w:val="18"/>
                <w:lang w:val="en-US"/>
              </w:rPr>
              <w:t>Protoc. 2010</w:t>
            </w:r>
            <w:r>
              <w:rPr>
                <w:rFonts w:ascii="Arial" w:hAnsi="Arial" w:cs="Arial"/>
                <w:color w:val="000000"/>
                <w:sz w:val="18"/>
                <w:szCs w:val="18"/>
                <w:lang w:val="en-US"/>
              </w:rPr>
              <w:t>)</w:t>
            </w:r>
          </w:p>
        </w:tc>
        <w:tc>
          <w:tcPr>
            <w:tcW w:w="992" w:type="dxa"/>
            <w:tcBorders>
              <w:bottom w:val="single" w:sz="4" w:space="0" w:color="auto"/>
            </w:tcBorders>
            <w:shd w:val="clear" w:color="auto" w:fill="D9D9D9" w:themeFill="background1" w:themeFillShade="D9"/>
            <w:vAlign w:val="center"/>
          </w:tcPr>
          <w:p w14:paraId="478CC9E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368205</w:t>
            </w:r>
          </w:p>
        </w:tc>
        <w:tc>
          <w:tcPr>
            <w:tcW w:w="1843" w:type="dxa"/>
            <w:gridSpan w:val="2"/>
            <w:tcBorders>
              <w:bottom w:val="single" w:sz="4" w:space="0" w:color="auto"/>
            </w:tcBorders>
            <w:shd w:val="clear" w:color="auto" w:fill="D9D9D9" w:themeFill="background1" w:themeFillShade="D9"/>
            <w:vAlign w:val="center"/>
          </w:tcPr>
          <w:p w14:paraId="7F2B967C" w14:textId="77777777" w:rsidR="0001057B" w:rsidRPr="000F50C9" w:rsidRDefault="0001057B" w:rsidP="0001057B">
            <w:pPr>
              <w:rPr>
                <w:rFonts w:ascii="Arial" w:hAnsi="Arial" w:cs="Arial"/>
                <w:color w:val="000000"/>
                <w:sz w:val="18"/>
                <w:szCs w:val="18"/>
                <w:lang w:val="en-US"/>
              </w:rPr>
            </w:pPr>
            <w:r w:rsidRPr="000F50C9">
              <w:rPr>
                <w:rFonts w:ascii="Arial" w:hAnsi="Arial" w:cs="Arial"/>
                <w:color w:val="000000"/>
                <w:sz w:val="18"/>
                <w:szCs w:val="18"/>
                <w:lang w:val="en-US"/>
              </w:rPr>
              <w:t>SHAPEIT; IMPUTE2 (IMPUTE2 Info)</w:t>
            </w:r>
          </w:p>
        </w:tc>
        <w:tc>
          <w:tcPr>
            <w:tcW w:w="1701" w:type="dxa"/>
            <w:gridSpan w:val="2"/>
            <w:tcBorders>
              <w:bottom w:val="single" w:sz="4" w:space="0" w:color="auto"/>
            </w:tcBorders>
            <w:shd w:val="clear" w:color="auto" w:fill="D9D9D9" w:themeFill="background1" w:themeFillShade="D9"/>
            <w:vAlign w:val="center"/>
          </w:tcPr>
          <w:p w14:paraId="463909E2" w14:textId="77777777" w:rsidR="0001057B" w:rsidRPr="000F50C9" w:rsidRDefault="0001057B" w:rsidP="0001057B">
            <w:pPr>
              <w:rPr>
                <w:rFonts w:ascii="Arial" w:hAnsi="Arial" w:cs="Arial"/>
                <w:color w:val="000000"/>
                <w:sz w:val="18"/>
                <w:szCs w:val="18"/>
                <w:lang w:val="en-US"/>
              </w:rPr>
            </w:pPr>
            <w:r w:rsidRPr="000F50C9">
              <w:rPr>
                <w:rFonts w:ascii="Arial" w:hAnsi="Arial" w:cs="Arial"/>
                <w:color w:val="000000"/>
                <w:sz w:val="18"/>
                <w:szCs w:val="18"/>
                <w:lang w:val="en-US"/>
              </w:rPr>
              <w:t>1000G Phase 3 Version 5</w:t>
            </w:r>
          </w:p>
        </w:tc>
        <w:tc>
          <w:tcPr>
            <w:tcW w:w="1134" w:type="dxa"/>
            <w:tcBorders>
              <w:bottom w:val="single" w:sz="4" w:space="0" w:color="auto"/>
            </w:tcBorders>
            <w:shd w:val="clear" w:color="auto" w:fill="D9D9D9" w:themeFill="background1" w:themeFillShade="D9"/>
            <w:vAlign w:val="center"/>
          </w:tcPr>
          <w:p w14:paraId="153D003E"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tcBorders>
              <w:bottom w:val="single" w:sz="4" w:space="0" w:color="auto"/>
            </w:tcBorders>
            <w:shd w:val="clear" w:color="auto" w:fill="D9D9D9" w:themeFill="background1" w:themeFillShade="D9"/>
            <w:vAlign w:val="center"/>
          </w:tcPr>
          <w:p w14:paraId="603EF58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not required</w:t>
            </w:r>
          </w:p>
        </w:tc>
      </w:tr>
    </w:tbl>
    <w:p w14:paraId="3DBB3D3B" w14:textId="77777777" w:rsidR="0001057B" w:rsidRDefault="0001057B" w:rsidP="0001057B">
      <w:pPr>
        <w:ind w:right="-343"/>
        <w:jc w:val="right"/>
      </w:pPr>
      <w:r w:rsidRPr="00DC075A">
        <w:t>… to be continued</w:t>
      </w:r>
    </w:p>
    <w:p w14:paraId="5328CAB0" w14:textId="77777777" w:rsidR="0001057B" w:rsidRDefault="0001057B" w:rsidP="0001057B">
      <w:pPr>
        <w:rPr>
          <w:b/>
          <w:bCs/>
          <w:lang w:val="en-US"/>
        </w:rPr>
      </w:pPr>
      <w:r>
        <w:rPr>
          <w:b/>
          <w:bCs/>
          <w:lang w:val="en-US"/>
        </w:rPr>
        <w:br w:type="page"/>
      </w:r>
    </w:p>
    <w:p w14:paraId="5EF49C00" w14:textId="77777777" w:rsidR="0001057B" w:rsidRPr="00E36097" w:rsidRDefault="0001057B" w:rsidP="0001057B">
      <w:pPr>
        <w:spacing w:after="120" w:line="240" w:lineRule="auto"/>
        <w:rPr>
          <w:lang w:val="en-US"/>
        </w:rPr>
      </w:pPr>
      <w:r w:rsidRPr="00E36097">
        <w:rPr>
          <w:b/>
          <w:bCs/>
          <w:lang w:val="en-US"/>
        </w:rPr>
        <w:lastRenderedPageBreak/>
        <w:t>Supplementary Table 3</w:t>
      </w:r>
      <w:r>
        <w:rPr>
          <w:b/>
          <w:bCs/>
          <w:lang w:val="en-US"/>
        </w:rPr>
        <w:t>: continued</w:t>
      </w:r>
    </w:p>
    <w:tbl>
      <w:tblPr>
        <w:tblW w:w="15876" w:type="dxa"/>
        <w:jc w:val="center"/>
        <w:tblLayout w:type="fixed"/>
        <w:tblLook w:val="0000" w:firstRow="0" w:lastRow="0" w:firstColumn="0" w:lastColumn="0" w:noHBand="0" w:noVBand="0"/>
      </w:tblPr>
      <w:tblGrid>
        <w:gridCol w:w="1276"/>
        <w:gridCol w:w="2693"/>
        <w:gridCol w:w="1560"/>
        <w:gridCol w:w="992"/>
        <w:gridCol w:w="2268"/>
        <w:gridCol w:w="992"/>
        <w:gridCol w:w="1829"/>
        <w:gridCol w:w="14"/>
        <w:gridCol w:w="1687"/>
        <w:gridCol w:w="14"/>
        <w:gridCol w:w="1134"/>
        <w:gridCol w:w="128"/>
        <w:gridCol w:w="1270"/>
        <w:gridCol w:w="19"/>
      </w:tblGrid>
      <w:tr w:rsidR="0001057B" w:rsidRPr="00EA57AC" w14:paraId="479F6010" w14:textId="77777777" w:rsidTr="00F04804">
        <w:trPr>
          <w:gridAfter w:val="1"/>
          <w:wAfter w:w="19" w:type="dxa"/>
          <w:jc w:val="center"/>
        </w:trPr>
        <w:tc>
          <w:tcPr>
            <w:tcW w:w="1276" w:type="dxa"/>
            <w:tcBorders>
              <w:top w:val="single" w:sz="4" w:space="0" w:color="auto"/>
              <w:bottom w:val="single" w:sz="4" w:space="0" w:color="auto"/>
            </w:tcBorders>
            <w:shd w:val="clear" w:color="auto" w:fill="BDD6EE" w:themeFill="accent1" w:themeFillTint="66"/>
            <w:vAlign w:val="bottom"/>
          </w:tcPr>
          <w:p w14:paraId="69119293"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Study</w:t>
            </w:r>
          </w:p>
        </w:tc>
        <w:tc>
          <w:tcPr>
            <w:tcW w:w="2693" w:type="dxa"/>
            <w:tcBorders>
              <w:top w:val="single" w:sz="4" w:space="0" w:color="auto"/>
              <w:bottom w:val="single" w:sz="4" w:space="0" w:color="auto"/>
            </w:tcBorders>
            <w:shd w:val="clear" w:color="auto" w:fill="BDD6EE" w:themeFill="accent1" w:themeFillTint="66"/>
            <w:vAlign w:val="bottom"/>
          </w:tcPr>
          <w:p w14:paraId="623104CA"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Exclusions of individuals</w:t>
            </w:r>
          </w:p>
        </w:tc>
        <w:tc>
          <w:tcPr>
            <w:tcW w:w="1560" w:type="dxa"/>
            <w:tcBorders>
              <w:top w:val="single" w:sz="4" w:space="0" w:color="auto"/>
              <w:bottom w:val="single" w:sz="4" w:space="0" w:color="auto"/>
            </w:tcBorders>
            <w:shd w:val="clear" w:color="auto" w:fill="BDD6EE" w:themeFill="accent1" w:themeFillTint="66"/>
            <w:vAlign w:val="bottom"/>
          </w:tcPr>
          <w:p w14:paraId="0D91AF19"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Genotyping Array</w:t>
            </w:r>
          </w:p>
        </w:tc>
        <w:tc>
          <w:tcPr>
            <w:tcW w:w="992" w:type="dxa"/>
            <w:tcBorders>
              <w:top w:val="single" w:sz="4" w:space="0" w:color="auto"/>
              <w:bottom w:val="single" w:sz="4" w:space="0" w:color="auto"/>
            </w:tcBorders>
            <w:shd w:val="clear" w:color="auto" w:fill="BDD6EE" w:themeFill="accent1" w:themeFillTint="66"/>
            <w:vAlign w:val="bottom"/>
          </w:tcPr>
          <w:p w14:paraId="28F71345"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Geno-type calling</w:t>
            </w:r>
          </w:p>
        </w:tc>
        <w:tc>
          <w:tcPr>
            <w:tcW w:w="2268" w:type="dxa"/>
            <w:tcBorders>
              <w:top w:val="single" w:sz="4" w:space="0" w:color="auto"/>
              <w:bottom w:val="single" w:sz="4" w:space="0" w:color="auto"/>
            </w:tcBorders>
            <w:shd w:val="clear" w:color="auto" w:fill="BDD6EE" w:themeFill="accent1" w:themeFillTint="66"/>
            <w:vAlign w:val="bottom"/>
          </w:tcPr>
          <w:p w14:paraId="29AB18F5"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Variant QC before imputation</w:t>
            </w:r>
          </w:p>
        </w:tc>
        <w:tc>
          <w:tcPr>
            <w:tcW w:w="992"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23E92F25"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w:t>
            </w:r>
            <w:r w:rsidRPr="00EA57AC">
              <w:rPr>
                <w:rFonts w:ascii="Arial" w:hAnsi="Arial" w:cs="Arial"/>
                <w:bCs/>
                <w:color w:val="000000"/>
                <w:sz w:val="18"/>
                <w:szCs w:val="18"/>
                <w:lang w:val="en-US"/>
              </w:rPr>
              <w:t xml:space="preserve"> SNPs used for imputation</w:t>
            </w:r>
          </w:p>
        </w:tc>
        <w:tc>
          <w:tcPr>
            <w:tcW w:w="1829" w:type="dxa"/>
            <w:tcBorders>
              <w:top w:val="single" w:sz="4" w:space="0" w:color="auto"/>
              <w:bottom w:val="single" w:sz="4" w:space="0" w:color="auto"/>
            </w:tcBorders>
            <w:shd w:val="clear" w:color="auto" w:fill="BDD6EE" w:themeFill="accent1" w:themeFillTint="66"/>
            <w:vAlign w:val="bottom"/>
          </w:tcPr>
          <w:p w14:paraId="43C26480" w14:textId="77777777" w:rsidR="0001057B" w:rsidRPr="00EA57AC" w:rsidRDefault="0001057B" w:rsidP="00685851">
            <w:pPr>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Software phasing</w:t>
            </w:r>
            <w:r>
              <w:rPr>
                <w:rFonts w:ascii="Arial" w:hAnsi="Arial" w:cs="Arial"/>
                <w:bCs/>
                <w:color w:val="000000"/>
                <w:sz w:val="18"/>
                <w:szCs w:val="18"/>
                <w:lang w:val="en-US"/>
              </w:rPr>
              <w:t xml:space="preserve"> and </w:t>
            </w:r>
            <w:r w:rsidRPr="00EA57AC">
              <w:rPr>
                <w:rFonts w:ascii="Arial" w:hAnsi="Arial" w:cs="Arial"/>
                <w:bCs/>
                <w:color w:val="000000"/>
                <w:sz w:val="18"/>
                <w:szCs w:val="18"/>
                <w:lang w:val="en-US"/>
              </w:rPr>
              <w:t xml:space="preserve">imputation </w:t>
            </w:r>
            <w:r w:rsidRPr="00EA57AC">
              <w:rPr>
                <w:rFonts w:ascii="Arial" w:hAnsi="Arial" w:cs="Arial"/>
                <w:bCs/>
                <w:color w:val="000000"/>
                <w:sz w:val="18"/>
                <w:szCs w:val="18"/>
                <w:lang w:val="en-US"/>
              </w:rPr>
              <w:br/>
              <w:t>(imputation quality)</w:t>
            </w:r>
          </w:p>
        </w:tc>
        <w:tc>
          <w:tcPr>
            <w:tcW w:w="1701" w:type="dxa"/>
            <w:gridSpan w:val="2"/>
            <w:tcBorders>
              <w:top w:val="single" w:sz="4" w:space="0" w:color="auto"/>
              <w:bottom w:val="single" w:sz="4" w:space="0" w:color="auto"/>
            </w:tcBorders>
            <w:shd w:val="clear" w:color="auto" w:fill="BDD6EE" w:themeFill="accent1" w:themeFillTint="66"/>
            <w:vAlign w:val="bottom"/>
          </w:tcPr>
          <w:p w14:paraId="139655F9" w14:textId="77777777" w:rsidR="0001057B" w:rsidRPr="00EA57AC" w:rsidRDefault="0001057B" w:rsidP="00685851">
            <w:pPr>
              <w:spacing w:after="0" w:line="240" w:lineRule="auto"/>
              <w:rPr>
                <w:rFonts w:ascii="Arial" w:hAnsi="Arial" w:cs="Arial"/>
                <w:bCs/>
                <w:color w:val="000000"/>
                <w:sz w:val="18"/>
                <w:szCs w:val="18"/>
              </w:rPr>
            </w:pPr>
            <w:r w:rsidRPr="00EA57AC">
              <w:rPr>
                <w:rFonts w:ascii="Arial" w:hAnsi="Arial" w:cs="Arial"/>
                <w:bCs/>
                <w:color w:val="000000"/>
                <w:sz w:val="18"/>
                <w:szCs w:val="18"/>
              </w:rPr>
              <w:t>Imputation reference panel</w:t>
            </w:r>
          </w:p>
        </w:tc>
        <w:tc>
          <w:tcPr>
            <w:tcW w:w="1276" w:type="dxa"/>
            <w:gridSpan w:val="3"/>
            <w:tcBorders>
              <w:top w:val="single" w:sz="4" w:space="0" w:color="auto"/>
              <w:bottom w:val="single" w:sz="4" w:space="0" w:color="auto"/>
            </w:tcBorders>
            <w:shd w:val="clear" w:color="auto" w:fill="BDD6EE" w:themeFill="accent1" w:themeFillTint="66"/>
            <w:vAlign w:val="bottom"/>
          </w:tcPr>
          <w:p w14:paraId="096CF246" w14:textId="77777777" w:rsidR="0001057B" w:rsidRPr="00EA57AC" w:rsidRDefault="0001057B" w:rsidP="00F04804">
            <w:pPr>
              <w:spacing w:after="0" w:line="240" w:lineRule="auto"/>
              <w:rPr>
                <w:rFonts w:ascii="Arial" w:hAnsi="Arial" w:cs="Arial"/>
                <w:bCs/>
                <w:color w:val="000000"/>
                <w:sz w:val="18"/>
                <w:szCs w:val="18"/>
              </w:rPr>
            </w:pPr>
            <w:r>
              <w:rPr>
                <w:rFonts w:ascii="Arial" w:hAnsi="Arial" w:cs="Arial"/>
                <w:bCs/>
                <w:color w:val="000000"/>
                <w:sz w:val="18"/>
                <w:szCs w:val="18"/>
              </w:rPr>
              <w:t>Variant QC after imputation</w:t>
            </w:r>
          </w:p>
        </w:tc>
        <w:tc>
          <w:tcPr>
            <w:tcW w:w="1270"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33971F7A" w14:textId="77777777" w:rsidR="0001057B" w:rsidRPr="00EA57AC" w:rsidRDefault="0001057B" w:rsidP="00F04804">
            <w:pPr>
              <w:autoSpaceDE w:val="0"/>
              <w:autoSpaceDN w:val="0"/>
              <w:adjustRightInd w:val="0"/>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Handling of population stratification</w:t>
            </w:r>
          </w:p>
        </w:tc>
      </w:tr>
      <w:tr w:rsidR="0001057B" w:rsidRPr="005B5645" w14:paraId="395B53B4" w14:textId="77777777" w:rsidTr="00F04804">
        <w:trPr>
          <w:jc w:val="center"/>
        </w:trPr>
        <w:tc>
          <w:tcPr>
            <w:tcW w:w="1276" w:type="dxa"/>
            <w:vAlign w:val="center"/>
          </w:tcPr>
          <w:p w14:paraId="4835305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FHS</w:t>
            </w:r>
          </w:p>
        </w:tc>
        <w:tc>
          <w:tcPr>
            <w:tcW w:w="2693" w:type="dxa"/>
            <w:vAlign w:val="center"/>
          </w:tcPr>
          <w:p w14:paraId="3B8D1E8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w:t>
            </w:r>
            <w:r>
              <w:rPr>
                <w:rFonts w:ascii="Arial" w:hAnsi="Arial" w:cs="Arial"/>
                <w:color w:val="000000"/>
                <w:sz w:val="18"/>
                <w:szCs w:val="18"/>
                <w:lang w:val="en-US"/>
              </w:rPr>
              <w:t>&lt;</w:t>
            </w:r>
            <w:r w:rsidRPr="005371F2">
              <w:rPr>
                <w:rFonts w:ascii="Arial" w:hAnsi="Arial" w:cs="Arial"/>
                <w:color w:val="000000"/>
                <w:sz w:val="18"/>
                <w:szCs w:val="18"/>
                <w:lang w:val="en-US"/>
              </w:rPr>
              <w:t>97%,</w:t>
            </w:r>
            <w:r>
              <w:rPr>
                <w:rFonts w:ascii="Arial" w:hAnsi="Arial" w:cs="Arial"/>
                <w:color w:val="000000"/>
                <w:sz w:val="18"/>
                <w:szCs w:val="18"/>
                <w:lang w:val="en-US"/>
              </w:rPr>
              <w:t xml:space="preserve"> </w:t>
            </w:r>
            <w:r w:rsidRPr="005371F2">
              <w:rPr>
                <w:rFonts w:ascii="Arial" w:hAnsi="Arial" w:cs="Arial"/>
                <w:color w:val="000000"/>
                <w:sz w:val="18"/>
                <w:szCs w:val="18"/>
                <w:lang w:val="en-US"/>
              </w:rPr>
              <w:t>sample failure, genotyped sex different from recorded sex, extreme heterozygosity or high Mendelian error rate</w:t>
            </w:r>
          </w:p>
        </w:tc>
        <w:tc>
          <w:tcPr>
            <w:tcW w:w="1560" w:type="dxa"/>
            <w:vAlign w:val="center"/>
          </w:tcPr>
          <w:p w14:paraId="2FD7EF9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GeneChip Human Mapping 500K Array Set® and 50K Human Gene Focused Panel®</w:t>
            </w:r>
          </w:p>
        </w:tc>
        <w:tc>
          <w:tcPr>
            <w:tcW w:w="992" w:type="dxa"/>
            <w:vAlign w:val="center"/>
          </w:tcPr>
          <w:p w14:paraId="0A102F1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BRLMM</w:t>
            </w:r>
          </w:p>
        </w:tc>
        <w:tc>
          <w:tcPr>
            <w:tcW w:w="2268" w:type="dxa"/>
            <w:vAlign w:val="center"/>
          </w:tcPr>
          <w:p w14:paraId="29EAF253" w14:textId="77777777" w:rsidR="0001057B" w:rsidRPr="009B6FEF" w:rsidRDefault="0001057B" w:rsidP="0001057B">
            <w:pPr>
              <w:autoSpaceDE w:val="0"/>
              <w:autoSpaceDN w:val="0"/>
              <w:adjustRightInd w:val="0"/>
              <w:spacing w:after="0" w:line="240" w:lineRule="auto"/>
              <w:rPr>
                <w:rFonts w:ascii="Arial" w:hAnsi="Arial" w:cs="Arial"/>
                <w:color w:val="000000"/>
                <w:sz w:val="18"/>
                <w:szCs w:val="18"/>
              </w:rPr>
            </w:pPr>
            <w:r w:rsidRPr="009B6FEF">
              <w:rPr>
                <w:rFonts w:ascii="Arial" w:hAnsi="Arial" w:cs="Arial"/>
                <w:color w:val="000000"/>
                <w:sz w:val="18"/>
                <w:szCs w:val="18"/>
              </w:rPr>
              <w:t xml:space="preserve">CR </w:t>
            </w:r>
            <w:r>
              <w:rPr>
                <w:rFonts w:ascii="Arial" w:hAnsi="Arial" w:cs="Arial"/>
                <w:color w:val="000000"/>
                <w:sz w:val="18"/>
                <w:szCs w:val="18"/>
              </w:rPr>
              <w:t>&lt;</w:t>
            </w:r>
            <w:r w:rsidRPr="009B6FEF">
              <w:rPr>
                <w:rFonts w:ascii="Arial" w:hAnsi="Arial" w:cs="Arial"/>
                <w:color w:val="000000"/>
                <w:sz w:val="18"/>
                <w:szCs w:val="18"/>
              </w:rPr>
              <w:t>97%, pHWE</w:t>
            </w:r>
            <w:r>
              <w:rPr>
                <w:rFonts w:ascii="Arial" w:hAnsi="Arial" w:cs="Arial"/>
                <w:color w:val="000000"/>
                <w:sz w:val="18"/>
                <w:szCs w:val="18"/>
              </w:rPr>
              <w:t>&lt;</w:t>
            </w:r>
            <w:r w:rsidRPr="009B6FEF">
              <w:rPr>
                <w:rFonts w:ascii="Arial" w:hAnsi="Arial" w:cs="Arial"/>
                <w:color w:val="000000"/>
                <w:sz w:val="18"/>
                <w:szCs w:val="18"/>
              </w:rPr>
              <w:t>1E-6, Mishap p</w:t>
            </w:r>
            <w:r>
              <w:rPr>
                <w:rFonts w:ascii="Arial" w:hAnsi="Arial" w:cs="Arial"/>
                <w:color w:val="000000"/>
                <w:sz w:val="18"/>
                <w:szCs w:val="18"/>
              </w:rPr>
              <w:t>&lt;</w:t>
            </w:r>
            <w:r w:rsidRPr="009B6FEF">
              <w:rPr>
                <w:rFonts w:ascii="Arial" w:hAnsi="Arial" w:cs="Arial"/>
                <w:color w:val="000000"/>
                <w:sz w:val="18"/>
                <w:szCs w:val="18"/>
              </w:rPr>
              <w:t xml:space="preserve">1e-9, </w:t>
            </w:r>
            <w:r>
              <w:rPr>
                <w:rFonts w:ascii="Arial" w:hAnsi="Arial" w:cs="Arial"/>
                <w:color w:val="000000"/>
                <w:sz w:val="18"/>
                <w:szCs w:val="18"/>
              </w:rPr>
              <w:t>&gt;</w:t>
            </w:r>
            <w:r w:rsidRPr="009B6FEF">
              <w:rPr>
                <w:rFonts w:ascii="Arial" w:hAnsi="Arial" w:cs="Arial"/>
                <w:color w:val="000000"/>
                <w:sz w:val="18"/>
                <w:szCs w:val="18"/>
              </w:rPr>
              <w:t>100 Mendel errors, MAF</w:t>
            </w:r>
            <w:r>
              <w:rPr>
                <w:rFonts w:ascii="Arial" w:hAnsi="Arial" w:cs="Arial"/>
                <w:color w:val="000000"/>
                <w:sz w:val="18"/>
                <w:szCs w:val="18"/>
              </w:rPr>
              <w:t>&lt;</w:t>
            </w:r>
            <w:r w:rsidRPr="009B6FEF">
              <w:rPr>
                <w:rFonts w:ascii="Arial" w:hAnsi="Arial" w:cs="Arial"/>
                <w:color w:val="000000"/>
                <w:sz w:val="18"/>
                <w:szCs w:val="18"/>
              </w:rPr>
              <w:t>1%</w:t>
            </w:r>
          </w:p>
        </w:tc>
        <w:tc>
          <w:tcPr>
            <w:tcW w:w="992" w:type="dxa"/>
            <w:vAlign w:val="center"/>
          </w:tcPr>
          <w:p w14:paraId="355F2EB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412053</w:t>
            </w:r>
          </w:p>
        </w:tc>
        <w:tc>
          <w:tcPr>
            <w:tcW w:w="1843" w:type="dxa"/>
            <w:gridSpan w:val="2"/>
            <w:vAlign w:val="center"/>
          </w:tcPr>
          <w:p w14:paraId="1F913200"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MACH version 1.0.16 (MACH R2)</w:t>
            </w:r>
          </w:p>
        </w:tc>
        <w:tc>
          <w:tcPr>
            <w:tcW w:w="1701" w:type="dxa"/>
            <w:gridSpan w:val="2"/>
            <w:vAlign w:val="center"/>
          </w:tcPr>
          <w:p w14:paraId="2037F0F6"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(March 2012)</w:t>
            </w:r>
          </w:p>
        </w:tc>
        <w:tc>
          <w:tcPr>
            <w:tcW w:w="1134" w:type="dxa"/>
            <w:vAlign w:val="center"/>
          </w:tcPr>
          <w:p w14:paraId="1D23C15F"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7FBE0F3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PCs associ</w:t>
            </w:r>
            <w:r w:rsidRPr="005371F2">
              <w:rPr>
                <w:rFonts w:ascii="Arial" w:hAnsi="Arial" w:cs="Arial"/>
                <w:color w:val="000000"/>
                <w:sz w:val="18"/>
                <w:szCs w:val="18"/>
                <w:lang w:val="en-US"/>
              </w:rPr>
              <w:t>ated with trait with p&lt;0.05</w:t>
            </w:r>
          </w:p>
        </w:tc>
      </w:tr>
      <w:tr w:rsidR="0001057B" w:rsidRPr="005371F2" w14:paraId="3E7F8134" w14:textId="77777777" w:rsidTr="00F04804">
        <w:trPr>
          <w:jc w:val="center"/>
        </w:trPr>
        <w:tc>
          <w:tcPr>
            <w:tcW w:w="1276" w:type="dxa"/>
            <w:shd w:val="clear" w:color="auto" w:fill="D9D9D9" w:themeFill="background1" w:themeFillShade="D9"/>
            <w:vAlign w:val="center"/>
          </w:tcPr>
          <w:p w14:paraId="7FA6F13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FINCAVAS</w:t>
            </w:r>
          </w:p>
        </w:tc>
        <w:tc>
          <w:tcPr>
            <w:tcW w:w="2693" w:type="dxa"/>
            <w:shd w:val="clear" w:color="auto" w:fill="D9D9D9" w:themeFill="background1" w:themeFillShade="D9"/>
            <w:vAlign w:val="center"/>
          </w:tcPr>
          <w:p w14:paraId="42818AA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s &lt; 95%, sex mismatch, MDS outliers, excess heterozygosity</w:t>
            </w:r>
          </w:p>
        </w:tc>
        <w:tc>
          <w:tcPr>
            <w:tcW w:w="1560" w:type="dxa"/>
            <w:shd w:val="clear" w:color="auto" w:fill="D9D9D9" w:themeFill="background1" w:themeFillShade="D9"/>
            <w:vAlign w:val="center"/>
          </w:tcPr>
          <w:p w14:paraId="7EAFF17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HumanCoreExome and Metabochip</w:t>
            </w:r>
          </w:p>
        </w:tc>
        <w:tc>
          <w:tcPr>
            <w:tcW w:w="992" w:type="dxa"/>
            <w:shd w:val="clear" w:color="auto" w:fill="D9D9D9" w:themeFill="background1" w:themeFillShade="D9"/>
            <w:vAlign w:val="center"/>
          </w:tcPr>
          <w:p w14:paraId="3ECF5E2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shd w:val="clear" w:color="auto" w:fill="D9D9D9" w:themeFill="background1" w:themeFillShade="D9"/>
            <w:vAlign w:val="center"/>
          </w:tcPr>
          <w:p w14:paraId="345C358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&lt;95%, pHWE&lt;1e-6, monomorphic removed</w:t>
            </w:r>
          </w:p>
        </w:tc>
        <w:tc>
          <w:tcPr>
            <w:tcW w:w="992" w:type="dxa"/>
            <w:shd w:val="clear" w:color="auto" w:fill="D9D9D9" w:themeFill="background1" w:themeFillShade="D9"/>
            <w:vAlign w:val="center"/>
          </w:tcPr>
          <w:p w14:paraId="507DF50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HCE:</w:t>
            </w:r>
            <w:r>
              <w:rPr>
                <w:rFonts w:ascii="Arial" w:hAnsi="Arial" w:cs="Arial"/>
                <w:color w:val="000000"/>
                <w:sz w:val="18"/>
                <w:szCs w:val="18"/>
                <w:lang w:val="en-US"/>
              </w:rPr>
              <w:t xml:space="preserve"> </w:t>
            </w:r>
            <w:r w:rsidRPr="005371F2">
              <w:rPr>
                <w:rFonts w:ascii="Arial" w:hAnsi="Arial" w:cs="Arial"/>
                <w:color w:val="000000"/>
                <w:sz w:val="18"/>
                <w:szCs w:val="18"/>
                <w:lang w:val="en-US"/>
              </w:rPr>
              <w:t>30</w:t>
            </w:r>
            <w:r>
              <w:rPr>
                <w:rFonts w:ascii="Arial" w:hAnsi="Arial" w:cs="Arial"/>
                <w:color w:val="000000"/>
                <w:sz w:val="18"/>
                <w:szCs w:val="18"/>
                <w:lang w:val="en-US"/>
              </w:rPr>
              <w:t>6474</w:t>
            </w:r>
            <w:r>
              <w:rPr>
                <w:rFonts w:ascii="Arial" w:hAnsi="Arial" w:cs="Arial"/>
                <w:color w:val="000000"/>
                <w:sz w:val="18"/>
                <w:szCs w:val="18"/>
                <w:lang w:val="en-US"/>
              </w:rPr>
              <w:br/>
            </w:r>
            <w:r w:rsidRPr="005371F2">
              <w:rPr>
                <w:rFonts w:ascii="Arial" w:hAnsi="Arial" w:cs="Arial"/>
                <w:color w:val="000000"/>
                <w:sz w:val="18"/>
                <w:szCs w:val="18"/>
                <w:lang w:val="en-US"/>
              </w:rPr>
              <w:t>MC: 155499</w:t>
            </w:r>
          </w:p>
        </w:tc>
        <w:tc>
          <w:tcPr>
            <w:tcW w:w="1843" w:type="dxa"/>
            <w:gridSpan w:val="2"/>
            <w:shd w:val="clear" w:color="auto" w:fill="D9D9D9" w:themeFill="background1" w:themeFillShade="D9"/>
            <w:vAlign w:val="center"/>
          </w:tcPr>
          <w:p w14:paraId="0B2CD7FF"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Eagle2; Minimac3 (R2)</w:t>
            </w:r>
          </w:p>
        </w:tc>
        <w:tc>
          <w:tcPr>
            <w:tcW w:w="1701" w:type="dxa"/>
            <w:gridSpan w:val="2"/>
            <w:shd w:val="clear" w:color="auto" w:fill="D9D9D9" w:themeFill="background1" w:themeFillShade="D9"/>
            <w:vAlign w:val="center"/>
          </w:tcPr>
          <w:p w14:paraId="526700B1" w14:textId="77777777" w:rsidR="0001057B" w:rsidRPr="005371F2" w:rsidRDefault="0001057B" w:rsidP="0001057B">
            <w:pPr>
              <w:rPr>
                <w:rFonts w:ascii="Arial" w:hAnsi="Arial" w:cs="Arial"/>
                <w:color w:val="000000"/>
                <w:sz w:val="18"/>
                <w:szCs w:val="18"/>
              </w:rPr>
            </w:pPr>
            <w:r>
              <w:rPr>
                <w:rFonts w:ascii="Arial" w:hAnsi="Arial" w:cs="Arial"/>
                <w:color w:val="000000"/>
                <w:sz w:val="18"/>
                <w:szCs w:val="18"/>
              </w:rPr>
              <w:t>HRC</w:t>
            </w:r>
            <w:r w:rsidRPr="005371F2">
              <w:rPr>
                <w:rFonts w:ascii="Arial" w:hAnsi="Arial" w:cs="Arial"/>
                <w:color w:val="000000"/>
                <w:sz w:val="18"/>
                <w:szCs w:val="18"/>
              </w:rPr>
              <w:t xml:space="preserve"> 1.1</w:t>
            </w:r>
          </w:p>
        </w:tc>
        <w:tc>
          <w:tcPr>
            <w:tcW w:w="1134" w:type="dxa"/>
            <w:shd w:val="clear" w:color="auto" w:fill="D9D9D9" w:themeFill="background1" w:themeFillShade="D9"/>
            <w:vAlign w:val="center"/>
          </w:tcPr>
          <w:p w14:paraId="549262D6" w14:textId="46B8EAFA" w:rsidR="0001057B" w:rsidRPr="005371F2" w:rsidRDefault="00F04804" w:rsidP="0001057B">
            <w:pPr>
              <w:rPr>
                <w:rFonts w:ascii="Arial" w:hAnsi="Arial" w:cs="Arial"/>
                <w:color w:val="000000"/>
                <w:sz w:val="18"/>
                <w:szCs w:val="18"/>
              </w:rPr>
            </w:pPr>
            <w:r>
              <w:rPr>
                <w:rFonts w:ascii="Arial" w:hAnsi="Arial" w:cs="Arial"/>
                <w:color w:val="000000"/>
                <w:sz w:val="18"/>
                <w:szCs w:val="18"/>
              </w:rPr>
              <w:t>n</w:t>
            </w:r>
            <w:r w:rsidR="0001057B" w:rsidRPr="005371F2">
              <w:rPr>
                <w:rFonts w:ascii="Arial" w:hAnsi="Arial" w:cs="Arial"/>
                <w:color w:val="000000"/>
                <w:sz w:val="18"/>
                <w:szCs w:val="18"/>
              </w:rPr>
              <w:t>one</w:t>
            </w:r>
          </w:p>
        </w:tc>
        <w:tc>
          <w:tcPr>
            <w:tcW w:w="1417" w:type="dxa"/>
            <w:gridSpan w:val="3"/>
            <w:shd w:val="clear" w:color="auto" w:fill="D9D9D9" w:themeFill="background1" w:themeFillShade="D9"/>
            <w:vAlign w:val="center"/>
          </w:tcPr>
          <w:p w14:paraId="0EE6921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PCs 1-5</w:t>
            </w:r>
          </w:p>
        </w:tc>
      </w:tr>
      <w:tr w:rsidR="0001057B" w:rsidRPr="005371F2" w14:paraId="2F940C89" w14:textId="77777777" w:rsidTr="00F04804">
        <w:trPr>
          <w:jc w:val="center"/>
        </w:trPr>
        <w:tc>
          <w:tcPr>
            <w:tcW w:w="1276" w:type="dxa"/>
            <w:vAlign w:val="center"/>
          </w:tcPr>
          <w:p w14:paraId="3C8C839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GCKD</w:t>
            </w:r>
          </w:p>
        </w:tc>
        <w:tc>
          <w:tcPr>
            <w:tcW w:w="2693" w:type="dxa"/>
            <w:vAlign w:val="center"/>
          </w:tcPr>
          <w:p w14:paraId="75A1915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 97%, failed sex check, outside 2 SD of mean heterozygosity, cryptic </w:t>
            </w:r>
            <w:r>
              <w:rPr>
                <w:rFonts w:ascii="Arial" w:hAnsi="Arial" w:cs="Arial"/>
                <w:color w:val="000000"/>
                <w:sz w:val="18"/>
                <w:szCs w:val="18"/>
                <w:lang w:val="en-US"/>
              </w:rPr>
              <w:t>r</w:t>
            </w:r>
            <w:r w:rsidRPr="005371F2">
              <w:rPr>
                <w:rFonts w:ascii="Arial" w:hAnsi="Arial" w:cs="Arial"/>
                <w:color w:val="000000"/>
                <w:sz w:val="18"/>
                <w:szCs w:val="18"/>
                <w:lang w:val="en-US"/>
              </w:rPr>
              <w:t>elatedness</w:t>
            </w:r>
            <w:r>
              <w:rPr>
                <w:rFonts w:ascii="Arial" w:hAnsi="Arial" w:cs="Arial"/>
                <w:color w:val="000000"/>
                <w:sz w:val="18"/>
                <w:szCs w:val="18"/>
                <w:lang w:val="en-US"/>
              </w:rPr>
              <w:t xml:space="preserve">; </w:t>
            </w:r>
            <w:r w:rsidRPr="005371F2">
              <w:rPr>
                <w:rFonts w:ascii="Arial" w:hAnsi="Arial" w:cs="Arial"/>
                <w:color w:val="000000"/>
                <w:sz w:val="18"/>
                <w:szCs w:val="18"/>
                <w:lang w:val="en-US"/>
              </w:rPr>
              <w:t>genetic ancestry outlier</w:t>
            </w:r>
          </w:p>
        </w:tc>
        <w:tc>
          <w:tcPr>
            <w:tcW w:w="1560" w:type="dxa"/>
            <w:vAlign w:val="center"/>
          </w:tcPr>
          <w:p w14:paraId="5252CEF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Omni2.5Exome BeadChip</w:t>
            </w:r>
          </w:p>
        </w:tc>
        <w:tc>
          <w:tcPr>
            <w:tcW w:w="992" w:type="dxa"/>
            <w:vAlign w:val="center"/>
          </w:tcPr>
          <w:p w14:paraId="4DDAB17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GenomeStudio</w:t>
            </w:r>
          </w:p>
        </w:tc>
        <w:tc>
          <w:tcPr>
            <w:tcW w:w="2268" w:type="dxa"/>
            <w:vAlign w:val="center"/>
          </w:tcPr>
          <w:p w14:paraId="59D73D5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 96%, HWE p &lt; 1E-5, or MAF &lt; 1%</w:t>
            </w:r>
          </w:p>
        </w:tc>
        <w:tc>
          <w:tcPr>
            <w:tcW w:w="992" w:type="dxa"/>
            <w:vAlign w:val="center"/>
          </w:tcPr>
          <w:p w14:paraId="3158BF9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2337794</w:t>
            </w:r>
          </w:p>
        </w:tc>
        <w:tc>
          <w:tcPr>
            <w:tcW w:w="1843" w:type="dxa"/>
            <w:gridSpan w:val="2"/>
            <w:vAlign w:val="center"/>
          </w:tcPr>
          <w:p w14:paraId="34BA07C6"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Eagle; minimac3 (r2)</w:t>
            </w:r>
          </w:p>
        </w:tc>
        <w:tc>
          <w:tcPr>
            <w:tcW w:w="1701" w:type="dxa"/>
            <w:gridSpan w:val="2"/>
            <w:vAlign w:val="center"/>
          </w:tcPr>
          <w:p w14:paraId="5FC9188F" w14:textId="77777777" w:rsidR="0001057B" w:rsidRPr="005371F2" w:rsidRDefault="0001057B" w:rsidP="0001057B">
            <w:pPr>
              <w:rPr>
                <w:rFonts w:ascii="Arial" w:hAnsi="Arial" w:cs="Arial"/>
                <w:color w:val="000000"/>
                <w:sz w:val="18"/>
                <w:szCs w:val="18"/>
              </w:rPr>
            </w:pPr>
            <w:r w:rsidRPr="00014EF0">
              <w:rPr>
                <w:rFonts w:ascii="Arial" w:hAnsi="Arial" w:cs="Arial"/>
                <w:color w:val="000000"/>
                <w:sz w:val="18"/>
                <w:szCs w:val="18"/>
              </w:rPr>
              <w:t>HRC 1.1</w:t>
            </w:r>
          </w:p>
        </w:tc>
        <w:tc>
          <w:tcPr>
            <w:tcW w:w="1134" w:type="dxa"/>
            <w:vAlign w:val="center"/>
          </w:tcPr>
          <w:p w14:paraId="40C019CA"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24AA2D2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no associated PCs</w:t>
            </w:r>
          </w:p>
        </w:tc>
      </w:tr>
      <w:tr w:rsidR="0001057B" w:rsidRPr="005B5645" w14:paraId="56F87017" w14:textId="77777777" w:rsidTr="00F04804">
        <w:trPr>
          <w:jc w:val="center"/>
        </w:trPr>
        <w:tc>
          <w:tcPr>
            <w:tcW w:w="1276" w:type="dxa"/>
            <w:shd w:val="clear" w:color="auto" w:fill="D9D9D9" w:themeFill="background1" w:themeFillShade="D9"/>
            <w:vAlign w:val="center"/>
          </w:tcPr>
          <w:p w14:paraId="5DB1C0E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JHS</w:t>
            </w:r>
          </w:p>
        </w:tc>
        <w:tc>
          <w:tcPr>
            <w:tcW w:w="2693" w:type="dxa"/>
            <w:shd w:val="clear" w:color="auto" w:fill="D9D9D9" w:themeFill="background1" w:themeFillShade="D9"/>
            <w:vAlign w:val="center"/>
          </w:tcPr>
          <w:p w14:paraId="074255A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mismatches, sample duplications or swaps, sample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w:t>
            </w:r>
          </w:p>
        </w:tc>
        <w:tc>
          <w:tcPr>
            <w:tcW w:w="1560" w:type="dxa"/>
            <w:shd w:val="clear" w:color="auto" w:fill="D9D9D9" w:themeFill="background1" w:themeFillShade="D9"/>
            <w:vAlign w:val="center"/>
          </w:tcPr>
          <w:p w14:paraId="16DCCB8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6.0</w:t>
            </w:r>
          </w:p>
        </w:tc>
        <w:tc>
          <w:tcPr>
            <w:tcW w:w="992" w:type="dxa"/>
            <w:shd w:val="clear" w:color="auto" w:fill="D9D9D9" w:themeFill="background1" w:themeFillShade="D9"/>
            <w:vAlign w:val="center"/>
          </w:tcPr>
          <w:p w14:paraId="2F79989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w:t>
            </w:r>
          </w:p>
        </w:tc>
        <w:tc>
          <w:tcPr>
            <w:tcW w:w="2268" w:type="dxa"/>
            <w:shd w:val="clear" w:color="auto" w:fill="D9D9D9" w:themeFill="background1" w:themeFillShade="D9"/>
            <w:vAlign w:val="center"/>
          </w:tcPr>
          <w:p w14:paraId="66DEE34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&lt;95%</w:t>
            </w:r>
          </w:p>
        </w:tc>
        <w:tc>
          <w:tcPr>
            <w:tcW w:w="992" w:type="dxa"/>
            <w:shd w:val="clear" w:color="auto" w:fill="D9D9D9" w:themeFill="background1" w:themeFillShade="D9"/>
            <w:vAlign w:val="center"/>
          </w:tcPr>
          <w:p w14:paraId="0FC28E5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868969</w:t>
            </w:r>
          </w:p>
        </w:tc>
        <w:tc>
          <w:tcPr>
            <w:tcW w:w="1843" w:type="dxa"/>
            <w:gridSpan w:val="2"/>
            <w:shd w:val="clear" w:color="auto" w:fill="D9D9D9" w:themeFill="background1" w:themeFillShade="D9"/>
            <w:vAlign w:val="center"/>
          </w:tcPr>
          <w:p w14:paraId="35DA5347" w14:textId="77777777" w:rsidR="0001057B" w:rsidRPr="005371F2" w:rsidRDefault="0001057B" w:rsidP="0001057B">
            <w:pPr>
              <w:rPr>
                <w:rFonts w:ascii="Arial" w:hAnsi="Arial" w:cs="Arial"/>
                <w:color w:val="000000"/>
                <w:sz w:val="18"/>
                <w:szCs w:val="18"/>
              </w:rPr>
            </w:pPr>
            <w:r w:rsidRPr="009650D7">
              <w:rPr>
                <w:rFonts w:ascii="Arial" w:hAnsi="Arial" w:cs="Arial"/>
                <w:color w:val="000000"/>
                <w:sz w:val="18"/>
                <w:szCs w:val="18"/>
                <w:lang w:val="en-US"/>
              </w:rPr>
              <w:t xml:space="preserve">MACH 1.0; minimac (r2 </w:t>
            </w:r>
            <w:r w:rsidRPr="005371F2">
              <w:rPr>
                <w:rFonts w:ascii="Arial" w:hAnsi="Arial" w:cs="Arial"/>
                <w:color w:val="000000"/>
                <w:sz w:val="18"/>
                <w:szCs w:val="18"/>
              </w:rPr>
              <w:t>from MACH)</w:t>
            </w:r>
          </w:p>
        </w:tc>
        <w:tc>
          <w:tcPr>
            <w:tcW w:w="1701" w:type="dxa"/>
            <w:gridSpan w:val="2"/>
            <w:shd w:val="clear" w:color="auto" w:fill="D9D9D9" w:themeFill="background1" w:themeFillShade="D9"/>
            <w:vAlign w:val="center"/>
          </w:tcPr>
          <w:p w14:paraId="13B997D3"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(March 2012), ALL</w:t>
            </w:r>
          </w:p>
        </w:tc>
        <w:tc>
          <w:tcPr>
            <w:tcW w:w="1134" w:type="dxa"/>
            <w:shd w:val="clear" w:color="auto" w:fill="D9D9D9" w:themeFill="background1" w:themeFillShade="D9"/>
            <w:vAlign w:val="center"/>
          </w:tcPr>
          <w:p w14:paraId="520222A3"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D9D9D9" w:themeFill="background1" w:themeFillShade="D9"/>
            <w:vAlign w:val="center"/>
          </w:tcPr>
          <w:p w14:paraId="36F7AEC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First 10 PCs, and kinship matrix for continuous traits</w:t>
            </w:r>
          </w:p>
        </w:tc>
      </w:tr>
      <w:tr w:rsidR="0001057B" w:rsidRPr="005371F2" w14:paraId="26740A63" w14:textId="77777777" w:rsidTr="00F04804">
        <w:trPr>
          <w:jc w:val="center"/>
        </w:trPr>
        <w:tc>
          <w:tcPr>
            <w:tcW w:w="1276" w:type="dxa"/>
            <w:vAlign w:val="center"/>
          </w:tcPr>
          <w:p w14:paraId="13F108D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KORA_S3F3</w:t>
            </w:r>
          </w:p>
        </w:tc>
        <w:tc>
          <w:tcPr>
            <w:tcW w:w="2693" w:type="dxa"/>
            <w:vAlign w:val="center"/>
          </w:tcPr>
          <w:p w14:paraId="20EDA5F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Non-</w:t>
            </w:r>
            <w:r w:rsidRPr="005371F2">
              <w:rPr>
                <w:rFonts w:ascii="Arial" w:hAnsi="Arial" w:cs="Arial"/>
                <w:color w:val="000000"/>
                <w:sz w:val="18"/>
                <w:szCs w:val="18"/>
                <w:lang w:val="en-US"/>
              </w:rPr>
              <w:t>European ancestry, population outlier</w:t>
            </w:r>
            <w:r>
              <w:rPr>
                <w:rFonts w:ascii="Arial" w:hAnsi="Arial" w:cs="Arial"/>
                <w:color w:val="000000"/>
                <w:sz w:val="18"/>
                <w:szCs w:val="18"/>
                <w:lang w:val="en-US"/>
              </w:rPr>
              <w:t xml:space="preserve">, sex mismatch, </w:t>
            </w:r>
            <w:r w:rsidRPr="005371F2">
              <w:rPr>
                <w:rFonts w:ascii="Arial" w:hAnsi="Arial" w:cs="Arial"/>
                <w:color w:val="000000"/>
                <w:sz w:val="18"/>
                <w:szCs w:val="18"/>
                <w:lang w:val="en-US"/>
              </w:rPr>
              <w:t xml:space="preserve">5SD from mean heterozygosity rate, </w:t>
            </w:r>
            <w:r>
              <w:rPr>
                <w:rFonts w:ascii="Arial" w:hAnsi="Arial" w:cs="Arial"/>
                <w:color w:val="000000"/>
                <w:sz w:val="18"/>
                <w:szCs w:val="18"/>
                <w:lang w:val="en-US"/>
              </w:rPr>
              <w:t>mismatch to previous</w:t>
            </w:r>
            <w:r w:rsidRPr="005371F2">
              <w:rPr>
                <w:rFonts w:ascii="Arial" w:hAnsi="Arial" w:cs="Arial"/>
                <w:color w:val="000000"/>
                <w:sz w:val="18"/>
                <w:szCs w:val="18"/>
                <w:lang w:val="en-US"/>
              </w:rPr>
              <w:t xml:space="preserve"> genotyping </w:t>
            </w:r>
          </w:p>
        </w:tc>
        <w:tc>
          <w:tcPr>
            <w:tcW w:w="1560" w:type="dxa"/>
            <w:vAlign w:val="center"/>
          </w:tcPr>
          <w:p w14:paraId="580561A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it-IT"/>
              </w:rPr>
            </w:pPr>
            <w:r w:rsidRPr="005371F2">
              <w:rPr>
                <w:rFonts w:ascii="Arial" w:hAnsi="Arial" w:cs="Arial"/>
                <w:color w:val="000000"/>
                <w:sz w:val="18"/>
                <w:szCs w:val="18"/>
                <w:lang w:val="it-IT"/>
              </w:rPr>
              <w:t>Illumina Omni 2.5/Illumina Omni Express</w:t>
            </w:r>
          </w:p>
        </w:tc>
        <w:tc>
          <w:tcPr>
            <w:tcW w:w="992" w:type="dxa"/>
            <w:vAlign w:val="center"/>
          </w:tcPr>
          <w:p w14:paraId="61802AD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vAlign w:val="center"/>
          </w:tcPr>
          <w:p w14:paraId="0CF87EE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w:t>
            </w:r>
            <w:r>
              <w:rPr>
                <w:rFonts w:ascii="Arial" w:hAnsi="Arial" w:cs="Arial"/>
                <w:color w:val="000000"/>
                <w:sz w:val="18"/>
                <w:szCs w:val="18"/>
                <w:lang w:val="en-US"/>
              </w:rPr>
              <w:t>&lt;</w:t>
            </w:r>
            <w:r w:rsidRPr="005371F2">
              <w:rPr>
                <w:rFonts w:ascii="Arial" w:hAnsi="Arial" w:cs="Arial"/>
                <w:color w:val="000000"/>
                <w:sz w:val="18"/>
                <w:szCs w:val="18"/>
                <w:lang w:val="en-US"/>
              </w:rPr>
              <w:t>97%</w:t>
            </w:r>
          </w:p>
        </w:tc>
        <w:tc>
          <w:tcPr>
            <w:tcW w:w="992" w:type="dxa"/>
            <w:vAlign w:val="center"/>
          </w:tcPr>
          <w:p w14:paraId="3428527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587981 (chr 1-22)</w:t>
            </w:r>
          </w:p>
        </w:tc>
        <w:tc>
          <w:tcPr>
            <w:tcW w:w="1843" w:type="dxa"/>
            <w:gridSpan w:val="2"/>
            <w:vAlign w:val="center"/>
          </w:tcPr>
          <w:p w14:paraId="09F1233C"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Michigan Imputation Server (r2)</w:t>
            </w:r>
          </w:p>
        </w:tc>
        <w:tc>
          <w:tcPr>
            <w:tcW w:w="1701" w:type="dxa"/>
            <w:gridSpan w:val="2"/>
            <w:vAlign w:val="center"/>
          </w:tcPr>
          <w:p w14:paraId="02E17384"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1000G Phase 3 Version 5</w:t>
            </w:r>
          </w:p>
        </w:tc>
        <w:tc>
          <w:tcPr>
            <w:tcW w:w="1134" w:type="dxa"/>
            <w:vAlign w:val="center"/>
          </w:tcPr>
          <w:p w14:paraId="1E1943B4"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4A47257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PC1-PC10</w:t>
            </w:r>
          </w:p>
        </w:tc>
      </w:tr>
      <w:tr w:rsidR="0001057B" w:rsidRPr="005371F2" w14:paraId="7509640B" w14:textId="77777777" w:rsidTr="00F04804">
        <w:trPr>
          <w:jc w:val="center"/>
        </w:trPr>
        <w:tc>
          <w:tcPr>
            <w:tcW w:w="1276" w:type="dxa"/>
            <w:shd w:val="clear" w:color="auto" w:fill="D9D9D9" w:themeFill="background1" w:themeFillShade="D9"/>
            <w:vAlign w:val="center"/>
          </w:tcPr>
          <w:p w14:paraId="4CBF437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KORA_S4F4</w:t>
            </w:r>
          </w:p>
        </w:tc>
        <w:tc>
          <w:tcPr>
            <w:tcW w:w="2693" w:type="dxa"/>
            <w:shd w:val="clear" w:color="auto" w:fill="D9D9D9" w:themeFill="background1" w:themeFillShade="D9"/>
            <w:vAlign w:val="center"/>
          </w:tcPr>
          <w:p w14:paraId="608D163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Non-</w:t>
            </w:r>
            <w:r w:rsidRPr="005371F2">
              <w:rPr>
                <w:rFonts w:ascii="Arial" w:hAnsi="Arial" w:cs="Arial"/>
                <w:color w:val="000000"/>
                <w:sz w:val="18"/>
                <w:szCs w:val="18"/>
                <w:lang w:val="en-US"/>
              </w:rPr>
              <w:t>European ancestry, population outlier</w:t>
            </w:r>
            <w:r>
              <w:rPr>
                <w:rFonts w:ascii="Arial" w:hAnsi="Arial" w:cs="Arial"/>
                <w:color w:val="000000"/>
                <w:sz w:val="18"/>
                <w:szCs w:val="18"/>
                <w:lang w:val="en-US"/>
              </w:rPr>
              <w:t xml:space="preserve">, sex mismatch, </w:t>
            </w:r>
            <w:r w:rsidRPr="005371F2">
              <w:rPr>
                <w:rFonts w:ascii="Arial" w:hAnsi="Arial" w:cs="Arial"/>
                <w:color w:val="000000"/>
                <w:sz w:val="18"/>
                <w:szCs w:val="18"/>
                <w:lang w:val="en-US"/>
              </w:rPr>
              <w:t xml:space="preserve">5SD from mean heterozygosity rate, </w:t>
            </w:r>
            <w:r>
              <w:rPr>
                <w:rFonts w:ascii="Arial" w:hAnsi="Arial" w:cs="Arial"/>
                <w:color w:val="000000"/>
                <w:sz w:val="18"/>
                <w:szCs w:val="18"/>
                <w:lang w:val="en-US"/>
              </w:rPr>
              <w:t>mismatch to previous</w:t>
            </w:r>
            <w:r w:rsidRPr="005371F2">
              <w:rPr>
                <w:rFonts w:ascii="Arial" w:hAnsi="Arial" w:cs="Arial"/>
                <w:color w:val="000000"/>
                <w:sz w:val="18"/>
                <w:szCs w:val="18"/>
                <w:lang w:val="en-US"/>
              </w:rPr>
              <w:t xml:space="preserve"> genotyping</w:t>
            </w:r>
          </w:p>
        </w:tc>
        <w:tc>
          <w:tcPr>
            <w:tcW w:w="1560" w:type="dxa"/>
            <w:shd w:val="clear" w:color="auto" w:fill="D9D9D9" w:themeFill="background1" w:themeFillShade="D9"/>
            <w:vAlign w:val="center"/>
          </w:tcPr>
          <w:p w14:paraId="1F99DC8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Axiom</w:t>
            </w:r>
          </w:p>
        </w:tc>
        <w:tc>
          <w:tcPr>
            <w:tcW w:w="992" w:type="dxa"/>
            <w:shd w:val="clear" w:color="auto" w:fill="D9D9D9" w:themeFill="background1" w:themeFillShade="D9"/>
            <w:vAlign w:val="center"/>
          </w:tcPr>
          <w:p w14:paraId="6CACEDE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Software</w:t>
            </w:r>
          </w:p>
        </w:tc>
        <w:tc>
          <w:tcPr>
            <w:tcW w:w="2268" w:type="dxa"/>
            <w:shd w:val="clear" w:color="auto" w:fill="D9D9D9" w:themeFill="background1" w:themeFillShade="D9"/>
            <w:vAlign w:val="center"/>
          </w:tcPr>
          <w:p w14:paraId="412F4A6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w:t>
            </w:r>
            <w:r>
              <w:rPr>
                <w:rFonts w:ascii="Arial" w:hAnsi="Arial" w:cs="Arial"/>
                <w:color w:val="000000"/>
                <w:sz w:val="18"/>
                <w:szCs w:val="18"/>
                <w:lang w:val="en-US"/>
              </w:rPr>
              <w:t>&lt;</w:t>
            </w:r>
            <w:r w:rsidRPr="005371F2">
              <w:rPr>
                <w:rFonts w:ascii="Arial" w:hAnsi="Arial" w:cs="Arial"/>
                <w:color w:val="000000"/>
                <w:sz w:val="18"/>
                <w:szCs w:val="18"/>
                <w:lang w:val="en-US"/>
              </w:rPr>
              <w:t>97%</w:t>
            </w:r>
          </w:p>
        </w:tc>
        <w:tc>
          <w:tcPr>
            <w:tcW w:w="992" w:type="dxa"/>
            <w:shd w:val="clear" w:color="auto" w:fill="D9D9D9" w:themeFill="background1" w:themeFillShade="D9"/>
            <w:vAlign w:val="center"/>
          </w:tcPr>
          <w:p w14:paraId="4E460D9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508532 (chr 1-22)</w:t>
            </w:r>
          </w:p>
        </w:tc>
        <w:tc>
          <w:tcPr>
            <w:tcW w:w="1843" w:type="dxa"/>
            <w:gridSpan w:val="2"/>
            <w:shd w:val="clear" w:color="auto" w:fill="D9D9D9" w:themeFill="background1" w:themeFillShade="D9"/>
            <w:vAlign w:val="center"/>
          </w:tcPr>
          <w:p w14:paraId="708407DC"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Michigan Imputation Server (r2)</w:t>
            </w:r>
          </w:p>
        </w:tc>
        <w:tc>
          <w:tcPr>
            <w:tcW w:w="1701" w:type="dxa"/>
            <w:gridSpan w:val="2"/>
            <w:shd w:val="clear" w:color="auto" w:fill="D9D9D9" w:themeFill="background1" w:themeFillShade="D9"/>
            <w:vAlign w:val="center"/>
          </w:tcPr>
          <w:p w14:paraId="142E70FF"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1000G Phase 3 Version 5</w:t>
            </w:r>
          </w:p>
        </w:tc>
        <w:tc>
          <w:tcPr>
            <w:tcW w:w="1134" w:type="dxa"/>
            <w:shd w:val="clear" w:color="auto" w:fill="D9D9D9" w:themeFill="background1" w:themeFillShade="D9"/>
            <w:vAlign w:val="center"/>
          </w:tcPr>
          <w:p w14:paraId="54B193AB"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D9D9D9" w:themeFill="background1" w:themeFillShade="D9"/>
            <w:vAlign w:val="center"/>
          </w:tcPr>
          <w:p w14:paraId="3B7AE75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PC1-PC10</w:t>
            </w:r>
          </w:p>
        </w:tc>
      </w:tr>
      <w:tr w:rsidR="0001057B" w:rsidRPr="005371F2" w14:paraId="0BFE0BA7" w14:textId="77777777" w:rsidTr="00F04804">
        <w:trPr>
          <w:jc w:val="center"/>
        </w:trPr>
        <w:tc>
          <w:tcPr>
            <w:tcW w:w="1276" w:type="dxa"/>
            <w:tcBorders>
              <w:bottom w:val="single" w:sz="4" w:space="0" w:color="auto"/>
            </w:tcBorders>
            <w:vAlign w:val="center"/>
          </w:tcPr>
          <w:p w14:paraId="044FF4B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Lifelines</w:t>
            </w:r>
          </w:p>
        </w:tc>
        <w:tc>
          <w:tcPr>
            <w:tcW w:w="2693" w:type="dxa"/>
            <w:tcBorders>
              <w:bottom w:val="single" w:sz="4" w:space="0" w:color="auto"/>
            </w:tcBorders>
            <w:vAlign w:val="center"/>
          </w:tcPr>
          <w:p w14:paraId="0A6C71C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Sample CR</w:t>
            </w:r>
            <w:r w:rsidRPr="005371F2">
              <w:rPr>
                <w:rFonts w:ascii="Arial" w:hAnsi="Arial" w:cs="Arial"/>
                <w:color w:val="000000"/>
                <w:sz w:val="18"/>
                <w:szCs w:val="18"/>
                <w:lang w:val="en-US"/>
              </w:rPr>
              <w:t xml:space="preserve"> &lt;</w:t>
            </w:r>
            <w:r>
              <w:rPr>
                <w:rFonts w:ascii="Arial" w:hAnsi="Arial" w:cs="Arial"/>
                <w:color w:val="000000"/>
                <w:sz w:val="18"/>
                <w:szCs w:val="18"/>
                <w:lang w:val="en-US"/>
              </w:rPr>
              <w:t>80</w:t>
            </w:r>
            <w:r w:rsidRPr="005371F2">
              <w:rPr>
                <w:rFonts w:ascii="Arial" w:hAnsi="Arial" w:cs="Arial"/>
                <w:color w:val="000000"/>
                <w:sz w:val="18"/>
                <w:szCs w:val="18"/>
                <w:lang w:val="en-US"/>
              </w:rPr>
              <w:t>%; sex mismatch; heterozygosity &gt; 4SD from mean; non-Caucasian ethnicity (by PCA), high relatedness (pi-hat &gt; 0.4)</w:t>
            </w:r>
          </w:p>
        </w:tc>
        <w:tc>
          <w:tcPr>
            <w:tcW w:w="1560" w:type="dxa"/>
            <w:tcBorders>
              <w:bottom w:val="single" w:sz="4" w:space="0" w:color="auto"/>
            </w:tcBorders>
            <w:vAlign w:val="center"/>
          </w:tcPr>
          <w:p w14:paraId="7D5633A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Cyto SNP12 v2</w:t>
            </w:r>
          </w:p>
        </w:tc>
        <w:tc>
          <w:tcPr>
            <w:tcW w:w="992" w:type="dxa"/>
            <w:tcBorders>
              <w:bottom w:val="single" w:sz="4" w:space="0" w:color="auto"/>
            </w:tcBorders>
            <w:vAlign w:val="center"/>
          </w:tcPr>
          <w:p w14:paraId="6F07EB9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tcBorders>
              <w:bottom w:val="single" w:sz="4" w:space="0" w:color="auto"/>
            </w:tcBorders>
            <w:vAlign w:val="center"/>
          </w:tcPr>
          <w:p w14:paraId="1DE54DE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SNPs with MAF &lt; 1%, HWE p-value ≤1</w:t>
            </w:r>
            <w:r w:rsidRPr="00A50CAA">
              <w:rPr>
                <w:rFonts w:ascii="Arial" w:hAnsi="Arial" w:cs="Arial"/>
                <w:sz w:val="18"/>
                <w:szCs w:val="18"/>
                <w:lang w:val="en-US"/>
              </w:rPr>
              <w:t>0-3, CR &lt; 95%</w:t>
            </w:r>
          </w:p>
        </w:tc>
        <w:tc>
          <w:tcPr>
            <w:tcW w:w="992" w:type="dxa"/>
            <w:tcBorders>
              <w:bottom w:val="single" w:sz="4" w:space="0" w:color="auto"/>
            </w:tcBorders>
            <w:vAlign w:val="center"/>
          </w:tcPr>
          <w:p w14:paraId="00E984B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257581</w:t>
            </w:r>
          </w:p>
        </w:tc>
        <w:tc>
          <w:tcPr>
            <w:tcW w:w="1843" w:type="dxa"/>
            <w:gridSpan w:val="2"/>
            <w:tcBorders>
              <w:bottom w:val="single" w:sz="4" w:space="0" w:color="auto"/>
            </w:tcBorders>
            <w:vAlign w:val="center"/>
          </w:tcPr>
          <w:p w14:paraId="1995EB87"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NA; Minimac (2012.10.3) (r2)</w:t>
            </w:r>
          </w:p>
        </w:tc>
        <w:tc>
          <w:tcPr>
            <w:tcW w:w="1701" w:type="dxa"/>
            <w:gridSpan w:val="2"/>
            <w:tcBorders>
              <w:bottom w:val="single" w:sz="4" w:space="0" w:color="auto"/>
            </w:tcBorders>
            <w:vAlign w:val="center"/>
          </w:tcPr>
          <w:p w14:paraId="27795B9C"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(March 2012)</w:t>
            </w:r>
          </w:p>
        </w:tc>
        <w:tc>
          <w:tcPr>
            <w:tcW w:w="1134" w:type="dxa"/>
            <w:tcBorders>
              <w:bottom w:val="single" w:sz="4" w:space="0" w:color="auto"/>
            </w:tcBorders>
            <w:vAlign w:val="center"/>
          </w:tcPr>
          <w:p w14:paraId="75BC2C2C"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tcBorders>
              <w:bottom w:val="single" w:sz="4" w:space="0" w:color="auto"/>
            </w:tcBorders>
            <w:vAlign w:val="center"/>
          </w:tcPr>
          <w:p w14:paraId="4EF79AE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Top 10 PCs</w:t>
            </w:r>
          </w:p>
        </w:tc>
      </w:tr>
    </w:tbl>
    <w:p w14:paraId="2C11AB95" w14:textId="77777777" w:rsidR="0001057B" w:rsidRPr="009650D7" w:rsidRDefault="0001057B" w:rsidP="0001057B">
      <w:pPr>
        <w:ind w:right="-343"/>
        <w:jc w:val="right"/>
        <w:rPr>
          <w:lang w:val="en-US"/>
        </w:rPr>
      </w:pPr>
      <w:r w:rsidRPr="009650D7">
        <w:rPr>
          <w:lang w:val="en-US"/>
        </w:rPr>
        <w:t>… to be continued</w:t>
      </w:r>
    </w:p>
    <w:p w14:paraId="3CF04986" w14:textId="77777777" w:rsidR="0001057B" w:rsidRDefault="0001057B" w:rsidP="0001057B">
      <w:pPr>
        <w:rPr>
          <w:b/>
          <w:bCs/>
          <w:lang w:val="en-US"/>
        </w:rPr>
      </w:pPr>
      <w:r>
        <w:rPr>
          <w:b/>
          <w:bCs/>
          <w:lang w:val="en-US"/>
        </w:rPr>
        <w:br w:type="page"/>
      </w:r>
    </w:p>
    <w:p w14:paraId="69415DB6" w14:textId="77777777" w:rsidR="0001057B" w:rsidRPr="00E36097" w:rsidRDefault="0001057B" w:rsidP="0001057B">
      <w:pPr>
        <w:spacing w:after="120" w:line="240" w:lineRule="auto"/>
        <w:rPr>
          <w:lang w:val="en-US"/>
        </w:rPr>
      </w:pPr>
      <w:r w:rsidRPr="00E36097">
        <w:rPr>
          <w:b/>
          <w:bCs/>
          <w:lang w:val="en-US"/>
        </w:rPr>
        <w:lastRenderedPageBreak/>
        <w:t>Supplementary Table 3</w:t>
      </w:r>
      <w:r>
        <w:rPr>
          <w:b/>
          <w:bCs/>
          <w:lang w:val="en-US"/>
        </w:rPr>
        <w:t>: continued</w:t>
      </w:r>
    </w:p>
    <w:tbl>
      <w:tblPr>
        <w:tblW w:w="15876" w:type="dxa"/>
        <w:jc w:val="center"/>
        <w:tblLayout w:type="fixed"/>
        <w:tblLook w:val="0000" w:firstRow="0" w:lastRow="0" w:firstColumn="0" w:lastColumn="0" w:noHBand="0" w:noVBand="0"/>
      </w:tblPr>
      <w:tblGrid>
        <w:gridCol w:w="1276"/>
        <w:gridCol w:w="2693"/>
        <w:gridCol w:w="1560"/>
        <w:gridCol w:w="992"/>
        <w:gridCol w:w="2268"/>
        <w:gridCol w:w="992"/>
        <w:gridCol w:w="1829"/>
        <w:gridCol w:w="14"/>
        <w:gridCol w:w="1687"/>
        <w:gridCol w:w="14"/>
        <w:gridCol w:w="1134"/>
        <w:gridCol w:w="128"/>
        <w:gridCol w:w="1270"/>
        <w:gridCol w:w="19"/>
      </w:tblGrid>
      <w:tr w:rsidR="0001057B" w:rsidRPr="00EA57AC" w14:paraId="3AEBC51F" w14:textId="77777777" w:rsidTr="00F04804">
        <w:trPr>
          <w:gridAfter w:val="1"/>
          <w:wAfter w:w="19" w:type="dxa"/>
          <w:jc w:val="center"/>
        </w:trPr>
        <w:tc>
          <w:tcPr>
            <w:tcW w:w="1276" w:type="dxa"/>
            <w:tcBorders>
              <w:top w:val="single" w:sz="4" w:space="0" w:color="auto"/>
              <w:bottom w:val="single" w:sz="4" w:space="0" w:color="auto"/>
            </w:tcBorders>
            <w:shd w:val="clear" w:color="auto" w:fill="BDD6EE" w:themeFill="accent1" w:themeFillTint="66"/>
            <w:vAlign w:val="bottom"/>
          </w:tcPr>
          <w:p w14:paraId="0BB50CA0"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Study</w:t>
            </w:r>
          </w:p>
        </w:tc>
        <w:tc>
          <w:tcPr>
            <w:tcW w:w="2693" w:type="dxa"/>
            <w:tcBorders>
              <w:top w:val="single" w:sz="4" w:space="0" w:color="auto"/>
              <w:bottom w:val="single" w:sz="4" w:space="0" w:color="auto"/>
            </w:tcBorders>
            <w:shd w:val="clear" w:color="auto" w:fill="BDD6EE" w:themeFill="accent1" w:themeFillTint="66"/>
            <w:vAlign w:val="bottom"/>
          </w:tcPr>
          <w:p w14:paraId="3BB2131E"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Exclusions of individuals</w:t>
            </w:r>
          </w:p>
        </w:tc>
        <w:tc>
          <w:tcPr>
            <w:tcW w:w="1560" w:type="dxa"/>
            <w:tcBorders>
              <w:top w:val="single" w:sz="4" w:space="0" w:color="auto"/>
              <w:bottom w:val="single" w:sz="4" w:space="0" w:color="auto"/>
            </w:tcBorders>
            <w:shd w:val="clear" w:color="auto" w:fill="BDD6EE" w:themeFill="accent1" w:themeFillTint="66"/>
            <w:vAlign w:val="bottom"/>
          </w:tcPr>
          <w:p w14:paraId="39943A32"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Genotyping Array</w:t>
            </w:r>
          </w:p>
        </w:tc>
        <w:tc>
          <w:tcPr>
            <w:tcW w:w="992" w:type="dxa"/>
            <w:tcBorders>
              <w:top w:val="single" w:sz="4" w:space="0" w:color="auto"/>
              <w:bottom w:val="single" w:sz="4" w:space="0" w:color="auto"/>
            </w:tcBorders>
            <w:shd w:val="clear" w:color="auto" w:fill="BDD6EE" w:themeFill="accent1" w:themeFillTint="66"/>
            <w:vAlign w:val="bottom"/>
          </w:tcPr>
          <w:p w14:paraId="068950E8"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Geno-type calling</w:t>
            </w:r>
          </w:p>
        </w:tc>
        <w:tc>
          <w:tcPr>
            <w:tcW w:w="2268" w:type="dxa"/>
            <w:tcBorders>
              <w:top w:val="single" w:sz="4" w:space="0" w:color="auto"/>
              <w:bottom w:val="single" w:sz="4" w:space="0" w:color="auto"/>
            </w:tcBorders>
            <w:shd w:val="clear" w:color="auto" w:fill="BDD6EE" w:themeFill="accent1" w:themeFillTint="66"/>
            <w:vAlign w:val="bottom"/>
          </w:tcPr>
          <w:p w14:paraId="5CF1855C"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Variant QC before imputation</w:t>
            </w:r>
          </w:p>
        </w:tc>
        <w:tc>
          <w:tcPr>
            <w:tcW w:w="992"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3895F34A"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w:t>
            </w:r>
            <w:r w:rsidRPr="00EA57AC">
              <w:rPr>
                <w:rFonts w:ascii="Arial" w:hAnsi="Arial" w:cs="Arial"/>
                <w:bCs/>
                <w:color w:val="000000"/>
                <w:sz w:val="18"/>
                <w:szCs w:val="18"/>
                <w:lang w:val="en-US"/>
              </w:rPr>
              <w:t xml:space="preserve"> SNPs used for imputation</w:t>
            </w:r>
          </w:p>
        </w:tc>
        <w:tc>
          <w:tcPr>
            <w:tcW w:w="1829" w:type="dxa"/>
            <w:tcBorders>
              <w:top w:val="single" w:sz="4" w:space="0" w:color="auto"/>
              <w:bottom w:val="single" w:sz="4" w:space="0" w:color="auto"/>
            </w:tcBorders>
            <w:shd w:val="clear" w:color="auto" w:fill="BDD6EE" w:themeFill="accent1" w:themeFillTint="66"/>
            <w:vAlign w:val="bottom"/>
          </w:tcPr>
          <w:p w14:paraId="6BA321B1" w14:textId="77777777" w:rsidR="0001057B" w:rsidRPr="00EA57AC" w:rsidRDefault="0001057B" w:rsidP="00685851">
            <w:pPr>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Software phasing</w:t>
            </w:r>
            <w:r>
              <w:rPr>
                <w:rFonts w:ascii="Arial" w:hAnsi="Arial" w:cs="Arial"/>
                <w:bCs/>
                <w:color w:val="000000"/>
                <w:sz w:val="18"/>
                <w:szCs w:val="18"/>
                <w:lang w:val="en-US"/>
              </w:rPr>
              <w:t xml:space="preserve"> and </w:t>
            </w:r>
            <w:r w:rsidRPr="00EA57AC">
              <w:rPr>
                <w:rFonts w:ascii="Arial" w:hAnsi="Arial" w:cs="Arial"/>
                <w:bCs/>
                <w:color w:val="000000"/>
                <w:sz w:val="18"/>
                <w:szCs w:val="18"/>
                <w:lang w:val="en-US"/>
              </w:rPr>
              <w:t xml:space="preserve">imputation </w:t>
            </w:r>
            <w:r w:rsidRPr="00EA57AC">
              <w:rPr>
                <w:rFonts w:ascii="Arial" w:hAnsi="Arial" w:cs="Arial"/>
                <w:bCs/>
                <w:color w:val="000000"/>
                <w:sz w:val="18"/>
                <w:szCs w:val="18"/>
                <w:lang w:val="en-US"/>
              </w:rPr>
              <w:br/>
              <w:t>(imputation quality)</w:t>
            </w:r>
          </w:p>
        </w:tc>
        <w:tc>
          <w:tcPr>
            <w:tcW w:w="1701" w:type="dxa"/>
            <w:gridSpan w:val="2"/>
            <w:tcBorders>
              <w:top w:val="single" w:sz="4" w:space="0" w:color="auto"/>
              <w:bottom w:val="single" w:sz="4" w:space="0" w:color="auto"/>
            </w:tcBorders>
            <w:shd w:val="clear" w:color="auto" w:fill="BDD6EE" w:themeFill="accent1" w:themeFillTint="66"/>
            <w:vAlign w:val="bottom"/>
          </w:tcPr>
          <w:p w14:paraId="6C506BE6" w14:textId="77777777" w:rsidR="0001057B" w:rsidRPr="00EA57AC" w:rsidRDefault="0001057B" w:rsidP="00685851">
            <w:pPr>
              <w:spacing w:after="0" w:line="240" w:lineRule="auto"/>
              <w:rPr>
                <w:rFonts w:ascii="Arial" w:hAnsi="Arial" w:cs="Arial"/>
                <w:bCs/>
                <w:color w:val="000000"/>
                <w:sz w:val="18"/>
                <w:szCs w:val="18"/>
              </w:rPr>
            </w:pPr>
            <w:r w:rsidRPr="00EA57AC">
              <w:rPr>
                <w:rFonts w:ascii="Arial" w:hAnsi="Arial" w:cs="Arial"/>
                <w:bCs/>
                <w:color w:val="000000"/>
                <w:sz w:val="18"/>
                <w:szCs w:val="18"/>
              </w:rPr>
              <w:t>Imputation reference panel</w:t>
            </w:r>
          </w:p>
        </w:tc>
        <w:tc>
          <w:tcPr>
            <w:tcW w:w="1276" w:type="dxa"/>
            <w:gridSpan w:val="3"/>
            <w:tcBorders>
              <w:top w:val="single" w:sz="4" w:space="0" w:color="auto"/>
              <w:bottom w:val="single" w:sz="4" w:space="0" w:color="auto"/>
            </w:tcBorders>
            <w:shd w:val="clear" w:color="auto" w:fill="BDD6EE" w:themeFill="accent1" w:themeFillTint="66"/>
            <w:vAlign w:val="bottom"/>
          </w:tcPr>
          <w:p w14:paraId="64484645" w14:textId="77777777" w:rsidR="0001057B" w:rsidRPr="00EA57AC" w:rsidRDefault="0001057B" w:rsidP="00F04804">
            <w:pPr>
              <w:spacing w:after="0" w:line="240" w:lineRule="auto"/>
              <w:rPr>
                <w:rFonts w:ascii="Arial" w:hAnsi="Arial" w:cs="Arial"/>
                <w:bCs/>
                <w:color w:val="000000"/>
                <w:sz w:val="18"/>
                <w:szCs w:val="18"/>
              </w:rPr>
            </w:pPr>
            <w:r>
              <w:rPr>
                <w:rFonts w:ascii="Arial" w:hAnsi="Arial" w:cs="Arial"/>
                <w:bCs/>
                <w:color w:val="000000"/>
                <w:sz w:val="18"/>
                <w:szCs w:val="18"/>
              </w:rPr>
              <w:t>Variant QC after imputation</w:t>
            </w:r>
          </w:p>
        </w:tc>
        <w:tc>
          <w:tcPr>
            <w:tcW w:w="1270"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43BCBEAD" w14:textId="77777777" w:rsidR="0001057B" w:rsidRPr="00EA57AC" w:rsidRDefault="0001057B" w:rsidP="00F04804">
            <w:pPr>
              <w:autoSpaceDE w:val="0"/>
              <w:autoSpaceDN w:val="0"/>
              <w:adjustRightInd w:val="0"/>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Handling of population stratification</w:t>
            </w:r>
          </w:p>
        </w:tc>
      </w:tr>
      <w:tr w:rsidR="0001057B" w:rsidRPr="005371F2" w14:paraId="19B78324" w14:textId="77777777" w:rsidTr="00F04804">
        <w:trPr>
          <w:jc w:val="center"/>
        </w:trPr>
        <w:tc>
          <w:tcPr>
            <w:tcW w:w="1276" w:type="dxa"/>
            <w:tcBorders>
              <w:top w:val="single" w:sz="4" w:space="0" w:color="auto"/>
            </w:tcBorders>
            <w:shd w:val="clear" w:color="auto" w:fill="D9D9D9" w:themeFill="background1" w:themeFillShade="D9"/>
            <w:vAlign w:val="center"/>
          </w:tcPr>
          <w:p w14:paraId="01F5FAA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MDC-CC</w:t>
            </w:r>
          </w:p>
        </w:tc>
        <w:tc>
          <w:tcPr>
            <w:tcW w:w="2693" w:type="dxa"/>
            <w:tcBorders>
              <w:top w:val="single" w:sz="4" w:space="0" w:color="auto"/>
            </w:tcBorders>
            <w:shd w:val="clear" w:color="auto" w:fill="D9D9D9" w:themeFill="background1" w:themeFillShade="D9"/>
            <w:vAlign w:val="center"/>
          </w:tcPr>
          <w:p w14:paraId="549E6C1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bad </w:t>
            </w:r>
            <w:r>
              <w:rPr>
                <w:rFonts w:ascii="Arial" w:hAnsi="Arial" w:cs="Arial"/>
                <w:color w:val="000000"/>
                <w:sz w:val="18"/>
                <w:szCs w:val="18"/>
                <w:lang w:val="en-US"/>
              </w:rPr>
              <w:t xml:space="preserve">CR, </w:t>
            </w:r>
            <w:r w:rsidRPr="005371F2">
              <w:rPr>
                <w:rFonts w:ascii="Arial" w:hAnsi="Arial" w:cs="Arial"/>
                <w:color w:val="000000"/>
                <w:sz w:val="18"/>
                <w:szCs w:val="18"/>
                <w:lang w:val="en-US"/>
              </w:rPr>
              <w:t>excess homozygosity</w:t>
            </w:r>
            <w:r>
              <w:rPr>
                <w:rFonts w:ascii="Arial" w:hAnsi="Arial" w:cs="Arial"/>
                <w:color w:val="000000"/>
                <w:sz w:val="18"/>
                <w:szCs w:val="18"/>
                <w:lang w:val="en-US"/>
              </w:rPr>
              <w:t xml:space="preserve">, </w:t>
            </w:r>
            <w:r w:rsidRPr="005371F2">
              <w:rPr>
                <w:rFonts w:ascii="Arial" w:hAnsi="Arial" w:cs="Arial"/>
                <w:color w:val="000000"/>
                <w:sz w:val="18"/>
                <w:szCs w:val="18"/>
                <w:lang w:val="en-US"/>
              </w:rPr>
              <w:t>failed gender check</w:t>
            </w:r>
            <w:r>
              <w:rPr>
                <w:rFonts w:ascii="Arial" w:hAnsi="Arial" w:cs="Arial"/>
                <w:color w:val="000000"/>
                <w:sz w:val="18"/>
                <w:szCs w:val="18"/>
                <w:lang w:val="en-US"/>
              </w:rPr>
              <w:t xml:space="preserve">, relatives, </w:t>
            </w:r>
            <w:r w:rsidRPr="005371F2">
              <w:rPr>
                <w:rFonts w:ascii="Arial" w:hAnsi="Arial" w:cs="Arial"/>
                <w:color w:val="000000"/>
                <w:sz w:val="18"/>
                <w:szCs w:val="18"/>
                <w:lang w:val="en-US"/>
              </w:rPr>
              <w:t>duplicates</w:t>
            </w:r>
            <w:r>
              <w:rPr>
                <w:rFonts w:ascii="Arial" w:hAnsi="Arial" w:cs="Arial"/>
                <w:color w:val="000000"/>
                <w:sz w:val="18"/>
                <w:szCs w:val="18"/>
                <w:lang w:val="en-US"/>
              </w:rPr>
              <w:t xml:space="preserve">, </w:t>
            </w:r>
            <w:r w:rsidRPr="005371F2">
              <w:rPr>
                <w:rFonts w:ascii="Arial" w:hAnsi="Arial" w:cs="Arial"/>
                <w:color w:val="000000"/>
                <w:sz w:val="18"/>
                <w:szCs w:val="18"/>
                <w:lang w:val="en-US"/>
              </w:rPr>
              <w:t>Pop</w:t>
            </w:r>
            <w:r>
              <w:rPr>
                <w:rFonts w:ascii="Arial" w:hAnsi="Arial" w:cs="Arial"/>
                <w:color w:val="000000"/>
                <w:sz w:val="18"/>
                <w:szCs w:val="18"/>
                <w:lang w:val="en-US"/>
              </w:rPr>
              <w:t>u</w:t>
            </w:r>
            <w:r w:rsidRPr="005371F2">
              <w:rPr>
                <w:rFonts w:ascii="Arial" w:hAnsi="Arial" w:cs="Arial"/>
                <w:color w:val="000000"/>
                <w:sz w:val="18"/>
                <w:szCs w:val="18"/>
                <w:lang w:val="en-US"/>
              </w:rPr>
              <w:t>lation outliers</w:t>
            </w:r>
          </w:p>
        </w:tc>
        <w:tc>
          <w:tcPr>
            <w:tcW w:w="1560" w:type="dxa"/>
            <w:tcBorders>
              <w:top w:val="single" w:sz="4" w:space="0" w:color="auto"/>
            </w:tcBorders>
            <w:shd w:val="clear" w:color="auto" w:fill="D9D9D9" w:themeFill="background1" w:themeFillShade="D9"/>
            <w:vAlign w:val="center"/>
          </w:tcPr>
          <w:p w14:paraId="5CA6168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HumanOmniExpressExome BeadChip v. 1.0</w:t>
            </w:r>
          </w:p>
        </w:tc>
        <w:tc>
          <w:tcPr>
            <w:tcW w:w="992" w:type="dxa"/>
            <w:tcBorders>
              <w:top w:val="single" w:sz="4" w:space="0" w:color="auto"/>
            </w:tcBorders>
            <w:shd w:val="clear" w:color="auto" w:fill="D9D9D9" w:themeFill="background1" w:themeFillShade="D9"/>
            <w:vAlign w:val="center"/>
          </w:tcPr>
          <w:p w14:paraId="6ABC591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 v2011.1</w:t>
            </w:r>
          </w:p>
        </w:tc>
        <w:tc>
          <w:tcPr>
            <w:tcW w:w="2268" w:type="dxa"/>
            <w:tcBorders>
              <w:top w:val="single" w:sz="4" w:space="0" w:color="auto"/>
            </w:tcBorders>
            <w:shd w:val="clear" w:color="auto" w:fill="D9D9D9" w:themeFill="background1" w:themeFillShade="D9"/>
            <w:vAlign w:val="center"/>
          </w:tcPr>
          <w:p w14:paraId="56B3C6B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monomorphic,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 HWE p&lt;10^-6</w:t>
            </w:r>
          </w:p>
        </w:tc>
        <w:tc>
          <w:tcPr>
            <w:tcW w:w="992" w:type="dxa"/>
            <w:tcBorders>
              <w:top w:val="single" w:sz="4" w:space="0" w:color="auto"/>
            </w:tcBorders>
            <w:shd w:val="clear" w:color="auto" w:fill="D9D9D9" w:themeFill="background1" w:themeFillShade="D9"/>
            <w:vAlign w:val="center"/>
          </w:tcPr>
          <w:p w14:paraId="49DA324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w:t>
            </w:r>
            <w:r w:rsidRPr="005371F2">
              <w:rPr>
                <w:rFonts w:ascii="Arial" w:hAnsi="Arial" w:cs="Arial"/>
                <w:color w:val="000000"/>
                <w:sz w:val="18"/>
                <w:szCs w:val="18"/>
                <w:lang w:val="en-US"/>
              </w:rPr>
              <w:t xml:space="preserve"> 800000</w:t>
            </w:r>
          </w:p>
        </w:tc>
        <w:tc>
          <w:tcPr>
            <w:tcW w:w="1843" w:type="dxa"/>
            <w:gridSpan w:val="2"/>
            <w:tcBorders>
              <w:top w:val="single" w:sz="4" w:space="0" w:color="auto"/>
            </w:tcBorders>
            <w:shd w:val="clear" w:color="auto" w:fill="D9D9D9" w:themeFill="background1" w:themeFillShade="D9"/>
            <w:vAlign w:val="center"/>
          </w:tcPr>
          <w:p w14:paraId="52C73CDC"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SHAPEIT2; IMPUTE2 (Info score from snptest)</w:t>
            </w:r>
          </w:p>
        </w:tc>
        <w:tc>
          <w:tcPr>
            <w:tcW w:w="1701" w:type="dxa"/>
            <w:gridSpan w:val="2"/>
            <w:tcBorders>
              <w:top w:val="single" w:sz="4" w:space="0" w:color="auto"/>
            </w:tcBorders>
            <w:shd w:val="clear" w:color="auto" w:fill="D9D9D9" w:themeFill="background1" w:themeFillShade="D9"/>
            <w:vAlign w:val="center"/>
          </w:tcPr>
          <w:p w14:paraId="40769BD0"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134" w:type="dxa"/>
            <w:tcBorders>
              <w:top w:val="single" w:sz="4" w:space="0" w:color="auto"/>
            </w:tcBorders>
            <w:shd w:val="clear" w:color="auto" w:fill="D9D9D9" w:themeFill="background1" w:themeFillShade="D9"/>
            <w:vAlign w:val="center"/>
          </w:tcPr>
          <w:p w14:paraId="214456E0" w14:textId="77777777" w:rsidR="0001057B" w:rsidRPr="005371F2" w:rsidRDefault="0001057B" w:rsidP="0001057B">
            <w:pPr>
              <w:rPr>
                <w:rFonts w:ascii="Arial" w:hAnsi="Arial" w:cs="Arial"/>
                <w:color w:val="000000"/>
                <w:sz w:val="18"/>
                <w:szCs w:val="18"/>
              </w:rPr>
            </w:pPr>
            <w:r>
              <w:rPr>
                <w:rFonts w:ascii="Arial" w:hAnsi="Arial" w:cs="Arial"/>
                <w:color w:val="000000"/>
                <w:sz w:val="18"/>
                <w:szCs w:val="18"/>
              </w:rPr>
              <w:t>none</w:t>
            </w:r>
          </w:p>
        </w:tc>
        <w:tc>
          <w:tcPr>
            <w:tcW w:w="1417" w:type="dxa"/>
            <w:gridSpan w:val="3"/>
            <w:tcBorders>
              <w:top w:val="single" w:sz="4" w:space="0" w:color="auto"/>
            </w:tcBorders>
            <w:shd w:val="clear" w:color="auto" w:fill="D9D9D9" w:themeFill="background1" w:themeFillShade="D9"/>
            <w:vAlign w:val="center"/>
          </w:tcPr>
          <w:p w14:paraId="55C5A0D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10 PC added</w:t>
            </w:r>
          </w:p>
        </w:tc>
      </w:tr>
      <w:tr w:rsidR="0001057B" w:rsidRPr="00476738" w14:paraId="28514A3C" w14:textId="77777777" w:rsidTr="00F04804">
        <w:trPr>
          <w:jc w:val="center"/>
        </w:trPr>
        <w:tc>
          <w:tcPr>
            <w:tcW w:w="1276" w:type="dxa"/>
            <w:vAlign w:val="center"/>
          </w:tcPr>
          <w:p w14:paraId="302EB04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MESA-AA</w:t>
            </w:r>
          </w:p>
        </w:tc>
        <w:tc>
          <w:tcPr>
            <w:tcW w:w="2693" w:type="dxa"/>
            <w:vAlign w:val="center"/>
          </w:tcPr>
          <w:p w14:paraId="0A2E6AF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discrepancy, duplicates,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 heterozygosity, and outliers</w:t>
            </w:r>
          </w:p>
        </w:tc>
        <w:tc>
          <w:tcPr>
            <w:tcW w:w="1560" w:type="dxa"/>
            <w:vAlign w:val="center"/>
          </w:tcPr>
          <w:p w14:paraId="31CA5C4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Genome-Wide Human SNP Array 6.0</w:t>
            </w:r>
          </w:p>
        </w:tc>
        <w:tc>
          <w:tcPr>
            <w:tcW w:w="992" w:type="dxa"/>
            <w:vAlign w:val="center"/>
          </w:tcPr>
          <w:p w14:paraId="3B42BB6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 v2</w:t>
            </w:r>
          </w:p>
        </w:tc>
        <w:tc>
          <w:tcPr>
            <w:tcW w:w="2268" w:type="dxa"/>
            <w:vAlign w:val="center"/>
          </w:tcPr>
          <w:p w14:paraId="0A1C2D5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CR&lt;</w:t>
            </w:r>
            <w:r w:rsidRPr="005371F2">
              <w:rPr>
                <w:rFonts w:ascii="Arial" w:hAnsi="Arial" w:cs="Arial"/>
                <w:color w:val="000000"/>
                <w:sz w:val="18"/>
                <w:szCs w:val="18"/>
                <w:lang w:val="en-US"/>
              </w:rPr>
              <w:t>95%, MA</w:t>
            </w:r>
            <w:r>
              <w:rPr>
                <w:rFonts w:ascii="Arial" w:hAnsi="Arial" w:cs="Arial"/>
                <w:color w:val="000000"/>
                <w:sz w:val="18"/>
                <w:szCs w:val="18"/>
                <w:lang w:val="en-US"/>
              </w:rPr>
              <w:t>F&lt;=</w:t>
            </w:r>
            <w:r w:rsidRPr="005371F2">
              <w:rPr>
                <w:rFonts w:ascii="Arial" w:hAnsi="Arial" w:cs="Arial"/>
                <w:color w:val="000000"/>
                <w:sz w:val="18"/>
                <w:szCs w:val="18"/>
                <w:lang w:val="en-US"/>
              </w:rPr>
              <w:t>1%</w:t>
            </w:r>
            <w:r>
              <w:rPr>
                <w:rFonts w:ascii="Arial" w:hAnsi="Arial" w:cs="Arial"/>
                <w:color w:val="000000"/>
                <w:sz w:val="18"/>
                <w:szCs w:val="18"/>
                <w:lang w:val="en-US"/>
              </w:rPr>
              <w:t xml:space="preserve">, </w:t>
            </w:r>
            <w:r w:rsidRPr="005371F2">
              <w:rPr>
                <w:rFonts w:ascii="Arial" w:hAnsi="Arial" w:cs="Arial"/>
                <w:color w:val="000000"/>
                <w:sz w:val="18"/>
                <w:szCs w:val="18"/>
                <w:lang w:val="en-US"/>
              </w:rPr>
              <w:t>pHW &lt;1E-6</w:t>
            </w:r>
          </w:p>
        </w:tc>
        <w:tc>
          <w:tcPr>
            <w:tcW w:w="992" w:type="dxa"/>
            <w:vAlign w:val="center"/>
          </w:tcPr>
          <w:p w14:paraId="7603608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897979</w:t>
            </w:r>
          </w:p>
        </w:tc>
        <w:tc>
          <w:tcPr>
            <w:tcW w:w="1843" w:type="dxa"/>
            <w:gridSpan w:val="2"/>
            <w:vAlign w:val="center"/>
          </w:tcPr>
          <w:p w14:paraId="7A9B0EA7" w14:textId="77777777" w:rsidR="0001057B" w:rsidRPr="005371F2" w:rsidRDefault="0001057B" w:rsidP="0001057B">
            <w:pPr>
              <w:spacing w:after="0"/>
              <w:rPr>
                <w:rFonts w:ascii="Arial" w:hAnsi="Arial" w:cs="Arial"/>
                <w:color w:val="000000"/>
                <w:sz w:val="18"/>
                <w:szCs w:val="18"/>
              </w:rPr>
            </w:pPr>
            <w:r w:rsidRPr="005371F2">
              <w:rPr>
                <w:rFonts w:ascii="Arial" w:hAnsi="Arial" w:cs="Arial"/>
                <w:color w:val="000000"/>
                <w:sz w:val="18"/>
                <w:szCs w:val="18"/>
              </w:rPr>
              <w:t>SHAPEIT2; Michigan Imputation Server (r2)</w:t>
            </w:r>
          </w:p>
        </w:tc>
        <w:tc>
          <w:tcPr>
            <w:tcW w:w="1701" w:type="dxa"/>
            <w:gridSpan w:val="2"/>
            <w:vAlign w:val="center"/>
          </w:tcPr>
          <w:p w14:paraId="298E275D" w14:textId="77777777" w:rsidR="0001057B" w:rsidRPr="005371F2" w:rsidRDefault="0001057B" w:rsidP="0001057B">
            <w:pPr>
              <w:spacing w:after="0"/>
              <w:rPr>
                <w:rFonts w:ascii="Arial" w:hAnsi="Arial" w:cs="Arial"/>
                <w:color w:val="000000"/>
                <w:sz w:val="18"/>
                <w:szCs w:val="18"/>
                <w:lang w:val="en-US"/>
              </w:rPr>
            </w:pPr>
            <w:r w:rsidRPr="005371F2">
              <w:rPr>
                <w:rFonts w:ascii="Arial" w:hAnsi="Arial" w:cs="Arial"/>
                <w:color w:val="000000"/>
                <w:sz w:val="18"/>
                <w:szCs w:val="18"/>
                <w:lang w:val="en-US"/>
              </w:rPr>
              <w:t>1000G Phase 3 Version 5 ALL</w:t>
            </w:r>
          </w:p>
        </w:tc>
        <w:tc>
          <w:tcPr>
            <w:tcW w:w="1134" w:type="dxa"/>
            <w:vAlign w:val="center"/>
          </w:tcPr>
          <w:p w14:paraId="4D88D6A7" w14:textId="77777777" w:rsidR="0001057B" w:rsidRPr="005371F2" w:rsidRDefault="0001057B" w:rsidP="0001057B">
            <w:pPr>
              <w:spacing w:after="0"/>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159FA38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First 3 PCs</w:t>
            </w:r>
          </w:p>
        </w:tc>
      </w:tr>
      <w:tr w:rsidR="0001057B" w:rsidRPr="00476738" w14:paraId="164CB431" w14:textId="77777777" w:rsidTr="00F04804">
        <w:trPr>
          <w:jc w:val="center"/>
        </w:trPr>
        <w:tc>
          <w:tcPr>
            <w:tcW w:w="1276" w:type="dxa"/>
            <w:shd w:val="clear" w:color="auto" w:fill="D9D9D9" w:themeFill="background1" w:themeFillShade="D9"/>
            <w:vAlign w:val="center"/>
          </w:tcPr>
          <w:p w14:paraId="5199B19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MESA-EA</w:t>
            </w:r>
          </w:p>
        </w:tc>
        <w:tc>
          <w:tcPr>
            <w:tcW w:w="2693" w:type="dxa"/>
            <w:shd w:val="clear" w:color="auto" w:fill="D9D9D9" w:themeFill="background1" w:themeFillShade="D9"/>
            <w:vAlign w:val="center"/>
          </w:tcPr>
          <w:p w14:paraId="103FE1B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discrepancy, duplicates,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 heterozygosity, and outliers</w:t>
            </w:r>
          </w:p>
        </w:tc>
        <w:tc>
          <w:tcPr>
            <w:tcW w:w="1560" w:type="dxa"/>
            <w:shd w:val="clear" w:color="auto" w:fill="D9D9D9" w:themeFill="background1" w:themeFillShade="D9"/>
            <w:vAlign w:val="center"/>
          </w:tcPr>
          <w:p w14:paraId="7DC3628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Genome-Wide Human SNP Array 6.0</w:t>
            </w:r>
          </w:p>
        </w:tc>
        <w:tc>
          <w:tcPr>
            <w:tcW w:w="992" w:type="dxa"/>
            <w:shd w:val="clear" w:color="auto" w:fill="D9D9D9" w:themeFill="background1" w:themeFillShade="D9"/>
            <w:vAlign w:val="center"/>
          </w:tcPr>
          <w:p w14:paraId="4BA8AE1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 v2</w:t>
            </w:r>
          </w:p>
        </w:tc>
        <w:tc>
          <w:tcPr>
            <w:tcW w:w="2268" w:type="dxa"/>
            <w:shd w:val="clear" w:color="auto" w:fill="D9D9D9" w:themeFill="background1" w:themeFillShade="D9"/>
            <w:vAlign w:val="center"/>
          </w:tcPr>
          <w:p w14:paraId="212B6D5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CR&lt;</w:t>
            </w:r>
            <w:r w:rsidRPr="005371F2">
              <w:rPr>
                <w:rFonts w:ascii="Arial" w:hAnsi="Arial" w:cs="Arial"/>
                <w:color w:val="000000"/>
                <w:sz w:val="18"/>
                <w:szCs w:val="18"/>
                <w:lang w:val="en-US"/>
              </w:rPr>
              <w:t>95%, MA</w:t>
            </w:r>
            <w:r>
              <w:rPr>
                <w:rFonts w:ascii="Arial" w:hAnsi="Arial" w:cs="Arial"/>
                <w:color w:val="000000"/>
                <w:sz w:val="18"/>
                <w:szCs w:val="18"/>
                <w:lang w:val="en-US"/>
              </w:rPr>
              <w:t>F&lt;=</w:t>
            </w:r>
            <w:r w:rsidRPr="005371F2">
              <w:rPr>
                <w:rFonts w:ascii="Arial" w:hAnsi="Arial" w:cs="Arial"/>
                <w:color w:val="000000"/>
                <w:sz w:val="18"/>
                <w:szCs w:val="18"/>
                <w:lang w:val="en-US"/>
              </w:rPr>
              <w:t>1%</w:t>
            </w:r>
            <w:r>
              <w:rPr>
                <w:rFonts w:ascii="Arial" w:hAnsi="Arial" w:cs="Arial"/>
                <w:color w:val="000000"/>
                <w:sz w:val="18"/>
                <w:szCs w:val="18"/>
                <w:lang w:val="en-US"/>
              </w:rPr>
              <w:t xml:space="preserve">, </w:t>
            </w:r>
            <w:r w:rsidRPr="005371F2">
              <w:rPr>
                <w:rFonts w:ascii="Arial" w:hAnsi="Arial" w:cs="Arial"/>
                <w:color w:val="000000"/>
                <w:sz w:val="18"/>
                <w:szCs w:val="18"/>
                <w:lang w:val="en-US"/>
              </w:rPr>
              <w:t>pHW &lt;1E-6</w:t>
            </w:r>
          </w:p>
        </w:tc>
        <w:tc>
          <w:tcPr>
            <w:tcW w:w="992" w:type="dxa"/>
            <w:shd w:val="clear" w:color="auto" w:fill="D9D9D9" w:themeFill="background1" w:themeFillShade="D9"/>
            <w:vAlign w:val="center"/>
          </w:tcPr>
          <w:p w14:paraId="1A0F6DC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897979</w:t>
            </w:r>
          </w:p>
        </w:tc>
        <w:tc>
          <w:tcPr>
            <w:tcW w:w="1843" w:type="dxa"/>
            <w:gridSpan w:val="2"/>
            <w:shd w:val="clear" w:color="auto" w:fill="D9D9D9" w:themeFill="background1" w:themeFillShade="D9"/>
            <w:vAlign w:val="center"/>
          </w:tcPr>
          <w:p w14:paraId="5CF3B287"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SHAPEIT2; Michigan Imputation Server (r2)</w:t>
            </w:r>
          </w:p>
        </w:tc>
        <w:tc>
          <w:tcPr>
            <w:tcW w:w="1701" w:type="dxa"/>
            <w:gridSpan w:val="2"/>
            <w:shd w:val="clear" w:color="auto" w:fill="D9D9D9" w:themeFill="background1" w:themeFillShade="D9"/>
            <w:vAlign w:val="center"/>
          </w:tcPr>
          <w:p w14:paraId="0C14BE36" w14:textId="77777777" w:rsidR="0001057B" w:rsidRPr="005371F2" w:rsidRDefault="0001057B" w:rsidP="0001057B">
            <w:pPr>
              <w:rPr>
                <w:rFonts w:ascii="Arial" w:hAnsi="Arial" w:cs="Arial"/>
                <w:color w:val="000000"/>
                <w:sz w:val="18"/>
                <w:szCs w:val="18"/>
              </w:rPr>
            </w:pPr>
            <w:r>
              <w:rPr>
                <w:rFonts w:ascii="Arial" w:hAnsi="Arial" w:cs="Arial"/>
                <w:color w:val="000000"/>
                <w:sz w:val="18"/>
                <w:szCs w:val="18"/>
              </w:rPr>
              <w:t>HRC</w:t>
            </w:r>
          </w:p>
        </w:tc>
        <w:tc>
          <w:tcPr>
            <w:tcW w:w="1134" w:type="dxa"/>
            <w:shd w:val="clear" w:color="auto" w:fill="D9D9D9" w:themeFill="background1" w:themeFillShade="D9"/>
            <w:vAlign w:val="center"/>
          </w:tcPr>
          <w:p w14:paraId="12D1D6F1"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D9D9D9" w:themeFill="background1" w:themeFillShade="D9"/>
            <w:vAlign w:val="center"/>
          </w:tcPr>
          <w:p w14:paraId="172F8D4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First 3 PCs </w:t>
            </w:r>
          </w:p>
        </w:tc>
      </w:tr>
      <w:tr w:rsidR="0001057B" w:rsidRPr="00476738" w14:paraId="3512C838" w14:textId="77777777" w:rsidTr="00F04804">
        <w:trPr>
          <w:jc w:val="center"/>
        </w:trPr>
        <w:tc>
          <w:tcPr>
            <w:tcW w:w="1276" w:type="dxa"/>
            <w:vAlign w:val="center"/>
          </w:tcPr>
          <w:p w14:paraId="17A980E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MESA-HIS</w:t>
            </w:r>
          </w:p>
        </w:tc>
        <w:tc>
          <w:tcPr>
            <w:tcW w:w="2693" w:type="dxa"/>
            <w:vAlign w:val="center"/>
          </w:tcPr>
          <w:p w14:paraId="5CC24A1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discrepancy, duplicates,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 heterozygosity, and outliers</w:t>
            </w:r>
          </w:p>
        </w:tc>
        <w:tc>
          <w:tcPr>
            <w:tcW w:w="1560" w:type="dxa"/>
            <w:vAlign w:val="center"/>
          </w:tcPr>
          <w:p w14:paraId="24A08AE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Genome-Wide Human SNP Array 6.0</w:t>
            </w:r>
          </w:p>
        </w:tc>
        <w:tc>
          <w:tcPr>
            <w:tcW w:w="992" w:type="dxa"/>
            <w:vAlign w:val="center"/>
          </w:tcPr>
          <w:p w14:paraId="3DFE7FA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 v2</w:t>
            </w:r>
          </w:p>
        </w:tc>
        <w:tc>
          <w:tcPr>
            <w:tcW w:w="2268" w:type="dxa"/>
            <w:vAlign w:val="center"/>
          </w:tcPr>
          <w:p w14:paraId="67736C6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CR&lt;</w:t>
            </w:r>
            <w:r w:rsidRPr="005371F2">
              <w:rPr>
                <w:rFonts w:ascii="Arial" w:hAnsi="Arial" w:cs="Arial"/>
                <w:color w:val="000000"/>
                <w:sz w:val="18"/>
                <w:szCs w:val="18"/>
                <w:lang w:val="en-US"/>
              </w:rPr>
              <w:t>95%, MA</w:t>
            </w:r>
            <w:r>
              <w:rPr>
                <w:rFonts w:ascii="Arial" w:hAnsi="Arial" w:cs="Arial"/>
                <w:color w:val="000000"/>
                <w:sz w:val="18"/>
                <w:szCs w:val="18"/>
                <w:lang w:val="en-US"/>
              </w:rPr>
              <w:t>F&lt;=</w:t>
            </w:r>
            <w:r w:rsidRPr="005371F2">
              <w:rPr>
                <w:rFonts w:ascii="Arial" w:hAnsi="Arial" w:cs="Arial"/>
                <w:color w:val="000000"/>
                <w:sz w:val="18"/>
                <w:szCs w:val="18"/>
                <w:lang w:val="en-US"/>
              </w:rPr>
              <w:t>1%</w:t>
            </w:r>
            <w:r>
              <w:rPr>
                <w:rFonts w:ascii="Arial" w:hAnsi="Arial" w:cs="Arial"/>
                <w:color w:val="000000"/>
                <w:sz w:val="18"/>
                <w:szCs w:val="18"/>
                <w:lang w:val="en-US"/>
              </w:rPr>
              <w:t xml:space="preserve">, </w:t>
            </w:r>
            <w:r w:rsidRPr="005371F2">
              <w:rPr>
                <w:rFonts w:ascii="Arial" w:hAnsi="Arial" w:cs="Arial"/>
                <w:color w:val="000000"/>
                <w:sz w:val="18"/>
                <w:szCs w:val="18"/>
                <w:lang w:val="en-US"/>
              </w:rPr>
              <w:t>pHW &lt;1E-6</w:t>
            </w:r>
          </w:p>
        </w:tc>
        <w:tc>
          <w:tcPr>
            <w:tcW w:w="992" w:type="dxa"/>
            <w:vAlign w:val="center"/>
          </w:tcPr>
          <w:p w14:paraId="521188B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897979</w:t>
            </w:r>
          </w:p>
        </w:tc>
        <w:tc>
          <w:tcPr>
            <w:tcW w:w="1843" w:type="dxa"/>
            <w:gridSpan w:val="2"/>
            <w:vAlign w:val="center"/>
          </w:tcPr>
          <w:p w14:paraId="05B7FA7B"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SHAPEIT2; Michigan Imputation Server (r2)</w:t>
            </w:r>
          </w:p>
        </w:tc>
        <w:tc>
          <w:tcPr>
            <w:tcW w:w="1701" w:type="dxa"/>
            <w:gridSpan w:val="2"/>
            <w:vAlign w:val="center"/>
          </w:tcPr>
          <w:p w14:paraId="7E10F428"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3 Version 5 ALL</w:t>
            </w:r>
          </w:p>
        </w:tc>
        <w:tc>
          <w:tcPr>
            <w:tcW w:w="1134" w:type="dxa"/>
            <w:vAlign w:val="center"/>
          </w:tcPr>
          <w:p w14:paraId="6B739A90"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4CFD863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First 3 PCs </w:t>
            </w:r>
          </w:p>
        </w:tc>
      </w:tr>
      <w:tr w:rsidR="0001057B" w:rsidRPr="005371F2" w14:paraId="25AE9762" w14:textId="77777777" w:rsidTr="00F04804">
        <w:trPr>
          <w:jc w:val="center"/>
        </w:trPr>
        <w:tc>
          <w:tcPr>
            <w:tcW w:w="1276" w:type="dxa"/>
            <w:shd w:val="clear" w:color="auto" w:fill="D9D9D9" w:themeFill="background1" w:themeFillShade="D9"/>
            <w:vAlign w:val="center"/>
          </w:tcPr>
          <w:p w14:paraId="2C97D6D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MyCode (Geisinger Research)</w:t>
            </w:r>
          </w:p>
        </w:tc>
        <w:tc>
          <w:tcPr>
            <w:tcW w:w="2693" w:type="dxa"/>
            <w:shd w:val="clear" w:color="auto" w:fill="D9D9D9" w:themeFill="background1" w:themeFillShade="D9"/>
            <w:vAlign w:val="center"/>
          </w:tcPr>
          <w:p w14:paraId="57B72F30" w14:textId="5AFFA01B" w:rsidR="0001057B" w:rsidRPr="005371F2" w:rsidRDefault="0001057B" w:rsidP="00513FB5">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Sample </w:t>
            </w:r>
            <w:r>
              <w:rPr>
                <w:rFonts w:ascii="Arial" w:hAnsi="Arial" w:cs="Arial"/>
                <w:color w:val="000000"/>
                <w:sz w:val="18"/>
                <w:szCs w:val="18"/>
                <w:lang w:val="en-US"/>
              </w:rPr>
              <w:t>CR</w:t>
            </w:r>
            <w:r w:rsidRPr="005371F2">
              <w:rPr>
                <w:rFonts w:ascii="Arial" w:hAnsi="Arial" w:cs="Arial"/>
                <w:color w:val="000000"/>
                <w:sz w:val="18"/>
                <w:szCs w:val="18"/>
                <w:lang w:val="en-US"/>
              </w:rPr>
              <w:t xml:space="preserve"> &lt; 90%</w:t>
            </w:r>
          </w:p>
        </w:tc>
        <w:tc>
          <w:tcPr>
            <w:tcW w:w="1560" w:type="dxa"/>
            <w:shd w:val="clear" w:color="auto" w:fill="D9D9D9" w:themeFill="background1" w:themeFillShade="D9"/>
            <w:vAlign w:val="center"/>
          </w:tcPr>
          <w:p w14:paraId="299A38F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 Omni express Exome</w:t>
            </w:r>
          </w:p>
        </w:tc>
        <w:tc>
          <w:tcPr>
            <w:tcW w:w="992" w:type="dxa"/>
            <w:shd w:val="clear" w:color="auto" w:fill="D9D9D9" w:themeFill="background1" w:themeFillShade="D9"/>
            <w:vAlign w:val="center"/>
          </w:tcPr>
          <w:p w14:paraId="1C87AD6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Illumina’s Genotype studio</w:t>
            </w:r>
          </w:p>
        </w:tc>
        <w:tc>
          <w:tcPr>
            <w:tcW w:w="2268" w:type="dxa"/>
            <w:shd w:val="clear" w:color="auto" w:fill="D9D9D9" w:themeFill="background1" w:themeFillShade="D9"/>
            <w:vAlign w:val="center"/>
          </w:tcPr>
          <w:p w14:paraId="1C14FEB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IMPUTE2 info score</w:t>
            </w:r>
            <w:r>
              <w:rPr>
                <w:rFonts w:ascii="Arial" w:hAnsi="Arial" w:cs="Arial"/>
                <w:color w:val="000000"/>
                <w:sz w:val="18"/>
                <w:szCs w:val="18"/>
                <w:lang w:val="en-US"/>
              </w:rPr>
              <w:t xml:space="preserve"> </w:t>
            </w:r>
            <w:r w:rsidRPr="005371F2">
              <w:rPr>
                <w:rFonts w:ascii="Arial" w:hAnsi="Arial" w:cs="Arial"/>
                <w:color w:val="000000"/>
                <w:sz w:val="18"/>
                <w:szCs w:val="18"/>
                <w:lang w:val="en-US"/>
              </w:rPr>
              <w:t>&lt;0.7</w:t>
            </w:r>
            <w:r>
              <w:rPr>
                <w:rFonts w:ascii="Arial" w:hAnsi="Arial" w:cs="Arial"/>
                <w:color w:val="000000"/>
                <w:sz w:val="18"/>
                <w:szCs w:val="18"/>
                <w:lang w:val="en-US"/>
              </w:rPr>
              <w:t xml:space="preserve">, </w:t>
            </w:r>
            <w:r w:rsidRPr="005371F2">
              <w:rPr>
                <w:rFonts w:ascii="Arial" w:hAnsi="Arial" w:cs="Arial"/>
                <w:color w:val="000000"/>
                <w:sz w:val="18"/>
                <w:szCs w:val="18"/>
                <w:lang w:val="en-US"/>
              </w:rPr>
              <w:t xml:space="preserve">Marker </w:t>
            </w:r>
            <w:r>
              <w:rPr>
                <w:rFonts w:ascii="Arial" w:hAnsi="Arial" w:cs="Arial"/>
                <w:color w:val="000000"/>
                <w:sz w:val="18"/>
                <w:szCs w:val="18"/>
                <w:lang w:val="en-US"/>
              </w:rPr>
              <w:t>CR</w:t>
            </w:r>
            <w:r w:rsidRPr="005371F2">
              <w:rPr>
                <w:rFonts w:ascii="Arial" w:hAnsi="Arial" w:cs="Arial"/>
                <w:color w:val="000000"/>
                <w:sz w:val="18"/>
                <w:szCs w:val="18"/>
                <w:lang w:val="en-US"/>
              </w:rPr>
              <w:t xml:space="preserve"> &lt; 99%</w:t>
            </w:r>
            <w:r>
              <w:rPr>
                <w:rFonts w:ascii="Arial" w:hAnsi="Arial" w:cs="Arial"/>
                <w:color w:val="000000"/>
                <w:sz w:val="18"/>
                <w:szCs w:val="18"/>
                <w:lang w:val="en-US"/>
              </w:rPr>
              <w:t xml:space="preserve">, </w:t>
            </w:r>
            <w:r w:rsidRPr="005371F2">
              <w:rPr>
                <w:rFonts w:ascii="Arial" w:hAnsi="Arial" w:cs="Arial"/>
                <w:color w:val="000000"/>
                <w:sz w:val="18"/>
                <w:szCs w:val="18"/>
                <w:lang w:val="en-US"/>
              </w:rPr>
              <w:t>MAF &lt; 0.0</w:t>
            </w:r>
            <w:r>
              <w:rPr>
                <w:rFonts w:ascii="Arial" w:hAnsi="Arial" w:cs="Arial"/>
                <w:color w:val="000000"/>
                <w:sz w:val="18"/>
                <w:szCs w:val="18"/>
                <w:lang w:val="en-US"/>
              </w:rPr>
              <w:t>1, p</w:t>
            </w:r>
            <w:r w:rsidRPr="005371F2">
              <w:rPr>
                <w:rFonts w:ascii="Arial" w:hAnsi="Arial" w:cs="Arial"/>
                <w:color w:val="000000"/>
                <w:sz w:val="18"/>
                <w:szCs w:val="18"/>
                <w:lang w:val="en-US"/>
              </w:rPr>
              <w:t>HWE &lt; 1e-07</w:t>
            </w:r>
            <w:r>
              <w:rPr>
                <w:rFonts w:ascii="Arial" w:hAnsi="Arial" w:cs="Arial"/>
                <w:color w:val="000000"/>
                <w:sz w:val="18"/>
                <w:szCs w:val="18"/>
                <w:lang w:val="en-US"/>
              </w:rPr>
              <w:t xml:space="preserve">, </w:t>
            </w:r>
            <w:r w:rsidRPr="005371F2">
              <w:rPr>
                <w:rFonts w:ascii="Arial" w:hAnsi="Arial" w:cs="Arial"/>
                <w:color w:val="000000"/>
                <w:sz w:val="18"/>
                <w:szCs w:val="18"/>
                <w:lang w:val="en-US"/>
              </w:rPr>
              <w:t>insertions and deletions</w:t>
            </w:r>
          </w:p>
        </w:tc>
        <w:tc>
          <w:tcPr>
            <w:tcW w:w="992" w:type="dxa"/>
            <w:shd w:val="clear" w:color="auto" w:fill="D9D9D9" w:themeFill="background1" w:themeFillShade="D9"/>
            <w:vAlign w:val="center"/>
          </w:tcPr>
          <w:p w14:paraId="6C7BD32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589485</w:t>
            </w:r>
          </w:p>
        </w:tc>
        <w:tc>
          <w:tcPr>
            <w:tcW w:w="1843" w:type="dxa"/>
            <w:gridSpan w:val="2"/>
            <w:shd w:val="clear" w:color="auto" w:fill="D9D9D9" w:themeFill="background1" w:themeFillShade="D9"/>
            <w:vAlign w:val="center"/>
          </w:tcPr>
          <w:p w14:paraId="65611706" w14:textId="77777777" w:rsidR="0001057B" w:rsidRPr="005371F2" w:rsidRDefault="0001057B" w:rsidP="0001057B">
            <w:pPr>
              <w:rPr>
                <w:rFonts w:ascii="Arial" w:hAnsi="Arial" w:cs="Arial"/>
                <w:color w:val="000000"/>
                <w:sz w:val="18"/>
                <w:szCs w:val="18"/>
                <w:lang w:val="it-IT"/>
              </w:rPr>
            </w:pPr>
            <w:r w:rsidRPr="005371F2">
              <w:rPr>
                <w:rFonts w:ascii="Arial" w:hAnsi="Arial" w:cs="Arial"/>
                <w:color w:val="000000"/>
                <w:sz w:val="18"/>
                <w:szCs w:val="18"/>
                <w:lang w:val="it-IT"/>
              </w:rPr>
              <w:t>SHAPEIT2; IMPUTE2 (IMPUTE2 Info Score)</w:t>
            </w:r>
          </w:p>
        </w:tc>
        <w:tc>
          <w:tcPr>
            <w:tcW w:w="1701" w:type="dxa"/>
            <w:gridSpan w:val="2"/>
            <w:shd w:val="clear" w:color="auto" w:fill="D9D9D9" w:themeFill="background1" w:themeFillShade="D9"/>
            <w:vAlign w:val="center"/>
          </w:tcPr>
          <w:p w14:paraId="58BD2B80"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134" w:type="dxa"/>
            <w:shd w:val="clear" w:color="auto" w:fill="D9D9D9" w:themeFill="background1" w:themeFillShade="D9"/>
            <w:vAlign w:val="center"/>
          </w:tcPr>
          <w:p w14:paraId="6C3AC409"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info &lt;0.7</w:t>
            </w:r>
          </w:p>
        </w:tc>
        <w:tc>
          <w:tcPr>
            <w:tcW w:w="1417" w:type="dxa"/>
            <w:gridSpan w:val="3"/>
            <w:shd w:val="clear" w:color="auto" w:fill="D9D9D9" w:themeFill="background1" w:themeFillShade="D9"/>
            <w:vAlign w:val="center"/>
          </w:tcPr>
          <w:p w14:paraId="257F74B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not required</w:t>
            </w:r>
          </w:p>
        </w:tc>
      </w:tr>
      <w:tr w:rsidR="0001057B" w:rsidRPr="005371F2" w14:paraId="2060F410" w14:textId="77777777" w:rsidTr="00F04804">
        <w:trPr>
          <w:jc w:val="center"/>
        </w:trPr>
        <w:tc>
          <w:tcPr>
            <w:tcW w:w="1276" w:type="dxa"/>
            <w:vAlign w:val="center"/>
          </w:tcPr>
          <w:p w14:paraId="35F255D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NESDA</w:t>
            </w:r>
          </w:p>
        </w:tc>
        <w:tc>
          <w:tcPr>
            <w:tcW w:w="2693" w:type="dxa"/>
            <w:vAlign w:val="center"/>
          </w:tcPr>
          <w:p w14:paraId="2CD38DF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Non-Caucasians, XO and XXY samples, </w:t>
            </w:r>
            <w:r>
              <w:rPr>
                <w:rFonts w:ascii="Arial" w:hAnsi="Arial" w:cs="Arial"/>
                <w:color w:val="000000"/>
                <w:sz w:val="18"/>
                <w:szCs w:val="18"/>
                <w:lang w:val="en-US"/>
              </w:rPr>
              <w:t>CR</w:t>
            </w:r>
            <w:r w:rsidRPr="005371F2">
              <w:rPr>
                <w:rFonts w:ascii="Arial" w:hAnsi="Arial" w:cs="Arial"/>
                <w:color w:val="000000"/>
                <w:sz w:val="18"/>
                <w:szCs w:val="18"/>
                <w:lang w:val="en-US"/>
              </w:rPr>
              <w:t xml:space="preserve"> &lt;90%, high genome-wide homo-</w:t>
            </w:r>
            <w:r>
              <w:rPr>
                <w:rFonts w:ascii="Arial" w:hAnsi="Arial" w:cs="Arial"/>
                <w:color w:val="000000"/>
                <w:sz w:val="18"/>
                <w:szCs w:val="18"/>
                <w:lang w:val="en-US"/>
              </w:rPr>
              <w:t>/</w:t>
            </w:r>
            <w:r w:rsidRPr="005371F2">
              <w:rPr>
                <w:rFonts w:ascii="Arial" w:hAnsi="Arial" w:cs="Arial"/>
                <w:color w:val="000000"/>
                <w:sz w:val="18"/>
                <w:szCs w:val="18"/>
                <w:lang w:val="en-US"/>
              </w:rPr>
              <w:t xml:space="preserve"> hetero</w:t>
            </w:r>
            <w:r>
              <w:rPr>
                <w:rFonts w:ascii="Arial" w:hAnsi="Arial" w:cs="Arial"/>
                <w:color w:val="000000"/>
                <w:sz w:val="18"/>
                <w:szCs w:val="18"/>
                <w:lang w:val="en-US"/>
              </w:rPr>
              <w:t>-</w:t>
            </w:r>
            <w:r w:rsidRPr="005371F2">
              <w:rPr>
                <w:rFonts w:ascii="Arial" w:hAnsi="Arial" w:cs="Arial"/>
                <w:color w:val="000000"/>
                <w:sz w:val="18"/>
                <w:szCs w:val="18"/>
                <w:lang w:val="en-US"/>
              </w:rPr>
              <w:t>zygosity, excess IBS</w:t>
            </w:r>
          </w:p>
        </w:tc>
        <w:tc>
          <w:tcPr>
            <w:tcW w:w="1560" w:type="dxa"/>
            <w:vAlign w:val="center"/>
          </w:tcPr>
          <w:p w14:paraId="4AF92DE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Perlegen-Affymetrix 5.0; Affymetrix 6.0 907K</w:t>
            </w:r>
          </w:p>
        </w:tc>
        <w:tc>
          <w:tcPr>
            <w:tcW w:w="992" w:type="dxa"/>
            <w:vAlign w:val="center"/>
          </w:tcPr>
          <w:p w14:paraId="5463624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w:t>
            </w:r>
          </w:p>
        </w:tc>
        <w:tc>
          <w:tcPr>
            <w:tcW w:w="2268" w:type="dxa"/>
            <w:vAlign w:val="center"/>
          </w:tcPr>
          <w:p w14:paraId="03BDB90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CR&lt;</w:t>
            </w:r>
            <w:r w:rsidRPr="005371F2">
              <w:rPr>
                <w:rFonts w:ascii="Arial" w:hAnsi="Arial" w:cs="Arial"/>
                <w:color w:val="000000"/>
                <w:sz w:val="18"/>
                <w:szCs w:val="18"/>
                <w:lang w:val="en-US"/>
              </w:rPr>
              <w:t>95%; MAF&lt;</w:t>
            </w:r>
            <w:r>
              <w:rPr>
                <w:rFonts w:ascii="Arial" w:hAnsi="Arial" w:cs="Arial"/>
                <w:color w:val="000000"/>
                <w:sz w:val="18"/>
                <w:szCs w:val="18"/>
                <w:lang w:val="en-US"/>
              </w:rPr>
              <w:t>=</w:t>
            </w:r>
            <w:r w:rsidRPr="005371F2">
              <w:rPr>
                <w:rFonts w:ascii="Arial" w:hAnsi="Arial" w:cs="Arial"/>
                <w:color w:val="000000"/>
                <w:sz w:val="18"/>
                <w:szCs w:val="18"/>
                <w:lang w:val="en-US"/>
              </w:rPr>
              <w:t>0.01; pHWE&lt;1E-5; ambiguous location</w:t>
            </w:r>
            <w:r>
              <w:rPr>
                <w:rFonts w:ascii="Arial" w:hAnsi="Arial" w:cs="Arial"/>
                <w:color w:val="000000"/>
                <w:sz w:val="18"/>
                <w:szCs w:val="18"/>
                <w:lang w:val="en-US"/>
              </w:rPr>
              <w:t>/</w:t>
            </w:r>
            <w:r w:rsidRPr="005371F2">
              <w:rPr>
                <w:rFonts w:ascii="Arial" w:hAnsi="Arial" w:cs="Arial"/>
                <w:color w:val="000000"/>
                <w:sz w:val="18"/>
                <w:szCs w:val="18"/>
                <w:lang w:val="en-US"/>
              </w:rPr>
              <w:t xml:space="preserve">allele with reference; &gt;20% </w:t>
            </w:r>
            <w:r>
              <w:rPr>
                <w:rFonts w:ascii="Arial" w:hAnsi="Arial" w:cs="Arial"/>
                <w:color w:val="000000"/>
                <w:sz w:val="18"/>
                <w:szCs w:val="18"/>
                <w:lang w:val="en-US"/>
              </w:rPr>
              <w:t>AF</w:t>
            </w:r>
            <w:r w:rsidRPr="005371F2">
              <w:rPr>
                <w:rFonts w:ascii="Arial" w:hAnsi="Arial" w:cs="Arial"/>
                <w:color w:val="000000"/>
                <w:sz w:val="18"/>
                <w:szCs w:val="18"/>
                <w:lang w:val="en-US"/>
              </w:rPr>
              <w:t xml:space="preserve"> from reference; ambiguous SNPs with MAF&gt;35%</w:t>
            </w:r>
          </w:p>
        </w:tc>
        <w:tc>
          <w:tcPr>
            <w:tcW w:w="992" w:type="dxa"/>
            <w:vAlign w:val="center"/>
          </w:tcPr>
          <w:p w14:paraId="206EF6D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378163</w:t>
            </w:r>
          </w:p>
        </w:tc>
        <w:tc>
          <w:tcPr>
            <w:tcW w:w="1843" w:type="dxa"/>
            <w:gridSpan w:val="2"/>
            <w:vAlign w:val="center"/>
          </w:tcPr>
          <w:p w14:paraId="5C014929"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MACH1; Minimac (r2)</w:t>
            </w:r>
          </w:p>
        </w:tc>
        <w:tc>
          <w:tcPr>
            <w:tcW w:w="1701" w:type="dxa"/>
            <w:gridSpan w:val="2"/>
            <w:vAlign w:val="center"/>
          </w:tcPr>
          <w:p w14:paraId="386091AC"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134" w:type="dxa"/>
            <w:vAlign w:val="center"/>
          </w:tcPr>
          <w:p w14:paraId="6BC13CE9"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6F4AB72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PC1-3</w:t>
            </w:r>
          </w:p>
        </w:tc>
      </w:tr>
      <w:tr w:rsidR="0001057B" w:rsidRPr="005371F2" w14:paraId="5DDD4AAC" w14:textId="77777777" w:rsidTr="00F04804">
        <w:trPr>
          <w:jc w:val="center"/>
        </w:trPr>
        <w:tc>
          <w:tcPr>
            <w:tcW w:w="1276" w:type="dxa"/>
            <w:tcBorders>
              <w:bottom w:val="single" w:sz="4" w:space="0" w:color="auto"/>
            </w:tcBorders>
            <w:shd w:val="clear" w:color="auto" w:fill="D9D9D9" w:themeFill="background1" w:themeFillShade="D9"/>
            <w:vAlign w:val="center"/>
          </w:tcPr>
          <w:p w14:paraId="427FD9C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POPGEN</w:t>
            </w:r>
          </w:p>
        </w:tc>
        <w:tc>
          <w:tcPr>
            <w:tcW w:w="2693" w:type="dxa"/>
            <w:tcBorders>
              <w:bottom w:val="single" w:sz="4" w:space="0" w:color="auto"/>
            </w:tcBorders>
            <w:shd w:val="clear" w:color="auto" w:fill="D9D9D9" w:themeFill="background1" w:themeFillShade="D9"/>
            <w:vAlign w:val="center"/>
          </w:tcPr>
          <w:p w14:paraId="3DD1E06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 90 %, sex mismatches, duplicates (IBD 0.185), heterozygosity outside mean +-3SD, not mapping to CEU (Hapmap), i.e. outside median +- 3*IQR</w:t>
            </w:r>
            <w:r>
              <w:rPr>
                <w:rFonts w:ascii="Arial" w:hAnsi="Arial" w:cs="Arial"/>
                <w:color w:val="000000"/>
                <w:sz w:val="18"/>
                <w:szCs w:val="18"/>
                <w:lang w:val="en-US"/>
              </w:rPr>
              <w:t xml:space="preserve">, </w:t>
            </w:r>
            <w:r w:rsidRPr="005371F2">
              <w:rPr>
                <w:rFonts w:ascii="Arial" w:hAnsi="Arial" w:cs="Arial"/>
                <w:color w:val="000000"/>
                <w:sz w:val="18"/>
                <w:szCs w:val="18"/>
                <w:lang w:val="en-US"/>
              </w:rPr>
              <w:t>samples with batch problems, i.e. outside median +-3*IQR</w:t>
            </w:r>
          </w:p>
        </w:tc>
        <w:tc>
          <w:tcPr>
            <w:tcW w:w="1560" w:type="dxa"/>
            <w:tcBorders>
              <w:bottom w:val="single" w:sz="4" w:space="0" w:color="auto"/>
            </w:tcBorders>
            <w:shd w:val="clear" w:color="auto" w:fill="D9D9D9" w:themeFill="background1" w:themeFillShade="D9"/>
            <w:vAlign w:val="center"/>
          </w:tcPr>
          <w:p w14:paraId="379AFC6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Axiom, Affymetrix 6.0, Illumina Immunochip (Beadchip), Ill</w:t>
            </w:r>
            <w:r>
              <w:rPr>
                <w:rFonts w:ascii="Arial" w:hAnsi="Arial" w:cs="Arial"/>
                <w:color w:val="000000"/>
                <w:sz w:val="18"/>
                <w:szCs w:val="18"/>
                <w:lang w:val="en-US"/>
              </w:rPr>
              <w:t>umina Metabochip, Illumina 550k</w:t>
            </w:r>
          </w:p>
        </w:tc>
        <w:tc>
          <w:tcPr>
            <w:tcW w:w="992" w:type="dxa"/>
            <w:tcBorders>
              <w:bottom w:val="single" w:sz="4" w:space="0" w:color="auto"/>
            </w:tcBorders>
            <w:shd w:val="clear" w:color="auto" w:fill="D9D9D9" w:themeFill="background1" w:themeFillShade="D9"/>
            <w:vAlign w:val="center"/>
          </w:tcPr>
          <w:p w14:paraId="4FD2CB19" w14:textId="77777777" w:rsidR="0001057B" w:rsidRPr="002A5696" w:rsidRDefault="0001057B" w:rsidP="0001057B">
            <w:pPr>
              <w:autoSpaceDE w:val="0"/>
              <w:autoSpaceDN w:val="0"/>
              <w:adjustRightInd w:val="0"/>
              <w:spacing w:after="0" w:line="240" w:lineRule="auto"/>
              <w:rPr>
                <w:rFonts w:ascii="Arial" w:hAnsi="Arial" w:cs="Arial"/>
                <w:color w:val="000000"/>
                <w:sz w:val="18"/>
                <w:szCs w:val="18"/>
                <w:lang w:val="en-US"/>
              </w:rPr>
            </w:pPr>
            <w:r w:rsidRPr="002A5696">
              <w:rPr>
                <w:rFonts w:ascii="Arial" w:hAnsi="Arial" w:cs="Arial"/>
                <w:color w:val="000000"/>
                <w:sz w:val="18"/>
                <w:szCs w:val="18"/>
                <w:lang w:val="en-US"/>
              </w:rPr>
              <w:t>Illumina Genome Studio or Illumina Opticall</w:t>
            </w:r>
          </w:p>
        </w:tc>
        <w:tc>
          <w:tcPr>
            <w:tcW w:w="2268" w:type="dxa"/>
            <w:tcBorders>
              <w:bottom w:val="single" w:sz="4" w:space="0" w:color="auto"/>
            </w:tcBorders>
            <w:shd w:val="clear" w:color="auto" w:fill="D9D9D9" w:themeFill="background1" w:themeFillShade="D9"/>
            <w:vAlign w:val="center"/>
          </w:tcPr>
          <w:p w14:paraId="64C64E5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 5%, HWE &lt; 1x10^-5, no MAF for QC but MAF pre</w:t>
            </w:r>
            <w:r>
              <w:rPr>
                <w:rFonts w:ascii="Arial" w:hAnsi="Arial" w:cs="Arial"/>
                <w:color w:val="000000"/>
                <w:sz w:val="18"/>
                <w:szCs w:val="18"/>
                <w:lang w:val="en-US"/>
              </w:rPr>
              <w:t>-i</w:t>
            </w:r>
            <w:r w:rsidRPr="005371F2">
              <w:rPr>
                <w:rFonts w:ascii="Arial" w:hAnsi="Arial" w:cs="Arial"/>
                <w:color w:val="000000"/>
                <w:sz w:val="18"/>
                <w:szCs w:val="18"/>
                <w:lang w:val="en-US"/>
              </w:rPr>
              <w:t>mputation</w:t>
            </w:r>
          </w:p>
        </w:tc>
        <w:tc>
          <w:tcPr>
            <w:tcW w:w="992" w:type="dxa"/>
            <w:tcBorders>
              <w:bottom w:val="single" w:sz="4" w:space="0" w:color="auto"/>
            </w:tcBorders>
            <w:shd w:val="clear" w:color="auto" w:fill="D9D9D9" w:themeFill="background1" w:themeFillShade="D9"/>
            <w:vAlign w:val="center"/>
          </w:tcPr>
          <w:p w14:paraId="26B7DAF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1049248</w:t>
            </w:r>
          </w:p>
        </w:tc>
        <w:tc>
          <w:tcPr>
            <w:tcW w:w="1843" w:type="dxa"/>
            <w:gridSpan w:val="2"/>
            <w:tcBorders>
              <w:bottom w:val="single" w:sz="4" w:space="0" w:color="auto"/>
            </w:tcBorders>
            <w:shd w:val="clear" w:color="auto" w:fill="D9D9D9" w:themeFill="background1" w:themeFillShade="D9"/>
            <w:vAlign w:val="center"/>
          </w:tcPr>
          <w:p w14:paraId="7657DF2A"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SHAPEIT2; IMPUTE2 (IMPUTE2 info)</w:t>
            </w:r>
          </w:p>
        </w:tc>
        <w:tc>
          <w:tcPr>
            <w:tcW w:w="1701" w:type="dxa"/>
            <w:gridSpan w:val="2"/>
            <w:tcBorders>
              <w:bottom w:val="single" w:sz="4" w:space="0" w:color="auto"/>
            </w:tcBorders>
            <w:shd w:val="clear" w:color="auto" w:fill="D9D9D9" w:themeFill="background1" w:themeFillShade="D9"/>
            <w:vAlign w:val="center"/>
          </w:tcPr>
          <w:p w14:paraId="24193942"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134" w:type="dxa"/>
            <w:tcBorders>
              <w:bottom w:val="single" w:sz="4" w:space="0" w:color="auto"/>
            </w:tcBorders>
            <w:shd w:val="clear" w:color="auto" w:fill="D9D9D9" w:themeFill="background1" w:themeFillShade="D9"/>
            <w:vAlign w:val="center"/>
          </w:tcPr>
          <w:p w14:paraId="76B65B23"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info &lt;= 0.3</w:t>
            </w:r>
          </w:p>
        </w:tc>
        <w:tc>
          <w:tcPr>
            <w:tcW w:w="1417" w:type="dxa"/>
            <w:gridSpan w:val="3"/>
            <w:tcBorders>
              <w:bottom w:val="single" w:sz="4" w:space="0" w:color="auto"/>
            </w:tcBorders>
            <w:shd w:val="clear" w:color="auto" w:fill="D9D9D9" w:themeFill="background1" w:themeFillShade="D9"/>
            <w:vAlign w:val="center"/>
          </w:tcPr>
          <w:p w14:paraId="4CD3367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not required</w:t>
            </w:r>
          </w:p>
        </w:tc>
      </w:tr>
    </w:tbl>
    <w:p w14:paraId="0D86815A" w14:textId="77777777" w:rsidR="0001057B" w:rsidRPr="00B5150A" w:rsidRDefault="0001057B" w:rsidP="0001057B">
      <w:pPr>
        <w:ind w:right="-343"/>
        <w:jc w:val="right"/>
        <w:rPr>
          <w:lang w:val="en-US"/>
        </w:rPr>
      </w:pPr>
      <w:r w:rsidRPr="009650D7">
        <w:rPr>
          <w:lang w:val="en-US"/>
        </w:rPr>
        <w:t>… to be continued</w:t>
      </w:r>
    </w:p>
    <w:p w14:paraId="169098E0" w14:textId="77777777" w:rsidR="00EE2E36" w:rsidRDefault="00EE2E36">
      <w:pPr>
        <w:rPr>
          <w:b/>
          <w:bCs/>
          <w:lang w:val="en-US"/>
        </w:rPr>
      </w:pPr>
      <w:r>
        <w:rPr>
          <w:b/>
          <w:bCs/>
          <w:lang w:val="en-US"/>
        </w:rPr>
        <w:br w:type="page"/>
      </w:r>
    </w:p>
    <w:p w14:paraId="7C1D1D81" w14:textId="1C0C150F" w:rsidR="0001057B" w:rsidRPr="00E36097" w:rsidRDefault="0001057B" w:rsidP="0001057B">
      <w:pPr>
        <w:spacing w:after="120" w:line="240" w:lineRule="auto"/>
        <w:rPr>
          <w:lang w:val="en-US"/>
        </w:rPr>
      </w:pPr>
      <w:r w:rsidRPr="00E36097">
        <w:rPr>
          <w:b/>
          <w:bCs/>
          <w:lang w:val="en-US"/>
        </w:rPr>
        <w:lastRenderedPageBreak/>
        <w:t>Supplementary Table 3</w:t>
      </w:r>
      <w:r>
        <w:rPr>
          <w:b/>
          <w:bCs/>
          <w:lang w:val="en-US"/>
        </w:rPr>
        <w:t>: continued</w:t>
      </w:r>
    </w:p>
    <w:tbl>
      <w:tblPr>
        <w:tblW w:w="15876" w:type="dxa"/>
        <w:jc w:val="center"/>
        <w:tblLayout w:type="fixed"/>
        <w:tblLook w:val="0000" w:firstRow="0" w:lastRow="0" w:firstColumn="0" w:lastColumn="0" w:noHBand="0" w:noVBand="0"/>
      </w:tblPr>
      <w:tblGrid>
        <w:gridCol w:w="1276"/>
        <w:gridCol w:w="2693"/>
        <w:gridCol w:w="1560"/>
        <w:gridCol w:w="992"/>
        <w:gridCol w:w="2268"/>
        <w:gridCol w:w="992"/>
        <w:gridCol w:w="1829"/>
        <w:gridCol w:w="14"/>
        <w:gridCol w:w="1687"/>
        <w:gridCol w:w="14"/>
        <w:gridCol w:w="1134"/>
        <w:gridCol w:w="128"/>
        <w:gridCol w:w="1270"/>
        <w:gridCol w:w="19"/>
      </w:tblGrid>
      <w:tr w:rsidR="0001057B" w:rsidRPr="00EA57AC" w14:paraId="0C1AFDE1" w14:textId="77777777" w:rsidTr="00F04804">
        <w:trPr>
          <w:gridAfter w:val="1"/>
          <w:wAfter w:w="19" w:type="dxa"/>
          <w:jc w:val="center"/>
        </w:trPr>
        <w:tc>
          <w:tcPr>
            <w:tcW w:w="1276" w:type="dxa"/>
            <w:tcBorders>
              <w:top w:val="single" w:sz="4" w:space="0" w:color="auto"/>
              <w:bottom w:val="single" w:sz="4" w:space="0" w:color="auto"/>
            </w:tcBorders>
            <w:shd w:val="clear" w:color="auto" w:fill="BDD6EE" w:themeFill="accent1" w:themeFillTint="66"/>
            <w:vAlign w:val="bottom"/>
          </w:tcPr>
          <w:p w14:paraId="0401C678"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Study</w:t>
            </w:r>
          </w:p>
        </w:tc>
        <w:tc>
          <w:tcPr>
            <w:tcW w:w="2693" w:type="dxa"/>
            <w:tcBorders>
              <w:top w:val="single" w:sz="4" w:space="0" w:color="auto"/>
              <w:bottom w:val="single" w:sz="4" w:space="0" w:color="auto"/>
            </w:tcBorders>
            <w:shd w:val="clear" w:color="auto" w:fill="BDD6EE" w:themeFill="accent1" w:themeFillTint="66"/>
            <w:vAlign w:val="bottom"/>
          </w:tcPr>
          <w:p w14:paraId="53278C96"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Exclusions of individuals</w:t>
            </w:r>
          </w:p>
        </w:tc>
        <w:tc>
          <w:tcPr>
            <w:tcW w:w="1560" w:type="dxa"/>
            <w:tcBorders>
              <w:top w:val="single" w:sz="4" w:space="0" w:color="auto"/>
              <w:bottom w:val="single" w:sz="4" w:space="0" w:color="auto"/>
            </w:tcBorders>
            <w:shd w:val="clear" w:color="auto" w:fill="BDD6EE" w:themeFill="accent1" w:themeFillTint="66"/>
            <w:vAlign w:val="bottom"/>
          </w:tcPr>
          <w:p w14:paraId="2F4929AA"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Genotyping Array</w:t>
            </w:r>
          </w:p>
        </w:tc>
        <w:tc>
          <w:tcPr>
            <w:tcW w:w="992" w:type="dxa"/>
            <w:tcBorders>
              <w:top w:val="single" w:sz="4" w:space="0" w:color="auto"/>
              <w:bottom w:val="single" w:sz="4" w:space="0" w:color="auto"/>
            </w:tcBorders>
            <w:shd w:val="clear" w:color="auto" w:fill="BDD6EE" w:themeFill="accent1" w:themeFillTint="66"/>
            <w:vAlign w:val="bottom"/>
          </w:tcPr>
          <w:p w14:paraId="24D02A10"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Geno-type calling</w:t>
            </w:r>
          </w:p>
        </w:tc>
        <w:tc>
          <w:tcPr>
            <w:tcW w:w="2268" w:type="dxa"/>
            <w:tcBorders>
              <w:top w:val="single" w:sz="4" w:space="0" w:color="auto"/>
              <w:bottom w:val="single" w:sz="4" w:space="0" w:color="auto"/>
            </w:tcBorders>
            <w:shd w:val="clear" w:color="auto" w:fill="BDD6EE" w:themeFill="accent1" w:themeFillTint="66"/>
            <w:vAlign w:val="bottom"/>
          </w:tcPr>
          <w:p w14:paraId="60EA7057"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Variant QC before imputation</w:t>
            </w:r>
          </w:p>
        </w:tc>
        <w:tc>
          <w:tcPr>
            <w:tcW w:w="992"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1CE4B337"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w:t>
            </w:r>
            <w:r w:rsidRPr="00EA57AC">
              <w:rPr>
                <w:rFonts w:ascii="Arial" w:hAnsi="Arial" w:cs="Arial"/>
                <w:bCs/>
                <w:color w:val="000000"/>
                <w:sz w:val="18"/>
                <w:szCs w:val="18"/>
                <w:lang w:val="en-US"/>
              </w:rPr>
              <w:t xml:space="preserve"> SNPs used for imputation</w:t>
            </w:r>
          </w:p>
        </w:tc>
        <w:tc>
          <w:tcPr>
            <w:tcW w:w="1829" w:type="dxa"/>
            <w:tcBorders>
              <w:top w:val="single" w:sz="4" w:space="0" w:color="auto"/>
              <w:bottom w:val="single" w:sz="4" w:space="0" w:color="auto"/>
            </w:tcBorders>
            <w:shd w:val="clear" w:color="auto" w:fill="BDD6EE" w:themeFill="accent1" w:themeFillTint="66"/>
            <w:vAlign w:val="bottom"/>
          </w:tcPr>
          <w:p w14:paraId="0CBC1741" w14:textId="77777777" w:rsidR="0001057B" w:rsidRPr="00EA57AC" w:rsidRDefault="0001057B" w:rsidP="00685851">
            <w:pPr>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Software phasing</w:t>
            </w:r>
            <w:r>
              <w:rPr>
                <w:rFonts w:ascii="Arial" w:hAnsi="Arial" w:cs="Arial"/>
                <w:bCs/>
                <w:color w:val="000000"/>
                <w:sz w:val="18"/>
                <w:szCs w:val="18"/>
                <w:lang w:val="en-US"/>
              </w:rPr>
              <w:t xml:space="preserve"> and </w:t>
            </w:r>
            <w:r w:rsidRPr="00EA57AC">
              <w:rPr>
                <w:rFonts w:ascii="Arial" w:hAnsi="Arial" w:cs="Arial"/>
                <w:bCs/>
                <w:color w:val="000000"/>
                <w:sz w:val="18"/>
                <w:szCs w:val="18"/>
                <w:lang w:val="en-US"/>
              </w:rPr>
              <w:t xml:space="preserve">imputation </w:t>
            </w:r>
            <w:r w:rsidRPr="00EA57AC">
              <w:rPr>
                <w:rFonts w:ascii="Arial" w:hAnsi="Arial" w:cs="Arial"/>
                <w:bCs/>
                <w:color w:val="000000"/>
                <w:sz w:val="18"/>
                <w:szCs w:val="18"/>
                <w:lang w:val="en-US"/>
              </w:rPr>
              <w:br/>
              <w:t>(imputation quality)</w:t>
            </w:r>
          </w:p>
        </w:tc>
        <w:tc>
          <w:tcPr>
            <w:tcW w:w="1701" w:type="dxa"/>
            <w:gridSpan w:val="2"/>
            <w:tcBorders>
              <w:top w:val="single" w:sz="4" w:space="0" w:color="auto"/>
              <w:bottom w:val="single" w:sz="4" w:space="0" w:color="auto"/>
            </w:tcBorders>
            <w:shd w:val="clear" w:color="auto" w:fill="BDD6EE" w:themeFill="accent1" w:themeFillTint="66"/>
            <w:vAlign w:val="bottom"/>
          </w:tcPr>
          <w:p w14:paraId="26D4DD06" w14:textId="77777777" w:rsidR="0001057B" w:rsidRPr="00EA57AC" w:rsidRDefault="0001057B" w:rsidP="00685851">
            <w:pPr>
              <w:spacing w:after="0" w:line="240" w:lineRule="auto"/>
              <w:rPr>
                <w:rFonts w:ascii="Arial" w:hAnsi="Arial" w:cs="Arial"/>
                <w:bCs/>
                <w:color w:val="000000"/>
                <w:sz w:val="18"/>
                <w:szCs w:val="18"/>
              </w:rPr>
            </w:pPr>
            <w:r w:rsidRPr="00EA57AC">
              <w:rPr>
                <w:rFonts w:ascii="Arial" w:hAnsi="Arial" w:cs="Arial"/>
                <w:bCs/>
                <w:color w:val="000000"/>
                <w:sz w:val="18"/>
                <w:szCs w:val="18"/>
              </w:rPr>
              <w:t>Imputation reference panel</w:t>
            </w:r>
          </w:p>
        </w:tc>
        <w:tc>
          <w:tcPr>
            <w:tcW w:w="1276" w:type="dxa"/>
            <w:gridSpan w:val="3"/>
            <w:tcBorders>
              <w:top w:val="single" w:sz="4" w:space="0" w:color="auto"/>
              <w:bottom w:val="single" w:sz="4" w:space="0" w:color="auto"/>
            </w:tcBorders>
            <w:shd w:val="clear" w:color="auto" w:fill="BDD6EE" w:themeFill="accent1" w:themeFillTint="66"/>
            <w:vAlign w:val="bottom"/>
          </w:tcPr>
          <w:p w14:paraId="4F3002CD" w14:textId="77777777" w:rsidR="0001057B" w:rsidRPr="00EA57AC" w:rsidRDefault="0001057B" w:rsidP="00F04804">
            <w:pPr>
              <w:spacing w:after="0" w:line="240" w:lineRule="auto"/>
              <w:rPr>
                <w:rFonts w:ascii="Arial" w:hAnsi="Arial" w:cs="Arial"/>
                <w:bCs/>
                <w:color w:val="000000"/>
                <w:sz w:val="18"/>
                <w:szCs w:val="18"/>
              </w:rPr>
            </w:pPr>
            <w:r>
              <w:rPr>
                <w:rFonts w:ascii="Arial" w:hAnsi="Arial" w:cs="Arial"/>
                <w:bCs/>
                <w:color w:val="000000"/>
                <w:sz w:val="18"/>
                <w:szCs w:val="18"/>
              </w:rPr>
              <w:t>Variant QC after imputation</w:t>
            </w:r>
          </w:p>
        </w:tc>
        <w:tc>
          <w:tcPr>
            <w:tcW w:w="1270"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7FE84138" w14:textId="77777777" w:rsidR="0001057B" w:rsidRPr="00EA57AC" w:rsidRDefault="0001057B" w:rsidP="00F04804">
            <w:pPr>
              <w:autoSpaceDE w:val="0"/>
              <w:autoSpaceDN w:val="0"/>
              <w:adjustRightInd w:val="0"/>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Handling of population stratification</w:t>
            </w:r>
          </w:p>
        </w:tc>
      </w:tr>
      <w:tr w:rsidR="0001057B" w:rsidRPr="005B5645" w14:paraId="65CF5B55" w14:textId="77777777" w:rsidTr="00F04804">
        <w:trPr>
          <w:jc w:val="center"/>
        </w:trPr>
        <w:tc>
          <w:tcPr>
            <w:tcW w:w="1276" w:type="dxa"/>
            <w:vAlign w:val="center"/>
          </w:tcPr>
          <w:p w14:paraId="028A500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PREVEND</w:t>
            </w:r>
          </w:p>
        </w:tc>
        <w:tc>
          <w:tcPr>
            <w:tcW w:w="2693" w:type="dxa"/>
            <w:vAlign w:val="center"/>
          </w:tcPr>
          <w:p w14:paraId="0F2C9AE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&lt;95%; sex mismatch; non-Caucasians; duplicate</w:t>
            </w:r>
            <w:r>
              <w:rPr>
                <w:rFonts w:ascii="Arial" w:hAnsi="Arial" w:cs="Arial"/>
                <w:color w:val="000000"/>
                <w:sz w:val="18"/>
                <w:szCs w:val="18"/>
                <w:lang w:val="en-US"/>
              </w:rPr>
              <w:t>s</w:t>
            </w:r>
          </w:p>
        </w:tc>
        <w:tc>
          <w:tcPr>
            <w:tcW w:w="1560" w:type="dxa"/>
            <w:vAlign w:val="center"/>
          </w:tcPr>
          <w:p w14:paraId="3D3F1D2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Cyto SNP12 v2</w:t>
            </w:r>
          </w:p>
        </w:tc>
        <w:tc>
          <w:tcPr>
            <w:tcW w:w="992" w:type="dxa"/>
            <w:vAlign w:val="center"/>
          </w:tcPr>
          <w:p w14:paraId="394F645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Genome Studio</w:t>
            </w:r>
          </w:p>
        </w:tc>
        <w:tc>
          <w:tcPr>
            <w:tcW w:w="2268" w:type="dxa"/>
            <w:vAlign w:val="center"/>
          </w:tcPr>
          <w:p w14:paraId="35C88C3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 95%; MAF &lt;1%; pHWE&lt; 1E-4</w:t>
            </w:r>
          </w:p>
        </w:tc>
        <w:tc>
          <w:tcPr>
            <w:tcW w:w="992" w:type="dxa"/>
            <w:vAlign w:val="center"/>
          </w:tcPr>
          <w:p w14:paraId="69B8A99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232571</w:t>
            </w:r>
          </w:p>
        </w:tc>
        <w:tc>
          <w:tcPr>
            <w:tcW w:w="1843" w:type="dxa"/>
            <w:gridSpan w:val="2"/>
            <w:vAlign w:val="center"/>
          </w:tcPr>
          <w:p w14:paraId="6C4F1737" w14:textId="77777777" w:rsidR="0001057B" w:rsidRPr="005371F2" w:rsidRDefault="0001057B" w:rsidP="0001057B">
            <w:pPr>
              <w:spacing w:after="0" w:line="240" w:lineRule="auto"/>
              <w:rPr>
                <w:rFonts w:ascii="Arial" w:hAnsi="Arial" w:cs="Arial"/>
                <w:color w:val="000000"/>
                <w:sz w:val="18"/>
                <w:szCs w:val="18"/>
                <w:lang w:val="it-IT"/>
              </w:rPr>
            </w:pPr>
            <w:r w:rsidRPr="005371F2">
              <w:rPr>
                <w:rFonts w:ascii="Arial" w:hAnsi="Arial" w:cs="Arial"/>
                <w:color w:val="000000"/>
                <w:sz w:val="18"/>
                <w:szCs w:val="18"/>
                <w:lang w:val="it-IT"/>
              </w:rPr>
              <w:t>SHAPEIT; Michigan Imputation Server (Info Score)</w:t>
            </w:r>
          </w:p>
        </w:tc>
        <w:tc>
          <w:tcPr>
            <w:tcW w:w="1701" w:type="dxa"/>
            <w:gridSpan w:val="2"/>
            <w:vAlign w:val="center"/>
          </w:tcPr>
          <w:p w14:paraId="313A8182" w14:textId="77777777" w:rsidR="0001057B" w:rsidRPr="005371F2" w:rsidRDefault="0001057B" w:rsidP="0001057B">
            <w:pPr>
              <w:spacing w:after="0" w:line="240" w:lineRule="auto"/>
              <w:rPr>
                <w:rFonts w:ascii="Arial" w:hAnsi="Arial" w:cs="Arial"/>
                <w:color w:val="000000"/>
                <w:sz w:val="18"/>
                <w:szCs w:val="18"/>
              </w:rPr>
            </w:pPr>
            <w:r>
              <w:rPr>
                <w:rFonts w:ascii="Arial" w:hAnsi="Arial" w:cs="Arial"/>
                <w:color w:val="000000"/>
                <w:sz w:val="18"/>
                <w:szCs w:val="18"/>
              </w:rPr>
              <w:t>HRC</w:t>
            </w:r>
          </w:p>
        </w:tc>
        <w:tc>
          <w:tcPr>
            <w:tcW w:w="1134" w:type="dxa"/>
            <w:vAlign w:val="center"/>
          </w:tcPr>
          <w:p w14:paraId="2C871AB1" w14:textId="77777777" w:rsidR="0001057B" w:rsidRPr="005371F2" w:rsidRDefault="0001057B" w:rsidP="0001057B">
            <w:pPr>
              <w:spacing w:after="0" w:line="240" w:lineRule="auto"/>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5617B03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exclusion of PC outliers, adjusting for PC1-5</w:t>
            </w:r>
          </w:p>
        </w:tc>
      </w:tr>
      <w:tr w:rsidR="0001057B" w:rsidRPr="005371F2" w14:paraId="7C62983E" w14:textId="77777777" w:rsidTr="00F04804">
        <w:trPr>
          <w:jc w:val="center"/>
        </w:trPr>
        <w:tc>
          <w:tcPr>
            <w:tcW w:w="1276" w:type="dxa"/>
            <w:shd w:val="clear" w:color="auto" w:fill="D9D9D9" w:themeFill="background1" w:themeFillShade="D9"/>
            <w:vAlign w:val="center"/>
          </w:tcPr>
          <w:p w14:paraId="5EEFBEA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RS-III</w:t>
            </w:r>
          </w:p>
        </w:tc>
        <w:tc>
          <w:tcPr>
            <w:tcW w:w="2693" w:type="dxa"/>
            <w:shd w:val="clear" w:color="auto" w:fill="D9D9D9" w:themeFill="background1" w:themeFillShade="D9"/>
            <w:vAlign w:val="center"/>
          </w:tcPr>
          <w:p w14:paraId="2E728A7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MAF &lt;</w:t>
            </w:r>
            <w:r w:rsidRPr="005371F2">
              <w:rPr>
                <w:rFonts w:ascii="Arial" w:hAnsi="Arial" w:cs="Arial"/>
                <w:color w:val="000000"/>
                <w:sz w:val="18"/>
                <w:szCs w:val="18"/>
                <w:lang w:val="en-US"/>
              </w:rPr>
              <w:t xml:space="preserve">0.05, </w:t>
            </w:r>
            <w:r>
              <w:rPr>
                <w:rFonts w:ascii="Arial" w:hAnsi="Arial" w:cs="Arial"/>
                <w:color w:val="000000"/>
                <w:sz w:val="18"/>
                <w:szCs w:val="18"/>
                <w:lang w:val="en-US"/>
              </w:rPr>
              <w:t>CR</w:t>
            </w:r>
            <w:r w:rsidRPr="005371F2">
              <w:rPr>
                <w:rFonts w:ascii="Arial" w:hAnsi="Arial" w:cs="Arial"/>
                <w:color w:val="000000"/>
                <w:sz w:val="18"/>
                <w:szCs w:val="18"/>
                <w:lang w:val="en-US"/>
              </w:rPr>
              <w:t xml:space="preserve"> &lt;0.95 and/or HWE &lt;1x10-7, excess heterozygosity, gender swaps, genetic ancestry</w:t>
            </w:r>
            <w:r>
              <w:rPr>
                <w:rFonts w:ascii="Arial" w:hAnsi="Arial" w:cs="Arial"/>
                <w:color w:val="000000"/>
                <w:sz w:val="18"/>
                <w:szCs w:val="18"/>
                <w:lang w:val="en-US"/>
              </w:rPr>
              <w:t>, relatives</w:t>
            </w:r>
          </w:p>
        </w:tc>
        <w:tc>
          <w:tcPr>
            <w:tcW w:w="1560" w:type="dxa"/>
            <w:shd w:val="clear" w:color="auto" w:fill="D9D9D9" w:themeFill="background1" w:themeFillShade="D9"/>
            <w:vAlign w:val="center"/>
          </w:tcPr>
          <w:p w14:paraId="7B363FE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610K and 660K</w:t>
            </w:r>
          </w:p>
        </w:tc>
        <w:tc>
          <w:tcPr>
            <w:tcW w:w="992" w:type="dxa"/>
            <w:shd w:val="clear" w:color="auto" w:fill="D9D9D9" w:themeFill="background1" w:themeFillShade="D9"/>
            <w:vAlign w:val="center"/>
          </w:tcPr>
          <w:p w14:paraId="6B3F8BB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GeneCall</w:t>
            </w:r>
          </w:p>
        </w:tc>
        <w:tc>
          <w:tcPr>
            <w:tcW w:w="2268" w:type="dxa"/>
            <w:shd w:val="clear" w:color="auto" w:fill="D9D9D9" w:themeFill="background1" w:themeFillShade="D9"/>
            <w:vAlign w:val="center"/>
          </w:tcPr>
          <w:p w14:paraId="7FDFC7D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MAF &lt; 0.05, SNP </w:t>
            </w:r>
            <w:r>
              <w:rPr>
                <w:rFonts w:ascii="Arial" w:hAnsi="Arial" w:cs="Arial"/>
                <w:color w:val="000000"/>
                <w:sz w:val="18"/>
                <w:szCs w:val="18"/>
                <w:lang w:val="en-US"/>
              </w:rPr>
              <w:t>CR</w:t>
            </w:r>
            <w:r w:rsidRPr="005371F2">
              <w:rPr>
                <w:rFonts w:ascii="Arial" w:hAnsi="Arial" w:cs="Arial"/>
                <w:color w:val="000000"/>
                <w:sz w:val="18"/>
                <w:szCs w:val="18"/>
                <w:lang w:val="en-US"/>
              </w:rPr>
              <w:t xml:space="preserve"> &lt; 0.95 and/or HWE p-value &lt; 1x10-9</w:t>
            </w:r>
          </w:p>
        </w:tc>
        <w:tc>
          <w:tcPr>
            <w:tcW w:w="992" w:type="dxa"/>
            <w:shd w:val="clear" w:color="auto" w:fill="D9D9D9" w:themeFill="background1" w:themeFillShade="D9"/>
            <w:vAlign w:val="center"/>
          </w:tcPr>
          <w:p w14:paraId="4703682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517658</w:t>
            </w:r>
          </w:p>
        </w:tc>
        <w:tc>
          <w:tcPr>
            <w:tcW w:w="1843" w:type="dxa"/>
            <w:gridSpan w:val="2"/>
            <w:shd w:val="clear" w:color="auto" w:fill="D9D9D9" w:themeFill="background1" w:themeFillShade="D9"/>
            <w:vAlign w:val="center"/>
          </w:tcPr>
          <w:p w14:paraId="68BEF47C"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MaCH and Minimac; Minimac 5 (r2)</w:t>
            </w:r>
          </w:p>
        </w:tc>
        <w:tc>
          <w:tcPr>
            <w:tcW w:w="1701" w:type="dxa"/>
            <w:gridSpan w:val="2"/>
            <w:shd w:val="clear" w:color="auto" w:fill="D9D9D9" w:themeFill="background1" w:themeFillShade="D9"/>
            <w:vAlign w:val="center"/>
          </w:tcPr>
          <w:p w14:paraId="00B616DC" w14:textId="77777777" w:rsidR="0001057B" w:rsidRPr="005371F2" w:rsidRDefault="0001057B" w:rsidP="0001057B">
            <w:pPr>
              <w:rPr>
                <w:rFonts w:ascii="Arial" w:hAnsi="Arial" w:cs="Arial"/>
                <w:color w:val="000000"/>
                <w:sz w:val="18"/>
                <w:szCs w:val="18"/>
              </w:rPr>
            </w:pPr>
            <w:r>
              <w:rPr>
                <w:rFonts w:ascii="Arial" w:hAnsi="Arial" w:cs="Arial"/>
                <w:color w:val="000000"/>
                <w:sz w:val="18"/>
                <w:szCs w:val="18"/>
              </w:rPr>
              <w:t>HRC</w:t>
            </w:r>
            <w:r w:rsidRPr="005371F2">
              <w:rPr>
                <w:rFonts w:ascii="Arial" w:hAnsi="Arial" w:cs="Arial"/>
                <w:color w:val="000000"/>
                <w:sz w:val="18"/>
                <w:szCs w:val="18"/>
              </w:rPr>
              <w:t xml:space="preserve"> 1.0</w:t>
            </w:r>
          </w:p>
        </w:tc>
        <w:tc>
          <w:tcPr>
            <w:tcW w:w="1134" w:type="dxa"/>
            <w:shd w:val="clear" w:color="auto" w:fill="D9D9D9" w:themeFill="background1" w:themeFillShade="D9"/>
            <w:vAlign w:val="center"/>
          </w:tcPr>
          <w:p w14:paraId="6497B948"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D9D9D9" w:themeFill="background1" w:themeFillShade="D9"/>
            <w:vAlign w:val="center"/>
          </w:tcPr>
          <w:p w14:paraId="2BABE45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PC1-5</w:t>
            </w:r>
          </w:p>
        </w:tc>
      </w:tr>
      <w:tr w:rsidR="0001057B" w:rsidRPr="005371F2" w14:paraId="69129602" w14:textId="77777777" w:rsidTr="00F04804">
        <w:trPr>
          <w:jc w:val="center"/>
        </w:trPr>
        <w:tc>
          <w:tcPr>
            <w:tcW w:w="1276" w:type="dxa"/>
            <w:vAlign w:val="center"/>
          </w:tcPr>
          <w:p w14:paraId="6D7771C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SHIP</w:t>
            </w:r>
          </w:p>
        </w:tc>
        <w:tc>
          <w:tcPr>
            <w:tcW w:w="2693" w:type="dxa"/>
            <w:vAlign w:val="center"/>
          </w:tcPr>
          <w:p w14:paraId="1A55488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Duplicate</w:t>
            </w:r>
            <w:r>
              <w:rPr>
                <w:rFonts w:ascii="Arial" w:hAnsi="Arial" w:cs="Arial"/>
                <w:color w:val="000000"/>
                <w:sz w:val="18"/>
                <w:szCs w:val="18"/>
                <w:lang w:val="en-US"/>
              </w:rPr>
              <w:t xml:space="preserve">s </w:t>
            </w:r>
            <w:r w:rsidRPr="005371F2">
              <w:rPr>
                <w:rFonts w:ascii="Arial" w:hAnsi="Arial" w:cs="Arial"/>
                <w:color w:val="000000"/>
                <w:sz w:val="18"/>
                <w:szCs w:val="18"/>
                <w:lang w:val="en-US"/>
              </w:rPr>
              <w:t xml:space="preserve">(by IBS), reported/genotyped gender mismatch, </w:t>
            </w:r>
            <w:r>
              <w:rPr>
                <w:rFonts w:ascii="Arial" w:hAnsi="Arial" w:cs="Arial"/>
                <w:color w:val="000000"/>
                <w:sz w:val="18"/>
                <w:szCs w:val="18"/>
                <w:lang w:val="en-US"/>
              </w:rPr>
              <w:t>CR</w:t>
            </w:r>
            <w:r w:rsidRPr="005371F2">
              <w:rPr>
                <w:rFonts w:ascii="Arial" w:hAnsi="Arial" w:cs="Arial"/>
                <w:color w:val="000000"/>
                <w:sz w:val="18"/>
                <w:szCs w:val="18"/>
                <w:lang w:val="en-US"/>
              </w:rPr>
              <w:t xml:space="preserve"> &lt;= 92%</w:t>
            </w:r>
          </w:p>
        </w:tc>
        <w:tc>
          <w:tcPr>
            <w:tcW w:w="1560" w:type="dxa"/>
            <w:vAlign w:val="center"/>
          </w:tcPr>
          <w:p w14:paraId="54CCE79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Affymetrix SNP 6.0</w:t>
            </w:r>
          </w:p>
        </w:tc>
        <w:tc>
          <w:tcPr>
            <w:tcW w:w="992" w:type="dxa"/>
            <w:vAlign w:val="center"/>
          </w:tcPr>
          <w:p w14:paraId="53DC952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Birdseed2</w:t>
            </w:r>
          </w:p>
        </w:tc>
        <w:tc>
          <w:tcPr>
            <w:tcW w:w="2268" w:type="dxa"/>
            <w:vAlign w:val="center"/>
          </w:tcPr>
          <w:p w14:paraId="5053774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pHWE &lt;= 0.0001 or </w:t>
            </w:r>
            <w:r>
              <w:rPr>
                <w:rFonts w:ascii="Arial" w:hAnsi="Arial" w:cs="Arial"/>
                <w:color w:val="000000"/>
                <w:sz w:val="18"/>
                <w:szCs w:val="18"/>
                <w:lang w:val="en-US"/>
              </w:rPr>
              <w:t>CR</w:t>
            </w:r>
            <w:r w:rsidRPr="005371F2">
              <w:rPr>
                <w:rFonts w:ascii="Arial" w:hAnsi="Arial" w:cs="Arial"/>
                <w:color w:val="000000"/>
                <w:sz w:val="18"/>
                <w:szCs w:val="18"/>
                <w:lang w:val="en-US"/>
              </w:rPr>
              <w:t xml:space="preserve"> &lt;= 0.95 or monomorphic SNPs, duplicate IDs, inconsistent reference alleles, mapping problem to build 37</w:t>
            </w:r>
          </w:p>
        </w:tc>
        <w:tc>
          <w:tcPr>
            <w:tcW w:w="992" w:type="dxa"/>
            <w:vAlign w:val="center"/>
          </w:tcPr>
          <w:p w14:paraId="2D12A9E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823635</w:t>
            </w:r>
          </w:p>
        </w:tc>
        <w:tc>
          <w:tcPr>
            <w:tcW w:w="1843" w:type="dxa"/>
            <w:gridSpan w:val="2"/>
            <w:vAlign w:val="center"/>
          </w:tcPr>
          <w:p w14:paraId="400D63C7"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Eagle2; Minimac3 (minimac RSQ)</w:t>
            </w:r>
          </w:p>
        </w:tc>
        <w:tc>
          <w:tcPr>
            <w:tcW w:w="1701" w:type="dxa"/>
            <w:gridSpan w:val="2"/>
            <w:vAlign w:val="center"/>
          </w:tcPr>
          <w:p w14:paraId="5CB9A71A" w14:textId="77777777" w:rsidR="0001057B" w:rsidRPr="005371F2" w:rsidRDefault="0001057B" w:rsidP="0001057B">
            <w:pPr>
              <w:rPr>
                <w:rFonts w:ascii="Arial" w:hAnsi="Arial" w:cs="Arial"/>
                <w:color w:val="000000"/>
                <w:sz w:val="18"/>
                <w:szCs w:val="18"/>
              </w:rPr>
            </w:pPr>
            <w:r>
              <w:rPr>
                <w:rFonts w:ascii="Arial" w:hAnsi="Arial" w:cs="Arial"/>
                <w:color w:val="000000"/>
                <w:sz w:val="18"/>
                <w:szCs w:val="18"/>
              </w:rPr>
              <w:t>HRC</w:t>
            </w:r>
            <w:r w:rsidRPr="005371F2">
              <w:rPr>
                <w:rFonts w:ascii="Arial" w:hAnsi="Arial" w:cs="Arial"/>
                <w:color w:val="000000"/>
                <w:sz w:val="18"/>
                <w:szCs w:val="18"/>
              </w:rPr>
              <w:t xml:space="preserve"> 1.1</w:t>
            </w:r>
          </w:p>
        </w:tc>
        <w:tc>
          <w:tcPr>
            <w:tcW w:w="1134" w:type="dxa"/>
            <w:vAlign w:val="center"/>
          </w:tcPr>
          <w:p w14:paraId="594C7A2B"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65F7A8C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not required</w:t>
            </w:r>
          </w:p>
        </w:tc>
      </w:tr>
      <w:tr w:rsidR="0001057B" w:rsidRPr="005371F2" w14:paraId="5F0110B9" w14:textId="77777777" w:rsidTr="00F04804">
        <w:trPr>
          <w:jc w:val="center"/>
        </w:trPr>
        <w:tc>
          <w:tcPr>
            <w:tcW w:w="1276" w:type="dxa"/>
            <w:shd w:val="clear" w:color="auto" w:fill="D9D9D9" w:themeFill="background1" w:themeFillShade="D9"/>
            <w:vAlign w:val="center"/>
          </w:tcPr>
          <w:p w14:paraId="0911C20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SiMES</w:t>
            </w:r>
          </w:p>
        </w:tc>
        <w:tc>
          <w:tcPr>
            <w:tcW w:w="2693" w:type="dxa"/>
            <w:shd w:val="clear" w:color="auto" w:fill="D9D9D9" w:themeFill="background1" w:themeFillShade="D9"/>
            <w:vAlign w:val="center"/>
          </w:tcPr>
          <w:p w14:paraId="094CCD8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monomorphic,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 heterozygosity, relat</w:t>
            </w:r>
            <w:r>
              <w:rPr>
                <w:rFonts w:ascii="Arial" w:hAnsi="Arial" w:cs="Arial"/>
                <w:color w:val="000000"/>
                <w:sz w:val="18"/>
                <w:szCs w:val="18"/>
                <w:lang w:val="en-US"/>
              </w:rPr>
              <w:t>ives</w:t>
            </w:r>
            <w:r w:rsidRPr="005371F2">
              <w:rPr>
                <w:rFonts w:ascii="Arial" w:hAnsi="Arial" w:cs="Arial"/>
                <w:color w:val="000000"/>
                <w:sz w:val="18"/>
                <w:szCs w:val="18"/>
                <w:lang w:val="en-US"/>
              </w:rPr>
              <w:t>/duplicates, discordant ethnicity, gender discrepancy.</w:t>
            </w:r>
          </w:p>
        </w:tc>
        <w:tc>
          <w:tcPr>
            <w:tcW w:w="1560" w:type="dxa"/>
            <w:shd w:val="clear" w:color="auto" w:fill="D9D9D9" w:themeFill="background1" w:themeFillShade="D9"/>
            <w:vAlign w:val="center"/>
          </w:tcPr>
          <w:p w14:paraId="62755EC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Human610-Quad Beadchips</w:t>
            </w:r>
          </w:p>
        </w:tc>
        <w:tc>
          <w:tcPr>
            <w:tcW w:w="992" w:type="dxa"/>
            <w:shd w:val="clear" w:color="auto" w:fill="D9D9D9" w:themeFill="background1" w:themeFillShade="D9"/>
            <w:vAlign w:val="center"/>
          </w:tcPr>
          <w:p w14:paraId="4BC0DA1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 GenTrain and GenCall</w:t>
            </w:r>
          </w:p>
        </w:tc>
        <w:tc>
          <w:tcPr>
            <w:tcW w:w="2268" w:type="dxa"/>
            <w:shd w:val="clear" w:color="auto" w:fill="D9D9D9" w:themeFill="background1" w:themeFillShade="D9"/>
            <w:vAlign w:val="center"/>
          </w:tcPr>
          <w:p w14:paraId="407CA01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pHW &lt;1E-6, </w:t>
            </w:r>
            <w:r>
              <w:rPr>
                <w:rFonts w:ascii="Arial" w:hAnsi="Arial" w:cs="Arial"/>
                <w:color w:val="000000"/>
                <w:sz w:val="18"/>
                <w:szCs w:val="18"/>
                <w:lang w:val="en-US"/>
              </w:rPr>
              <w:t>no</w:t>
            </w:r>
            <w:r w:rsidRPr="005371F2">
              <w:rPr>
                <w:rFonts w:ascii="Arial" w:hAnsi="Arial" w:cs="Arial"/>
                <w:color w:val="000000"/>
                <w:sz w:val="18"/>
                <w:szCs w:val="18"/>
                <w:lang w:val="en-US"/>
              </w:rPr>
              <w:t xml:space="preserve"> match</w:t>
            </w:r>
            <w:r>
              <w:rPr>
                <w:rFonts w:ascii="Arial" w:hAnsi="Arial" w:cs="Arial"/>
                <w:color w:val="000000"/>
                <w:sz w:val="18"/>
                <w:szCs w:val="18"/>
                <w:lang w:val="en-US"/>
              </w:rPr>
              <w:t>/</w:t>
            </w:r>
            <w:r w:rsidRPr="005371F2">
              <w:rPr>
                <w:rFonts w:ascii="Arial" w:hAnsi="Arial" w:cs="Arial"/>
                <w:color w:val="000000"/>
                <w:sz w:val="18"/>
                <w:szCs w:val="18"/>
                <w:lang w:val="en-US"/>
              </w:rPr>
              <w:t xml:space="preserve"> not present in 1000 Genomes phase 3 pan</w:t>
            </w:r>
            <w:r>
              <w:rPr>
                <w:rFonts w:ascii="Arial" w:hAnsi="Arial" w:cs="Arial"/>
                <w:color w:val="000000"/>
                <w:sz w:val="18"/>
                <w:szCs w:val="18"/>
                <w:lang w:val="en-US"/>
              </w:rPr>
              <w:t>el, AF</w:t>
            </w:r>
            <w:r w:rsidRPr="005371F2">
              <w:rPr>
                <w:rFonts w:ascii="Arial" w:hAnsi="Arial" w:cs="Arial"/>
                <w:color w:val="000000"/>
                <w:sz w:val="18"/>
                <w:szCs w:val="18"/>
                <w:lang w:val="en-US"/>
              </w:rPr>
              <w:t xml:space="preserve"> difference &gt;20% </w:t>
            </w:r>
            <w:r>
              <w:rPr>
                <w:rFonts w:ascii="Arial" w:hAnsi="Arial" w:cs="Arial"/>
                <w:color w:val="000000"/>
                <w:sz w:val="18"/>
                <w:szCs w:val="18"/>
                <w:lang w:val="en-US"/>
              </w:rPr>
              <w:t xml:space="preserve">to </w:t>
            </w:r>
            <w:r w:rsidRPr="005371F2">
              <w:rPr>
                <w:rFonts w:ascii="Arial" w:hAnsi="Arial" w:cs="Arial"/>
                <w:color w:val="000000"/>
                <w:sz w:val="18"/>
                <w:szCs w:val="18"/>
                <w:lang w:val="en-US"/>
              </w:rPr>
              <w:t>reference in 1000Gp3, duplicates</w:t>
            </w:r>
            <w:r>
              <w:rPr>
                <w:rFonts w:ascii="Arial" w:hAnsi="Arial" w:cs="Arial"/>
                <w:color w:val="000000"/>
                <w:sz w:val="18"/>
                <w:szCs w:val="18"/>
                <w:lang w:val="en-US"/>
              </w:rPr>
              <w:t xml:space="preserve"> (T2D DIAMANTE protocol)</w:t>
            </w:r>
          </w:p>
        </w:tc>
        <w:tc>
          <w:tcPr>
            <w:tcW w:w="992" w:type="dxa"/>
            <w:shd w:val="clear" w:color="auto" w:fill="D9D9D9" w:themeFill="background1" w:themeFillShade="D9"/>
            <w:vAlign w:val="center"/>
          </w:tcPr>
          <w:p w14:paraId="0816817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549947</w:t>
            </w:r>
          </w:p>
        </w:tc>
        <w:tc>
          <w:tcPr>
            <w:tcW w:w="1843" w:type="dxa"/>
            <w:gridSpan w:val="2"/>
            <w:shd w:val="clear" w:color="auto" w:fill="D9D9D9" w:themeFill="background1" w:themeFillShade="D9"/>
            <w:vAlign w:val="center"/>
          </w:tcPr>
          <w:p w14:paraId="6271E71B"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Michigan Imputation Server (r2)</w:t>
            </w:r>
          </w:p>
        </w:tc>
        <w:tc>
          <w:tcPr>
            <w:tcW w:w="1701" w:type="dxa"/>
            <w:gridSpan w:val="2"/>
            <w:shd w:val="clear" w:color="auto" w:fill="D9D9D9" w:themeFill="background1" w:themeFillShade="D9"/>
            <w:vAlign w:val="center"/>
          </w:tcPr>
          <w:p w14:paraId="46BBE314"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3 Version 5 ALL</w:t>
            </w:r>
          </w:p>
        </w:tc>
        <w:tc>
          <w:tcPr>
            <w:tcW w:w="1134" w:type="dxa"/>
            <w:shd w:val="clear" w:color="auto" w:fill="D9D9D9" w:themeFill="background1" w:themeFillShade="D9"/>
            <w:vAlign w:val="center"/>
          </w:tcPr>
          <w:p w14:paraId="3103622A"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D9D9D9" w:themeFill="background1" w:themeFillShade="D9"/>
            <w:vAlign w:val="center"/>
          </w:tcPr>
          <w:p w14:paraId="69D9AE5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PC1, PC2</w:t>
            </w:r>
          </w:p>
        </w:tc>
      </w:tr>
      <w:tr w:rsidR="0001057B" w:rsidRPr="005371F2" w14:paraId="408A58EB" w14:textId="77777777" w:rsidTr="00F04804">
        <w:trPr>
          <w:jc w:val="center"/>
        </w:trPr>
        <w:tc>
          <w:tcPr>
            <w:tcW w:w="1276" w:type="dxa"/>
            <w:shd w:val="clear" w:color="auto" w:fill="auto"/>
            <w:vAlign w:val="center"/>
          </w:tcPr>
          <w:p w14:paraId="46EB64F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SINDI</w:t>
            </w:r>
          </w:p>
        </w:tc>
        <w:tc>
          <w:tcPr>
            <w:tcW w:w="2693" w:type="dxa"/>
            <w:shd w:val="clear" w:color="auto" w:fill="auto"/>
            <w:vAlign w:val="center"/>
          </w:tcPr>
          <w:p w14:paraId="4F8E51A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monomorphic, </w:t>
            </w:r>
            <w:r>
              <w:rPr>
                <w:rFonts w:ascii="Arial" w:hAnsi="Arial" w:cs="Arial"/>
                <w:color w:val="000000"/>
                <w:sz w:val="18"/>
                <w:szCs w:val="18"/>
                <w:lang w:val="en-US"/>
              </w:rPr>
              <w:t>CR</w:t>
            </w:r>
            <w:r w:rsidRPr="005371F2">
              <w:rPr>
                <w:rFonts w:ascii="Arial" w:hAnsi="Arial" w:cs="Arial"/>
                <w:color w:val="000000"/>
                <w:sz w:val="18"/>
                <w:szCs w:val="18"/>
                <w:lang w:val="en-US"/>
              </w:rPr>
              <w:t xml:space="preserve"> &lt;95%, heterozygosity, relat</w:t>
            </w:r>
            <w:r>
              <w:rPr>
                <w:rFonts w:ascii="Arial" w:hAnsi="Arial" w:cs="Arial"/>
                <w:color w:val="000000"/>
                <w:sz w:val="18"/>
                <w:szCs w:val="18"/>
                <w:lang w:val="en-US"/>
              </w:rPr>
              <w:t>ives</w:t>
            </w:r>
            <w:r w:rsidRPr="005371F2">
              <w:rPr>
                <w:rFonts w:ascii="Arial" w:hAnsi="Arial" w:cs="Arial"/>
                <w:color w:val="000000"/>
                <w:sz w:val="18"/>
                <w:szCs w:val="18"/>
                <w:lang w:val="en-US"/>
              </w:rPr>
              <w:t>/duplicates, discordant ethnicity, gender discrepancy.</w:t>
            </w:r>
          </w:p>
        </w:tc>
        <w:tc>
          <w:tcPr>
            <w:tcW w:w="1560" w:type="dxa"/>
            <w:shd w:val="clear" w:color="auto" w:fill="auto"/>
            <w:vAlign w:val="center"/>
          </w:tcPr>
          <w:p w14:paraId="21DFEE7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Human610-Quad Beadchips</w:t>
            </w:r>
          </w:p>
        </w:tc>
        <w:tc>
          <w:tcPr>
            <w:tcW w:w="992" w:type="dxa"/>
            <w:shd w:val="clear" w:color="auto" w:fill="auto"/>
            <w:vAlign w:val="center"/>
          </w:tcPr>
          <w:p w14:paraId="26CBB01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 GenTrain and GenCall</w:t>
            </w:r>
          </w:p>
        </w:tc>
        <w:tc>
          <w:tcPr>
            <w:tcW w:w="2268" w:type="dxa"/>
            <w:shd w:val="clear" w:color="auto" w:fill="auto"/>
            <w:vAlign w:val="center"/>
          </w:tcPr>
          <w:p w14:paraId="6F2FDF1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pHW &lt;1E-6, </w:t>
            </w:r>
            <w:r>
              <w:rPr>
                <w:rFonts w:ascii="Arial" w:hAnsi="Arial" w:cs="Arial"/>
                <w:color w:val="000000"/>
                <w:sz w:val="18"/>
                <w:szCs w:val="18"/>
                <w:lang w:val="en-US"/>
              </w:rPr>
              <w:t>no</w:t>
            </w:r>
            <w:r w:rsidRPr="005371F2">
              <w:rPr>
                <w:rFonts w:ascii="Arial" w:hAnsi="Arial" w:cs="Arial"/>
                <w:color w:val="000000"/>
                <w:sz w:val="18"/>
                <w:szCs w:val="18"/>
                <w:lang w:val="en-US"/>
              </w:rPr>
              <w:t xml:space="preserve"> match</w:t>
            </w:r>
            <w:r>
              <w:rPr>
                <w:rFonts w:ascii="Arial" w:hAnsi="Arial" w:cs="Arial"/>
                <w:color w:val="000000"/>
                <w:sz w:val="18"/>
                <w:szCs w:val="18"/>
                <w:lang w:val="en-US"/>
              </w:rPr>
              <w:t>/</w:t>
            </w:r>
            <w:r w:rsidRPr="005371F2">
              <w:rPr>
                <w:rFonts w:ascii="Arial" w:hAnsi="Arial" w:cs="Arial"/>
                <w:color w:val="000000"/>
                <w:sz w:val="18"/>
                <w:szCs w:val="18"/>
                <w:lang w:val="en-US"/>
              </w:rPr>
              <w:t xml:space="preserve"> not present in 1000 Genomes phase 3 pan</w:t>
            </w:r>
            <w:r>
              <w:rPr>
                <w:rFonts w:ascii="Arial" w:hAnsi="Arial" w:cs="Arial"/>
                <w:color w:val="000000"/>
                <w:sz w:val="18"/>
                <w:szCs w:val="18"/>
                <w:lang w:val="en-US"/>
              </w:rPr>
              <w:t>el, AF</w:t>
            </w:r>
            <w:r w:rsidRPr="005371F2">
              <w:rPr>
                <w:rFonts w:ascii="Arial" w:hAnsi="Arial" w:cs="Arial"/>
                <w:color w:val="000000"/>
                <w:sz w:val="18"/>
                <w:szCs w:val="18"/>
                <w:lang w:val="en-US"/>
              </w:rPr>
              <w:t xml:space="preserve"> difference &gt;20% </w:t>
            </w:r>
            <w:r>
              <w:rPr>
                <w:rFonts w:ascii="Arial" w:hAnsi="Arial" w:cs="Arial"/>
                <w:color w:val="000000"/>
                <w:sz w:val="18"/>
                <w:szCs w:val="18"/>
                <w:lang w:val="en-US"/>
              </w:rPr>
              <w:t xml:space="preserve">to </w:t>
            </w:r>
            <w:r w:rsidRPr="005371F2">
              <w:rPr>
                <w:rFonts w:ascii="Arial" w:hAnsi="Arial" w:cs="Arial"/>
                <w:color w:val="000000"/>
                <w:sz w:val="18"/>
                <w:szCs w:val="18"/>
                <w:lang w:val="en-US"/>
              </w:rPr>
              <w:t>reference in 1000Gp3, duplicates</w:t>
            </w:r>
            <w:r>
              <w:rPr>
                <w:rFonts w:ascii="Arial" w:hAnsi="Arial" w:cs="Arial"/>
                <w:color w:val="000000"/>
                <w:sz w:val="18"/>
                <w:szCs w:val="18"/>
                <w:lang w:val="en-US"/>
              </w:rPr>
              <w:t xml:space="preserve"> (T2D DIAMANTE protocol)</w:t>
            </w:r>
          </w:p>
        </w:tc>
        <w:tc>
          <w:tcPr>
            <w:tcW w:w="992" w:type="dxa"/>
            <w:shd w:val="clear" w:color="auto" w:fill="auto"/>
            <w:vAlign w:val="center"/>
          </w:tcPr>
          <w:p w14:paraId="1A8E42A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552278</w:t>
            </w:r>
          </w:p>
        </w:tc>
        <w:tc>
          <w:tcPr>
            <w:tcW w:w="1843" w:type="dxa"/>
            <w:gridSpan w:val="2"/>
            <w:shd w:val="clear" w:color="auto" w:fill="auto"/>
            <w:vAlign w:val="center"/>
          </w:tcPr>
          <w:p w14:paraId="5EA0F86F"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SHAPEIT; Michigan Imputation Server (r2)</w:t>
            </w:r>
          </w:p>
        </w:tc>
        <w:tc>
          <w:tcPr>
            <w:tcW w:w="1701" w:type="dxa"/>
            <w:gridSpan w:val="2"/>
            <w:shd w:val="clear" w:color="auto" w:fill="auto"/>
            <w:vAlign w:val="center"/>
          </w:tcPr>
          <w:p w14:paraId="60679164"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3 Version 5 ALL</w:t>
            </w:r>
          </w:p>
        </w:tc>
        <w:tc>
          <w:tcPr>
            <w:tcW w:w="1134" w:type="dxa"/>
            <w:shd w:val="clear" w:color="auto" w:fill="auto"/>
            <w:vAlign w:val="center"/>
          </w:tcPr>
          <w:p w14:paraId="004185B8"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auto"/>
            <w:vAlign w:val="center"/>
          </w:tcPr>
          <w:p w14:paraId="6CB395E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PC1, PC2, PC3</w:t>
            </w:r>
          </w:p>
        </w:tc>
      </w:tr>
      <w:tr w:rsidR="0001057B" w:rsidRPr="005B5645" w14:paraId="75CBF576" w14:textId="77777777" w:rsidTr="00F04804">
        <w:trPr>
          <w:jc w:val="center"/>
        </w:trPr>
        <w:tc>
          <w:tcPr>
            <w:tcW w:w="1276" w:type="dxa"/>
            <w:shd w:val="clear" w:color="auto" w:fill="D9D9D9" w:themeFill="background1" w:themeFillShade="D9"/>
            <w:vAlign w:val="center"/>
          </w:tcPr>
          <w:p w14:paraId="168218C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SOLID-TIMI 52</w:t>
            </w:r>
          </w:p>
        </w:tc>
        <w:tc>
          <w:tcPr>
            <w:tcW w:w="2693" w:type="dxa"/>
            <w:shd w:val="clear" w:color="auto" w:fill="D9D9D9" w:themeFill="background1" w:themeFillShade="D9"/>
            <w:vAlign w:val="center"/>
          </w:tcPr>
          <w:p w14:paraId="17FE136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&lt;97%, &gt;3rd degree relative </w:t>
            </w:r>
            <w:r>
              <w:rPr>
                <w:rFonts w:ascii="Arial" w:hAnsi="Arial" w:cs="Arial"/>
                <w:color w:val="000000"/>
                <w:sz w:val="18"/>
                <w:szCs w:val="18"/>
                <w:lang w:val="en-US"/>
              </w:rPr>
              <w:t>(</w:t>
            </w:r>
            <w:r w:rsidRPr="005371F2">
              <w:rPr>
                <w:rFonts w:ascii="Arial" w:hAnsi="Arial" w:cs="Arial"/>
                <w:color w:val="000000"/>
                <w:sz w:val="18"/>
                <w:szCs w:val="18"/>
                <w:lang w:val="en-US"/>
              </w:rPr>
              <w:t>kindship coefficient</w:t>
            </w:r>
            <w:r>
              <w:rPr>
                <w:rFonts w:ascii="Arial" w:hAnsi="Arial" w:cs="Arial"/>
                <w:color w:val="000000"/>
                <w:sz w:val="18"/>
                <w:szCs w:val="18"/>
                <w:lang w:val="en-US"/>
              </w:rPr>
              <w:t xml:space="preserve">, </w:t>
            </w:r>
            <w:r w:rsidRPr="005371F2">
              <w:rPr>
                <w:rFonts w:ascii="Arial" w:hAnsi="Arial" w:cs="Arial"/>
                <w:color w:val="000000"/>
                <w:sz w:val="18"/>
                <w:szCs w:val="18"/>
                <w:lang w:val="en-US"/>
              </w:rPr>
              <w:t>KING</w:t>
            </w:r>
            <w:r>
              <w:rPr>
                <w:rFonts w:ascii="Arial" w:hAnsi="Arial" w:cs="Arial"/>
                <w:color w:val="000000"/>
                <w:sz w:val="18"/>
                <w:szCs w:val="18"/>
                <w:lang w:val="en-US"/>
              </w:rPr>
              <w:t>)</w:t>
            </w:r>
            <w:r w:rsidRPr="005371F2">
              <w:rPr>
                <w:rFonts w:ascii="Arial" w:hAnsi="Arial" w:cs="Arial"/>
                <w:color w:val="000000"/>
                <w:sz w:val="18"/>
                <w:szCs w:val="18"/>
                <w:lang w:val="en-US"/>
              </w:rPr>
              <w:t xml:space="preserve">, </w:t>
            </w:r>
            <w:r>
              <w:rPr>
                <w:rFonts w:ascii="Arial" w:hAnsi="Arial" w:cs="Arial"/>
                <w:color w:val="000000"/>
                <w:sz w:val="18"/>
                <w:szCs w:val="18"/>
                <w:lang w:val="en-US"/>
              </w:rPr>
              <w:t>sex mismatch</w:t>
            </w:r>
          </w:p>
        </w:tc>
        <w:tc>
          <w:tcPr>
            <w:tcW w:w="1560" w:type="dxa"/>
            <w:shd w:val="clear" w:color="auto" w:fill="D9D9D9" w:themeFill="background1" w:themeFillShade="D9"/>
            <w:vAlign w:val="center"/>
          </w:tcPr>
          <w:p w14:paraId="093AAF8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Axiom® Biobank Plus Genotyping Array</w:t>
            </w:r>
          </w:p>
        </w:tc>
        <w:tc>
          <w:tcPr>
            <w:tcW w:w="992" w:type="dxa"/>
            <w:shd w:val="clear" w:color="auto" w:fill="D9D9D9" w:themeFill="background1" w:themeFillShade="D9"/>
            <w:vAlign w:val="center"/>
          </w:tcPr>
          <w:p w14:paraId="2B6CC3D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tc>
        <w:tc>
          <w:tcPr>
            <w:tcW w:w="2268" w:type="dxa"/>
            <w:shd w:val="clear" w:color="auto" w:fill="D9D9D9" w:themeFill="background1" w:themeFillShade="D9"/>
            <w:vAlign w:val="center"/>
          </w:tcPr>
          <w:p w14:paraId="06A18A8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s &lt;95%, monomorphic, Hardy-Weinberg &lt;E-6,</w:t>
            </w:r>
          </w:p>
        </w:tc>
        <w:tc>
          <w:tcPr>
            <w:tcW w:w="992" w:type="dxa"/>
            <w:shd w:val="clear" w:color="auto" w:fill="D9D9D9" w:themeFill="background1" w:themeFillShade="D9"/>
            <w:vAlign w:val="center"/>
          </w:tcPr>
          <w:p w14:paraId="7E4C808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~547000</w:t>
            </w:r>
          </w:p>
        </w:tc>
        <w:tc>
          <w:tcPr>
            <w:tcW w:w="1843" w:type="dxa"/>
            <w:gridSpan w:val="2"/>
            <w:shd w:val="clear" w:color="auto" w:fill="D9D9D9" w:themeFill="background1" w:themeFillShade="D9"/>
            <w:vAlign w:val="center"/>
          </w:tcPr>
          <w:p w14:paraId="57EBEEA5" w14:textId="77777777" w:rsidR="0001057B" w:rsidRPr="002A5696" w:rsidRDefault="0001057B" w:rsidP="0001057B">
            <w:pPr>
              <w:rPr>
                <w:rFonts w:ascii="Arial" w:hAnsi="Arial" w:cs="Arial"/>
                <w:color w:val="000000"/>
                <w:sz w:val="18"/>
                <w:szCs w:val="18"/>
              </w:rPr>
            </w:pPr>
            <w:r w:rsidRPr="005371F2">
              <w:rPr>
                <w:rFonts w:ascii="Arial" w:hAnsi="Arial" w:cs="Arial"/>
                <w:color w:val="000000"/>
                <w:sz w:val="18"/>
                <w:szCs w:val="18"/>
              </w:rPr>
              <w:t>NA; HAPI-UR (NA)</w:t>
            </w:r>
          </w:p>
        </w:tc>
        <w:tc>
          <w:tcPr>
            <w:tcW w:w="1701" w:type="dxa"/>
            <w:gridSpan w:val="2"/>
            <w:shd w:val="clear" w:color="auto" w:fill="D9D9D9" w:themeFill="background1" w:themeFillShade="D9"/>
            <w:vAlign w:val="center"/>
          </w:tcPr>
          <w:p w14:paraId="112F18EB"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134" w:type="dxa"/>
            <w:shd w:val="clear" w:color="auto" w:fill="D9D9D9" w:themeFill="background1" w:themeFillShade="D9"/>
            <w:vAlign w:val="center"/>
          </w:tcPr>
          <w:p w14:paraId="56DBB534" w14:textId="77777777" w:rsidR="0001057B" w:rsidRPr="0001057B" w:rsidRDefault="0001057B" w:rsidP="0001057B">
            <w:pPr>
              <w:rPr>
                <w:rFonts w:ascii="Arial" w:hAnsi="Arial" w:cs="Arial"/>
                <w:color w:val="000000"/>
                <w:sz w:val="18"/>
                <w:szCs w:val="18"/>
                <w:lang w:val="en-US"/>
              </w:rPr>
            </w:pPr>
          </w:p>
        </w:tc>
        <w:tc>
          <w:tcPr>
            <w:tcW w:w="1417" w:type="dxa"/>
            <w:gridSpan w:val="3"/>
            <w:shd w:val="clear" w:color="auto" w:fill="D9D9D9" w:themeFill="background1" w:themeFillShade="D9"/>
            <w:vAlign w:val="center"/>
          </w:tcPr>
          <w:p w14:paraId="45C370D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tc>
      </w:tr>
      <w:tr w:rsidR="0001057B" w:rsidRPr="005B5645" w14:paraId="6086630D" w14:textId="77777777" w:rsidTr="00F04804">
        <w:trPr>
          <w:jc w:val="center"/>
        </w:trPr>
        <w:tc>
          <w:tcPr>
            <w:tcW w:w="1276" w:type="dxa"/>
            <w:tcBorders>
              <w:bottom w:val="single" w:sz="4" w:space="0" w:color="auto"/>
            </w:tcBorders>
            <w:shd w:val="clear" w:color="auto" w:fill="auto"/>
            <w:vAlign w:val="center"/>
          </w:tcPr>
          <w:p w14:paraId="2C94B38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STABILITY</w:t>
            </w:r>
          </w:p>
        </w:tc>
        <w:tc>
          <w:tcPr>
            <w:tcW w:w="2693" w:type="dxa"/>
            <w:tcBorders>
              <w:bottom w:val="single" w:sz="4" w:space="0" w:color="auto"/>
            </w:tcBorders>
            <w:shd w:val="clear" w:color="auto" w:fill="auto"/>
            <w:vAlign w:val="center"/>
          </w:tcPr>
          <w:p w14:paraId="5FB7AE5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&lt;97%, &gt;3rd degree relative </w:t>
            </w:r>
            <w:r>
              <w:rPr>
                <w:rFonts w:ascii="Arial" w:hAnsi="Arial" w:cs="Arial"/>
                <w:color w:val="000000"/>
                <w:sz w:val="18"/>
                <w:szCs w:val="18"/>
                <w:lang w:val="en-US"/>
              </w:rPr>
              <w:t>(</w:t>
            </w:r>
            <w:r w:rsidRPr="005371F2">
              <w:rPr>
                <w:rFonts w:ascii="Arial" w:hAnsi="Arial" w:cs="Arial"/>
                <w:color w:val="000000"/>
                <w:sz w:val="18"/>
                <w:szCs w:val="18"/>
                <w:lang w:val="en-US"/>
              </w:rPr>
              <w:t>kindship coefficient</w:t>
            </w:r>
            <w:r>
              <w:rPr>
                <w:rFonts w:ascii="Arial" w:hAnsi="Arial" w:cs="Arial"/>
                <w:color w:val="000000"/>
                <w:sz w:val="18"/>
                <w:szCs w:val="18"/>
                <w:lang w:val="en-US"/>
              </w:rPr>
              <w:t xml:space="preserve">, </w:t>
            </w:r>
            <w:r w:rsidRPr="005371F2">
              <w:rPr>
                <w:rFonts w:ascii="Arial" w:hAnsi="Arial" w:cs="Arial"/>
                <w:color w:val="000000"/>
                <w:sz w:val="18"/>
                <w:szCs w:val="18"/>
                <w:lang w:val="en-US"/>
              </w:rPr>
              <w:t>KING</w:t>
            </w:r>
            <w:r>
              <w:rPr>
                <w:rFonts w:ascii="Arial" w:hAnsi="Arial" w:cs="Arial"/>
                <w:color w:val="000000"/>
                <w:sz w:val="18"/>
                <w:szCs w:val="18"/>
                <w:lang w:val="en-US"/>
              </w:rPr>
              <w:t>)</w:t>
            </w:r>
            <w:r w:rsidRPr="005371F2">
              <w:rPr>
                <w:rFonts w:ascii="Arial" w:hAnsi="Arial" w:cs="Arial"/>
                <w:color w:val="000000"/>
                <w:sz w:val="18"/>
                <w:szCs w:val="18"/>
                <w:lang w:val="en-US"/>
              </w:rPr>
              <w:t xml:space="preserve">, </w:t>
            </w:r>
            <w:r>
              <w:rPr>
                <w:rFonts w:ascii="Arial" w:hAnsi="Arial" w:cs="Arial"/>
                <w:color w:val="000000"/>
                <w:sz w:val="18"/>
                <w:szCs w:val="18"/>
                <w:lang w:val="en-US"/>
              </w:rPr>
              <w:t>sex mismatch</w:t>
            </w:r>
          </w:p>
        </w:tc>
        <w:tc>
          <w:tcPr>
            <w:tcW w:w="1560" w:type="dxa"/>
            <w:tcBorders>
              <w:bottom w:val="single" w:sz="4" w:space="0" w:color="auto"/>
            </w:tcBorders>
            <w:shd w:val="clear" w:color="auto" w:fill="auto"/>
            <w:vAlign w:val="center"/>
          </w:tcPr>
          <w:p w14:paraId="24A7FBD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HumanOmniExpressExome-8 v1 array</w:t>
            </w:r>
          </w:p>
        </w:tc>
        <w:tc>
          <w:tcPr>
            <w:tcW w:w="992" w:type="dxa"/>
            <w:tcBorders>
              <w:bottom w:val="single" w:sz="4" w:space="0" w:color="auto"/>
            </w:tcBorders>
            <w:shd w:val="clear" w:color="auto" w:fill="auto"/>
            <w:vAlign w:val="center"/>
          </w:tcPr>
          <w:p w14:paraId="5B758F2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tc>
        <w:tc>
          <w:tcPr>
            <w:tcW w:w="2268" w:type="dxa"/>
            <w:tcBorders>
              <w:bottom w:val="single" w:sz="4" w:space="0" w:color="auto"/>
            </w:tcBorders>
            <w:shd w:val="clear" w:color="auto" w:fill="auto"/>
            <w:vAlign w:val="center"/>
          </w:tcPr>
          <w:p w14:paraId="48024E9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s &lt;95%, monomorphic, Hardy-Weinberg &lt;E-7,</w:t>
            </w:r>
          </w:p>
        </w:tc>
        <w:tc>
          <w:tcPr>
            <w:tcW w:w="992" w:type="dxa"/>
            <w:tcBorders>
              <w:bottom w:val="single" w:sz="4" w:space="0" w:color="auto"/>
            </w:tcBorders>
            <w:shd w:val="clear" w:color="auto" w:fill="auto"/>
            <w:vAlign w:val="center"/>
          </w:tcPr>
          <w:p w14:paraId="1B8D0AB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881788</w:t>
            </w:r>
          </w:p>
        </w:tc>
        <w:tc>
          <w:tcPr>
            <w:tcW w:w="1843" w:type="dxa"/>
            <w:gridSpan w:val="2"/>
            <w:tcBorders>
              <w:bottom w:val="single" w:sz="4" w:space="0" w:color="auto"/>
            </w:tcBorders>
            <w:shd w:val="clear" w:color="auto" w:fill="auto"/>
            <w:vAlign w:val="center"/>
          </w:tcPr>
          <w:p w14:paraId="0CE1A405" w14:textId="77777777" w:rsidR="0001057B" w:rsidRPr="0001057B" w:rsidRDefault="0001057B" w:rsidP="0001057B">
            <w:pPr>
              <w:rPr>
                <w:rFonts w:ascii="Arial" w:hAnsi="Arial" w:cs="Arial"/>
                <w:color w:val="000000"/>
                <w:sz w:val="18"/>
                <w:szCs w:val="18"/>
                <w:lang w:val="en-US"/>
              </w:rPr>
            </w:pPr>
            <w:r w:rsidRPr="0001057B">
              <w:rPr>
                <w:rFonts w:ascii="Arial" w:hAnsi="Arial" w:cs="Arial"/>
                <w:color w:val="000000"/>
                <w:sz w:val="18"/>
                <w:szCs w:val="18"/>
                <w:lang w:val="en-US"/>
              </w:rPr>
              <w:t>SHAPEIT v2.644; University of Michigan - minimac (NA)</w:t>
            </w:r>
          </w:p>
        </w:tc>
        <w:tc>
          <w:tcPr>
            <w:tcW w:w="1701" w:type="dxa"/>
            <w:gridSpan w:val="2"/>
            <w:tcBorders>
              <w:bottom w:val="single" w:sz="4" w:space="0" w:color="auto"/>
            </w:tcBorders>
            <w:shd w:val="clear" w:color="auto" w:fill="auto"/>
            <w:vAlign w:val="center"/>
          </w:tcPr>
          <w:p w14:paraId="475DFF80" w14:textId="77777777" w:rsidR="0001057B" w:rsidRPr="005371F2" w:rsidRDefault="0001057B" w:rsidP="0001057B">
            <w:pPr>
              <w:rPr>
                <w:rFonts w:ascii="Arial" w:hAnsi="Arial" w:cs="Arial"/>
                <w:color w:val="000000"/>
                <w:sz w:val="18"/>
                <w:szCs w:val="18"/>
                <w:lang w:val="en-US"/>
              </w:rPr>
            </w:pPr>
            <w:r w:rsidRPr="005371F2">
              <w:rPr>
                <w:rFonts w:ascii="Arial" w:hAnsi="Arial" w:cs="Arial"/>
                <w:color w:val="000000"/>
                <w:sz w:val="18"/>
                <w:szCs w:val="18"/>
                <w:lang w:val="en-US"/>
              </w:rPr>
              <w:t>1000G Phase 1 Version 3 ALL (March 2012)</w:t>
            </w:r>
          </w:p>
        </w:tc>
        <w:tc>
          <w:tcPr>
            <w:tcW w:w="1134" w:type="dxa"/>
            <w:tcBorders>
              <w:bottom w:val="single" w:sz="4" w:space="0" w:color="auto"/>
            </w:tcBorders>
            <w:shd w:val="clear" w:color="auto" w:fill="auto"/>
            <w:vAlign w:val="center"/>
          </w:tcPr>
          <w:p w14:paraId="7C1FA75D" w14:textId="77777777" w:rsidR="0001057B" w:rsidRPr="0001057B" w:rsidRDefault="0001057B" w:rsidP="0001057B">
            <w:pPr>
              <w:rPr>
                <w:rFonts w:ascii="Arial" w:hAnsi="Arial" w:cs="Arial"/>
                <w:color w:val="000000"/>
                <w:sz w:val="18"/>
                <w:szCs w:val="18"/>
                <w:lang w:val="en-US"/>
              </w:rPr>
            </w:pPr>
          </w:p>
        </w:tc>
        <w:tc>
          <w:tcPr>
            <w:tcW w:w="1417" w:type="dxa"/>
            <w:gridSpan w:val="3"/>
            <w:tcBorders>
              <w:bottom w:val="single" w:sz="4" w:space="0" w:color="auto"/>
            </w:tcBorders>
            <w:shd w:val="clear" w:color="auto" w:fill="auto"/>
            <w:vAlign w:val="center"/>
          </w:tcPr>
          <w:p w14:paraId="6564A12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p>
        </w:tc>
      </w:tr>
    </w:tbl>
    <w:p w14:paraId="1E92D16D" w14:textId="77777777" w:rsidR="0001057B" w:rsidRPr="00B5150A" w:rsidRDefault="0001057B" w:rsidP="0001057B">
      <w:pPr>
        <w:ind w:right="-343"/>
        <w:jc w:val="right"/>
        <w:rPr>
          <w:lang w:val="en-US"/>
        </w:rPr>
      </w:pPr>
      <w:r w:rsidRPr="009650D7">
        <w:rPr>
          <w:lang w:val="en-US"/>
        </w:rPr>
        <w:t>… to be continued</w:t>
      </w:r>
    </w:p>
    <w:p w14:paraId="01790510" w14:textId="77777777" w:rsidR="0001057B" w:rsidRDefault="0001057B" w:rsidP="0001057B">
      <w:pPr>
        <w:rPr>
          <w:b/>
          <w:bCs/>
          <w:lang w:val="en-US"/>
        </w:rPr>
      </w:pPr>
      <w:r>
        <w:rPr>
          <w:b/>
          <w:bCs/>
          <w:lang w:val="en-US"/>
        </w:rPr>
        <w:br w:type="page"/>
      </w:r>
    </w:p>
    <w:p w14:paraId="1AC3EEB6" w14:textId="77777777" w:rsidR="0001057B" w:rsidRPr="00E36097" w:rsidRDefault="0001057B" w:rsidP="0001057B">
      <w:pPr>
        <w:spacing w:after="120" w:line="240" w:lineRule="auto"/>
        <w:rPr>
          <w:lang w:val="en-US"/>
        </w:rPr>
      </w:pPr>
      <w:r w:rsidRPr="00E36097">
        <w:rPr>
          <w:b/>
          <w:bCs/>
          <w:lang w:val="en-US"/>
        </w:rPr>
        <w:lastRenderedPageBreak/>
        <w:t>Supplementary Table 3</w:t>
      </w:r>
      <w:r>
        <w:rPr>
          <w:b/>
          <w:bCs/>
          <w:lang w:val="en-US"/>
        </w:rPr>
        <w:t>: continued</w:t>
      </w:r>
    </w:p>
    <w:tbl>
      <w:tblPr>
        <w:tblW w:w="15876" w:type="dxa"/>
        <w:jc w:val="center"/>
        <w:tblLayout w:type="fixed"/>
        <w:tblLook w:val="0000" w:firstRow="0" w:lastRow="0" w:firstColumn="0" w:lastColumn="0" w:noHBand="0" w:noVBand="0"/>
      </w:tblPr>
      <w:tblGrid>
        <w:gridCol w:w="1276"/>
        <w:gridCol w:w="2693"/>
        <w:gridCol w:w="1560"/>
        <w:gridCol w:w="992"/>
        <w:gridCol w:w="2268"/>
        <w:gridCol w:w="992"/>
        <w:gridCol w:w="1829"/>
        <w:gridCol w:w="14"/>
        <w:gridCol w:w="1559"/>
        <w:gridCol w:w="128"/>
        <w:gridCol w:w="1148"/>
        <w:gridCol w:w="128"/>
        <w:gridCol w:w="1270"/>
        <w:gridCol w:w="19"/>
      </w:tblGrid>
      <w:tr w:rsidR="0001057B" w:rsidRPr="00EA57AC" w14:paraId="282BB3D8" w14:textId="77777777" w:rsidTr="00F04804">
        <w:trPr>
          <w:gridAfter w:val="1"/>
          <w:wAfter w:w="19" w:type="dxa"/>
          <w:jc w:val="center"/>
        </w:trPr>
        <w:tc>
          <w:tcPr>
            <w:tcW w:w="1276" w:type="dxa"/>
            <w:tcBorders>
              <w:top w:val="single" w:sz="4" w:space="0" w:color="auto"/>
              <w:bottom w:val="single" w:sz="4" w:space="0" w:color="auto"/>
            </w:tcBorders>
            <w:shd w:val="clear" w:color="auto" w:fill="BDD6EE" w:themeFill="accent1" w:themeFillTint="66"/>
            <w:vAlign w:val="bottom"/>
          </w:tcPr>
          <w:p w14:paraId="69A982EC"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Study</w:t>
            </w:r>
          </w:p>
        </w:tc>
        <w:tc>
          <w:tcPr>
            <w:tcW w:w="2693" w:type="dxa"/>
            <w:tcBorders>
              <w:top w:val="single" w:sz="4" w:space="0" w:color="auto"/>
              <w:bottom w:val="single" w:sz="4" w:space="0" w:color="auto"/>
            </w:tcBorders>
            <w:shd w:val="clear" w:color="auto" w:fill="BDD6EE" w:themeFill="accent1" w:themeFillTint="66"/>
            <w:vAlign w:val="bottom"/>
          </w:tcPr>
          <w:p w14:paraId="27109607"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Exclusions of individuals</w:t>
            </w:r>
          </w:p>
        </w:tc>
        <w:tc>
          <w:tcPr>
            <w:tcW w:w="1560" w:type="dxa"/>
            <w:tcBorders>
              <w:top w:val="single" w:sz="4" w:space="0" w:color="auto"/>
              <w:bottom w:val="single" w:sz="4" w:space="0" w:color="auto"/>
            </w:tcBorders>
            <w:shd w:val="clear" w:color="auto" w:fill="BDD6EE" w:themeFill="accent1" w:themeFillTint="66"/>
            <w:vAlign w:val="bottom"/>
          </w:tcPr>
          <w:p w14:paraId="4258571F"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Genotyping Array</w:t>
            </w:r>
          </w:p>
        </w:tc>
        <w:tc>
          <w:tcPr>
            <w:tcW w:w="992" w:type="dxa"/>
            <w:tcBorders>
              <w:top w:val="single" w:sz="4" w:space="0" w:color="auto"/>
              <w:bottom w:val="single" w:sz="4" w:space="0" w:color="auto"/>
            </w:tcBorders>
            <w:shd w:val="clear" w:color="auto" w:fill="BDD6EE" w:themeFill="accent1" w:themeFillTint="66"/>
            <w:vAlign w:val="bottom"/>
          </w:tcPr>
          <w:p w14:paraId="52130C2A"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Geno-type calling</w:t>
            </w:r>
          </w:p>
        </w:tc>
        <w:tc>
          <w:tcPr>
            <w:tcW w:w="2268" w:type="dxa"/>
            <w:tcBorders>
              <w:top w:val="single" w:sz="4" w:space="0" w:color="auto"/>
              <w:bottom w:val="single" w:sz="4" w:space="0" w:color="auto"/>
            </w:tcBorders>
            <w:shd w:val="clear" w:color="auto" w:fill="BDD6EE" w:themeFill="accent1" w:themeFillTint="66"/>
            <w:vAlign w:val="bottom"/>
          </w:tcPr>
          <w:p w14:paraId="3FC6812C"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Variant QC before imputation</w:t>
            </w:r>
          </w:p>
        </w:tc>
        <w:tc>
          <w:tcPr>
            <w:tcW w:w="992"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3D564DA0"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Pr>
                <w:rFonts w:ascii="Arial" w:hAnsi="Arial" w:cs="Arial"/>
                <w:bCs/>
                <w:color w:val="000000"/>
                <w:sz w:val="18"/>
                <w:szCs w:val="18"/>
                <w:lang w:val="en-US"/>
              </w:rPr>
              <w:t>#</w:t>
            </w:r>
            <w:r w:rsidRPr="00EA57AC">
              <w:rPr>
                <w:rFonts w:ascii="Arial" w:hAnsi="Arial" w:cs="Arial"/>
                <w:bCs/>
                <w:color w:val="000000"/>
                <w:sz w:val="18"/>
                <w:szCs w:val="18"/>
                <w:lang w:val="en-US"/>
              </w:rPr>
              <w:t xml:space="preserve"> SNPs used for imputation</w:t>
            </w:r>
          </w:p>
        </w:tc>
        <w:tc>
          <w:tcPr>
            <w:tcW w:w="1829" w:type="dxa"/>
            <w:tcBorders>
              <w:top w:val="single" w:sz="4" w:space="0" w:color="auto"/>
              <w:bottom w:val="single" w:sz="4" w:space="0" w:color="auto"/>
            </w:tcBorders>
            <w:shd w:val="clear" w:color="auto" w:fill="BDD6EE" w:themeFill="accent1" w:themeFillTint="66"/>
            <w:vAlign w:val="bottom"/>
          </w:tcPr>
          <w:p w14:paraId="32ECC865" w14:textId="77777777" w:rsidR="0001057B" w:rsidRPr="00EA57AC" w:rsidRDefault="0001057B" w:rsidP="00685851">
            <w:pPr>
              <w:spacing w:after="0" w:line="240" w:lineRule="auto"/>
              <w:rPr>
                <w:rFonts w:ascii="Arial" w:hAnsi="Arial" w:cs="Arial"/>
                <w:bCs/>
                <w:color w:val="000000"/>
                <w:sz w:val="18"/>
                <w:szCs w:val="18"/>
                <w:lang w:val="en-US"/>
              </w:rPr>
            </w:pPr>
            <w:r w:rsidRPr="00EA57AC">
              <w:rPr>
                <w:rFonts w:ascii="Arial" w:hAnsi="Arial" w:cs="Arial"/>
                <w:bCs/>
                <w:color w:val="000000"/>
                <w:sz w:val="18"/>
                <w:szCs w:val="18"/>
                <w:lang w:val="en-US"/>
              </w:rPr>
              <w:t>Software phasing</w:t>
            </w:r>
            <w:r>
              <w:rPr>
                <w:rFonts w:ascii="Arial" w:hAnsi="Arial" w:cs="Arial"/>
                <w:bCs/>
                <w:color w:val="000000"/>
                <w:sz w:val="18"/>
                <w:szCs w:val="18"/>
                <w:lang w:val="en-US"/>
              </w:rPr>
              <w:t xml:space="preserve"> and </w:t>
            </w:r>
            <w:r w:rsidRPr="00EA57AC">
              <w:rPr>
                <w:rFonts w:ascii="Arial" w:hAnsi="Arial" w:cs="Arial"/>
                <w:bCs/>
                <w:color w:val="000000"/>
                <w:sz w:val="18"/>
                <w:szCs w:val="18"/>
                <w:lang w:val="en-US"/>
              </w:rPr>
              <w:t xml:space="preserve">imputation </w:t>
            </w:r>
            <w:r w:rsidRPr="00EA57AC">
              <w:rPr>
                <w:rFonts w:ascii="Arial" w:hAnsi="Arial" w:cs="Arial"/>
                <w:bCs/>
                <w:color w:val="000000"/>
                <w:sz w:val="18"/>
                <w:szCs w:val="18"/>
                <w:lang w:val="en-US"/>
              </w:rPr>
              <w:br/>
              <w:t>(imputation quality)</w:t>
            </w:r>
          </w:p>
        </w:tc>
        <w:tc>
          <w:tcPr>
            <w:tcW w:w="1701" w:type="dxa"/>
            <w:gridSpan w:val="3"/>
            <w:tcBorders>
              <w:top w:val="single" w:sz="4" w:space="0" w:color="auto"/>
              <w:bottom w:val="single" w:sz="4" w:space="0" w:color="auto"/>
            </w:tcBorders>
            <w:shd w:val="clear" w:color="auto" w:fill="BDD6EE" w:themeFill="accent1" w:themeFillTint="66"/>
            <w:vAlign w:val="bottom"/>
          </w:tcPr>
          <w:p w14:paraId="40D0994B" w14:textId="77777777" w:rsidR="0001057B" w:rsidRPr="00EA57AC" w:rsidRDefault="0001057B" w:rsidP="00685851">
            <w:pPr>
              <w:spacing w:after="0" w:line="240" w:lineRule="auto"/>
              <w:rPr>
                <w:rFonts w:ascii="Arial" w:hAnsi="Arial" w:cs="Arial"/>
                <w:bCs/>
                <w:color w:val="000000"/>
                <w:sz w:val="18"/>
                <w:szCs w:val="18"/>
              </w:rPr>
            </w:pPr>
            <w:r w:rsidRPr="00EA57AC">
              <w:rPr>
                <w:rFonts w:ascii="Arial" w:hAnsi="Arial" w:cs="Arial"/>
                <w:bCs/>
                <w:color w:val="000000"/>
                <w:sz w:val="18"/>
                <w:szCs w:val="18"/>
              </w:rPr>
              <w:t>Imputation reference panel</w:t>
            </w:r>
          </w:p>
        </w:tc>
        <w:tc>
          <w:tcPr>
            <w:tcW w:w="1276" w:type="dxa"/>
            <w:gridSpan w:val="2"/>
            <w:tcBorders>
              <w:top w:val="single" w:sz="4" w:space="0" w:color="auto"/>
              <w:bottom w:val="single" w:sz="4" w:space="0" w:color="auto"/>
            </w:tcBorders>
            <w:shd w:val="clear" w:color="auto" w:fill="BDD6EE" w:themeFill="accent1" w:themeFillTint="66"/>
            <w:vAlign w:val="bottom"/>
          </w:tcPr>
          <w:p w14:paraId="1D959A7B" w14:textId="77777777" w:rsidR="0001057B" w:rsidRPr="00EA57AC" w:rsidRDefault="0001057B" w:rsidP="0001057B">
            <w:pPr>
              <w:spacing w:after="0" w:line="240" w:lineRule="auto"/>
              <w:jc w:val="center"/>
              <w:rPr>
                <w:rFonts w:ascii="Arial" w:hAnsi="Arial" w:cs="Arial"/>
                <w:bCs/>
                <w:color w:val="000000"/>
                <w:sz w:val="18"/>
                <w:szCs w:val="18"/>
              </w:rPr>
            </w:pPr>
            <w:r>
              <w:rPr>
                <w:rFonts w:ascii="Arial" w:hAnsi="Arial" w:cs="Arial"/>
                <w:bCs/>
                <w:color w:val="000000"/>
                <w:sz w:val="18"/>
                <w:szCs w:val="18"/>
              </w:rPr>
              <w:t>Variant QC after imputation</w:t>
            </w:r>
          </w:p>
        </w:tc>
        <w:tc>
          <w:tcPr>
            <w:tcW w:w="1270" w:type="dxa"/>
            <w:tcBorders>
              <w:top w:val="single" w:sz="4" w:space="0" w:color="auto"/>
              <w:bottom w:val="single" w:sz="4" w:space="0" w:color="auto"/>
            </w:tcBorders>
            <w:shd w:val="clear" w:color="auto" w:fill="BDD6EE" w:themeFill="accent1" w:themeFillTint="66"/>
            <w:tcMar>
              <w:left w:w="57" w:type="dxa"/>
              <w:right w:w="57" w:type="dxa"/>
            </w:tcMar>
            <w:vAlign w:val="bottom"/>
          </w:tcPr>
          <w:p w14:paraId="0F54180F" w14:textId="77777777" w:rsidR="0001057B" w:rsidRPr="00EA57AC" w:rsidRDefault="0001057B" w:rsidP="0001057B">
            <w:pPr>
              <w:autoSpaceDE w:val="0"/>
              <w:autoSpaceDN w:val="0"/>
              <w:adjustRightInd w:val="0"/>
              <w:spacing w:after="0" w:line="240" w:lineRule="auto"/>
              <w:jc w:val="center"/>
              <w:rPr>
                <w:rFonts w:ascii="Arial" w:hAnsi="Arial" w:cs="Arial"/>
                <w:bCs/>
                <w:color w:val="000000"/>
                <w:sz w:val="18"/>
                <w:szCs w:val="18"/>
                <w:lang w:val="en-US"/>
              </w:rPr>
            </w:pPr>
            <w:r w:rsidRPr="00EA57AC">
              <w:rPr>
                <w:rFonts w:ascii="Arial" w:hAnsi="Arial" w:cs="Arial"/>
                <w:bCs/>
                <w:color w:val="000000"/>
                <w:sz w:val="18"/>
                <w:szCs w:val="18"/>
                <w:lang w:val="en-US"/>
              </w:rPr>
              <w:t>Handling of population stratification</w:t>
            </w:r>
          </w:p>
        </w:tc>
      </w:tr>
      <w:tr w:rsidR="0001057B" w:rsidRPr="005B5645" w14:paraId="309530D5" w14:textId="77777777" w:rsidTr="00685851">
        <w:trPr>
          <w:jc w:val="center"/>
        </w:trPr>
        <w:tc>
          <w:tcPr>
            <w:tcW w:w="1276" w:type="dxa"/>
            <w:tcBorders>
              <w:bottom w:val="single" w:sz="4" w:space="0" w:color="auto"/>
            </w:tcBorders>
            <w:shd w:val="clear" w:color="auto" w:fill="D9D9D9" w:themeFill="background1" w:themeFillShade="D9"/>
            <w:vAlign w:val="center"/>
          </w:tcPr>
          <w:p w14:paraId="2F9F286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UKBB</w:t>
            </w:r>
          </w:p>
        </w:tc>
        <w:tc>
          <w:tcPr>
            <w:tcW w:w="2693" w:type="dxa"/>
            <w:tcBorders>
              <w:bottom w:val="single" w:sz="4" w:space="0" w:color="auto"/>
            </w:tcBorders>
            <w:shd w:val="clear" w:color="auto" w:fill="D9D9D9" w:themeFill="background1" w:themeFillShade="D9"/>
            <w:vAlign w:val="center"/>
          </w:tcPr>
          <w:p w14:paraId="07DCF2F3" w14:textId="77777777" w:rsidR="0001057B"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sex effects, discordance across control replicates</w:t>
            </w:r>
            <w:r>
              <w:rPr>
                <w:rFonts w:ascii="Arial" w:hAnsi="Arial" w:cs="Arial"/>
                <w:color w:val="000000"/>
                <w:sz w:val="18"/>
                <w:szCs w:val="18"/>
                <w:lang w:val="en-US"/>
              </w:rPr>
              <w:t>;</w:t>
            </w:r>
          </w:p>
          <w:p w14:paraId="4261025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ancestry outliers, outliers for heterozygosity</w:t>
            </w:r>
            <w:r>
              <w:rPr>
                <w:rFonts w:ascii="Arial" w:hAnsi="Arial" w:cs="Arial"/>
                <w:color w:val="000000"/>
                <w:sz w:val="18"/>
                <w:szCs w:val="18"/>
                <w:lang w:val="en-US"/>
              </w:rPr>
              <w:t>/</w:t>
            </w:r>
            <w:r w:rsidRPr="005371F2">
              <w:rPr>
                <w:rFonts w:ascii="Arial" w:hAnsi="Arial" w:cs="Arial"/>
                <w:color w:val="000000"/>
                <w:sz w:val="18"/>
                <w:szCs w:val="18"/>
                <w:lang w:val="en-US"/>
              </w:rPr>
              <w:t>missingness</w:t>
            </w:r>
            <w:r>
              <w:rPr>
                <w:rFonts w:ascii="Arial" w:hAnsi="Arial" w:cs="Arial"/>
                <w:color w:val="000000"/>
                <w:sz w:val="18"/>
                <w:szCs w:val="18"/>
                <w:lang w:val="en-US"/>
              </w:rPr>
              <w:t xml:space="preserve"> (</w:t>
            </w:r>
            <w:r w:rsidRPr="005371F2">
              <w:rPr>
                <w:rFonts w:ascii="Arial" w:hAnsi="Arial" w:cs="Arial"/>
                <w:color w:val="000000"/>
                <w:sz w:val="18"/>
                <w:szCs w:val="18"/>
                <w:lang w:val="en-US"/>
              </w:rPr>
              <w:t>https://www.biorxiv.org/content/early/2017/07/20/166298</w:t>
            </w:r>
            <w:r>
              <w:rPr>
                <w:rFonts w:ascii="Arial" w:hAnsi="Arial" w:cs="Arial"/>
                <w:color w:val="000000"/>
                <w:sz w:val="18"/>
                <w:szCs w:val="18"/>
                <w:lang w:val="en-US"/>
              </w:rPr>
              <w:t>)</w:t>
            </w:r>
          </w:p>
        </w:tc>
        <w:tc>
          <w:tcPr>
            <w:tcW w:w="1560" w:type="dxa"/>
            <w:tcBorders>
              <w:bottom w:val="single" w:sz="4" w:space="0" w:color="auto"/>
            </w:tcBorders>
            <w:shd w:val="clear" w:color="auto" w:fill="D9D9D9" w:themeFill="background1" w:themeFillShade="D9"/>
            <w:vAlign w:val="center"/>
          </w:tcPr>
          <w:p w14:paraId="1EA4521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UK BiLEVE Axiom array, UK Biobank Axiom array</w:t>
            </w:r>
          </w:p>
        </w:tc>
        <w:tc>
          <w:tcPr>
            <w:tcW w:w="992" w:type="dxa"/>
            <w:tcBorders>
              <w:bottom w:val="single" w:sz="4" w:space="0" w:color="auto"/>
            </w:tcBorders>
            <w:shd w:val="clear" w:color="auto" w:fill="D9D9D9" w:themeFill="background1" w:themeFillShade="D9"/>
            <w:vAlign w:val="center"/>
          </w:tcPr>
          <w:p w14:paraId="20EE584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Axiom GT1 algorithm </w:t>
            </w:r>
            <w:r>
              <w:rPr>
                <w:rFonts w:ascii="Arial" w:hAnsi="Arial" w:cs="Arial"/>
                <w:color w:val="000000"/>
                <w:sz w:val="18"/>
                <w:szCs w:val="18"/>
                <w:lang w:val="en-US"/>
              </w:rPr>
              <w:t>(</w:t>
            </w:r>
            <w:r w:rsidRPr="005371F2">
              <w:rPr>
                <w:rFonts w:ascii="Arial" w:hAnsi="Arial" w:cs="Arial"/>
                <w:color w:val="000000"/>
                <w:sz w:val="18"/>
                <w:szCs w:val="18"/>
                <w:lang w:val="en-US"/>
              </w:rPr>
              <w:t>Affymetrix Power Tools software</w:t>
            </w:r>
            <w:r>
              <w:rPr>
                <w:rFonts w:ascii="Arial" w:hAnsi="Arial" w:cs="Arial"/>
                <w:color w:val="000000"/>
                <w:sz w:val="18"/>
                <w:szCs w:val="18"/>
                <w:lang w:val="en-US"/>
              </w:rPr>
              <w:t>)</w:t>
            </w:r>
          </w:p>
        </w:tc>
        <w:tc>
          <w:tcPr>
            <w:tcW w:w="2268" w:type="dxa"/>
            <w:tcBorders>
              <w:bottom w:val="single" w:sz="4" w:space="0" w:color="auto"/>
            </w:tcBorders>
            <w:shd w:val="clear" w:color="auto" w:fill="D9D9D9" w:themeFill="background1" w:themeFillShade="D9"/>
            <w:vAlign w:val="center"/>
          </w:tcPr>
          <w:p w14:paraId="72BD9BC5" w14:textId="77777777" w:rsidR="0001057B" w:rsidRDefault="0001057B" w:rsidP="0001057B">
            <w:pPr>
              <w:autoSpaceDE w:val="0"/>
              <w:autoSpaceDN w:val="0"/>
              <w:adjustRightInd w:val="0"/>
              <w:spacing w:after="0" w:line="240" w:lineRule="auto"/>
              <w:rPr>
                <w:rFonts w:ascii="Arial" w:hAnsi="Arial" w:cs="Arial"/>
                <w:color w:val="000000"/>
                <w:sz w:val="18"/>
                <w:szCs w:val="18"/>
                <w:lang w:val="en-US"/>
              </w:rPr>
            </w:pPr>
          </w:p>
          <w:p w14:paraId="6F0DB7B2" w14:textId="77777777" w:rsidR="0001057B"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Variants with</w:t>
            </w:r>
            <w:r w:rsidRPr="005371F2">
              <w:rPr>
                <w:rFonts w:ascii="Arial" w:hAnsi="Arial" w:cs="Arial"/>
                <w:color w:val="000000"/>
                <w:sz w:val="18"/>
                <w:szCs w:val="18"/>
                <w:lang w:val="en-US"/>
              </w:rPr>
              <w:t xml:space="preserve"> batch</w:t>
            </w:r>
            <w:r>
              <w:rPr>
                <w:rFonts w:ascii="Arial" w:hAnsi="Arial" w:cs="Arial"/>
                <w:color w:val="000000"/>
                <w:sz w:val="18"/>
                <w:szCs w:val="18"/>
                <w:lang w:val="en-US"/>
              </w:rPr>
              <w:t>/plate/array</w:t>
            </w:r>
            <w:r w:rsidRPr="005371F2">
              <w:rPr>
                <w:rFonts w:ascii="Arial" w:hAnsi="Arial" w:cs="Arial"/>
                <w:color w:val="000000"/>
                <w:sz w:val="18"/>
                <w:szCs w:val="18"/>
                <w:lang w:val="en-US"/>
              </w:rPr>
              <w:t xml:space="preserve"> effects, departures from HWE, </w:t>
            </w:r>
          </w:p>
          <w:p w14:paraId="7C4D0D7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Failed QC in &gt; 1 batch, </w:t>
            </w:r>
            <w:r>
              <w:rPr>
                <w:rFonts w:ascii="Arial" w:hAnsi="Arial" w:cs="Arial"/>
                <w:color w:val="000000"/>
                <w:sz w:val="18"/>
                <w:szCs w:val="18"/>
                <w:lang w:val="en-US"/>
              </w:rPr>
              <w:t>CR</w:t>
            </w:r>
            <w:r w:rsidRPr="005371F2">
              <w:rPr>
                <w:rFonts w:ascii="Arial" w:hAnsi="Arial" w:cs="Arial"/>
                <w:color w:val="000000"/>
                <w:sz w:val="18"/>
                <w:szCs w:val="18"/>
                <w:lang w:val="en-US"/>
              </w:rPr>
              <w:t xml:space="preserve"> &lt; 95%, MAF &lt; 0.0001</w:t>
            </w:r>
            <w:r>
              <w:rPr>
                <w:rFonts w:ascii="Arial" w:hAnsi="Arial" w:cs="Arial"/>
                <w:color w:val="000000"/>
                <w:sz w:val="18"/>
                <w:szCs w:val="18"/>
                <w:lang w:val="en-US"/>
              </w:rPr>
              <w:t xml:space="preserve"> (</w:t>
            </w:r>
            <w:r w:rsidRPr="005371F2">
              <w:rPr>
                <w:rFonts w:ascii="Arial" w:hAnsi="Arial" w:cs="Arial"/>
                <w:color w:val="000000"/>
                <w:sz w:val="18"/>
                <w:szCs w:val="18"/>
                <w:lang w:val="en-US"/>
              </w:rPr>
              <w:t>https://www.biorxiv.org/content/early/2017/07/20/166298</w:t>
            </w:r>
            <w:r>
              <w:rPr>
                <w:rFonts w:ascii="Arial" w:hAnsi="Arial" w:cs="Arial"/>
                <w:color w:val="000000"/>
                <w:sz w:val="18"/>
                <w:szCs w:val="18"/>
                <w:lang w:val="en-US"/>
              </w:rPr>
              <w:t>)</w:t>
            </w:r>
          </w:p>
        </w:tc>
        <w:tc>
          <w:tcPr>
            <w:tcW w:w="992" w:type="dxa"/>
            <w:tcBorders>
              <w:bottom w:val="single" w:sz="4" w:space="0" w:color="auto"/>
            </w:tcBorders>
            <w:shd w:val="clear" w:color="auto" w:fill="D9D9D9" w:themeFill="background1" w:themeFillShade="D9"/>
            <w:vAlign w:val="center"/>
          </w:tcPr>
          <w:p w14:paraId="330B6EE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670739</w:t>
            </w:r>
          </w:p>
        </w:tc>
        <w:tc>
          <w:tcPr>
            <w:tcW w:w="1843" w:type="dxa"/>
            <w:gridSpan w:val="2"/>
            <w:tcBorders>
              <w:bottom w:val="single" w:sz="4" w:space="0" w:color="auto"/>
            </w:tcBorders>
            <w:shd w:val="clear" w:color="auto" w:fill="D9D9D9" w:themeFill="background1" w:themeFillShade="D9"/>
            <w:vAlign w:val="center"/>
          </w:tcPr>
          <w:p w14:paraId="58AB069C" w14:textId="77777777" w:rsidR="0001057B" w:rsidRPr="005371F2" w:rsidRDefault="0001057B" w:rsidP="0001057B">
            <w:pPr>
              <w:rPr>
                <w:rFonts w:ascii="Arial" w:hAnsi="Arial" w:cs="Arial"/>
                <w:color w:val="000000"/>
                <w:sz w:val="18"/>
                <w:szCs w:val="18"/>
                <w:lang w:val="it-IT"/>
              </w:rPr>
            </w:pPr>
            <w:r w:rsidRPr="005371F2">
              <w:rPr>
                <w:rFonts w:ascii="Arial" w:hAnsi="Arial" w:cs="Arial"/>
                <w:color w:val="000000"/>
                <w:sz w:val="18"/>
                <w:szCs w:val="18"/>
                <w:lang w:val="it-IT"/>
              </w:rPr>
              <w:t>SHAPEIT3; IMPUTE4 (IMPUTE info score)</w:t>
            </w:r>
          </w:p>
        </w:tc>
        <w:tc>
          <w:tcPr>
            <w:tcW w:w="1559" w:type="dxa"/>
            <w:tcBorders>
              <w:bottom w:val="single" w:sz="4" w:space="0" w:color="auto"/>
            </w:tcBorders>
            <w:shd w:val="clear" w:color="auto" w:fill="D9D9D9" w:themeFill="background1" w:themeFillShade="D9"/>
            <w:vAlign w:val="center"/>
          </w:tcPr>
          <w:p w14:paraId="34297553" w14:textId="77777777" w:rsidR="0001057B" w:rsidRPr="005371F2" w:rsidRDefault="0001057B" w:rsidP="0001057B">
            <w:pPr>
              <w:rPr>
                <w:rFonts w:ascii="Arial" w:hAnsi="Arial" w:cs="Arial"/>
                <w:color w:val="000000"/>
                <w:sz w:val="18"/>
                <w:szCs w:val="18"/>
              </w:rPr>
            </w:pPr>
            <w:r>
              <w:rPr>
                <w:rFonts w:ascii="Arial" w:hAnsi="Arial" w:cs="Arial"/>
                <w:color w:val="000000"/>
                <w:sz w:val="18"/>
                <w:szCs w:val="18"/>
              </w:rPr>
              <w:t>HRC</w:t>
            </w:r>
          </w:p>
        </w:tc>
        <w:tc>
          <w:tcPr>
            <w:tcW w:w="1276" w:type="dxa"/>
            <w:gridSpan w:val="2"/>
            <w:tcBorders>
              <w:bottom w:val="single" w:sz="4" w:space="0" w:color="auto"/>
            </w:tcBorders>
            <w:shd w:val="clear" w:color="auto" w:fill="D9D9D9" w:themeFill="background1" w:themeFillShade="D9"/>
            <w:vAlign w:val="center"/>
          </w:tcPr>
          <w:p w14:paraId="3586C526" w14:textId="77777777" w:rsidR="0001057B" w:rsidRPr="005371F2" w:rsidRDefault="0001057B" w:rsidP="0001057B">
            <w:pPr>
              <w:rPr>
                <w:rFonts w:ascii="Arial" w:hAnsi="Arial" w:cs="Arial"/>
                <w:color w:val="000000"/>
                <w:sz w:val="18"/>
                <w:szCs w:val="18"/>
              </w:rPr>
            </w:pPr>
            <w:r w:rsidRPr="005371F2">
              <w:rPr>
                <w:rFonts w:ascii="Arial" w:hAnsi="Arial" w:cs="Arial"/>
                <w:color w:val="000000"/>
                <w:sz w:val="18"/>
                <w:szCs w:val="18"/>
              </w:rPr>
              <w:t>None</w:t>
            </w:r>
          </w:p>
        </w:tc>
        <w:tc>
          <w:tcPr>
            <w:tcW w:w="1417" w:type="dxa"/>
            <w:gridSpan w:val="3"/>
            <w:tcBorders>
              <w:bottom w:val="single" w:sz="4" w:space="0" w:color="auto"/>
            </w:tcBorders>
            <w:shd w:val="clear" w:color="auto" w:fill="D9D9D9" w:themeFill="background1" w:themeFillShade="D9"/>
            <w:vAlign w:val="center"/>
          </w:tcPr>
          <w:p w14:paraId="0E460E0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accounting</w:t>
            </w:r>
            <w:r w:rsidRPr="005371F2">
              <w:rPr>
                <w:rFonts w:ascii="Arial" w:hAnsi="Arial" w:cs="Arial"/>
                <w:color w:val="000000"/>
                <w:sz w:val="18"/>
                <w:szCs w:val="18"/>
                <w:lang w:val="en-US"/>
              </w:rPr>
              <w:t xml:space="preserve"> for </w:t>
            </w:r>
            <w:r>
              <w:rPr>
                <w:rFonts w:ascii="Arial" w:hAnsi="Arial" w:cs="Arial"/>
                <w:color w:val="000000"/>
                <w:sz w:val="18"/>
                <w:szCs w:val="18"/>
                <w:lang w:val="en-US"/>
              </w:rPr>
              <w:t xml:space="preserve">relatives </w:t>
            </w:r>
            <w:r w:rsidRPr="005371F2">
              <w:rPr>
                <w:rFonts w:ascii="Arial" w:hAnsi="Arial" w:cs="Arial"/>
                <w:color w:val="000000"/>
                <w:sz w:val="18"/>
                <w:szCs w:val="18"/>
                <w:lang w:val="en-US"/>
              </w:rPr>
              <w:t xml:space="preserve">in Linear Mixed Model </w:t>
            </w:r>
            <w:r>
              <w:rPr>
                <w:rFonts w:ascii="Arial" w:hAnsi="Arial" w:cs="Arial"/>
                <w:color w:val="000000"/>
                <w:sz w:val="18"/>
                <w:szCs w:val="18"/>
                <w:lang w:val="en-US"/>
              </w:rPr>
              <w:t>(</w:t>
            </w:r>
            <w:r w:rsidRPr="005371F2">
              <w:rPr>
                <w:rFonts w:ascii="Arial" w:hAnsi="Arial" w:cs="Arial"/>
                <w:color w:val="000000"/>
                <w:sz w:val="18"/>
                <w:szCs w:val="18"/>
                <w:lang w:val="en-US"/>
              </w:rPr>
              <w:t>BOLT-LMM</w:t>
            </w:r>
            <w:r>
              <w:rPr>
                <w:rFonts w:ascii="Arial" w:hAnsi="Arial" w:cs="Arial"/>
                <w:color w:val="000000"/>
                <w:sz w:val="18"/>
                <w:szCs w:val="18"/>
                <w:lang w:val="en-US"/>
              </w:rPr>
              <w:t>)</w:t>
            </w:r>
          </w:p>
        </w:tc>
      </w:tr>
      <w:tr w:rsidR="0001057B" w:rsidRPr="005371F2" w14:paraId="283F175E" w14:textId="77777777" w:rsidTr="00685851">
        <w:trPr>
          <w:jc w:val="center"/>
        </w:trPr>
        <w:tc>
          <w:tcPr>
            <w:tcW w:w="1276" w:type="dxa"/>
            <w:vAlign w:val="center"/>
          </w:tcPr>
          <w:p w14:paraId="667F32B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ULSAM</w:t>
            </w:r>
          </w:p>
        </w:tc>
        <w:tc>
          <w:tcPr>
            <w:tcW w:w="2693" w:type="dxa"/>
            <w:vAlign w:val="center"/>
          </w:tcPr>
          <w:p w14:paraId="38CA9B49"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&lt;95%; sex mismatch; extreme heterozygosity; relat</w:t>
            </w:r>
            <w:r>
              <w:rPr>
                <w:rFonts w:ascii="Arial" w:hAnsi="Arial" w:cs="Arial"/>
                <w:color w:val="000000"/>
                <w:sz w:val="18"/>
                <w:szCs w:val="18"/>
                <w:lang w:val="en-US"/>
              </w:rPr>
              <w:t>ives</w:t>
            </w:r>
            <w:r w:rsidRPr="005371F2">
              <w:rPr>
                <w:rFonts w:ascii="Arial" w:hAnsi="Arial" w:cs="Arial"/>
                <w:color w:val="000000"/>
                <w:sz w:val="18"/>
                <w:szCs w:val="18"/>
                <w:lang w:val="en-US"/>
              </w:rPr>
              <w:t>; ancestry outliers</w:t>
            </w:r>
          </w:p>
        </w:tc>
        <w:tc>
          <w:tcPr>
            <w:tcW w:w="1560" w:type="dxa"/>
            <w:vAlign w:val="center"/>
          </w:tcPr>
          <w:p w14:paraId="4FB4077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2.5M and Metabochip</w:t>
            </w:r>
          </w:p>
        </w:tc>
        <w:tc>
          <w:tcPr>
            <w:tcW w:w="992" w:type="dxa"/>
            <w:vAlign w:val="center"/>
          </w:tcPr>
          <w:p w14:paraId="488EAF0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vAlign w:val="center"/>
          </w:tcPr>
          <w:p w14:paraId="24DC863E" w14:textId="1151B2DB" w:rsidR="0001057B" w:rsidRPr="005371F2" w:rsidRDefault="0001057B" w:rsidP="0032391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&lt;95%, HWE p&lt;10-6, MAF&lt;1%</w:t>
            </w:r>
          </w:p>
        </w:tc>
        <w:tc>
          <w:tcPr>
            <w:tcW w:w="992" w:type="dxa"/>
            <w:vAlign w:val="center"/>
          </w:tcPr>
          <w:p w14:paraId="3B16B9F0"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1621481</w:t>
            </w:r>
          </w:p>
        </w:tc>
        <w:tc>
          <w:tcPr>
            <w:tcW w:w="1843" w:type="dxa"/>
            <w:gridSpan w:val="2"/>
            <w:vAlign w:val="center"/>
          </w:tcPr>
          <w:p w14:paraId="71E7F59D"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ShapeITv2; IMPUTE4 (Info Score)</w:t>
            </w:r>
          </w:p>
        </w:tc>
        <w:tc>
          <w:tcPr>
            <w:tcW w:w="1559" w:type="dxa"/>
            <w:vAlign w:val="center"/>
          </w:tcPr>
          <w:p w14:paraId="6AC68889" w14:textId="77777777" w:rsidR="0001057B" w:rsidRPr="005371F2" w:rsidRDefault="0001057B" w:rsidP="00B24891">
            <w:pPr>
              <w:spacing w:after="0"/>
              <w:rPr>
                <w:rFonts w:ascii="Arial" w:hAnsi="Arial" w:cs="Arial"/>
                <w:color w:val="000000"/>
                <w:sz w:val="18"/>
                <w:szCs w:val="18"/>
              </w:rPr>
            </w:pPr>
            <w:r>
              <w:rPr>
                <w:rFonts w:ascii="Arial" w:hAnsi="Arial" w:cs="Arial"/>
                <w:color w:val="000000"/>
                <w:sz w:val="18"/>
                <w:szCs w:val="18"/>
              </w:rPr>
              <w:t>HRC</w:t>
            </w:r>
          </w:p>
        </w:tc>
        <w:tc>
          <w:tcPr>
            <w:tcW w:w="1276" w:type="dxa"/>
            <w:gridSpan w:val="2"/>
            <w:vAlign w:val="center"/>
          </w:tcPr>
          <w:p w14:paraId="5D70DD63"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info&lt;0.4</w:t>
            </w:r>
          </w:p>
        </w:tc>
        <w:tc>
          <w:tcPr>
            <w:tcW w:w="1417" w:type="dxa"/>
            <w:gridSpan w:val="3"/>
            <w:vAlign w:val="center"/>
          </w:tcPr>
          <w:p w14:paraId="4DEA154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2PCs</w:t>
            </w:r>
          </w:p>
        </w:tc>
      </w:tr>
      <w:tr w:rsidR="0001057B" w:rsidRPr="005371F2" w14:paraId="1332EAC6" w14:textId="77777777" w:rsidTr="00685851">
        <w:trPr>
          <w:jc w:val="center"/>
        </w:trPr>
        <w:tc>
          <w:tcPr>
            <w:tcW w:w="1276" w:type="dxa"/>
            <w:shd w:val="clear" w:color="auto" w:fill="D9D9D9" w:themeFill="background1" w:themeFillShade="D9"/>
            <w:vAlign w:val="center"/>
          </w:tcPr>
          <w:p w14:paraId="17702B12"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Vanderbilt-660</w:t>
            </w:r>
          </w:p>
        </w:tc>
        <w:tc>
          <w:tcPr>
            <w:tcW w:w="2693" w:type="dxa"/>
            <w:shd w:val="clear" w:color="auto" w:fill="D9D9D9" w:themeFill="background1" w:themeFillShade="D9"/>
            <w:vAlign w:val="center"/>
          </w:tcPr>
          <w:p w14:paraId="453114A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w:t>
            </w:r>
            <w:r>
              <w:rPr>
                <w:rFonts w:ascii="Arial" w:hAnsi="Arial" w:cs="Arial"/>
                <w:color w:val="000000"/>
                <w:sz w:val="18"/>
                <w:szCs w:val="18"/>
                <w:lang w:val="en-US"/>
              </w:rPr>
              <w:t>mismatch</w:t>
            </w:r>
            <w:r w:rsidRPr="005371F2">
              <w:rPr>
                <w:rFonts w:ascii="Arial" w:hAnsi="Arial" w:cs="Arial"/>
                <w:color w:val="000000"/>
                <w:sz w:val="18"/>
                <w:szCs w:val="18"/>
                <w:lang w:val="en-US"/>
              </w:rPr>
              <w:t>, duplicate</w:t>
            </w:r>
            <w:r>
              <w:rPr>
                <w:rFonts w:ascii="Arial" w:hAnsi="Arial" w:cs="Arial"/>
                <w:color w:val="000000"/>
                <w:sz w:val="18"/>
                <w:szCs w:val="18"/>
                <w:lang w:val="en-US"/>
              </w:rPr>
              <w:t>s</w:t>
            </w:r>
            <w:r w:rsidRPr="005371F2">
              <w:rPr>
                <w:rFonts w:ascii="Arial" w:hAnsi="Arial" w:cs="Arial"/>
                <w:color w:val="000000"/>
                <w:sz w:val="18"/>
                <w:szCs w:val="18"/>
                <w:lang w:val="en-US"/>
              </w:rPr>
              <w:t xml:space="preserve">, </w:t>
            </w:r>
            <w:r>
              <w:rPr>
                <w:rFonts w:ascii="Arial" w:hAnsi="Arial" w:cs="Arial"/>
                <w:color w:val="000000"/>
                <w:sz w:val="18"/>
                <w:szCs w:val="18"/>
                <w:lang w:val="en-US"/>
              </w:rPr>
              <w:t>CR</w:t>
            </w:r>
            <w:r w:rsidRPr="005371F2">
              <w:rPr>
                <w:rFonts w:ascii="Arial" w:hAnsi="Arial" w:cs="Arial"/>
                <w:color w:val="000000"/>
                <w:sz w:val="18"/>
                <w:szCs w:val="18"/>
                <w:lang w:val="en-US"/>
              </w:rPr>
              <w:t xml:space="preserve"> &lt;98%, HapMap concordance check</w:t>
            </w:r>
          </w:p>
        </w:tc>
        <w:tc>
          <w:tcPr>
            <w:tcW w:w="1560" w:type="dxa"/>
            <w:shd w:val="clear" w:color="auto" w:fill="D9D9D9" w:themeFill="background1" w:themeFillShade="D9"/>
            <w:vAlign w:val="center"/>
          </w:tcPr>
          <w:p w14:paraId="06F3011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660W</w:t>
            </w:r>
          </w:p>
        </w:tc>
        <w:tc>
          <w:tcPr>
            <w:tcW w:w="992" w:type="dxa"/>
            <w:shd w:val="clear" w:color="auto" w:fill="D9D9D9" w:themeFill="background1" w:themeFillShade="D9"/>
            <w:vAlign w:val="center"/>
          </w:tcPr>
          <w:p w14:paraId="337DE42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shd w:val="clear" w:color="auto" w:fill="D9D9D9" w:themeFill="background1" w:themeFillShade="D9"/>
            <w:vAlign w:val="center"/>
          </w:tcPr>
          <w:p w14:paraId="7FA6EF0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&lt;98%, HWE&lt;0.001, MAF &lt;0.001</w:t>
            </w:r>
            <w:r>
              <w:rPr>
                <w:rFonts w:ascii="Arial" w:hAnsi="Arial" w:cs="Arial"/>
                <w:color w:val="000000"/>
                <w:sz w:val="18"/>
                <w:szCs w:val="18"/>
                <w:lang w:val="en-US"/>
              </w:rPr>
              <w:t xml:space="preserve">, </w:t>
            </w:r>
            <w:r w:rsidRPr="005371F2">
              <w:rPr>
                <w:rFonts w:ascii="Arial" w:hAnsi="Arial" w:cs="Arial"/>
                <w:color w:val="000000"/>
                <w:sz w:val="18"/>
                <w:szCs w:val="18"/>
                <w:lang w:val="en-US"/>
              </w:rPr>
              <w:t>HapMap concordance</w:t>
            </w:r>
          </w:p>
        </w:tc>
        <w:tc>
          <w:tcPr>
            <w:tcW w:w="992" w:type="dxa"/>
            <w:shd w:val="clear" w:color="auto" w:fill="D9D9D9" w:themeFill="background1" w:themeFillShade="D9"/>
            <w:vAlign w:val="center"/>
          </w:tcPr>
          <w:p w14:paraId="422DD71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527715</w:t>
            </w:r>
          </w:p>
        </w:tc>
        <w:tc>
          <w:tcPr>
            <w:tcW w:w="1843" w:type="dxa"/>
            <w:gridSpan w:val="2"/>
            <w:shd w:val="clear" w:color="auto" w:fill="D9D9D9" w:themeFill="background1" w:themeFillShade="D9"/>
            <w:vAlign w:val="center"/>
          </w:tcPr>
          <w:p w14:paraId="73A12927"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SHAPEIT; Minimac3 (R2)</w:t>
            </w:r>
          </w:p>
        </w:tc>
        <w:tc>
          <w:tcPr>
            <w:tcW w:w="1559" w:type="dxa"/>
            <w:shd w:val="clear" w:color="auto" w:fill="D9D9D9" w:themeFill="background1" w:themeFillShade="D9"/>
            <w:vAlign w:val="center"/>
          </w:tcPr>
          <w:p w14:paraId="08B4A5EC" w14:textId="77777777" w:rsidR="0001057B" w:rsidRPr="005371F2" w:rsidRDefault="0001057B" w:rsidP="00B24891">
            <w:pPr>
              <w:spacing w:after="0"/>
              <w:rPr>
                <w:rFonts w:ascii="Arial" w:hAnsi="Arial" w:cs="Arial"/>
                <w:color w:val="000000"/>
                <w:sz w:val="18"/>
                <w:szCs w:val="18"/>
              </w:rPr>
            </w:pPr>
            <w:r>
              <w:rPr>
                <w:rFonts w:ascii="Arial" w:hAnsi="Arial" w:cs="Arial"/>
                <w:color w:val="000000"/>
                <w:sz w:val="18"/>
                <w:szCs w:val="18"/>
              </w:rPr>
              <w:t>HRC</w:t>
            </w:r>
            <w:r w:rsidRPr="005371F2">
              <w:rPr>
                <w:rFonts w:ascii="Arial" w:hAnsi="Arial" w:cs="Arial"/>
                <w:color w:val="000000"/>
                <w:sz w:val="18"/>
                <w:szCs w:val="18"/>
              </w:rPr>
              <w:t xml:space="preserve"> 1.1</w:t>
            </w:r>
          </w:p>
        </w:tc>
        <w:tc>
          <w:tcPr>
            <w:tcW w:w="1276" w:type="dxa"/>
            <w:gridSpan w:val="2"/>
            <w:shd w:val="clear" w:color="auto" w:fill="D9D9D9" w:themeFill="background1" w:themeFillShade="D9"/>
            <w:vAlign w:val="center"/>
          </w:tcPr>
          <w:p w14:paraId="154DFFD1"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D9D9D9" w:themeFill="background1" w:themeFillShade="D9"/>
            <w:vAlign w:val="center"/>
          </w:tcPr>
          <w:p w14:paraId="6C5BA76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PCs 1-3</w:t>
            </w:r>
          </w:p>
        </w:tc>
      </w:tr>
      <w:tr w:rsidR="0001057B" w:rsidRPr="005371F2" w14:paraId="5AB490EC" w14:textId="77777777" w:rsidTr="00685851">
        <w:trPr>
          <w:jc w:val="center"/>
        </w:trPr>
        <w:tc>
          <w:tcPr>
            <w:tcW w:w="1276" w:type="dxa"/>
            <w:vAlign w:val="center"/>
          </w:tcPr>
          <w:p w14:paraId="2365703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Vanderbilt-AA1M</w:t>
            </w:r>
          </w:p>
        </w:tc>
        <w:tc>
          <w:tcPr>
            <w:tcW w:w="2693" w:type="dxa"/>
            <w:vAlign w:val="center"/>
          </w:tcPr>
          <w:p w14:paraId="058FCAD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w:t>
            </w:r>
            <w:r>
              <w:rPr>
                <w:rFonts w:ascii="Arial" w:hAnsi="Arial" w:cs="Arial"/>
                <w:color w:val="000000"/>
                <w:sz w:val="18"/>
                <w:szCs w:val="18"/>
                <w:lang w:val="en-US"/>
              </w:rPr>
              <w:t>mismatch</w:t>
            </w:r>
            <w:r w:rsidRPr="005371F2">
              <w:rPr>
                <w:rFonts w:ascii="Arial" w:hAnsi="Arial" w:cs="Arial"/>
                <w:color w:val="000000"/>
                <w:sz w:val="18"/>
                <w:szCs w:val="18"/>
                <w:lang w:val="en-US"/>
              </w:rPr>
              <w:t>, duplicate</w:t>
            </w:r>
            <w:r>
              <w:rPr>
                <w:rFonts w:ascii="Arial" w:hAnsi="Arial" w:cs="Arial"/>
                <w:color w:val="000000"/>
                <w:sz w:val="18"/>
                <w:szCs w:val="18"/>
                <w:lang w:val="en-US"/>
              </w:rPr>
              <w:t>s</w:t>
            </w:r>
            <w:r w:rsidRPr="005371F2">
              <w:rPr>
                <w:rFonts w:ascii="Arial" w:hAnsi="Arial" w:cs="Arial"/>
                <w:color w:val="000000"/>
                <w:sz w:val="18"/>
                <w:szCs w:val="18"/>
                <w:lang w:val="en-US"/>
              </w:rPr>
              <w:t xml:space="preserve">, </w:t>
            </w:r>
            <w:r>
              <w:rPr>
                <w:rFonts w:ascii="Arial" w:hAnsi="Arial" w:cs="Arial"/>
                <w:color w:val="000000"/>
                <w:sz w:val="18"/>
                <w:szCs w:val="18"/>
                <w:lang w:val="en-US"/>
              </w:rPr>
              <w:t>CR</w:t>
            </w:r>
            <w:r w:rsidRPr="005371F2">
              <w:rPr>
                <w:rFonts w:ascii="Arial" w:hAnsi="Arial" w:cs="Arial"/>
                <w:color w:val="000000"/>
                <w:sz w:val="18"/>
                <w:szCs w:val="18"/>
                <w:lang w:val="en-US"/>
              </w:rPr>
              <w:t xml:space="preserve"> &lt;98%, HapMap concordance check</w:t>
            </w:r>
          </w:p>
        </w:tc>
        <w:tc>
          <w:tcPr>
            <w:tcW w:w="1560" w:type="dxa"/>
            <w:vAlign w:val="center"/>
          </w:tcPr>
          <w:p w14:paraId="7865B5E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1M</w:t>
            </w:r>
          </w:p>
        </w:tc>
        <w:tc>
          <w:tcPr>
            <w:tcW w:w="992" w:type="dxa"/>
            <w:vAlign w:val="center"/>
          </w:tcPr>
          <w:p w14:paraId="70FF6AC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vAlign w:val="center"/>
          </w:tcPr>
          <w:p w14:paraId="11B03FD1"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&lt;98%, HWE&lt;0.001, MAF &lt;0.001</w:t>
            </w:r>
            <w:r>
              <w:rPr>
                <w:rFonts w:ascii="Arial" w:hAnsi="Arial" w:cs="Arial"/>
                <w:color w:val="000000"/>
                <w:sz w:val="18"/>
                <w:szCs w:val="18"/>
                <w:lang w:val="en-US"/>
              </w:rPr>
              <w:t>,</w:t>
            </w:r>
          </w:p>
        </w:tc>
        <w:tc>
          <w:tcPr>
            <w:tcW w:w="992" w:type="dxa"/>
            <w:vAlign w:val="center"/>
          </w:tcPr>
          <w:p w14:paraId="318D0194"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784048</w:t>
            </w:r>
          </w:p>
        </w:tc>
        <w:tc>
          <w:tcPr>
            <w:tcW w:w="1843" w:type="dxa"/>
            <w:gridSpan w:val="2"/>
            <w:vAlign w:val="center"/>
          </w:tcPr>
          <w:p w14:paraId="09825DA4"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SHAPEIT; Minimac3 (R2)</w:t>
            </w:r>
          </w:p>
        </w:tc>
        <w:tc>
          <w:tcPr>
            <w:tcW w:w="1559" w:type="dxa"/>
            <w:vAlign w:val="center"/>
          </w:tcPr>
          <w:p w14:paraId="694F0C01" w14:textId="77777777" w:rsidR="0001057B" w:rsidRPr="005371F2" w:rsidRDefault="0001057B" w:rsidP="00B24891">
            <w:pPr>
              <w:spacing w:after="0"/>
              <w:rPr>
                <w:rFonts w:ascii="Arial" w:hAnsi="Arial" w:cs="Arial"/>
                <w:color w:val="000000"/>
                <w:sz w:val="18"/>
                <w:szCs w:val="18"/>
              </w:rPr>
            </w:pPr>
            <w:r w:rsidRPr="00051A48">
              <w:rPr>
                <w:rFonts w:ascii="Arial" w:hAnsi="Arial" w:cs="Arial"/>
                <w:color w:val="000000"/>
                <w:sz w:val="18"/>
                <w:szCs w:val="18"/>
              </w:rPr>
              <w:t>HRC 1.1</w:t>
            </w:r>
          </w:p>
        </w:tc>
        <w:tc>
          <w:tcPr>
            <w:tcW w:w="1276" w:type="dxa"/>
            <w:gridSpan w:val="2"/>
            <w:vAlign w:val="center"/>
          </w:tcPr>
          <w:p w14:paraId="188C81BE"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615A27C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PCs 1-3</w:t>
            </w:r>
          </w:p>
        </w:tc>
      </w:tr>
      <w:tr w:rsidR="0001057B" w:rsidRPr="005371F2" w14:paraId="6D6A5E01" w14:textId="77777777" w:rsidTr="00685851">
        <w:trPr>
          <w:jc w:val="center"/>
        </w:trPr>
        <w:tc>
          <w:tcPr>
            <w:tcW w:w="1276" w:type="dxa"/>
            <w:shd w:val="clear" w:color="auto" w:fill="D9D9D9" w:themeFill="background1" w:themeFillShade="D9"/>
            <w:vAlign w:val="center"/>
          </w:tcPr>
          <w:p w14:paraId="5C289E3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Vanderbilt-Omni1</w:t>
            </w:r>
          </w:p>
        </w:tc>
        <w:tc>
          <w:tcPr>
            <w:tcW w:w="2693" w:type="dxa"/>
            <w:shd w:val="clear" w:color="auto" w:fill="D9D9D9" w:themeFill="background1" w:themeFillShade="D9"/>
            <w:vAlign w:val="center"/>
          </w:tcPr>
          <w:p w14:paraId="1D49FD0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w:t>
            </w:r>
            <w:r>
              <w:rPr>
                <w:rFonts w:ascii="Arial" w:hAnsi="Arial" w:cs="Arial"/>
                <w:color w:val="000000"/>
                <w:sz w:val="18"/>
                <w:szCs w:val="18"/>
                <w:lang w:val="en-US"/>
              </w:rPr>
              <w:t>mismatch</w:t>
            </w:r>
            <w:r w:rsidRPr="005371F2">
              <w:rPr>
                <w:rFonts w:ascii="Arial" w:hAnsi="Arial" w:cs="Arial"/>
                <w:color w:val="000000"/>
                <w:sz w:val="18"/>
                <w:szCs w:val="18"/>
                <w:lang w:val="en-US"/>
              </w:rPr>
              <w:t>, duplicate</w:t>
            </w:r>
            <w:r>
              <w:rPr>
                <w:rFonts w:ascii="Arial" w:hAnsi="Arial" w:cs="Arial"/>
                <w:color w:val="000000"/>
                <w:sz w:val="18"/>
                <w:szCs w:val="18"/>
                <w:lang w:val="en-US"/>
              </w:rPr>
              <w:t>s</w:t>
            </w:r>
            <w:r w:rsidRPr="005371F2">
              <w:rPr>
                <w:rFonts w:ascii="Arial" w:hAnsi="Arial" w:cs="Arial"/>
                <w:color w:val="000000"/>
                <w:sz w:val="18"/>
                <w:szCs w:val="18"/>
                <w:lang w:val="en-US"/>
              </w:rPr>
              <w:t xml:space="preserve">, </w:t>
            </w:r>
            <w:r>
              <w:rPr>
                <w:rFonts w:ascii="Arial" w:hAnsi="Arial" w:cs="Arial"/>
                <w:color w:val="000000"/>
                <w:sz w:val="18"/>
                <w:szCs w:val="18"/>
                <w:lang w:val="en-US"/>
              </w:rPr>
              <w:t>CR</w:t>
            </w:r>
            <w:r w:rsidRPr="005371F2">
              <w:rPr>
                <w:rFonts w:ascii="Arial" w:hAnsi="Arial" w:cs="Arial"/>
                <w:color w:val="000000"/>
                <w:sz w:val="18"/>
                <w:szCs w:val="18"/>
                <w:lang w:val="en-US"/>
              </w:rPr>
              <w:t xml:space="preserve"> &lt;98%, HapMap concordance check</w:t>
            </w:r>
          </w:p>
        </w:tc>
        <w:tc>
          <w:tcPr>
            <w:tcW w:w="1560" w:type="dxa"/>
            <w:shd w:val="clear" w:color="auto" w:fill="D9D9D9" w:themeFill="background1" w:themeFillShade="D9"/>
            <w:vAlign w:val="center"/>
          </w:tcPr>
          <w:p w14:paraId="3A7C714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OMNI-Quad</w:t>
            </w:r>
          </w:p>
        </w:tc>
        <w:tc>
          <w:tcPr>
            <w:tcW w:w="992" w:type="dxa"/>
            <w:shd w:val="clear" w:color="auto" w:fill="D9D9D9" w:themeFill="background1" w:themeFillShade="D9"/>
            <w:vAlign w:val="center"/>
          </w:tcPr>
          <w:p w14:paraId="531256B5"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shd w:val="clear" w:color="auto" w:fill="D9D9D9" w:themeFill="background1" w:themeFillShade="D9"/>
            <w:vAlign w:val="center"/>
          </w:tcPr>
          <w:p w14:paraId="01953426"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&lt;98%, HWE&lt;0.001, MAF &lt;0.001</w:t>
            </w:r>
          </w:p>
        </w:tc>
        <w:tc>
          <w:tcPr>
            <w:tcW w:w="992" w:type="dxa"/>
            <w:shd w:val="clear" w:color="auto" w:fill="D9D9D9" w:themeFill="background1" w:themeFillShade="D9"/>
            <w:vAlign w:val="center"/>
          </w:tcPr>
          <w:p w14:paraId="53FE59D7"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924162</w:t>
            </w:r>
          </w:p>
        </w:tc>
        <w:tc>
          <w:tcPr>
            <w:tcW w:w="1843" w:type="dxa"/>
            <w:gridSpan w:val="2"/>
            <w:shd w:val="clear" w:color="auto" w:fill="D9D9D9" w:themeFill="background1" w:themeFillShade="D9"/>
            <w:vAlign w:val="center"/>
          </w:tcPr>
          <w:p w14:paraId="5FC9643F"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SHAPEIT; Minimac3 (R2)</w:t>
            </w:r>
          </w:p>
        </w:tc>
        <w:tc>
          <w:tcPr>
            <w:tcW w:w="1559" w:type="dxa"/>
            <w:shd w:val="clear" w:color="auto" w:fill="D9D9D9" w:themeFill="background1" w:themeFillShade="D9"/>
            <w:vAlign w:val="center"/>
          </w:tcPr>
          <w:p w14:paraId="4C17B3B5" w14:textId="77777777" w:rsidR="0001057B" w:rsidRPr="005371F2" w:rsidRDefault="0001057B" w:rsidP="00B24891">
            <w:pPr>
              <w:spacing w:after="0"/>
              <w:rPr>
                <w:rFonts w:ascii="Arial" w:hAnsi="Arial" w:cs="Arial"/>
                <w:color w:val="000000"/>
                <w:sz w:val="18"/>
                <w:szCs w:val="18"/>
              </w:rPr>
            </w:pPr>
            <w:r w:rsidRPr="00051A48">
              <w:rPr>
                <w:rFonts w:ascii="Arial" w:hAnsi="Arial" w:cs="Arial"/>
                <w:color w:val="000000"/>
                <w:sz w:val="18"/>
                <w:szCs w:val="18"/>
              </w:rPr>
              <w:t>HRC 1.1</w:t>
            </w:r>
          </w:p>
        </w:tc>
        <w:tc>
          <w:tcPr>
            <w:tcW w:w="1276" w:type="dxa"/>
            <w:gridSpan w:val="2"/>
            <w:shd w:val="clear" w:color="auto" w:fill="D9D9D9" w:themeFill="background1" w:themeFillShade="D9"/>
            <w:vAlign w:val="center"/>
          </w:tcPr>
          <w:p w14:paraId="4455F308"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none</w:t>
            </w:r>
          </w:p>
        </w:tc>
        <w:tc>
          <w:tcPr>
            <w:tcW w:w="1417" w:type="dxa"/>
            <w:gridSpan w:val="3"/>
            <w:shd w:val="clear" w:color="auto" w:fill="D9D9D9" w:themeFill="background1" w:themeFillShade="D9"/>
            <w:vAlign w:val="center"/>
          </w:tcPr>
          <w:p w14:paraId="3059504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PCs 1-3</w:t>
            </w:r>
          </w:p>
        </w:tc>
      </w:tr>
      <w:tr w:rsidR="0001057B" w:rsidRPr="005371F2" w14:paraId="1FF7F769" w14:textId="77777777" w:rsidTr="00685851">
        <w:trPr>
          <w:jc w:val="center"/>
        </w:trPr>
        <w:tc>
          <w:tcPr>
            <w:tcW w:w="1276" w:type="dxa"/>
            <w:vAlign w:val="center"/>
          </w:tcPr>
          <w:p w14:paraId="24A549DF"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Vanderbilt-Omni5</w:t>
            </w:r>
          </w:p>
        </w:tc>
        <w:tc>
          <w:tcPr>
            <w:tcW w:w="2693" w:type="dxa"/>
            <w:vAlign w:val="center"/>
          </w:tcPr>
          <w:p w14:paraId="740FAD1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 xml:space="preserve">sex </w:t>
            </w:r>
            <w:r>
              <w:rPr>
                <w:rFonts w:ascii="Arial" w:hAnsi="Arial" w:cs="Arial"/>
                <w:color w:val="000000"/>
                <w:sz w:val="18"/>
                <w:szCs w:val="18"/>
                <w:lang w:val="en-US"/>
              </w:rPr>
              <w:t>mismatch</w:t>
            </w:r>
            <w:r w:rsidRPr="005371F2">
              <w:rPr>
                <w:rFonts w:ascii="Arial" w:hAnsi="Arial" w:cs="Arial"/>
                <w:color w:val="000000"/>
                <w:sz w:val="18"/>
                <w:szCs w:val="18"/>
                <w:lang w:val="en-US"/>
              </w:rPr>
              <w:t>, duplicate</w:t>
            </w:r>
            <w:r>
              <w:rPr>
                <w:rFonts w:ascii="Arial" w:hAnsi="Arial" w:cs="Arial"/>
                <w:color w:val="000000"/>
                <w:sz w:val="18"/>
                <w:szCs w:val="18"/>
                <w:lang w:val="en-US"/>
              </w:rPr>
              <w:t>s</w:t>
            </w:r>
            <w:r w:rsidRPr="005371F2">
              <w:rPr>
                <w:rFonts w:ascii="Arial" w:hAnsi="Arial" w:cs="Arial"/>
                <w:color w:val="000000"/>
                <w:sz w:val="18"/>
                <w:szCs w:val="18"/>
                <w:lang w:val="en-US"/>
              </w:rPr>
              <w:t xml:space="preserve">, </w:t>
            </w:r>
            <w:r>
              <w:rPr>
                <w:rFonts w:ascii="Arial" w:hAnsi="Arial" w:cs="Arial"/>
                <w:color w:val="000000"/>
                <w:sz w:val="18"/>
                <w:szCs w:val="18"/>
                <w:lang w:val="en-US"/>
              </w:rPr>
              <w:t>CR</w:t>
            </w:r>
            <w:r w:rsidRPr="005371F2">
              <w:rPr>
                <w:rFonts w:ascii="Arial" w:hAnsi="Arial" w:cs="Arial"/>
                <w:color w:val="000000"/>
                <w:sz w:val="18"/>
                <w:szCs w:val="18"/>
                <w:lang w:val="en-US"/>
              </w:rPr>
              <w:t xml:space="preserve"> &lt;98%, HapMap concordance check</w:t>
            </w:r>
          </w:p>
        </w:tc>
        <w:tc>
          <w:tcPr>
            <w:tcW w:w="1560" w:type="dxa"/>
            <w:vAlign w:val="center"/>
          </w:tcPr>
          <w:p w14:paraId="186FB38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HumanOmni5-Quad</w:t>
            </w:r>
          </w:p>
        </w:tc>
        <w:tc>
          <w:tcPr>
            <w:tcW w:w="992" w:type="dxa"/>
            <w:vAlign w:val="center"/>
          </w:tcPr>
          <w:p w14:paraId="1047252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Genome Studio</w:t>
            </w:r>
          </w:p>
        </w:tc>
        <w:tc>
          <w:tcPr>
            <w:tcW w:w="2268" w:type="dxa"/>
            <w:vAlign w:val="center"/>
          </w:tcPr>
          <w:p w14:paraId="1469EEBD"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 xml:space="preserve"> &lt;98%, HWE&lt;0.001, MAF &lt;0.001</w:t>
            </w:r>
          </w:p>
        </w:tc>
        <w:tc>
          <w:tcPr>
            <w:tcW w:w="992" w:type="dxa"/>
            <w:vAlign w:val="center"/>
          </w:tcPr>
          <w:p w14:paraId="3EF895C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3702007</w:t>
            </w:r>
          </w:p>
        </w:tc>
        <w:tc>
          <w:tcPr>
            <w:tcW w:w="1843" w:type="dxa"/>
            <w:gridSpan w:val="2"/>
            <w:vAlign w:val="center"/>
          </w:tcPr>
          <w:p w14:paraId="61963028"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SHAPEIT; Minimac3 (R2)</w:t>
            </w:r>
          </w:p>
        </w:tc>
        <w:tc>
          <w:tcPr>
            <w:tcW w:w="1559" w:type="dxa"/>
            <w:vAlign w:val="center"/>
          </w:tcPr>
          <w:p w14:paraId="59C251F6" w14:textId="77777777" w:rsidR="0001057B" w:rsidRPr="005371F2" w:rsidRDefault="0001057B" w:rsidP="00B24891">
            <w:pPr>
              <w:spacing w:after="0"/>
              <w:rPr>
                <w:rFonts w:ascii="Arial" w:hAnsi="Arial" w:cs="Arial"/>
                <w:color w:val="000000"/>
                <w:sz w:val="18"/>
                <w:szCs w:val="18"/>
              </w:rPr>
            </w:pPr>
            <w:r w:rsidRPr="00051A48">
              <w:rPr>
                <w:rFonts w:ascii="Arial" w:hAnsi="Arial" w:cs="Arial"/>
                <w:color w:val="000000"/>
                <w:sz w:val="18"/>
                <w:szCs w:val="18"/>
              </w:rPr>
              <w:t>HRC 1.1</w:t>
            </w:r>
          </w:p>
        </w:tc>
        <w:tc>
          <w:tcPr>
            <w:tcW w:w="1276" w:type="dxa"/>
            <w:gridSpan w:val="2"/>
            <w:vAlign w:val="center"/>
          </w:tcPr>
          <w:p w14:paraId="0ECF25A2"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none</w:t>
            </w:r>
          </w:p>
        </w:tc>
        <w:tc>
          <w:tcPr>
            <w:tcW w:w="1417" w:type="dxa"/>
            <w:gridSpan w:val="3"/>
            <w:vAlign w:val="center"/>
          </w:tcPr>
          <w:p w14:paraId="3BE37478"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PCs 1-3</w:t>
            </w:r>
          </w:p>
        </w:tc>
      </w:tr>
      <w:tr w:rsidR="0001057B" w:rsidRPr="005371F2" w14:paraId="640DD9D3" w14:textId="77777777" w:rsidTr="00685851">
        <w:trPr>
          <w:jc w:val="center"/>
        </w:trPr>
        <w:tc>
          <w:tcPr>
            <w:tcW w:w="1276" w:type="dxa"/>
            <w:tcBorders>
              <w:bottom w:val="single" w:sz="4" w:space="0" w:color="auto"/>
            </w:tcBorders>
            <w:shd w:val="clear" w:color="auto" w:fill="D9D9D9" w:themeFill="background1" w:themeFillShade="D9"/>
            <w:vAlign w:val="center"/>
          </w:tcPr>
          <w:p w14:paraId="06DB4C7E"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YFS</w:t>
            </w:r>
          </w:p>
        </w:tc>
        <w:tc>
          <w:tcPr>
            <w:tcW w:w="2693" w:type="dxa"/>
            <w:tcBorders>
              <w:bottom w:val="single" w:sz="4" w:space="0" w:color="auto"/>
            </w:tcBorders>
            <w:shd w:val="clear" w:color="auto" w:fill="D9D9D9" w:themeFill="background1" w:themeFillShade="D9"/>
            <w:vAlign w:val="center"/>
          </w:tcPr>
          <w:p w14:paraId="26122CF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s &lt; 95%,</w:t>
            </w:r>
            <w:r>
              <w:rPr>
                <w:rFonts w:ascii="Arial" w:hAnsi="Arial" w:cs="Arial"/>
                <w:color w:val="000000"/>
                <w:sz w:val="18"/>
                <w:szCs w:val="18"/>
                <w:lang w:val="en-US"/>
              </w:rPr>
              <w:t xml:space="preserve"> </w:t>
            </w:r>
            <w:r w:rsidRPr="005371F2">
              <w:rPr>
                <w:rFonts w:ascii="Arial" w:hAnsi="Arial" w:cs="Arial"/>
                <w:color w:val="000000"/>
                <w:sz w:val="18"/>
                <w:szCs w:val="18"/>
                <w:lang w:val="en-US"/>
              </w:rPr>
              <w:t>sex mismatch, MDS outliers, excess heterozygosity</w:t>
            </w:r>
          </w:p>
        </w:tc>
        <w:tc>
          <w:tcPr>
            <w:tcW w:w="1560" w:type="dxa"/>
            <w:tcBorders>
              <w:bottom w:val="single" w:sz="4" w:space="0" w:color="auto"/>
            </w:tcBorders>
            <w:shd w:val="clear" w:color="auto" w:fill="D9D9D9" w:themeFill="background1" w:themeFillShade="D9"/>
            <w:vAlign w:val="center"/>
          </w:tcPr>
          <w:p w14:paraId="22545D4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Illumina 670k Custom</w:t>
            </w:r>
          </w:p>
        </w:tc>
        <w:tc>
          <w:tcPr>
            <w:tcW w:w="992" w:type="dxa"/>
            <w:tcBorders>
              <w:bottom w:val="single" w:sz="4" w:space="0" w:color="auto"/>
            </w:tcBorders>
            <w:shd w:val="clear" w:color="auto" w:fill="D9D9D9" w:themeFill="background1" w:themeFillShade="D9"/>
            <w:vAlign w:val="center"/>
          </w:tcPr>
          <w:p w14:paraId="198BE45C"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Illuminus</w:t>
            </w:r>
          </w:p>
        </w:tc>
        <w:tc>
          <w:tcPr>
            <w:tcW w:w="2268" w:type="dxa"/>
            <w:tcBorders>
              <w:bottom w:val="single" w:sz="4" w:space="0" w:color="auto"/>
            </w:tcBorders>
            <w:shd w:val="clear" w:color="auto" w:fill="D9D9D9" w:themeFill="background1" w:themeFillShade="D9"/>
            <w:vAlign w:val="center"/>
          </w:tcPr>
          <w:p w14:paraId="26C4564B"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Pr>
                <w:rFonts w:ascii="Arial" w:hAnsi="Arial" w:cs="Arial"/>
                <w:color w:val="000000"/>
                <w:sz w:val="18"/>
                <w:szCs w:val="18"/>
                <w:lang w:val="en-US"/>
              </w:rPr>
              <w:t>CR</w:t>
            </w:r>
            <w:r w:rsidRPr="005371F2">
              <w:rPr>
                <w:rFonts w:ascii="Arial" w:hAnsi="Arial" w:cs="Arial"/>
                <w:color w:val="000000"/>
                <w:sz w:val="18"/>
                <w:szCs w:val="18"/>
                <w:lang w:val="en-US"/>
              </w:rPr>
              <w:t>&lt;95%, pHWE&lt;1e-6, monomorphic</w:t>
            </w:r>
          </w:p>
        </w:tc>
        <w:tc>
          <w:tcPr>
            <w:tcW w:w="992" w:type="dxa"/>
            <w:tcBorders>
              <w:bottom w:val="single" w:sz="4" w:space="0" w:color="auto"/>
            </w:tcBorders>
            <w:shd w:val="clear" w:color="auto" w:fill="D9D9D9" w:themeFill="background1" w:themeFillShade="D9"/>
            <w:vAlign w:val="center"/>
          </w:tcPr>
          <w:p w14:paraId="552F4FEA"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542086</w:t>
            </w:r>
          </w:p>
        </w:tc>
        <w:tc>
          <w:tcPr>
            <w:tcW w:w="1843" w:type="dxa"/>
            <w:gridSpan w:val="2"/>
            <w:tcBorders>
              <w:bottom w:val="single" w:sz="4" w:space="0" w:color="auto"/>
            </w:tcBorders>
            <w:shd w:val="clear" w:color="auto" w:fill="D9D9D9" w:themeFill="background1" w:themeFillShade="D9"/>
            <w:vAlign w:val="center"/>
          </w:tcPr>
          <w:p w14:paraId="1319A797"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Eagle2; Minimac3 (R2)</w:t>
            </w:r>
          </w:p>
        </w:tc>
        <w:tc>
          <w:tcPr>
            <w:tcW w:w="1559" w:type="dxa"/>
            <w:tcBorders>
              <w:bottom w:val="single" w:sz="4" w:space="0" w:color="auto"/>
            </w:tcBorders>
            <w:shd w:val="clear" w:color="auto" w:fill="D9D9D9" w:themeFill="background1" w:themeFillShade="D9"/>
            <w:vAlign w:val="center"/>
          </w:tcPr>
          <w:p w14:paraId="5A3F0EB1" w14:textId="77777777" w:rsidR="0001057B" w:rsidRPr="005371F2" w:rsidRDefault="0001057B" w:rsidP="00B24891">
            <w:pPr>
              <w:spacing w:after="0"/>
              <w:rPr>
                <w:rFonts w:ascii="Arial" w:hAnsi="Arial" w:cs="Arial"/>
                <w:color w:val="000000"/>
                <w:sz w:val="18"/>
                <w:szCs w:val="18"/>
              </w:rPr>
            </w:pPr>
            <w:r w:rsidRPr="00051A48">
              <w:rPr>
                <w:rFonts w:ascii="Arial" w:hAnsi="Arial" w:cs="Arial"/>
                <w:color w:val="000000"/>
                <w:sz w:val="18"/>
                <w:szCs w:val="18"/>
              </w:rPr>
              <w:t>HRC 1.1</w:t>
            </w:r>
          </w:p>
        </w:tc>
        <w:tc>
          <w:tcPr>
            <w:tcW w:w="1276" w:type="dxa"/>
            <w:gridSpan w:val="2"/>
            <w:tcBorders>
              <w:bottom w:val="single" w:sz="4" w:space="0" w:color="auto"/>
            </w:tcBorders>
            <w:shd w:val="clear" w:color="auto" w:fill="D9D9D9" w:themeFill="background1" w:themeFillShade="D9"/>
            <w:vAlign w:val="center"/>
          </w:tcPr>
          <w:p w14:paraId="4023770A" w14:textId="77777777" w:rsidR="0001057B" w:rsidRPr="005371F2" w:rsidRDefault="0001057B" w:rsidP="00B24891">
            <w:pPr>
              <w:spacing w:after="0"/>
              <w:rPr>
                <w:rFonts w:ascii="Arial" w:hAnsi="Arial" w:cs="Arial"/>
                <w:color w:val="000000"/>
                <w:sz w:val="18"/>
                <w:szCs w:val="18"/>
              </w:rPr>
            </w:pPr>
            <w:r w:rsidRPr="005371F2">
              <w:rPr>
                <w:rFonts w:ascii="Arial" w:hAnsi="Arial" w:cs="Arial"/>
                <w:color w:val="000000"/>
                <w:sz w:val="18"/>
                <w:szCs w:val="18"/>
              </w:rPr>
              <w:t>None</w:t>
            </w:r>
          </w:p>
        </w:tc>
        <w:tc>
          <w:tcPr>
            <w:tcW w:w="1417" w:type="dxa"/>
            <w:gridSpan w:val="3"/>
            <w:tcBorders>
              <w:bottom w:val="single" w:sz="4" w:space="0" w:color="auto"/>
            </w:tcBorders>
            <w:shd w:val="clear" w:color="auto" w:fill="D9D9D9" w:themeFill="background1" w:themeFillShade="D9"/>
            <w:vAlign w:val="center"/>
          </w:tcPr>
          <w:p w14:paraId="2B9A9333" w14:textId="77777777" w:rsidR="0001057B" w:rsidRPr="005371F2" w:rsidRDefault="0001057B" w:rsidP="0001057B">
            <w:pPr>
              <w:autoSpaceDE w:val="0"/>
              <w:autoSpaceDN w:val="0"/>
              <w:adjustRightInd w:val="0"/>
              <w:spacing w:after="0" w:line="240" w:lineRule="auto"/>
              <w:rPr>
                <w:rFonts w:ascii="Arial" w:hAnsi="Arial" w:cs="Arial"/>
                <w:color w:val="000000"/>
                <w:sz w:val="18"/>
                <w:szCs w:val="18"/>
                <w:lang w:val="en-US"/>
              </w:rPr>
            </w:pPr>
            <w:r w:rsidRPr="005371F2">
              <w:rPr>
                <w:rFonts w:ascii="Arial" w:hAnsi="Arial" w:cs="Arial"/>
                <w:color w:val="000000"/>
                <w:sz w:val="18"/>
                <w:szCs w:val="18"/>
                <w:lang w:val="en-US"/>
              </w:rPr>
              <w:t>PCs 1-5</w:t>
            </w:r>
          </w:p>
        </w:tc>
      </w:tr>
    </w:tbl>
    <w:p w14:paraId="0AC79916" w14:textId="77777777" w:rsidR="008223CD" w:rsidRDefault="008223CD" w:rsidP="008223CD">
      <w:pPr>
        <w:tabs>
          <w:tab w:val="left" w:pos="284"/>
        </w:tabs>
        <w:spacing w:after="0" w:line="240" w:lineRule="auto"/>
        <w:jc w:val="both"/>
        <w:rPr>
          <w:rFonts w:ascii="Arial" w:eastAsia="Times New Roman" w:hAnsi="Arial" w:cs="Arial"/>
          <w:color w:val="000000"/>
          <w:sz w:val="20"/>
          <w:szCs w:val="20"/>
        </w:rPr>
      </w:pPr>
    </w:p>
    <w:p w14:paraId="0ED2E055" w14:textId="2F9BE5B2" w:rsidR="008223CD" w:rsidRDefault="0001057B" w:rsidP="008223CD">
      <w:pPr>
        <w:tabs>
          <w:tab w:val="left" w:pos="284"/>
        </w:tabs>
        <w:spacing w:after="0" w:line="240" w:lineRule="auto"/>
        <w:jc w:val="both"/>
        <w:rPr>
          <w:rFonts w:ascii="Arial" w:eastAsia="Times New Roman" w:hAnsi="Arial" w:cs="Arial"/>
          <w:color w:val="000000"/>
          <w:sz w:val="20"/>
          <w:szCs w:val="20"/>
          <w:lang w:val="en-US"/>
        </w:rPr>
      </w:pPr>
      <w:r w:rsidRPr="00445E46">
        <w:rPr>
          <w:rFonts w:ascii="Arial" w:eastAsia="Times New Roman" w:hAnsi="Arial" w:cs="Arial"/>
          <w:b/>
          <w:color w:val="000000"/>
          <w:sz w:val="20"/>
          <w:szCs w:val="20"/>
          <w:lang w:val="en-US"/>
        </w:rPr>
        <w:t>Abbreviations:</w:t>
      </w:r>
      <w:r>
        <w:rPr>
          <w:rFonts w:ascii="Arial" w:eastAsia="Times New Roman" w:hAnsi="Arial" w:cs="Arial"/>
          <w:color w:val="000000"/>
          <w:sz w:val="20"/>
          <w:szCs w:val="20"/>
          <w:lang w:val="en-US"/>
        </w:rPr>
        <w:t xml:space="preserve"> CR, call rate; HRC, </w:t>
      </w:r>
      <w:r w:rsidRPr="00655ABB">
        <w:rPr>
          <w:rFonts w:ascii="Arial" w:eastAsia="Times New Roman" w:hAnsi="Arial" w:cs="Arial"/>
          <w:color w:val="000000"/>
          <w:sz w:val="20"/>
          <w:szCs w:val="20"/>
          <w:lang w:val="en-US"/>
        </w:rPr>
        <w:t>Haplotype Reference Consortium</w:t>
      </w:r>
      <w:r>
        <w:rPr>
          <w:rFonts w:ascii="Arial" w:eastAsia="Times New Roman" w:hAnsi="Arial" w:cs="Arial"/>
          <w:color w:val="000000"/>
          <w:sz w:val="20"/>
          <w:szCs w:val="20"/>
          <w:lang w:val="en-US"/>
        </w:rPr>
        <w:t>; AF = allele frequency, MAF, minor allele frequency; PC, principal component; MAC, minor allele count</w:t>
      </w:r>
      <w:r w:rsidR="008223CD">
        <w:rPr>
          <w:rFonts w:ascii="Arial" w:eastAsia="Times New Roman" w:hAnsi="Arial" w:cs="Arial"/>
          <w:color w:val="000000"/>
          <w:sz w:val="20"/>
          <w:szCs w:val="20"/>
          <w:lang w:val="en-US"/>
        </w:rPr>
        <w:t xml:space="preserve">, Effective MAC = </w:t>
      </w:r>
      <w:r w:rsidR="008223CD" w:rsidRPr="000B2864">
        <w:rPr>
          <w:rFonts w:ascii="Arial" w:eastAsia="Times New Roman" w:hAnsi="Arial" w:cs="Arial"/>
          <w:color w:val="000000"/>
          <w:sz w:val="20"/>
          <w:szCs w:val="20"/>
          <w:lang w:val="en-US"/>
        </w:rPr>
        <w:t>MAF*sampleN*2*impQuality.</w:t>
      </w:r>
    </w:p>
    <w:p w14:paraId="4AF4E256" w14:textId="77777777" w:rsidR="008223CD" w:rsidRDefault="008223CD" w:rsidP="008223CD">
      <w:pPr>
        <w:spacing w:after="0" w:line="240" w:lineRule="auto"/>
        <w:jc w:val="both"/>
        <w:rPr>
          <w:rFonts w:ascii="Arial" w:eastAsia="Times New Roman" w:hAnsi="Arial" w:cs="Arial"/>
          <w:color w:val="000000"/>
          <w:sz w:val="20"/>
          <w:szCs w:val="20"/>
          <w:lang w:val="en-US"/>
        </w:rPr>
      </w:pPr>
    </w:p>
    <w:p w14:paraId="6C7C8DBB" w14:textId="298811B6" w:rsidR="0001057B" w:rsidRDefault="0001057B" w:rsidP="0001057B">
      <w:pPr>
        <w:spacing w:after="0" w:line="240" w:lineRule="auto"/>
        <w:jc w:val="both"/>
        <w:rPr>
          <w:rFonts w:ascii="Arial" w:eastAsia="Times New Roman" w:hAnsi="Arial" w:cs="Arial"/>
          <w:color w:val="000000"/>
          <w:sz w:val="20"/>
          <w:szCs w:val="20"/>
          <w:lang w:val="en-US"/>
        </w:rPr>
      </w:pPr>
    </w:p>
    <w:p w14:paraId="06A4E152" w14:textId="63BA9F4B" w:rsidR="008D6DF4" w:rsidRDefault="008D6DF4">
      <w:pPr>
        <w:spacing w:after="0" w:line="360" w:lineRule="auto"/>
        <w:jc w:val="both"/>
        <w:rPr>
          <w:rFonts w:ascii="Arial" w:eastAsia="Times New Roman" w:hAnsi="Arial" w:cs="Arial"/>
          <w:b/>
          <w:bCs/>
          <w:color w:val="000000"/>
          <w:lang w:val="en-US"/>
        </w:rPr>
      </w:pPr>
    </w:p>
    <w:p w14:paraId="3297B95E" w14:textId="77777777" w:rsidR="00697222" w:rsidRDefault="00697222" w:rsidP="00DC566E">
      <w:pPr>
        <w:spacing w:after="120" w:line="240" w:lineRule="auto"/>
        <w:jc w:val="both"/>
        <w:rPr>
          <w:rFonts w:ascii="Arial" w:eastAsia="Times New Roman" w:hAnsi="Arial" w:cs="Arial"/>
          <w:b/>
          <w:bCs/>
          <w:color w:val="000000"/>
          <w:lang w:val="en-US"/>
        </w:rPr>
        <w:sectPr w:rsidR="00697222" w:rsidSect="0001057B">
          <w:pgSz w:w="16838" w:h="11906" w:orient="landscape"/>
          <w:pgMar w:top="964" w:right="851" w:bottom="624" w:left="1021" w:header="709" w:footer="709" w:gutter="0"/>
          <w:cols w:space="708"/>
          <w:docGrid w:linePitch="360"/>
        </w:sectPr>
      </w:pPr>
    </w:p>
    <w:p w14:paraId="7C3BB27D" w14:textId="4871E93F" w:rsidR="008D6DF4" w:rsidRDefault="007C1EBA" w:rsidP="00DC566E">
      <w:pPr>
        <w:spacing w:after="120" w:line="240" w:lineRule="auto"/>
        <w:jc w:val="both"/>
        <w:rPr>
          <w:rFonts w:ascii="Arial" w:eastAsia="Times New Roman" w:hAnsi="Arial" w:cs="Arial"/>
          <w:color w:val="000000"/>
          <w:lang w:val="en-US"/>
        </w:rPr>
      </w:pPr>
      <w:r>
        <w:rPr>
          <w:rFonts w:ascii="Arial" w:eastAsia="Times New Roman" w:hAnsi="Arial" w:cs="Arial"/>
          <w:b/>
          <w:bCs/>
          <w:color w:val="000000"/>
          <w:lang w:val="en-US"/>
        </w:rPr>
        <w:lastRenderedPageBreak/>
        <w:t>Supplementary Table 4</w:t>
      </w:r>
      <w:r w:rsidR="006F789D">
        <w:rPr>
          <w:rFonts w:ascii="Arial" w:eastAsia="Times New Roman" w:hAnsi="Arial" w:cs="Arial"/>
          <w:b/>
          <w:bCs/>
          <w:color w:val="000000"/>
          <w:lang w:val="en-US"/>
        </w:rPr>
        <w:t>A</w:t>
      </w:r>
      <w:r>
        <w:rPr>
          <w:rFonts w:ascii="Arial" w:eastAsia="Times New Roman" w:hAnsi="Arial" w:cs="Arial"/>
          <w:b/>
          <w:bCs/>
          <w:color w:val="000000"/>
          <w:lang w:val="en-US"/>
        </w:rPr>
        <w:t xml:space="preserve"> | Identified loci for rapid kidney function decline in </w:t>
      </w:r>
      <w:r w:rsidR="002A0A49">
        <w:rPr>
          <w:rFonts w:ascii="Arial" w:eastAsia="Times New Roman" w:hAnsi="Arial" w:cs="Arial"/>
          <w:b/>
          <w:bCs/>
          <w:color w:val="000000"/>
          <w:lang w:val="en-US"/>
        </w:rPr>
        <w:t>individuals</w:t>
      </w:r>
      <w:r>
        <w:rPr>
          <w:rFonts w:ascii="Arial" w:eastAsia="Times New Roman" w:hAnsi="Arial" w:cs="Arial"/>
          <w:b/>
          <w:bCs/>
          <w:color w:val="000000"/>
          <w:lang w:val="en-US"/>
        </w:rPr>
        <w:t xml:space="preserve"> of European ancestry. </w:t>
      </w:r>
      <w:r>
        <w:rPr>
          <w:rFonts w:ascii="Arial" w:eastAsia="Times New Roman" w:hAnsi="Arial" w:cs="Arial"/>
          <w:color w:val="000000"/>
          <w:lang w:val="en-US"/>
        </w:rPr>
        <w:t xml:space="preserve">Shown are the significant lead variants from the </w:t>
      </w:r>
      <w:r w:rsidR="00F9320F">
        <w:rPr>
          <w:rFonts w:ascii="Arial" w:eastAsia="Times New Roman" w:hAnsi="Arial" w:cs="Arial"/>
          <w:color w:val="000000"/>
          <w:lang w:val="en-US"/>
        </w:rPr>
        <w:t>GWAS</w:t>
      </w:r>
      <w:r>
        <w:rPr>
          <w:rFonts w:ascii="Arial" w:eastAsia="Times New Roman" w:hAnsi="Arial" w:cs="Arial"/>
          <w:color w:val="000000"/>
          <w:lang w:val="en-US"/>
        </w:rPr>
        <w:t xml:space="preserve"> for Rapid3 and CKD</w:t>
      </w:r>
      <w:r w:rsidR="00BA3678">
        <w:rPr>
          <w:rFonts w:ascii="Arial" w:eastAsia="Times New Roman" w:hAnsi="Arial" w:cs="Arial"/>
          <w:color w:val="000000"/>
          <w:lang w:val="en-US"/>
        </w:rPr>
        <w:t>i</w:t>
      </w:r>
      <w:r>
        <w:rPr>
          <w:rFonts w:ascii="Arial" w:eastAsia="Times New Roman" w:hAnsi="Arial" w:cs="Arial"/>
          <w:color w:val="000000"/>
          <w:lang w:val="en-US"/>
        </w:rPr>
        <w:t>25 (judged at genome-wide significance, P&lt;5.00x10</w:t>
      </w:r>
      <w:r>
        <w:rPr>
          <w:rFonts w:ascii="Arial" w:eastAsia="Times New Roman" w:hAnsi="Arial" w:cs="Arial"/>
          <w:color w:val="000000"/>
          <w:vertAlign w:val="superscript"/>
          <w:lang w:val="en-US"/>
        </w:rPr>
        <w:t>-8</w:t>
      </w:r>
      <w:r>
        <w:rPr>
          <w:rFonts w:ascii="Arial" w:eastAsia="Times New Roman" w:hAnsi="Arial" w:cs="Arial"/>
          <w:color w:val="000000"/>
          <w:lang w:val="en-US"/>
        </w:rPr>
        <w:t>) and the significant variants from the candidate-based approach inquiring the 265 variants reported from the cross-sectional eGFRcrea GWAMA</w:t>
      </w:r>
      <w:r w:rsidR="00E759E2" w:rsidRPr="00E759E2">
        <w:rPr>
          <w:rFonts w:ascii="Arial" w:eastAsia="Times New Roman" w:hAnsi="Arial" w:cs="Arial"/>
          <w:color w:val="000000"/>
          <w:vertAlign w:val="superscript"/>
          <w:lang w:val="en-US"/>
        </w:rPr>
        <w:t>17</w:t>
      </w:r>
      <w:r>
        <w:rPr>
          <w:rFonts w:ascii="Arial" w:eastAsia="Times New Roman" w:hAnsi="Arial" w:cs="Arial"/>
          <w:color w:val="000000"/>
          <w:lang w:val="en-US"/>
        </w:rPr>
        <w:t>; judged at Bonferroni-corrected significance, P</w:t>
      </w:r>
      <w:r>
        <w:rPr>
          <w:rFonts w:ascii="Arial" w:eastAsia="Times New Roman" w:hAnsi="Arial" w:cs="Arial"/>
          <w:color w:val="000000"/>
          <w:lang w:val="en-US"/>
        </w:rPr>
        <w:noBreakHyphen/>
        <w:t>value&lt;0.05/265≈1.</w:t>
      </w:r>
      <w:r w:rsidR="00A22573">
        <w:rPr>
          <w:rFonts w:ascii="Arial" w:eastAsia="Times New Roman" w:hAnsi="Arial" w:cs="Arial"/>
          <w:color w:val="000000"/>
          <w:lang w:val="en-US"/>
        </w:rPr>
        <w:t>8</w:t>
      </w:r>
      <w:r>
        <w:rPr>
          <w:rFonts w:ascii="Arial" w:eastAsia="Times New Roman" w:hAnsi="Arial" w:cs="Arial"/>
          <w:color w:val="000000"/>
          <w:lang w:val="en-US"/>
        </w:rPr>
        <w:t>9x10</w:t>
      </w:r>
      <w:r>
        <w:rPr>
          <w:rFonts w:ascii="Arial" w:eastAsia="Times New Roman" w:hAnsi="Arial" w:cs="Arial"/>
          <w:color w:val="000000"/>
          <w:vertAlign w:val="superscript"/>
          <w:lang w:val="en-US"/>
        </w:rPr>
        <w:t>-4</w:t>
      </w:r>
      <w:r>
        <w:rPr>
          <w:rFonts w:ascii="Arial" w:eastAsia="Times New Roman" w:hAnsi="Arial" w:cs="Arial"/>
          <w:color w:val="000000"/>
          <w:lang w:val="en-US"/>
        </w:rPr>
        <w:t>).</w:t>
      </w:r>
    </w:p>
    <w:tbl>
      <w:tblPr>
        <w:tblW w:w="14319" w:type="dxa"/>
        <w:tblLayout w:type="fixed"/>
        <w:tblCellMar>
          <w:left w:w="0" w:type="dxa"/>
          <w:right w:w="0" w:type="dxa"/>
        </w:tblCellMar>
        <w:tblLook w:val="04A0" w:firstRow="1" w:lastRow="0" w:firstColumn="1" w:lastColumn="0" w:noHBand="0" w:noVBand="1"/>
      </w:tblPr>
      <w:tblGrid>
        <w:gridCol w:w="1258"/>
        <w:gridCol w:w="849"/>
        <w:gridCol w:w="993"/>
        <w:gridCol w:w="98"/>
        <w:gridCol w:w="19"/>
        <w:gridCol w:w="574"/>
        <w:gridCol w:w="693"/>
        <w:gridCol w:w="1026"/>
        <w:gridCol w:w="722"/>
        <w:gridCol w:w="850"/>
        <w:gridCol w:w="427"/>
        <w:gridCol w:w="77"/>
        <w:gridCol w:w="473"/>
        <w:gridCol w:w="693"/>
        <w:gridCol w:w="952"/>
        <w:gridCol w:w="709"/>
        <w:gridCol w:w="851"/>
        <w:gridCol w:w="499"/>
        <w:gridCol w:w="15"/>
        <w:gridCol w:w="63"/>
        <w:gridCol w:w="637"/>
        <w:gridCol w:w="37"/>
        <w:gridCol w:w="1804"/>
      </w:tblGrid>
      <w:tr w:rsidR="008D6DF4" w14:paraId="1DAABB21" w14:textId="77777777" w:rsidTr="00362DCE">
        <w:trPr>
          <w:trHeight w:val="300"/>
        </w:trPr>
        <w:tc>
          <w:tcPr>
            <w:tcW w:w="3199" w:type="dxa"/>
            <w:gridSpan w:val="4"/>
            <w:tcBorders>
              <w:top w:val="single" w:sz="4" w:space="0" w:color="auto"/>
              <w:left w:val="nil"/>
              <w:right w:val="nil"/>
            </w:tcBorders>
            <w:shd w:val="clear" w:color="auto" w:fill="BDD6EE" w:themeFill="accent1" w:themeFillTint="66"/>
            <w:noWrap/>
            <w:vAlign w:val="bottom"/>
            <w:hideMark/>
          </w:tcPr>
          <w:p w14:paraId="193B5F9F"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4311" w:type="dxa"/>
            <w:gridSpan w:val="7"/>
            <w:tcBorders>
              <w:top w:val="single" w:sz="4" w:space="0" w:color="auto"/>
              <w:left w:val="nil"/>
              <w:bottom w:val="single" w:sz="4" w:space="0" w:color="auto"/>
              <w:right w:val="nil"/>
            </w:tcBorders>
            <w:shd w:val="clear" w:color="auto" w:fill="BDD6EE" w:themeFill="accent1" w:themeFillTint="66"/>
            <w:vAlign w:val="bottom"/>
            <w:hideMark/>
          </w:tcPr>
          <w:p w14:paraId="15D01422"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Rapid3</w:t>
            </w:r>
          </w:p>
        </w:tc>
        <w:tc>
          <w:tcPr>
            <w:tcW w:w="77" w:type="dxa"/>
            <w:tcBorders>
              <w:top w:val="single" w:sz="4" w:space="0" w:color="auto"/>
              <w:left w:val="nil"/>
              <w:bottom w:val="nil"/>
              <w:right w:val="nil"/>
            </w:tcBorders>
            <w:shd w:val="clear" w:color="auto" w:fill="BDD6EE" w:themeFill="accent1" w:themeFillTint="66"/>
            <w:vAlign w:val="bottom"/>
            <w:hideMark/>
          </w:tcPr>
          <w:p w14:paraId="6AA106C2"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4192" w:type="dxa"/>
            <w:gridSpan w:val="7"/>
            <w:tcBorders>
              <w:top w:val="single" w:sz="4" w:space="0" w:color="auto"/>
              <w:left w:val="nil"/>
              <w:bottom w:val="single" w:sz="4" w:space="0" w:color="auto"/>
              <w:right w:val="nil"/>
            </w:tcBorders>
            <w:shd w:val="clear" w:color="auto" w:fill="BDD6EE" w:themeFill="accent1" w:themeFillTint="66"/>
            <w:vAlign w:val="bottom"/>
            <w:hideMark/>
          </w:tcPr>
          <w:p w14:paraId="3E8D3956"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CKDi25</w:t>
            </w:r>
          </w:p>
        </w:tc>
        <w:tc>
          <w:tcPr>
            <w:tcW w:w="700" w:type="dxa"/>
            <w:gridSpan w:val="2"/>
            <w:tcBorders>
              <w:top w:val="single" w:sz="4" w:space="0" w:color="auto"/>
              <w:left w:val="nil"/>
              <w:bottom w:val="nil"/>
              <w:right w:val="nil"/>
            </w:tcBorders>
            <w:shd w:val="clear" w:color="auto" w:fill="BDD6EE" w:themeFill="accent1" w:themeFillTint="66"/>
            <w:vAlign w:val="bottom"/>
            <w:hideMark/>
          </w:tcPr>
          <w:p w14:paraId="4ADD718E"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840" w:type="dxa"/>
            <w:gridSpan w:val="2"/>
            <w:tcBorders>
              <w:top w:val="single" w:sz="4" w:space="0" w:color="auto"/>
              <w:left w:val="nil"/>
              <w:bottom w:val="nil"/>
              <w:right w:val="nil"/>
            </w:tcBorders>
            <w:shd w:val="clear" w:color="auto" w:fill="BDD6EE" w:themeFill="accent1" w:themeFillTint="66"/>
            <w:noWrap/>
            <w:vAlign w:val="bottom"/>
            <w:hideMark/>
          </w:tcPr>
          <w:p w14:paraId="2C5A4235" w14:textId="77777777" w:rsidR="008D6DF4" w:rsidRDefault="008D6DF4">
            <w:pPr>
              <w:spacing w:after="0" w:line="240" w:lineRule="auto"/>
              <w:rPr>
                <w:rFonts w:ascii="Arial" w:eastAsia="Times New Roman" w:hAnsi="Arial" w:cs="Arial"/>
                <w:b/>
                <w:bCs/>
                <w:color w:val="000000"/>
                <w:sz w:val="20"/>
                <w:szCs w:val="20"/>
                <w:lang w:val="en-US"/>
              </w:rPr>
            </w:pPr>
          </w:p>
        </w:tc>
      </w:tr>
      <w:tr w:rsidR="008D6DF4" w:rsidRPr="005B5645" w14:paraId="263502FA" w14:textId="77777777" w:rsidTr="00362DCE">
        <w:trPr>
          <w:trHeight w:val="705"/>
        </w:trPr>
        <w:tc>
          <w:tcPr>
            <w:tcW w:w="1259" w:type="dxa"/>
            <w:tcBorders>
              <w:top w:val="nil"/>
              <w:left w:val="nil"/>
              <w:bottom w:val="single" w:sz="4" w:space="0" w:color="auto"/>
              <w:right w:val="nil"/>
            </w:tcBorders>
            <w:shd w:val="clear" w:color="auto" w:fill="BDD6EE" w:themeFill="accent1" w:themeFillTint="66"/>
            <w:noWrap/>
            <w:vAlign w:val="bottom"/>
            <w:hideMark/>
          </w:tcPr>
          <w:p w14:paraId="39D9AC97"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RSID</w:t>
            </w:r>
          </w:p>
        </w:tc>
        <w:tc>
          <w:tcPr>
            <w:tcW w:w="849" w:type="dxa"/>
            <w:tcBorders>
              <w:top w:val="nil"/>
              <w:left w:val="nil"/>
              <w:bottom w:val="single" w:sz="4" w:space="0" w:color="auto"/>
              <w:right w:val="nil"/>
            </w:tcBorders>
            <w:shd w:val="clear" w:color="auto" w:fill="BDD6EE" w:themeFill="accent1" w:themeFillTint="66"/>
            <w:vAlign w:val="bottom"/>
            <w:hideMark/>
          </w:tcPr>
          <w:p w14:paraId="6EBF0142"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Ident. analysis</w:t>
            </w:r>
          </w:p>
        </w:tc>
        <w:tc>
          <w:tcPr>
            <w:tcW w:w="993" w:type="dxa"/>
            <w:tcBorders>
              <w:top w:val="nil"/>
              <w:left w:val="nil"/>
              <w:bottom w:val="single" w:sz="4" w:space="0" w:color="auto"/>
              <w:right w:val="nil"/>
            </w:tcBorders>
            <w:shd w:val="clear" w:color="auto" w:fill="BDD6EE" w:themeFill="accent1" w:themeFillTint="66"/>
            <w:vAlign w:val="bottom"/>
            <w:hideMark/>
          </w:tcPr>
          <w:p w14:paraId="30A02A1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17" w:type="dxa"/>
            <w:gridSpan w:val="2"/>
            <w:tcBorders>
              <w:top w:val="nil"/>
              <w:left w:val="nil"/>
              <w:bottom w:val="single" w:sz="4" w:space="0" w:color="auto"/>
              <w:right w:val="nil"/>
            </w:tcBorders>
            <w:shd w:val="clear" w:color="auto" w:fill="BDD6EE" w:themeFill="accent1" w:themeFillTint="66"/>
            <w:noWrap/>
            <w:vAlign w:val="bottom"/>
            <w:hideMark/>
          </w:tcPr>
          <w:p w14:paraId="0B7BFB4B"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574" w:type="dxa"/>
            <w:tcBorders>
              <w:top w:val="nil"/>
              <w:left w:val="nil"/>
              <w:bottom w:val="single" w:sz="4" w:space="0" w:color="auto"/>
              <w:right w:val="nil"/>
            </w:tcBorders>
            <w:shd w:val="clear" w:color="auto" w:fill="BDD6EE" w:themeFill="accent1" w:themeFillTint="66"/>
            <w:noWrap/>
            <w:vAlign w:val="bottom"/>
            <w:hideMark/>
          </w:tcPr>
          <w:p w14:paraId="2E64298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693" w:type="dxa"/>
            <w:tcBorders>
              <w:top w:val="nil"/>
              <w:left w:val="nil"/>
              <w:bottom w:val="single" w:sz="4" w:space="0" w:color="auto"/>
              <w:right w:val="nil"/>
            </w:tcBorders>
            <w:shd w:val="clear" w:color="auto" w:fill="BDD6EE" w:themeFill="accent1" w:themeFillTint="66"/>
            <w:noWrap/>
            <w:vAlign w:val="bottom"/>
            <w:hideMark/>
          </w:tcPr>
          <w:p w14:paraId="539A5CF0"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w:t>
            </w:r>
          </w:p>
        </w:tc>
        <w:tc>
          <w:tcPr>
            <w:tcW w:w="1026" w:type="dxa"/>
            <w:tcBorders>
              <w:top w:val="nil"/>
              <w:left w:val="nil"/>
              <w:bottom w:val="single" w:sz="4" w:space="0" w:color="auto"/>
              <w:right w:val="nil"/>
            </w:tcBorders>
            <w:shd w:val="clear" w:color="auto" w:fill="BDD6EE" w:themeFill="accent1" w:themeFillTint="66"/>
            <w:noWrap/>
            <w:vAlign w:val="bottom"/>
            <w:hideMark/>
          </w:tcPr>
          <w:p w14:paraId="63EC39CE"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722" w:type="dxa"/>
            <w:tcBorders>
              <w:top w:val="nil"/>
              <w:left w:val="nil"/>
              <w:bottom w:val="single" w:sz="4" w:space="0" w:color="auto"/>
              <w:right w:val="nil"/>
            </w:tcBorders>
            <w:shd w:val="clear" w:color="auto" w:fill="BDD6EE" w:themeFill="accent1" w:themeFillTint="66"/>
            <w:vAlign w:val="bottom"/>
            <w:hideMark/>
          </w:tcPr>
          <w:p w14:paraId="78726CC6"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cases</w:t>
            </w:r>
          </w:p>
        </w:tc>
        <w:tc>
          <w:tcPr>
            <w:tcW w:w="850" w:type="dxa"/>
            <w:tcBorders>
              <w:top w:val="nil"/>
              <w:left w:val="nil"/>
              <w:bottom w:val="single" w:sz="4" w:space="0" w:color="auto"/>
              <w:right w:val="nil"/>
            </w:tcBorders>
            <w:shd w:val="clear" w:color="auto" w:fill="BDD6EE" w:themeFill="accent1" w:themeFillTint="66"/>
            <w:vAlign w:val="bottom"/>
            <w:hideMark/>
          </w:tcPr>
          <w:p w14:paraId="58C3D912"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ctrls</w:t>
            </w:r>
          </w:p>
        </w:tc>
        <w:tc>
          <w:tcPr>
            <w:tcW w:w="427" w:type="dxa"/>
            <w:tcBorders>
              <w:top w:val="nil"/>
              <w:left w:val="nil"/>
              <w:bottom w:val="single" w:sz="4" w:space="0" w:color="auto"/>
              <w:right w:val="nil"/>
            </w:tcBorders>
            <w:shd w:val="clear" w:color="auto" w:fill="BDD6EE" w:themeFill="accent1" w:themeFillTint="66"/>
            <w:vAlign w:val="bottom"/>
            <w:hideMark/>
          </w:tcPr>
          <w:p w14:paraId="6C6B6C2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stud</w:t>
            </w:r>
          </w:p>
        </w:tc>
        <w:tc>
          <w:tcPr>
            <w:tcW w:w="76" w:type="dxa"/>
            <w:tcBorders>
              <w:top w:val="nil"/>
              <w:left w:val="nil"/>
              <w:bottom w:val="nil"/>
              <w:right w:val="nil"/>
            </w:tcBorders>
            <w:shd w:val="clear" w:color="auto" w:fill="BDD6EE" w:themeFill="accent1" w:themeFillTint="66"/>
            <w:noWrap/>
            <w:vAlign w:val="bottom"/>
            <w:hideMark/>
          </w:tcPr>
          <w:p w14:paraId="70218549"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473" w:type="dxa"/>
            <w:tcBorders>
              <w:top w:val="nil"/>
              <w:left w:val="nil"/>
              <w:bottom w:val="single" w:sz="4" w:space="0" w:color="auto"/>
              <w:right w:val="nil"/>
            </w:tcBorders>
            <w:shd w:val="clear" w:color="auto" w:fill="BDD6EE" w:themeFill="accent1" w:themeFillTint="66"/>
            <w:noWrap/>
            <w:vAlign w:val="bottom"/>
            <w:hideMark/>
          </w:tcPr>
          <w:p w14:paraId="51032F70"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693" w:type="dxa"/>
            <w:tcBorders>
              <w:top w:val="nil"/>
              <w:left w:val="nil"/>
              <w:bottom w:val="single" w:sz="4" w:space="0" w:color="auto"/>
              <w:right w:val="nil"/>
            </w:tcBorders>
            <w:shd w:val="clear" w:color="auto" w:fill="BDD6EE" w:themeFill="accent1" w:themeFillTint="66"/>
            <w:noWrap/>
            <w:vAlign w:val="bottom"/>
            <w:hideMark/>
          </w:tcPr>
          <w:p w14:paraId="023FC783"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w:t>
            </w:r>
          </w:p>
        </w:tc>
        <w:tc>
          <w:tcPr>
            <w:tcW w:w="952" w:type="dxa"/>
            <w:tcBorders>
              <w:top w:val="nil"/>
              <w:left w:val="nil"/>
              <w:bottom w:val="single" w:sz="4" w:space="0" w:color="auto"/>
              <w:right w:val="nil"/>
            </w:tcBorders>
            <w:shd w:val="clear" w:color="auto" w:fill="BDD6EE" w:themeFill="accent1" w:themeFillTint="66"/>
            <w:noWrap/>
            <w:vAlign w:val="bottom"/>
            <w:hideMark/>
          </w:tcPr>
          <w:p w14:paraId="63D5AEAD"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709" w:type="dxa"/>
            <w:tcBorders>
              <w:top w:val="nil"/>
              <w:left w:val="nil"/>
              <w:bottom w:val="single" w:sz="4" w:space="0" w:color="auto"/>
              <w:right w:val="nil"/>
            </w:tcBorders>
            <w:shd w:val="clear" w:color="auto" w:fill="BDD6EE" w:themeFill="accent1" w:themeFillTint="66"/>
            <w:vAlign w:val="bottom"/>
            <w:hideMark/>
          </w:tcPr>
          <w:p w14:paraId="179B04A2"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cases</w:t>
            </w:r>
          </w:p>
        </w:tc>
        <w:tc>
          <w:tcPr>
            <w:tcW w:w="851" w:type="dxa"/>
            <w:tcBorders>
              <w:top w:val="nil"/>
              <w:left w:val="nil"/>
              <w:bottom w:val="single" w:sz="4" w:space="0" w:color="auto"/>
              <w:right w:val="nil"/>
            </w:tcBorders>
            <w:shd w:val="clear" w:color="auto" w:fill="BDD6EE" w:themeFill="accent1" w:themeFillTint="66"/>
            <w:vAlign w:val="bottom"/>
            <w:hideMark/>
          </w:tcPr>
          <w:p w14:paraId="310D86E8"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ctrls</w:t>
            </w:r>
          </w:p>
        </w:tc>
        <w:tc>
          <w:tcPr>
            <w:tcW w:w="499" w:type="dxa"/>
            <w:tcBorders>
              <w:top w:val="nil"/>
              <w:left w:val="nil"/>
              <w:bottom w:val="single" w:sz="4" w:space="0" w:color="auto"/>
              <w:right w:val="nil"/>
            </w:tcBorders>
            <w:shd w:val="clear" w:color="auto" w:fill="BDD6EE" w:themeFill="accent1" w:themeFillTint="66"/>
            <w:vAlign w:val="bottom"/>
            <w:hideMark/>
          </w:tcPr>
          <w:p w14:paraId="6EFD33C4"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stud</w:t>
            </w:r>
          </w:p>
        </w:tc>
        <w:tc>
          <w:tcPr>
            <w:tcW w:w="78" w:type="dxa"/>
            <w:gridSpan w:val="2"/>
            <w:tcBorders>
              <w:top w:val="nil"/>
              <w:left w:val="nil"/>
              <w:bottom w:val="nil"/>
              <w:right w:val="nil"/>
            </w:tcBorders>
            <w:shd w:val="clear" w:color="auto" w:fill="BDD6EE" w:themeFill="accent1" w:themeFillTint="66"/>
            <w:vAlign w:val="bottom"/>
            <w:hideMark/>
          </w:tcPr>
          <w:p w14:paraId="02B7DCF8"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674" w:type="dxa"/>
            <w:gridSpan w:val="2"/>
            <w:tcBorders>
              <w:top w:val="nil"/>
              <w:left w:val="nil"/>
              <w:bottom w:val="single" w:sz="4" w:space="0" w:color="auto"/>
              <w:right w:val="nil"/>
            </w:tcBorders>
            <w:shd w:val="clear" w:color="auto" w:fill="BDD6EE" w:themeFill="accent1" w:themeFillTint="66"/>
            <w:vAlign w:val="bottom"/>
            <w:hideMark/>
          </w:tcPr>
          <w:p w14:paraId="62A4C5D2"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w:t>
            </w:r>
            <w:r>
              <w:rPr>
                <w:rFonts w:ascii="Arial" w:eastAsia="Times New Roman" w:hAnsi="Arial" w:cs="Arial"/>
                <w:b/>
                <w:bCs/>
                <w:color w:val="000000"/>
                <w:sz w:val="20"/>
                <w:szCs w:val="20"/>
                <w:lang w:val="en-US"/>
              </w:rPr>
              <w:br/>
              <w:t>signal no.</w:t>
            </w:r>
          </w:p>
        </w:tc>
        <w:tc>
          <w:tcPr>
            <w:tcW w:w="1804" w:type="dxa"/>
            <w:tcBorders>
              <w:top w:val="single" w:sz="4" w:space="0" w:color="auto"/>
              <w:left w:val="nil"/>
              <w:bottom w:val="single" w:sz="4" w:space="0" w:color="auto"/>
              <w:right w:val="nil"/>
            </w:tcBorders>
            <w:shd w:val="clear" w:color="auto" w:fill="BDD6EE" w:themeFill="accent1" w:themeFillTint="66"/>
            <w:vAlign w:val="bottom"/>
            <w:hideMark/>
          </w:tcPr>
          <w:p w14:paraId="6645FE2D"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 EUR GWAS lead variant in locus/ signal (R², a)</w:t>
            </w:r>
          </w:p>
        </w:tc>
      </w:tr>
      <w:tr w:rsidR="008D6DF4" w:rsidRPr="0072469E" w14:paraId="52A73274" w14:textId="77777777" w:rsidTr="00362DCE">
        <w:tc>
          <w:tcPr>
            <w:tcW w:w="1259" w:type="dxa"/>
            <w:tcBorders>
              <w:top w:val="nil"/>
              <w:left w:val="nil"/>
              <w:bottom w:val="nil"/>
              <w:right w:val="nil"/>
            </w:tcBorders>
            <w:shd w:val="clear" w:color="auto" w:fill="D9D9D9" w:themeFill="background1" w:themeFillShade="D9"/>
            <w:vAlign w:val="center"/>
            <w:hideMark/>
          </w:tcPr>
          <w:p w14:paraId="5AC0099C"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rs13329952</w:t>
            </w:r>
            <w:r>
              <w:rPr>
                <w:rFonts w:ascii="Arial" w:eastAsia="Times New Roman" w:hAnsi="Arial" w:cs="Arial"/>
                <w:color w:val="000000"/>
                <w:sz w:val="20"/>
                <w:szCs w:val="20"/>
                <w:lang w:val="en-US"/>
              </w:rPr>
              <w:br/>
              <w:t>rs12922822</w:t>
            </w:r>
          </w:p>
        </w:tc>
        <w:tc>
          <w:tcPr>
            <w:tcW w:w="849" w:type="dxa"/>
            <w:tcBorders>
              <w:top w:val="nil"/>
              <w:left w:val="nil"/>
              <w:bottom w:val="nil"/>
              <w:right w:val="nil"/>
            </w:tcBorders>
            <w:shd w:val="clear" w:color="auto" w:fill="D9D9D9" w:themeFill="background1" w:themeFillShade="D9"/>
            <w:vAlign w:val="center"/>
            <w:hideMark/>
          </w:tcPr>
          <w:p w14:paraId="143D88E1"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r>
              <w:rPr>
                <w:rFonts w:ascii="Arial" w:eastAsia="Times New Roman" w:hAnsi="Arial" w:cs="Arial"/>
                <w:color w:val="000000"/>
                <w:sz w:val="20"/>
                <w:szCs w:val="20"/>
                <w:lang w:val="en-US"/>
              </w:rPr>
              <w:br/>
              <w:t>CKDi25</w:t>
            </w:r>
          </w:p>
        </w:tc>
        <w:tc>
          <w:tcPr>
            <w:tcW w:w="993" w:type="dxa"/>
            <w:tcBorders>
              <w:top w:val="nil"/>
              <w:left w:val="nil"/>
              <w:bottom w:val="nil"/>
              <w:right w:val="nil"/>
            </w:tcBorders>
            <w:shd w:val="clear" w:color="auto" w:fill="D9D9D9" w:themeFill="background1" w:themeFillShade="D9"/>
            <w:noWrap/>
            <w:vAlign w:val="center"/>
            <w:hideMark/>
          </w:tcPr>
          <w:p w14:paraId="17B8E619"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7" w:type="dxa"/>
            <w:gridSpan w:val="2"/>
            <w:tcBorders>
              <w:top w:val="nil"/>
              <w:left w:val="nil"/>
              <w:bottom w:val="nil"/>
              <w:right w:val="nil"/>
            </w:tcBorders>
            <w:shd w:val="clear" w:color="auto" w:fill="D9D9D9" w:themeFill="background1" w:themeFillShade="D9"/>
            <w:noWrap/>
            <w:vAlign w:val="bottom"/>
            <w:hideMark/>
          </w:tcPr>
          <w:p w14:paraId="2B601610"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nil"/>
              <w:left w:val="nil"/>
              <w:bottom w:val="nil"/>
              <w:right w:val="nil"/>
            </w:tcBorders>
            <w:shd w:val="clear" w:color="auto" w:fill="D9D9D9" w:themeFill="background1" w:themeFillShade="D9"/>
            <w:vAlign w:val="center"/>
            <w:hideMark/>
          </w:tcPr>
          <w:p w14:paraId="203B3A82"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1.099</w:t>
            </w:r>
            <w:r>
              <w:rPr>
                <w:rFonts w:ascii="Arial" w:eastAsia="Times New Roman" w:hAnsi="Arial" w:cs="Arial"/>
                <w:color w:val="000000"/>
                <w:sz w:val="20"/>
                <w:szCs w:val="20"/>
                <w:lang w:val="en-US"/>
              </w:rPr>
              <w:br/>
              <w:t>1.102</w:t>
            </w:r>
          </w:p>
        </w:tc>
        <w:tc>
          <w:tcPr>
            <w:tcW w:w="693" w:type="dxa"/>
            <w:tcBorders>
              <w:top w:val="nil"/>
              <w:left w:val="nil"/>
              <w:bottom w:val="nil"/>
              <w:right w:val="nil"/>
            </w:tcBorders>
            <w:shd w:val="clear" w:color="auto" w:fill="D9D9D9" w:themeFill="background1" w:themeFillShade="D9"/>
            <w:vAlign w:val="center"/>
            <w:hideMark/>
          </w:tcPr>
          <w:p w14:paraId="1B4046C6"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0.0118</w:t>
            </w:r>
            <w:r>
              <w:rPr>
                <w:rFonts w:ascii="Arial" w:eastAsia="Times New Roman" w:hAnsi="Arial" w:cs="Arial"/>
                <w:color w:val="000000"/>
                <w:sz w:val="20"/>
                <w:szCs w:val="20"/>
                <w:lang w:val="en-US"/>
              </w:rPr>
              <w:br/>
              <w:t>0.0121</w:t>
            </w:r>
          </w:p>
        </w:tc>
        <w:tc>
          <w:tcPr>
            <w:tcW w:w="1026" w:type="dxa"/>
            <w:tcBorders>
              <w:top w:val="nil"/>
              <w:left w:val="nil"/>
              <w:bottom w:val="nil"/>
              <w:right w:val="nil"/>
            </w:tcBorders>
            <w:shd w:val="clear" w:color="auto" w:fill="D9D9D9" w:themeFill="background1" w:themeFillShade="D9"/>
            <w:vAlign w:val="center"/>
            <w:hideMark/>
          </w:tcPr>
          <w:p w14:paraId="0BE7E09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1.39x10</w:t>
            </w:r>
            <w:r>
              <w:rPr>
                <w:rFonts w:ascii="Arial" w:eastAsia="Times New Roman" w:hAnsi="Arial" w:cs="Arial"/>
                <w:color w:val="000000"/>
                <w:sz w:val="20"/>
                <w:szCs w:val="20"/>
                <w:vertAlign w:val="superscript"/>
                <w:lang w:val="en-US"/>
              </w:rPr>
              <w:t>-15</w:t>
            </w:r>
            <w:r>
              <w:rPr>
                <w:rFonts w:ascii="Arial" w:eastAsia="Times New Roman" w:hAnsi="Arial" w:cs="Arial"/>
                <w:color w:val="000000"/>
                <w:sz w:val="20"/>
                <w:szCs w:val="20"/>
                <w:lang w:val="en-US"/>
              </w:rPr>
              <w:br/>
              <w:t>1.27x10</w:t>
            </w:r>
            <w:r>
              <w:rPr>
                <w:rFonts w:ascii="Arial" w:eastAsia="Times New Roman" w:hAnsi="Arial" w:cs="Arial"/>
                <w:color w:val="000000"/>
                <w:sz w:val="20"/>
                <w:szCs w:val="20"/>
                <w:vertAlign w:val="superscript"/>
                <w:lang w:val="en-US"/>
              </w:rPr>
              <w:t>-15</w:t>
            </w:r>
          </w:p>
        </w:tc>
        <w:tc>
          <w:tcPr>
            <w:tcW w:w="722" w:type="dxa"/>
            <w:tcBorders>
              <w:top w:val="nil"/>
              <w:left w:val="nil"/>
              <w:bottom w:val="nil"/>
              <w:right w:val="nil"/>
            </w:tcBorders>
            <w:shd w:val="clear" w:color="auto" w:fill="D9D9D9" w:themeFill="background1" w:themeFillShade="D9"/>
            <w:vAlign w:val="center"/>
            <w:hideMark/>
          </w:tcPr>
          <w:p w14:paraId="599FBF5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31,072</w:t>
            </w:r>
            <w:r>
              <w:rPr>
                <w:rFonts w:ascii="Arial" w:eastAsia="Times New Roman" w:hAnsi="Arial" w:cs="Arial"/>
                <w:color w:val="000000"/>
                <w:sz w:val="20"/>
                <w:szCs w:val="20"/>
                <w:lang w:val="en-US"/>
              </w:rPr>
              <w:br/>
              <w:t>31,100</w:t>
            </w:r>
          </w:p>
        </w:tc>
        <w:tc>
          <w:tcPr>
            <w:tcW w:w="850" w:type="dxa"/>
            <w:tcBorders>
              <w:top w:val="nil"/>
              <w:left w:val="nil"/>
              <w:bottom w:val="nil"/>
              <w:right w:val="nil"/>
            </w:tcBorders>
            <w:shd w:val="clear" w:color="auto" w:fill="D9D9D9" w:themeFill="background1" w:themeFillShade="D9"/>
            <w:vAlign w:val="center"/>
            <w:hideMark/>
          </w:tcPr>
          <w:p w14:paraId="607C7F8A"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102,422</w:t>
            </w:r>
            <w:r>
              <w:rPr>
                <w:rFonts w:ascii="Arial" w:eastAsia="Times New Roman" w:hAnsi="Arial" w:cs="Arial"/>
                <w:color w:val="000000"/>
                <w:sz w:val="20"/>
                <w:szCs w:val="20"/>
                <w:lang w:val="en-US"/>
              </w:rPr>
              <w:br/>
              <w:t>102,481</w:t>
            </w:r>
          </w:p>
        </w:tc>
        <w:tc>
          <w:tcPr>
            <w:tcW w:w="427" w:type="dxa"/>
            <w:tcBorders>
              <w:top w:val="nil"/>
              <w:left w:val="nil"/>
              <w:bottom w:val="nil"/>
              <w:right w:val="nil"/>
            </w:tcBorders>
            <w:shd w:val="clear" w:color="auto" w:fill="D9D9D9" w:themeFill="background1" w:themeFillShade="D9"/>
            <w:vAlign w:val="center"/>
            <w:hideMark/>
          </w:tcPr>
          <w:p w14:paraId="5E0F3711" w14:textId="370EF3A5"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w:t>
            </w:r>
            <w:r w:rsidR="0072469E">
              <w:rPr>
                <w:rFonts w:ascii="Arial" w:eastAsia="Times New Roman" w:hAnsi="Arial" w:cs="Arial"/>
                <w:color w:val="000000"/>
                <w:sz w:val="20"/>
                <w:szCs w:val="20"/>
                <w:lang w:val="en-US"/>
              </w:rPr>
              <w:br/>
            </w:r>
            <w:r>
              <w:rPr>
                <w:rFonts w:ascii="Arial" w:eastAsia="Times New Roman" w:hAnsi="Arial" w:cs="Arial"/>
                <w:color w:val="000000"/>
                <w:sz w:val="20"/>
                <w:szCs w:val="20"/>
                <w:lang w:val="en-US"/>
              </w:rPr>
              <w:t>28</w:t>
            </w:r>
          </w:p>
        </w:tc>
        <w:tc>
          <w:tcPr>
            <w:tcW w:w="76" w:type="dxa"/>
            <w:tcBorders>
              <w:top w:val="nil"/>
              <w:left w:val="nil"/>
              <w:bottom w:val="nil"/>
              <w:right w:val="nil"/>
            </w:tcBorders>
            <w:shd w:val="clear" w:color="auto" w:fill="D9D9D9" w:themeFill="background1" w:themeFillShade="D9"/>
            <w:noWrap/>
            <w:vAlign w:val="bottom"/>
            <w:hideMark/>
          </w:tcPr>
          <w:p w14:paraId="08C06657"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nil"/>
              <w:left w:val="nil"/>
              <w:bottom w:val="nil"/>
              <w:right w:val="nil"/>
            </w:tcBorders>
            <w:shd w:val="clear" w:color="auto" w:fill="D9D9D9" w:themeFill="background1" w:themeFillShade="D9"/>
            <w:vAlign w:val="center"/>
            <w:hideMark/>
          </w:tcPr>
          <w:p w14:paraId="5822BEF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1.21</w:t>
            </w:r>
            <w:r>
              <w:rPr>
                <w:rFonts w:ascii="Arial" w:eastAsia="Times New Roman" w:hAnsi="Arial" w:cs="Arial"/>
                <w:color w:val="000000"/>
                <w:sz w:val="20"/>
                <w:szCs w:val="20"/>
                <w:lang w:val="en-US"/>
              </w:rPr>
              <w:br/>
              <w:t>1.23</w:t>
            </w:r>
          </w:p>
        </w:tc>
        <w:tc>
          <w:tcPr>
            <w:tcW w:w="693" w:type="dxa"/>
            <w:tcBorders>
              <w:top w:val="nil"/>
              <w:left w:val="nil"/>
              <w:bottom w:val="nil"/>
              <w:right w:val="nil"/>
            </w:tcBorders>
            <w:shd w:val="clear" w:color="auto" w:fill="D9D9D9" w:themeFill="background1" w:themeFillShade="D9"/>
            <w:vAlign w:val="center"/>
            <w:hideMark/>
          </w:tcPr>
          <w:p w14:paraId="48040B4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0.017</w:t>
            </w:r>
            <w:r>
              <w:rPr>
                <w:rFonts w:ascii="Arial" w:eastAsia="Times New Roman" w:hAnsi="Arial" w:cs="Arial"/>
                <w:color w:val="000000"/>
                <w:sz w:val="20"/>
                <w:szCs w:val="20"/>
                <w:lang w:val="en-US"/>
              </w:rPr>
              <w:br/>
              <w:t>0.017</w:t>
            </w:r>
          </w:p>
        </w:tc>
        <w:tc>
          <w:tcPr>
            <w:tcW w:w="952" w:type="dxa"/>
            <w:tcBorders>
              <w:top w:val="nil"/>
              <w:left w:val="nil"/>
              <w:bottom w:val="nil"/>
              <w:right w:val="nil"/>
            </w:tcBorders>
            <w:shd w:val="clear" w:color="auto" w:fill="D9D9D9" w:themeFill="background1" w:themeFillShade="D9"/>
            <w:vAlign w:val="center"/>
            <w:hideMark/>
          </w:tcPr>
          <w:p w14:paraId="5E307F13"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4.36x10</w:t>
            </w:r>
            <w:r>
              <w:rPr>
                <w:rFonts w:ascii="Arial" w:eastAsia="Times New Roman" w:hAnsi="Arial" w:cs="Arial"/>
                <w:color w:val="000000"/>
                <w:sz w:val="20"/>
                <w:szCs w:val="20"/>
                <w:vertAlign w:val="superscript"/>
                <w:lang w:val="en-US"/>
              </w:rPr>
              <w:t>-30</w:t>
            </w:r>
            <w:r>
              <w:rPr>
                <w:rFonts w:ascii="Arial" w:eastAsia="Times New Roman" w:hAnsi="Arial" w:cs="Arial"/>
                <w:color w:val="000000"/>
                <w:sz w:val="20"/>
                <w:szCs w:val="20"/>
                <w:lang w:val="en-US"/>
              </w:rPr>
              <w:br/>
              <w:t>1.67x10</w:t>
            </w:r>
            <w:r>
              <w:rPr>
                <w:rFonts w:ascii="Arial" w:eastAsia="Times New Roman" w:hAnsi="Arial" w:cs="Arial"/>
                <w:color w:val="000000"/>
                <w:sz w:val="20"/>
                <w:szCs w:val="20"/>
                <w:vertAlign w:val="superscript"/>
                <w:lang w:val="en-US"/>
              </w:rPr>
              <w:t>-33</w:t>
            </w:r>
          </w:p>
        </w:tc>
        <w:tc>
          <w:tcPr>
            <w:tcW w:w="709" w:type="dxa"/>
            <w:tcBorders>
              <w:top w:val="nil"/>
              <w:left w:val="nil"/>
              <w:bottom w:val="nil"/>
              <w:right w:val="nil"/>
            </w:tcBorders>
            <w:shd w:val="clear" w:color="auto" w:fill="D9D9D9" w:themeFill="background1" w:themeFillShade="D9"/>
            <w:vAlign w:val="center"/>
            <w:hideMark/>
          </w:tcPr>
          <w:p w14:paraId="0587DA2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19,374</w:t>
            </w:r>
            <w:r>
              <w:rPr>
                <w:rFonts w:ascii="Arial" w:eastAsia="Times New Roman" w:hAnsi="Arial" w:cs="Arial"/>
                <w:color w:val="000000"/>
                <w:sz w:val="20"/>
                <w:szCs w:val="20"/>
                <w:lang w:val="en-US"/>
              </w:rPr>
              <w:br/>
              <w:t>19,409</w:t>
            </w:r>
          </w:p>
        </w:tc>
        <w:tc>
          <w:tcPr>
            <w:tcW w:w="851" w:type="dxa"/>
            <w:tcBorders>
              <w:top w:val="nil"/>
              <w:left w:val="nil"/>
              <w:bottom w:val="nil"/>
              <w:right w:val="nil"/>
            </w:tcBorders>
            <w:shd w:val="clear" w:color="auto" w:fill="D9D9D9" w:themeFill="background1" w:themeFillShade="D9"/>
            <w:vAlign w:val="center"/>
            <w:hideMark/>
          </w:tcPr>
          <w:p w14:paraId="47C9441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168,943</w:t>
            </w:r>
            <w:r>
              <w:rPr>
                <w:rFonts w:ascii="Arial" w:eastAsia="Times New Roman" w:hAnsi="Arial" w:cs="Arial"/>
                <w:color w:val="000000"/>
                <w:sz w:val="20"/>
                <w:szCs w:val="20"/>
                <w:lang w:val="en-US"/>
              </w:rPr>
              <w:br/>
              <w:t>169,085</w:t>
            </w:r>
          </w:p>
        </w:tc>
        <w:tc>
          <w:tcPr>
            <w:tcW w:w="499" w:type="dxa"/>
            <w:tcBorders>
              <w:top w:val="nil"/>
              <w:left w:val="nil"/>
              <w:bottom w:val="nil"/>
              <w:right w:val="nil"/>
            </w:tcBorders>
            <w:shd w:val="clear" w:color="auto" w:fill="D9D9D9" w:themeFill="background1" w:themeFillShade="D9"/>
            <w:noWrap/>
            <w:vAlign w:val="center"/>
            <w:hideMark/>
          </w:tcPr>
          <w:p w14:paraId="67015446" w14:textId="396B3C76" w:rsidR="008D6DF4" w:rsidRDefault="007C1EBA" w:rsidP="00362DC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w:t>
            </w:r>
            <w:r w:rsidR="0072469E">
              <w:rPr>
                <w:rFonts w:ascii="Arial" w:eastAsia="Times New Roman" w:hAnsi="Arial" w:cs="Arial"/>
                <w:color w:val="000000"/>
                <w:sz w:val="20"/>
                <w:szCs w:val="20"/>
                <w:lang w:val="en-US"/>
              </w:rPr>
              <w:br/>
            </w:r>
            <w:r>
              <w:rPr>
                <w:rFonts w:ascii="Arial" w:eastAsia="Times New Roman" w:hAnsi="Arial" w:cs="Arial"/>
                <w:color w:val="000000"/>
                <w:sz w:val="20"/>
                <w:szCs w:val="20"/>
                <w:lang w:val="en-US"/>
              </w:rPr>
              <w:t>19</w:t>
            </w:r>
          </w:p>
        </w:tc>
        <w:tc>
          <w:tcPr>
            <w:tcW w:w="78" w:type="dxa"/>
            <w:gridSpan w:val="2"/>
            <w:tcBorders>
              <w:top w:val="nil"/>
              <w:left w:val="nil"/>
              <w:bottom w:val="nil"/>
              <w:right w:val="nil"/>
            </w:tcBorders>
            <w:shd w:val="clear" w:color="auto" w:fill="D9D9D9" w:themeFill="background1" w:themeFillShade="D9"/>
            <w:noWrap/>
            <w:vAlign w:val="bottom"/>
            <w:hideMark/>
          </w:tcPr>
          <w:p w14:paraId="390AE396"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nil"/>
              <w:left w:val="nil"/>
              <w:bottom w:val="nil"/>
              <w:right w:val="nil"/>
            </w:tcBorders>
            <w:shd w:val="clear" w:color="auto" w:fill="D9D9D9" w:themeFill="background1" w:themeFillShade="D9"/>
            <w:vAlign w:val="center"/>
            <w:hideMark/>
          </w:tcPr>
          <w:p w14:paraId="71C9C961"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1.1</w:t>
            </w:r>
          </w:p>
        </w:tc>
        <w:tc>
          <w:tcPr>
            <w:tcW w:w="1804" w:type="dxa"/>
            <w:tcBorders>
              <w:top w:val="nil"/>
              <w:left w:val="nil"/>
              <w:bottom w:val="nil"/>
              <w:right w:val="nil"/>
            </w:tcBorders>
            <w:shd w:val="clear" w:color="auto" w:fill="D9D9D9" w:themeFill="background1" w:themeFillShade="D9"/>
            <w:vAlign w:val="center"/>
            <w:hideMark/>
          </w:tcPr>
          <w:p w14:paraId="653F90E9"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rs36060036 (0.86)</w:t>
            </w:r>
            <w:r>
              <w:rPr>
                <w:rFonts w:ascii="Arial" w:eastAsia="Times New Roman" w:hAnsi="Arial" w:cs="Arial"/>
                <w:color w:val="000000"/>
                <w:sz w:val="20"/>
                <w:szCs w:val="20"/>
                <w:lang w:val="en-US"/>
              </w:rPr>
              <w:br/>
              <w:t>same</w:t>
            </w:r>
          </w:p>
        </w:tc>
      </w:tr>
      <w:tr w:rsidR="008D6DF4" w14:paraId="500B6A2E" w14:textId="77777777" w:rsidTr="00362DCE">
        <w:tc>
          <w:tcPr>
            <w:tcW w:w="1259" w:type="dxa"/>
            <w:tcBorders>
              <w:top w:val="nil"/>
              <w:left w:val="nil"/>
              <w:bottom w:val="nil"/>
              <w:right w:val="nil"/>
            </w:tcBorders>
            <w:shd w:val="clear" w:color="auto" w:fill="auto"/>
            <w:noWrap/>
            <w:vAlign w:val="center"/>
            <w:hideMark/>
          </w:tcPr>
          <w:p w14:paraId="734776FC"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rs77924615</w:t>
            </w:r>
          </w:p>
        </w:tc>
        <w:tc>
          <w:tcPr>
            <w:tcW w:w="849" w:type="dxa"/>
            <w:tcBorders>
              <w:top w:val="nil"/>
              <w:left w:val="nil"/>
              <w:bottom w:val="nil"/>
              <w:right w:val="nil"/>
            </w:tcBorders>
            <w:shd w:val="clear" w:color="auto" w:fill="auto"/>
            <w:vAlign w:val="center"/>
            <w:hideMark/>
          </w:tcPr>
          <w:p w14:paraId="54E2D334" w14:textId="528C6CF0"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 2nd (c)</w:t>
            </w:r>
          </w:p>
        </w:tc>
        <w:tc>
          <w:tcPr>
            <w:tcW w:w="993" w:type="dxa"/>
            <w:tcBorders>
              <w:top w:val="nil"/>
              <w:left w:val="nil"/>
              <w:bottom w:val="nil"/>
              <w:right w:val="nil"/>
            </w:tcBorders>
            <w:shd w:val="clear" w:color="auto" w:fill="auto"/>
            <w:noWrap/>
            <w:vAlign w:val="center"/>
            <w:hideMark/>
          </w:tcPr>
          <w:p w14:paraId="1CCD4F67"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7" w:type="dxa"/>
            <w:gridSpan w:val="2"/>
            <w:tcBorders>
              <w:top w:val="nil"/>
              <w:left w:val="nil"/>
              <w:bottom w:val="nil"/>
              <w:right w:val="nil"/>
            </w:tcBorders>
            <w:shd w:val="clear" w:color="auto" w:fill="auto"/>
            <w:noWrap/>
            <w:vAlign w:val="center"/>
            <w:hideMark/>
          </w:tcPr>
          <w:p w14:paraId="0B6BF046" w14:textId="77777777" w:rsidR="008D6DF4" w:rsidRDefault="008D6DF4" w:rsidP="0072469E">
            <w:pPr>
              <w:spacing w:before="60" w:after="60" w:line="240" w:lineRule="auto"/>
              <w:jc w:val="right"/>
              <w:rPr>
                <w:rFonts w:ascii="Arial" w:eastAsia="Times New Roman" w:hAnsi="Arial" w:cs="Arial"/>
                <w:color w:val="000000"/>
                <w:sz w:val="20"/>
                <w:szCs w:val="20"/>
                <w:lang w:val="en-US"/>
              </w:rPr>
            </w:pPr>
          </w:p>
        </w:tc>
        <w:tc>
          <w:tcPr>
            <w:tcW w:w="574" w:type="dxa"/>
            <w:tcBorders>
              <w:top w:val="nil"/>
              <w:left w:val="nil"/>
              <w:bottom w:val="nil"/>
              <w:right w:val="nil"/>
            </w:tcBorders>
            <w:shd w:val="clear" w:color="auto" w:fill="auto"/>
            <w:noWrap/>
            <w:vAlign w:val="center"/>
            <w:hideMark/>
          </w:tcPr>
          <w:p w14:paraId="46ED565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1.022</w:t>
            </w:r>
          </w:p>
        </w:tc>
        <w:tc>
          <w:tcPr>
            <w:tcW w:w="693" w:type="dxa"/>
            <w:tcBorders>
              <w:top w:val="nil"/>
              <w:left w:val="nil"/>
              <w:bottom w:val="nil"/>
              <w:right w:val="nil"/>
            </w:tcBorders>
            <w:shd w:val="clear" w:color="auto" w:fill="auto"/>
            <w:noWrap/>
            <w:vAlign w:val="center"/>
            <w:hideMark/>
          </w:tcPr>
          <w:p w14:paraId="1A16283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0.0132</w:t>
            </w:r>
          </w:p>
        </w:tc>
        <w:tc>
          <w:tcPr>
            <w:tcW w:w="1026" w:type="dxa"/>
            <w:tcBorders>
              <w:top w:val="nil"/>
              <w:left w:val="nil"/>
              <w:bottom w:val="nil"/>
              <w:right w:val="nil"/>
            </w:tcBorders>
            <w:shd w:val="clear" w:color="auto" w:fill="auto"/>
            <w:noWrap/>
            <w:vAlign w:val="center"/>
            <w:hideMark/>
          </w:tcPr>
          <w:p w14:paraId="5F109872"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9.22x10</w:t>
            </w:r>
            <w:r>
              <w:rPr>
                <w:rFonts w:ascii="Arial" w:eastAsia="Times New Roman" w:hAnsi="Arial" w:cs="Arial"/>
                <w:color w:val="000000"/>
                <w:sz w:val="20"/>
                <w:szCs w:val="20"/>
                <w:vertAlign w:val="superscript"/>
                <w:lang w:val="en-US"/>
              </w:rPr>
              <w:t>-2</w:t>
            </w:r>
          </w:p>
        </w:tc>
        <w:tc>
          <w:tcPr>
            <w:tcW w:w="722" w:type="dxa"/>
            <w:tcBorders>
              <w:top w:val="nil"/>
              <w:left w:val="nil"/>
              <w:bottom w:val="nil"/>
              <w:right w:val="nil"/>
            </w:tcBorders>
            <w:shd w:val="clear" w:color="auto" w:fill="auto"/>
            <w:noWrap/>
            <w:vAlign w:val="center"/>
            <w:hideMark/>
          </w:tcPr>
          <w:p w14:paraId="1AB5338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25,100</w:t>
            </w:r>
          </w:p>
        </w:tc>
        <w:tc>
          <w:tcPr>
            <w:tcW w:w="850" w:type="dxa"/>
            <w:tcBorders>
              <w:top w:val="nil"/>
              <w:left w:val="nil"/>
              <w:bottom w:val="nil"/>
              <w:right w:val="nil"/>
            </w:tcBorders>
            <w:shd w:val="clear" w:color="auto" w:fill="auto"/>
            <w:noWrap/>
            <w:vAlign w:val="center"/>
            <w:hideMark/>
          </w:tcPr>
          <w:p w14:paraId="3487251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89,509</w:t>
            </w:r>
          </w:p>
        </w:tc>
        <w:tc>
          <w:tcPr>
            <w:tcW w:w="427" w:type="dxa"/>
            <w:tcBorders>
              <w:top w:val="nil"/>
              <w:left w:val="nil"/>
              <w:bottom w:val="nil"/>
              <w:right w:val="nil"/>
            </w:tcBorders>
            <w:shd w:val="clear" w:color="auto" w:fill="auto"/>
            <w:noWrap/>
            <w:vAlign w:val="center"/>
            <w:hideMark/>
          </w:tcPr>
          <w:p w14:paraId="3FA631FA"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w:t>
            </w:r>
          </w:p>
        </w:tc>
        <w:tc>
          <w:tcPr>
            <w:tcW w:w="76" w:type="dxa"/>
            <w:tcBorders>
              <w:top w:val="nil"/>
              <w:left w:val="nil"/>
              <w:bottom w:val="nil"/>
              <w:right w:val="nil"/>
            </w:tcBorders>
            <w:shd w:val="clear" w:color="auto" w:fill="auto"/>
            <w:noWrap/>
            <w:vAlign w:val="center"/>
            <w:hideMark/>
          </w:tcPr>
          <w:p w14:paraId="65D8291F" w14:textId="77777777" w:rsidR="008D6DF4" w:rsidRDefault="008D6DF4" w:rsidP="0072469E">
            <w:pPr>
              <w:spacing w:before="60" w:after="60" w:line="240" w:lineRule="auto"/>
              <w:jc w:val="right"/>
              <w:rPr>
                <w:rFonts w:ascii="Arial" w:eastAsia="Times New Roman" w:hAnsi="Arial" w:cs="Arial"/>
                <w:color w:val="000000"/>
                <w:sz w:val="20"/>
                <w:szCs w:val="20"/>
                <w:lang w:val="en-US"/>
              </w:rPr>
            </w:pPr>
          </w:p>
        </w:tc>
        <w:tc>
          <w:tcPr>
            <w:tcW w:w="473" w:type="dxa"/>
            <w:tcBorders>
              <w:top w:val="nil"/>
              <w:left w:val="nil"/>
              <w:bottom w:val="nil"/>
              <w:right w:val="nil"/>
            </w:tcBorders>
            <w:shd w:val="clear" w:color="auto" w:fill="auto"/>
            <w:noWrap/>
            <w:vAlign w:val="center"/>
            <w:hideMark/>
          </w:tcPr>
          <w:p w14:paraId="30AE7A4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1.11</w:t>
            </w:r>
          </w:p>
        </w:tc>
        <w:tc>
          <w:tcPr>
            <w:tcW w:w="693" w:type="dxa"/>
            <w:tcBorders>
              <w:top w:val="nil"/>
              <w:left w:val="nil"/>
              <w:bottom w:val="nil"/>
              <w:right w:val="nil"/>
            </w:tcBorders>
            <w:shd w:val="clear" w:color="auto" w:fill="auto"/>
            <w:noWrap/>
            <w:vAlign w:val="center"/>
            <w:hideMark/>
          </w:tcPr>
          <w:p w14:paraId="3095E4D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0.0194</w:t>
            </w:r>
          </w:p>
        </w:tc>
        <w:tc>
          <w:tcPr>
            <w:tcW w:w="952" w:type="dxa"/>
            <w:tcBorders>
              <w:top w:val="nil"/>
              <w:left w:val="nil"/>
              <w:bottom w:val="nil"/>
              <w:right w:val="nil"/>
            </w:tcBorders>
            <w:shd w:val="clear" w:color="auto" w:fill="auto"/>
            <w:noWrap/>
            <w:vAlign w:val="center"/>
            <w:hideMark/>
          </w:tcPr>
          <w:p w14:paraId="0178C6EE"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2.50x10</w:t>
            </w:r>
            <w:r>
              <w:rPr>
                <w:rFonts w:ascii="Arial" w:eastAsia="Times New Roman" w:hAnsi="Arial" w:cs="Arial"/>
                <w:color w:val="000000"/>
                <w:sz w:val="20"/>
                <w:szCs w:val="20"/>
                <w:vertAlign w:val="superscript"/>
                <w:lang w:val="en-US"/>
              </w:rPr>
              <w:t>-8</w:t>
            </w:r>
          </w:p>
        </w:tc>
        <w:tc>
          <w:tcPr>
            <w:tcW w:w="709" w:type="dxa"/>
            <w:tcBorders>
              <w:top w:val="nil"/>
              <w:left w:val="nil"/>
              <w:bottom w:val="nil"/>
              <w:right w:val="nil"/>
            </w:tcBorders>
            <w:shd w:val="clear" w:color="auto" w:fill="auto"/>
            <w:noWrap/>
            <w:vAlign w:val="center"/>
            <w:hideMark/>
          </w:tcPr>
          <w:p w14:paraId="11743C2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12,767</w:t>
            </w:r>
          </w:p>
        </w:tc>
        <w:tc>
          <w:tcPr>
            <w:tcW w:w="851" w:type="dxa"/>
            <w:tcBorders>
              <w:top w:val="nil"/>
              <w:left w:val="nil"/>
              <w:bottom w:val="nil"/>
              <w:right w:val="nil"/>
            </w:tcBorders>
            <w:shd w:val="clear" w:color="auto" w:fill="auto"/>
            <w:noWrap/>
            <w:vAlign w:val="center"/>
            <w:hideMark/>
          </w:tcPr>
          <w:p w14:paraId="33338326"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142,607</w:t>
            </w:r>
          </w:p>
        </w:tc>
        <w:tc>
          <w:tcPr>
            <w:tcW w:w="499" w:type="dxa"/>
            <w:tcBorders>
              <w:top w:val="nil"/>
              <w:left w:val="nil"/>
              <w:bottom w:val="nil"/>
              <w:right w:val="nil"/>
            </w:tcBorders>
            <w:shd w:val="clear" w:color="auto" w:fill="auto"/>
            <w:noWrap/>
            <w:vAlign w:val="center"/>
            <w:hideMark/>
          </w:tcPr>
          <w:p w14:paraId="5A3B20E2"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w:t>
            </w:r>
          </w:p>
        </w:tc>
        <w:tc>
          <w:tcPr>
            <w:tcW w:w="78" w:type="dxa"/>
            <w:gridSpan w:val="2"/>
            <w:tcBorders>
              <w:top w:val="nil"/>
              <w:left w:val="nil"/>
              <w:bottom w:val="nil"/>
              <w:right w:val="nil"/>
            </w:tcBorders>
            <w:shd w:val="clear" w:color="auto" w:fill="auto"/>
            <w:noWrap/>
            <w:vAlign w:val="center"/>
            <w:hideMark/>
          </w:tcPr>
          <w:p w14:paraId="296958A7" w14:textId="77777777" w:rsidR="008D6DF4" w:rsidRDefault="008D6DF4" w:rsidP="0072469E">
            <w:pPr>
              <w:spacing w:before="60" w:after="60" w:line="240" w:lineRule="auto"/>
              <w:jc w:val="right"/>
              <w:rPr>
                <w:rFonts w:ascii="Arial" w:eastAsia="Times New Roman" w:hAnsi="Arial" w:cs="Arial"/>
                <w:color w:val="000000"/>
                <w:sz w:val="20"/>
                <w:szCs w:val="20"/>
                <w:lang w:val="en-US"/>
              </w:rPr>
            </w:pPr>
          </w:p>
        </w:tc>
        <w:tc>
          <w:tcPr>
            <w:tcW w:w="674" w:type="dxa"/>
            <w:gridSpan w:val="2"/>
            <w:tcBorders>
              <w:top w:val="nil"/>
              <w:left w:val="nil"/>
              <w:bottom w:val="nil"/>
              <w:right w:val="nil"/>
            </w:tcBorders>
            <w:shd w:val="clear" w:color="auto" w:fill="auto"/>
            <w:noWrap/>
            <w:vAlign w:val="center"/>
            <w:hideMark/>
          </w:tcPr>
          <w:p w14:paraId="497AD908"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1.2</w:t>
            </w:r>
          </w:p>
        </w:tc>
        <w:tc>
          <w:tcPr>
            <w:tcW w:w="1804" w:type="dxa"/>
            <w:tcBorders>
              <w:top w:val="nil"/>
              <w:left w:val="nil"/>
              <w:bottom w:val="nil"/>
              <w:right w:val="nil"/>
            </w:tcBorders>
            <w:shd w:val="clear" w:color="auto" w:fill="auto"/>
            <w:noWrap/>
            <w:vAlign w:val="center"/>
            <w:hideMark/>
          </w:tcPr>
          <w:p w14:paraId="08E4E3FF"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same</w:t>
            </w:r>
          </w:p>
        </w:tc>
      </w:tr>
      <w:tr w:rsidR="008D6DF4" w14:paraId="500E6611" w14:textId="77777777" w:rsidTr="00362DCE">
        <w:tc>
          <w:tcPr>
            <w:tcW w:w="1259" w:type="dxa"/>
            <w:tcBorders>
              <w:top w:val="nil"/>
              <w:left w:val="nil"/>
              <w:bottom w:val="nil"/>
              <w:right w:val="nil"/>
            </w:tcBorders>
            <w:shd w:val="clear" w:color="auto" w:fill="D9D9D9" w:themeFill="background1" w:themeFillShade="D9"/>
            <w:noWrap/>
            <w:vAlign w:val="bottom"/>
            <w:hideMark/>
          </w:tcPr>
          <w:p w14:paraId="60F5378F"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rs77593734</w:t>
            </w:r>
          </w:p>
        </w:tc>
        <w:tc>
          <w:tcPr>
            <w:tcW w:w="849" w:type="dxa"/>
            <w:tcBorders>
              <w:top w:val="nil"/>
              <w:left w:val="nil"/>
              <w:bottom w:val="nil"/>
              <w:right w:val="nil"/>
            </w:tcBorders>
            <w:shd w:val="clear" w:color="auto" w:fill="D9D9D9" w:themeFill="background1" w:themeFillShade="D9"/>
            <w:noWrap/>
            <w:vAlign w:val="center"/>
            <w:hideMark/>
          </w:tcPr>
          <w:p w14:paraId="3A61426A"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993" w:type="dxa"/>
            <w:tcBorders>
              <w:top w:val="nil"/>
              <w:left w:val="nil"/>
              <w:bottom w:val="nil"/>
              <w:right w:val="nil"/>
            </w:tcBorders>
            <w:shd w:val="clear" w:color="auto" w:fill="D9D9D9" w:themeFill="background1" w:themeFillShade="D9"/>
            <w:noWrap/>
            <w:vAlign w:val="center"/>
            <w:hideMark/>
          </w:tcPr>
          <w:p w14:paraId="403DB1B4"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[WDR72]</w:t>
            </w:r>
          </w:p>
        </w:tc>
        <w:tc>
          <w:tcPr>
            <w:tcW w:w="117" w:type="dxa"/>
            <w:gridSpan w:val="2"/>
            <w:tcBorders>
              <w:top w:val="nil"/>
              <w:left w:val="nil"/>
              <w:bottom w:val="nil"/>
              <w:right w:val="nil"/>
            </w:tcBorders>
            <w:shd w:val="clear" w:color="auto" w:fill="D9D9D9" w:themeFill="background1" w:themeFillShade="D9"/>
            <w:noWrap/>
            <w:vAlign w:val="bottom"/>
            <w:hideMark/>
          </w:tcPr>
          <w:p w14:paraId="19D70E06"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nil"/>
              <w:left w:val="nil"/>
              <w:bottom w:val="nil"/>
              <w:right w:val="nil"/>
            </w:tcBorders>
            <w:shd w:val="clear" w:color="auto" w:fill="D9D9D9" w:themeFill="background1" w:themeFillShade="D9"/>
            <w:noWrap/>
            <w:vAlign w:val="center"/>
            <w:hideMark/>
          </w:tcPr>
          <w:p w14:paraId="6A41C88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1.036</w:t>
            </w:r>
          </w:p>
        </w:tc>
        <w:tc>
          <w:tcPr>
            <w:tcW w:w="693" w:type="dxa"/>
            <w:tcBorders>
              <w:top w:val="nil"/>
              <w:left w:val="nil"/>
              <w:bottom w:val="nil"/>
              <w:right w:val="nil"/>
            </w:tcBorders>
            <w:shd w:val="clear" w:color="auto" w:fill="D9D9D9" w:themeFill="background1" w:themeFillShade="D9"/>
            <w:noWrap/>
            <w:vAlign w:val="center"/>
            <w:hideMark/>
          </w:tcPr>
          <w:p w14:paraId="78B6E6C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0.0104</w:t>
            </w:r>
          </w:p>
        </w:tc>
        <w:tc>
          <w:tcPr>
            <w:tcW w:w="1026" w:type="dxa"/>
            <w:tcBorders>
              <w:top w:val="nil"/>
              <w:left w:val="nil"/>
              <w:bottom w:val="nil"/>
              <w:right w:val="nil"/>
            </w:tcBorders>
            <w:shd w:val="clear" w:color="auto" w:fill="D9D9D9" w:themeFill="background1" w:themeFillShade="D9"/>
            <w:noWrap/>
            <w:vAlign w:val="center"/>
            <w:hideMark/>
          </w:tcPr>
          <w:p w14:paraId="1BBFD37C"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5.69x10</w:t>
            </w:r>
            <w:r>
              <w:rPr>
                <w:rFonts w:ascii="Arial" w:eastAsia="Times New Roman" w:hAnsi="Arial" w:cs="Arial"/>
                <w:color w:val="000000"/>
                <w:sz w:val="20"/>
                <w:szCs w:val="20"/>
                <w:vertAlign w:val="superscript"/>
                <w:lang w:val="en-US"/>
              </w:rPr>
              <w:t>-4</w:t>
            </w:r>
          </w:p>
        </w:tc>
        <w:tc>
          <w:tcPr>
            <w:tcW w:w="722" w:type="dxa"/>
            <w:tcBorders>
              <w:top w:val="nil"/>
              <w:left w:val="nil"/>
              <w:bottom w:val="nil"/>
              <w:right w:val="nil"/>
            </w:tcBorders>
            <w:shd w:val="clear" w:color="auto" w:fill="D9D9D9" w:themeFill="background1" w:themeFillShade="D9"/>
            <w:noWrap/>
            <w:vAlign w:val="center"/>
            <w:hideMark/>
          </w:tcPr>
          <w:p w14:paraId="2920ED4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31,088</w:t>
            </w:r>
          </w:p>
        </w:tc>
        <w:tc>
          <w:tcPr>
            <w:tcW w:w="850" w:type="dxa"/>
            <w:tcBorders>
              <w:top w:val="nil"/>
              <w:left w:val="nil"/>
              <w:bottom w:val="nil"/>
              <w:right w:val="nil"/>
            </w:tcBorders>
            <w:shd w:val="clear" w:color="auto" w:fill="D9D9D9" w:themeFill="background1" w:themeFillShade="D9"/>
            <w:noWrap/>
            <w:vAlign w:val="center"/>
            <w:hideMark/>
          </w:tcPr>
          <w:p w14:paraId="6F3B7D3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102,455</w:t>
            </w:r>
          </w:p>
        </w:tc>
        <w:tc>
          <w:tcPr>
            <w:tcW w:w="427" w:type="dxa"/>
            <w:tcBorders>
              <w:top w:val="nil"/>
              <w:left w:val="nil"/>
              <w:bottom w:val="nil"/>
              <w:right w:val="nil"/>
            </w:tcBorders>
            <w:shd w:val="clear" w:color="auto" w:fill="D9D9D9" w:themeFill="background1" w:themeFillShade="D9"/>
            <w:noWrap/>
            <w:vAlign w:val="center"/>
            <w:hideMark/>
          </w:tcPr>
          <w:p w14:paraId="5840225D"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w:t>
            </w:r>
          </w:p>
        </w:tc>
        <w:tc>
          <w:tcPr>
            <w:tcW w:w="76" w:type="dxa"/>
            <w:tcBorders>
              <w:top w:val="nil"/>
              <w:left w:val="nil"/>
              <w:bottom w:val="nil"/>
              <w:right w:val="nil"/>
            </w:tcBorders>
            <w:shd w:val="clear" w:color="auto" w:fill="D9D9D9" w:themeFill="background1" w:themeFillShade="D9"/>
            <w:noWrap/>
            <w:vAlign w:val="bottom"/>
            <w:hideMark/>
          </w:tcPr>
          <w:p w14:paraId="2F733336"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nil"/>
              <w:left w:val="nil"/>
              <w:bottom w:val="nil"/>
              <w:right w:val="nil"/>
            </w:tcBorders>
            <w:shd w:val="clear" w:color="auto" w:fill="D9D9D9" w:themeFill="background1" w:themeFillShade="D9"/>
            <w:noWrap/>
            <w:vAlign w:val="bottom"/>
            <w:hideMark/>
          </w:tcPr>
          <w:p w14:paraId="718067E5"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1.10</w:t>
            </w:r>
          </w:p>
        </w:tc>
        <w:tc>
          <w:tcPr>
            <w:tcW w:w="693" w:type="dxa"/>
            <w:tcBorders>
              <w:top w:val="nil"/>
              <w:left w:val="nil"/>
              <w:bottom w:val="nil"/>
              <w:right w:val="nil"/>
            </w:tcBorders>
            <w:shd w:val="clear" w:color="auto" w:fill="D9D9D9" w:themeFill="background1" w:themeFillShade="D9"/>
            <w:noWrap/>
            <w:vAlign w:val="bottom"/>
            <w:hideMark/>
          </w:tcPr>
          <w:p w14:paraId="661EAEC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0.0144</w:t>
            </w:r>
          </w:p>
        </w:tc>
        <w:tc>
          <w:tcPr>
            <w:tcW w:w="952" w:type="dxa"/>
            <w:tcBorders>
              <w:top w:val="nil"/>
              <w:left w:val="nil"/>
              <w:bottom w:val="nil"/>
              <w:right w:val="nil"/>
            </w:tcBorders>
            <w:shd w:val="clear" w:color="auto" w:fill="D9D9D9" w:themeFill="background1" w:themeFillShade="D9"/>
            <w:noWrap/>
            <w:vAlign w:val="bottom"/>
            <w:hideMark/>
          </w:tcPr>
          <w:p w14:paraId="422317FA"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2.06x10</w:t>
            </w:r>
            <w:r>
              <w:rPr>
                <w:rFonts w:ascii="Arial" w:eastAsia="Times New Roman" w:hAnsi="Arial" w:cs="Arial"/>
                <w:color w:val="000000"/>
                <w:sz w:val="20"/>
                <w:szCs w:val="20"/>
                <w:vertAlign w:val="superscript"/>
                <w:lang w:val="en-US"/>
              </w:rPr>
              <w:t>-11</w:t>
            </w:r>
          </w:p>
        </w:tc>
        <w:tc>
          <w:tcPr>
            <w:tcW w:w="709" w:type="dxa"/>
            <w:tcBorders>
              <w:top w:val="nil"/>
              <w:left w:val="nil"/>
              <w:bottom w:val="nil"/>
              <w:right w:val="nil"/>
            </w:tcBorders>
            <w:shd w:val="clear" w:color="auto" w:fill="D9D9D9" w:themeFill="background1" w:themeFillShade="D9"/>
            <w:noWrap/>
            <w:vAlign w:val="bottom"/>
            <w:hideMark/>
          </w:tcPr>
          <w:p w14:paraId="575BA0F2"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19,396</w:t>
            </w:r>
          </w:p>
        </w:tc>
        <w:tc>
          <w:tcPr>
            <w:tcW w:w="851" w:type="dxa"/>
            <w:tcBorders>
              <w:top w:val="nil"/>
              <w:left w:val="nil"/>
              <w:bottom w:val="nil"/>
              <w:right w:val="nil"/>
            </w:tcBorders>
            <w:shd w:val="clear" w:color="auto" w:fill="D9D9D9" w:themeFill="background1" w:themeFillShade="D9"/>
            <w:noWrap/>
            <w:vAlign w:val="bottom"/>
            <w:hideMark/>
          </w:tcPr>
          <w:p w14:paraId="713A368F"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169,030</w:t>
            </w:r>
          </w:p>
        </w:tc>
        <w:tc>
          <w:tcPr>
            <w:tcW w:w="499" w:type="dxa"/>
            <w:tcBorders>
              <w:top w:val="nil"/>
              <w:left w:val="nil"/>
              <w:bottom w:val="nil"/>
              <w:right w:val="nil"/>
            </w:tcBorders>
            <w:shd w:val="clear" w:color="auto" w:fill="D9D9D9" w:themeFill="background1" w:themeFillShade="D9"/>
            <w:noWrap/>
            <w:vAlign w:val="center"/>
            <w:hideMark/>
          </w:tcPr>
          <w:p w14:paraId="614BF333"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w:t>
            </w:r>
          </w:p>
        </w:tc>
        <w:tc>
          <w:tcPr>
            <w:tcW w:w="78" w:type="dxa"/>
            <w:gridSpan w:val="2"/>
            <w:tcBorders>
              <w:top w:val="nil"/>
              <w:left w:val="nil"/>
              <w:bottom w:val="nil"/>
              <w:right w:val="nil"/>
            </w:tcBorders>
            <w:shd w:val="clear" w:color="auto" w:fill="D9D9D9" w:themeFill="background1" w:themeFillShade="D9"/>
            <w:noWrap/>
            <w:vAlign w:val="bottom"/>
            <w:hideMark/>
          </w:tcPr>
          <w:p w14:paraId="39BDD10E"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nil"/>
              <w:left w:val="nil"/>
              <w:bottom w:val="nil"/>
              <w:right w:val="nil"/>
            </w:tcBorders>
            <w:shd w:val="clear" w:color="auto" w:fill="D9D9D9" w:themeFill="background1" w:themeFillShade="D9"/>
            <w:noWrap/>
            <w:vAlign w:val="center"/>
            <w:hideMark/>
          </w:tcPr>
          <w:p w14:paraId="4209E4A5"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c>
          <w:tcPr>
            <w:tcW w:w="1804" w:type="dxa"/>
            <w:tcBorders>
              <w:top w:val="nil"/>
              <w:left w:val="nil"/>
              <w:bottom w:val="nil"/>
              <w:right w:val="nil"/>
            </w:tcBorders>
            <w:shd w:val="clear" w:color="auto" w:fill="D9D9D9" w:themeFill="background1" w:themeFillShade="D9"/>
            <w:vAlign w:val="bottom"/>
            <w:hideMark/>
          </w:tcPr>
          <w:p w14:paraId="109570A0"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same</w:t>
            </w:r>
          </w:p>
        </w:tc>
      </w:tr>
      <w:tr w:rsidR="008D6DF4" w14:paraId="1E81B82C" w14:textId="77777777" w:rsidTr="00362DCE">
        <w:tc>
          <w:tcPr>
            <w:tcW w:w="1259" w:type="dxa"/>
            <w:tcBorders>
              <w:top w:val="nil"/>
              <w:left w:val="nil"/>
              <w:right w:val="nil"/>
            </w:tcBorders>
            <w:shd w:val="clear" w:color="auto" w:fill="auto"/>
            <w:noWrap/>
            <w:vAlign w:val="bottom"/>
            <w:hideMark/>
          </w:tcPr>
          <w:p w14:paraId="536E8001"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rs56012466</w:t>
            </w:r>
          </w:p>
        </w:tc>
        <w:tc>
          <w:tcPr>
            <w:tcW w:w="849" w:type="dxa"/>
            <w:tcBorders>
              <w:top w:val="nil"/>
              <w:left w:val="nil"/>
              <w:right w:val="nil"/>
            </w:tcBorders>
            <w:shd w:val="clear" w:color="auto" w:fill="auto"/>
            <w:noWrap/>
            <w:vAlign w:val="center"/>
            <w:hideMark/>
          </w:tcPr>
          <w:p w14:paraId="51317A6F"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993" w:type="dxa"/>
            <w:tcBorders>
              <w:top w:val="nil"/>
              <w:left w:val="nil"/>
              <w:right w:val="nil"/>
            </w:tcBorders>
            <w:shd w:val="clear" w:color="auto" w:fill="auto"/>
            <w:noWrap/>
            <w:vAlign w:val="center"/>
            <w:hideMark/>
          </w:tcPr>
          <w:p w14:paraId="7232C685"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117" w:type="dxa"/>
            <w:gridSpan w:val="2"/>
            <w:tcBorders>
              <w:top w:val="nil"/>
              <w:left w:val="nil"/>
              <w:right w:val="nil"/>
            </w:tcBorders>
            <w:shd w:val="clear" w:color="auto" w:fill="auto"/>
            <w:noWrap/>
            <w:vAlign w:val="bottom"/>
            <w:hideMark/>
          </w:tcPr>
          <w:p w14:paraId="20F6C020"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nil"/>
              <w:left w:val="nil"/>
              <w:right w:val="nil"/>
            </w:tcBorders>
            <w:shd w:val="clear" w:color="auto" w:fill="auto"/>
            <w:noWrap/>
            <w:vAlign w:val="center"/>
            <w:hideMark/>
          </w:tcPr>
          <w:p w14:paraId="35353D0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1.041</w:t>
            </w:r>
          </w:p>
        </w:tc>
        <w:tc>
          <w:tcPr>
            <w:tcW w:w="693" w:type="dxa"/>
            <w:tcBorders>
              <w:top w:val="nil"/>
              <w:left w:val="nil"/>
              <w:right w:val="nil"/>
            </w:tcBorders>
            <w:shd w:val="clear" w:color="auto" w:fill="auto"/>
            <w:noWrap/>
            <w:vAlign w:val="center"/>
            <w:hideMark/>
          </w:tcPr>
          <w:p w14:paraId="56721DBD"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0.0107</w:t>
            </w:r>
          </w:p>
        </w:tc>
        <w:tc>
          <w:tcPr>
            <w:tcW w:w="1026" w:type="dxa"/>
            <w:tcBorders>
              <w:top w:val="nil"/>
              <w:left w:val="nil"/>
              <w:right w:val="nil"/>
            </w:tcBorders>
            <w:shd w:val="clear" w:color="auto" w:fill="auto"/>
            <w:noWrap/>
            <w:vAlign w:val="center"/>
            <w:hideMark/>
          </w:tcPr>
          <w:p w14:paraId="72EBB55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1.76x10</w:t>
            </w:r>
            <w:r>
              <w:rPr>
                <w:rFonts w:ascii="Arial" w:eastAsia="Times New Roman" w:hAnsi="Arial" w:cs="Arial"/>
                <w:color w:val="000000"/>
                <w:sz w:val="20"/>
                <w:szCs w:val="20"/>
                <w:vertAlign w:val="superscript"/>
                <w:lang w:val="en-US"/>
              </w:rPr>
              <w:t>-4</w:t>
            </w:r>
          </w:p>
        </w:tc>
        <w:tc>
          <w:tcPr>
            <w:tcW w:w="722" w:type="dxa"/>
            <w:tcBorders>
              <w:top w:val="nil"/>
              <w:left w:val="nil"/>
              <w:right w:val="nil"/>
            </w:tcBorders>
            <w:shd w:val="clear" w:color="auto" w:fill="auto"/>
            <w:noWrap/>
            <w:vAlign w:val="center"/>
            <w:hideMark/>
          </w:tcPr>
          <w:p w14:paraId="5799016E"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30,239</w:t>
            </w:r>
          </w:p>
        </w:tc>
        <w:tc>
          <w:tcPr>
            <w:tcW w:w="850" w:type="dxa"/>
            <w:tcBorders>
              <w:top w:val="nil"/>
              <w:left w:val="nil"/>
              <w:right w:val="nil"/>
            </w:tcBorders>
            <w:shd w:val="clear" w:color="auto" w:fill="auto"/>
            <w:noWrap/>
            <w:vAlign w:val="center"/>
            <w:hideMark/>
          </w:tcPr>
          <w:p w14:paraId="23D8BA9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97,653</w:t>
            </w:r>
          </w:p>
        </w:tc>
        <w:tc>
          <w:tcPr>
            <w:tcW w:w="427" w:type="dxa"/>
            <w:tcBorders>
              <w:top w:val="nil"/>
              <w:left w:val="nil"/>
              <w:right w:val="nil"/>
            </w:tcBorders>
            <w:shd w:val="clear" w:color="auto" w:fill="auto"/>
            <w:noWrap/>
            <w:vAlign w:val="center"/>
            <w:hideMark/>
          </w:tcPr>
          <w:p w14:paraId="4C7B26B2"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w:t>
            </w:r>
          </w:p>
        </w:tc>
        <w:tc>
          <w:tcPr>
            <w:tcW w:w="76" w:type="dxa"/>
            <w:tcBorders>
              <w:top w:val="nil"/>
              <w:left w:val="nil"/>
              <w:right w:val="nil"/>
            </w:tcBorders>
            <w:shd w:val="clear" w:color="auto" w:fill="auto"/>
            <w:noWrap/>
            <w:vAlign w:val="bottom"/>
            <w:hideMark/>
          </w:tcPr>
          <w:p w14:paraId="2B884D76"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nil"/>
              <w:left w:val="nil"/>
              <w:right w:val="nil"/>
            </w:tcBorders>
            <w:shd w:val="clear" w:color="auto" w:fill="auto"/>
            <w:noWrap/>
            <w:vAlign w:val="bottom"/>
            <w:hideMark/>
          </w:tcPr>
          <w:p w14:paraId="271076B2"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1.09</w:t>
            </w:r>
          </w:p>
        </w:tc>
        <w:tc>
          <w:tcPr>
            <w:tcW w:w="693" w:type="dxa"/>
            <w:tcBorders>
              <w:top w:val="nil"/>
              <w:left w:val="nil"/>
              <w:right w:val="nil"/>
            </w:tcBorders>
            <w:shd w:val="clear" w:color="auto" w:fill="auto"/>
            <w:noWrap/>
            <w:vAlign w:val="bottom"/>
            <w:hideMark/>
          </w:tcPr>
          <w:p w14:paraId="3DA6417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0.0145</w:t>
            </w:r>
          </w:p>
        </w:tc>
        <w:tc>
          <w:tcPr>
            <w:tcW w:w="952" w:type="dxa"/>
            <w:tcBorders>
              <w:top w:val="nil"/>
              <w:left w:val="nil"/>
              <w:right w:val="nil"/>
            </w:tcBorders>
            <w:shd w:val="clear" w:color="auto" w:fill="auto"/>
            <w:noWrap/>
            <w:vAlign w:val="bottom"/>
            <w:hideMark/>
          </w:tcPr>
          <w:p w14:paraId="2E29371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3.97x10</w:t>
            </w:r>
            <w:r>
              <w:rPr>
                <w:rFonts w:ascii="Arial" w:eastAsia="Times New Roman" w:hAnsi="Arial" w:cs="Arial"/>
                <w:color w:val="000000"/>
                <w:sz w:val="20"/>
                <w:szCs w:val="20"/>
                <w:vertAlign w:val="superscript"/>
                <w:lang w:val="en-US"/>
              </w:rPr>
              <w:t>-9</w:t>
            </w:r>
          </w:p>
        </w:tc>
        <w:tc>
          <w:tcPr>
            <w:tcW w:w="709" w:type="dxa"/>
            <w:tcBorders>
              <w:top w:val="nil"/>
              <w:left w:val="nil"/>
              <w:right w:val="nil"/>
            </w:tcBorders>
            <w:shd w:val="clear" w:color="auto" w:fill="auto"/>
            <w:noWrap/>
            <w:vAlign w:val="bottom"/>
            <w:hideMark/>
          </w:tcPr>
          <w:p w14:paraId="7E321E53"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19,366</w:t>
            </w:r>
          </w:p>
        </w:tc>
        <w:tc>
          <w:tcPr>
            <w:tcW w:w="851" w:type="dxa"/>
            <w:tcBorders>
              <w:top w:val="nil"/>
              <w:left w:val="nil"/>
              <w:right w:val="nil"/>
            </w:tcBorders>
            <w:shd w:val="clear" w:color="auto" w:fill="auto"/>
            <w:noWrap/>
            <w:vAlign w:val="bottom"/>
            <w:hideMark/>
          </w:tcPr>
          <w:p w14:paraId="63C25B3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168,911</w:t>
            </w:r>
          </w:p>
        </w:tc>
        <w:tc>
          <w:tcPr>
            <w:tcW w:w="499" w:type="dxa"/>
            <w:tcBorders>
              <w:top w:val="nil"/>
              <w:left w:val="nil"/>
              <w:right w:val="nil"/>
            </w:tcBorders>
            <w:shd w:val="clear" w:color="auto" w:fill="auto"/>
            <w:noWrap/>
            <w:vAlign w:val="center"/>
            <w:hideMark/>
          </w:tcPr>
          <w:p w14:paraId="32328A53"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w:t>
            </w:r>
          </w:p>
        </w:tc>
        <w:tc>
          <w:tcPr>
            <w:tcW w:w="78" w:type="dxa"/>
            <w:gridSpan w:val="2"/>
            <w:tcBorders>
              <w:top w:val="nil"/>
              <w:left w:val="nil"/>
              <w:right w:val="nil"/>
            </w:tcBorders>
            <w:shd w:val="clear" w:color="auto" w:fill="auto"/>
            <w:noWrap/>
            <w:vAlign w:val="bottom"/>
            <w:hideMark/>
          </w:tcPr>
          <w:p w14:paraId="57F16C37"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nil"/>
              <w:left w:val="nil"/>
              <w:right w:val="nil"/>
            </w:tcBorders>
            <w:shd w:val="clear" w:color="auto" w:fill="auto"/>
            <w:noWrap/>
            <w:vAlign w:val="center"/>
            <w:hideMark/>
          </w:tcPr>
          <w:p w14:paraId="63D1608E"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804" w:type="dxa"/>
            <w:tcBorders>
              <w:top w:val="nil"/>
              <w:left w:val="nil"/>
              <w:right w:val="nil"/>
            </w:tcBorders>
            <w:shd w:val="clear" w:color="auto" w:fill="auto"/>
            <w:vAlign w:val="bottom"/>
            <w:hideMark/>
          </w:tcPr>
          <w:p w14:paraId="72721AF9"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rs73158188 (0.84)</w:t>
            </w:r>
          </w:p>
        </w:tc>
      </w:tr>
      <w:tr w:rsidR="008D6DF4" w14:paraId="7CD3C1BC" w14:textId="77777777" w:rsidTr="00362DCE">
        <w:tc>
          <w:tcPr>
            <w:tcW w:w="1259" w:type="dxa"/>
            <w:tcBorders>
              <w:top w:val="nil"/>
              <w:left w:val="nil"/>
              <w:bottom w:val="single" w:sz="4" w:space="0" w:color="auto"/>
              <w:right w:val="nil"/>
            </w:tcBorders>
            <w:shd w:val="clear" w:color="auto" w:fill="D9D9D9" w:themeFill="background1" w:themeFillShade="D9"/>
            <w:noWrap/>
            <w:vAlign w:val="bottom"/>
            <w:hideMark/>
          </w:tcPr>
          <w:p w14:paraId="7183313F"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rs141809766</w:t>
            </w:r>
          </w:p>
        </w:tc>
        <w:tc>
          <w:tcPr>
            <w:tcW w:w="849" w:type="dxa"/>
            <w:tcBorders>
              <w:top w:val="nil"/>
              <w:left w:val="nil"/>
              <w:bottom w:val="single" w:sz="4" w:space="0" w:color="auto"/>
              <w:right w:val="nil"/>
            </w:tcBorders>
            <w:shd w:val="clear" w:color="auto" w:fill="D9D9D9" w:themeFill="background1" w:themeFillShade="D9"/>
            <w:noWrap/>
            <w:vAlign w:val="bottom"/>
            <w:hideMark/>
          </w:tcPr>
          <w:p w14:paraId="51051FBE"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p>
        </w:tc>
        <w:tc>
          <w:tcPr>
            <w:tcW w:w="993" w:type="dxa"/>
            <w:tcBorders>
              <w:top w:val="nil"/>
              <w:left w:val="nil"/>
              <w:bottom w:val="single" w:sz="4" w:space="0" w:color="auto"/>
              <w:right w:val="nil"/>
            </w:tcBorders>
            <w:shd w:val="clear" w:color="auto" w:fill="D9D9D9" w:themeFill="background1" w:themeFillShade="D9"/>
            <w:noWrap/>
            <w:vAlign w:val="center"/>
            <w:hideMark/>
          </w:tcPr>
          <w:p w14:paraId="4C9F9E8E"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17" w:type="dxa"/>
            <w:gridSpan w:val="2"/>
            <w:tcBorders>
              <w:top w:val="nil"/>
              <w:left w:val="nil"/>
              <w:bottom w:val="single" w:sz="4" w:space="0" w:color="auto"/>
              <w:right w:val="nil"/>
            </w:tcBorders>
            <w:shd w:val="clear" w:color="auto" w:fill="D9D9D9" w:themeFill="background1" w:themeFillShade="D9"/>
            <w:noWrap/>
            <w:vAlign w:val="bottom"/>
            <w:hideMark/>
          </w:tcPr>
          <w:p w14:paraId="229281F5"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574" w:type="dxa"/>
            <w:tcBorders>
              <w:top w:val="nil"/>
              <w:left w:val="nil"/>
              <w:bottom w:val="single" w:sz="4" w:space="0" w:color="auto"/>
              <w:right w:val="nil"/>
            </w:tcBorders>
            <w:shd w:val="clear" w:color="auto" w:fill="D9D9D9" w:themeFill="background1" w:themeFillShade="D9"/>
            <w:noWrap/>
            <w:vAlign w:val="center"/>
            <w:hideMark/>
          </w:tcPr>
          <w:p w14:paraId="69905BB5"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1.229</w:t>
            </w:r>
          </w:p>
        </w:tc>
        <w:tc>
          <w:tcPr>
            <w:tcW w:w="693" w:type="dxa"/>
            <w:tcBorders>
              <w:top w:val="nil"/>
              <w:left w:val="nil"/>
              <w:bottom w:val="single" w:sz="4" w:space="0" w:color="auto"/>
              <w:right w:val="nil"/>
            </w:tcBorders>
            <w:shd w:val="clear" w:color="auto" w:fill="D9D9D9" w:themeFill="background1" w:themeFillShade="D9"/>
            <w:noWrap/>
            <w:vAlign w:val="center"/>
            <w:hideMark/>
          </w:tcPr>
          <w:p w14:paraId="621B287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0.0349</w:t>
            </w:r>
          </w:p>
        </w:tc>
        <w:tc>
          <w:tcPr>
            <w:tcW w:w="1026" w:type="dxa"/>
            <w:tcBorders>
              <w:top w:val="nil"/>
              <w:left w:val="nil"/>
              <w:bottom w:val="single" w:sz="4" w:space="0" w:color="auto"/>
              <w:right w:val="nil"/>
            </w:tcBorders>
            <w:shd w:val="clear" w:color="auto" w:fill="D9D9D9" w:themeFill="background1" w:themeFillShade="D9"/>
            <w:noWrap/>
            <w:vAlign w:val="center"/>
            <w:hideMark/>
          </w:tcPr>
          <w:p w14:paraId="46EB29ED"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4.32x10</w:t>
            </w:r>
            <w:r>
              <w:rPr>
                <w:rFonts w:ascii="Arial" w:eastAsia="Times New Roman" w:hAnsi="Arial" w:cs="Arial"/>
                <w:color w:val="000000"/>
                <w:sz w:val="20"/>
                <w:szCs w:val="20"/>
                <w:vertAlign w:val="superscript"/>
                <w:lang w:val="en-US"/>
              </w:rPr>
              <w:t>-9</w:t>
            </w:r>
          </w:p>
        </w:tc>
        <w:tc>
          <w:tcPr>
            <w:tcW w:w="722" w:type="dxa"/>
            <w:tcBorders>
              <w:top w:val="nil"/>
              <w:left w:val="nil"/>
              <w:bottom w:val="single" w:sz="4" w:space="0" w:color="auto"/>
              <w:right w:val="nil"/>
            </w:tcBorders>
            <w:shd w:val="clear" w:color="auto" w:fill="D9D9D9" w:themeFill="background1" w:themeFillShade="D9"/>
            <w:noWrap/>
            <w:vAlign w:val="center"/>
            <w:hideMark/>
          </w:tcPr>
          <w:p w14:paraId="46B44FC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24,592</w:t>
            </w:r>
          </w:p>
        </w:tc>
        <w:tc>
          <w:tcPr>
            <w:tcW w:w="850" w:type="dxa"/>
            <w:tcBorders>
              <w:top w:val="nil"/>
              <w:left w:val="nil"/>
              <w:bottom w:val="single" w:sz="4" w:space="0" w:color="auto"/>
              <w:right w:val="nil"/>
            </w:tcBorders>
            <w:shd w:val="clear" w:color="auto" w:fill="D9D9D9" w:themeFill="background1" w:themeFillShade="D9"/>
            <w:noWrap/>
            <w:vAlign w:val="center"/>
            <w:hideMark/>
          </w:tcPr>
          <w:p w14:paraId="0E644CBF"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88,498</w:t>
            </w:r>
          </w:p>
        </w:tc>
        <w:tc>
          <w:tcPr>
            <w:tcW w:w="427" w:type="dxa"/>
            <w:tcBorders>
              <w:top w:val="nil"/>
              <w:left w:val="nil"/>
              <w:bottom w:val="single" w:sz="4" w:space="0" w:color="auto"/>
              <w:right w:val="nil"/>
            </w:tcBorders>
            <w:shd w:val="clear" w:color="auto" w:fill="D9D9D9" w:themeFill="background1" w:themeFillShade="D9"/>
            <w:noWrap/>
            <w:vAlign w:val="center"/>
            <w:hideMark/>
          </w:tcPr>
          <w:p w14:paraId="38E1069E"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24</w:t>
            </w:r>
          </w:p>
        </w:tc>
        <w:tc>
          <w:tcPr>
            <w:tcW w:w="76" w:type="dxa"/>
            <w:tcBorders>
              <w:top w:val="nil"/>
              <w:left w:val="nil"/>
              <w:bottom w:val="single" w:sz="4" w:space="0" w:color="auto"/>
              <w:right w:val="nil"/>
            </w:tcBorders>
            <w:shd w:val="clear" w:color="auto" w:fill="D9D9D9" w:themeFill="background1" w:themeFillShade="D9"/>
            <w:noWrap/>
            <w:vAlign w:val="bottom"/>
            <w:hideMark/>
          </w:tcPr>
          <w:p w14:paraId="2BC79CF6"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473" w:type="dxa"/>
            <w:tcBorders>
              <w:top w:val="nil"/>
              <w:left w:val="nil"/>
              <w:bottom w:val="single" w:sz="4" w:space="0" w:color="auto"/>
              <w:right w:val="nil"/>
            </w:tcBorders>
            <w:shd w:val="clear" w:color="auto" w:fill="D9D9D9" w:themeFill="background1" w:themeFillShade="D9"/>
            <w:noWrap/>
            <w:vAlign w:val="bottom"/>
            <w:hideMark/>
          </w:tcPr>
          <w:p w14:paraId="23DD60BC"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1.06</w:t>
            </w:r>
          </w:p>
        </w:tc>
        <w:tc>
          <w:tcPr>
            <w:tcW w:w="693" w:type="dxa"/>
            <w:tcBorders>
              <w:top w:val="nil"/>
              <w:left w:val="nil"/>
              <w:bottom w:val="single" w:sz="4" w:space="0" w:color="auto"/>
              <w:right w:val="nil"/>
            </w:tcBorders>
            <w:shd w:val="clear" w:color="auto" w:fill="D9D9D9" w:themeFill="background1" w:themeFillShade="D9"/>
            <w:noWrap/>
            <w:vAlign w:val="bottom"/>
            <w:hideMark/>
          </w:tcPr>
          <w:p w14:paraId="7ED4DE3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0.0550</w:t>
            </w:r>
          </w:p>
        </w:tc>
        <w:tc>
          <w:tcPr>
            <w:tcW w:w="952" w:type="dxa"/>
            <w:tcBorders>
              <w:top w:val="nil"/>
              <w:left w:val="nil"/>
              <w:bottom w:val="single" w:sz="4" w:space="0" w:color="auto"/>
              <w:right w:val="nil"/>
            </w:tcBorders>
            <w:shd w:val="clear" w:color="auto" w:fill="D9D9D9" w:themeFill="background1" w:themeFillShade="D9"/>
            <w:noWrap/>
            <w:vAlign w:val="bottom"/>
            <w:hideMark/>
          </w:tcPr>
          <w:p w14:paraId="475CEC1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0.2276</w:t>
            </w:r>
          </w:p>
        </w:tc>
        <w:tc>
          <w:tcPr>
            <w:tcW w:w="709" w:type="dxa"/>
            <w:tcBorders>
              <w:top w:val="nil"/>
              <w:left w:val="nil"/>
              <w:bottom w:val="single" w:sz="4" w:space="0" w:color="auto"/>
              <w:right w:val="nil"/>
            </w:tcBorders>
            <w:shd w:val="clear" w:color="auto" w:fill="D9D9D9" w:themeFill="background1" w:themeFillShade="D9"/>
            <w:noWrap/>
            <w:vAlign w:val="bottom"/>
            <w:hideMark/>
          </w:tcPr>
          <w:p w14:paraId="52DA3CF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12,767</w:t>
            </w:r>
          </w:p>
        </w:tc>
        <w:tc>
          <w:tcPr>
            <w:tcW w:w="851" w:type="dxa"/>
            <w:tcBorders>
              <w:top w:val="nil"/>
              <w:left w:val="nil"/>
              <w:bottom w:val="single" w:sz="4" w:space="0" w:color="auto"/>
              <w:right w:val="nil"/>
            </w:tcBorders>
            <w:shd w:val="clear" w:color="auto" w:fill="D9D9D9" w:themeFill="background1" w:themeFillShade="D9"/>
            <w:noWrap/>
            <w:vAlign w:val="bottom"/>
            <w:hideMark/>
          </w:tcPr>
          <w:p w14:paraId="1960DCC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142,607</w:t>
            </w:r>
          </w:p>
        </w:tc>
        <w:tc>
          <w:tcPr>
            <w:tcW w:w="499" w:type="dxa"/>
            <w:tcBorders>
              <w:top w:val="nil"/>
              <w:left w:val="nil"/>
              <w:bottom w:val="single" w:sz="4" w:space="0" w:color="auto"/>
              <w:right w:val="nil"/>
            </w:tcBorders>
            <w:shd w:val="clear" w:color="auto" w:fill="D9D9D9" w:themeFill="background1" w:themeFillShade="D9"/>
            <w:noWrap/>
            <w:vAlign w:val="center"/>
            <w:hideMark/>
          </w:tcPr>
          <w:p w14:paraId="34031929"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w:t>
            </w:r>
          </w:p>
        </w:tc>
        <w:tc>
          <w:tcPr>
            <w:tcW w:w="78" w:type="dxa"/>
            <w:gridSpan w:val="2"/>
            <w:tcBorders>
              <w:top w:val="nil"/>
              <w:left w:val="nil"/>
              <w:bottom w:val="single" w:sz="4" w:space="0" w:color="auto"/>
              <w:right w:val="nil"/>
            </w:tcBorders>
            <w:shd w:val="clear" w:color="auto" w:fill="D9D9D9" w:themeFill="background1" w:themeFillShade="D9"/>
            <w:noWrap/>
            <w:vAlign w:val="bottom"/>
            <w:hideMark/>
          </w:tcPr>
          <w:p w14:paraId="75E90352"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674" w:type="dxa"/>
            <w:gridSpan w:val="2"/>
            <w:tcBorders>
              <w:top w:val="nil"/>
              <w:left w:val="nil"/>
              <w:bottom w:val="single" w:sz="4" w:space="0" w:color="auto"/>
              <w:right w:val="nil"/>
            </w:tcBorders>
            <w:shd w:val="clear" w:color="auto" w:fill="D9D9D9" w:themeFill="background1" w:themeFillShade="D9"/>
            <w:noWrap/>
            <w:vAlign w:val="center"/>
            <w:hideMark/>
          </w:tcPr>
          <w:p w14:paraId="0731614B"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804" w:type="dxa"/>
            <w:tcBorders>
              <w:top w:val="nil"/>
              <w:left w:val="nil"/>
              <w:bottom w:val="single" w:sz="4" w:space="0" w:color="auto"/>
              <w:right w:val="nil"/>
            </w:tcBorders>
            <w:shd w:val="clear" w:color="auto" w:fill="D9D9D9" w:themeFill="background1" w:themeFillShade="D9"/>
            <w:noWrap/>
            <w:vAlign w:val="bottom"/>
            <w:hideMark/>
          </w:tcPr>
          <w:p w14:paraId="0C6E4182"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same</w:t>
            </w:r>
          </w:p>
        </w:tc>
      </w:tr>
      <w:tr w:rsidR="008D6DF4" w14:paraId="43446C3E" w14:textId="77777777" w:rsidTr="00362DCE">
        <w:tc>
          <w:tcPr>
            <w:tcW w:w="1259" w:type="dxa"/>
            <w:tcBorders>
              <w:top w:val="single" w:sz="4" w:space="0" w:color="auto"/>
              <w:left w:val="nil"/>
              <w:bottom w:val="nil"/>
              <w:right w:val="nil"/>
            </w:tcBorders>
            <w:shd w:val="clear" w:color="auto" w:fill="auto"/>
            <w:noWrap/>
            <w:vAlign w:val="center"/>
            <w:hideMark/>
          </w:tcPr>
          <w:p w14:paraId="62BC3B43"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rs34882080</w:t>
            </w:r>
          </w:p>
          <w:p w14:paraId="6A3A5DD1" w14:textId="77777777" w:rsidR="008D6DF4" w:rsidRPr="008E6F4E" w:rsidRDefault="007C1EBA" w:rsidP="0072469E">
            <w:pPr>
              <w:spacing w:before="60" w:after="60" w:line="240" w:lineRule="auto"/>
              <w:rPr>
                <w:rFonts w:ascii="Arial" w:eastAsia="Times New Roman" w:hAnsi="Arial" w:cs="Arial"/>
                <w:color w:val="000000"/>
                <w:sz w:val="20"/>
                <w:szCs w:val="20"/>
                <w:vertAlign w:val="superscript"/>
                <w:lang w:val="en-US"/>
              </w:rPr>
            </w:pPr>
            <w:r w:rsidRPr="008E6F4E">
              <w:rPr>
                <w:rFonts w:ascii="Arial" w:eastAsia="Times New Roman" w:hAnsi="Arial" w:cs="Arial"/>
                <w:color w:val="000000"/>
                <w:sz w:val="20"/>
                <w:szCs w:val="20"/>
                <w:vertAlign w:val="superscript"/>
                <w:lang w:val="en-US"/>
              </w:rPr>
              <w:t>(b)</w:t>
            </w:r>
          </w:p>
        </w:tc>
        <w:tc>
          <w:tcPr>
            <w:tcW w:w="849" w:type="dxa"/>
            <w:tcBorders>
              <w:top w:val="single" w:sz="4" w:space="0" w:color="auto"/>
              <w:left w:val="nil"/>
              <w:bottom w:val="nil"/>
              <w:right w:val="nil"/>
            </w:tcBorders>
            <w:shd w:val="clear" w:color="auto" w:fill="auto"/>
            <w:noWrap/>
            <w:vAlign w:val="center"/>
            <w:hideMark/>
          </w:tcPr>
          <w:p w14:paraId="5C2E0B04"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 Rapid3</w:t>
            </w:r>
          </w:p>
        </w:tc>
        <w:tc>
          <w:tcPr>
            <w:tcW w:w="993" w:type="dxa"/>
            <w:tcBorders>
              <w:top w:val="single" w:sz="4" w:space="0" w:color="auto"/>
              <w:left w:val="nil"/>
              <w:bottom w:val="nil"/>
              <w:right w:val="nil"/>
            </w:tcBorders>
            <w:shd w:val="clear" w:color="auto" w:fill="auto"/>
            <w:noWrap/>
            <w:vAlign w:val="center"/>
            <w:hideMark/>
          </w:tcPr>
          <w:p w14:paraId="6D698E76"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7" w:type="dxa"/>
            <w:gridSpan w:val="2"/>
            <w:tcBorders>
              <w:top w:val="single" w:sz="4" w:space="0" w:color="auto"/>
              <w:left w:val="nil"/>
              <w:bottom w:val="nil"/>
              <w:right w:val="nil"/>
            </w:tcBorders>
            <w:shd w:val="clear" w:color="auto" w:fill="auto"/>
            <w:noWrap/>
            <w:vAlign w:val="center"/>
            <w:hideMark/>
          </w:tcPr>
          <w:p w14:paraId="058B484C"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single" w:sz="4" w:space="0" w:color="auto"/>
              <w:left w:val="nil"/>
              <w:bottom w:val="nil"/>
              <w:right w:val="nil"/>
            </w:tcBorders>
            <w:shd w:val="clear" w:color="auto" w:fill="auto"/>
            <w:noWrap/>
            <w:vAlign w:val="center"/>
            <w:hideMark/>
          </w:tcPr>
          <w:p w14:paraId="4B612FCD"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1.102</w:t>
            </w:r>
          </w:p>
        </w:tc>
        <w:tc>
          <w:tcPr>
            <w:tcW w:w="693" w:type="dxa"/>
            <w:tcBorders>
              <w:top w:val="single" w:sz="4" w:space="0" w:color="auto"/>
              <w:left w:val="nil"/>
              <w:bottom w:val="nil"/>
              <w:right w:val="nil"/>
            </w:tcBorders>
            <w:shd w:val="clear" w:color="auto" w:fill="auto"/>
            <w:noWrap/>
            <w:vAlign w:val="center"/>
            <w:hideMark/>
          </w:tcPr>
          <w:p w14:paraId="6A739B0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0.0121</w:t>
            </w:r>
          </w:p>
        </w:tc>
        <w:tc>
          <w:tcPr>
            <w:tcW w:w="1026" w:type="dxa"/>
            <w:tcBorders>
              <w:top w:val="single" w:sz="4" w:space="0" w:color="auto"/>
              <w:left w:val="nil"/>
              <w:bottom w:val="nil"/>
              <w:right w:val="nil"/>
            </w:tcBorders>
            <w:shd w:val="clear" w:color="auto" w:fill="auto"/>
            <w:noWrap/>
            <w:vAlign w:val="center"/>
            <w:hideMark/>
          </w:tcPr>
          <w:p w14:paraId="700FF173"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1.04x10</w:t>
            </w:r>
            <w:r>
              <w:rPr>
                <w:rFonts w:ascii="Arial" w:eastAsia="Times New Roman" w:hAnsi="Arial" w:cs="Arial"/>
                <w:color w:val="000000"/>
                <w:sz w:val="20"/>
                <w:szCs w:val="20"/>
                <w:vertAlign w:val="superscript"/>
                <w:lang w:val="en-US"/>
              </w:rPr>
              <w:t>-15</w:t>
            </w:r>
          </w:p>
        </w:tc>
        <w:tc>
          <w:tcPr>
            <w:tcW w:w="722" w:type="dxa"/>
            <w:tcBorders>
              <w:top w:val="single" w:sz="4" w:space="0" w:color="auto"/>
              <w:left w:val="nil"/>
              <w:bottom w:val="nil"/>
              <w:right w:val="nil"/>
            </w:tcBorders>
            <w:shd w:val="clear" w:color="auto" w:fill="auto"/>
            <w:noWrap/>
            <w:vAlign w:val="center"/>
            <w:hideMark/>
          </w:tcPr>
          <w:p w14:paraId="2EAEBDA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31,083</w:t>
            </w:r>
          </w:p>
        </w:tc>
        <w:tc>
          <w:tcPr>
            <w:tcW w:w="850" w:type="dxa"/>
            <w:tcBorders>
              <w:top w:val="single" w:sz="4" w:space="0" w:color="auto"/>
              <w:left w:val="nil"/>
              <w:bottom w:val="nil"/>
              <w:right w:val="nil"/>
            </w:tcBorders>
            <w:shd w:val="clear" w:color="auto" w:fill="auto"/>
            <w:noWrap/>
            <w:vAlign w:val="center"/>
            <w:hideMark/>
          </w:tcPr>
          <w:p w14:paraId="00AF0A63"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102,445</w:t>
            </w:r>
          </w:p>
        </w:tc>
        <w:tc>
          <w:tcPr>
            <w:tcW w:w="427" w:type="dxa"/>
            <w:tcBorders>
              <w:top w:val="single" w:sz="4" w:space="0" w:color="auto"/>
              <w:left w:val="nil"/>
              <w:bottom w:val="nil"/>
              <w:right w:val="nil"/>
            </w:tcBorders>
            <w:shd w:val="clear" w:color="auto" w:fill="auto"/>
            <w:noWrap/>
            <w:vAlign w:val="center"/>
            <w:hideMark/>
          </w:tcPr>
          <w:p w14:paraId="562E3375"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w:t>
            </w:r>
          </w:p>
        </w:tc>
        <w:tc>
          <w:tcPr>
            <w:tcW w:w="76" w:type="dxa"/>
            <w:tcBorders>
              <w:top w:val="single" w:sz="4" w:space="0" w:color="auto"/>
              <w:left w:val="nil"/>
              <w:bottom w:val="nil"/>
              <w:right w:val="nil"/>
            </w:tcBorders>
            <w:shd w:val="clear" w:color="auto" w:fill="auto"/>
            <w:noWrap/>
            <w:vAlign w:val="center"/>
            <w:hideMark/>
          </w:tcPr>
          <w:p w14:paraId="4578F1E3"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single" w:sz="4" w:space="0" w:color="auto"/>
              <w:left w:val="nil"/>
              <w:bottom w:val="nil"/>
              <w:right w:val="nil"/>
            </w:tcBorders>
            <w:shd w:val="clear" w:color="auto" w:fill="auto"/>
            <w:noWrap/>
            <w:vAlign w:val="center"/>
            <w:hideMark/>
          </w:tcPr>
          <w:p w14:paraId="4BE4635C"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1.22</w:t>
            </w:r>
          </w:p>
        </w:tc>
        <w:tc>
          <w:tcPr>
            <w:tcW w:w="693" w:type="dxa"/>
            <w:tcBorders>
              <w:top w:val="single" w:sz="4" w:space="0" w:color="auto"/>
              <w:left w:val="nil"/>
              <w:bottom w:val="nil"/>
              <w:right w:val="nil"/>
            </w:tcBorders>
            <w:shd w:val="clear" w:color="auto" w:fill="auto"/>
            <w:noWrap/>
            <w:vAlign w:val="center"/>
            <w:hideMark/>
          </w:tcPr>
          <w:p w14:paraId="13C4AEB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0.0170</w:t>
            </w:r>
          </w:p>
        </w:tc>
        <w:tc>
          <w:tcPr>
            <w:tcW w:w="952" w:type="dxa"/>
            <w:tcBorders>
              <w:top w:val="single" w:sz="4" w:space="0" w:color="auto"/>
              <w:left w:val="nil"/>
              <w:bottom w:val="nil"/>
              <w:right w:val="nil"/>
            </w:tcBorders>
            <w:shd w:val="clear" w:color="auto" w:fill="auto"/>
            <w:noWrap/>
            <w:vAlign w:val="center"/>
            <w:hideMark/>
          </w:tcPr>
          <w:p w14:paraId="7B6F8AB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2.02x10</w:t>
            </w:r>
            <w:r>
              <w:rPr>
                <w:rFonts w:ascii="Arial" w:eastAsia="Times New Roman" w:hAnsi="Arial" w:cs="Arial"/>
                <w:color w:val="000000"/>
                <w:sz w:val="20"/>
                <w:szCs w:val="20"/>
                <w:vertAlign w:val="superscript"/>
                <w:lang w:val="en-US"/>
              </w:rPr>
              <w:t>-32</w:t>
            </w:r>
          </w:p>
        </w:tc>
        <w:tc>
          <w:tcPr>
            <w:tcW w:w="709" w:type="dxa"/>
            <w:tcBorders>
              <w:top w:val="single" w:sz="4" w:space="0" w:color="auto"/>
              <w:left w:val="nil"/>
              <w:bottom w:val="nil"/>
              <w:right w:val="nil"/>
            </w:tcBorders>
            <w:shd w:val="clear" w:color="auto" w:fill="auto"/>
            <w:noWrap/>
            <w:vAlign w:val="center"/>
            <w:hideMark/>
          </w:tcPr>
          <w:p w14:paraId="01290EA2"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19,392</w:t>
            </w:r>
          </w:p>
        </w:tc>
        <w:tc>
          <w:tcPr>
            <w:tcW w:w="851" w:type="dxa"/>
            <w:tcBorders>
              <w:top w:val="single" w:sz="4" w:space="0" w:color="auto"/>
              <w:left w:val="nil"/>
              <w:bottom w:val="nil"/>
              <w:right w:val="nil"/>
            </w:tcBorders>
            <w:shd w:val="clear" w:color="auto" w:fill="auto"/>
            <w:noWrap/>
            <w:vAlign w:val="center"/>
            <w:hideMark/>
          </w:tcPr>
          <w:p w14:paraId="1F231E6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169,015</w:t>
            </w:r>
          </w:p>
        </w:tc>
        <w:tc>
          <w:tcPr>
            <w:tcW w:w="499" w:type="dxa"/>
            <w:tcBorders>
              <w:top w:val="single" w:sz="4" w:space="0" w:color="auto"/>
              <w:left w:val="nil"/>
              <w:bottom w:val="nil"/>
              <w:right w:val="nil"/>
            </w:tcBorders>
            <w:shd w:val="clear" w:color="auto" w:fill="auto"/>
            <w:noWrap/>
            <w:vAlign w:val="center"/>
            <w:hideMark/>
          </w:tcPr>
          <w:p w14:paraId="21529FE1"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w:t>
            </w:r>
          </w:p>
        </w:tc>
        <w:tc>
          <w:tcPr>
            <w:tcW w:w="78" w:type="dxa"/>
            <w:gridSpan w:val="2"/>
            <w:tcBorders>
              <w:top w:val="single" w:sz="4" w:space="0" w:color="auto"/>
              <w:left w:val="nil"/>
              <w:bottom w:val="nil"/>
              <w:right w:val="nil"/>
            </w:tcBorders>
            <w:shd w:val="clear" w:color="auto" w:fill="auto"/>
            <w:noWrap/>
            <w:vAlign w:val="center"/>
            <w:hideMark/>
          </w:tcPr>
          <w:p w14:paraId="79CC31C5"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single" w:sz="4" w:space="0" w:color="auto"/>
              <w:left w:val="nil"/>
              <w:bottom w:val="nil"/>
              <w:right w:val="nil"/>
            </w:tcBorders>
            <w:shd w:val="clear" w:color="auto" w:fill="auto"/>
            <w:noWrap/>
            <w:vAlign w:val="center"/>
            <w:hideMark/>
          </w:tcPr>
          <w:p w14:paraId="299E4F83"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1.1</w:t>
            </w:r>
          </w:p>
        </w:tc>
        <w:tc>
          <w:tcPr>
            <w:tcW w:w="1804" w:type="dxa"/>
            <w:tcBorders>
              <w:top w:val="single" w:sz="4" w:space="0" w:color="auto"/>
              <w:left w:val="nil"/>
              <w:bottom w:val="nil"/>
              <w:right w:val="nil"/>
            </w:tcBorders>
            <w:shd w:val="clear" w:color="auto" w:fill="auto"/>
            <w:vAlign w:val="center"/>
            <w:hideMark/>
          </w:tcPr>
          <w:p w14:paraId="395D16E7"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rs36060036 (0.95)</w:t>
            </w:r>
            <w:r>
              <w:rPr>
                <w:rFonts w:ascii="Arial" w:eastAsia="Times New Roman" w:hAnsi="Arial" w:cs="Arial"/>
                <w:color w:val="000000"/>
                <w:sz w:val="20"/>
                <w:szCs w:val="20"/>
                <w:lang w:val="en-US"/>
              </w:rPr>
              <w:br/>
              <w:t>rs12922822 (0.99)</w:t>
            </w:r>
          </w:p>
        </w:tc>
      </w:tr>
      <w:tr w:rsidR="008D6DF4" w14:paraId="30546A59" w14:textId="77777777" w:rsidTr="00362DCE">
        <w:tc>
          <w:tcPr>
            <w:tcW w:w="1259" w:type="dxa"/>
            <w:tcBorders>
              <w:top w:val="nil"/>
              <w:left w:val="nil"/>
              <w:bottom w:val="nil"/>
              <w:right w:val="nil"/>
            </w:tcBorders>
            <w:shd w:val="clear" w:color="auto" w:fill="D9D9D9" w:themeFill="background1" w:themeFillShade="D9"/>
            <w:noWrap/>
            <w:vAlign w:val="center"/>
            <w:hideMark/>
          </w:tcPr>
          <w:p w14:paraId="32F95593"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rs77924615</w:t>
            </w:r>
          </w:p>
        </w:tc>
        <w:tc>
          <w:tcPr>
            <w:tcW w:w="849" w:type="dxa"/>
            <w:tcBorders>
              <w:top w:val="nil"/>
              <w:left w:val="nil"/>
              <w:bottom w:val="nil"/>
              <w:right w:val="nil"/>
            </w:tcBorders>
            <w:shd w:val="clear" w:color="auto" w:fill="D9D9D9" w:themeFill="background1" w:themeFillShade="D9"/>
            <w:noWrap/>
            <w:vAlign w:val="center"/>
            <w:hideMark/>
          </w:tcPr>
          <w:p w14:paraId="2254B415" w14:textId="234221A5" w:rsidR="008D6DF4" w:rsidRDefault="007C1EBA" w:rsidP="00DC566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CKDi25;Rapid3</w:t>
            </w:r>
          </w:p>
        </w:tc>
        <w:tc>
          <w:tcPr>
            <w:tcW w:w="993" w:type="dxa"/>
            <w:tcBorders>
              <w:top w:val="nil"/>
              <w:left w:val="nil"/>
              <w:bottom w:val="nil"/>
              <w:right w:val="nil"/>
            </w:tcBorders>
            <w:shd w:val="clear" w:color="auto" w:fill="D9D9D9" w:themeFill="background1" w:themeFillShade="D9"/>
            <w:noWrap/>
            <w:vAlign w:val="center"/>
            <w:hideMark/>
          </w:tcPr>
          <w:p w14:paraId="268D4EA4"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7" w:type="dxa"/>
            <w:gridSpan w:val="2"/>
            <w:tcBorders>
              <w:top w:val="nil"/>
              <w:left w:val="nil"/>
              <w:bottom w:val="nil"/>
              <w:right w:val="nil"/>
            </w:tcBorders>
            <w:shd w:val="clear" w:color="auto" w:fill="D9D9D9" w:themeFill="background1" w:themeFillShade="D9"/>
            <w:noWrap/>
            <w:vAlign w:val="center"/>
            <w:hideMark/>
          </w:tcPr>
          <w:p w14:paraId="160EA839"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nil"/>
              <w:left w:val="nil"/>
              <w:bottom w:val="nil"/>
              <w:right w:val="nil"/>
            </w:tcBorders>
            <w:shd w:val="clear" w:color="auto" w:fill="D9D9D9" w:themeFill="background1" w:themeFillShade="D9"/>
            <w:noWrap/>
            <w:vAlign w:val="center"/>
            <w:hideMark/>
          </w:tcPr>
          <w:p w14:paraId="4B58407D"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1.083</w:t>
            </w:r>
          </w:p>
        </w:tc>
        <w:tc>
          <w:tcPr>
            <w:tcW w:w="693" w:type="dxa"/>
            <w:tcBorders>
              <w:top w:val="nil"/>
              <w:left w:val="nil"/>
              <w:bottom w:val="nil"/>
              <w:right w:val="nil"/>
            </w:tcBorders>
            <w:shd w:val="clear" w:color="auto" w:fill="D9D9D9" w:themeFill="background1" w:themeFillShade="D9"/>
            <w:noWrap/>
            <w:vAlign w:val="center"/>
            <w:hideMark/>
          </w:tcPr>
          <w:p w14:paraId="13AED49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0.0128</w:t>
            </w:r>
          </w:p>
        </w:tc>
        <w:tc>
          <w:tcPr>
            <w:tcW w:w="1026" w:type="dxa"/>
            <w:tcBorders>
              <w:top w:val="nil"/>
              <w:left w:val="nil"/>
              <w:bottom w:val="nil"/>
              <w:right w:val="nil"/>
            </w:tcBorders>
            <w:shd w:val="clear" w:color="auto" w:fill="D9D9D9" w:themeFill="background1" w:themeFillShade="D9"/>
            <w:noWrap/>
            <w:vAlign w:val="center"/>
            <w:hideMark/>
          </w:tcPr>
          <w:p w14:paraId="351DEB16"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6.59x10</w:t>
            </w:r>
            <w:r>
              <w:rPr>
                <w:rFonts w:ascii="Arial" w:eastAsia="Times New Roman" w:hAnsi="Arial" w:cs="Arial"/>
                <w:color w:val="000000"/>
                <w:sz w:val="20"/>
                <w:szCs w:val="20"/>
                <w:vertAlign w:val="superscript"/>
                <w:lang w:val="en-US"/>
              </w:rPr>
              <w:t>-10</w:t>
            </w:r>
          </w:p>
        </w:tc>
        <w:tc>
          <w:tcPr>
            <w:tcW w:w="722" w:type="dxa"/>
            <w:tcBorders>
              <w:top w:val="nil"/>
              <w:left w:val="nil"/>
              <w:bottom w:val="nil"/>
              <w:right w:val="nil"/>
            </w:tcBorders>
            <w:shd w:val="clear" w:color="auto" w:fill="D9D9D9" w:themeFill="background1" w:themeFillShade="D9"/>
            <w:noWrap/>
            <w:vAlign w:val="center"/>
            <w:hideMark/>
          </w:tcPr>
          <w:p w14:paraId="57D0831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25,100</w:t>
            </w:r>
          </w:p>
        </w:tc>
        <w:tc>
          <w:tcPr>
            <w:tcW w:w="850" w:type="dxa"/>
            <w:tcBorders>
              <w:top w:val="nil"/>
              <w:left w:val="nil"/>
              <w:bottom w:val="nil"/>
              <w:right w:val="nil"/>
            </w:tcBorders>
            <w:shd w:val="clear" w:color="auto" w:fill="D9D9D9" w:themeFill="background1" w:themeFillShade="D9"/>
            <w:noWrap/>
            <w:vAlign w:val="center"/>
            <w:hideMark/>
          </w:tcPr>
          <w:p w14:paraId="75429406"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89,509</w:t>
            </w:r>
          </w:p>
        </w:tc>
        <w:tc>
          <w:tcPr>
            <w:tcW w:w="427" w:type="dxa"/>
            <w:tcBorders>
              <w:top w:val="nil"/>
              <w:left w:val="nil"/>
              <w:bottom w:val="nil"/>
              <w:right w:val="nil"/>
            </w:tcBorders>
            <w:shd w:val="clear" w:color="auto" w:fill="D9D9D9" w:themeFill="background1" w:themeFillShade="D9"/>
            <w:noWrap/>
            <w:vAlign w:val="center"/>
            <w:hideMark/>
          </w:tcPr>
          <w:p w14:paraId="163595A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w:t>
            </w:r>
          </w:p>
        </w:tc>
        <w:tc>
          <w:tcPr>
            <w:tcW w:w="76" w:type="dxa"/>
            <w:tcBorders>
              <w:top w:val="nil"/>
              <w:left w:val="nil"/>
              <w:bottom w:val="nil"/>
              <w:right w:val="nil"/>
            </w:tcBorders>
            <w:shd w:val="clear" w:color="auto" w:fill="D9D9D9" w:themeFill="background1" w:themeFillShade="D9"/>
            <w:noWrap/>
            <w:vAlign w:val="center"/>
            <w:hideMark/>
          </w:tcPr>
          <w:p w14:paraId="20BA0740"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nil"/>
              <w:left w:val="nil"/>
              <w:bottom w:val="nil"/>
              <w:right w:val="nil"/>
            </w:tcBorders>
            <w:shd w:val="clear" w:color="auto" w:fill="D9D9D9" w:themeFill="background1" w:themeFillShade="D9"/>
            <w:noWrap/>
            <w:vAlign w:val="center"/>
            <w:hideMark/>
          </w:tcPr>
          <w:p w14:paraId="1BB4D9D9"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1.26</w:t>
            </w:r>
          </w:p>
        </w:tc>
        <w:tc>
          <w:tcPr>
            <w:tcW w:w="693" w:type="dxa"/>
            <w:tcBorders>
              <w:top w:val="nil"/>
              <w:left w:val="nil"/>
              <w:bottom w:val="nil"/>
              <w:right w:val="nil"/>
            </w:tcBorders>
            <w:shd w:val="clear" w:color="auto" w:fill="D9D9D9" w:themeFill="background1" w:themeFillShade="D9"/>
            <w:noWrap/>
            <w:vAlign w:val="center"/>
            <w:hideMark/>
          </w:tcPr>
          <w:p w14:paraId="04162B22"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0.0207</w:t>
            </w:r>
          </w:p>
        </w:tc>
        <w:tc>
          <w:tcPr>
            <w:tcW w:w="952" w:type="dxa"/>
            <w:tcBorders>
              <w:top w:val="nil"/>
              <w:left w:val="nil"/>
              <w:bottom w:val="nil"/>
              <w:right w:val="nil"/>
            </w:tcBorders>
            <w:shd w:val="clear" w:color="auto" w:fill="D9D9D9" w:themeFill="background1" w:themeFillShade="D9"/>
            <w:noWrap/>
            <w:vAlign w:val="center"/>
            <w:hideMark/>
          </w:tcPr>
          <w:p w14:paraId="61816DE6"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6.68x10</w:t>
            </w:r>
            <w:r>
              <w:rPr>
                <w:rFonts w:ascii="Arial" w:eastAsia="Times New Roman" w:hAnsi="Arial" w:cs="Arial"/>
                <w:color w:val="000000"/>
                <w:sz w:val="20"/>
                <w:szCs w:val="20"/>
                <w:vertAlign w:val="superscript"/>
                <w:lang w:val="en-US"/>
              </w:rPr>
              <w:t>-29</w:t>
            </w:r>
          </w:p>
        </w:tc>
        <w:tc>
          <w:tcPr>
            <w:tcW w:w="709" w:type="dxa"/>
            <w:tcBorders>
              <w:top w:val="nil"/>
              <w:left w:val="nil"/>
              <w:bottom w:val="nil"/>
              <w:right w:val="nil"/>
            </w:tcBorders>
            <w:shd w:val="clear" w:color="auto" w:fill="D9D9D9" w:themeFill="background1" w:themeFillShade="D9"/>
            <w:noWrap/>
            <w:vAlign w:val="center"/>
            <w:hideMark/>
          </w:tcPr>
          <w:p w14:paraId="3D61F363"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12,767</w:t>
            </w:r>
          </w:p>
        </w:tc>
        <w:tc>
          <w:tcPr>
            <w:tcW w:w="851" w:type="dxa"/>
            <w:tcBorders>
              <w:top w:val="nil"/>
              <w:left w:val="nil"/>
              <w:bottom w:val="nil"/>
              <w:right w:val="nil"/>
            </w:tcBorders>
            <w:shd w:val="clear" w:color="auto" w:fill="D9D9D9" w:themeFill="background1" w:themeFillShade="D9"/>
            <w:noWrap/>
            <w:vAlign w:val="center"/>
            <w:hideMark/>
          </w:tcPr>
          <w:p w14:paraId="71C2E6D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142,607</w:t>
            </w:r>
          </w:p>
        </w:tc>
        <w:tc>
          <w:tcPr>
            <w:tcW w:w="499" w:type="dxa"/>
            <w:tcBorders>
              <w:top w:val="nil"/>
              <w:left w:val="nil"/>
              <w:bottom w:val="nil"/>
              <w:right w:val="nil"/>
            </w:tcBorders>
            <w:shd w:val="clear" w:color="auto" w:fill="D9D9D9" w:themeFill="background1" w:themeFillShade="D9"/>
            <w:noWrap/>
            <w:vAlign w:val="center"/>
            <w:hideMark/>
          </w:tcPr>
          <w:p w14:paraId="5D1ECA0E"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w:t>
            </w:r>
          </w:p>
        </w:tc>
        <w:tc>
          <w:tcPr>
            <w:tcW w:w="78" w:type="dxa"/>
            <w:gridSpan w:val="2"/>
            <w:tcBorders>
              <w:top w:val="nil"/>
              <w:left w:val="nil"/>
              <w:bottom w:val="nil"/>
              <w:right w:val="nil"/>
            </w:tcBorders>
            <w:shd w:val="clear" w:color="auto" w:fill="D9D9D9" w:themeFill="background1" w:themeFillShade="D9"/>
            <w:noWrap/>
            <w:vAlign w:val="center"/>
            <w:hideMark/>
          </w:tcPr>
          <w:p w14:paraId="013A4FFC"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nil"/>
              <w:left w:val="nil"/>
              <w:bottom w:val="nil"/>
              <w:right w:val="nil"/>
            </w:tcBorders>
            <w:shd w:val="clear" w:color="auto" w:fill="D9D9D9" w:themeFill="background1" w:themeFillShade="D9"/>
            <w:noWrap/>
            <w:vAlign w:val="center"/>
            <w:hideMark/>
          </w:tcPr>
          <w:p w14:paraId="351B224E"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1.2</w:t>
            </w:r>
          </w:p>
        </w:tc>
        <w:tc>
          <w:tcPr>
            <w:tcW w:w="1804" w:type="dxa"/>
            <w:tcBorders>
              <w:top w:val="nil"/>
              <w:left w:val="nil"/>
              <w:bottom w:val="nil"/>
              <w:right w:val="nil"/>
            </w:tcBorders>
            <w:shd w:val="clear" w:color="auto" w:fill="D9D9D9" w:themeFill="background1" w:themeFillShade="D9"/>
            <w:vAlign w:val="center"/>
            <w:hideMark/>
          </w:tcPr>
          <w:p w14:paraId="6CFFE72C"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rs36060036 (0.39)</w:t>
            </w:r>
            <w:r>
              <w:rPr>
                <w:rFonts w:ascii="Arial" w:eastAsia="Times New Roman" w:hAnsi="Arial" w:cs="Arial"/>
                <w:color w:val="000000"/>
                <w:sz w:val="20"/>
                <w:szCs w:val="20"/>
                <w:lang w:val="en-US"/>
              </w:rPr>
              <w:br/>
              <w:t>rs12922822 (0.36)</w:t>
            </w:r>
          </w:p>
        </w:tc>
      </w:tr>
      <w:tr w:rsidR="008D6DF4" w14:paraId="1026BE8E" w14:textId="77777777" w:rsidTr="00362DCE">
        <w:tc>
          <w:tcPr>
            <w:tcW w:w="1259" w:type="dxa"/>
            <w:tcBorders>
              <w:top w:val="nil"/>
              <w:left w:val="nil"/>
              <w:bottom w:val="nil"/>
              <w:right w:val="nil"/>
            </w:tcBorders>
            <w:shd w:val="clear" w:color="auto" w:fill="auto"/>
            <w:noWrap/>
            <w:vAlign w:val="bottom"/>
            <w:hideMark/>
          </w:tcPr>
          <w:p w14:paraId="3180B505"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rs690428</w:t>
            </w:r>
          </w:p>
        </w:tc>
        <w:tc>
          <w:tcPr>
            <w:tcW w:w="849" w:type="dxa"/>
            <w:tcBorders>
              <w:top w:val="nil"/>
              <w:left w:val="nil"/>
              <w:bottom w:val="nil"/>
              <w:right w:val="nil"/>
            </w:tcBorders>
            <w:shd w:val="clear" w:color="auto" w:fill="auto"/>
            <w:noWrap/>
            <w:vAlign w:val="center"/>
            <w:hideMark/>
          </w:tcPr>
          <w:p w14:paraId="31AD4EBE"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993" w:type="dxa"/>
            <w:tcBorders>
              <w:top w:val="nil"/>
              <w:left w:val="nil"/>
              <w:bottom w:val="nil"/>
              <w:right w:val="nil"/>
            </w:tcBorders>
            <w:shd w:val="clear" w:color="auto" w:fill="auto"/>
            <w:noWrap/>
            <w:vAlign w:val="center"/>
            <w:hideMark/>
          </w:tcPr>
          <w:p w14:paraId="60B2A544"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[WDR72]</w:t>
            </w:r>
          </w:p>
        </w:tc>
        <w:tc>
          <w:tcPr>
            <w:tcW w:w="117" w:type="dxa"/>
            <w:gridSpan w:val="2"/>
            <w:tcBorders>
              <w:top w:val="nil"/>
              <w:left w:val="nil"/>
              <w:bottom w:val="nil"/>
              <w:right w:val="nil"/>
            </w:tcBorders>
            <w:shd w:val="clear" w:color="auto" w:fill="auto"/>
            <w:noWrap/>
            <w:vAlign w:val="bottom"/>
            <w:hideMark/>
          </w:tcPr>
          <w:p w14:paraId="407AFE2A"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nil"/>
              <w:left w:val="nil"/>
              <w:bottom w:val="nil"/>
              <w:right w:val="nil"/>
            </w:tcBorders>
            <w:shd w:val="clear" w:color="auto" w:fill="auto"/>
            <w:noWrap/>
            <w:vAlign w:val="center"/>
            <w:hideMark/>
          </w:tcPr>
          <w:p w14:paraId="497570A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1.031</w:t>
            </w:r>
          </w:p>
        </w:tc>
        <w:tc>
          <w:tcPr>
            <w:tcW w:w="693" w:type="dxa"/>
            <w:tcBorders>
              <w:top w:val="nil"/>
              <w:left w:val="nil"/>
              <w:bottom w:val="nil"/>
              <w:right w:val="nil"/>
            </w:tcBorders>
            <w:shd w:val="clear" w:color="auto" w:fill="auto"/>
            <w:noWrap/>
            <w:vAlign w:val="center"/>
            <w:hideMark/>
          </w:tcPr>
          <w:p w14:paraId="396F262F"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0.0113</w:t>
            </w:r>
          </w:p>
        </w:tc>
        <w:tc>
          <w:tcPr>
            <w:tcW w:w="1026" w:type="dxa"/>
            <w:tcBorders>
              <w:top w:val="nil"/>
              <w:left w:val="nil"/>
              <w:bottom w:val="nil"/>
              <w:right w:val="nil"/>
            </w:tcBorders>
            <w:shd w:val="clear" w:color="auto" w:fill="auto"/>
            <w:noWrap/>
            <w:vAlign w:val="center"/>
            <w:hideMark/>
          </w:tcPr>
          <w:p w14:paraId="7818B46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6.47x10</w:t>
            </w:r>
            <w:r>
              <w:rPr>
                <w:rFonts w:ascii="Arial" w:eastAsia="Times New Roman" w:hAnsi="Arial" w:cs="Arial"/>
                <w:color w:val="000000"/>
                <w:sz w:val="20"/>
                <w:szCs w:val="20"/>
                <w:vertAlign w:val="superscript"/>
                <w:lang w:val="en-US"/>
              </w:rPr>
              <w:t>-3</w:t>
            </w:r>
          </w:p>
        </w:tc>
        <w:tc>
          <w:tcPr>
            <w:tcW w:w="722" w:type="dxa"/>
            <w:tcBorders>
              <w:top w:val="nil"/>
              <w:left w:val="nil"/>
              <w:bottom w:val="nil"/>
              <w:right w:val="nil"/>
            </w:tcBorders>
            <w:shd w:val="clear" w:color="auto" w:fill="auto"/>
            <w:noWrap/>
            <w:vAlign w:val="center"/>
            <w:hideMark/>
          </w:tcPr>
          <w:p w14:paraId="66CE0A1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25,100</w:t>
            </w:r>
          </w:p>
        </w:tc>
        <w:tc>
          <w:tcPr>
            <w:tcW w:w="850" w:type="dxa"/>
            <w:tcBorders>
              <w:top w:val="nil"/>
              <w:left w:val="nil"/>
              <w:bottom w:val="nil"/>
              <w:right w:val="nil"/>
            </w:tcBorders>
            <w:shd w:val="clear" w:color="auto" w:fill="auto"/>
            <w:noWrap/>
            <w:vAlign w:val="center"/>
            <w:hideMark/>
          </w:tcPr>
          <w:p w14:paraId="09660E9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89,509</w:t>
            </w:r>
          </w:p>
        </w:tc>
        <w:tc>
          <w:tcPr>
            <w:tcW w:w="427" w:type="dxa"/>
            <w:tcBorders>
              <w:top w:val="nil"/>
              <w:left w:val="nil"/>
              <w:bottom w:val="nil"/>
              <w:right w:val="nil"/>
            </w:tcBorders>
            <w:shd w:val="clear" w:color="auto" w:fill="auto"/>
            <w:noWrap/>
            <w:vAlign w:val="center"/>
            <w:hideMark/>
          </w:tcPr>
          <w:p w14:paraId="2B498DF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w:t>
            </w:r>
          </w:p>
        </w:tc>
        <w:tc>
          <w:tcPr>
            <w:tcW w:w="76" w:type="dxa"/>
            <w:tcBorders>
              <w:top w:val="nil"/>
              <w:left w:val="nil"/>
              <w:bottom w:val="nil"/>
              <w:right w:val="nil"/>
            </w:tcBorders>
            <w:shd w:val="clear" w:color="auto" w:fill="auto"/>
            <w:noWrap/>
            <w:vAlign w:val="bottom"/>
            <w:hideMark/>
          </w:tcPr>
          <w:p w14:paraId="3FD82CE6"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nil"/>
              <w:left w:val="nil"/>
              <w:bottom w:val="nil"/>
              <w:right w:val="nil"/>
            </w:tcBorders>
            <w:shd w:val="clear" w:color="auto" w:fill="auto"/>
            <w:noWrap/>
            <w:vAlign w:val="bottom"/>
            <w:hideMark/>
          </w:tcPr>
          <w:p w14:paraId="633F4A2C"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1.09</w:t>
            </w:r>
          </w:p>
        </w:tc>
        <w:tc>
          <w:tcPr>
            <w:tcW w:w="693" w:type="dxa"/>
            <w:tcBorders>
              <w:top w:val="nil"/>
              <w:left w:val="nil"/>
              <w:bottom w:val="nil"/>
              <w:right w:val="nil"/>
            </w:tcBorders>
            <w:shd w:val="clear" w:color="auto" w:fill="auto"/>
            <w:noWrap/>
            <w:vAlign w:val="bottom"/>
            <w:hideMark/>
          </w:tcPr>
          <w:p w14:paraId="0E0D52ED"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0.0179</w:t>
            </w:r>
          </w:p>
        </w:tc>
        <w:tc>
          <w:tcPr>
            <w:tcW w:w="952" w:type="dxa"/>
            <w:tcBorders>
              <w:top w:val="nil"/>
              <w:left w:val="nil"/>
              <w:bottom w:val="nil"/>
              <w:right w:val="nil"/>
            </w:tcBorders>
            <w:shd w:val="clear" w:color="auto" w:fill="auto"/>
            <w:noWrap/>
            <w:vAlign w:val="bottom"/>
            <w:hideMark/>
          </w:tcPr>
          <w:p w14:paraId="303318E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4.16x10</w:t>
            </w:r>
            <w:r>
              <w:rPr>
                <w:rFonts w:ascii="Arial" w:eastAsia="Times New Roman" w:hAnsi="Arial" w:cs="Arial"/>
                <w:color w:val="000000"/>
                <w:sz w:val="20"/>
                <w:szCs w:val="20"/>
                <w:vertAlign w:val="superscript"/>
                <w:lang w:val="en-US"/>
              </w:rPr>
              <w:t>-6</w:t>
            </w:r>
          </w:p>
        </w:tc>
        <w:tc>
          <w:tcPr>
            <w:tcW w:w="709" w:type="dxa"/>
            <w:tcBorders>
              <w:top w:val="nil"/>
              <w:left w:val="nil"/>
              <w:bottom w:val="nil"/>
              <w:right w:val="nil"/>
            </w:tcBorders>
            <w:shd w:val="clear" w:color="auto" w:fill="auto"/>
            <w:noWrap/>
            <w:vAlign w:val="bottom"/>
            <w:hideMark/>
          </w:tcPr>
          <w:p w14:paraId="334E2DDB"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12,767</w:t>
            </w:r>
          </w:p>
        </w:tc>
        <w:tc>
          <w:tcPr>
            <w:tcW w:w="851" w:type="dxa"/>
            <w:tcBorders>
              <w:top w:val="nil"/>
              <w:left w:val="nil"/>
              <w:bottom w:val="nil"/>
              <w:right w:val="nil"/>
            </w:tcBorders>
            <w:shd w:val="clear" w:color="auto" w:fill="auto"/>
            <w:noWrap/>
            <w:vAlign w:val="bottom"/>
            <w:hideMark/>
          </w:tcPr>
          <w:p w14:paraId="5941F44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142,607</w:t>
            </w:r>
          </w:p>
        </w:tc>
        <w:tc>
          <w:tcPr>
            <w:tcW w:w="499" w:type="dxa"/>
            <w:tcBorders>
              <w:top w:val="nil"/>
              <w:left w:val="nil"/>
              <w:bottom w:val="nil"/>
              <w:right w:val="nil"/>
            </w:tcBorders>
            <w:shd w:val="clear" w:color="auto" w:fill="auto"/>
            <w:noWrap/>
            <w:vAlign w:val="center"/>
            <w:hideMark/>
          </w:tcPr>
          <w:p w14:paraId="52458A88"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18</w:t>
            </w:r>
          </w:p>
        </w:tc>
        <w:tc>
          <w:tcPr>
            <w:tcW w:w="78" w:type="dxa"/>
            <w:gridSpan w:val="2"/>
            <w:tcBorders>
              <w:top w:val="nil"/>
              <w:left w:val="nil"/>
              <w:bottom w:val="nil"/>
              <w:right w:val="nil"/>
            </w:tcBorders>
            <w:shd w:val="clear" w:color="auto" w:fill="auto"/>
            <w:noWrap/>
            <w:vAlign w:val="bottom"/>
            <w:hideMark/>
          </w:tcPr>
          <w:p w14:paraId="50E06077"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nil"/>
              <w:left w:val="nil"/>
              <w:bottom w:val="nil"/>
              <w:right w:val="nil"/>
            </w:tcBorders>
            <w:shd w:val="clear" w:color="auto" w:fill="auto"/>
            <w:noWrap/>
            <w:vAlign w:val="center"/>
            <w:hideMark/>
          </w:tcPr>
          <w:p w14:paraId="4AE1A5FF"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c>
          <w:tcPr>
            <w:tcW w:w="1804" w:type="dxa"/>
            <w:tcBorders>
              <w:top w:val="nil"/>
              <w:left w:val="nil"/>
              <w:bottom w:val="nil"/>
              <w:right w:val="nil"/>
            </w:tcBorders>
            <w:shd w:val="clear" w:color="auto" w:fill="auto"/>
            <w:noWrap/>
            <w:vAlign w:val="bottom"/>
            <w:hideMark/>
          </w:tcPr>
          <w:p w14:paraId="4DAA0FA3"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rs77593734 (0.42)</w:t>
            </w:r>
          </w:p>
        </w:tc>
      </w:tr>
      <w:tr w:rsidR="008D6DF4" w14:paraId="317BBD4A" w14:textId="77777777" w:rsidTr="00362DCE">
        <w:tc>
          <w:tcPr>
            <w:tcW w:w="1259" w:type="dxa"/>
            <w:tcBorders>
              <w:top w:val="nil"/>
              <w:left w:val="nil"/>
              <w:bottom w:val="nil"/>
              <w:right w:val="nil"/>
            </w:tcBorders>
            <w:shd w:val="clear" w:color="auto" w:fill="D9D9D9" w:themeFill="background1" w:themeFillShade="D9"/>
            <w:noWrap/>
            <w:vAlign w:val="bottom"/>
            <w:hideMark/>
          </w:tcPr>
          <w:p w14:paraId="3968F500"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rs10254101</w:t>
            </w:r>
          </w:p>
        </w:tc>
        <w:tc>
          <w:tcPr>
            <w:tcW w:w="849" w:type="dxa"/>
            <w:tcBorders>
              <w:top w:val="nil"/>
              <w:left w:val="nil"/>
              <w:bottom w:val="nil"/>
              <w:right w:val="nil"/>
            </w:tcBorders>
            <w:shd w:val="clear" w:color="auto" w:fill="D9D9D9" w:themeFill="background1" w:themeFillShade="D9"/>
            <w:noWrap/>
            <w:vAlign w:val="center"/>
            <w:hideMark/>
          </w:tcPr>
          <w:p w14:paraId="0A8BC94F"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993" w:type="dxa"/>
            <w:tcBorders>
              <w:top w:val="nil"/>
              <w:left w:val="nil"/>
              <w:bottom w:val="nil"/>
              <w:right w:val="nil"/>
            </w:tcBorders>
            <w:shd w:val="clear" w:color="auto" w:fill="D9D9D9" w:themeFill="background1" w:themeFillShade="D9"/>
            <w:noWrap/>
            <w:vAlign w:val="center"/>
            <w:hideMark/>
          </w:tcPr>
          <w:p w14:paraId="2FB69A0A"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117" w:type="dxa"/>
            <w:gridSpan w:val="2"/>
            <w:tcBorders>
              <w:top w:val="nil"/>
              <w:left w:val="nil"/>
              <w:bottom w:val="nil"/>
              <w:right w:val="nil"/>
            </w:tcBorders>
            <w:shd w:val="clear" w:color="auto" w:fill="D9D9D9" w:themeFill="background1" w:themeFillShade="D9"/>
            <w:noWrap/>
            <w:vAlign w:val="bottom"/>
            <w:hideMark/>
          </w:tcPr>
          <w:p w14:paraId="0B405045"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nil"/>
              <w:left w:val="nil"/>
              <w:bottom w:val="nil"/>
              <w:right w:val="nil"/>
            </w:tcBorders>
            <w:shd w:val="clear" w:color="auto" w:fill="D9D9D9" w:themeFill="background1" w:themeFillShade="D9"/>
            <w:noWrap/>
            <w:vAlign w:val="center"/>
            <w:hideMark/>
          </w:tcPr>
          <w:p w14:paraId="3D542A5A"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1.037</w:t>
            </w:r>
          </w:p>
        </w:tc>
        <w:tc>
          <w:tcPr>
            <w:tcW w:w="693" w:type="dxa"/>
            <w:tcBorders>
              <w:top w:val="nil"/>
              <w:left w:val="nil"/>
              <w:bottom w:val="nil"/>
              <w:right w:val="nil"/>
            </w:tcBorders>
            <w:shd w:val="clear" w:color="auto" w:fill="D9D9D9" w:themeFill="background1" w:themeFillShade="D9"/>
            <w:noWrap/>
            <w:vAlign w:val="center"/>
            <w:hideMark/>
          </w:tcPr>
          <w:p w14:paraId="60E99CE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0.0106</w:t>
            </w:r>
          </w:p>
        </w:tc>
        <w:tc>
          <w:tcPr>
            <w:tcW w:w="1026" w:type="dxa"/>
            <w:tcBorders>
              <w:top w:val="nil"/>
              <w:left w:val="nil"/>
              <w:bottom w:val="nil"/>
              <w:right w:val="nil"/>
            </w:tcBorders>
            <w:shd w:val="clear" w:color="auto" w:fill="D9D9D9" w:themeFill="background1" w:themeFillShade="D9"/>
            <w:noWrap/>
            <w:vAlign w:val="center"/>
            <w:hideMark/>
          </w:tcPr>
          <w:p w14:paraId="7D3449F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6.70x10</w:t>
            </w:r>
            <w:r>
              <w:rPr>
                <w:rFonts w:ascii="Arial" w:eastAsia="Times New Roman" w:hAnsi="Arial" w:cs="Arial"/>
                <w:color w:val="000000"/>
                <w:sz w:val="20"/>
                <w:szCs w:val="20"/>
                <w:vertAlign w:val="superscript"/>
                <w:lang w:val="en-US"/>
              </w:rPr>
              <w:t>-4</w:t>
            </w:r>
          </w:p>
        </w:tc>
        <w:tc>
          <w:tcPr>
            <w:tcW w:w="722" w:type="dxa"/>
            <w:tcBorders>
              <w:top w:val="nil"/>
              <w:left w:val="nil"/>
              <w:bottom w:val="nil"/>
              <w:right w:val="nil"/>
            </w:tcBorders>
            <w:shd w:val="clear" w:color="auto" w:fill="D9D9D9" w:themeFill="background1" w:themeFillShade="D9"/>
            <w:noWrap/>
            <w:vAlign w:val="center"/>
            <w:hideMark/>
          </w:tcPr>
          <w:p w14:paraId="5A05731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30,240</w:t>
            </w:r>
          </w:p>
        </w:tc>
        <w:tc>
          <w:tcPr>
            <w:tcW w:w="850" w:type="dxa"/>
            <w:tcBorders>
              <w:top w:val="nil"/>
              <w:left w:val="nil"/>
              <w:bottom w:val="nil"/>
              <w:right w:val="nil"/>
            </w:tcBorders>
            <w:shd w:val="clear" w:color="auto" w:fill="D9D9D9" w:themeFill="background1" w:themeFillShade="D9"/>
            <w:noWrap/>
            <w:vAlign w:val="center"/>
            <w:hideMark/>
          </w:tcPr>
          <w:p w14:paraId="1E1D6A1D"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97,654</w:t>
            </w:r>
          </w:p>
        </w:tc>
        <w:tc>
          <w:tcPr>
            <w:tcW w:w="427" w:type="dxa"/>
            <w:tcBorders>
              <w:top w:val="nil"/>
              <w:left w:val="nil"/>
              <w:bottom w:val="nil"/>
              <w:right w:val="nil"/>
            </w:tcBorders>
            <w:shd w:val="clear" w:color="auto" w:fill="D9D9D9" w:themeFill="background1" w:themeFillShade="D9"/>
            <w:noWrap/>
            <w:vAlign w:val="center"/>
            <w:hideMark/>
          </w:tcPr>
          <w:p w14:paraId="697CA0D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w:t>
            </w:r>
          </w:p>
        </w:tc>
        <w:tc>
          <w:tcPr>
            <w:tcW w:w="76" w:type="dxa"/>
            <w:tcBorders>
              <w:top w:val="nil"/>
              <w:left w:val="nil"/>
              <w:bottom w:val="nil"/>
              <w:right w:val="nil"/>
            </w:tcBorders>
            <w:shd w:val="clear" w:color="auto" w:fill="D9D9D9" w:themeFill="background1" w:themeFillShade="D9"/>
            <w:noWrap/>
            <w:vAlign w:val="bottom"/>
            <w:hideMark/>
          </w:tcPr>
          <w:p w14:paraId="6D325A4C"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nil"/>
              <w:left w:val="nil"/>
              <w:bottom w:val="nil"/>
              <w:right w:val="nil"/>
            </w:tcBorders>
            <w:shd w:val="clear" w:color="auto" w:fill="D9D9D9" w:themeFill="background1" w:themeFillShade="D9"/>
            <w:noWrap/>
            <w:vAlign w:val="bottom"/>
            <w:hideMark/>
          </w:tcPr>
          <w:p w14:paraId="3FBF16C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1.09</w:t>
            </w:r>
          </w:p>
        </w:tc>
        <w:tc>
          <w:tcPr>
            <w:tcW w:w="693" w:type="dxa"/>
            <w:tcBorders>
              <w:top w:val="nil"/>
              <w:left w:val="nil"/>
              <w:bottom w:val="nil"/>
              <w:right w:val="nil"/>
            </w:tcBorders>
            <w:shd w:val="clear" w:color="auto" w:fill="D9D9D9" w:themeFill="background1" w:themeFillShade="D9"/>
            <w:noWrap/>
            <w:vAlign w:val="bottom"/>
            <w:hideMark/>
          </w:tcPr>
          <w:p w14:paraId="20D9FC8E"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0.0144</w:t>
            </w:r>
          </w:p>
        </w:tc>
        <w:tc>
          <w:tcPr>
            <w:tcW w:w="952" w:type="dxa"/>
            <w:tcBorders>
              <w:top w:val="nil"/>
              <w:left w:val="nil"/>
              <w:bottom w:val="nil"/>
              <w:right w:val="nil"/>
            </w:tcBorders>
            <w:shd w:val="clear" w:color="auto" w:fill="D9D9D9" w:themeFill="background1" w:themeFillShade="D9"/>
            <w:noWrap/>
            <w:vAlign w:val="bottom"/>
            <w:hideMark/>
          </w:tcPr>
          <w:p w14:paraId="65BA9DC3"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4.52x10</w:t>
            </w:r>
            <w:r>
              <w:rPr>
                <w:rFonts w:ascii="Arial" w:eastAsia="Times New Roman" w:hAnsi="Arial" w:cs="Arial"/>
                <w:color w:val="000000"/>
                <w:sz w:val="20"/>
                <w:szCs w:val="20"/>
                <w:vertAlign w:val="superscript"/>
                <w:lang w:val="en-US"/>
              </w:rPr>
              <w:t>-9</w:t>
            </w:r>
          </w:p>
        </w:tc>
        <w:tc>
          <w:tcPr>
            <w:tcW w:w="709" w:type="dxa"/>
            <w:tcBorders>
              <w:top w:val="nil"/>
              <w:left w:val="nil"/>
              <w:bottom w:val="nil"/>
              <w:right w:val="nil"/>
            </w:tcBorders>
            <w:shd w:val="clear" w:color="auto" w:fill="D9D9D9" w:themeFill="background1" w:themeFillShade="D9"/>
            <w:noWrap/>
            <w:vAlign w:val="bottom"/>
            <w:hideMark/>
          </w:tcPr>
          <w:p w14:paraId="43433B4C"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19,363</w:t>
            </w:r>
          </w:p>
        </w:tc>
        <w:tc>
          <w:tcPr>
            <w:tcW w:w="851" w:type="dxa"/>
            <w:tcBorders>
              <w:top w:val="nil"/>
              <w:left w:val="nil"/>
              <w:bottom w:val="nil"/>
              <w:right w:val="nil"/>
            </w:tcBorders>
            <w:shd w:val="clear" w:color="auto" w:fill="D9D9D9" w:themeFill="background1" w:themeFillShade="D9"/>
            <w:noWrap/>
            <w:vAlign w:val="bottom"/>
            <w:hideMark/>
          </w:tcPr>
          <w:p w14:paraId="0546BD5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168,899</w:t>
            </w:r>
          </w:p>
        </w:tc>
        <w:tc>
          <w:tcPr>
            <w:tcW w:w="499" w:type="dxa"/>
            <w:tcBorders>
              <w:top w:val="nil"/>
              <w:left w:val="nil"/>
              <w:bottom w:val="nil"/>
              <w:right w:val="nil"/>
            </w:tcBorders>
            <w:shd w:val="clear" w:color="auto" w:fill="D9D9D9" w:themeFill="background1" w:themeFillShade="D9"/>
            <w:noWrap/>
            <w:vAlign w:val="center"/>
            <w:hideMark/>
          </w:tcPr>
          <w:p w14:paraId="05D94C5B"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w:t>
            </w:r>
          </w:p>
        </w:tc>
        <w:tc>
          <w:tcPr>
            <w:tcW w:w="78" w:type="dxa"/>
            <w:gridSpan w:val="2"/>
            <w:tcBorders>
              <w:top w:val="nil"/>
              <w:left w:val="nil"/>
              <w:bottom w:val="nil"/>
              <w:right w:val="nil"/>
            </w:tcBorders>
            <w:shd w:val="clear" w:color="auto" w:fill="D9D9D9" w:themeFill="background1" w:themeFillShade="D9"/>
            <w:noWrap/>
            <w:vAlign w:val="bottom"/>
            <w:hideMark/>
          </w:tcPr>
          <w:p w14:paraId="7C52EB90"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nil"/>
              <w:left w:val="nil"/>
              <w:bottom w:val="nil"/>
              <w:right w:val="nil"/>
            </w:tcBorders>
            <w:shd w:val="clear" w:color="auto" w:fill="D9D9D9" w:themeFill="background1" w:themeFillShade="D9"/>
            <w:noWrap/>
            <w:vAlign w:val="center"/>
            <w:hideMark/>
          </w:tcPr>
          <w:p w14:paraId="1423EF79"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804" w:type="dxa"/>
            <w:tcBorders>
              <w:top w:val="nil"/>
              <w:left w:val="nil"/>
              <w:bottom w:val="nil"/>
              <w:right w:val="nil"/>
            </w:tcBorders>
            <w:shd w:val="clear" w:color="auto" w:fill="D9D9D9" w:themeFill="background1" w:themeFillShade="D9"/>
            <w:vAlign w:val="bottom"/>
            <w:hideMark/>
          </w:tcPr>
          <w:p w14:paraId="41A6A7AF"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rs73158188 (0.84)</w:t>
            </w:r>
          </w:p>
        </w:tc>
      </w:tr>
      <w:tr w:rsidR="008D6DF4" w14:paraId="69E2154A" w14:textId="77777777" w:rsidTr="00362DCE">
        <w:tc>
          <w:tcPr>
            <w:tcW w:w="1259" w:type="dxa"/>
            <w:tcBorders>
              <w:top w:val="nil"/>
              <w:left w:val="nil"/>
              <w:bottom w:val="nil"/>
              <w:right w:val="nil"/>
            </w:tcBorders>
            <w:shd w:val="clear" w:color="auto" w:fill="auto"/>
            <w:noWrap/>
            <w:vAlign w:val="bottom"/>
            <w:hideMark/>
          </w:tcPr>
          <w:p w14:paraId="73199C1E"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rs80282103</w:t>
            </w:r>
          </w:p>
        </w:tc>
        <w:tc>
          <w:tcPr>
            <w:tcW w:w="849" w:type="dxa"/>
            <w:tcBorders>
              <w:top w:val="nil"/>
              <w:left w:val="nil"/>
              <w:bottom w:val="nil"/>
              <w:right w:val="nil"/>
            </w:tcBorders>
            <w:shd w:val="clear" w:color="auto" w:fill="auto"/>
            <w:noWrap/>
            <w:vAlign w:val="center"/>
            <w:hideMark/>
          </w:tcPr>
          <w:p w14:paraId="38871BBE"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993" w:type="dxa"/>
            <w:tcBorders>
              <w:top w:val="nil"/>
              <w:left w:val="nil"/>
              <w:bottom w:val="nil"/>
              <w:right w:val="nil"/>
            </w:tcBorders>
            <w:shd w:val="clear" w:color="auto" w:fill="auto"/>
            <w:noWrap/>
            <w:vAlign w:val="center"/>
            <w:hideMark/>
          </w:tcPr>
          <w:p w14:paraId="324010C8"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[LARP4B]</w:t>
            </w:r>
          </w:p>
        </w:tc>
        <w:tc>
          <w:tcPr>
            <w:tcW w:w="117" w:type="dxa"/>
            <w:gridSpan w:val="2"/>
            <w:tcBorders>
              <w:top w:val="nil"/>
              <w:left w:val="nil"/>
              <w:bottom w:val="nil"/>
              <w:right w:val="nil"/>
            </w:tcBorders>
            <w:shd w:val="clear" w:color="auto" w:fill="auto"/>
            <w:noWrap/>
            <w:vAlign w:val="bottom"/>
            <w:hideMark/>
          </w:tcPr>
          <w:p w14:paraId="5ED08A71"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574" w:type="dxa"/>
            <w:tcBorders>
              <w:top w:val="nil"/>
              <w:left w:val="nil"/>
              <w:bottom w:val="nil"/>
              <w:right w:val="nil"/>
            </w:tcBorders>
            <w:shd w:val="clear" w:color="auto" w:fill="auto"/>
            <w:noWrap/>
            <w:vAlign w:val="center"/>
            <w:hideMark/>
          </w:tcPr>
          <w:p w14:paraId="015BFD5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1.038</w:t>
            </w:r>
          </w:p>
        </w:tc>
        <w:tc>
          <w:tcPr>
            <w:tcW w:w="693" w:type="dxa"/>
            <w:tcBorders>
              <w:top w:val="nil"/>
              <w:left w:val="nil"/>
              <w:bottom w:val="nil"/>
              <w:right w:val="nil"/>
            </w:tcBorders>
            <w:shd w:val="clear" w:color="auto" w:fill="auto"/>
            <w:noWrap/>
            <w:vAlign w:val="center"/>
            <w:hideMark/>
          </w:tcPr>
          <w:p w14:paraId="41121EB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0.0174</w:t>
            </w:r>
          </w:p>
        </w:tc>
        <w:tc>
          <w:tcPr>
            <w:tcW w:w="1026" w:type="dxa"/>
            <w:tcBorders>
              <w:top w:val="nil"/>
              <w:left w:val="nil"/>
              <w:bottom w:val="nil"/>
              <w:right w:val="nil"/>
            </w:tcBorders>
            <w:shd w:val="clear" w:color="auto" w:fill="auto"/>
            <w:noWrap/>
            <w:vAlign w:val="center"/>
            <w:hideMark/>
          </w:tcPr>
          <w:p w14:paraId="6F300EFE"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3.33x10</w:t>
            </w:r>
            <w:r>
              <w:rPr>
                <w:rFonts w:ascii="Arial" w:eastAsia="Times New Roman" w:hAnsi="Arial" w:cs="Arial"/>
                <w:color w:val="000000"/>
                <w:sz w:val="20"/>
                <w:szCs w:val="20"/>
                <w:vertAlign w:val="superscript"/>
                <w:lang w:val="en-US"/>
              </w:rPr>
              <w:t>-2</w:t>
            </w:r>
          </w:p>
        </w:tc>
        <w:tc>
          <w:tcPr>
            <w:tcW w:w="722" w:type="dxa"/>
            <w:tcBorders>
              <w:top w:val="nil"/>
              <w:left w:val="nil"/>
              <w:bottom w:val="nil"/>
              <w:right w:val="nil"/>
            </w:tcBorders>
            <w:shd w:val="clear" w:color="auto" w:fill="auto"/>
            <w:noWrap/>
            <w:vAlign w:val="center"/>
            <w:hideMark/>
          </w:tcPr>
          <w:p w14:paraId="21BC0F66"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31,080</w:t>
            </w:r>
          </w:p>
        </w:tc>
        <w:tc>
          <w:tcPr>
            <w:tcW w:w="850" w:type="dxa"/>
            <w:tcBorders>
              <w:top w:val="nil"/>
              <w:left w:val="nil"/>
              <w:bottom w:val="nil"/>
              <w:right w:val="nil"/>
            </w:tcBorders>
            <w:shd w:val="clear" w:color="auto" w:fill="auto"/>
            <w:noWrap/>
            <w:vAlign w:val="center"/>
            <w:hideMark/>
          </w:tcPr>
          <w:p w14:paraId="46A78FE6"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102,438</w:t>
            </w:r>
          </w:p>
        </w:tc>
        <w:tc>
          <w:tcPr>
            <w:tcW w:w="427" w:type="dxa"/>
            <w:tcBorders>
              <w:top w:val="nil"/>
              <w:left w:val="nil"/>
              <w:bottom w:val="nil"/>
              <w:right w:val="nil"/>
            </w:tcBorders>
            <w:shd w:val="clear" w:color="auto" w:fill="auto"/>
            <w:noWrap/>
            <w:vAlign w:val="center"/>
            <w:hideMark/>
          </w:tcPr>
          <w:p w14:paraId="25484E36"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w:t>
            </w:r>
          </w:p>
        </w:tc>
        <w:tc>
          <w:tcPr>
            <w:tcW w:w="76" w:type="dxa"/>
            <w:tcBorders>
              <w:top w:val="nil"/>
              <w:left w:val="nil"/>
              <w:bottom w:val="nil"/>
              <w:right w:val="nil"/>
            </w:tcBorders>
            <w:shd w:val="clear" w:color="auto" w:fill="auto"/>
            <w:noWrap/>
            <w:vAlign w:val="bottom"/>
            <w:hideMark/>
          </w:tcPr>
          <w:p w14:paraId="61ED376B"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473" w:type="dxa"/>
            <w:tcBorders>
              <w:top w:val="nil"/>
              <w:left w:val="nil"/>
              <w:bottom w:val="nil"/>
              <w:right w:val="nil"/>
            </w:tcBorders>
            <w:shd w:val="clear" w:color="auto" w:fill="auto"/>
            <w:noWrap/>
            <w:vAlign w:val="bottom"/>
            <w:hideMark/>
          </w:tcPr>
          <w:p w14:paraId="647400D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1.11</w:t>
            </w:r>
          </w:p>
        </w:tc>
        <w:tc>
          <w:tcPr>
            <w:tcW w:w="693" w:type="dxa"/>
            <w:tcBorders>
              <w:top w:val="nil"/>
              <w:left w:val="nil"/>
              <w:bottom w:val="nil"/>
              <w:right w:val="nil"/>
            </w:tcBorders>
            <w:shd w:val="clear" w:color="auto" w:fill="auto"/>
            <w:noWrap/>
            <w:vAlign w:val="bottom"/>
            <w:hideMark/>
          </w:tcPr>
          <w:p w14:paraId="51518422"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0.0240</w:t>
            </w:r>
          </w:p>
        </w:tc>
        <w:tc>
          <w:tcPr>
            <w:tcW w:w="952" w:type="dxa"/>
            <w:tcBorders>
              <w:top w:val="nil"/>
              <w:left w:val="nil"/>
              <w:bottom w:val="nil"/>
              <w:right w:val="nil"/>
            </w:tcBorders>
            <w:shd w:val="clear" w:color="auto" w:fill="auto"/>
            <w:noWrap/>
            <w:vAlign w:val="bottom"/>
            <w:hideMark/>
          </w:tcPr>
          <w:p w14:paraId="3F46FD7E"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2.42x10</w:t>
            </w:r>
            <w:r>
              <w:rPr>
                <w:rFonts w:ascii="Arial" w:eastAsia="Times New Roman" w:hAnsi="Arial" w:cs="Arial"/>
                <w:color w:val="000000"/>
                <w:sz w:val="20"/>
                <w:szCs w:val="20"/>
                <w:vertAlign w:val="superscript"/>
                <w:lang w:val="en-US"/>
              </w:rPr>
              <w:t>-5</w:t>
            </w:r>
          </w:p>
        </w:tc>
        <w:tc>
          <w:tcPr>
            <w:tcW w:w="709" w:type="dxa"/>
            <w:tcBorders>
              <w:top w:val="nil"/>
              <w:left w:val="nil"/>
              <w:bottom w:val="nil"/>
              <w:right w:val="nil"/>
            </w:tcBorders>
            <w:shd w:val="clear" w:color="auto" w:fill="auto"/>
            <w:noWrap/>
            <w:vAlign w:val="bottom"/>
            <w:hideMark/>
          </w:tcPr>
          <w:p w14:paraId="2177AF4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19,386</w:t>
            </w:r>
          </w:p>
        </w:tc>
        <w:tc>
          <w:tcPr>
            <w:tcW w:w="851" w:type="dxa"/>
            <w:tcBorders>
              <w:top w:val="nil"/>
              <w:left w:val="nil"/>
              <w:bottom w:val="nil"/>
              <w:right w:val="nil"/>
            </w:tcBorders>
            <w:shd w:val="clear" w:color="auto" w:fill="auto"/>
            <w:noWrap/>
            <w:vAlign w:val="bottom"/>
            <w:hideMark/>
          </w:tcPr>
          <w:p w14:paraId="078B1A5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168,990</w:t>
            </w:r>
          </w:p>
        </w:tc>
        <w:tc>
          <w:tcPr>
            <w:tcW w:w="499" w:type="dxa"/>
            <w:tcBorders>
              <w:top w:val="nil"/>
              <w:left w:val="nil"/>
              <w:bottom w:val="nil"/>
              <w:right w:val="nil"/>
            </w:tcBorders>
            <w:shd w:val="clear" w:color="auto" w:fill="auto"/>
            <w:noWrap/>
            <w:vAlign w:val="center"/>
            <w:hideMark/>
          </w:tcPr>
          <w:p w14:paraId="7E7E719D"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w:t>
            </w:r>
          </w:p>
        </w:tc>
        <w:tc>
          <w:tcPr>
            <w:tcW w:w="78" w:type="dxa"/>
            <w:gridSpan w:val="2"/>
            <w:tcBorders>
              <w:top w:val="nil"/>
              <w:left w:val="nil"/>
              <w:bottom w:val="nil"/>
              <w:right w:val="nil"/>
            </w:tcBorders>
            <w:shd w:val="clear" w:color="auto" w:fill="auto"/>
            <w:noWrap/>
            <w:vAlign w:val="bottom"/>
            <w:hideMark/>
          </w:tcPr>
          <w:p w14:paraId="53D99775" w14:textId="77777777" w:rsidR="008D6DF4" w:rsidRDefault="008D6DF4" w:rsidP="0072469E">
            <w:pPr>
              <w:spacing w:before="60" w:after="60" w:line="240" w:lineRule="auto"/>
              <w:jc w:val="center"/>
              <w:rPr>
                <w:rFonts w:ascii="Arial" w:eastAsia="Times New Roman" w:hAnsi="Arial" w:cs="Arial"/>
                <w:color w:val="000000"/>
                <w:sz w:val="20"/>
                <w:szCs w:val="20"/>
                <w:lang w:val="en-US"/>
              </w:rPr>
            </w:pPr>
          </w:p>
        </w:tc>
        <w:tc>
          <w:tcPr>
            <w:tcW w:w="674" w:type="dxa"/>
            <w:gridSpan w:val="2"/>
            <w:tcBorders>
              <w:top w:val="nil"/>
              <w:left w:val="nil"/>
              <w:bottom w:val="nil"/>
              <w:right w:val="nil"/>
            </w:tcBorders>
            <w:shd w:val="clear" w:color="auto" w:fill="auto"/>
            <w:noWrap/>
            <w:vAlign w:val="center"/>
            <w:hideMark/>
          </w:tcPr>
          <w:p w14:paraId="5D94546B"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5</w:t>
            </w:r>
          </w:p>
        </w:tc>
        <w:tc>
          <w:tcPr>
            <w:tcW w:w="1804" w:type="dxa"/>
            <w:tcBorders>
              <w:top w:val="nil"/>
              <w:left w:val="nil"/>
              <w:bottom w:val="nil"/>
              <w:right w:val="nil"/>
            </w:tcBorders>
            <w:shd w:val="clear" w:color="auto" w:fill="auto"/>
            <w:noWrap/>
            <w:vAlign w:val="bottom"/>
            <w:hideMark/>
          </w:tcPr>
          <w:p w14:paraId="1E7782D0"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same</w:t>
            </w:r>
          </w:p>
        </w:tc>
      </w:tr>
      <w:tr w:rsidR="008D6DF4" w14:paraId="27FE11ED" w14:textId="77777777" w:rsidTr="00362DCE">
        <w:tc>
          <w:tcPr>
            <w:tcW w:w="1259" w:type="dxa"/>
            <w:tcBorders>
              <w:top w:val="nil"/>
              <w:left w:val="nil"/>
              <w:bottom w:val="single" w:sz="4" w:space="0" w:color="auto"/>
              <w:right w:val="nil"/>
            </w:tcBorders>
            <w:shd w:val="clear" w:color="auto" w:fill="D9D9D9" w:themeFill="background1" w:themeFillShade="D9"/>
            <w:noWrap/>
            <w:vAlign w:val="bottom"/>
            <w:hideMark/>
          </w:tcPr>
          <w:p w14:paraId="2157ACC6"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rs1145077</w:t>
            </w:r>
          </w:p>
        </w:tc>
        <w:tc>
          <w:tcPr>
            <w:tcW w:w="849" w:type="dxa"/>
            <w:tcBorders>
              <w:top w:val="nil"/>
              <w:left w:val="nil"/>
              <w:bottom w:val="single" w:sz="4" w:space="0" w:color="auto"/>
              <w:right w:val="nil"/>
            </w:tcBorders>
            <w:shd w:val="clear" w:color="auto" w:fill="D9D9D9" w:themeFill="background1" w:themeFillShade="D9"/>
            <w:noWrap/>
            <w:vAlign w:val="bottom"/>
            <w:hideMark/>
          </w:tcPr>
          <w:p w14:paraId="3B8BE931"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p>
        </w:tc>
        <w:tc>
          <w:tcPr>
            <w:tcW w:w="993" w:type="dxa"/>
            <w:tcBorders>
              <w:top w:val="nil"/>
              <w:left w:val="nil"/>
              <w:bottom w:val="single" w:sz="4" w:space="0" w:color="auto"/>
              <w:right w:val="nil"/>
            </w:tcBorders>
            <w:shd w:val="clear" w:color="auto" w:fill="D9D9D9" w:themeFill="background1" w:themeFillShade="D9"/>
            <w:noWrap/>
            <w:vAlign w:val="center"/>
            <w:hideMark/>
          </w:tcPr>
          <w:p w14:paraId="017DDEA9"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[GATM]</w:t>
            </w:r>
          </w:p>
        </w:tc>
        <w:tc>
          <w:tcPr>
            <w:tcW w:w="117" w:type="dxa"/>
            <w:gridSpan w:val="2"/>
            <w:tcBorders>
              <w:top w:val="nil"/>
              <w:left w:val="nil"/>
              <w:bottom w:val="single" w:sz="4" w:space="0" w:color="auto"/>
              <w:right w:val="nil"/>
            </w:tcBorders>
            <w:shd w:val="clear" w:color="auto" w:fill="D9D9D9" w:themeFill="background1" w:themeFillShade="D9"/>
            <w:noWrap/>
            <w:vAlign w:val="bottom"/>
            <w:hideMark/>
          </w:tcPr>
          <w:p w14:paraId="54D3B569"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574" w:type="dxa"/>
            <w:tcBorders>
              <w:top w:val="nil"/>
              <w:left w:val="nil"/>
              <w:bottom w:val="single" w:sz="4" w:space="0" w:color="auto"/>
              <w:right w:val="nil"/>
            </w:tcBorders>
            <w:shd w:val="clear" w:color="auto" w:fill="D9D9D9" w:themeFill="background1" w:themeFillShade="D9"/>
            <w:noWrap/>
            <w:vAlign w:val="center"/>
            <w:hideMark/>
          </w:tcPr>
          <w:p w14:paraId="58E369F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1.039</w:t>
            </w:r>
          </w:p>
        </w:tc>
        <w:tc>
          <w:tcPr>
            <w:tcW w:w="693" w:type="dxa"/>
            <w:tcBorders>
              <w:top w:val="nil"/>
              <w:left w:val="nil"/>
              <w:bottom w:val="single" w:sz="4" w:space="0" w:color="auto"/>
              <w:right w:val="nil"/>
            </w:tcBorders>
            <w:shd w:val="clear" w:color="auto" w:fill="D9D9D9" w:themeFill="background1" w:themeFillShade="D9"/>
            <w:noWrap/>
            <w:vAlign w:val="center"/>
            <w:hideMark/>
          </w:tcPr>
          <w:p w14:paraId="27641DF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0.0096</w:t>
            </w:r>
          </w:p>
        </w:tc>
        <w:tc>
          <w:tcPr>
            <w:tcW w:w="1026" w:type="dxa"/>
            <w:tcBorders>
              <w:top w:val="nil"/>
              <w:left w:val="nil"/>
              <w:bottom w:val="single" w:sz="4" w:space="0" w:color="auto"/>
              <w:right w:val="nil"/>
            </w:tcBorders>
            <w:shd w:val="clear" w:color="auto" w:fill="D9D9D9" w:themeFill="background1" w:themeFillShade="D9"/>
            <w:noWrap/>
            <w:vAlign w:val="center"/>
            <w:hideMark/>
          </w:tcPr>
          <w:p w14:paraId="46DE5749"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8.03x10</w:t>
            </w:r>
            <w:r>
              <w:rPr>
                <w:rFonts w:ascii="Arial" w:eastAsia="Times New Roman" w:hAnsi="Arial" w:cs="Arial"/>
                <w:color w:val="000000"/>
                <w:sz w:val="20"/>
                <w:szCs w:val="20"/>
                <w:vertAlign w:val="superscript"/>
                <w:lang w:val="en-US"/>
              </w:rPr>
              <w:t>-5</w:t>
            </w:r>
          </w:p>
        </w:tc>
        <w:tc>
          <w:tcPr>
            <w:tcW w:w="722" w:type="dxa"/>
            <w:tcBorders>
              <w:top w:val="nil"/>
              <w:left w:val="nil"/>
              <w:bottom w:val="single" w:sz="4" w:space="0" w:color="auto"/>
              <w:right w:val="nil"/>
            </w:tcBorders>
            <w:shd w:val="clear" w:color="auto" w:fill="D9D9D9" w:themeFill="background1" w:themeFillShade="D9"/>
            <w:noWrap/>
            <w:vAlign w:val="center"/>
            <w:hideMark/>
          </w:tcPr>
          <w:p w14:paraId="5AC75B18"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31,102</w:t>
            </w:r>
          </w:p>
        </w:tc>
        <w:tc>
          <w:tcPr>
            <w:tcW w:w="850" w:type="dxa"/>
            <w:tcBorders>
              <w:top w:val="nil"/>
              <w:left w:val="nil"/>
              <w:bottom w:val="single" w:sz="4" w:space="0" w:color="auto"/>
              <w:right w:val="nil"/>
            </w:tcBorders>
            <w:shd w:val="clear" w:color="auto" w:fill="D9D9D9" w:themeFill="background1" w:themeFillShade="D9"/>
            <w:noWrap/>
            <w:vAlign w:val="center"/>
            <w:hideMark/>
          </w:tcPr>
          <w:p w14:paraId="2CFE7DD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102,484</w:t>
            </w:r>
          </w:p>
        </w:tc>
        <w:tc>
          <w:tcPr>
            <w:tcW w:w="427" w:type="dxa"/>
            <w:tcBorders>
              <w:top w:val="nil"/>
              <w:left w:val="nil"/>
              <w:bottom w:val="single" w:sz="4" w:space="0" w:color="auto"/>
              <w:right w:val="nil"/>
            </w:tcBorders>
            <w:shd w:val="clear" w:color="auto" w:fill="D9D9D9" w:themeFill="background1" w:themeFillShade="D9"/>
            <w:noWrap/>
            <w:vAlign w:val="center"/>
            <w:hideMark/>
          </w:tcPr>
          <w:p w14:paraId="3A2D6317"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w:t>
            </w:r>
          </w:p>
        </w:tc>
        <w:tc>
          <w:tcPr>
            <w:tcW w:w="76" w:type="dxa"/>
            <w:tcBorders>
              <w:top w:val="nil"/>
              <w:left w:val="nil"/>
              <w:bottom w:val="single" w:sz="4" w:space="0" w:color="auto"/>
              <w:right w:val="nil"/>
            </w:tcBorders>
            <w:shd w:val="clear" w:color="auto" w:fill="D9D9D9" w:themeFill="background1" w:themeFillShade="D9"/>
            <w:noWrap/>
            <w:vAlign w:val="bottom"/>
            <w:hideMark/>
          </w:tcPr>
          <w:p w14:paraId="7A3F2A9D"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473" w:type="dxa"/>
            <w:tcBorders>
              <w:top w:val="nil"/>
              <w:left w:val="nil"/>
              <w:bottom w:val="single" w:sz="4" w:space="0" w:color="auto"/>
              <w:right w:val="nil"/>
            </w:tcBorders>
            <w:shd w:val="clear" w:color="auto" w:fill="D9D9D9" w:themeFill="background1" w:themeFillShade="D9"/>
            <w:noWrap/>
            <w:vAlign w:val="bottom"/>
            <w:hideMark/>
          </w:tcPr>
          <w:p w14:paraId="6452D141"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1.04</w:t>
            </w:r>
          </w:p>
        </w:tc>
        <w:tc>
          <w:tcPr>
            <w:tcW w:w="693" w:type="dxa"/>
            <w:tcBorders>
              <w:top w:val="nil"/>
              <w:left w:val="nil"/>
              <w:bottom w:val="single" w:sz="4" w:space="0" w:color="auto"/>
              <w:right w:val="nil"/>
            </w:tcBorders>
            <w:shd w:val="clear" w:color="auto" w:fill="D9D9D9" w:themeFill="background1" w:themeFillShade="D9"/>
            <w:noWrap/>
            <w:vAlign w:val="bottom"/>
            <w:hideMark/>
          </w:tcPr>
          <w:p w14:paraId="58328D25"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0.0133</w:t>
            </w:r>
          </w:p>
        </w:tc>
        <w:tc>
          <w:tcPr>
            <w:tcW w:w="952" w:type="dxa"/>
            <w:tcBorders>
              <w:top w:val="nil"/>
              <w:left w:val="nil"/>
              <w:bottom w:val="single" w:sz="4" w:space="0" w:color="auto"/>
              <w:right w:val="nil"/>
            </w:tcBorders>
            <w:shd w:val="clear" w:color="auto" w:fill="D9D9D9" w:themeFill="background1" w:themeFillShade="D9"/>
            <w:noWrap/>
            <w:vAlign w:val="bottom"/>
            <w:hideMark/>
          </w:tcPr>
          <w:p w14:paraId="265D98D0"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1.09x10</w:t>
            </w:r>
            <w:r>
              <w:rPr>
                <w:rFonts w:ascii="Arial" w:eastAsia="Times New Roman" w:hAnsi="Arial" w:cs="Arial"/>
                <w:color w:val="000000"/>
                <w:sz w:val="20"/>
                <w:szCs w:val="20"/>
                <w:vertAlign w:val="superscript"/>
                <w:lang w:val="en-US"/>
              </w:rPr>
              <w:t>-3</w:t>
            </w:r>
          </w:p>
        </w:tc>
        <w:tc>
          <w:tcPr>
            <w:tcW w:w="709" w:type="dxa"/>
            <w:tcBorders>
              <w:top w:val="nil"/>
              <w:left w:val="nil"/>
              <w:bottom w:val="single" w:sz="4" w:space="0" w:color="auto"/>
              <w:right w:val="nil"/>
            </w:tcBorders>
            <w:shd w:val="clear" w:color="auto" w:fill="D9D9D9" w:themeFill="background1" w:themeFillShade="D9"/>
            <w:noWrap/>
            <w:vAlign w:val="bottom"/>
            <w:hideMark/>
          </w:tcPr>
          <w:p w14:paraId="6FBC2B4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19,411</w:t>
            </w:r>
          </w:p>
        </w:tc>
        <w:tc>
          <w:tcPr>
            <w:tcW w:w="851" w:type="dxa"/>
            <w:tcBorders>
              <w:top w:val="nil"/>
              <w:left w:val="nil"/>
              <w:bottom w:val="single" w:sz="4" w:space="0" w:color="auto"/>
              <w:right w:val="nil"/>
            </w:tcBorders>
            <w:shd w:val="clear" w:color="auto" w:fill="D9D9D9" w:themeFill="background1" w:themeFillShade="D9"/>
            <w:noWrap/>
            <w:vAlign w:val="bottom"/>
            <w:hideMark/>
          </w:tcPr>
          <w:p w14:paraId="20D4C964" w14:textId="77777777" w:rsidR="008D6DF4" w:rsidRDefault="007C1EBA" w:rsidP="0072469E">
            <w:pPr>
              <w:spacing w:before="60" w:after="6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169,093</w:t>
            </w:r>
          </w:p>
        </w:tc>
        <w:tc>
          <w:tcPr>
            <w:tcW w:w="499" w:type="dxa"/>
            <w:tcBorders>
              <w:top w:val="nil"/>
              <w:left w:val="nil"/>
              <w:bottom w:val="single" w:sz="4" w:space="0" w:color="auto"/>
              <w:right w:val="nil"/>
            </w:tcBorders>
            <w:shd w:val="clear" w:color="auto" w:fill="D9D9D9" w:themeFill="background1" w:themeFillShade="D9"/>
            <w:noWrap/>
            <w:vAlign w:val="center"/>
            <w:hideMark/>
          </w:tcPr>
          <w:p w14:paraId="1E3EB435"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19</w:t>
            </w:r>
          </w:p>
        </w:tc>
        <w:tc>
          <w:tcPr>
            <w:tcW w:w="78" w:type="dxa"/>
            <w:gridSpan w:val="2"/>
            <w:tcBorders>
              <w:top w:val="nil"/>
              <w:left w:val="nil"/>
              <w:bottom w:val="single" w:sz="4" w:space="0" w:color="auto"/>
              <w:right w:val="nil"/>
            </w:tcBorders>
            <w:shd w:val="clear" w:color="auto" w:fill="D9D9D9" w:themeFill="background1" w:themeFillShade="D9"/>
            <w:noWrap/>
            <w:vAlign w:val="bottom"/>
            <w:hideMark/>
          </w:tcPr>
          <w:p w14:paraId="6694158A"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674" w:type="dxa"/>
            <w:gridSpan w:val="2"/>
            <w:tcBorders>
              <w:top w:val="nil"/>
              <w:left w:val="nil"/>
              <w:bottom w:val="single" w:sz="4" w:space="0" w:color="auto"/>
              <w:right w:val="nil"/>
            </w:tcBorders>
            <w:shd w:val="clear" w:color="auto" w:fill="D9D9D9" w:themeFill="background1" w:themeFillShade="D9"/>
            <w:noWrap/>
            <w:vAlign w:val="center"/>
            <w:hideMark/>
          </w:tcPr>
          <w:p w14:paraId="5A0B497D" w14:textId="77777777" w:rsidR="008D6DF4" w:rsidRDefault="007C1EBA" w:rsidP="0072469E">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6</w:t>
            </w:r>
          </w:p>
        </w:tc>
        <w:tc>
          <w:tcPr>
            <w:tcW w:w="1804" w:type="dxa"/>
            <w:tcBorders>
              <w:top w:val="nil"/>
              <w:left w:val="nil"/>
              <w:bottom w:val="single" w:sz="4" w:space="0" w:color="auto"/>
              <w:right w:val="nil"/>
            </w:tcBorders>
            <w:shd w:val="clear" w:color="auto" w:fill="D9D9D9" w:themeFill="background1" w:themeFillShade="D9"/>
            <w:noWrap/>
            <w:vAlign w:val="bottom"/>
            <w:hideMark/>
          </w:tcPr>
          <w:p w14:paraId="7E0F31FF" w14:textId="77777777" w:rsidR="008D6DF4" w:rsidRDefault="007C1EBA" w:rsidP="0072469E">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rs2486288 (1.00)</w:t>
            </w:r>
          </w:p>
        </w:tc>
      </w:tr>
    </w:tbl>
    <w:p w14:paraId="5902888A" w14:textId="7D6FCF29" w:rsidR="008D6DF4" w:rsidRDefault="007C1EBA">
      <w:pPr>
        <w:jc w:val="both"/>
        <w:rPr>
          <w:rFonts w:ascii="Arial" w:eastAsia="Times New Roman" w:hAnsi="Arial" w:cs="Arial"/>
          <w:color w:val="000000"/>
          <w:sz w:val="20"/>
          <w:szCs w:val="20"/>
          <w:lang w:val="en-US"/>
        </w:rPr>
      </w:pPr>
      <w:r>
        <w:rPr>
          <w:rFonts w:ascii="Arial" w:eastAsia="Times New Roman" w:hAnsi="Arial" w:cs="Arial"/>
          <w:b/>
          <w:bCs/>
          <w:color w:val="000000"/>
          <w:sz w:val="20"/>
          <w:szCs w:val="20"/>
          <w:lang w:val="en-US"/>
        </w:rPr>
        <w:t>Ident. analysis</w:t>
      </w:r>
      <w:r>
        <w:rPr>
          <w:rFonts w:ascii="Arial" w:eastAsia="Times New Roman" w:hAnsi="Arial" w:cs="Arial"/>
          <w:color w:val="000000"/>
          <w:sz w:val="20"/>
          <w:szCs w:val="20"/>
          <w:lang w:val="en-US"/>
        </w:rPr>
        <w:t>=Analysis where variant was significantly associated,</w:t>
      </w:r>
      <w:r>
        <w:rPr>
          <w:rFonts w:ascii="Arial" w:eastAsia="Times New Roman" w:hAnsi="Arial" w:cs="Arial"/>
          <w:b/>
          <w:bCs/>
          <w:color w:val="000000"/>
          <w:sz w:val="20"/>
          <w:szCs w:val="20"/>
          <w:lang w:val="en-US"/>
        </w:rPr>
        <w:t xml:space="preserve"> SE</w:t>
      </w:r>
      <w:r>
        <w:rPr>
          <w:rFonts w:ascii="Arial" w:eastAsia="Times New Roman" w:hAnsi="Arial" w:cs="Arial"/>
          <w:bCs/>
          <w:color w:val="000000"/>
          <w:sz w:val="20"/>
          <w:szCs w:val="20"/>
          <w:lang w:val="en-US"/>
        </w:rPr>
        <w:t>/</w:t>
      </w:r>
      <w:r>
        <w:rPr>
          <w:rFonts w:ascii="Arial" w:eastAsia="Times New Roman" w:hAnsi="Arial" w:cs="Arial"/>
          <w:b/>
          <w:bCs/>
          <w:color w:val="000000"/>
          <w:sz w:val="20"/>
          <w:szCs w:val="20"/>
          <w:lang w:val="en-US"/>
        </w:rPr>
        <w:t>P</w:t>
      </w:r>
      <w:r>
        <w:rPr>
          <w:rFonts w:ascii="Arial" w:eastAsia="Times New Roman" w:hAnsi="Arial" w:cs="Arial"/>
          <w:color w:val="000000"/>
          <w:sz w:val="20"/>
          <w:szCs w:val="20"/>
          <w:lang w:val="en-US"/>
        </w:rPr>
        <w:t>=2</w:t>
      </w:r>
      <w:r>
        <w:rPr>
          <w:rFonts w:ascii="Arial" w:eastAsia="Times New Roman" w:hAnsi="Arial" w:cs="Arial"/>
          <w:color w:val="000000"/>
          <w:sz w:val="20"/>
          <w:szCs w:val="20"/>
          <w:vertAlign w:val="superscript"/>
          <w:lang w:val="en-US"/>
        </w:rPr>
        <w:t>nd</w:t>
      </w:r>
      <w:r>
        <w:rPr>
          <w:rFonts w:ascii="Arial" w:eastAsia="Times New Roman" w:hAnsi="Arial" w:cs="Arial"/>
          <w:color w:val="000000"/>
          <w:sz w:val="20"/>
          <w:szCs w:val="20"/>
          <w:lang w:val="en-US"/>
        </w:rPr>
        <w:t xml:space="preserve"> GC corrected standard error/ P-value, </w:t>
      </w:r>
      <w:r>
        <w:rPr>
          <w:rFonts w:ascii="Arial" w:eastAsia="Times New Roman" w:hAnsi="Arial" w:cs="Arial"/>
          <w:b/>
          <w:bCs/>
          <w:color w:val="000000"/>
          <w:sz w:val="20"/>
          <w:szCs w:val="20"/>
          <w:lang w:val="en-US"/>
        </w:rPr>
        <w:t>N cases/ N ctrls</w:t>
      </w:r>
      <w:r>
        <w:rPr>
          <w:rFonts w:ascii="Arial" w:eastAsia="Times New Roman" w:hAnsi="Arial" w:cs="Arial"/>
          <w:color w:val="000000"/>
          <w:sz w:val="20"/>
          <w:szCs w:val="20"/>
          <w:lang w:val="en-US"/>
        </w:rPr>
        <w:t xml:space="preserve">=Number of cases and controls, </w:t>
      </w:r>
      <w:r>
        <w:rPr>
          <w:rFonts w:ascii="Arial" w:eastAsia="Times New Roman" w:hAnsi="Arial" w:cs="Arial"/>
          <w:b/>
          <w:bCs/>
          <w:color w:val="000000"/>
          <w:sz w:val="20"/>
          <w:szCs w:val="20"/>
          <w:lang w:val="en-US"/>
        </w:rPr>
        <w:t>N stud</w:t>
      </w:r>
      <w:r>
        <w:rPr>
          <w:rFonts w:ascii="Arial" w:eastAsia="Times New Roman" w:hAnsi="Arial" w:cs="Arial"/>
          <w:color w:val="000000"/>
          <w:sz w:val="20"/>
          <w:szCs w:val="20"/>
          <w:lang w:val="en-US"/>
        </w:rPr>
        <w:t xml:space="preserve">=Number of studies in analysis, </w:t>
      </w:r>
      <w:r>
        <w:rPr>
          <w:rFonts w:ascii="Arial" w:eastAsia="Times New Roman" w:hAnsi="Arial" w:cs="Arial"/>
          <w:b/>
          <w:bCs/>
          <w:color w:val="000000"/>
          <w:sz w:val="20"/>
          <w:szCs w:val="20"/>
          <w:lang w:val="en-US"/>
        </w:rPr>
        <w:t>Locus/signal no.</w:t>
      </w:r>
      <w:r>
        <w:rPr>
          <w:rFonts w:ascii="Arial" w:eastAsia="Times New Roman" w:hAnsi="Arial" w:cs="Arial"/>
          <w:color w:val="000000"/>
          <w:sz w:val="20"/>
          <w:szCs w:val="20"/>
          <w:lang w:val="en-US"/>
        </w:rPr>
        <w:t xml:space="preserve">=locus and signal number, </w:t>
      </w:r>
      <w:r>
        <w:rPr>
          <w:rFonts w:ascii="Arial" w:eastAsia="Times New Roman" w:hAnsi="Arial" w:cs="Arial"/>
          <w:b/>
          <w:bCs/>
          <w:color w:val="000000"/>
          <w:sz w:val="20"/>
          <w:szCs w:val="20"/>
          <w:lang w:val="en-US"/>
        </w:rPr>
        <w:t>EUR GWAS lead variant in this locus/ signal (R²)</w:t>
      </w:r>
      <w:r>
        <w:rPr>
          <w:rFonts w:ascii="Arial" w:eastAsia="Times New Roman" w:hAnsi="Arial" w:cs="Arial"/>
          <w:color w:val="000000"/>
          <w:sz w:val="20"/>
          <w:szCs w:val="20"/>
          <w:lang w:val="en-US"/>
        </w:rPr>
        <w:t>=Variant with lowest P-value in the European analysis (correlation R²). (a) Pairwise R² from LD Link</w:t>
      </w:r>
      <w:r w:rsidR="00630C24" w:rsidRPr="00630C24">
        <w:rPr>
          <w:rFonts w:ascii="Arial" w:eastAsia="Times New Roman" w:hAnsi="Arial" w:cs="Arial"/>
          <w:color w:val="000000"/>
          <w:sz w:val="20"/>
          <w:szCs w:val="20"/>
          <w:vertAlign w:val="superscript"/>
          <w:lang w:val="en-US"/>
        </w:rPr>
        <w:t>S</w:t>
      </w:r>
      <w:r w:rsidR="00630C24">
        <w:rPr>
          <w:rFonts w:ascii="Arial" w:eastAsia="Times New Roman" w:hAnsi="Arial" w:cs="Arial"/>
          <w:color w:val="000000"/>
          <w:sz w:val="20"/>
          <w:szCs w:val="20"/>
          <w:lang w:val="en-US"/>
        </w:rPr>
        <w:fldChar w:fldCharType="begin" w:fldLock="1"/>
      </w:r>
      <w:r w:rsidR="00630C24">
        <w:rPr>
          <w:rFonts w:ascii="Arial" w:eastAsia="Times New Roman" w:hAnsi="Arial" w:cs="Arial"/>
          <w:color w:val="000000"/>
          <w:sz w:val="20"/>
          <w:szCs w:val="20"/>
          <w:lang w:val="en-US"/>
        </w:rPr>
        <w:instrText>ADDIN CSL_CITATION {"citationItems":[{"id":"ITEM-1","itemData":{"DOI":"10.1093/bioinformatics/btv402","ISSN":"14602059","PMID":"26139635","abstract":"Summary: Assessing linkage disequilibrium (LD) across ancestral populations is a powerful approach for investigating population-specific genetic structure as well as functionally mapping regions of disease susceptibility. Here, we present LDlink, a web-based collection of bioinformatic modules that query single nucleotide polymorphisms (SNPs) in population groups of interest to generate haplotype tables and interactive plots. Modules are designed with an emphasis on ease of use, query flexibility, and interactive visualization of results. Phase 3 haplotype data from the 1000 Genomes Project are referenced for calculating pairwise metrics of LD, searching for proxies in high LD, and enumerating all observed haplotypes. LDlink is tailored for investigators interested in mapping common and uncommon disease susceptibility loci by focusing on output linking correlated alleles and highlighting putative functional variants. Availability and implementation: LDlink is a free and publically available web tool which can be accessed at http://analysistools.nci.nih.gov/LDlink/.","author":[{"dropping-particle":"","family":"Machiela","given":"Mitchell J.","non-dropping-particle":"","parse-names":false,"suffix":""},{"dropping-particle":"","family":"Chanock","given":"Stephen J.","non-dropping-particle":"","parse-names":false,"suffix":""}],"container-title":"Bioinformatics","id":"ITEM-1","issued":{"date-parts":[["2015"]]},"title":"LDlink: A web-based application for exploring population-specific haplotype structure and linking correlated alleles of possible functional variants","type":"article-journal"},"uris":["http://www.mendeley.com/documents/?uuid=6c6ebb16-f56c-4f3c-95ea-90a75b88dc6e"]}],"mendeley":{"formattedCitation":"&lt;sup&gt;1&lt;/sup&gt;","plainTextFormattedCitation":"1","previouslyFormattedCitation":"&lt;sup&gt;1&lt;/sup&gt;"},"properties":{"noteIndex":0},"schema":"https://github.com/citation-style-language/schema/raw/master/csl-citation.json"}</w:instrText>
      </w:r>
      <w:r w:rsidR="00630C24">
        <w:rPr>
          <w:rFonts w:ascii="Arial" w:eastAsia="Times New Roman" w:hAnsi="Arial" w:cs="Arial"/>
          <w:color w:val="000000"/>
          <w:sz w:val="20"/>
          <w:szCs w:val="20"/>
          <w:lang w:val="en-US"/>
        </w:rPr>
        <w:fldChar w:fldCharType="separate"/>
      </w:r>
      <w:r w:rsidR="00630C24" w:rsidRPr="00630C24">
        <w:rPr>
          <w:rFonts w:ascii="Arial" w:eastAsia="Times New Roman" w:hAnsi="Arial" w:cs="Arial"/>
          <w:noProof/>
          <w:color w:val="000000"/>
          <w:sz w:val="20"/>
          <w:szCs w:val="20"/>
          <w:vertAlign w:val="superscript"/>
          <w:lang w:val="en-US"/>
        </w:rPr>
        <w:t>1</w:t>
      </w:r>
      <w:r w:rsidR="00630C24">
        <w:rPr>
          <w:rFonts w:ascii="Arial" w:eastAsia="Times New Roman" w:hAnsi="Arial" w:cs="Arial"/>
          <w:color w:val="000000"/>
          <w:sz w:val="20"/>
          <w:szCs w:val="20"/>
          <w:lang w:val="en-US"/>
        </w:rPr>
        <w:fldChar w:fldCharType="end"/>
      </w:r>
      <w:r>
        <w:rPr>
          <w:rFonts w:ascii="Arial" w:eastAsia="Times New Roman" w:hAnsi="Arial" w:cs="Arial"/>
          <w:color w:val="000000"/>
          <w:sz w:val="20"/>
          <w:szCs w:val="20"/>
          <w:lang w:val="en-US"/>
        </w:rPr>
        <w:t xml:space="preserve"> in all European reference </w:t>
      </w:r>
      <w:r w:rsidR="002A0A49">
        <w:rPr>
          <w:rFonts w:ascii="Arial" w:eastAsia="Times New Roman" w:hAnsi="Arial" w:cs="Arial"/>
          <w:color w:val="000000"/>
          <w:sz w:val="20"/>
          <w:szCs w:val="20"/>
          <w:lang w:val="en-US"/>
        </w:rPr>
        <w:t>individuals</w:t>
      </w:r>
      <w:r>
        <w:rPr>
          <w:rFonts w:ascii="Arial" w:eastAsia="Times New Roman" w:hAnsi="Arial" w:cs="Arial"/>
          <w:color w:val="000000"/>
          <w:sz w:val="20"/>
          <w:szCs w:val="20"/>
          <w:lang w:val="en-US"/>
        </w:rPr>
        <w:t xml:space="preserve"> (n=503), (b) Lead variant of the 2</w:t>
      </w:r>
      <w:r w:rsidRPr="00562788">
        <w:rPr>
          <w:rFonts w:ascii="Arial" w:eastAsia="Times New Roman" w:hAnsi="Arial" w:cs="Arial"/>
          <w:color w:val="000000"/>
          <w:sz w:val="20"/>
          <w:szCs w:val="20"/>
          <w:vertAlign w:val="superscript"/>
          <w:lang w:val="en-US"/>
        </w:rPr>
        <w:t>nd</w:t>
      </w:r>
      <w:r>
        <w:rPr>
          <w:rFonts w:ascii="Arial" w:eastAsia="Times New Roman" w:hAnsi="Arial" w:cs="Arial"/>
          <w:color w:val="000000"/>
          <w:sz w:val="20"/>
          <w:szCs w:val="20"/>
          <w:lang w:val="en-US"/>
        </w:rPr>
        <w:t xml:space="preserve"> signal in [UMOD-PDILT] in the European analysis</w:t>
      </w:r>
      <w:r w:rsidR="00630C24" w:rsidRPr="00630C24">
        <w:rPr>
          <w:rFonts w:ascii="Arial" w:eastAsia="Times New Roman" w:hAnsi="Arial" w:cs="Arial"/>
          <w:color w:val="000000"/>
          <w:sz w:val="20"/>
          <w:szCs w:val="20"/>
          <w:vertAlign w:val="superscript"/>
          <w:lang w:val="en-US"/>
        </w:rPr>
        <w:t>17</w:t>
      </w:r>
      <w:r>
        <w:rPr>
          <w:rFonts w:ascii="Arial" w:eastAsia="Times New Roman" w:hAnsi="Arial" w:cs="Arial"/>
          <w:color w:val="000000"/>
          <w:sz w:val="20"/>
          <w:szCs w:val="20"/>
          <w:lang w:val="en-US"/>
        </w:rPr>
        <w:t xml:space="preserve">, (c) Stated are OR and P-value adjusted for rs13329952 or rs12922822 for Rapid3 or CKDi25 using the 503 1000G PIIIv5 European </w:t>
      </w:r>
      <w:r w:rsidR="002A0A49">
        <w:rPr>
          <w:rFonts w:ascii="Arial" w:eastAsia="Times New Roman" w:hAnsi="Arial" w:cs="Arial"/>
          <w:color w:val="000000"/>
          <w:sz w:val="20"/>
          <w:szCs w:val="20"/>
          <w:lang w:val="en-US"/>
        </w:rPr>
        <w:t>individuals</w:t>
      </w:r>
      <w:r>
        <w:rPr>
          <w:rFonts w:ascii="Arial" w:eastAsia="Times New Roman" w:hAnsi="Arial" w:cs="Arial"/>
          <w:color w:val="000000"/>
          <w:sz w:val="20"/>
          <w:szCs w:val="20"/>
          <w:lang w:val="en-US"/>
        </w:rPr>
        <w:t xml:space="preserve"> (OR and P-value unadjusted for rapid3 or CKDi25 respectively: OR= 1.08; 6.59x10</w:t>
      </w:r>
      <w:r>
        <w:rPr>
          <w:rFonts w:ascii="Arial" w:eastAsia="Times New Roman" w:hAnsi="Arial" w:cs="Arial"/>
          <w:color w:val="000000"/>
          <w:sz w:val="20"/>
          <w:szCs w:val="20"/>
          <w:vertAlign w:val="superscript"/>
          <w:lang w:val="en-US"/>
        </w:rPr>
        <w:t>-10</w:t>
      </w:r>
      <w:r>
        <w:rPr>
          <w:rFonts w:ascii="Arial" w:eastAsia="Times New Roman" w:hAnsi="Arial" w:cs="Arial"/>
          <w:color w:val="000000"/>
          <w:sz w:val="20"/>
          <w:szCs w:val="20"/>
          <w:lang w:val="en-US"/>
        </w:rPr>
        <w:t>; for CKDi25: OR=1.26; P-value=6.68x10</w:t>
      </w:r>
      <w:r>
        <w:rPr>
          <w:rFonts w:ascii="Arial" w:eastAsia="Times New Roman" w:hAnsi="Arial" w:cs="Arial"/>
          <w:color w:val="000000"/>
          <w:sz w:val="20"/>
          <w:szCs w:val="20"/>
          <w:vertAlign w:val="superscript"/>
          <w:lang w:val="en-US"/>
        </w:rPr>
        <w:t>-29</w:t>
      </w:r>
      <w:r>
        <w:rPr>
          <w:rFonts w:ascii="Arial" w:eastAsia="Times New Roman" w:hAnsi="Arial" w:cs="Arial"/>
          <w:color w:val="000000"/>
          <w:sz w:val="20"/>
          <w:szCs w:val="20"/>
          <w:lang w:val="en-US"/>
        </w:rPr>
        <w:t xml:space="preserve">), (d) 264 reported lead variants plus the </w:t>
      </w:r>
      <w:r w:rsidR="00562788">
        <w:rPr>
          <w:rFonts w:ascii="Arial" w:eastAsia="Times New Roman" w:hAnsi="Arial" w:cs="Arial"/>
          <w:color w:val="000000"/>
          <w:sz w:val="20"/>
          <w:szCs w:val="20"/>
          <w:lang w:val="en-US"/>
        </w:rPr>
        <w:t>2</w:t>
      </w:r>
      <w:r w:rsidR="00562788" w:rsidRPr="00562788">
        <w:rPr>
          <w:rFonts w:ascii="Arial" w:eastAsia="Times New Roman" w:hAnsi="Arial" w:cs="Arial"/>
          <w:color w:val="000000"/>
          <w:sz w:val="20"/>
          <w:szCs w:val="20"/>
          <w:vertAlign w:val="superscript"/>
          <w:lang w:val="en-US"/>
        </w:rPr>
        <w:t>nd</w:t>
      </w:r>
      <w:r>
        <w:rPr>
          <w:rFonts w:ascii="Arial" w:eastAsia="Times New Roman" w:hAnsi="Arial" w:cs="Arial"/>
          <w:color w:val="000000"/>
          <w:sz w:val="20"/>
          <w:szCs w:val="20"/>
          <w:lang w:val="en-US"/>
        </w:rPr>
        <w:t xml:space="preserve"> signal index variant in [UMOD-PDILT] from eGFRcrea GWAMA and from UCR-association analyses, eGFRcrea=cross-sectional eGFRcrea</w:t>
      </w:r>
      <w:r w:rsidR="00630C24" w:rsidRPr="00630C24">
        <w:rPr>
          <w:rFonts w:ascii="Arial" w:eastAsia="Times New Roman" w:hAnsi="Arial" w:cs="Arial"/>
          <w:color w:val="000000"/>
          <w:sz w:val="20"/>
          <w:szCs w:val="20"/>
          <w:vertAlign w:val="superscript"/>
          <w:lang w:val="en-US"/>
        </w:rPr>
        <w:t>17</w:t>
      </w:r>
      <w:r>
        <w:rPr>
          <w:rFonts w:ascii="Arial" w:eastAsia="Times New Roman" w:hAnsi="Arial" w:cs="Arial"/>
          <w:color w:val="000000"/>
          <w:sz w:val="20"/>
          <w:szCs w:val="20"/>
          <w:lang w:val="en-US"/>
        </w:rPr>
        <w:t xml:space="preserve"> (n=765,348 transethnic; n=567,460 EUR only for conditional analyses)</w:t>
      </w:r>
      <w:r w:rsidR="00630C24">
        <w:rPr>
          <w:rFonts w:ascii="Arial" w:eastAsia="Times New Roman" w:hAnsi="Arial" w:cs="Arial"/>
          <w:color w:val="000000"/>
          <w:sz w:val="20"/>
          <w:szCs w:val="20"/>
          <w:lang w:val="en-US"/>
        </w:rPr>
        <w:t>.</w:t>
      </w:r>
    </w:p>
    <w:p w14:paraId="513CEEFF" w14:textId="77777777" w:rsidR="008D6DF4" w:rsidRDefault="008D6DF4">
      <w:pPr>
        <w:spacing w:after="0" w:line="240" w:lineRule="auto"/>
        <w:rPr>
          <w:rFonts w:ascii="Arial" w:eastAsia="Times New Roman" w:hAnsi="Arial" w:cs="Arial"/>
          <w:color w:val="000000"/>
          <w:sz w:val="20"/>
          <w:szCs w:val="20"/>
          <w:lang w:val="en-US"/>
        </w:rPr>
        <w:sectPr w:rsidR="008D6DF4" w:rsidSect="00DC566E">
          <w:pgSz w:w="16838" w:h="11906" w:orient="landscape"/>
          <w:pgMar w:top="1134" w:right="1134" w:bottom="1021" w:left="1418" w:header="709" w:footer="709" w:gutter="0"/>
          <w:cols w:space="708"/>
          <w:docGrid w:linePitch="360"/>
        </w:sectPr>
      </w:pPr>
    </w:p>
    <w:p w14:paraId="6D27F0E8" w14:textId="51345D02" w:rsidR="00184E69" w:rsidRDefault="00184E69" w:rsidP="00DC566E">
      <w:pPr>
        <w:spacing w:after="120" w:line="240" w:lineRule="auto"/>
        <w:jc w:val="both"/>
        <w:rPr>
          <w:rFonts w:ascii="Arial" w:eastAsia="Times New Roman" w:hAnsi="Arial" w:cs="Arial"/>
          <w:color w:val="000000"/>
          <w:lang w:val="en-US"/>
        </w:rPr>
      </w:pPr>
      <w:r>
        <w:rPr>
          <w:rFonts w:ascii="Arial" w:eastAsia="Times New Roman" w:hAnsi="Arial" w:cs="Arial"/>
          <w:b/>
          <w:bCs/>
          <w:color w:val="000000"/>
          <w:lang w:val="en-US"/>
        </w:rPr>
        <w:lastRenderedPageBreak/>
        <w:t>Supplementary Table 4</w:t>
      </w:r>
      <w:r w:rsidR="006F789D">
        <w:rPr>
          <w:rFonts w:ascii="Arial" w:eastAsia="Times New Roman" w:hAnsi="Arial" w:cs="Arial"/>
          <w:b/>
          <w:bCs/>
          <w:color w:val="000000"/>
          <w:lang w:val="en-US"/>
        </w:rPr>
        <w:t>B</w:t>
      </w:r>
      <w:r>
        <w:rPr>
          <w:rFonts w:ascii="Arial" w:eastAsia="Times New Roman" w:hAnsi="Arial" w:cs="Arial"/>
          <w:b/>
          <w:bCs/>
          <w:color w:val="000000"/>
          <w:lang w:val="en-US"/>
        </w:rPr>
        <w:t xml:space="preserve"> | </w:t>
      </w:r>
      <w:r w:rsidR="0067314E">
        <w:rPr>
          <w:rFonts w:ascii="Arial" w:eastAsia="Times New Roman" w:hAnsi="Arial" w:cs="Arial"/>
          <w:b/>
          <w:bCs/>
          <w:color w:val="000000"/>
          <w:lang w:val="en-US"/>
        </w:rPr>
        <w:t>I</w:t>
      </w:r>
      <w:r w:rsidR="002C1C62">
        <w:rPr>
          <w:rFonts w:ascii="Arial" w:eastAsia="Times New Roman" w:hAnsi="Arial" w:cs="Arial"/>
          <w:b/>
          <w:bCs/>
          <w:color w:val="000000"/>
          <w:lang w:val="en-US"/>
        </w:rPr>
        <w:t xml:space="preserve">dentified loci </w:t>
      </w:r>
      <w:r w:rsidR="0067314E">
        <w:rPr>
          <w:rFonts w:ascii="Arial" w:eastAsia="Times New Roman" w:hAnsi="Arial" w:cs="Arial"/>
          <w:b/>
          <w:bCs/>
          <w:color w:val="000000"/>
          <w:lang w:val="en-US"/>
        </w:rPr>
        <w:t xml:space="preserve">for rapid kidney function decline </w:t>
      </w:r>
      <w:r w:rsidR="00BA3678">
        <w:rPr>
          <w:rFonts w:ascii="Arial" w:eastAsia="Times New Roman" w:hAnsi="Arial" w:cs="Arial"/>
          <w:b/>
          <w:bCs/>
          <w:color w:val="000000"/>
          <w:lang w:val="en-US"/>
        </w:rPr>
        <w:t>and two APOL1 variants</w:t>
      </w:r>
      <w:r w:rsidR="002C1C62">
        <w:rPr>
          <w:rFonts w:ascii="Arial" w:eastAsia="Times New Roman" w:hAnsi="Arial" w:cs="Arial"/>
          <w:b/>
          <w:bCs/>
          <w:color w:val="000000"/>
          <w:lang w:val="en-US"/>
        </w:rPr>
        <w:t xml:space="preserve"> </w:t>
      </w:r>
      <w:r w:rsidR="00BA3678">
        <w:rPr>
          <w:rFonts w:ascii="Arial" w:eastAsia="Times New Roman" w:hAnsi="Arial" w:cs="Arial"/>
          <w:b/>
          <w:bCs/>
          <w:color w:val="000000"/>
          <w:lang w:val="en-US"/>
        </w:rPr>
        <w:t xml:space="preserve">reported to be associated with Kidney Disease </w:t>
      </w:r>
      <w:r>
        <w:rPr>
          <w:rFonts w:ascii="Arial" w:eastAsia="Times New Roman" w:hAnsi="Arial" w:cs="Arial"/>
          <w:b/>
          <w:bCs/>
          <w:color w:val="000000"/>
          <w:lang w:val="en-US"/>
        </w:rPr>
        <w:t xml:space="preserve">in individuals of </w:t>
      </w:r>
      <w:r w:rsidR="002C1C62">
        <w:rPr>
          <w:rFonts w:ascii="Arial" w:eastAsia="Times New Roman" w:hAnsi="Arial" w:cs="Arial"/>
          <w:b/>
          <w:bCs/>
          <w:color w:val="000000"/>
          <w:lang w:val="en-US"/>
        </w:rPr>
        <w:t xml:space="preserve">African </w:t>
      </w:r>
      <w:r>
        <w:rPr>
          <w:rFonts w:ascii="Arial" w:eastAsia="Times New Roman" w:hAnsi="Arial" w:cs="Arial"/>
          <w:b/>
          <w:bCs/>
          <w:color w:val="000000"/>
          <w:lang w:val="en-US"/>
        </w:rPr>
        <w:t>ancestry.</w:t>
      </w:r>
      <w:r w:rsidR="002C1C62" w:rsidRPr="002C1C62">
        <w:rPr>
          <w:rFonts w:ascii="Arial" w:eastAsia="Times New Roman" w:hAnsi="Arial" w:cs="Arial"/>
          <w:bCs/>
          <w:color w:val="000000"/>
          <w:lang w:val="en-US"/>
        </w:rPr>
        <w:t xml:space="preserve"> S</w:t>
      </w:r>
      <w:r w:rsidR="00BE496F">
        <w:rPr>
          <w:rFonts w:ascii="Arial" w:eastAsia="Times New Roman" w:hAnsi="Arial" w:cs="Arial"/>
          <w:bCs/>
          <w:color w:val="000000"/>
          <w:lang w:val="en-US"/>
        </w:rPr>
        <w:t>hown are the</w:t>
      </w:r>
      <w:r w:rsidR="00BE496F">
        <w:rPr>
          <w:rFonts w:ascii="Arial" w:eastAsia="Times New Roman" w:hAnsi="Arial" w:cs="Arial"/>
          <w:color w:val="000000"/>
          <w:lang w:val="en-US"/>
        </w:rPr>
        <w:t xml:space="preserve"> significant lead variants from the GWAS for Rapid3 and CKD</w:t>
      </w:r>
      <w:r w:rsidR="00BA3678">
        <w:rPr>
          <w:rFonts w:ascii="Arial" w:eastAsia="Times New Roman" w:hAnsi="Arial" w:cs="Arial"/>
          <w:color w:val="000000"/>
          <w:lang w:val="en-US"/>
        </w:rPr>
        <w:t>i</w:t>
      </w:r>
      <w:r w:rsidR="00BE496F">
        <w:rPr>
          <w:rFonts w:ascii="Arial" w:eastAsia="Times New Roman" w:hAnsi="Arial" w:cs="Arial"/>
          <w:color w:val="000000"/>
          <w:lang w:val="en-US"/>
        </w:rPr>
        <w:t>25 and the significant variants from the candidate-based approach from the cross-sectional eGFRcrea GWAMA</w:t>
      </w:r>
      <w:r w:rsidR="00630C24" w:rsidRPr="00630C24">
        <w:rPr>
          <w:rFonts w:ascii="Arial" w:eastAsia="Times New Roman" w:hAnsi="Arial" w:cs="Arial"/>
          <w:color w:val="000000"/>
          <w:vertAlign w:val="superscript"/>
          <w:lang w:val="en-US"/>
        </w:rPr>
        <w:t>17</w:t>
      </w:r>
      <w:r w:rsidR="00BE496F" w:rsidRPr="00BE496F">
        <w:rPr>
          <w:rFonts w:ascii="Arial" w:eastAsia="Times New Roman" w:hAnsi="Arial" w:cs="Arial"/>
          <w:color w:val="000000"/>
          <w:lang w:val="en-US"/>
        </w:rPr>
        <w:t xml:space="preserve"> (s</w:t>
      </w:r>
      <w:r w:rsidR="00BA3678">
        <w:rPr>
          <w:rFonts w:ascii="Arial" w:eastAsia="Times New Roman" w:hAnsi="Arial" w:cs="Arial"/>
          <w:color w:val="000000"/>
          <w:lang w:val="en-US"/>
        </w:rPr>
        <w:t xml:space="preserve">ame as </w:t>
      </w:r>
      <w:r w:rsidR="00BE496F" w:rsidRPr="00BE496F">
        <w:rPr>
          <w:rFonts w:ascii="Arial" w:eastAsia="Times New Roman" w:hAnsi="Arial" w:cs="Arial"/>
          <w:b/>
          <w:color w:val="000000"/>
          <w:lang w:val="en-US"/>
        </w:rPr>
        <w:t>Supplementary Table 4A</w:t>
      </w:r>
      <w:r w:rsidR="00BE496F" w:rsidRPr="00BE496F">
        <w:rPr>
          <w:rFonts w:ascii="Arial" w:eastAsia="Times New Roman" w:hAnsi="Arial" w:cs="Arial"/>
          <w:color w:val="000000"/>
          <w:lang w:val="en-US"/>
        </w:rPr>
        <w:t>)</w:t>
      </w:r>
      <w:r w:rsidR="00BE496F">
        <w:rPr>
          <w:rFonts w:ascii="Arial" w:eastAsia="Times New Roman" w:hAnsi="Arial" w:cs="Arial"/>
          <w:color w:val="000000"/>
          <w:lang w:val="en-US"/>
        </w:rPr>
        <w:t xml:space="preserve"> and two </w:t>
      </w:r>
      <w:r w:rsidR="00BA3678">
        <w:rPr>
          <w:rFonts w:ascii="Arial" w:eastAsia="Times New Roman" w:hAnsi="Arial" w:cs="Arial"/>
          <w:color w:val="000000"/>
          <w:lang w:val="en-US"/>
        </w:rPr>
        <w:t>variants</w:t>
      </w:r>
      <w:r w:rsidR="00BE496F">
        <w:rPr>
          <w:rFonts w:ascii="Arial" w:eastAsia="Times New Roman" w:hAnsi="Arial" w:cs="Arial"/>
          <w:color w:val="000000"/>
          <w:lang w:val="en-US"/>
        </w:rPr>
        <w:t xml:space="preserve"> </w:t>
      </w:r>
      <w:r w:rsidR="00BA3678">
        <w:rPr>
          <w:rFonts w:ascii="Arial" w:eastAsia="Times New Roman" w:hAnsi="Arial" w:cs="Arial"/>
          <w:color w:val="000000"/>
          <w:lang w:val="en-US"/>
        </w:rPr>
        <w:t xml:space="preserve">reported for Kidney Disease </w:t>
      </w:r>
      <w:r w:rsidR="00BE496F">
        <w:rPr>
          <w:rFonts w:ascii="Arial" w:eastAsia="Times New Roman" w:hAnsi="Arial" w:cs="Arial"/>
          <w:color w:val="000000"/>
          <w:lang w:val="en-US"/>
        </w:rPr>
        <w:t xml:space="preserve">in the </w:t>
      </w:r>
      <w:r w:rsidR="00BE496F" w:rsidRPr="00BA3678">
        <w:rPr>
          <w:rFonts w:ascii="Arial" w:eastAsia="Times New Roman" w:hAnsi="Arial" w:cs="Arial"/>
          <w:i/>
          <w:color w:val="000000"/>
          <w:lang w:val="en-US"/>
        </w:rPr>
        <w:t>APOL1</w:t>
      </w:r>
      <w:r w:rsidR="00BE496F">
        <w:rPr>
          <w:rFonts w:ascii="Arial" w:eastAsia="Times New Roman" w:hAnsi="Arial" w:cs="Arial"/>
          <w:color w:val="000000"/>
          <w:lang w:val="en-US"/>
        </w:rPr>
        <w:t xml:space="preserve"> gene</w:t>
      </w:r>
      <w:r w:rsidR="00630C24" w:rsidRPr="00630C24">
        <w:rPr>
          <w:rFonts w:ascii="Arial" w:eastAsia="Times New Roman" w:hAnsi="Arial" w:cs="Arial"/>
          <w:color w:val="000000"/>
          <w:vertAlign w:val="superscript"/>
          <w:lang w:val="en-US"/>
        </w:rPr>
        <w:t>S</w:t>
      </w:r>
      <w:r w:rsidR="00630C24">
        <w:rPr>
          <w:rFonts w:ascii="Arial" w:eastAsia="Times New Roman" w:hAnsi="Arial" w:cs="Arial"/>
          <w:color w:val="000000"/>
          <w:lang w:val="en-US"/>
        </w:rPr>
        <w:fldChar w:fldCharType="begin" w:fldLock="1"/>
      </w:r>
      <w:r w:rsidR="00630C24">
        <w:rPr>
          <w:rFonts w:ascii="Arial" w:eastAsia="Times New Roman" w:hAnsi="Arial" w:cs="Arial"/>
          <w:color w:val="000000"/>
          <w:lang w:val="en-US"/>
        </w:rPr>
        <w:instrText>ADDIN CSL_CITATION {"citationItems":[{"id":"ITEM-1","itemData":{"DOI":"10.1126/science.1193032","ISSN":"00368075","PMID":"20647424","abstract":"African Americans have higher rates of kidney disease than European Americans. Here, we show that, in African Americans, focal segmental glomerulosclerosis (FSGS) and hypertension-attributed end-stage kidney disease (H-ESKD) are associated with two independent sequence variants in the APOL1 gene on chromosome 22 {FSGS odds ratio = 10.5 [95% confidence interval (CI) 6.0 to 18.4]; H-ESKD odds ratio = 7.3 (95% CI 5.6 to 9.5)}. The two APOL1 variants are common in African chromosomes but absent from European chromosomes, and both reside within haplotypes that harbor signatures of positive selection. ApoL1 (apolipoprotein L-1) is a serum factor that lyses trypanosomes. In vitro assays revealed that only the kidney disease-associated ApoL1 variants lysed Trypanosoma brucei rhodesiense. We speculate that evolution of a critical survival factor in Africa may have contributed to the high rates of renal disease in African Americans.","author":[{"dropping-particle":"","family":"Genovese","given":"Giulio","non-dropping-particle":"","parse-names":false,"suffix":""},{"dropping-particle":"","family":"Friedman","given":"David J.","non-dropping-particle":"","parse-names":false,"suffix":""},{"dropping-particle":"","family":"Ross","given":"Michael D.","non-dropping-particle":"","parse-names":false,"suffix":""},{"dropping-particle":"","family":"Lecordier","given":"Laurence","non-dropping-particle":"","parse-names":false,"suffix":""},{"dropping-particle":"","family":"Uzureau","given":"Pierrick","non-dropping-particle":"","parse-names":false,"suffix":""},{"dropping-particle":"","family":"Freedman","given":"Barry I.","non-dropping-particle":"","parse-names":false,"suffix":""},{"dropping-particle":"","family":"Bowden","given":"Donald W.","non-dropping-particle":"","parse-names":false,"suffix":""},{"dropping-particle":"","family":"Langefeld","given":"Carl D.","non-dropping-particle":"","parse-names":false,"suffix":""},{"dropping-particle":"","family":"Oleksyk","given":"Taras K.","non-dropping-particle":"","parse-names":false,"suffix":""},{"dropping-particle":"","family":"Uscinski Knob","given":"Andrea L.","non-dropping-particle":"","parse-names":false,"suffix":""},{"dropping-particle":"","family":"Bernhardy","given":"Andrea J.","non-dropping-particle":"","parse-names":false,"suffix":""},{"dropping-particle":"","family":"Hicks","given":"Pamela J.","non-dropping-particle":"","parse-names":false,"suffix":""},{"dropping-particle":"","family":"Nelson","given":"George W.","non-dropping-particle":"","parse-names":false,"suffix":""},{"dropping-particle":"","family":"Vanhollebeke","given":"Benoit","non-dropping-particle":"","parse-names":false,"suffix":""},{"dropping-particle":"","family":"Winkler","given":"Cheryl A.","non-dropping-particle":"","parse-names":false,"suffix":""},{"dropping-particle":"","family":"Kopp","given":"Jeffrey B.","non-dropping-particle":"","parse-names":false,"suffix":""},{"dropping-particle":"","family":"Pays","given":"Etienne","non-dropping-particle":"","parse-names":false,"suffix":""},{"dropping-particle":"","family":"Pollak","given":"Martin R.","non-dropping-particle":"","parse-names":false,"suffix":""}],"container-title":"Science","id":"ITEM-1","issued":{"date-parts":[["2010"]]},"title":"Association of trypanolytic ApoL1 variants with kidney disease in African Americans","type":"article-journal"},"uris":["http://www.mendeley.com/documents/?uuid=c71a5686-85f3-4a69-9ed4-0edafe7e993c"]}],"mendeley":{"formattedCitation":"&lt;sup&gt;2&lt;/sup&gt;","plainTextFormattedCitation":"2","previouslyFormattedCitation":"&lt;sup&gt;2&lt;/sup&gt;"},"properties":{"noteIndex":0},"schema":"https://github.com/citation-style-language/schema/raw/master/csl-citation.json"}</w:instrText>
      </w:r>
      <w:r w:rsidR="00630C24">
        <w:rPr>
          <w:rFonts w:ascii="Arial" w:eastAsia="Times New Roman" w:hAnsi="Arial" w:cs="Arial"/>
          <w:color w:val="000000"/>
          <w:lang w:val="en-US"/>
        </w:rPr>
        <w:fldChar w:fldCharType="separate"/>
      </w:r>
      <w:r w:rsidR="00630C24" w:rsidRPr="00630C24">
        <w:rPr>
          <w:rFonts w:ascii="Arial" w:eastAsia="Times New Roman" w:hAnsi="Arial" w:cs="Arial"/>
          <w:noProof/>
          <w:color w:val="000000"/>
          <w:vertAlign w:val="superscript"/>
          <w:lang w:val="en-US"/>
        </w:rPr>
        <w:t>2</w:t>
      </w:r>
      <w:r w:rsidR="00630C24">
        <w:rPr>
          <w:rFonts w:ascii="Arial" w:eastAsia="Times New Roman" w:hAnsi="Arial" w:cs="Arial"/>
          <w:color w:val="000000"/>
          <w:lang w:val="en-US"/>
        </w:rPr>
        <w:fldChar w:fldCharType="end"/>
      </w:r>
      <w:r w:rsidR="00342E60">
        <w:rPr>
          <w:rFonts w:ascii="Arial" w:eastAsia="Times New Roman" w:hAnsi="Arial" w:cs="Arial"/>
          <w:color w:val="000000"/>
          <w:vertAlign w:val="superscript"/>
          <w:lang w:val="en-US"/>
        </w:rPr>
        <w:t xml:space="preserve"> </w:t>
      </w:r>
      <w:r w:rsidR="00342E60" w:rsidRPr="00342E60">
        <w:rPr>
          <w:rFonts w:ascii="Arial" w:eastAsia="Times New Roman" w:hAnsi="Arial" w:cs="Arial"/>
          <w:color w:val="000000"/>
          <w:lang w:val="en-US"/>
        </w:rPr>
        <w:t>in indiv</w:t>
      </w:r>
      <w:r w:rsidR="00342E60">
        <w:rPr>
          <w:rFonts w:ascii="Arial" w:eastAsia="Times New Roman" w:hAnsi="Arial" w:cs="Arial"/>
          <w:color w:val="000000"/>
          <w:lang w:val="en-US"/>
        </w:rPr>
        <w:t>idu</w:t>
      </w:r>
      <w:r w:rsidR="00342E60" w:rsidRPr="00342E60">
        <w:rPr>
          <w:rFonts w:ascii="Arial" w:eastAsia="Times New Roman" w:hAnsi="Arial" w:cs="Arial"/>
          <w:color w:val="000000"/>
          <w:lang w:val="en-US"/>
        </w:rPr>
        <w:t>al</w:t>
      </w:r>
      <w:r w:rsidR="00342E60">
        <w:rPr>
          <w:rFonts w:ascii="Arial" w:eastAsia="Times New Roman" w:hAnsi="Arial" w:cs="Arial"/>
          <w:color w:val="000000"/>
          <w:lang w:val="en-US"/>
        </w:rPr>
        <w:t>s</w:t>
      </w:r>
      <w:r w:rsidR="00342E60" w:rsidRPr="00342E60">
        <w:rPr>
          <w:rFonts w:ascii="Arial" w:eastAsia="Times New Roman" w:hAnsi="Arial" w:cs="Arial"/>
          <w:color w:val="000000"/>
          <w:lang w:val="en-US"/>
        </w:rPr>
        <w:t xml:space="preserve"> of African Ancestry</w:t>
      </w:r>
      <w:r w:rsidR="00BE496F">
        <w:rPr>
          <w:rFonts w:ascii="Arial" w:eastAsia="Times New Roman" w:hAnsi="Arial" w:cs="Arial"/>
          <w:color w:val="000000"/>
          <w:lang w:val="en-US"/>
        </w:rPr>
        <w:t>.</w:t>
      </w:r>
    </w:p>
    <w:tbl>
      <w:tblPr>
        <w:tblW w:w="12660" w:type="dxa"/>
        <w:tblLayout w:type="fixed"/>
        <w:tblCellMar>
          <w:left w:w="0" w:type="dxa"/>
          <w:right w:w="0" w:type="dxa"/>
        </w:tblCellMar>
        <w:tblLook w:val="04A0" w:firstRow="1" w:lastRow="0" w:firstColumn="1" w:lastColumn="0" w:noHBand="0" w:noVBand="1"/>
      </w:tblPr>
      <w:tblGrid>
        <w:gridCol w:w="1257"/>
        <w:gridCol w:w="849"/>
        <w:gridCol w:w="1721"/>
        <w:gridCol w:w="92"/>
        <w:gridCol w:w="25"/>
        <w:gridCol w:w="609"/>
        <w:gridCol w:w="708"/>
        <w:gridCol w:w="615"/>
        <w:gridCol w:w="722"/>
        <w:gridCol w:w="850"/>
        <w:gridCol w:w="425"/>
        <w:gridCol w:w="70"/>
        <w:gridCol w:w="7"/>
        <w:gridCol w:w="622"/>
        <w:gridCol w:w="693"/>
        <w:gridCol w:w="584"/>
        <w:gridCol w:w="709"/>
        <w:gridCol w:w="851"/>
        <w:gridCol w:w="499"/>
        <w:gridCol w:w="25"/>
        <w:gridCol w:w="53"/>
        <w:gridCol w:w="647"/>
        <w:gridCol w:w="27"/>
      </w:tblGrid>
      <w:tr w:rsidR="00A12745" w:rsidRPr="00630C24" w14:paraId="5DFB4ABF" w14:textId="77777777" w:rsidTr="0097188D">
        <w:trPr>
          <w:gridAfter w:val="1"/>
          <w:wAfter w:w="27" w:type="dxa"/>
          <w:trHeight w:val="300"/>
        </w:trPr>
        <w:tc>
          <w:tcPr>
            <w:tcW w:w="3919" w:type="dxa"/>
            <w:gridSpan w:val="4"/>
            <w:tcBorders>
              <w:top w:val="single" w:sz="4" w:space="0" w:color="auto"/>
              <w:left w:val="nil"/>
              <w:right w:val="nil"/>
            </w:tcBorders>
            <w:shd w:val="clear" w:color="auto" w:fill="BDD6EE" w:themeFill="accent1" w:themeFillTint="66"/>
            <w:noWrap/>
            <w:vAlign w:val="bottom"/>
            <w:hideMark/>
          </w:tcPr>
          <w:p w14:paraId="03EE095C" w14:textId="77777777" w:rsidR="00A12745" w:rsidRDefault="00A12745" w:rsidP="002978C9">
            <w:pPr>
              <w:spacing w:after="0" w:line="240" w:lineRule="auto"/>
              <w:jc w:val="center"/>
              <w:rPr>
                <w:rFonts w:ascii="Arial" w:eastAsia="Times New Roman" w:hAnsi="Arial" w:cs="Arial"/>
                <w:b/>
                <w:bCs/>
                <w:color w:val="000000"/>
                <w:sz w:val="20"/>
                <w:szCs w:val="20"/>
                <w:lang w:val="en-US"/>
              </w:rPr>
            </w:pPr>
          </w:p>
        </w:tc>
        <w:tc>
          <w:tcPr>
            <w:tcW w:w="3954" w:type="dxa"/>
            <w:gridSpan w:val="7"/>
            <w:tcBorders>
              <w:top w:val="single" w:sz="4" w:space="0" w:color="auto"/>
              <w:left w:val="nil"/>
              <w:bottom w:val="single" w:sz="4" w:space="0" w:color="auto"/>
              <w:right w:val="nil"/>
            </w:tcBorders>
            <w:shd w:val="clear" w:color="auto" w:fill="BDD6EE" w:themeFill="accent1" w:themeFillTint="66"/>
            <w:vAlign w:val="bottom"/>
            <w:hideMark/>
          </w:tcPr>
          <w:p w14:paraId="5DE9B53C"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Rapid3</w:t>
            </w:r>
          </w:p>
        </w:tc>
        <w:tc>
          <w:tcPr>
            <w:tcW w:w="70" w:type="dxa"/>
            <w:tcBorders>
              <w:top w:val="single" w:sz="4" w:space="0" w:color="auto"/>
              <w:left w:val="nil"/>
              <w:bottom w:val="nil"/>
              <w:right w:val="nil"/>
            </w:tcBorders>
            <w:shd w:val="clear" w:color="auto" w:fill="BDD6EE" w:themeFill="accent1" w:themeFillTint="66"/>
            <w:vAlign w:val="bottom"/>
            <w:hideMark/>
          </w:tcPr>
          <w:p w14:paraId="69DA9C15" w14:textId="77777777" w:rsidR="00A12745" w:rsidRDefault="00A12745" w:rsidP="002978C9">
            <w:pPr>
              <w:spacing w:after="0" w:line="240" w:lineRule="auto"/>
              <w:jc w:val="center"/>
              <w:rPr>
                <w:rFonts w:ascii="Arial" w:eastAsia="Times New Roman" w:hAnsi="Arial" w:cs="Arial"/>
                <w:b/>
                <w:bCs/>
                <w:color w:val="000000"/>
                <w:sz w:val="20"/>
                <w:szCs w:val="20"/>
                <w:lang w:val="en-US"/>
              </w:rPr>
            </w:pPr>
          </w:p>
        </w:tc>
        <w:tc>
          <w:tcPr>
            <w:tcW w:w="3990" w:type="dxa"/>
            <w:gridSpan w:val="8"/>
            <w:tcBorders>
              <w:top w:val="single" w:sz="4" w:space="0" w:color="auto"/>
              <w:left w:val="nil"/>
              <w:bottom w:val="single" w:sz="4" w:space="0" w:color="auto"/>
              <w:right w:val="nil"/>
            </w:tcBorders>
            <w:shd w:val="clear" w:color="auto" w:fill="BDD6EE" w:themeFill="accent1" w:themeFillTint="66"/>
            <w:vAlign w:val="bottom"/>
            <w:hideMark/>
          </w:tcPr>
          <w:p w14:paraId="02A2B0F1"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CKDi25</w:t>
            </w:r>
          </w:p>
        </w:tc>
        <w:tc>
          <w:tcPr>
            <w:tcW w:w="700" w:type="dxa"/>
            <w:gridSpan w:val="2"/>
            <w:tcBorders>
              <w:top w:val="single" w:sz="4" w:space="0" w:color="auto"/>
              <w:left w:val="nil"/>
              <w:bottom w:val="nil"/>
              <w:right w:val="nil"/>
            </w:tcBorders>
            <w:shd w:val="clear" w:color="auto" w:fill="BDD6EE" w:themeFill="accent1" w:themeFillTint="66"/>
            <w:vAlign w:val="bottom"/>
            <w:hideMark/>
          </w:tcPr>
          <w:p w14:paraId="366AC2D3" w14:textId="77777777" w:rsidR="00A12745" w:rsidRDefault="00A12745" w:rsidP="002978C9">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r>
      <w:tr w:rsidR="00A12745" w:rsidRPr="00630C24" w14:paraId="28DDCB7F" w14:textId="77777777" w:rsidTr="0097188D">
        <w:trPr>
          <w:trHeight w:val="705"/>
        </w:trPr>
        <w:tc>
          <w:tcPr>
            <w:tcW w:w="1257" w:type="dxa"/>
            <w:tcBorders>
              <w:top w:val="nil"/>
              <w:left w:val="nil"/>
              <w:bottom w:val="single" w:sz="4" w:space="0" w:color="auto"/>
              <w:right w:val="nil"/>
            </w:tcBorders>
            <w:shd w:val="clear" w:color="auto" w:fill="BDD6EE" w:themeFill="accent1" w:themeFillTint="66"/>
            <w:noWrap/>
            <w:vAlign w:val="bottom"/>
            <w:hideMark/>
          </w:tcPr>
          <w:p w14:paraId="0C6F75E7" w14:textId="77777777" w:rsidR="00A12745" w:rsidRDefault="00A12745" w:rsidP="002978C9">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RSID</w:t>
            </w:r>
          </w:p>
        </w:tc>
        <w:tc>
          <w:tcPr>
            <w:tcW w:w="849" w:type="dxa"/>
            <w:tcBorders>
              <w:top w:val="nil"/>
              <w:left w:val="nil"/>
              <w:bottom w:val="single" w:sz="4" w:space="0" w:color="auto"/>
              <w:right w:val="nil"/>
            </w:tcBorders>
            <w:shd w:val="clear" w:color="auto" w:fill="BDD6EE" w:themeFill="accent1" w:themeFillTint="66"/>
            <w:vAlign w:val="bottom"/>
            <w:hideMark/>
          </w:tcPr>
          <w:p w14:paraId="2B0AE3B4" w14:textId="77777777" w:rsidR="00A12745" w:rsidRDefault="00A12745" w:rsidP="002978C9">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Ident. analysis</w:t>
            </w:r>
          </w:p>
        </w:tc>
        <w:tc>
          <w:tcPr>
            <w:tcW w:w="1721" w:type="dxa"/>
            <w:tcBorders>
              <w:top w:val="nil"/>
              <w:left w:val="nil"/>
              <w:bottom w:val="single" w:sz="4" w:space="0" w:color="auto"/>
              <w:right w:val="nil"/>
            </w:tcBorders>
            <w:shd w:val="clear" w:color="auto" w:fill="BDD6EE" w:themeFill="accent1" w:themeFillTint="66"/>
            <w:vAlign w:val="bottom"/>
            <w:hideMark/>
          </w:tcPr>
          <w:p w14:paraId="5BCE407D"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17" w:type="dxa"/>
            <w:gridSpan w:val="2"/>
            <w:tcBorders>
              <w:top w:val="nil"/>
              <w:left w:val="nil"/>
              <w:bottom w:val="single" w:sz="4" w:space="0" w:color="auto"/>
              <w:right w:val="nil"/>
            </w:tcBorders>
            <w:shd w:val="clear" w:color="auto" w:fill="BDD6EE" w:themeFill="accent1" w:themeFillTint="66"/>
            <w:noWrap/>
            <w:vAlign w:val="bottom"/>
            <w:hideMark/>
          </w:tcPr>
          <w:p w14:paraId="128CDBEC"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609" w:type="dxa"/>
            <w:tcBorders>
              <w:top w:val="nil"/>
              <w:left w:val="nil"/>
              <w:bottom w:val="single" w:sz="4" w:space="0" w:color="auto"/>
              <w:right w:val="nil"/>
            </w:tcBorders>
            <w:shd w:val="clear" w:color="auto" w:fill="BDD6EE" w:themeFill="accent1" w:themeFillTint="66"/>
            <w:noWrap/>
            <w:vAlign w:val="bottom"/>
            <w:hideMark/>
          </w:tcPr>
          <w:p w14:paraId="40DD9E6A"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708" w:type="dxa"/>
            <w:tcBorders>
              <w:top w:val="nil"/>
              <w:left w:val="nil"/>
              <w:bottom w:val="single" w:sz="4" w:space="0" w:color="auto"/>
              <w:right w:val="nil"/>
            </w:tcBorders>
            <w:shd w:val="clear" w:color="auto" w:fill="BDD6EE" w:themeFill="accent1" w:themeFillTint="66"/>
            <w:noWrap/>
            <w:vAlign w:val="bottom"/>
            <w:hideMark/>
          </w:tcPr>
          <w:p w14:paraId="11130C65"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w:t>
            </w:r>
          </w:p>
        </w:tc>
        <w:tc>
          <w:tcPr>
            <w:tcW w:w="615" w:type="dxa"/>
            <w:tcBorders>
              <w:top w:val="nil"/>
              <w:left w:val="nil"/>
              <w:bottom w:val="single" w:sz="4" w:space="0" w:color="auto"/>
              <w:right w:val="nil"/>
            </w:tcBorders>
            <w:shd w:val="clear" w:color="auto" w:fill="BDD6EE" w:themeFill="accent1" w:themeFillTint="66"/>
            <w:noWrap/>
            <w:vAlign w:val="bottom"/>
            <w:hideMark/>
          </w:tcPr>
          <w:p w14:paraId="22CF47E6"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722" w:type="dxa"/>
            <w:tcBorders>
              <w:top w:val="nil"/>
              <w:left w:val="nil"/>
              <w:bottom w:val="single" w:sz="4" w:space="0" w:color="auto"/>
              <w:right w:val="nil"/>
            </w:tcBorders>
            <w:shd w:val="clear" w:color="auto" w:fill="BDD6EE" w:themeFill="accent1" w:themeFillTint="66"/>
            <w:vAlign w:val="bottom"/>
            <w:hideMark/>
          </w:tcPr>
          <w:p w14:paraId="050607CB"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cases</w:t>
            </w:r>
          </w:p>
        </w:tc>
        <w:tc>
          <w:tcPr>
            <w:tcW w:w="850" w:type="dxa"/>
            <w:tcBorders>
              <w:top w:val="nil"/>
              <w:left w:val="nil"/>
              <w:bottom w:val="single" w:sz="4" w:space="0" w:color="auto"/>
              <w:right w:val="nil"/>
            </w:tcBorders>
            <w:shd w:val="clear" w:color="auto" w:fill="BDD6EE" w:themeFill="accent1" w:themeFillTint="66"/>
            <w:vAlign w:val="bottom"/>
            <w:hideMark/>
          </w:tcPr>
          <w:p w14:paraId="5365A3ED"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ctrls</w:t>
            </w:r>
          </w:p>
        </w:tc>
        <w:tc>
          <w:tcPr>
            <w:tcW w:w="425" w:type="dxa"/>
            <w:tcBorders>
              <w:top w:val="nil"/>
              <w:left w:val="nil"/>
              <w:bottom w:val="single" w:sz="4" w:space="0" w:color="auto"/>
              <w:right w:val="nil"/>
            </w:tcBorders>
            <w:shd w:val="clear" w:color="auto" w:fill="BDD6EE" w:themeFill="accent1" w:themeFillTint="66"/>
            <w:vAlign w:val="bottom"/>
            <w:hideMark/>
          </w:tcPr>
          <w:p w14:paraId="7D4EA93D"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stud</w:t>
            </w:r>
          </w:p>
        </w:tc>
        <w:tc>
          <w:tcPr>
            <w:tcW w:w="77" w:type="dxa"/>
            <w:gridSpan w:val="2"/>
            <w:tcBorders>
              <w:top w:val="nil"/>
              <w:left w:val="nil"/>
              <w:bottom w:val="nil"/>
              <w:right w:val="nil"/>
            </w:tcBorders>
            <w:shd w:val="clear" w:color="auto" w:fill="BDD6EE" w:themeFill="accent1" w:themeFillTint="66"/>
            <w:noWrap/>
            <w:vAlign w:val="bottom"/>
            <w:hideMark/>
          </w:tcPr>
          <w:p w14:paraId="4DBF89D0" w14:textId="77777777" w:rsidR="00A12745" w:rsidRDefault="00A12745" w:rsidP="002978C9">
            <w:pPr>
              <w:spacing w:after="0" w:line="240" w:lineRule="auto"/>
              <w:jc w:val="center"/>
              <w:rPr>
                <w:rFonts w:ascii="Arial" w:eastAsia="Times New Roman" w:hAnsi="Arial" w:cs="Arial"/>
                <w:b/>
                <w:bCs/>
                <w:color w:val="000000"/>
                <w:sz w:val="20"/>
                <w:szCs w:val="20"/>
                <w:lang w:val="en-US"/>
              </w:rPr>
            </w:pPr>
          </w:p>
        </w:tc>
        <w:tc>
          <w:tcPr>
            <w:tcW w:w="622" w:type="dxa"/>
            <w:tcBorders>
              <w:top w:val="nil"/>
              <w:left w:val="nil"/>
              <w:bottom w:val="single" w:sz="4" w:space="0" w:color="auto"/>
              <w:right w:val="nil"/>
            </w:tcBorders>
            <w:shd w:val="clear" w:color="auto" w:fill="BDD6EE" w:themeFill="accent1" w:themeFillTint="66"/>
            <w:noWrap/>
            <w:vAlign w:val="bottom"/>
            <w:hideMark/>
          </w:tcPr>
          <w:p w14:paraId="4816C5C1"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693" w:type="dxa"/>
            <w:tcBorders>
              <w:top w:val="nil"/>
              <w:left w:val="nil"/>
              <w:bottom w:val="single" w:sz="4" w:space="0" w:color="auto"/>
              <w:right w:val="nil"/>
            </w:tcBorders>
            <w:shd w:val="clear" w:color="auto" w:fill="BDD6EE" w:themeFill="accent1" w:themeFillTint="66"/>
            <w:noWrap/>
            <w:vAlign w:val="bottom"/>
            <w:hideMark/>
          </w:tcPr>
          <w:p w14:paraId="2CAD6B1C"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w:t>
            </w:r>
          </w:p>
        </w:tc>
        <w:tc>
          <w:tcPr>
            <w:tcW w:w="584" w:type="dxa"/>
            <w:tcBorders>
              <w:top w:val="nil"/>
              <w:left w:val="nil"/>
              <w:bottom w:val="single" w:sz="4" w:space="0" w:color="auto"/>
              <w:right w:val="nil"/>
            </w:tcBorders>
            <w:shd w:val="clear" w:color="auto" w:fill="BDD6EE" w:themeFill="accent1" w:themeFillTint="66"/>
            <w:noWrap/>
            <w:vAlign w:val="bottom"/>
            <w:hideMark/>
          </w:tcPr>
          <w:p w14:paraId="13F2DD87"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709" w:type="dxa"/>
            <w:tcBorders>
              <w:top w:val="nil"/>
              <w:left w:val="nil"/>
              <w:bottom w:val="single" w:sz="4" w:space="0" w:color="auto"/>
              <w:right w:val="nil"/>
            </w:tcBorders>
            <w:shd w:val="clear" w:color="auto" w:fill="BDD6EE" w:themeFill="accent1" w:themeFillTint="66"/>
            <w:vAlign w:val="bottom"/>
            <w:hideMark/>
          </w:tcPr>
          <w:p w14:paraId="67293B0A"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cases</w:t>
            </w:r>
          </w:p>
        </w:tc>
        <w:tc>
          <w:tcPr>
            <w:tcW w:w="851" w:type="dxa"/>
            <w:tcBorders>
              <w:top w:val="nil"/>
              <w:left w:val="nil"/>
              <w:bottom w:val="single" w:sz="4" w:space="0" w:color="auto"/>
              <w:right w:val="nil"/>
            </w:tcBorders>
            <w:shd w:val="clear" w:color="auto" w:fill="BDD6EE" w:themeFill="accent1" w:themeFillTint="66"/>
            <w:vAlign w:val="bottom"/>
            <w:hideMark/>
          </w:tcPr>
          <w:p w14:paraId="33CAD4E9"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ctrls</w:t>
            </w:r>
          </w:p>
        </w:tc>
        <w:tc>
          <w:tcPr>
            <w:tcW w:w="499" w:type="dxa"/>
            <w:tcBorders>
              <w:top w:val="nil"/>
              <w:left w:val="nil"/>
              <w:bottom w:val="single" w:sz="4" w:space="0" w:color="auto"/>
              <w:right w:val="nil"/>
            </w:tcBorders>
            <w:shd w:val="clear" w:color="auto" w:fill="BDD6EE" w:themeFill="accent1" w:themeFillTint="66"/>
            <w:vAlign w:val="bottom"/>
            <w:hideMark/>
          </w:tcPr>
          <w:p w14:paraId="0756C62A"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w:t>
            </w:r>
            <w:r>
              <w:rPr>
                <w:rFonts w:ascii="Arial" w:eastAsia="Times New Roman" w:hAnsi="Arial" w:cs="Arial"/>
                <w:b/>
                <w:bCs/>
                <w:color w:val="000000"/>
                <w:sz w:val="20"/>
                <w:szCs w:val="20"/>
                <w:lang w:val="en-US"/>
              </w:rPr>
              <w:br/>
              <w:t>stud</w:t>
            </w:r>
          </w:p>
        </w:tc>
        <w:tc>
          <w:tcPr>
            <w:tcW w:w="78" w:type="dxa"/>
            <w:gridSpan w:val="2"/>
            <w:tcBorders>
              <w:top w:val="nil"/>
              <w:left w:val="nil"/>
              <w:bottom w:val="nil"/>
              <w:right w:val="nil"/>
            </w:tcBorders>
            <w:shd w:val="clear" w:color="auto" w:fill="BDD6EE" w:themeFill="accent1" w:themeFillTint="66"/>
            <w:vAlign w:val="bottom"/>
            <w:hideMark/>
          </w:tcPr>
          <w:p w14:paraId="26FCF2BB" w14:textId="77777777" w:rsidR="00A12745" w:rsidRDefault="00A12745" w:rsidP="002978C9">
            <w:pPr>
              <w:spacing w:after="0" w:line="240" w:lineRule="auto"/>
              <w:jc w:val="center"/>
              <w:rPr>
                <w:rFonts w:ascii="Arial" w:eastAsia="Times New Roman" w:hAnsi="Arial" w:cs="Arial"/>
                <w:b/>
                <w:bCs/>
                <w:color w:val="000000"/>
                <w:sz w:val="20"/>
                <w:szCs w:val="20"/>
                <w:lang w:val="en-US"/>
              </w:rPr>
            </w:pPr>
          </w:p>
        </w:tc>
        <w:tc>
          <w:tcPr>
            <w:tcW w:w="674" w:type="dxa"/>
            <w:gridSpan w:val="2"/>
            <w:tcBorders>
              <w:top w:val="nil"/>
              <w:left w:val="nil"/>
              <w:bottom w:val="single" w:sz="4" w:space="0" w:color="auto"/>
              <w:right w:val="nil"/>
            </w:tcBorders>
            <w:shd w:val="clear" w:color="auto" w:fill="BDD6EE" w:themeFill="accent1" w:themeFillTint="66"/>
            <w:vAlign w:val="bottom"/>
            <w:hideMark/>
          </w:tcPr>
          <w:p w14:paraId="50F8AF9F" w14:textId="77777777" w:rsidR="00A12745" w:rsidRDefault="00A12745" w:rsidP="002978C9">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w:t>
            </w:r>
            <w:r>
              <w:rPr>
                <w:rFonts w:ascii="Arial" w:eastAsia="Times New Roman" w:hAnsi="Arial" w:cs="Arial"/>
                <w:b/>
                <w:bCs/>
                <w:color w:val="000000"/>
                <w:sz w:val="20"/>
                <w:szCs w:val="20"/>
                <w:lang w:val="en-US"/>
              </w:rPr>
              <w:br/>
              <w:t>signal no.</w:t>
            </w:r>
          </w:p>
        </w:tc>
      </w:tr>
      <w:tr w:rsidR="00A12745" w:rsidRPr="00630C24" w14:paraId="688AC449" w14:textId="77777777" w:rsidTr="0097188D">
        <w:tc>
          <w:tcPr>
            <w:tcW w:w="1257" w:type="dxa"/>
            <w:tcBorders>
              <w:top w:val="nil"/>
              <w:left w:val="nil"/>
              <w:bottom w:val="nil"/>
              <w:right w:val="nil"/>
            </w:tcBorders>
            <w:shd w:val="clear" w:color="auto" w:fill="D9D9D9" w:themeFill="background1" w:themeFillShade="D9"/>
            <w:vAlign w:val="center"/>
            <w:hideMark/>
          </w:tcPr>
          <w:p w14:paraId="5FD485B3" w14:textId="77777777" w:rsidR="00A12745" w:rsidRDefault="00A12745" w:rsidP="0066268C">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rs13329952</w:t>
            </w:r>
            <w:r>
              <w:rPr>
                <w:rFonts w:ascii="Arial" w:eastAsia="Times New Roman" w:hAnsi="Arial" w:cs="Arial"/>
                <w:color w:val="000000"/>
                <w:sz w:val="20"/>
                <w:szCs w:val="20"/>
                <w:lang w:val="en-US"/>
              </w:rPr>
              <w:br/>
              <w:t>rs12922822</w:t>
            </w:r>
          </w:p>
        </w:tc>
        <w:tc>
          <w:tcPr>
            <w:tcW w:w="849" w:type="dxa"/>
            <w:tcBorders>
              <w:top w:val="nil"/>
              <w:left w:val="nil"/>
              <w:bottom w:val="nil"/>
              <w:right w:val="nil"/>
            </w:tcBorders>
            <w:shd w:val="clear" w:color="auto" w:fill="D9D9D9" w:themeFill="background1" w:themeFillShade="D9"/>
            <w:vAlign w:val="center"/>
            <w:hideMark/>
          </w:tcPr>
          <w:p w14:paraId="771A1790" w14:textId="77777777" w:rsidR="00A12745" w:rsidRDefault="00A12745" w:rsidP="0066268C">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r>
              <w:rPr>
                <w:rFonts w:ascii="Arial" w:eastAsia="Times New Roman" w:hAnsi="Arial" w:cs="Arial"/>
                <w:color w:val="000000"/>
                <w:sz w:val="20"/>
                <w:szCs w:val="20"/>
                <w:lang w:val="en-US"/>
              </w:rPr>
              <w:br/>
              <w:t>CKDi25</w:t>
            </w:r>
          </w:p>
        </w:tc>
        <w:tc>
          <w:tcPr>
            <w:tcW w:w="1721" w:type="dxa"/>
            <w:tcBorders>
              <w:top w:val="nil"/>
              <w:left w:val="nil"/>
              <w:bottom w:val="nil"/>
              <w:right w:val="nil"/>
            </w:tcBorders>
            <w:shd w:val="clear" w:color="auto" w:fill="D9D9D9" w:themeFill="background1" w:themeFillShade="D9"/>
            <w:noWrap/>
            <w:vAlign w:val="center"/>
            <w:hideMark/>
          </w:tcPr>
          <w:p w14:paraId="3F06F2F6" w14:textId="77777777" w:rsidR="00A12745" w:rsidRDefault="00A12745" w:rsidP="0066268C">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w:t>
            </w:r>
            <w:bookmarkStart w:id="0" w:name="_GoBack"/>
            <w:bookmarkEnd w:id="0"/>
            <w:r>
              <w:rPr>
                <w:rFonts w:ascii="Arial" w:eastAsia="Times New Roman" w:hAnsi="Arial" w:cs="Arial"/>
                <w:color w:val="000000"/>
                <w:sz w:val="20"/>
                <w:szCs w:val="20"/>
                <w:lang w:val="en-US"/>
              </w:rPr>
              <w:t>-PDILT]</w:t>
            </w:r>
          </w:p>
        </w:tc>
        <w:tc>
          <w:tcPr>
            <w:tcW w:w="117" w:type="dxa"/>
            <w:gridSpan w:val="2"/>
            <w:tcBorders>
              <w:top w:val="nil"/>
              <w:left w:val="nil"/>
              <w:bottom w:val="nil"/>
              <w:right w:val="nil"/>
            </w:tcBorders>
            <w:shd w:val="clear" w:color="auto" w:fill="D9D9D9" w:themeFill="background1" w:themeFillShade="D9"/>
            <w:noWrap/>
            <w:vAlign w:val="bottom"/>
            <w:hideMark/>
          </w:tcPr>
          <w:p w14:paraId="08A3A6C1" w14:textId="77777777" w:rsidR="00A12745" w:rsidRDefault="00A12745" w:rsidP="0066268C">
            <w:pPr>
              <w:spacing w:before="60" w:after="60" w:line="240" w:lineRule="auto"/>
              <w:jc w:val="center"/>
              <w:rPr>
                <w:rFonts w:ascii="Arial" w:eastAsia="Times New Roman" w:hAnsi="Arial" w:cs="Arial"/>
                <w:color w:val="000000"/>
                <w:sz w:val="20"/>
                <w:szCs w:val="20"/>
                <w:lang w:val="en-US"/>
              </w:rPr>
            </w:pPr>
          </w:p>
        </w:tc>
        <w:tc>
          <w:tcPr>
            <w:tcW w:w="609" w:type="dxa"/>
            <w:tcBorders>
              <w:top w:val="nil"/>
              <w:left w:val="nil"/>
              <w:bottom w:val="nil"/>
              <w:right w:val="nil"/>
            </w:tcBorders>
            <w:shd w:val="clear" w:color="auto" w:fill="D9D9D9" w:themeFill="background1" w:themeFillShade="D9"/>
            <w:vAlign w:val="bottom"/>
          </w:tcPr>
          <w:p w14:paraId="1E33B315"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1.091</w:t>
            </w:r>
          </w:p>
          <w:p w14:paraId="0940F65C" w14:textId="5E03CC8B" w:rsidR="0097188D" w:rsidRPr="000335E4" w:rsidRDefault="0097188D"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1.031</w:t>
            </w:r>
          </w:p>
        </w:tc>
        <w:tc>
          <w:tcPr>
            <w:tcW w:w="708" w:type="dxa"/>
            <w:tcBorders>
              <w:top w:val="nil"/>
              <w:left w:val="nil"/>
              <w:bottom w:val="nil"/>
              <w:right w:val="nil"/>
            </w:tcBorders>
            <w:shd w:val="clear" w:color="auto" w:fill="D9D9D9" w:themeFill="background1" w:themeFillShade="D9"/>
            <w:vAlign w:val="bottom"/>
          </w:tcPr>
          <w:p w14:paraId="6A9E6E00"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0.0509</w:t>
            </w:r>
          </w:p>
          <w:p w14:paraId="1C37DC66" w14:textId="131275F6" w:rsidR="0097188D" w:rsidRPr="000335E4" w:rsidRDefault="0097188D"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0.1052</w:t>
            </w:r>
          </w:p>
        </w:tc>
        <w:tc>
          <w:tcPr>
            <w:tcW w:w="615" w:type="dxa"/>
            <w:tcBorders>
              <w:top w:val="nil"/>
              <w:left w:val="nil"/>
              <w:bottom w:val="nil"/>
              <w:right w:val="nil"/>
            </w:tcBorders>
            <w:shd w:val="clear" w:color="auto" w:fill="D9D9D9" w:themeFill="background1" w:themeFillShade="D9"/>
            <w:vAlign w:val="bottom"/>
          </w:tcPr>
          <w:p w14:paraId="2E155650" w14:textId="77777777" w:rsidR="00A12745" w:rsidRPr="000335E4" w:rsidRDefault="00A12745" w:rsidP="00D42339">
            <w:pPr>
              <w:spacing w:before="60" w:after="60" w:line="240" w:lineRule="auto"/>
              <w:jc w:val="center"/>
              <w:rPr>
                <w:rFonts w:ascii="Arial" w:hAnsi="Arial" w:cs="Arial"/>
                <w:sz w:val="20"/>
                <w:szCs w:val="20"/>
                <w:lang w:val="en-US"/>
              </w:rPr>
            </w:pPr>
            <w:r w:rsidRPr="000335E4">
              <w:rPr>
                <w:rFonts w:ascii="Arial" w:hAnsi="Arial" w:cs="Arial"/>
                <w:sz w:val="20"/>
                <w:szCs w:val="20"/>
                <w:lang w:val="en-US"/>
              </w:rPr>
              <w:t>0.09</w:t>
            </w:r>
          </w:p>
          <w:p w14:paraId="260EF8A4" w14:textId="00E656AA" w:rsidR="0097188D" w:rsidRPr="000335E4" w:rsidRDefault="0097188D" w:rsidP="00D42339">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0.77</w:t>
            </w:r>
          </w:p>
        </w:tc>
        <w:tc>
          <w:tcPr>
            <w:tcW w:w="722" w:type="dxa"/>
            <w:tcBorders>
              <w:top w:val="nil"/>
              <w:left w:val="nil"/>
              <w:bottom w:val="nil"/>
              <w:right w:val="nil"/>
            </w:tcBorders>
            <w:shd w:val="clear" w:color="auto" w:fill="D9D9D9" w:themeFill="background1" w:themeFillShade="D9"/>
            <w:vAlign w:val="bottom"/>
          </w:tcPr>
          <w:p w14:paraId="12D2647F" w14:textId="77777777" w:rsidR="00A12745" w:rsidRPr="000335E4" w:rsidRDefault="00A12745" w:rsidP="0066268C">
            <w:pPr>
              <w:spacing w:before="60" w:after="60" w:line="240" w:lineRule="auto"/>
              <w:jc w:val="right"/>
              <w:rPr>
                <w:rFonts w:ascii="Arial" w:hAnsi="Arial" w:cs="Arial"/>
                <w:sz w:val="20"/>
                <w:szCs w:val="20"/>
                <w:lang w:val="en-US"/>
              </w:rPr>
            </w:pPr>
            <w:r w:rsidRPr="000335E4">
              <w:rPr>
                <w:rFonts w:ascii="Arial" w:hAnsi="Arial" w:cs="Arial"/>
                <w:sz w:val="20"/>
                <w:szCs w:val="20"/>
                <w:lang w:val="en-US"/>
              </w:rPr>
              <w:t>2,356</w:t>
            </w:r>
          </w:p>
          <w:p w14:paraId="27657F46" w14:textId="51C9A32A" w:rsidR="0097188D" w:rsidRPr="000335E4" w:rsidRDefault="0097188D" w:rsidP="0066268C">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lang w:val="en-US"/>
              </w:rPr>
              <w:t>2,356</w:t>
            </w:r>
          </w:p>
        </w:tc>
        <w:tc>
          <w:tcPr>
            <w:tcW w:w="850" w:type="dxa"/>
            <w:tcBorders>
              <w:top w:val="nil"/>
              <w:left w:val="nil"/>
              <w:bottom w:val="nil"/>
              <w:right w:val="nil"/>
            </w:tcBorders>
            <w:shd w:val="clear" w:color="auto" w:fill="D9D9D9" w:themeFill="background1" w:themeFillShade="D9"/>
            <w:vAlign w:val="bottom"/>
          </w:tcPr>
          <w:p w14:paraId="304A8652" w14:textId="77777777" w:rsidR="00A12745" w:rsidRPr="000335E4" w:rsidRDefault="0097188D" w:rsidP="0097188D">
            <w:pPr>
              <w:spacing w:before="60" w:after="60" w:line="240" w:lineRule="auto"/>
              <w:jc w:val="right"/>
              <w:rPr>
                <w:rFonts w:ascii="Arial" w:hAnsi="Arial" w:cs="Arial"/>
                <w:sz w:val="20"/>
                <w:szCs w:val="20"/>
                <w:lang w:val="en-US"/>
              </w:rPr>
            </w:pPr>
            <w:r w:rsidRPr="000335E4">
              <w:rPr>
                <w:rFonts w:ascii="Arial" w:hAnsi="Arial" w:cs="Arial"/>
                <w:sz w:val="20"/>
                <w:szCs w:val="20"/>
                <w:lang w:val="en-US"/>
              </w:rPr>
              <w:t>2,375</w:t>
            </w:r>
          </w:p>
          <w:p w14:paraId="7BD07625" w14:textId="48D0D95D" w:rsidR="0097188D" w:rsidRPr="000335E4" w:rsidRDefault="0097188D" w:rsidP="0097188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lang w:val="en-US"/>
              </w:rPr>
              <w:t>2,375</w:t>
            </w:r>
          </w:p>
        </w:tc>
        <w:tc>
          <w:tcPr>
            <w:tcW w:w="425" w:type="dxa"/>
            <w:tcBorders>
              <w:top w:val="nil"/>
              <w:left w:val="nil"/>
              <w:bottom w:val="nil"/>
              <w:right w:val="nil"/>
            </w:tcBorders>
            <w:shd w:val="clear" w:color="auto" w:fill="D9D9D9" w:themeFill="background1" w:themeFillShade="D9"/>
            <w:vAlign w:val="bottom"/>
          </w:tcPr>
          <w:p w14:paraId="28868FA3" w14:textId="77777777" w:rsidR="00A12745" w:rsidRPr="000335E4" w:rsidRDefault="00A12745" w:rsidP="00D42339">
            <w:pPr>
              <w:spacing w:before="60" w:after="60" w:line="240" w:lineRule="auto"/>
              <w:jc w:val="center"/>
              <w:rPr>
                <w:rFonts w:ascii="Arial" w:hAnsi="Arial" w:cs="Arial"/>
                <w:sz w:val="20"/>
                <w:szCs w:val="20"/>
                <w:lang w:val="en-US"/>
              </w:rPr>
            </w:pPr>
            <w:r w:rsidRPr="000335E4">
              <w:rPr>
                <w:rFonts w:ascii="Arial" w:hAnsi="Arial" w:cs="Arial"/>
                <w:sz w:val="20"/>
                <w:szCs w:val="20"/>
                <w:lang w:val="en-US"/>
              </w:rPr>
              <w:t>6</w:t>
            </w:r>
          </w:p>
          <w:p w14:paraId="075161DB" w14:textId="7AF85029" w:rsidR="0097188D" w:rsidRPr="000335E4" w:rsidRDefault="0097188D" w:rsidP="00D42339">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6</w:t>
            </w:r>
          </w:p>
        </w:tc>
        <w:tc>
          <w:tcPr>
            <w:tcW w:w="77" w:type="dxa"/>
            <w:gridSpan w:val="2"/>
            <w:tcBorders>
              <w:top w:val="nil"/>
              <w:left w:val="nil"/>
              <w:bottom w:val="nil"/>
              <w:right w:val="nil"/>
            </w:tcBorders>
            <w:shd w:val="clear" w:color="auto" w:fill="D9D9D9" w:themeFill="background1" w:themeFillShade="D9"/>
            <w:noWrap/>
            <w:vAlign w:val="bottom"/>
            <w:hideMark/>
          </w:tcPr>
          <w:p w14:paraId="5823BE23" w14:textId="77777777" w:rsidR="00A12745" w:rsidRPr="000335E4" w:rsidRDefault="00A12745" w:rsidP="0066268C">
            <w:pPr>
              <w:spacing w:before="60" w:after="60" w:line="240" w:lineRule="auto"/>
              <w:jc w:val="center"/>
              <w:rPr>
                <w:rFonts w:ascii="Arial" w:eastAsia="Times New Roman" w:hAnsi="Arial" w:cs="Arial"/>
                <w:sz w:val="20"/>
                <w:szCs w:val="20"/>
                <w:lang w:val="en-US"/>
              </w:rPr>
            </w:pPr>
          </w:p>
        </w:tc>
        <w:tc>
          <w:tcPr>
            <w:tcW w:w="622" w:type="dxa"/>
            <w:tcBorders>
              <w:top w:val="nil"/>
              <w:left w:val="nil"/>
              <w:bottom w:val="nil"/>
              <w:right w:val="nil"/>
            </w:tcBorders>
            <w:shd w:val="clear" w:color="auto" w:fill="D9D9D9" w:themeFill="background1" w:themeFillShade="D9"/>
            <w:vAlign w:val="bottom"/>
          </w:tcPr>
          <w:p w14:paraId="0F4EDECB"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1.165</w:t>
            </w:r>
          </w:p>
          <w:p w14:paraId="6E422BAA" w14:textId="6A481C23" w:rsidR="0062014A" w:rsidRPr="000335E4" w:rsidRDefault="0062014A"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1.178</w:t>
            </w:r>
          </w:p>
        </w:tc>
        <w:tc>
          <w:tcPr>
            <w:tcW w:w="693" w:type="dxa"/>
            <w:tcBorders>
              <w:top w:val="nil"/>
              <w:left w:val="nil"/>
              <w:bottom w:val="nil"/>
              <w:right w:val="nil"/>
            </w:tcBorders>
            <w:shd w:val="clear" w:color="auto" w:fill="D9D9D9" w:themeFill="background1" w:themeFillShade="D9"/>
            <w:vAlign w:val="bottom"/>
          </w:tcPr>
          <w:p w14:paraId="747C50F7"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0.0941</w:t>
            </w:r>
          </w:p>
          <w:p w14:paraId="7B92089F" w14:textId="390A1E36" w:rsidR="0062014A" w:rsidRPr="000335E4" w:rsidRDefault="0062014A"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0.1979</w:t>
            </w:r>
          </w:p>
        </w:tc>
        <w:tc>
          <w:tcPr>
            <w:tcW w:w="584" w:type="dxa"/>
            <w:tcBorders>
              <w:top w:val="nil"/>
              <w:left w:val="nil"/>
              <w:bottom w:val="nil"/>
              <w:right w:val="nil"/>
            </w:tcBorders>
            <w:shd w:val="clear" w:color="auto" w:fill="D9D9D9" w:themeFill="background1" w:themeFillShade="D9"/>
            <w:vAlign w:val="bottom"/>
          </w:tcPr>
          <w:p w14:paraId="48618233"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0.10</w:t>
            </w:r>
          </w:p>
          <w:p w14:paraId="2C61C34F" w14:textId="239594E6" w:rsidR="0062014A" w:rsidRPr="000335E4" w:rsidRDefault="0062014A"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0.41</w:t>
            </w:r>
          </w:p>
        </w:tc>
        <w:tc>
          <w:tcPr>
            <w:tcW w:w="709" w:type="dxa"/>
            <w:tcBorders>
              <w:top w:val="nil"/>
              <w:left w:val="nil"/>
              <w:bottom w:val="nil"/>
              <w:right w:val="nil"/>
            </w:tcBorders>
            <w:shd w:val="clear" w:color="auto" w:fill="D9D9D9" w:themeFill="background1" w:themeFillShade="D9"/>
            <w:vAlign w:val="bottom"/>
          </w:tcPr>
          <w:p w14:paraId="1B857C34"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374</w:t>
            </w:r>
          </w:p>
          <w:p w14:paraId="3D8E77CE" w14:textId="229ECC21" w:rsidR="0062014A" w:rsidRPr="000335E4" w:rsidRDefault="0062014A"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374</w:t>
            </w:r>
          </w:p>
        </w:tc>
        <w:tc>
          <w:tcPr>
            <w:tcW w:w="851" w:type="dxa"/>
            <w:tcBorders>
              <w:top w:val="nil"/>
              <w:left w:val="nil"/>
              <w:bottom w:val="nil"/>
              <w:right w:val="nil"/>
            </w:tcBorders>
            <w:shd w:val="clear" w:color="auto" w:fill="D9D9D9" w:themeFill="background1" w:themeFillShade="D9"/>
            <w:vAlign w:val="bottom"/>
          </w:tcPr>
          <w:p w14:paraId="72391032"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4,183</w:t>
            </w:r>
          </w:p>
          <w:p w14:paraId="1D96E5F7" w14:textId="0ABDD8BB" w:rsidR="0062014A" w:rsidRPr="000335E4" w:rsidRDefault="0062014A"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4,183</w:t>
            </w:r>
          </w:p>
        </w:tc>
        <w:tc>
          <w:tcPr>
            <w:tcW w:w="499" w:type="dxa"/>
            <w:tcBorders>
              <w:top w:val="nil"/>
              <w:left w:val="nil"/>
              <w:bottom w:val="nil"/>
              <w:right w:val="nil"/>
            </w:tcBorders>
            <w:shd w:val="clear" w:color="auto" w:fill="D9D9D9" w:themeFill="background1" w:themeFillShade="D9"/>
            <w:noWrap/>
            <w:vAlign w:val="bottom"/>
          </w:tcPr>
          <w:p w14:paraId="0A4ADF6E" w14:textId="77777777" w:rsidR="00A12745" w:rsidRPr="000335E4" w:rsidRDefault="00A12745" w:rsidP="00362DCE">
            <w:pPr>
              <w:spacing w:before="60" w:after="60" w:line="240" w:lineRule="auto"/>
              <w:jc w:val="center"/>
              <w:rPr>
                <w:rFonts w:ascii="Arial" w:hAnsi="Arial" w:cs="Arial"/>
                <w:sz w:val="20"/>
                <w:szCs w:val="20"/>
                <w:lang w:val="en-US"/>
              </w:rPr>
            </w:pPr>
            <w:r w:rsidRPr="000335E4">
              <w:rPr>
                <w:rFonts w:ascii="Arial" w:hAnsi="Arial" w:cs="Arial"/>
                <w:sz w:val="20"/>
                <w:szCs w:val="20"/>
                <w:lang w:val="en-US"/>
              </w:rPr>
              <w:t>3</w:t>
            </w:r>
          </w:p>
          <w:p w14:paraId="4100FD30" w14:textId="63E3ADF9" w:rsidR="0062014A" w:rsidRPr="000335E4" w:rsidRDefault="0062014A" w:rsidP="00362DCE">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3</w:t>
            </w:r>
          </w:p>
        </w:tc>
        <w:tc>
          <w:tcPr>
            <w:tcW w:w="78" w:type="dxa"/>
            <w:gridSpan w:val="2"/>
            <w:tcBorders>
              <w:top w:val="nil"/>
              <w:left w:val="nil"/>
              <w:bottom w:val="nil"/>
              <w:right w:val="nil"/>
            </w:tcBorders>
            <w:shd w:val="clear" w:color="auto" w:fill="D9D9D9" w:themeFill="background1" w:themeFillShade="D9"/>
            <w:noWrap/>
            <w:vAlign w:val="bottom"/>
            <w:hideMark/>
          </w:tcPr>
          <w:p w14:paraId="5DFDE6B7" w14:textId="77777777" w:rsidR="00A12745" w:rsidRPr="000335E4" w:rsidRDefault="00A12745" w:rsidP="0066268C">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bottom w:val="nil"/>
              <w:right w:val="nil"/>
            </w:tcBorders>
            <w:shd w:val="clear" w:color="auto" w:fill="D9D9D9" w:themeFill="background1" w:themeFillShade="D9"/>
            <w:vAlign w:val="center"/>
            <w:hideMark/>
          </w:tcPr>
          <w:p w14:paraId="7088D0DF" w14:textId="77777777" w:rsidR="00A12745" w:rsidRPr="000335E4" w:rsidRDefault="00A12745" w:rsidP="0066268C">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1.1</w:t>
            </w:r>
          </w:p>
        </w:tc>
      </w:tr>
      <w:tr w:rsidR="00212E1D" w:rsidRPr="00630C24" w14:paraId="507ED4FD" w14:textId="77777777" w:rsidTr="0097188D">
        <w:tc>
          <w:tcPr>
            <w:tcW w:w="1257" w:type="dxa"/>
            <w:tcBorders>
              <w:top w:val="nil"/>
              <w:left w:val="nil"/>
              <w:bottom w:val="nil"/>
              <w:right w:val="nil"/>
            </w:tcBorders>
            <w:shd w:val="clear" w:color="auto" w:fill="auto"/>
            <w:noWrap/>
            <w:vAlign w:val="center"/>
            <w:hideMark/>
          </w:tcPr>
          <w:p w14:paraId="2E9907E0"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rs77924615</w:t>
            </w:r>
          </w:p>
        </w:tc>
        <w:tc>
          <w:tcPr>
            <w:tcW w:w="849" w:type="dxa"/>
            <w:tcBorders>
              <w:top w:val="nil"/>
              <w:left w:val="nil"/>
              <w:bottom w:val="nil"/>
              <w:right w:val="nil"/>
            </w:tcBorders>
            <w:shd w:val="clear" w:color="auto" w:fill="auto"/>
            <w:vAlign w:val="center"/>
            <w:hideMark/>
          </w:tcPr>
          <w:p w14:paraId="3FCFF0AB"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 2</w:t>
            </w:r>
            <w:r w:rsidRPr="00562788">
              <w:rPr>
                <w:rFonts w:ascii="Arial" w:eastAsia="Times New Roman" w:hAnsi="Arial" w:cs="Arial"/>
                <w:color w:val="000000"/>
                <w:sz w:val="20"/>
                <w:szCs w:val="20"/>
                <w:vertAlign w:val="superscript"/>
                <w:lang w:val="en-US"/>
              </w:rPr>
              <w:t>nd</w:t>
            </w:r>
            <w:r>
              <w:rPr>
                <w:rFonts w:ascii="Arial" w:eastAsia="Times New Roman" w:hAnsi="Arial" w:cs="Arial"/>
                <w:color w:val="000000"/>
                <w:sz w:val="20"/>
                <w:szCs w:val="20"/>
                <w:lang w:val="en-US"/>
              </w:rPr>
              <w:t xml:space="preserve"> (c)</w:t>
            </w:r>
          </w:p>
        </w:tc>
        <w:tc>
          <w:tcPr>
            <w:tcW w:w="1721" w:type="dxa"/>
            <w:tcBorders>
              <w:top w:val="nil"/>
              <w:left w:val="nil"/>
              <w:bottom w:val="nil"/>
              <w:right w:val="nil"/>
            </w:tcBorders>
            <w:shd w:val="clear" w:color="auto" w:fill="auto"/>
            <w:noWrap/>
            <w:vAlign w:val="center"/>
            <w:hideMark/>
          </w:tcPr>
          <w:p w14:paraId="2750B739"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7" w:type="dxa"/>
            <w:gridSpan w:val="2"/>
            <w:tcBorders>
              <w:top w:val="nil"/>
              <w:left w:val="nil"/>
              <w:bottom w:val="nil"/>
              <w:right w:val="nil"/>
            </w:tcBorders>
            <w:shd w:val="clear" w:color="auto" w:fill="auto"/>
            <w:noWrap/>
            <w:vAlign w:val="center"/>
            <w:hideMark/>
          </w:tcPr>
          <w:p w14:paraId="5E91DD26" w14:textId="77777777" w:rsidR="00212E1D" w:rsidRDefault="00212E1D" w:rsidP="00212E1D">
            <w:pPr>
              <w:spacing w:before="60" w:after="60" w:line="240" w:lineRule="auto"/>
              <w:jc w:val="right"/>
              <w:rPr>
                <w:rFonts w:ascii="Arial" w:eastAsia="Times New Roman" w:hAnsi="Arial" w:cs="Arial"/>
                <w:color w:val="000000"/>
                <w:sz w:val="20"/>
                <w:szCs w:val="20"/>
                <w:lang w:val="en-US"/>
              </w:rPr>
            </w:pPr>
          </w:p>
        </w:tc>
        <w:tc>
          <w:tcPr>
            <w:tcW w:w="609" w:type="dxa"/>
            <w:tcBorders>
              <w:top w:val="nil"/>
              <w:left w:val="nil"/>
              <w:bottom w:val="nil"/>
              <w:right w:val="nil"/>
            </w:tcBorders>
            <w:shd w:val="clear" w:color="auto" w:fill="auto"/>
            <w:noWrap/>
            <w:vAlign w:val="bottom"/>
          </w:tcPr>
          <w:p w14:paraId="1CDDD3AC" w14:textId="1B2AF66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0.922</w:t>
            </w:r>
          </w:p>
        </w:tc>
        <w:tc>
          <w:tcPr>
            <w:tcW w:w="708" w:type="dxa"/>
            <w:tcBorders>
              <w:top w:val="nil"/>
              <w:left w:val="nil"/>
              <w:bottom w:val="nil"/>
              <w:right w:val="nil"/>
            </w:tcBorders>
            <w:shd w:val="clear" w:color="auto" w:fill="auto"/>
            <w:noWrap/>
            <w:vAlign w:val="bottom"/>
          </w:tcPr>
          <w:p w14:paraId="050E314C" w14:textId="5FEDEA1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0.1027</w:t>
            </w:r>
          </w:p>
        </w:tc>
        <w:tc>
          <w:tcPr>
            <w:tcW w:w="615" w:type="dxa"/>
            <w:tcBorders>
              <w:top w:val="nil"/>
              <w:left w:val="nil"/>
              <w:bottom w:val="nil"/>
              <w:right w:val="nil"/>
            </w:tcBorders>
            <w:shd w:val="clear" w:color="auto" w:fill="auto"/>
            <w:noWrap/>
            <w:vAlign w:val="bottom"/>
          </w:tcPr>
          <w:p w14:paraId="0C85F2D9" w14:textId="08BAB37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0.43</w:t>
            </w:r>
          </w:p>
        </w:tc>
        <w:tc>
          <w:tcPr>
            <w:tcW w:w="722" w:type="dxa"/>
            <w:tcBorders>
              <w:top w:val="nil"/>
              <w:left w:val="nil"/>
              <w:bottom w:val="nil"/>
              <w:right w:val="nil"/>
            </w:tcBorders>
            <w:shd w:val="clear" w:color="auto" w:fill="auto"/>
            <w:noWrap/>
            <w:vAlign w:val="bottom"/>
          </w:tcPr>
          <w:p w14:paraId="09C23831" w14:textId="31060F2F"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bottom w:val="nil"/>
              <w:right w:val="nil"/>
            </w:tcBorders>
            <w:shd w:val="clear" w:color="auto" w:fill="auto"/>
            <w:noWrap/>
            <w:vAlign w:val="bottom"/>
          </w:tcPr>
          <w:p w14:paraId="7AF25C9B" w14:textId="26D949C3"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bottom w:val="nil"/>
              <w:right w:val="nil"/>
            </w:tcBorders>
            <w:shd w:val="clear" w:color="auto" w:fill="auto"/>
            <w:noWrap/>
            <w:vAlign w:val="bottom"/>
          </w:tcPr>
          <w:p w14:paraId="3ED797FA" w14:textId="784A1E0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bottom w:val="nil"/>
              <w:right w:val="nil"/>
            </w:tcBorders>
            <w:shd w:val="clear" w:color="auto" w:fill="auto"/>
            <w:noWrap/>
            <w:vAlign w:val="center"/>
            <w:hideMark/>
          </w:tcPr>
          <w:p w14:paraId="6FEE1A6C" w14:textId="77777777" w:rsidR="00212E1D" w:rsidRPr="000335E4" w:rsidRDefault="00212E1D" w:rsidP="00212E1D">
            <w:pPr>
              <w:spacing w:before="60" w:after="60" w:line="240" w:lineRule="auto"/>
              <w:jc w:val="right"/>
              <w:rPr>
                <w:rFonts w:ascii="Arial" w:eastAsia="Times New Roman" w:hAnsi="Arial" w:cs="Arial"/>
                <w:sz w:val="20"/>
                <w:szCs w:val="20"/>
                <w:lang w:val="en-US"/>
              </w:rPr>
            </w:pPr>
          </w:p>
        </w:tc>
        <w:tc>
          <w:tcPr>
            <w:tcW w:w="622" w:type="dxa"/>
            <w:tcBorders>
              <w:top w:val="nil"/>
              <w:left w:val="nil"/>
              <w:bottom w:val="nil"/>
              <w:right w:val="nil"/>
            </w:tcBorders>
            <w:shd w:val="clear" w:color="auto" w:fill="auto"/>
            <w:noWrap/>
            <w:vAlign w:val="bottom"/>
          </w:tcPr>
          <w:p w14:paraId="1C78A1D0" w14:textId="44B10392"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1.144</w:t>
            </w:r>
          </w:p>
        </w:tc>
        <w:tc>
          <w:tcPr>
            <w:tcW w:w="693" w:type="dxa"/>
            <w:tcBorders>
              <w:top w:val="nil"/>
              <w:left w:val="nil"/>
              <w:bottom w:val="nil"/>
              <w:right w:val="nil"/>
            </w:tcBorders>
            <w:shd w:val="clear" w:color="auto" w:fill="auto"/>
            <w:noWrap/>
            <w:vAlign w:val="bottom"/>
          </w:tcPr>
          <w:p w14:paraId="5AE476B6" w14:textId="6C9980E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0.1898</w:t>
            </w:r>
          </w:p>
        </w:tc>
        <w:tc>
          <w:tcPr>
            <w:tcW w:w="584" w:type="dxa"/>
            <w:tcBorders>
              <w:top w:val="nil"/>
              <w:left w:val="nil"/>
              <w:bottom w:val="nil"/>
              <w:right w:val="nil"/>
            </w:tcBorders>
            <w:shd w:val="clear" w:color="auto" w:fill="auto"/>
            <w:noWrap/>
            <w:vAlign w:val="bottom"/>
          </w:tcPr>
          <w:p w14:paraId="09AB0F45" w14:textId="5686F95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0.48</w:t>
            </w:r>
          </w:p>
        </w:tc>
        <w:tc>
          <w:tcPr>
            <w:tcW w:w="709" w:type="dxa"/>
            <w:tcBorders>
              <w:top w:val="nil"/>
              <w:left w:val="nil"/>
              <w:bottom w:val="nil"/>
              <w:right w:val="nil"/>
            </w:tcBorders>
            <w:shd w:val="clear" w:color="auto" w:fill="auto"/>
            <w:noWrap/>
            <w:vAlign w:val="bottom"/>
          </w:tcPr>
          <w:p w14:paraId="027573CE" w14:textId="2D0C031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bottom w:val="nil"/>
              <w:right w:val="nil"/>
            </w:tcBorders>
            <w:shd w:val="clear" w:color="auto" w:fill="auto"/>
            <w:noWrap/>
            <w:vAlign w:val="bottom"/>
          </w:tcPr>
          <w:p w14:paraId="6EE85FFA" w14:textId="16DC8DB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bottom w:val="nil"/>
              <w:right w:val="nil"/>
            </w:tcBorders>
            <w:shd w:val="clear" w:color="auto" w:fill="auto"/>
            <w:noWrap/>
            <w:vAlign w:val="bottom"/>
          </w:tcPr>
          <w:p w14:paraId="63B6F83A" w14:textId="1E4B5DE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bottom w:val="nil"/>
              <w:right w:val="nil"/>
            </w:tcBorders>
            <w:shd w:val="clear" w:color="auto" w:fill="auto"/>
            <w:noWrap/>
            <w:vAlign w:val="center"/>
            <w:hideMark/>
          </w:tcPr>
          <w:p w14:paraId="7D5DA3F4" w14:textId="77777777" w:rsidR="00212E1D" w:rsidRPr="000335E4" w:rsidRDefault="00212E1D" w:rsidP="00212E1D">
            <w:pPr>
              <w:spacing w:before="60" w:after="60" w:line="240" w:lineRule="auto"/>
              <w:jc w:val="right"/>
              <w:rPr>
                <w:rFonts w:ascii="Arial" w:eastAsia="Times New Roman" w:hAnsi="Arial" w:cs="Arial"/>
                <w:sz w:val="20"/>
                <w:szCs w:val="20"/>
                <w:lang w:val="en-US"/>
              </w:rPr>
            </w:pPr>
          </w:p>
        </w:tc>
        <w:tc>
          <w:tcPr>
            <w:tcW w:w="674" w:type="dxa"/>
            <w:gridSpan w:val="2"/>
            <w:tcBorders>
              <w:top w:val="nil"/>
              <w:left w:val="nil"/>
              <w:bottom w:val="nil"/>
              <w:right w:val="nil"/>
            </w:tcBorders>
            <w:shd w:val="clear" w:color="auto" w:fill="auto"/>
            <w:noWrap/>
            <w:vAlign w:val="center"/>
            <w:hideMark/>
          </w:tcPr>
          <w:p w14:paraId="0C67D482"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1.2</w:t>
            </w:r>
          </w:p>
        </w:tc>
      </w:tr>
      <w:tr w:rsidR="00212E1D" w:rsidRPr="00630C24" w14:paraId="78E281F2" w14:textId="77777777" w:rsidTr="0097188D">
        <w:tc>
          <w:tcPr>
            <w:tcW w:w="1257" w:type="dxa"/>
            <w:tcBorders>
              <w:top w:val="nil"/>
              <w:left w:val="nil"/>
              <w:bottom w:val="nil"/>
              <w:right w:val="nil"/>
            </w:tcBorders>
            <w:shd w:val="clear" w:color="auto" w:fill="D9D9D9" w:themeFill="background1" w:themeFillShade="D9"/>
            <w:noWrap/>
            <w:vAlign w:val="bottom"/>
            <w:hideMark/>
          </w:tcPr>
          <w:p w14:paraId="2CBDD517"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rs77593734</w:t>
            </w:r>
          </w:p>
        </w:tc>
        <w:tc>
          <w:tcPr>
            <w:tcW w:w="849" w:type="dxa"/>
            <w:tcBorders>
              <w:top w:val="nil"/>
              <w:left w:val="nil"/>
              <w:bottom w:val="nil"/>
              <w:right w:val="nil"/>
            </w:tcBorders>
            <w:shd w:val="clear" w:color="auto" w:fill="D9D9D9" w:themeFill="background1" w:themeFillShade="D9"/>
            <w:noWrap/>
            <w:vAlign w:val="center"/>
            <w:hideMark/>
          </w:tcPr>
          <w:p w14:paraId="09A48B68"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721" w:type="dxa"/>
            <w:tcBorders>
              <w:top w:val="nil"/>
              <w:left w:val="nil"/>
              <w:bottom w:val="nil"/>
              <w:right w:val="nil"/>
            </w:tcBorders>
            <w:shd w:val="clear" w:color="auto" w:fill="D9D9D9" w:themeFill="background1" w:themeFillShade="D9"/>
            <w:noWrap/>
            <w:vAlign w:val="center"/>
            <w:hideMark/>
          </w:tcPr>
          <w:p w14:paraId="0884C32A"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[WDR72]</w:t>
            </w:r>
          </w:p>
        </w:tc>
        <w:tc>
          <w:tcPr>
            <w:tcW w:w="117" w:type="dxa"/>
            <w:gridSpan w:val="2"/>
            <w:tcBorders>
              <w:top w:val="nil"/>
              <w:left w:val="nil"/>
              <w:bottom w:val="nil"/>
              <w:right w:val="nil"/>
            </w:tcBorders>
            <w:shd w:val="clear" w:color="auto" w:fill="D9D9D9" w:themeFill="background1" w:themeFillShade="D9"/>
            <w:noWrap/>
            <w:vAlign w:val="bottom"/>
            <w:hideMark/>
          </w:tcPr>
          <w:p w14:paraId="683FE671" w14:textId="77777777" w:rsidR="00212E1D" w:rsidRDefault="00212E1D" w:rsidP="00212E1D">
            <w:pPr>
              <w:spacing w:before="60" w:after="60" w:line="240" w:lineRule="auto"/>
              <w:jc w:val="center"/>
              <w:rPr>
                <w:rFonts w:ascii="Arial" w:eastAsia="Times New Roman" w:hAnsi="Arial" w:cs="Arial"/>
                <w:color w:val="000000"/>
                <w:sz w:val="20"/>
                <w:szCs w:val="20"/>
                <w:lang w:val="en-US"/>
              </w:rPr>
            </w:pPr>
          </w:p>
        </w:tc>
        <w:tc>
          <w:tcPr>
            <w:tcW w:w="609" w:type="dxa"/>
            <w:tcBorders>
              <w:top w:val="nil"/>
              <w:left w:val="nil"/>
              <w:bottom w:val="nil"/>
              <w:right w:val="nil"/>
            </w:tcBorders>
            <w:shd w:val="clear" w:color="auto" w:fill="D9D9D9" w:themeFill="background1" w:themeFillShade="D9"/>
            <w:noWrap/>
            <w:vAlign w:val="bottom"/>
          </w:tcPr>
          <w:p w14:paraId="76786220" w14:textId="3B7B7872"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1.156</w:t>
            </w:r>
          </w:p>
        </w:tc>
        <w:tc>
          <w:tcPr>
            <w:tcW w:w="708" w:type="dxa"/>
            <w:tcBorders>
              <w:top w:val="nil"/>
              <w:left w:val="nil"/>
              <w:bottom w:val="nil"/>
              <w:right w:val="nil"/>
            </w:tcBorders>
            <w:shd w:val="clear" w:color="auto" w:fill="D9D9D9" w:themeFill="background1" w:themeFillShade="D9"/>
            <w:noWrap/>
            <w:vAlign w:val="bottom"/>
          </w:tcPr>
          <w:p w14:paraId="0359671B" w14:textId="15E8DEB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0.0582</w:t>
            </w:r>
          </w:p>
        </w:tc>
        <w:tc>
          <w:tcPr>
            <w:tcW w:w="615" w:type="dxa"/>
            <w:tcBorders>
              <w:top w:val="nil"/>
              <w:left w:val="nil"/>
              <w:bottom w:val="nil"/>
              <w:right w:val="nil"/>
            </w:tcBorders>
            <w:shd w:val="clear" w:color="auto" w:fill="D9D9D9" w:themeFill="background1" w:themeFillShade="D9"/>
            <w:noWrap/>
            <w:vAlign w:val="bottom"/>
          </w:tcPr>
          <w:p w14:paraId="17D5257E" w14:textId="644B4AD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0.01</w:t>
            </w:r>
          </w:p>
        </w:tc>
        <w:tc>
          <w:tcPr>
            <w:tcW w:w="722" w:type="dxa"/>
            <w:tcBorders>
              <w:top w:val="nil"/>
              <w:left w:val="nil"/>
              <w:bottom w:val="nil"/>
              <w:right w:val="nil"/>
            </w:tcBorders>
            <w:shd w:val="clear" w:color="auto" w:fill="D9D9D9" w:themeFill="background1" w:themeFillShade="D9"/>
            <w:noWrap/>
            <w:vAlign w:val="bottom"/>
          </w:tcPr>
          <w:p w14:paraId="670C0C77" w14:textId="08BE0FBC"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bottom w:val="nil"/>
              <w:right w:val="nil"/>
            </w:tcBorders>
            <w:shd w:val="clear" w:color="auto" w:fill="D9D9D9" w:themeFill="background1" w:themeFillShade="D9"/>
            <w:noWrap/>
            <w:vAlign w:val="bottom"/>
          </w:tcPr>
          <w:p w14:paraId="54472C30" w14:textId="168A2EB4"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bottom w:val="nil"/>
              <w:right w:val="nil"/>
            </w:tcBorders>
            <w:shd w:val="clear" w:color="auto" w:fill="D9D9D9" w:themeFill="background1" w:themeFillShade="D9"/>
            <w:noWrap/>
            <w:vAlign w:val="bottom"/>
          </w:tcPr>
          <w:p w14:paraId="49770A0C" w14:textId="7E8074A8"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bottom w:val="nil"/>
              <w:right w:val="nil"/>
            </w:tcBorders>
            <w:shd w:val="clear" w:color="auto" w:fill="D9D9D9" w:themeFill="background1" w:themeFillShade="D9"/>
            <w:noWrap/>
            <w:vAlign w:val="bottom"/>
            <w:hideMark/>
          </w:tcPr>
          <w:p w14:paraId="76C95BAD"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22" w:type="dxa"/>
            <w:tcBorders>
              <w:top w:val="nil"/>
              <w:left w:val="nil"/>
              <w:bottom w:val="nil"/>
              <w:right w:val="nil"/>
            </w:tcBorders>
            <w:shd w:val="clear" w:color="auto" w:fill="D9D9D9" w:themeFill="background1" w:themeFillShade="D9"/>
            <w:noWrap/>
            <w:vAlign w:val="bottom"/>
          </w:tcPr>
          <w:p w14:paraId="25CEFC94" w14:textId="787B035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1.049</w:t>
            </w:r>
          </w:p>
        </w:tc>
        <w:tc>
          <w:tcPr>
            <w:tcW w:w="693" w:type="dxa"/>
            <w:tcBorders>
              <w:top w:val="nil"/>
              <w:left w:val="nil"/>
              <w:bottom w:val="nil"/>
              <w:right w:val="nil"/>
            </w:tcBorders>
            <w:shd w:val="clear" w:color="auto" w:fill="D9D9D9" w:themeFill="background1" w:themeFillShade="D9"/>
            <w:noWrap/>
            <w:vAlign w:val="bottom"/>
          </w:tcPr>
          <w:p w14:paraId="10BC6FA4" w14:textId="7A8B241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0.1055</w:t>
            </w:r>
          </w:p>
        </w:tc>
        <w:tc>
          <w:tcPr>
            <w:tcW w:w="584" w:type="dxa"/>
            <w:tcBorders>
              <w:top w:val="nil"/>
              <w:left w:val="nil"/>
              <w:bottom w:val="nil"/>
              <w:right w:val="nil"/>
            </w:tcBorders>
            <w:shd w:val="clear" w:color="auto" w:fill="D9D9D9" w:themeFill="background1" w:themeFillShade="D9"/>
            <w:noWrap/>
            <w:vAlign w:val="bottom"/>
          </w:tcPr>
          <w:p w14:paraId="2813B10F" w14:textId="53ED256C"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0.65</w:t>
            </w:r>
          </w:p>
        </w:tc>
        <w:tc>
          <w:tcPr>
            <w:tcW w:w="709" w:type="dxa"/>
            <w:tcBorders>
              <w:top w:val="nil"/>
              <w:left w:val="nil"/>
              <w:bottom w:val="nil"/>
              <w:right w:val="nil"/>
            </w:tcBorders>
            <w:shd w:val="clear" w:color="auto" w:fill="D9D9D9" w:themeFill="background1" w:themeFillShade="D9"/>
            <w:noWrap/>
            <w:vAlign w:val="bottom"/>
          </w:tcPr>
          <w:p w14:paraId="167C550F" w14:textId="2933FE6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bottom w:val="nil"/>
              <w:right w:val="nil"/>
            </w:tcBorders>
            <w:shd w:val="clear" w:color="auto" w:fill="D9D9D9" w:themeFill="background1" w:themeFillShade="D9"/>
            <w:noWrap/>
            <w:vAlign w:val="bottom"/>
          </w:tcPr>
          <w:p w14:paraId="3AD7D44D" w14:textId="13280B69"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bottom w:val="nil"/>
              <w:right w:val="nil"/>
            </w:tcBorders>
            <w:shd w:val="clear" w:color="auto" w:fill="D9D9D9" w:themeFill="background1" w:themeFillShade="D9"/>
            <w:noWrap/>
            <w:vAlign w:val="bottom"/>
          </w:tcPr>
          <w:p w14:paraId="04F85C20" w14:textId="62AB9C9D"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bottom w:val="nil"/>
              <w:right w:val="nil"/>
            </w:tcBorders>
            <w:shd w:val="clear" w:color="auto" w:fill="D9D9D9" w:themeFill="background1" w:themeFillShade="D9"/>
            <w:noWrap/>
            <w:vAlign w:val="bottom"/>
            <w:hideMark/>
          </w:tcPr>
          <w:p w14:paraId="46F2FC69"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bottom w:val="nil"/>
              <w:right w:val="nil"/>
            </w:tcBorders>
            <w:shd w:val="clear" w:color="auto" w:fill="D9D9D9" w:themeFill="background1" w:themeFillShade="D9"/>
            <w:noWrap/>
            <w:vAlign w:val="center"/>
            <w:hideMark/>
          </w:tcPr>
          <w:p w14:paraId="72CA183D"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2</w:t>
            </w:r>
          </w:p>
        </w:tc>
      </w:tr>
      <w:tr w:rsidR="00212E1D" w:rsidRPr="00630C24" w14:paraId="69DB90A5" w14:textId="77777777" w:rsidTr="0097188D">
        <w:tc>
          <w:tcPr>
            <w:tcW w:w="1257" w:type="dxa"/>
            <w:tcBorders>
              <w:top w:val="nil"/>
              <w:left w:val="nil"/>
              <w:right w:val="nil"/>
            </w:tcBorders>
            <w:shd w:val="clear" w:color="auto" w:fill="auto"/>
            <w:noWrap/>
            <w:vAlign w:val="bottom"/>
            <w:hideMark/>
          </w:tcPr>
          <w:p w14:paraId="24A00B2A"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rs56012466</w:t>
            </w:r>
          </w:p>
        </w:tc>
        <w:tc>
          <w:tcPr>
            <w:tcW w:w="849" w:type="dxa"/>
            <w:tcBorders>
              <w:top w:val="nil"/>
              <w:left w:val="nil"/>
              <w:right w:val="nil"/>
            </w:tcBorders>
            <w:shd w:val="clear" w:color="auto" w:fill="auto"/>
            <w:noWrap/>
            <w:vAlign w:val="center"/>
            <w:hideMark/>
          </w:tcPr>
          <w:p w14:paraId="2AD9139D"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721" w:type="dxa"/>
            <w:tcBorders>
              <w:top w:val="nil"/>
              <w:left w:val="nil"/>
              <w:right w:val="nil"/>
            </w:tcBorders>
            <w:shd w:val="clear" w:color="auto" w:fill="auto"/>
            <w:noWrap/>
            <w:vAlign w:val="center"/>
            <w:hideMark/>
          </w:tcPr>
          <w:p w14:paraId="64D24134"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117" w:type="dxa"/>
            <w:gridSpan w:val="2"/>
            <w:tcBorders>
              <w:top w:val="nil"/>
              <w:left w:val="nil"/>
              <w:right w:val="nil"/>
            </w:tcBorders>
            <w:shd w:val="clear" w:color="auto" w:fill="auto"/>
            <w:noWrap/>
            <w:vAlign w:val="bottom"/>
            <w:hideMark/>
          </w:tcPr>
          <w:p w14:paraId="711C598E" w14:textId="77777777" w:rsidR="00212E1D" w:rsidRDefault="00212E1D" w:rsidP="00212E1D">
            <w:pPr>
              <w:spacing w:before="60" w:after="60" w:line="240" w:lineRule="auto"/>
              <w:jc w:val="center"/>
              <w:rPr>
                <w:rFonts w:ascii="Arial" w:eastAsia="Times New Roman" w:hAnsi="Arial" w:cs="Arial"/>
                <w:color w:val="000000"/>
                <w:sz w:val="20"/>
                <w:szCs w:val="20"/>
                <w:lang w:val="en-US"/>
              </w:rPr>
            </w:pPr>
          </w:p>
        </w:tc>
        <w:tc>
          <w:tcPr>
            <w:tcW w:w="609" w:type="dxa"/>
            <w:tcBorders>
              <w:top w:val="nil"/>
              <w:left w:val="nil"/>
              <w:right w:val="nil"/>
            </w:tcBorders>
            <w:shd w:val="clear" w:color="auto" w:fill="auto"/>
            <w:noWrap/>
            <w:vAlign w:val="bottom"/>
          </w:tcPr>
          <w:p w14:paraId="67A48B7A" w14:textId="488F6A9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1.029</w:t>
            </w:r>
          </w:p>
        </w:tc>
        <w:tc>
          <w:tcPr>
            <w:tcW w:w="708" w:type="dxa"/>
            <w:tcBorders>
              <w:top w:val="nil"/>
              <w:left w:val="nil"/>
              <w:right w:val="nil"/>
            </w:tcBorders>
            <w:shd w:val="clear" w:color="auto" w:fill="auto"/>
            <w:noWrap/>
            <w:vAlign w:val="bottom"/>
          </w:tcPr>
          <w:p w14:paraId="2E87C0EE" w14:textId="3F2F607B"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0.0500</w:t>
            </w:r>
          </w:p>
        </w:tc>
        <w:tc>
          <w:tcPr>
            <w:tcW w:w="615" w:type="dxa"/>
            <w:tcBorders>
              <w:top w:val="nil"/>
              <w:left w:val="nil"/>
              <w:right w:val="nil"/>
            </w:tcBorders>
            <w:shd w:val="clear" w:color="auto" w:fill="auto"/>
            <w:noWrap/>
            <w:vAlign w:val="bottom"/>
          </w:tcPr>
          <w:p w14:paraId="29013CBC" w14:textId="2DD6B8AB"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0.57</w:t>
            </w:r>
          </w:p>
        </w:tc>
        <w:tc>
          <w:tcPr>
            <w:tcW w:w="722" w:type="dxa"/>
            <w:tcBorders>
              <w:top w:val="nil"/>
              <w:left w:val="nil"/>
              <w:right w:val="nil"/>
            </w:tcBorders>
            <w:shd w:val="clear" w:color="auto" w:fill="auto"/>
            <w:noWrap/>
            <w:vAlign w:val="bottom"/>
          </w:tcPr>
          <w:p w14:paraId="2F83BCB5" w14:textId="66E384B3"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right w:val="nil"/>
            </w:tcBorders>
            <w:shd w:val="clear" w:color="auto" w:fill="auto"/>
            <w:noWrap/>
            <w:vAlign w:val="bottom"/>
          </w:tcPr>
          <w:p w14:paraId="6BEB3F5F" w14:textId="63DBB898"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right w:val="nil"/>
            </w:tcBorders>
            <w:shd w:val="clear" w:color="auto" w:fill="auto"/>
            <w:noWrap/>
            <w:vAlign w:val="bottom"/>
          </w:tcPr>
          <w:p w14:paraId="3AEB14A0" w14:textId="5649A62B"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right w:val="nil"/>
            </w:tcBorders>
            <w:shd w:val="clear" w:color="auto" w:fill="auto"/>
            <w:noWrap/>
            <w:vAlign w:val="bottom"/>
            <w:hideMark/>
          </w:tcPr>
          <w:p w14:paraId="6783145E"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22" w:type="dxa"/>
            <w:tcBorders>
              <w:top w:val="nil"/>
              <w:left w:val="nil"/>
              <w:right w:val="nil"/>
            </w:tcBorders>
            <w:shd w:val="clear" w:color="auto" w:fill="auto"/>
            <w:noWrap/>
            <w:vAlign w:val="bottom"/>
          </w:tcPr>
          <w:p w14:paraId="2AB1369D" w14:textId="7636C8C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1.199</w:t>
            </w:r>
          </w:p>
        </w:tc>
        <w:tc>
          <w:tcPr>
            <w:tcW w:w="693" w:type="dxa"/>
            <w:tcBorders>
              <w:top w:val="nil"/>
              <w:left w:val="nil"/>
              <w:right w:val="nil"/>
            </w:tcBorders>
            <w:shd w:val="clear" w:color="auto" w:fill="auto"/>
            <w:noWrap/>
            <w:vAlign w:val="bottom"/>
          </w:tcPr>
          <w:p w14:paraId="6B88DE0E" w14:textId="3D11DE89"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0.0882</w:t>
            </w:r>
          </w:p>
        </w:tc>
        <w:tc>
          <w:tcPr>
            <w:tcW w:w="584" w:type="dxa"/>
            <w:tcBorders>
              <w:top w:val="nil"/>
              <w:left w:val="nil"/>
              <w:right w:val="nil"/>
            </w:tcBorders>
            <w:shd w:val="clear" w:color="auto" w:fill="auto"/>
            <w:noWrap/>
            <w:vAlign w:val="bottom"/>
          </w:tcPr>
          <w:p w14:paraId="7CBBA1B0" w14:textId="5846FEA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0.04</w:t>
            </w:r>
          </w:p>
        </w:tc>
        <w:tc>
          <w:tcPr>
            <w:tcW w:w="709" w:type="dxa"/>
            <w:tcBorders>
              <w:top w:val="nil"/>
              <w:left w:val="nil"/>
              <w:right w:val="nil"/>
            </w:tcBorders>
            <w:shd w:val="clear" w:color="auto" w:fill="auto"/>
            <w:noWrap/>
            <w:vAlign w:val="bottom"/>
          </w:tcPr>
          <w:p w14:paraId="4536DEA3" w14:textId="0F734602"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right w:val="nil"/>
            </w:tcBorders>
            <w:shd w:val="clear" w:color="auto" w:fill="auto"/>
            <w:noWrap/>
            <w:vAlign w:val="bottom"/>
          </w:tcPr>
          <w:p w14:paraId="6507FD3D" w14:textId="0014B25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right w:val="nil"/>
            </w:tcBorders>
            <w:shd w:val="clear" w:color="auto" w:fill="auto"/>
            <w:noWrap/>
            <w:vAlign w:val="bottom"/>
          </w:tcPr>
          <w:p w14:paraId="7E8AE7D2" w14:textId="6EEA63E3"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right w:val="nil"/>
            </w:tcBorders>
            <w:shd w:val="clear" w:color="auto" w:fill="auto"/>
            <w:noWrap/>
            <w:vAlign w:val="bottom"/>
            <w:hideMark/>
          </w:tcPr>
          <w:p w14:paraId="31EC5B40"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right w:val="nil"/>
            </w:tcBorders>
            <w:shd w:val="clear" w:color="auto" w:fill="auto"/>
            <w:noWrap/>
            <w:vAlign w:val="center"/>
            <w:hideMark/>
          </w:tcPr>
          <w:p w14:paraId="537578BF"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3</w:t>
            </w:r>
          </w:p>
        </w:tc>
      </w:tr>
      <w:tr w:rsidR="00212E1D" w:rsidRPr="00630C24" w14:paraId="4EED97E6" w14:textId="77777777" w:rsidTr="0097188D">
        <w:tc>
          <w:tcPr>
            <w:tcW w:w="1257" w:type="dxa"/>
            <w:tcBorders>
              <w:top w:val="nil"/>
              <w:left w:val="nil"/>
              <w:bottom w:val="single" w:sz="4" w:space="0" w:color="auto"/>
              <w:right w:val="nil"/>
            </w:tcBorders>
            <w:shd w:val="clear" w:color="auto" w:fill="D9D9D9" w:themeFill="background1" w:themeFillShade="D9"/>
            <w:noWrap/>
            <w:vAlign w:val="bottom"/>
            <w:hideMark/>
          </w:tcPr>
          <w:p w14:paraId="2749002E"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rs141809766</w:t>
            </w:r>
          </w:p>
        </w:tc>
        <w:tc>
          <w:tcPr>
            <w:tcW w:w="849" w:type="dxa"/>
            <w:tcBorders>
              <w:top w:val="nil"/>
              <w:left w:val="nil"/>
              <w:bottom w:val="single" w:sz="4" w:space="0" w:color="auto"/>
              <w:right w:val="nil"/>
            </w:tcBorders>
            <w:shd w:val="clear" w:color="auto" w:fill="D9D9D9" w:themeFill="background1" w:themeFillShade="D9"/>
            <w:noWrap/>
            <w:vAlign w:val="bottom"/>
            <w:hideMark/>
          </w:tcPr>
          <w:p w14:paraId="3698B051"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p>
        </w:tc>
        <w:tc>
          <w:tcPr>
            <w:tcW w:w="1721" w:type="dxa"/>
            <w:tcBorders>
              <w:top w:val="nil"/>
              <w:left w:val="nil"/>
              <w:bottom w:val="single" w:sz="4" w:space="0" w:color="auto"/>
              <w:right w:val="nil"/>
            </w:tcBorders>
            <w:shd w:val="clear" w:color="auto" w:fill="D9D9D9" w:themeFill="background1" w:themeFillShade="D9"/>
            <w:noWrap/>
            <w:vAlign w:val="center"/>
            <w:hideMark/>
          </w:tcPr>
          <w:p w14:paraId="1AB0D178"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17" w:type="dxa"/>
            <w:gridSpan w:val="2"/>
            <w:tcBorders>
              <w:top w:val="nil"/>
              <w:left w:val="nil"/>
              <w:bottom w:val="single" w:sz="4" w:space="0" w:color="auto"/>
              <w:right w:val="nil"/>
            </w:tcBorders>
            <w:shd w:val="clear" w:color="auto" w:fill="D9D9D9" w:themeFill="background1" w:themeFillShade="D9"/>
            <w:noWrap/>
            <w:vAlign w:val="bottom"/>
            <w:hideMark/>
          </w:tcPr>
          <w:p w14:paraId="0C60AB5C"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609" w:type="dxa"/>
            <w:tcBorders>
              <w:top w:val="nil"/>
              <w:left w:val="nil"/>
              <w:bottom w:val="single" w:sz="4" w:space="0" w:color="auto"/>
              <w:right w:val="nil"/>
            </w:tcBorders>
            <w:shd w:val="clear" w:color="auto" w:fill="D9D9D9" w:themeFill="background1" w:themeFillShade="D9"/>
            <w:noWrap/>
            <w:vAlign w:val="bottom"/>
          </w:tcPr>
          <w:p w14:paraId="739A95D3" w14:textId="1CC62E53"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1.462</w:t>
            </w:r>
          </w:p>
        </w:tc>
        <w:tc>
          <w:tcPr>
            <w:tcW w:w="708" w:type="dxa"/>
            <w:tcBorders>
              <w:top w:val="nil"/>
              <w:left w:val="nil"/>
              <w:bottom w:val="single" w:sz="4" w:space="0" w:color="auto"/>
              <w:right w:val="nil"/>
            </w:tcBorders>
            <w:shd w:val="clear" w:color="auto" w:fill="D9D9D9" w:themeFill="background1" w:themeFillShade="D9"/>
            <w:noWrap/>
            <w:vAlign w:val="bottom"/>
          </w:tcPr>
          <w:p w14:paraId="0C72C2B5" w14:textId="512C23B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0.5352</w:t>
            </w:r>
          </w:p>
        </w:tc>
        <w:tc>
          <w:tcPr>
            <w:tcW w:w="615" w:type="dxa"/>
            <w:tcBorders>
              <w:top w:val="nil"/>
              <w:left w:val="nil"/>
              <w:bottom w:val="single" w:sz="4" w:space="0" w:color="auto"/>
              <w:right w:val="nil"/>
            </w:tcBorders>
            <w:shd w:val="clear" w:color="auto" w:fill="D9D9D9" w:themeFill="background1" w:themeFillShade="D9"/>
            <w:noWrap/>
            <w:vAlign w:val="bottom"/>
          </w:tcPr>
          <w:p w14:paraId="29A44165" w14:textId="7687FEF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0.48</w:t>
            </w:r>
          </w:p>
        </w:tc>
        <w:tc>
          <w:tcPr>
            <w:tcW w:w="722" w:type="dxa"/>
            <w:tcBorders>
              <w:top w:val="nil"/>
              <w:left w:val="nil"/>
              <w:bottom w:val="single" w:sz="4" w:space="0" w:color="auto"/>
              <w:right w:val="nil"/>
            </w:tcBorders>
            <w:shd w:val="clear" w:color="auto" w:fill="D9D9D9" w:themeFill="background1" w:themeFillShade="D9"/>
            <w:noWrap/>
            <w:vAlign w:val="bottom"/>
          </w:tcPr>
          <w:p w14:paraId="1D6D768B" w14:textId="1A21EBB8"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923</w:t>
            </w:r>
          </w:p>
        </w:tc>
        <w:tc>
          <w:tcPr>
            <w:tcW w:w="850" w:type="dxa"/>
            <w:tcBorders>
              <w:top w:val="nil"/>
              <w:left w:val="nil"/>
              <w:bottom w:val="single" w:sz="4" w:space="0" w:color="auto"/>
              <w:right w:val="nil"/>
            </w:tcBorders>
            <w:shd w:val="clear" w:color="auto" w:fill="D9D9D9" w:themeFill="background1" w:themeFillShade="D9"/>
            <w:noWrap/>
            <w:vAlign w:val="bottom"/>
          </w:tcPr>
          <w:p w14:paraId="0B69647A" w14:textId="2C388CF6"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806</w:t>
            </w:r>
          </w:p>
        </w:tc>
        <w:tc>
          <w:tcPr>
            <w:tcW w:w="425" w:type="dxa"/>
            <w:tcBorders>
              <w:top w:val="nil"/>
              <w:left w:val="nil"/>
              <w:bottom w:val="single" w:sz="4" w:space="0" w:color="auto"/>
              <w:right w:val="nil"/>
            </w:tcBorders>
            <w:shd w:val="clear" w:color="auto" w:fill="D9D9D9" w:themeFill="background1" w:themeFillShade="D9"/>
            <w:noWrap/>
            <w:vAlign w:val="bottom"/>
          </w:tcPr>
          <w:p w14:paraId="654055B7" w14:textId="47E6329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2</w:t>
            </w:r>
          </w:p>
        </w:tc>
        <w:tc>
          <w:tcPr>
            <w:tcW w:w="77" w:type="dxa"/>
            <w:gridSpan w:val="2"/>
            <w:tcBorders>
              <w:top w:val="nil"/>
              <w:left w:val="nil"/>
              <w:bottom w:val="single" w:sz="4" w:space="0" w:color="auto"/>
              <w:right w:val="nil"/>
            </w:tcBorders>
            <w:shd w:val="clear" w:color="auto" w:fill="D9D9D9" w:themeFill="background1" w:themeFillShade="D9"/>
            <w:noWrap/>
            <w:vAlign w:val="bottom"/>
            <w:hideMark/>
          </w:tcPr>
          <w:p w14:paraId="70252C90" w14:textId="77777777" w:rsidR="00212E1D" w:rsidRPr="000335E4" w:rsidRDefault="00212E1D" w:rsidP="00212E1D">
            <w:pPr>
              <w:spacing w:before="60" w:after="60" w:line="240" w:lineRule="auto"/>
              <w:rPr>
                <w:rFonts w:ascii="Arial" w:eastAsia="Times New Roman" w:hAnsi="Arial" w:cs="Arial"/>
                <w:sz w:val="20"/>
                <w:szCs w:val="20"/>
                <w:lang w:val="en-US"/>
              </w:rPr>
            </w:pPr>
            <w:r w:rsidRPr="000335E4">
              <w:rPr>
                <w:rFonts w:ascii="Arial" w:eastAsia="Times New Roman" w:hAnsi="Arial" w:cs="Arial"/>
                <w:sz w:val="20"/>
                <w:szCs w:val="20"/>
                <w:lang w:val="en-US"/>
              </w:rPr>
              <w:t> </w:t>
            </w:r>
          </w:p>
        </w:tc>
        <w:tc>
          <w:tcPr>
            <w:tcW w:w="622" w:type="dxa"/>
            <w:tcBorders>
              <w:top w:val="nil"/>
              <w:left w:val="nil"/>
              <w:bottom w:val="single" w:sz="4" w:space="0" w:color="auto"/>
              <w:right w:val="nil"/>
            </w:tcBorders>
            <w:shd w:val="clear" w:color="auto" w:fill="D9D9D9" w:themeFill="background1" w:themeFillShade="D9"/>
            <w:noWrap/>
            <w:vAlign w:val="bottom"/>
          </w:tcPr>
          <w:p w14:paraId="5D2B7D68" w14:textId="60BBC58D"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0.698</w:t>
            </w:r>
          </w:p>
        </w:tc>
        <w:tc>
          <w:tcPr>
            <w:tcW w:w="693" w:type="dxa"/>
            <w:tcBorders>
              <w:top w:val="nil"/>
              <w:left w:val="nil"/>
              <w:bottom w:val="single" w:sz="4" w:space="0" w:color="auto"/>
              <w:right w:val="nil"/>
            </w:tcBorders>
            <w:shd w:val="clear" w:color="auto" w:fill="D9D9D9" w:themeFill="background1" w:themeFillShade="D9"/>
            <w:noWrap/>
            <w:vAlign w:val="bottom"/>
          </w:tcPr>
          <w:p w14:paraId="6876EA9A" w14:textId="2F69EAED"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0.9044</w:t>
            </w:r>
          </w:p>
        </w:tc>
        <w:tc>
          <w:tcPr>
            <w:tcW w:w="584" w:type="dxa"/>
            <w:tcBorders>
              <w:top w:val="nil"/>
              <w:left w:val="nil"/>
              <w:bottom w:val="single" w:sz="4" w:space="0" w:color="auto"/>
              <w:right w:val="nil"/>
            </w:tcBorders>
            <w:shd w:val="clear" w:color="auto" w:fill="D9D9D9" w:themeFill="background1" w:themeFillShade="D9"/>
            <w:noWrap/>
            <w:vAlign w:val="bottom"/>
          </w:tcPr>
          <w:p w14:paraId="3512FE65" w14:textId="453772B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0.69</w:t>
            </w:r>
          </w:p>
        </w:tc>
        <w:tc>
          <w:tcPr>
            <w:tcW w:w="709" w:type="dxa"/>
            <w:tcBorders>
              <w:top w:val="nil"/>
              <w:left w:val="nil"/>
              <w:bottom w:val="single" w:sz="4" w:space="0" w:color="auto"/>
              <w:right w:val="nil"/>
            </w:tcBorders>
            <w:shd w:val="clear" w:color="auto" w:fill="D9D9D9" w:themeFill="background1" w:themeFillShade="D9"/>
            <w:noWrap/>
            <w:vAlign w:val="bottom"/>
          </w:tcPr>
          <w:p w14:paraId="34B64A79" w14:textId="5381CC9D"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216</w:t>
            </w:r>
          </w:p>
        </w:tc>
        <w:tc>
          <w:tcPr>
            <w:tcW w:w="851" w:type="dxa"/>
            <w:tcBorders>
              <w:top w:val="nil"/>
              <w:left w:val="nil"/>
              <w:bottom w:val="single" w:sz="4" w:space="0" w:color="auto"/>
              <w:right w:val="nil"/>
            </w:tcBorders>
            <w:shd w:val="clear" w:color="auto" w:fill="D9D9D9" w:themeFill="background1" w:themeFillShade="D9"/>
            <w:noWrap/>
            <w:vAlign w:val="bottom"/>
          </w:tcPr>
          <w:p w14:paraId="5053DF5E" w14:textId="41E6542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2,336</w:t>
            </w:r>
          </w:p>
        </w:tc>
        <w:tc>
          <w:tcPr>
            <w:tcW w:w="499" w:type="dxa"/>
            <w:tcBorders>
              <w:top w:val="nil"/>
              <w:left w:val="nil"/>
              <w:bottom w:val="single" w:sz="4" w:space="0" w:color="auto"/>
              <w:right w:val="nil"/>
            </w:tcBorders>
            <w:shd w:val="clear" w:color="auto" w:fill="D9D9D9" w:themeFill="background1" w:themeFillShade="D9"/>
            <w:noWrap/>
            <w:vAlign w:val="bottom"/>
          </w:tcPr>
          <w:p w14:paraId="3CAD0A11" w14:textId="70AA46A1"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2</w:t>
            </w:r>
          </w:p>
        </w:tc>
        <w:tc>
          <w:tcPr>
            <w:tcW w:w="78" w:type="dxa"/>
            <w:gridSpan w:val="2"/>
            <w:tcBorders>
              <w:top w:val="nil"/>
              <w:left w:val="nil"/>
              <w:bottom w:val="single" w:sz="4" w:space="0" w:color="auto"/>
              <w:right w:val="nil"/>
            </w:tcBorders>
            <w:shd w:val="clear" w:color="auto" w:fill="D9D9D9" w:themeFill="background1" w:themeFillShade="D9"/>
            <w:noWrap/>
            <w:vAlign w:val="bottom"/>
            <w:hideMark/>
          </w:tcPr>
          <w:p w14:paraId="5567FDC0"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 </w:t>
            </w:r>
          </w:p>
        </w:tc>
        <w:tc>
          <w:tcPr>
            <w:tcW w:w="674" w:type="dxa"/>
            <w:gridSpan w:val="2"/>
            <w:tcBorders>
              <w:top w:val="nil"/>
              <w:left w:val="nil"/>
              <w:bottom w:val="single" w:sz="4" w:space="0" w:color="auto"/>
              <w:right w:val="nil"/>
            </w:tcBorders>
            <w:shd w:val="clear" w:color="auto" w:fill="D9D9D9" w:themeFill="background1" w:themeFillShade="D9"/>
            <w:noWrap/>
            <w:vAlign w:val="center"/>
            <w:hideMark/>
          </w:tcPr>
          <w:p w14:paraId="117E84D9"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4</w:t>
            </w:r>
          </w:p>
        </w:tc>
      </w:tr>
      <w:tr w:rsidR="00212E1D" w:rsidRPr="00630C24" w14:paraId="44DC048F" w14:textId="77777777" w:rsidTr="001C4E57">
        <w:tc>
          <w:tcPr>
            <w:tcW w:w="1257" w:type="dxa"/>
            <w:tcBorders>
              <w:top w:val="single" w:sz="4" w:space="0" w:color="auto"/>
              <w:left w:val="nil"/>
              <w:bottom w:val="nil"/>
              <w:right w:val="nil"/>
            </w:tcBorders>
            <w:shd w:val="clear" w:color="auto" w:fill="auto"/>
            <w:noWrap/>
            <w:vAlign w:val="center"/>
            <w:hideMark/>
          </w:tcPr>
          <w:p w14:paraId="0BE9346A"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rs34882080</w:t>
            </w:r>
          </w:p>
          <w:p w14:paraId="0C8C8287" w14:textId="77777777" w:rsidR="00212E1D" w:rsidRPr="008E6F4E" w:rsidRDefault="00212E1D" w:rsidP="00212E1D">
            <w:pPr>
              <w:spacing w:before="60" w:after="60" w:line="240" w:lineRule="auto"/>
              <w:rPr>
                <w:rFonts w:ascii="Arial" w:eastAsia="Times New Roman" w:hAnsi="Arial" w:cs="Arial"/>
                <w:color w:val="000000"/>
                <w:sz w:val="20"/>
                <w:szCs w:val="20"/>
                <w:vertAlign w:val="superscript"/>
                <w:lang w:val="en-US"/>
              </w:rPr>
            </w:pPr>
            <w:r w:rsidRPr="008E6F4E">
              <w:rPr>
                <w:rFonts w:ascii="Arial" w:eastAsia="Times New Roman" w:hAnsi="Arial" w:cs="Arial"/>
                <w:color w:val="000000"/>
                <w:sz w:val="20"/>
                <w:szCs w:val="20"/>
                <w:vertAlign w:val="superscript"/>
                <w:lang w:val="en-US"/>
              </w:rPr>
              <w:t>(b)</w:t>
            </w:r>
          </w:p>
        </w:tc>
        <w:tc>
          <w:tcPr>
            <w:tcW w:w="849" w:type="dxa"/>
            <w:tcBorders>
              <w:top w:val="single" w:sz="4" w:space="0" w:color="auto"/>
              <w:left w:val="nil"/>
              <w:bottom w:val="nil"/>
              <w:right w:val="nil"/>
            </w:tcBorders>
            <w:shd w:val="clear" w:color="auto" w:fill="auto"/>
            <w:noWrap/>
            <w:vAlign w:val="center"/>
            <w:hideMark/>
          </w:tcPr>
          <w:p w14:paraId="05783B7B"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 Rapid3</w:t>
            </w:r>
          </w:p>
        </w:tc>
        <w:tc>
          <w:tcPr>
            <w:tcW w:w="1721" w:type="dxa"/>
            <w:tcBorders>
              <w:top w:val="single" w:sz="4" w:space="0" w:color="auto"/>
              <w:left w:val="nil"/>
              <w:bottom w:val="nil"/>
              <w:right w:val="nil"/>
            </w:tcBorders>
            <w:shd w:val="clear" w:color="auto" w:fill="auto"/>
            <w:noWrap/>
            <w:vAlign w:val="center"/>
            <w:hideMark/>
          </w:tcPr>
          <w:p w14:paraId="708E8744"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7" w:type="dxa"/>
            <w:gridSpan w:val="2"/>
            <w:tcBorders>
              <w:top w:val="single" w:sz="4" w:space="0" w:color="auto"/>
              <w:left w:val="nil"/>
              <w:bottom w:val="nil"/>
              <w:right w:val="nil"/>
            </w:tcBorders>
            <w:shd w:val="clear" w:color="auto" w:fill="auto"/>
            <w:noWrap/>
            <w:vAlign w:val="center"/>
            <w:hideMark/>
          </w:tcPr>
          <w:p w14:paraId="26E834A4" w14:textId="77777777" w:rsidR="00212E1D" w:rsidRDefault="00212E1D" w:rsidP="00212E1D">
            <w:pPr>
              <w:spacing w:before="60" w:after="60" w:line="240" w:lineRule="auto"/>
              <w:jc w:val="center"/>
              <w:rPr>
                <w:rFonts w:ascii="Arial" w:eastAsia="Times New Roman" w:hAnsi="Arial" w:cs="Arial"/>
                <w:color w:val="000000"/>
                <w:sz w:val="20"/>
                <w:szCs w:val="20"/>
                <w:lang w:val="en-US"/>
              </w:rPr>
            </w:pPr>
          </w:p>
        </w:tc>
        <w:tc>
          <w:tcPr>
            <w:tcW w:w="609" w:type="dxa"/>
            <w:tcBorders>
              <w:top w:val="single" w:sz="4" w:space="0" w:color="auto"/>
              <w:left w:val="nil"/>
              <w:bottom w:val="nil"/>
              <w:right w:val="nil"/>
            </w:tcBorders>
            <w:shd w:val="clear" w:color="auto" w:fill="auto"/>
            <w:noWrap/>
            <w:vAlign w:val="center"/>
          </w:tcPr>
          <w:p w14:paraId="353831A6" w14:textId="692DF9F7"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0.925</w:t>
            </w:r>
          </w:p>
        </w:tc>
        <w:tc>
          <w:tcPr>
            <w:tcW w:w="708" w:type="dxa"/>
            <w:tcBorders>
              <w:top w:val="single" w:sz="4" w:space="0" w:color="auto"/>
              <w:left w:val="nil"/>
              <w:bottom w:val="nil"/>
              <w:right w:val="nil"/>
            </w:tcBorders>
            <w:shd w:val="clear" w:color="auto" w:fill="auto"/>
            <w:noWrap/>
            <w:vAlign w:val="center"/>
          </w:tcPr>
          <w:p w14:paraId="47D57E60" w14:textId="10A366D9"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0.0779</w:t>
            </w:r>
          </w:p>
        </w:tc>
        <w:tc>
          <w:tcPr>
            <w:tcW w:w="615" w:type="dxa"/>
            <w:tcBorders>
              <w:top w:val="single" w:sz="4" w:space="0" w:color="auto"/>
              <w:left w:val="nil"/>
              <w:bottom w:val="nil"/>
              <w:right w:val="nil"/>
            </w:tcBorders>
            <w:shd w:val="clear" w:color="auto" w:fill="auto"/>
            <w:noWrap/>
            <w:vAlign w:val="center"/>
          </w:tcPr>
          <w:p w14:paraId="645E173E" w14:textId="50CF6EBB"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0.31</w:t>
            </w:r>
          </w:p>
        </w:tc>
        <w:tc>
          <w:tcPr>
            <w:tcW w:w="722" w:type="dxa"/>
            <w:tcBorders>
              <w:top w:val="single" w:sz="4" w:space="0" w:color="auto"/>
              <w:left w:val="nil"/>
              <w:bottom w:val="nil"/>
              <w:right w:val="nil"/>
            </w:tcBorders>
            <w:shd w:val="clear" w:color="auto" w:fill="auto"/>
            <w:noWrap/>
            <w:vAlign w:val="center"/>
          </w:tcPr>
          <w:p w14:paraId="08AE94B9" w14:textId="58478090" w:rsidR="00212E1D" w:rsidRPr="000335E4" w:rsidRDefault="00212E1D" w:rsidP="005B5645">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single" w:sz="4" w:space="0" w:color="auto"/>
              <w:left w:val="nil"/>
              <w:bottom w:val="nil"/>
              <w:right w:val="nil"/>
            </w:tcBorders>
            <w:shd w:val="clear" w:color="auto" w:fill="auto"/>
            <w:noWrap/>
            <w:vAlign w:val="center"/>
          </w:tcPr>
          <w:p w14:paraId="2C8C1F9A" w14:textId="463BCA84" w:rsidR="00212E1D" w:rsidRPr="000335E4" w:rsidRDefault="00212E1D" w:rsidP="005B5645">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single" w:sz="4" w:space="0" w:color="auto"/>
              <w:left w:val="nil"/>
              <w:bottom w:val="nil"/>
              <w:right w:val="nil"/>
            </w:tcBorders>
            <w:shd w:val="clear" w:color="auto" w:fill="auto"/>
            <w:noWrap/>
            <w:vAlign w:val="center"/>
          </w:tcPr>
          <w:p w14:paraId="16A518BC" w14:textId="4A899F91"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single" w:sz="4" w:space="0" w:color="auto"/>
              <w:left w:val="nil"/>
              <w:bottom w:val="nil"/>
              <w:right w:val="nil"/>
            </w:tcBorders>
            <w:shd w:val="clear" w:color="auto" w:fill="auto"/>
            <w:noWrap/>
            <w:vAlign w:val="center"/>
            <w:hideMark/>
          </w:tcPr>
          <w:p w14:paraId="56B2AA34" w14:textId="77777777" w:rsidR="00212E1D" w:rsidRPr="000335E4" w:rsidRDefault="00212E1D" w:rsidP="001C4E57">
            <w:pPr>
              <w:spacing w:before="60" w:after="60" w:line="240" w:lineRule="auto"/>
              <w:jc w:val="center"/>
              <w:rPr>
                <w:rFonts w:ascii="Arial" w:eastAsia="Times New Roman" w:hAnsi="Arial" w:cs="Arial"/>
                <w:sz w:val="20"/>
                <w:szCs w:val="20"/>
                <w:lang w:val="en-US"/>
              </w:rPr>
            </w:pPr>
          </w:p>
        </w:tc>
        <w:tc>
          <w:tcPr>
            <w:tcW w:w="622" w:type="dxa"/>
            <w:tcBorders>
              <w:top w:val="single" w:sz="4" w:space="0" w:color="auto"/>
              <w:left w:val="nil"/>
              <w:bottom w:val="nil"/>
              <w:right w:val="nil"/>
            </w:tcBorders>
            <w:shd w:val="clear" w:color="auto" w:fill="auto"/>
            <w:noWrap/>
            <w:vAlign w:val="center"/>
          </w:tcPr>
          <w:p w14:paraId="1F3878CA" w14:textId="12511EED"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0.906</w:t>
            </w:r>
          </w:p>
        </w:tc>
        <w:tc>
          <w:tcPr>
            <w:tcW w:w="693" w:type="dxa"/>
            <w:tcBorders>
              <w:top w:val="single" w:sz="4" w:space="0" w:color="auto"/>
              <w:left w:val="nil"/>
              <w:bottom w:val="nil"/>
              <w:right w:val="nil"/>
            </w:tcBorders>
            <w:shd w:val="clear" w:color="auto" w:fill="auto"/>
            <w:noWrap/>
            <w:vAlign w:val="center"/>
          </w:tcPr>
          <w:p w14:paraId="547EA670" w14:textId="27483C3B"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0.1402</w:t>
            </w:r>
          </w:p>
        </w:tc>
        <w:tc>
          <w:tcPr>
            <w:tcW w:w="584" w:type="dxa"/>
            <w:tcBorders>
              <w:top w:val="single" w:sz="4" w:space="0" w:color="auto"/>
              <w:left w:val="nil"/>
              <w:bottom w:val="nil"/>
              <w:right w:val="nil"/>
            </w:tcBorders>
            <w:shd w:val="clear" w:color="auto" w:fill="auto"/>
            <w:noWrap/>
            <w:vAlign w:val="center"/>
          </w:tcPr>
          <w:p w14:paraId="19C3F45A" w14:textId="5AA5BE17"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0.48</w:t>
            </w:r>
          </w:p>
        </w:tc>
        <w:tc>
          <w:tcPr>
            <w:tcW w:w="709" w:type="dxa"/>
            <w:tcBorders>
              <w:top w:val="single" w:sz="4" w:space="0" w:color="auto"/>
              <w:left w:val="nil"/>
              <w:bottom w:val="nil"/>
              <w:right w:val="nil"/>
            </w:tcBorders>
            <w:shd w:val="clear" w:color="auto" w:fill="auto"/>
            <w:noWrap/>
            <w:vAlign w:val="center"/>
          </w:tcPr>
          <w:p w14:paraId="0D81D61F" w14:textId="766F6BF1"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single" w:sz="4" w:space="0" w:color="auto"/>
              <w:left w:val="nil"/>
              <w:bottom w:val="nil"/>
              <w:right w:val="nil"/>
            </w:tcBorders>
            <w:shd w:val="clear" w:color="auto" w:fill="auto"/>
            <w:noWrap/>
            <w:vAlign w:val="center"/>
          </w:tcPr>
          <w:p w14:paraId="49002A4B" w14:textId="59C06A5B"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single" w:sz="4" w:space="0" w:color="auto"/>
              <w:left w:val="nil"/>
              <w:bottom w:val="nil"/>
              <w:right w:val="nil"/>
            </w:tcBorders>
            <w:shd w:val="clear" w:color="auto" w:fill="auto"/>
            <w:noWrap/>
            <w:vAlign w:val="center"/>
          </w:tcPr>
          <w:p w14:paraId="26636094" w14:textId="5D19ACC5"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single" w:sz="4" w:space="0" w:color="auto"/>
              <w:left w:val="nil"/>
              <w:bottom w:val="nil"/>
              <w:right w:val="nil"/>
            </w:tcBorders>
            <w:shd w:val="clear" w:color="auto" w:fill="auto"/>
            <w:noWrap/>
            <w:vAlign w:val="center"/>
            <w:hideMark/>
          </w:tcPr>
          <w:p w14:paraId="4D7CE5BB"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single" w:sz="4" w:space="0" w:color="auto"/>
              <w:left w:val="nil"/>
              <w:bottom w:val="nil"/>
              <w:right w:val="nil"/>
            </w:tcBorders>
            <w:shd w:val="clear" w:color="auto" w:fill="auto"/>
            <w:noWrap/>
            <w:vAlign w:val="center"/>
            <w:hideMark/>
          </w:tcPr>
          <w:p w14:paraId="4B861A37"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1.1</w:t>
            </w:r>
          </w:p>
        </w:tc>
      </w:tr>
      <w:tr w:rsidR="00212E1D" w:rsidRPr="00630C24" w14:paraId="5A539D6C" w14:textId="77777777" w:rsidTr="001C4E57">
        <w:tc>
          <w:tcPr>
            <w:tcW w:w="1257" w:type="dxa"/>
            <w:tcBorders>
              <w:top w:val="nil"/>
              <w:left w:val="nil"/>
              <w:bottom w:val="nil"/>
              <w:right w:val="nil"/>
            </w:tcBorders>
            <w:shd w:val="clear" w:color="auto" w:fill="D9D9D9" w:themeFill="background1" w:themeFillShade="D9"/>
            <w:noWrap/>
            <w:vAlign w:val="center"/>
            <w:hideMark/>
          </w:tcPr>
          <w:p w14:paraId="47A7B917"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rs77924615</w:t>
            </w:r>
          </w:p>
        </w:tc>
        <w:tc>
          <w:tcPr>
            <w:tcW w:w="849" w:type="dxa"/>
            <w:tcBorders>
              <w:top w:val="nil"/>
              <w:left w:val="nil"/>
              <w:bottom w:val="nil"/>
              <w:right w:val="nil"/>
            </w:tcBorders>
            <w:shd w:val="clear" w:color="auto" w:fill="D9D9D9" w:themeFill="background1" w:themeFillShade="D9"/>
            <w:noWrap/>
            <w:vAlign w:val="center"/>
            <w:hideMark/>
          </w:tcPr>
          <w:p w14:paraId="08748AB7"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CKDi25;Rapid3</w:t>
            </w:r>
          </w:p>
        </w:tc>
        <w:tc>
          <w:tcPr>
            <w:tcW w:w="1721" w:type="dxa"/>
            <w:tcBorders>
              <w:top w:val="nil"/>
              <w:left w:val="nil"/>
              <w:bottom w:val="nil"/>
              <w:right w:val="nil"/>
            </w:tcBorders>
            <w:shd w:val="clear" w:color="auto" w:fill="D9D9D9" w:themeFill="background1" w:themeFillShade="D9"/>
            <w:noWrap/>
            <w:vAlign w:val="center"/>
            <w:hideMark/>
          </w:tcPr>
          <w:p w14:paraId="79FA3C69"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7" w:type="dxa"/>
            <w:gridSpan w:val="2"/>
            <w:tcBorders>
              <w:top w:val="nil"/>
              <w:left w:val="nil"/>
              <w:bottom w:val="nil"/>
              <w:right w:val="nil"/>
            </w:tcBorders>
            <w:shd w:val="clear" w:color="auto" w:fill="D9D9D9" w:themeFill="background1" w:themeFillShade="D9"/>
            <w:noWrap/>
            <w:vAlign w:val="center"/>
            <w:hideMark/>
          </w:tcPr>
          <w:p w14:paraId="0FEC6F40" w14:textId="77777777" w:rsidR="00212E1D" w:rsidRDefault="00212E1D" w:rsidP="00212E1D">
            <w:pPr>
              <w:spacing w:before="60" w:after="60" w:line="240" w:lineRule="auto"/>
              <w:jc w:val="center"/>
              <w:rPr>
                <w:rFonts w:ascii="Arial" w:eastAsia="Times New Roman" w:hAnsi="Arial" w:cs="Arial"/>
                <w:color w:val="000000"/>
                <w:sz w:val="20"/>
                <w:szCs w:val="20"/>
                <w:lang w:val="en-US"/>
              </w:rPr>
            </w:pPr>
          </w:p>
        </w:tc>
        <w:tc>
          <w:tcPr>
            <w:tcW w:w="609" w:type="dxa"/>
            <w:tcBorders>
              <w:top w:val="nil"/>
              <w:left w:val="nil"/>
              <w:bottom w:val="nil"/>
              <w:right w:val="nil"/>
            </w:tcBorders>
            <w:shd w:val="clear" w:color="auto" w:fill="D9D9D9" w:themeFill="background1" w:themeFillShade="D9"/>
            <w:noWrap/>
            <w:vAlign w:val="center"/>
          </w:tcPr>
          <w:p w14:paraId="7C749B53" w14:textId="35E9386E"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0.922</w:t>
            </w:r>
          </w:p>
        </w:tc>
        <w:tc>
          <w:tcPr>
            <w:tcW w:w="708" w:type="dxa"/>
            <w:tcBorders>
              <w:top w:val="nil"/>
              <w:left w:val="nil"/>
              <w:bottom w:val="nil"/>
              <w:right w:val="nil"/>
            </w:tcBorders>
            <w:shd w:val="clear" w:color="auto" w:fill="D9D9D9" w:themeFill="background1" w:themeFillShade="D9"/>
            <w:noWrap/>
            <w:vAlign w:val="center"/>
          </w:tcPr>
          <w:p w14:paraId="2077BE62" w14:textId="7E0A4F62"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0.1027</w:t>
            </w:r>
          </w:p>
        </w:tc>
        <w:tc>
          <w:tcPr>
            <w:tcW w:w="615" w:type="dxa"/>
            <w:tcBorders>
              <w:top w:val="nil"/>
              <w:left w:val="nil"/>
              <w:bottom w:val="nil"/>
              <w:right w:val="nil"/>
            </w:tcBorders>
            <w:shd w:val="clear" w:color="auto" w:fill="D9D9D9" w:themeFill="background1" w:themeFillShade="D9"/>
            <w:noWrap/>
            <w:vAlign w:val="center"/>
          </w:tcPr>
          <w:p w14:paraId="2CCF7990" w14:textId="36A356E6"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0.43</w:t>
            </w:r>
          </w:p>
        </w:tc>
        <w:tc>
          <w:tcPr>
            <w:tcW w:w="722" w:type="dxa"/>
            <w:tcBorders>
              <w:top w:val="nil"/>
              <w:left w:val="nil"/>
              <w:bottom w:val="nil"/>
              <w:right w:val="nil"/>
            </w:tcBorders>
            <w:shd w:val="clear" w:color="auto" w:fill="D9D9D9" w:themeFill="background1" w:themeFillShade="D9"/>
            <w:noWrap/>
            <w:vAlign w:val="center"/>
          </w:tcPr>
          <w:p w14:paraId="2E77597D" w14:textId="2D2758DC" w:rsidR="00212E1D" w:rsidRPr="000335E4" w:rsidRDefault="00212E1D" w:rsidP="005B5645">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bottom w:val="nil"/>
              <w:right w:val="nil"/>
            </w:tcBorders>
            <w:shd w:val="clear" w:color="auto" w:fill="D9D9D9" w:themeFill="background1" w:themeFillShade="D9"/>
            <w:noWrap/>
            <w:vAlign w:val="center"/>
          </w:tcPr>
          <w:p w14:paraId="33B0D186" w14:textId="4D55908A" w:rsidR="00212E1D" w:rsidRPr="000335E4" w:rsidRDefault="00212E1D" w:rsidP="005B5645">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bottom w:val="nil"/>
              <w:right w:val="nil"/>
            </w:tcBorders>
            <w:shd w:val="clear" w:color="auto" w:fill="D9D9D9" w:themeFill="background1" w:themeFillShade="D9"/>
            <w:noWrap/>
            <w:vAlign w:val="center"/>
          </w:tcPr>
          <w:p w14:paraId="2162D59A" w14:textId="5D18B218"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bottom w:val="nil"/>
              <w:right w:val="nil"/>
            </w:tcBorders>
            <w:shd w:val="clear" w:color="auto" w:fill="D9D9D9" w:themeFill="background1" w:themeFillShade="D9"/>
            <w:noWrap/>
            <w:vAlign w:val="center"/>
            <w:hideMark/>
          </w:tcPr>
          <w:p w14:paraId="67A93934" w14:textId="77777777" w:rsidR="00212E1D" w:rsidRPr="000335E4" w:rsidRDefault="00212E1D" w:rsidP="001C4E57">
            <w:pPr>
              <w:spacing w:before="60" w:after="60" w:line="240" w:lineRule="auto"/>
              <w:jc w:val="center"/>
              <w:rPr>
                <w:rFonts w:ascii="Arial" w:eastAsia="Times New Roman" w:hAnsi="Arial" w:cs="Arial"/>
                <w:sz w:val="20"/>
                <w:szCs w:val="20"/>
                <w:lang w:val="en-US"/>
              </w:rPr>
            </w:pPr>
          </w:p>
        </w:tc>
        <w:tc>
          <w:tcPr>
            <w:tcW w:w="622" w:type="dxa"/>
            <w:tcBorders>
              <w:top w:val="nil"/>
              <w:left w:val="nil"/>
              <w:bottom w:val="nil"/>
              <w:right w:val="nil"/>
            </w:tcBorders>
            <w:shd w:val="clear" w:color="auto" w:fill="D9D9D9" w:themeFill="background1" w:themeFillShade="D9"/>
            <w:noWrap/>
            <w:vAlign w:val="center"/>
          </w:tcPr>
          <w:p w14:paraId="62046BEF" w14:textId="4A204827"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1.144</w:t>
            </w:r>
          </w:p>
        </w:tc>
        <w:tc>
          <w:tcPr>
            <w:tcW w:w="693" w:type="dxa"/>
            <w:tcBorders>
              <w:top w:val="nil"/>
              <w:left w:val="nil"/>
              <w:bottom w:val="nil"/>
              <w:right w:val="nil"/>
            </w:tcBorders>
            <w:shd w:val="clear" w:color="auto" w:fill="D9D9D9" w:themeFill="background1" w:themeFillShade="D9"/>
            <w:noWrap/>
            <w:vAlign w:val="center"/>
          </w:tcPr>
          <w:p w14:paraId="5EADAD2D" w14:textId="15736F75"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0.1898</w:t>
            </w:r>
          </w:p>
        </w:tc>
        <w:tc>
          <w:tcPr>
            <w:tcW w:w="584" w:type="dxa"/>
            <w:tcBorders>
              <w:top w:val="nil"/>
              <w:left w:val="nil"/>
              <w:bottom w:val="nil"/>
              <w:right w:val="nil"/>
            </w:tcBorders>
            <w:shd w:val="clear" w:color="auto" w:fill="D9D9D9" w:themeFill="background1" w:themeFillShade="D9"/>
            <w:noWrap/>
            <w:vAlign w:val="center"/>
          </w:tcPr>
          <w:p w14:paraId="47D99321" w14:textId="2905FEF0"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0.48</w:t>
            </w:r>
          </w:p>
        </w:tc>
        <w:tc>
          <w:tcPr>
            <w:tcW w:w="709" w:type="dxa"/>
            <w:tcBorders>
              <w:top w:val="nil"/>
              <w:left w:val="nil"/>
              <w:bottom w:val="nil"/>
              <w:right w:val="nil"/>
            </w:tcBorders>
            <w:shd w:val="clear" w:color="auto" w:fill="D9D9D9" w:themeFill="background1" w:themeFillShade="D9"/>
            <w:noWrap/>
            <w:vAlign w:val="center"/>
          </w:tcPr>
          <w:p w14:paraId="00EE3587" w14:textId="576530EA"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bottom w:val="nil"/>
              <w:right w:val="nil"/>
            </w:tcBorders>
            <w:shd w:val="clear" w:color="auto" w:fill="D9D9D9" w:themeFill="background1" w:themeFillShade="D9"/>
            <w:noWrap/>
            <w:vAlign w:val="center"/>
          </w:tcPr>
          <w:p w14:paraId="4D883C08" w14:textId="7E40D296"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bottom w:val="nil"/>
              <w:right w:val="nil"/>
            </w:tcBorders>
            <w:shd w:val="clear" w:color="auto" w:fill="D9D9D9" w:themeFill="background1" w:themeFillShade="D9"/>
            <w:noWrap/>
            <w:vAlign w:val="center"/>
          </w:tcPr>
          <w:p w14:paraId="7E73DD63" w14:textId="2967E0C9" w:rsidR="00212E1D" w:rsidRPr="000335E4" w:rsidRDefault="00212E1D" w:rsidP="001C4E57">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bottom w:val="nil"/>
              <w:right w:val="nil"/>
            </w:tcBorders>
            <w:shd w:val="clear" w:color="auto" w:fill="D9D9D9" w:themeFill="background1" w:themeFillShade="D9"/>
            <w:noWrap/>
            <w:vAlign w:val="center"/>
            <w:hideMark/>
          </w:tcPr>
          <w:p w14:paraId="3E012C81" w14:textId="77777777" w:rsidR="00212E1D" w:rsidRPr="000335E4" w:rsidRDefault="00212E1D" w:rsidP="001C4E57">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bottom w:val="nil"/>
              <w:right w:val="nil"/>
            </w:tcBorders>
            <w:shd w:val="clear" w:color="auto" w:fill="D9D9D9" w:themeFill="background1" w:themeFillShade="D9"/>
            <w:noWrap/>
            <w:vAlign w:val="center"/>
            <w:hideMark/>
          </w:tcPr>
          <w:p w14:paraId="4E152F59"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1.2</w:t>
            </w:r>
          </w:p>
        </w:tc>
      </w:tr>
      <w:tr w:rsidR="00212E1D" w14:paraId="033E42B4" w14:textId="77777777" w:rsidTr="0097188D">
        <w:tc>
          <w:tcPr>
            <w:tcW w:w="1257" w:type="dxa"/>
            <w:tcBorders>
              <w:top w:val="nil"/>
              <w:left w:val="nil"/>
              <w:bottom w:val="nil"/>
              <w:right w:val="nil"/>
            </w:tcBorders>
            <w:shd w:val="clear" w:color="auto" w:fill="auto"/>
            <w:noWrap/>
            <w:vAlign w:val="bottom"/>
            <w:hideMark/>
          </w:tcPr>
          <w:p w14:paraId="54CB1DB0"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rs690428</w:t>
            </w:r>
          </w:p>
        </w:tc>
        <w:tc>
          <w:tcPr>
            <w:tcW w:w="849" w:type="dxa"/>
            <w:tcBorders>
              <w:top w:val="nil"/>
              <w:left w:val="nil"/>
              <w:bottom w:val="nil"/>
              <w:right w:val="nil"/>
            </w:tcBorders>
            <w:shd w:val="clear" w:color="auto" w:fill="auto"/>
            <w:noWrap/>
            <w:vAlign w:val="center"/>
            <w:hideMark/>
          </w:tcPr>
          <w:p w14:paraId="0F3EC088"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721" w:type="dxa"/>
            <w:tcBorders>
              <w:top w:val="nil"/>
              <w:left w:val="nil"/>
              <w:bottom w:val="nil"/>
              <w:right w:val="nil"/>
            </w:tcBorders>
            <w:shd w:val="clear" w:color="auto" w:fill="auto"/>
            <w:noWrap/>
            <w:vAlign w:val="center"/>
            <w:hideMark/>
          </w:tcPr>
          <w:p w14:paraId="756CE1D7"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[WDR72]</w:t>
            </w:r>
          </w:p>
        </w:tc>
        <w:tc>
          <w:tcPr>
            <w:tcW w:w="117" w:type="dxa"/>
            <w:gridSpan w:val="2"/>
            <w:tcBorders>
              <w:top w:val="nil"/>
              <w:left w:val="nil"/>
              <w:bottom w:val="nil"/>
              <w:right w:val="nil"/>
            </w:tcBorders>
            <w:shd w:val="clear" w:color="auto" w:fill="auto"/>
            <w:noWrap/>
            <w:vAlign w:val="bottom"/>
            <w:hideMark/>
          </w:tcPr>
          <w:p w14:paraId="6D20FD66" w14:textId="77777777" w:rsidR="00212E1D" w:rsidRDefault="00212E1D" w:rsidP="00212E1D">
            <w:pPr>
              <w:spacing w:before="60" w:after="60" w:line="240" w:lineRule="auto"/>
              <w:jc w:val="center"/>
              <w:rPr>
                <w:rFonts w:ascii="Arial" w:eastAsia="Times New Roman" w:hAnsi="Arial" w:cs="Arial"/>
                <w:color w:val="000000"/>
                <w:sz w:val="20"/>
                <w:szCs w:val="20"/>
                <w:lang w:val="en-US"/>
              </w:rPr>
            </w:pPr>
          </w:p>
        </w:tc>
        <w:tc>
          <w:tcPr>
            <w:tcW w:w="609" w:type="dxa"/>
            <w:tcBorders>
              <w:top w:val="nil"/>
              <w:left w:val="nil"/>
              <w:bottom w:val="nil"/>
              <w:right w:val="nil"/>
            </w:tcBorders>
            <w:shd w:val="clear" w:color="auto" w:fill="auto"/>
            <w:noWrap/>
            <w:vAlign w:val="bottom"/>
          </w:tcPr>
          <w:p w14:paraId="25A61B7B" w14:textId="15B3538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0.999</w:t>
            </w:r>
          </w:p>
        </w:tc>
        <w:tc>
          <w:tcPr>
            <w:tcW w:w="708" w:type="dxa"/>
            <w:tcBorders>
              <w:top w:val="nil"/>
              <w:left w:val="nil"/>
              <w:bottom w:val="nil"/>
              <w:right w:val="nil"/>
            </w:tcBorders>
            <w:shd w:val="clear" w:color="auto" w:fill="auto"/>
            <w:noWrap/>
            <w:vAlign w:val="bottom"/>
          </w:tcPr>
          <w:p w14:paraId="70790709" w14:textId="14B33E2C"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0.0464</w:t>
            </w:r>
          </w:p>
        </w:tc>
        <w:tc>
          <w:tcPr>
            <w:tcW w:w="615" w:type="dxa"/>
            <w:tcBorders>
              <w:top w:val="nil"/>
              <w:left w:val="nil"/>
              <w:bottom w:val="nil"/>
              <w:right w:val="nil"/>
            </w:tcBorders>
            <w:shd w:val="clear" w:color="auto" w:fill="auto"/>
            <w:noWrap/>
            <w:vAlign w:val="bottom"/>
          </w:tcPr>
          <w:p w14:paraId="6E0FDDCD" w14:textId="281D46B8"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0.99</w:t>
            </w:r>
          </w:p>
        </w:tc>
        <w:tc>
          <w:tcPr>
            <w:tcW w:w="722" w:type="dxa"/>
            <w:tcBorders>
              <w:top w:val="nil"/>
              <w:left w:val="nil"/>
              <w:bottom w:val="nil"/>
              <w:right w:val="nil"/>
            </w:tcBorders>
            <w:shd w:val="clear" w:color="auto" w:fill="auto"/>
            <w:noWrap/>
            <w:vAlign w:val="bottom"/>
          </w:tcPr>
          <w:p w14:paraId="71BCF349" w14:textId="6B05454F"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bottom w:val="nil"/>
              <w:right w:val="nil"/>
            </w:tcBorders>
            <w:shd w:val="clear" w:color="auto" w:fill="auto"/>
            <w:noWrap/>
            <w:vAlign w:val="bottom"/>
          </w:tcPr>
          <w:p w14:paraId="78CE346C" w14:textId="428F4CA6"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bottom w:val="nil"/>
              <w:right w:val="nil"/>
            </w:tcBorders>
            <w:shd w:val="clear" w:color="auto" w:fill="auto"/>
            <w:noWrap/>
            <w:vAlign w:val="bottom"/>
          </w:tcPr>
          <w:p w14:paraId="19BE0BA6" w14:textId="0498B752"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bottom w:val="nil"/>
              <w:right w:val="nil"/>
            </w:tcBorders>
            <w:shd w:val="clear" w:color="auto" w:fill="auto"/>
            <w:noWrap/>
            <w:vAlign w:val="bottom"/>
            <w:hideMark/>
          </w:tcPr>
          <w:p w14:paraId="2AD18EE3"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22" w:type="dxa"/>
            <w:tcBorders>
              <w:top w:val="nil"/>
              <w:left w:val="nil"/>
              <w:bottom w:val="nil"/>
              <w:right w:val="nil"/>
            </w:tcBorders>
            <w:shd w:val="clear" w:color="auto" w:fill="auto"/>
            <w:noWrap/>
            <w:vAlign w:val="bottom"/>
          </w:tcPr>
          <w:p w14:paraId="44635B0E" w14:textId="77FAEDF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0.922</w:t>
            </w:r>
          </w:p>
        </w:tc>
        <w:tc>
          <w:tcPr>
            <w:tcW w:w="693" w:type="dxa"/>
            <w:tcBorders>
              <w:top w:val="nil"/>
              <w:left w:val="nil"/>
              <w:bottom w:val="nil"/>
              <w:right w:val="nil"/>
            </w:tcBorders>
            <w:shd w:val="clear" w:color="auto" w:fill="auto"/>
            <w:noWrap/>
            <w:vAlign w:val="bottom"/>
          </w:tcPr>
          <w:p w14:paraId="32A8F197" w14:textId="5351472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0.0843</w:t>
            </w:r>
          </w:p>
        </w:tc>
        <w:tc>
          <w:tcPr>
            <w:tcW w:w="584" w:type="dxa"/>
            <w:tcBorders>
              <w:top w:val="nil"/>
              <w:left w:val="nil"/>
              <w:bottom w:val="nil"/>
              <w:right w:val="nil"/>
            </w:tcBorders>
            <w:shd w:val="clear" w:color="auto" w:fill="auto"/>
            <w:noWrap/>
            <w:vAlign w:val="bottom"/>
          </w:tcPr>
          <w:p w14:paraId="16490EF7" w14:textId="5CFF10C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0.34</w:t>
            </w:r>
          </w:p>
        </w:tc>
        <w:tc>
          <w:tcPr>
            <w:tcW w:w="709" w:type="dxa"/>
            <w:tcBorders>
              <w:top w:val="nil"/>
              <w:left w:val="nil"/>
              <w:bottom w:val="nil"/>
              <w:right w:val="nil"/>
            </w:tcBorders>
            <w:shd w:val="clear" w:color="auto" w:fill="auto"/>
            <w:noWrap/>
            <w:vAlign w:val="bottom"/>
          </w:tcPr>
          <w:p w14:paraId="0BCFDCCB" w14:textId="3EB7C006"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bottom w:val="nil"/>
              <w:right w:val="nil"/>
            </w:tcBorders>
            <w:shd w:val="clear" w:color="auto" w:fill="auto"/>
            <w:noWrap/>
            <w:vAlign w:val="bottom"/>
          </w:tcPr>
          <w:p w14:paraId="40562107" w14:textId="63D3C0E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bottom w:val="nil"/>
              <w:right w:val="nil"/>
            </w:tcBorders>
            <w:shd w:val="clear" w:color="auto" w:fill="auto"/>
            <w:noWrap/>
            <w:vAlign w:val="bottom"/>
          </w:tcPr>
          <w:p w14:paraId="433DD5BF" w14:textId="2A21C8C8"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bottom w:val="nil"/>
              <w:right w:val="nil"/>
            </w:tcBorders>
            <w:shd w:val="clear" w:color="auto" w:fill="auto"/>
            <w:noWrap/>
            <w:vAlign w:val="bottom"/>
            <w:hideMark/>
          </w:tcPr>
          <w:p w14:paraId="363DCFD0"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bottom w:val="nil"/>
              <w:right w:val="nil"/>
            </w:tcBorders>
            <w:shd w:val="clear" w:color="auto" w:fill="auto"/>
            <w:noWrap/>
            <w:vAlign w:val="center"/>
            <w:hideMark/>
          </w:tcPr>
          <w:p w14:paraId="7C5A26B7"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2</w:t>
            </w:r>
          </w:p>
        </w:tc>
      </w:tr>
      <w:tr w:rsidR="00212E1D" w14:paraId="099E3053" w14:textId="77777777" w:rsidTr="0097188D">
        <w:tc>
          <w:tcPr>
            <w:tcW w:w="1257" w:type="dxa"/>
            <w:tcBorders>
              <w:top w:val="nil"/>
              <w:left w:val="nil"/>
              <w:bottom w:val="nil"/>
              <w:right w:val="nil"/>
            </w:tcBorders>
            <w:shd w:val="clear" w:color="auto" w:fill="D9D9D9" w:themeFill="background1" w:themeFillShade="D9"/>
            <w:noWrap/>
            <w:vAlign w:val="bottom"/>
            <w:hideMark/>
          </w:tcPr>
          <w:p w14:paraId="06919D81"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rs10254101</w:t>
            </w:r>
          </w:p>
        </w:tc>
        <w:tc>
          <w:tcPr>
            <w:tcW w:w="849" w:type="dxa"/>
            <w:tcBorders>
              <w:top w:val="nil"/>
              <w:left w:val="nil"/>
              <w:bottom w:val="nil"/>
              <w:right w:val="nil"/>
            </w:tcBorders>
            <w:shd w:val="clear" w:color="auto" w:fill="D9D9D9" w:themeFill="background1" w:themeFillShade="D9"/>
            <w:noWrap/>
            <w:vAlign w:val="center"/>
            <w:hideMark/>
          </w:tcPr>
          <w:p w14:paraId="1B54147E"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721" w:type="dxa"/>
            <w:tcBorders>
              <w:top w:val="nil"/>
              <w:left w:val="nil"/>
              <w:bottom w:val="nil"/>
              <w:right w:val="nil"/>
            </w:tcBorders>
            <w:shd w:val="clear" w:color="auto" w:fill="D9D9D9" w:themeFill="background1" w:themeFillShade="D9"/>
            <w:noWrap/>
            <w:vAlign w:val="center"/>
            <w:hideMark/>
          </w:tcPr>
          <w:p w14:paraId="03A2D9D8"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117" w:type="dxa"/>
            <w:gridSpan w:val="2"/>
            <w:tcBorders>
              <w:top w:val="nil"/>
              <w:left w:val="nil"/>
              <w:bottom w:val="nil"/>
              <w:right w:val="nil"/>
            </w:tcBorders>
            <w:shd w:val="clear" w:color="auto" w:fill="D9D9D9" w:themeFill="background1" w:themeFillShade="D9"/>
            <w:noWrap/>
            <w:vAlign w:val="bottom"/>
            <w:hideMark/>
          </w:tcPr>
          <w:p w14:paraId="198BE0EA" w14:textId="77777777" w:rsidR="00212E1D" w:rsidRDefault="00212E1D" w:rsidP="00212E1D">
            <w:pPr>
              <w:spacing w:before="60" w:after="60" w:line="240" w:lineRule="auto"/>
              <w:jc w:val="center"/>
              <w:rPr>
                <w:rFonts w:ascii="Arial" w:eastAsia="Times New Roman" w:hAnsi="Arial" w:cs="Arial"/>
                <w:color w:val="000000"/>
                <w:sz w:val="20"/>
                <w:szCs w:val="20"/>
                <w:lang w:val="en-US"/>
              </w:rPr>
            </w:pPr>
          </w:p>
        </w:tc>
        <w:tc>
          <w:tcPr>
            <w:tcW w:w="609" w:type="dxa"/>
            <w:tcBorders>
              <w:top w:val="nil"/>
              <w:left w:val="nil"/>
              <w:bottom w:val="nil"/>
              <w:right w:val="nil"/>
            </w:tcBorders>
            <w:shd w:val="clear" w:color="auto" w:fill="D9D9D9" w:themeFill="background1" w:themeFillShade="D9"/>
            <w:noWrap/>
            <w:vAlign w:val="bottom"/>
          </w:tcPr>
          <w:p w14:paraId="26403E00" w14:textId="24309CC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1.007</w:t>
            </w:r>
          </w:p>
        </w:tc>
        <w:tc>
          <w:tcPr>
            <w:tcW w:w="708" w:type="dxa"/>
            <w:tcBorders>
              <w:top w:val="nil"/>
              <w:left w:val="nil"/>
              <w:bottom w:val="nil"/>
              <w:right w:val="nil"/>
            </w:tcBorders>
            <w:shd w:val="clear" w:color="auto" w:fill="D9D9D9" w:themeFill="background1" w:themeFillShade="D9"/>
            <w:noWrap/>
            <w:vAlign w:val="bottom"/>
          </w:tcPr>
          <w:p w14:paraId="09973EB0" w14:textId="24F576D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0.0714</w:t>
            </w:r>
          </w:p>
        </w:tc>
        <w:tc>
          <w:tcPr>
            <w:tcW w:w="615" w:type="dxa"/>
            <w:tcBorders>
              <w:top w:val="nil"/>
              <w:left w:val="nil"/>
              <w:bottom w:val="nil"/>
              <w:right w:val="nil"/>
            </w:tcBorders>
            <w:shd w:val="clear" w:color="auto" w:fill="D9D9D9" w:themeFill="background1" w:themeFillShade="D9"/>
            <w:noWrap/>
            <w:vAlign w:val="bottom"/>
          </w:tcPr>
          <w:p w14:paraId="0A4C9602" w14:textId="4B608196"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0.92</w:t>
            </w:r>
          </w:p>
        </w:tc>
        <w:tc>
          <w:tcPr>
            <w:tcW w:w="722" w:type="dxa"/>
            <w:tcBorders>
              <w:top w:val="nil"/>
              <w:left w:val="nil"/>
              <w:bottom w:val="nil"/>
              <w:right w:val="nil"/>
            </w:tcBorders>
            <w:shd w:val="clear" w:color="auto" w:fill="D9D9D9" w:themeFill="background1" w:themeFillShade="D9"/>
            <w:noWrap/>
            <w:vAlign w:val="bottom"/>
          </w:tcPr>
          <w:p w14:paraId="37237F11" w14:textId="07303023"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2,232</w:t>
            </w:r>
          </w:p>
        </w:tc>
        <w:tc>
          <w:tcPr>
            <w:tcW w:w="850" w:type="dxa"/>
            <w:tcBorders>
              <w:top w:val="nil"/>
              <w:left w:val="nil"/>
              <w:bottom w:val="nil"/>
              <w:right w:val="nil"/>
            </w:tcBorders>
            <w:shd w:val="clear" w:color="auto" w:fill="D9D9D9" w:themeFill="background1" w:themeFillShade="D9"/>
            <w:noWrap/>
            <w:vAlign w:val="bottom"/>
          </w:tcPr>
          <w:p w14:paraId="67CE7113" w14:textId="524F6321"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2,233</w:t>
            </w:r>
          </w:p>
        </w:tc>
        <w:tc>
          <w:tcPr>
            <w:tcW w:w="425" w:type="dxa"/>
            <w:tcBorders>
              <w:top w:val="nil"/>
              <w:left w:val="nil"/>
              <w:bottom w:val="nil"/>
              <w:right w:val="nil"/>
            </w:tcBorders>
            <w:shd w:val="clear" w:color="auto" w:fill="D9D9D9" w:themeFill="background1" w:themeFillShade="D9"/>
            <w:noWrap/>
            <w:vAlign w:val="bottom"/>
          </w:tcPr>
          <w:p w14:paraId="75D4C967" w14:textId="0D70B23B"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5</w:t>
            </w:r>
          </w:p>
        </w:tc>
        <w:tc>
          <w:tcPr>
            <w:tcW w:w="77" w:type="dxa"/>
            <w:gridSpan w:val="2"/>
            <w:tcBorders>
              <w:top w:val="nil"/>
              <w:left w:val="nil"/>
              <w:bottom w:val="nil"/>
              <w:right w:val="nil"/>
            </w:tcBorders>
            <w:shd w:val="clear" w:color="auto" w:fill="D9D9D9" w:themeFill="background1" w:themeFillShade="D9"/>
            <w:noWrap/>
            <w:vAlign w:val="bottom"/>
            <w:hideMark/>
          </w:tcPr>
          <w:p w14:paraId="7F3F7D02"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22" w:type="dxa"/>
            <w:tcBorders>
              <w:top w:val="nil"/>
              <w:left w:val="nil"/>
              <w:bottom w:val="nil"/>
              <w:right w:val="nil"/>
            </w:tcBorders>
            <w:shd w:val="clear" w:color="auto" w:fill="D9D9D9" w:themeFill="background1" w:themeFillShade="D9"/>
            <w:noWrap/>
            <w:vAlign w:val="bottom"/>
          </w:tcPr>
          <w:p w14:paraId="41ABBB06" w14:textId="083F017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1.047</w:t>
            </w:r>
          </w:p>
        </w:tc>
        <w:tc>
          <w:tcPr>
            <w:tcW w:w="693" w:type="dxa"/>
            <w:tcBorders>
              <w:top w:val="nil"/>
              <w:left w:val="nil"/>
              <w:bottom w:val="nil"/>
              <w:right w:val="nil"/>
            </w:tcBorders>
            <w:shd w:val="clear" w:color="auto" w:fill="D9D9D9" w:themeFill="background1" w:themeFillShade="D9"/>
            <w:noWrap/>
            <w:vAlign w:val="bottom"/>
          </w:tcPr>
          <w:p w14:paraId="7432B469" w14:textId="4A0A7AD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0.1223</w:t>
            </w:r>
          </w:p>
        </w:tc>
        <w:tc>
          <w:tcPr>
            <w:tcW w:w="584" w:type="dxa"/>
            <w:tcBorders>
              <w:top w:val="nil"/>
              <w:left w:val="nil"/>
              <w:bottom w:val="nil"/>
              <w:right w:val="nil"/>
            </w:tcBorders>
            <w:shd w:val="clear" w:color="auto" w:fill="D9D9D9" w:themeFill="background1" w:themeFillShade="D9"/>
            <w:noWrap/>
            <w:vAlign w:val="bottom"/>
          </w:tcPr>
          <w:p w14:paraId="58401B2D" w14:textId="6D0921D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0.71</w:t>
            </w:r>
          </w:p>
        </w:tc>
        <w:tc>
          <w:tcPr>
            <w:tcW w:w="709" w:type="dxa"/>
            <w:tcBorders>
              <w:top w:val="nil"/>
              <w:left w:val="nil"/>
              <w:bottom w:val="nil"/>
              <w:right w:val="nil"/>
            </w:tcBorders>
            <w:shd w:val="clear" w:color="auto" w:fill="D9D9D9" w:themeFill="background1" w:themeFillShade="D9"/>
            <w:noWrap/>
            <w:vAlign w:val="bottom"/>
          </w:tcPr>
          <w:p w14:paraId="2E5F7114" w14:textId="22AB994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bottom w:val="nil"/>
              <w:right w:val="nil"/>
            </w:tcBorders>
            <w:shd w:val="clear" w:color="auto" w:fill="D9D9D9" w:themeFill="background1" w:themeFillShade="D9"/>
            <w:noWrap/>
            <w:vAlign w:val="bottom"/>
          </w:tcPr>
          <w:p w14:paraId="1E81DD0A" w14:textId="72BC7641"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bottom w:val="nil"/>
              <w:right w:val="nil"/>
            </w:tcBorders>
            <w:shd w:val="clear" w:color="auto" w:fill="D9D9D9" w:themeFill="background1" w:themeFillShade="D9"/>
            <w:noWrap/>
            <w:vAlign w:val="bottom"/>
          </w:tcPr>
          <w:p w14:paraId="77099B20" w14:textId="0F5EEA76"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bottom w:val="nil"/>
              <w:right w:val="nil"/>
            </w:tcBorders>
            <w:shd w:val="clear" w:color="auto" w:fill="D9D9D9" w:themeFill="background1" w:themeFillShade="D9"/>
            <w:noWrap/>
            <w:vAlign w:val="bottom"/>
            <w:hideMark/>
          </w:tcPr>
          <w:p w14:paraId="46911A4D"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bottom w:val="nil"/>
              <w:right w:val="nil"/>
            </w:tcBorders>
            <w:shd w:val="clear" w:color="auto" w:fill="D9D9D9" w:themeFill="background1" w:themeFillShade="D9"/>
            <w:noWrap/>
            <w:vAlign w:val="center"/>
            <w:hideMark/>
          </w:tcPr>
          <w:p w14:paraId="47AAE998"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3</w:t>
            </w:r>
          </w:p>
        </w:tc>
      </w:tr>
      <w:tr w:rsidR="00212E1D" w14:paraId="70210366" w14:textId="77777777" w:rsidTr="0097188D">
        <w:tc>
          <w:tcPr>
            <w:tcW w:w="1257" w:type="dxa"/>
            <w:tcBorders>
              <w:top w:val="nil"/>
              <w:left w:val="nil"/>
              <w:right w:val="nil"/>
            </w:tcBorders>
            <w:shd w:val="clear" w:color="auto" w:fill="auto"/>
            <w:noWrap/>
            <w:vAlign w:val="bottom"/>
            <w:hideMark/>
          </w:tcPr>
          <w:p w14:paraId="14B09E33"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rs80282103</w:t>
            </w:r>
          </w:p>
        </w:tc>
        <w:tc>
          <w:tcPr>
            <w:tcW w:w="849" w:type="dxa"/>
            <w:tcBorders>
              <w:top w:val="nil"/>
              <w:left w:val="nil"/>
              <w:right w:val="nil"/>
            </w:tcBorders>
            <w:shd w:val="clear" w:color="auto" w:fill="auto"/>
            <w:noWrap/>
            <w:vAlign w:val="center"/>
            <w:hideMark/>
          </w:tcPr>
          <w:p w14:paraId="56B1BDEB"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721" w:type="dxa"/>
            <w:tcBorders>
              <w:top w:val="nil"/>
              <w:left w:val="nil"/>
              <w:right w:val="nil"/>
            </w:tcBorders>
            <w:shd w:val="clear" w:color="auto" w:fill="auto"/>
            <w:noWrap/>
            <w:vAlign w:val="center"/>
            <w:hideMark/>
          </w:tcPr>
          <w:p w14:paraId="7BCFC230"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[LARP4B]</w:t>
            </w:r>
          </w:p>
        </w:tc>
        <w:tc>
          <w:tcPr>
            <w:tcW w:w="117" w:type="dxa"/>
            <w:gridSpan w:val="2"/>
            <w:tcBorders>
              <w:top w:val="nil"/>
              <w:left w:val="nil"/>
              <w:right w:val="nil"/>
            </w:tcBorders>
            <w:shd w:val="clear" w:color="auto" w:fill="auto"/>
            <w:noWrap/>
            <w:vAlign w:val="bottom"/>
            <w:hideMark/>
          </w:tcPr>
          <w:p w14:paraId="6C599D7A" w14:textId="77777777" w:rsidR="00212E1D" w:rsidRDefault="00212E1D" w:rsidP="00212E1D">
            <w:pPr>
              <w:spacing w:before="60" w:after="60" w:line="240" w:lineRule="auto"/>
              <w:jc w:val="center"/>
              <w:rPr>
                <w:rFonts w:ascii="Arial" w:eastAsia="Times New Roman" w:hAnsi="Arial" w:cs="Arial"/>
                <w:color w:val="000000"/>
                <w:sz w:val="20"/>
                <w:szCs w:val="20"/>
                <w:lang w:val="en-US"/>
              </w:rPr>
            </w:pPr>
          </w:p>
        </w:tc>
        <w:tc>
          <w:tcPr>
            <w:tcW w:w="609" w:type="dxa"/>
            <w:tcBorders>
              <w:top w:val="nil"/>
              <w:left w:val="nil"/>
              <w:right w:val="nil"/>
            </w:tcBorders>
            <w:shd w:val="clear" w:color="auto" w:fill="auto"/>
            <w:noWrap/>
            <w:vAlign w:val="bottom"/>
          </w:tcPr>
          <w:p w14:paraId="44FB3CD8" w14:textId="74BDA8C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0.937</w:t>
            </w:r>
          </w:p>
        </w:tc>
        <w:tc>
          <w:tcPr>
            <w:tcW w:w="708" w:type="dxa"/>
            <w:tcBorders>
              <w:top w:val="nil"/>
              <w:left w:val="nil"/>
              <w:right w:val="nil"/>
            </w:tcBorders>
            <w:shd w:val="clear" w:color="auto" w:fill="auto"/>
            <w:noWrap/>
            <w:vAlign w:val="bottom"/>
          </w:tcPr>
          <w:p w14:paraId="7559F71E" w14:textId="0194F44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0.0622</w:t>
            </w:r>
          </w:p>
        </w:tc>
        <w:tc>
          <w:tcPr>
            <w:tcW w:w="615" w:type="dxa"/>
            <w:tcBorders>
              <w:top w:val="nil"/>
              <w:left w:val="nil"/>
              <w:right w:val="nil"/>
            </w:tcBorders>
            <w:shd w:val="clear" w:color="auto" w:fill="auto"/>
            <w:noWrap/>
            <w:vAlign w:val="bottom"/>
          </w:tcPr>
          <w:p w14:paraId="176A3323" w14:textId="6369300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0.30</w:t>
            </w:r>
          </w:p>
        </w:tc>
        <w:tc>
          <w:tcPr>
            <w:tcW w:w="722" w:type="dxa"/>
            <w:tcBorders>
              <w:top w:val="nil"/>
              <w:left w:val="nil"/>
              <w:right w:val="nil"/>
            </w:tcBorders>
            <w:shd w:val="clear" w:color="auto" w:fill="auto"/>
            <w:noWrap/>
            <w:vAlign w:val="bottom"/>
          </w:tcPr>
          <w:p w14:paraId="6038754B" w14:textId="22CDA358"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right w:val="nil"/>
            </w:tcBorders>
            <w:shd w:val="clear" w:color="auto" w:fill="auto"/>
            <w:noWrap/>
            <w:vAlign w:val="bottom"/>
          </w:tcPr>
          <w:p w14:paraId="70F8A532" w14:textId="31EB65C1"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right w:val="nil"/>
            </w:tcBorders>
            <w:shd w:val="clear" w:color="auto" w:fill="auto"/>
            <w:noWrap/>
            <w:vAlign w:val="bottom"/>
          </w:tcPr>
          <w:p w14:paraId="0DE65F09" w14:textId="34AC5193"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right w:val="nil"/>
            </w:tcBorders>
            <w:shd w:val="clear" w:color="auto" w:fill="auto"/>
            <w:noWrap/>
            <w:vAlign w:val="bottom"/>
            <w:hideMark/>
          </w:tcPr>
          <w:p w14:paraId="59D89716"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22" w:type="dxa"/>
            <w:tcBorders>
              <w:top w:val="nil"/>
              <w:left w:val="nil"/>
              <w:right w:val="nil"/>
            </w:tcBorders>
            <w:shd w:val="clear" w:color="auto" w:fill="auto"/>
            <w:noWrap/>
            <w:vAlign w:val="bottom"/>
          </w:tcPr>
          <w:p w14:paraId="65291762" w14:textId="670117F2"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1.086</w:t>
            </w:r>
          </w:p>
        </w:tc>
        <w:tc>
          <w:tcPr>
            <w:tcW w:w="693" w:type="dxa"/>
            <w:tcBorders>
              <w:top w:val="nil"/>
              <w:left w:val="nil"/>
              <w:right w:val="nil"/>
            </w:tcBorders>
            <w:shd w:val="clear" w:color="auto" w:fill="auto"/>
            <w:noWrap/>
            <w:vAlign w:val="bottom"/>
          </w:tcPr>
          <w:p w14:paraId="7472F61F" w14:textId="224AB2C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0.1112</w:t>
            </w:r>
          </w:p>
        </w:tc>
        <w:tc>
          <w:tcPr>
            <w:tcW w:w="584" w:type="dxa"/>
            <w:tcBorders>
              <w:top w:val="nil"/>
              <w:left w:val="nil"/>
              <w:right w:val="nil"/>
            </w:tcBorders>
            <w:shd w:val="clear" w:color="auto" w:fill="auto"/>
            <w:noWrap/>
            <w:vAlign w:val="bottom"/>
          </w:tcPr>
          <w:p w14:paraId="7958F633" w14:textId="1A12D99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0.46</w:t>
            </w:r>
          </w:p>
        </w:tc>
        <w:tc>
          <w:tcPr>
            <w:tcW w:w="709" w:type="dxa"/>
            <w:tcBorders>
              <w:top w:val="nil"/>
              <w:left w:val="nil"/>
              <w:right w:val="nil"/>
            </w:tcBorders>
            <w:shd w:val="clear" w:color="auto" w:fill="auto"/>
            <w:noWrap/>
            <w:vAlign w:val="bottom"/>
          </w:tcPr>
          <w:p w14:paraId="64E9F4F1" w14:textId="2697399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right w:val="nil"/>
            </w:tcBorders>
            <w:shd w:val="clear" w:color="auto" w:fill="auto"/>
            <w:noWrap/>
            <w:vAlign w:val="bottom"/>
          </w:tcPr>
          <w:p w14:paraId="7E66A979" w14:textId="152357A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right w:val="nil"/>
            </w:tcBorders>
            <w:shd w:val="clear" w:color="auto" w:fill="auto"/>
            <w:noWrap/>
            <w:vAlign w:val="bottom"/>
          </w:tcPr>
          <w:p w14:paraId="438084B0" w14:textId="348C77E6"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right w:val="nil"/>
            </w:tcBorders>
            <w:shd w:val="clear" w:color="auto" w:fill="auto"/>
            <w:noWrap/>
            <w:vAlign w:val="bottom"/>
            <w:hideMark/>
          </w:tcPr>
          <w:p w14:paraId="346F25FC"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right w:val="nil"/>
            </w:tcBorders>
            <w:shd w:val="clear" w:color="auto" w:fill="auto"/>
            <w:noWrap/>
            <w:vAlign w:val="center"/>
            <w:hideMark/>
          </w:tcPr>
          <w:p w14:paraId="27110A6B"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5</w:t>
            </w:r>
          </w:p>
        </w:tc>
      </w:tr>
      <w:tr w:rsidR="00212E1D" w14:paraId="0731E8FE" w14:textId="77777777" w:rsidTr="0097188D">
        <w:tc>
          <w:tcPr>
            <w:tcW w:w="1257" w:type="dxa"/>
            <w:tcBorders>
              <w:top w:val="nil"/>
              <w:left w:val="nil"/>
              <w:bottom w:val="single" w:sz="4" w:space="0" w:color="auto"/>
              <w:right w:val="nil"/>
            </w:tcBorders>
            <w:shd w:val="clear" w:color="auto" w:fill="D9D9D9" w:themeFill="background1" w:themeFillShade="D9"/>
            <w:noWrap/>
            <w:vAlign w:val="bottom"/>
            <w:hideMark/>
          </w:tcPr>
          <w:p w14:paraId="3D8C40CA"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rs1145077</w:t>
            </w:r>
          </w:p>
        </w:tc>
        <w:tc>
          <w:tcPr>
            <w:tcW w:w="849" w:type="dxa"/>
            <w:tcBorders>
              <w:top w:val="nil"/>
              <w:left w:val="nil"/>
              <w:bottom w:val="single" w:sz="4" w:space="0" w:color="auto"/>
              <w:right w:val="nil"/>
            </w:tcBorders>
            <w:shd w:val="clear" w:color="auto" w:fill="D9D9D9" w:themeFill="background1" w:themeFillShade="D9"/>
            <w:noWrap/>
            <w:vAlign w:val="bottom"/>
            <w:hideMark/>
          </w:tcPr>
          <w:p w14:paraId="489E4C0A"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p>
        </w:tc>
        <w:tc>
          <w:tcPr>
            <w:tcW w:w="1721" w:type="dxa"/>
            <w:tcBorders>
              <w:top w:val="nil"/>
              <w:left w:val="nil"/>
              <w:bottom w:val="single" w:sz="4" w:space="0" w:color="auto"/>
              <w:right w:val="nil"/>
            </w:tcBorders>
            <w:shd w:val="clear" w:color="auto" w:fill="D9D9D9" w:themeFill="background1" w:themeFillShade="D9"/>
            <w:noWrap/>
            <w:vAlign w:val="center"/>
            <w:hideMark/>
          </w:tcPr>
          <w:p w14:paraId="7BD8007C"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[GATM]</w:t>
            </w:r>
          </w:p>
        </w:tc>
        <w:tc>
          <w:tcPr>
            <w:tcW w:w="117" w:type="dxa"/>
            <w:gridSpan w:val="2"/>
            <w:tcBorders>
              <w:top w:val="nil"/>
              <w:left w:val="nil"/>
              <w:bottom w:val="single" w:sz="4" w:space="0" w:color="auto"/>
              <w:right w:val="nil"/>
            </w:tcBorders>
            <w:shd w:val="clear" w:color="auto" w:fill="D9D9D9" w:themeFill="background1" w:themeFillShade="D9"/>
            <w:noWrap/>
            <w:vAlign w:val="bottom"/>
            <w:hideMark/>
          </w:tcPr>
          <w:p w14:paraId="2897819F" w14:textId="7777777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609" w:type="dxa"/>
            <w:tcBorders>
              <w:top w:val="nil"/>
              <w:left w:val="nil"/>
              <w:bottom w:val="single" w:sz="4" w:space="0" w:color="auto"/>
              <w:right w:val="nil"/>
            </w:tcBorders>
            <w:shd w:val="clear" w:color="auto" w:fill="D9D9D9" w:themeFill="background1" w:themeFillShade="D9"/>
            <w:noWrap/>
            <w:vAlign w:val="bottom"/>
          </w:tcPr>
          <w:p w14:paraId="57546BE1" w14:textId="5A58110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1.076</w:t>
            </w:r>
          </w:p>
        </w:tc>
        <w:tc>
          <w:tcPr>
            <w:tcW w:w="708" w:type="dxa"/>
            <w:tcBorders>
              <w:top w:val="nil"/>
              <w:left w:val="nil"/>
              <w:bottom w:val="single" w:sz="4" w:space="0" w:color="auto"/>
              <w:right w:val="nil"/>
            </w:tcBorders>
            <w:shd w:val="clear" w:color="auto" w:fill="D9D9D9" w:themeFill="background1" w:themeFillShade="D9"/>
            <w:noWrap/>
            <w:vAlign w:val="bottom"/>
          </w:tcPr>
          <w:p w14:paraId="5CBB7CA4" w14:textId="5AF5B5FC"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0.0653</w:t>
            </w:r>
          </w:p>
        </w:tc>
        <w:tc>
          <w:tcPr>
            <w:tcW w:w="615" w:type="dxa"/>
            <w:tcBorders>
              <w:top w:val="nil"/>
              <w:left w:val="nil"/>
              <w:bottom w:val="single" w:sz="4" w:space="0" w:color="auto"/>
              <w:right w:val="nil"/>
            </w:tcBorders>
            <w:shd w:val="clear" w:color="auto" w:fill="D9D9D9" w:themeFill="background1" w:themeFillShade="D9"/>
            <w:noWrap/>
            <w:vAlign w:val="bottom"/>
          </w:tcPr>
          <w:p w14:paraId="1FA97A9E" w14:textId="19077C4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0.26</w:t>
            </w:r>
          </w:p>
        </w:tc>
        <w:tc>
          <w:tcPr>
            <w:tcW w:w="722" w:type="dxa"/>
            <w:tcBorders>
              <w:top w:val="nil"/>
              <w:left w:val="nil"/>
              <w:bottom w:val="single" w:sz="4" w:space="0" w:color="auto"/>
              <w:right w:val="nil"/>
            </w:tcBorders>
            <w:shd w:val="clear" w:color="auto" w:fill="D9D9D9" w:themeFill="background1" w:themeFillShade="D9"/>
            <w:noWrap/>
            <w:vAlign w:val="bottom"/>
          </w:tcPr>
          <w:p w14:paraId="43D1CD79" w14:textId="1213BEC3"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bottom w:val="single" w:sz="4" w:space="0" w:color="auto"/>
              <w:right w:val="nil"/>
            </w:tcBorders>
            <w:shd w:val="clear" w:color="auto" w:fill="D9D9D9" w:themeFill="background1" w:themeFillShade="D9"/>
            <w:noWrap/>
            <w:vAlign w:val="bottom"/>
          </w:tcPr>
          <w:p w14:paraId="62C47F22" w14:textId="7F1CAD0E"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bottom w:val="single" w:sz="4" w:space="0" w:color="auto"/>
              <w:right w:val="nil"/>
            </w:tcBorders>
            <w:shd w:val="clear" w:color="auto" w:fill="D9D9D9" w:themeFill="background1" w:themeFillShade="D9"/>
            <w:noWrap/>
            <w:vAlign w:val="bottom"/>
          </w:tcPr>
          <w:p w14:paraId="274E35F0" w14:textId="24C5034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bottom w:val="single" w:sz="4" w:space="0" w:color="auto"/>
              <w:right w:val="nil"/>
            </w:tcBorders>
            <w:shd w:val="clear" w:color="auto" w:fill="D9D9D9" w:themeFill="background1" w:themeFillShade="D9"/>
            <w:noWrap/>
            <w:vAlign w:val="bottom"/>
            <w:hideMark/>
          </w:tcPr>
          <w:p w14:paraId="7E77F1F4" w14:textId="77777777" w:rsidR="00212E1D" w:rsidRPr="000335E4" w:rsidRDefault="00212E1D" w:rsidP="00212E1D">
            <w:pPr>
              <w:spacing w:before="60" w:after="60" w:line="240" w:lineRule="auto"/>
              <w:rPr>
                <w:rFonts w:ascii="Arial" w:eastAsia="Times New Roman" w:hAnsi="Arial" w:cs="Arial"/>
                <w:sz w:val="20"/>
                <w:szCs w:val="20"/>
                <w:lang w:val="en-US"/>
              </w:rPr>
            </w:pPr>
            <w:r w:rsidRPr="000335E4">
              <w:rPr>
                <w:rFonts w:ascii="Arial" w:eastAsia="Times New Roman" w:hAnsi="Arial" w:cs="Arial"/>
                <w:sz w:val="20"/>
                <w:szCs w:val="20"/>
                <w:lang w:val="en-US"/>
              </w:rPr>
              <w:t> </w:t>
            </w:r>
          </w:p>
        </w:tc>
        <w:tc>
          <w:tcPr>
            <w:tcW w:w="622" w:type="dxa"/>
            <w:tcBorders>
              <w:top w:val="nil"/>
              <w:left w:val="nil"/>
              <w:bottom w:val="single" w:sz="4" w:space="0" w:color="auto"/>
              <w:right w:val="nil"/>
            </w:tcBorders>
            <w:shd w:val="clear" w:color="auto" w:fill="D9D9D9" w:themeFill="background1" w:themeFillShade="D9"/>
            <w:noWrap/>
            <w:vAlign w:val="bottom"/>
          </w:tcPr>
          <w:p w14:paraId="5A8A1F91" w14:textId="22F0930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1.002</w:t>
            </w:r>
          </w:p>
        </w:tc>
        <w:tc>
          <w:tcPr>
            <w:tcW w:w="693" w:type="dxa"/>
            <w:tcBorders>
              <w:top w:val="nil"/>
              <w:left w:val="nil"/>
              <w:bottom w:val="single" w:sz="4" w:space="0" w:color="auto"/>
              <w:right w:val="nil"/>
            </w:tcBorders>
            <w:shd w:val="clear" w:color="auto" w:fill="D9D9D9" w:themeFill="background1" w:themeFillShade="D9"/>
            <w:noWrap/>
            <w:vAlign w:val="bottom"/>
          </w:tcPr>
          <w:p w14:paraId="7FE9D650" w14:textId="522CD4C9"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0.1178</w:t>
            </w:r>
          </w:p>
        </w:tc>
        <w:tc>
          <w:tcPr>
            <w:tcW w:w="584" w:type="dxa"/>
            <w:tcBorders>
              <w:top w:val="nil"/>
              <w:left w:val="nil"/>
              <w:bottom w:val="single" w:sz="4" w:space="0" w:color="auto"/>
              <w:right w:val="nil"/>
            </w:tcBorders>
            <w:shd w:val="clear" w:color="auto" w:fill="D9D9D9" w:themeFill="background1" w:themeFillShade="D9"/>
            <w:noWrap/>
            <w:vAlign w:val="bottom"/>
          </w:tcPr>
          <w:p w14:paraId="48CFB6B2" w14:textId="0228B3DF"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0.99</w:t>
            </w:r>
          </w:p>
        </w:tc>
        <w:tc>
          <w:tcPr>
            <w:tcW w:w="709" w:type="dxa"/>
            <w:tcBorders>
              <w:top w:val="nil"/>
              <w:left w:val="nil"/>
              <w:bottom w:val="single" w:sz="4" w:space="0" w:color="auto"/>
              <w:right w:val="nil"/>
            </w:tcBorders>
            <w:shd w:val="clear" w:color="auto" w:fill="D9D9D9" w:themeFill="background1" w:themeFillShade="D9"/>
            <w:noWrap/>
            <w:vAlign w:val="bottom"/>
          </w:tcPr>
          <w:p w14:paraId="63A09969" w14:textId="59250523"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nil"/>
              <w:left w:val="nil"/>
              <w:bottom w:val="single" w:sz="4" w:space="0" w:color="auto"/>
              <w:right w:val="nil"/>
            </w:tcBorders>
            <w:shd w:val="clear" w:color="auto" w:fill="D9D9D9" w:themeFill="background1" w:themeFillShade="D9"/>
            <w:noWrap/>
            <w:vAlign w:val="bottom"/>
          </w:tcPr>
          <w:p w14:paraId="232A4DAD" w14:textId="1FE356C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nil"/>
              <w:left w:val="nil"/>
              <w:bottom w:val="single" w:sz="4" w:space="0" w:color="auto"/>
              <w:right w:val="nil"/>
            </w:tcBorders>
            <w:shd w:val="clear" w:color="auto" w:fill="D9D9D9" w:themeFill="background1" w:themeFillShade="D9"/>
            <w:noWrap/>
            <w:vAlign w:val="bottom"/>
          </w:tcPr>
          <w:p w14:paraId="28F2BB58" w14:textId="3C54FFF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nil"/>
              <w:left w:val="nil"/>
              <w:bottom w:val="single" w:sz="4" w:space="0" w:color="auto"/>
              <w:right w:val="nil"/>
            </w:tcBorders>
            <w:shd w:val="clear" w:color="auto" w:fill="D9D9D9" w:themeFill="background1" w:themeFillShade="D9"/>
            <w:noWrap/>
            <w:vAlign w:val="bottom"/>
            <w:hideMark/>
          </w:tcPr>
          <w:p w14:paraId="0309DC1D"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 </w:t>
            </w:r>
          </w:p>
        </w:tc>
        <w:tc>
          <w:tcPr>
            <w:tcW w:w="674" w:type="dxa"/>
            <w:gridSpan w:val="2"/>
            <w:tcBorders>
              <w:top w:val="nil"/>
              <w:left w:val="nil"/>
              <w:bottom w:val="single" w:sz="4" w:space="0" w:color="auto"/>
              <w:right w:val="nil"/>
            </w:tcBorders>
            <w:shd w:val="clear" w:color="auto" w:fill="D9D9D9" w:themeFill="background1" w:themeFillShade="D9"/>
            <w:noWrap/>
            <w:vAlign w:val="center"/>
            <w:hideMark/>
          </w:tcPr>
          <w:p w14:paraId="2C4E0068"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6</w:t>
            </w:r>
          </w:p>
        </w:tc>
      </w:tr>
      <w:tr w:rsidR="00212E1D" w14:paraId="72516B60" w14:textId="77777777" w:rsidTr="0097188D">
        <w:tc>
          <w:tcPr>
            <w:tcW w:w="1257" w:type="dxa"/>
            <w:tcBorders>
              <w:top w:val="single" w:sz="4" w:space="0" w:color="auto"/>
              <w:left w:val="nil"/>
              <w:bottom w:val="nil"/>
              <w:right w:val="nil"/>
            </w:tcBorders>
            <w:shd w:val="clear" w:color="auto" w:fill="FFFFFF" w:themeFill="background1"/>
            <w:noWrap/>
            <w:vAlign w:val="bottom"/>
          </w:tcPr>
          <w:p w14:paraId="78E3C202" w14:textId="0BD921FD"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rs73885319</w:t>
            </w:r>
          </w:p>
        </w:tc>
        <w:tc>
          <w:tcPr>
            <w:tcW w:w="849" w:type="dxa"/>
            <w:tcBorders>
              <w:top w:val="single" w:sz="4" w:space="0" w:color="auto"/>
              <w:left w:val="nil"/>
              <w:bottom w:val="nil"/>
              <w:right w:val="nil"/>
            </w:tcBorders>
            <w:shd w:val="clear" w:color="auto" w:fill="FFFFFF" w:themeFill="background1"/>
            <w:noWrap/>
            <w:vAlign w:val="bottom"/>
          </w:tcPr>
          <w:p w14:paraId="5496B984" w14:textId="7CC75C07" w:rsidR="00212E1D" w:rsidRDefault="00212E1D" w:rsidP="00212E1D">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1721" w:type="dxa"/>
            <w:tcBorders>
              <w:top w:val="single" w:sz="4" w:space="0" w:color="auto"/>
              <w:left w:val="nil"/>
              <w:bottom w:val="nil"/>
              <w:right w:val="nil"/>
            </w:tcBorders>
            <w:shd w:val="clear" w:color="auto" w:fill="FFFFFF" w:themeFill="background1"/>
            <w:noWrap/>
            <w:vAlign w:val="center"/>
          </w:tcPr>
          <w:p w14:paraId="3557E148" w14:textId="4904810A"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[APOL1]</w:t>
            </w:r>
          </w:p>
        </w:tc>
        <w:tc>
          <w:tcPr>
            <w:tcW w:w="117" w:type="dxa"/>
            <w:gridSpan w:val="2"/>
            <w:tcBorders>
              <w:top w:val="single" w:sz="4" w:space="0" w:color="auto"/>
              <w:left w:val="nil"/>
              <w:bottom w:val="nil"/>
              <w:right w:val="nil"/>
            </w:tcBorders>
            <w:shd w:val="clear" w:color="auto" w:fill="FFFFFF" w:themeFill="background1"/>
            <w:noWrap/>
            <w:vAlign w:val="bottom"/>
          </w:tcPr>
          <w:p w14:paraId="076A6951" w14:textId="77777777" w:rsidR="00212E1D" w:rsidRDefault="00212E1D" w:rsidP="00212E1D">
            <w:pPr>
              <w:spacing w:before="60" w:after="60" w:line="240" w:lineRule="auto"/>
              <w:rPr>
                <w:rFonts w:ascii="Arial" w:eastAsia="Times New Roman" w:hAnsi="Arial" w:cs="Arial"/>
                <w:color w:val="000000"/>
                <w:sz w:val="20"/>
                <w:szCs w:val="20"/>
                <w:lang w:val="en-US"/>
              </w:rPr>
            </w:pPr>
          </w:p>
        </w:tc>
        <w:tc>
          <w:tcPr>
            <w:tcW w:w="609" w:type="dxa"/>
            <w:tcBorders>
              <w:top w:val="single" w:sz="4" w:space="0" w:color="auto"/>
              <w:left w:val="nil"/>
              <w:bottom w:val="nil"/>
              <w:right w:val="nil"/>
            </w:tcBorders>
            <w:shd w:val="clear" w:color="auto" w:fill="FFFFFF" w:themeFill="background1"/>
            <w:noWrap/>
            <w:vAlign w:val="bottom"/>
          </w:tcPr>
          <w:p w14:paraId="1856F9F5" w14:textId="1BFC9423" w:rsidR="00212E1D" w:rsidRPr="000335E4" w:rsidRDefault="008963A1"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0.980</w:t>
            </w:r>
          </w:p>
        </w:tc>
        <w:tc>
          <w:tcPr>
            <w:tcW w:w="708" w:type="dxa"/>
            <w:tcBorders>
              <w:top w:val="single" w:sz="4" w:space="0" w:color="auto"/>
              <w:left w:val="nil"/>
              <w:bottom w:val="nil"/>
              <w:right w:val="nil"/>
            </w:tcBorders>
            <w:shd w:val="clear" w:color="auto" w:fill="FFFFFF" w:themeFill="background1"/>
            <w:noWrap/>
            <w:vAlign w:val="bottom"/>
          </w:tcPr>
          <w:p w14:paraId="5BBFE1F3" w14:textId="5C27EFD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0.0621</w:t>
            </w:r>
          </w:p>
        </w:tc>
        <w:tc>
          <w:tcPr>
            <w:tcW w:w="615" w:type="dxa"/>
            <w:tcBorders>
              <w:top w:val="single" w:sz="4" w:space="0" w:color="auto"/>
              <w:left w:val="nil"/>
              <w:bottom w:val="nil"/>
              <w:right w:val="nil"/>
            </w:tcBorders>
            <w:shd w:val="clear" w:color="auto" w:fill="FFFFFF" w:themeFill="background1"/>
            <w:noWrap/>
            <w:vAlign w:val="bottom"/>
          </w:tcPr>
          <w:p w14:paraId="6B4C1F16" w14:textId="4B8F4F5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0.45</w:t>
            </w:r>
          </w:p>
        </w:tc>
        <w:tc>
          <w:tcPr>
            <w:tcW w:w="722" w:type="dxa"/>
            <w:tcBorders>
              <w:top w:val="single" w:sz="4" w:space="0" w:color="auto"/>
              <w:left w:val="nil"/>
              <w:bottom w:val="nil"/>
              <w:right w:val="nil"/>
            </w:tcBorders>
            <w:shd w:val="clear" w:color="auto" w:fill="FFFFFF" w:themeFill="background1"/>
            <w:noWrap/>
            <w:vAlign w:val="bottom"/>
          </w:tcPr>
          <w:p w14:paraId="625179D7" w14:textId="3C3E1B46"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single" w:sz="4" w:space="0" w:color="auto"/>
              <w:left w:val="nil"/>
              <w:bottom w:val="nil"/>
              <w:right w:val="nil"/>
            </w:tcBorders>
            <w:shd w:val="clear" w:color="auto" w:fill="FFFFFF" w:themeFill="background1"/>
            <w:noWrap/>
            <w:vAlign w:val="bottom"/>
          </w:tcPr>
          <w:p w14:paraId="6ABC07D7" w14:textId="3A6CC849"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single" w:sz="4" w:space="0" w:color="auto"/>
              <w:left w:val="nil"/>
              <w:bottom w:val="nil"/>
              <w:right w:val="nil"/>
            </w:tcBorders>
            <w:shd w:val="clear" w:color="auto" w:fill="FFFFFF" w:themeFill="background1"/>
            <w:noWrap/>
            <w:vAlign w:val="bottom"/>
          </w:tcPr>
          <w:p w14:paraId="4A85C209" w14:textId="6DD9D80B"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single" w:sz="4" w:space="0" w:color="auto"/>
              <w:left w:val="nil"/>
              <w:bottom w:val="nil"/>
              <w:right w:val="nil"/>
            </w:tcBorders>
            <w:shd w:val="clear" w:color="auto" w:fill="FFFFFF" w:themeFill="background1"/>
            <w:noWrap/>
            <w:vAlign w:val="bottom"/>
          </w:tcPr>
          <w:p w14:paraId="0871A193" w14:textId="77777777" w:rsidR="00212E1D" w:rsidRPr="000335E4" w:rsidRDefault="00212E1D" w:rsidP="00212E1D">
            <w:pPr>
              <w:spacing w:before="60" w:after="60" w:line="240" w:lineRule="auto"/>
              <w:rPr>
                <w:rFonts w:ascii="Arial" w:eastAsia="Times New Roman" w:hAnsi="Arial" w:cs="Arial"/>
                <w:sz w:val="20"/>
                <w:szCs w:val="20"/>
                <w:lang w:val="en-US"/>
              </w:rPr>
            </w:pPr>
          </w:p>
        </w:tc>
        <w:tc>
          <w:tcPr>
            <w:tcW w:w="622" w:type="dxa"/>
            <w:tcBorders>
              <w:top w:val="single" w:sz="4" w:space="0" w:color="auto"/>
              <w:left w:val="nil"/>
              <w:bottom w:val="nil"/>
              <w:right w:val="nil"/>
            </w:tcBorders>
            <w:shd w:val="clear" w:color="auto" w:fill="FFFFFF" w:themeFill="background1"/>
            <w:noWrap/>
            <w:vAlign w:val="bottom"/>
          </w:tcPr>
          <w:p w14:paraId="0A5030C3" w14:textId="2CCAF4FD" w:rsidR="00212E1D" w:rsidRPr="000335E4" w:rsidRDefault="008963A1" w:rsidP="008963A1">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1.068</w:t>
            </w:r>
          </w:p>
        </w:tc>
        <w:tc>
          <w:tcPr>
            <w:tcW w:w="693" w:type="dxa"/>
            <w:tcBorders>
              <w:top w:val="single" w:sz="4" w:space="0" w:color="auto"/>
              <w:left w:val="nil"/>
              <w:bottom w:val="nil"/>
              <w:right w:val="nil"/>
            </w:tcBorders>
            <w:shd w:val="clear" w:color="auto" w:fill="FFFFFF" w:themeFill="background1"/>
            <w:noWrap/>
            <w:vAlign w:val="bottom"/>
          </w:tcPr>
          <w:p w14:paraId="416B70B2" w14:textId="2495527E"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0.1156</w:t>
            </w:r>
          </w:p>
        </w:tc>
        <w:tc>
          <w:tcPr>
            <w:tcW w:w="584" w:type="dxa"/>
            <w:tcBorders>
              <w:top w:val="single" w:sz="4" w:space="0" w:color="auto"/>
              <w:left w:val="nil"/>
              <w:bottom w:val="nil"/>
              <w:right w:val="nil"/>
            </w:tcBorders>
            <w:shd w:val="clear" w:color="auto" w:fill="FFFFFF" w:themeFill="background1"/>
            <w:noWrap/>
            <w:vAlign w:val="bottom"/>
          </w:tcPr>
          <w:p w14:paraId="51CF3DEC" w14:textId="1C8A33F1"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0.19</w:t>
            </w:r>
          </w:p>
        </w:tc>
        <w:tc>
          <w:tcPr>
            <w:tcW w:w="709" w:type="dxa"/>
            <w:tcBorders>
              <w:top w:val="single" w:sz="4" w:space="0" w:color="auto"/>
              <w:left w:val="nil"/>
              <w:bottom w:val="nil"/>
              <w:right w:val="nil"/>
            </w:tcBorders>
            <w:shd w:val="clear" w:color="auto" w:fill="FFFFFF" w:themeFill="background1"/>
            <w:noWrap/>
            <w:vAlign w:val="bottom"/>
          </w:tcPr>
          <w:p w14:paraId="168757BC" w14:textId="2FD5897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374</w:t>
            </w:r>
          </w:p>
        </w:tc>
        <w:tc>
          <w:tcPr>
            <w:tcW w:w="851" w:type="dxa"/>
            <w:tcBorders>
              <w:top w:val="single" w:sz="4" w:space="0" w:color="auto"/>
              <w:left w:val="nil"/>
              <w:bottom w:val="nil"/>
              <w:right w:val="nil"/>
            </w:tcBorders>
            <w:shd w:val="clear" w:color="auto" w:fill="FFFFFF" w:themeFill="background1"/>
            <w:noWrap/>
            <w:vAlign w:val="bottom"/>
          </w:tcPr>
          <w:p w14:paraId="613D8855" w14:textId="5490802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4,183</w:t>
            </w:r>
          </w:p>
        </w:tc>
        <w:tc>
          <w:tcPr>
            <w:tcW w:w="499" w:type="dxa"/>
            <w:tcBorders>
              <w:top w:val="single" w:sz="4" w:space="0" w:color="auto"/>
              <w:left w:val="nil"/>
              <w:bottom w:val="nil"/>
              <w:right w:val="nil"/>
            </w:tcBorders>
            <w:shd w:val="clear" w:color="auto" w:fill="FFFFFF" w:themeFill="background1"/>
            <w:noWrap/>
            <w:vAlign w:val="bottom"/>
          </w:tcPr>
          <w:p w14:paraId="10A41832" w14:textId="34CA96F5"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3</w:t>
            </w:r>
          </w:p>
        </w:tc>
        <w:tc>
          <w:tcPr>
            <w:tcW w:w="78" w:type="dxa"/>
            <w:gridSpan w:val="2"/>
            <w:tcBorders>
              <w:top w:val="single" w:sz="4" w:space="0" w:color="auto"/>
              <w:left w:val="nil"/>
              <w:bottom w:val="nil"/>
              <w:right w:val="nil"/>
            </w:tcBorders>
            <w:shd w:val="clear" w:color="auto" w:fill="FFFFFF" w:themeFill="background1"/>
            <w:noWrap/>
            <w:vAlign w:val="bottom"/>
          </w:tcPr>
          <w:p w14:paraId="0240FE8D"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single" w:sz="4" w:space="0" w:color="auto"/>
              <w:left w:val="nil"/>
              <w:bottom w:val="nil"/>
              <w:right w:val="nil"/>
            </w:tcBorders>
            <w:shd w:val="clear" w:color="auto" w:fill="FFFFFF" w:themeFill="background1"/>
            <w:noWrap/>
            <w:vAlign w:val="center"/>
          </w:tcPr>
          <w:p w14:paraId="1272062C" w14:textId="784573A6"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NA</w:t>
            </w:r>
          </w:p>
        </w:tc>
      </w:tr>
      <w:tr w:rsidR="00212E1D" w:rsidRPr="008963A1" w14:paraId="63F938A5" w14:textId="77777777" w:rsidTr="0097188D">
        <w:tc>
          <w:tcPr>
            <w:tcW w:w="1257" w:type="dxa"/>
            <w:tcBorders>
              <w:top w:val="nil"/>
              <w:left w:val="nil"/>
              <w:bottom w:val="single" w:sz="4" w:space="0" w:color="auto"/>
              <w:right w:val="nil"/>
            </w:tcBorders>
            <w:shd w:val="clear" w:color="auto" w:fill="D9D9D9" w:themeFill="background1" w:themeFillShade="D9"/>
            <w:noWrap/>
            <w:vAlign w:val="bottom"/>
          </w:tcPr>
          <w:p w14:paraId="45B0853E" w14:textId="076A8487"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rs60910145</w:t>
            </w:r>
          </w:p>
        </w:tc>
        <w:tc>
          <w:tcPr>
            <w:tcW w:w="849" w:type="dxa"/>
            <w:tcBorders>
              <w:top w:val="nil"/>
              <w:left w:val="nil"/>
              <w:bottom w:val="single" w:sz="4" w:space="0" w:color="auto"/>
              <w:right w:val="nil"/>
            </w:tcBorders>
            <w:shd w:val="clear" w:color="auto" w:fill="D9D9D9" w:themeFill="background1" w:themeFillShade="D9"/>
            <w:noWrap/>
            <w:vAlign w:val="bottom"/>
          </w:tcPr>
          <w:p w14:paraId="1FF469FA" w14:textId="4C55B008" w:rsidR="00212E1D" w:rsidRDefault="00212E1D" w:rsidP="00212E1D">
            <w:pPr>
              <w:spacing w:before="60" w:after="6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1721" w:type="dxa"/>
            <w:tcBorders>
              <w:top w:val="nil"/>
              <w:left w:val="nil"/>
              <w:bottom w:val="single" w:sz="4" w:space="0" w:color="auto"/>
              <w:right w:val="nil"/>
            </w:tcBorders>
            <w:shd w:val="clear" w:color="auto" w:fill="D9D9D9" w:themeFill="background1" w:themeFillShade="D9"/>
            <w:noWrap/>
            <w:vAlign w:val="center"/>
          </w:tcPr>
          <w:p w14:paraId="7E92561C" w14:textId="3EDC9DAA" w:rsidR="00212E1D" w:rsidRDefault="00212E1D" w:rsidP="00212E1D">
            <w:pPr>
              <w:spacing w:before="60" w:after="6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[APOL1]</w:t>
            </w:r>
          </w:p>
        </w:tc>
        <w:tc>
          <w:tcPr>
            <w:tcW w:w="117" w:type="dxa"/>
            <w:gridSpan w:val="2"/>
            <w:tcBorders>
              <w:top w:val="nil"/>
              <w:left w:val="nil"/>
              <w:bottom w:val="single" w:sz="4" w:space="0" w:color="auto"/>
              <w:right w:val="nil"/>
            </w:tcBorders>
            <w:shd w:val="clear" w:color="auto" w:fill="D9D9D9" w:themeFill="background1" w:themeFillShade="D9"/>
            <w:noWrap/>
            <w:vAlign w:val="bottom"/>
          </w:tcPr>
          <w:p w14:paraId="4EFE7C83" w14:textId="77777777" w:rsidR="00212E1D" w:rsidRDefault="00212E1D" w:rsidP="00212E1D">
            <w:pPr>
              <w:spacing w:before="60" w:after="60" w:line="240" w:lineRule="auto"/>
              <w:rPr>
                <w:rFonts w:ascii="Arial" w:eastAsia="Times New Roman" w:hAnsi="Arial" w:cs="Arial"/>
                <w:color w:val="000000"/>
                <w:sz w:val="20"/>
                <w:szCs w:val="20"/>
                <w:lang w:val="en-US"/>
              </w:rPr>
            </w:pPr>
          </w:p>
        </w:tc>
        <w:tc>
          <w:tcPr>
            <w:tcW w:w="609" w:type="dxa"/>
            <w:tcBorders>
              <w:top w:val="nil"/>
              <w:left w:val="nil"/>
              <w:bottom w:val="single" w:sz="4" w:space="0" w:color="auto"/>
              <w:right w:val="nil"/>
            </w:tcBorders>
            <w:shd w:val="clear" w:color="auto" w:fill="D9D9D9" w:themeFill="background1" w:themeFillShade="D9"/>
            <w:noWrap/>
            <w:vAlign w:val="bottom"/>
          </w:tcPr>
          <w:p w14:paraId="13FB8FAD" w14:textId="1E5EF4FF" w:rsidR="00212E1D" w:rsidRPr="000335E4" w:rsidRDefault="008963A1"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0.980</w:t>
            </w:r>
          </w:p>
        </w:tc>
        <w:tc>
          <w:tcPr>
            <w:tcW w:w="708" w:type="dxa"/>
            <w:tcBorders>
              <w:top w:val="nil"/>
              <w:left w:val="nil"/>
              <w:bottom w:val="single" w:sz="4" w:space="0" w:color="auto"/>
              <w:right w:val="nil"/>
            </w:tcBorders>
            <w:shd w:val="clear" w:color="auto" w:fill="D9D9D9" w:themeFill="background1" w:themeFillShade="D9"/>
            <w:noWrap/>
            <w:vAlign w:val="bottom"/>
          </w:tcPr>
          <w:p w14:paraId="34C38A68" w14:textId="4C131816"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0.0622</w:t>
            </w:r>
          </w:p>
        </w:tc>
        <w:tc>
          <w:tcPr>
            <w:tcW w:w="615" w:type="dxa"/>
            <w:tcBorders>
              <w:top w:val="nil"/>
              <w:left w:val="nil"/>
              <w:bottom w:val="single" w:sz="4" w:space="0" w:color="auto"/>
              <w:right w:val="nil"/>
            </w:tcBorders>
            <w:shd w:val="clear" w:color="auto" w:fill="D9D9D9" w:themeFill="background1" w:themeFillShade="D9"/>
            <w:noWrap/>
            <w:vAlign w:val="bottom"/>
          </w:tcPr>
          <w:p w14:paraId="4CA19837" w14:textId="0858928A"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0.45</w:t>
            </w:r>
          </w:p>
        </w:tc>
        <w:tc>
          <w:tcPr>
            <w:tcW w:w="722" w:type="dxa"/>
            <w:tcBorders>
              <w:top w:val="nil"/>
              <w:left w:val="nil"/>
              <w:bottom w:val="single" w:sz="4" w:space="0" w:color="auto"/>
              <w:right w:val="nil"/>
            </w:tcBorders>
            <w:shd w:val="clear" w:color="auto" w:fill="D9D9D9" w:themeFill="background1" w:themeFillShade="D9"/>
            <w:noWrap/>
            <w:vAlign w:val="bottom"/>
          </w:tcPr>
          <w:p w14:paraId="6E59470D" w14:textId="36840759"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2,356</w:t>
            </w:r>
          </w:p>
        </w:tc>
        <w:tc>
          <w:tcPr>
            <w:tcW w:w="850" w:type="dxa"/>
            <w:tcBorders>
              <w:top w:val="nil"/>
              <w:left w:val="nil"/>
              <w:bottom w:val="single" w:sz="4" w:space="0" w:color="auto"/>
              <w:right w:val="nil"/>
            </w:tcBorders>
            <w:shd w:val="clear" w:color="auto" w:fill="D9D9D9" w:themeFill="background1" w:themeFillShade="D9"/>
            <w:noWrap/>
            <w:vAlign w:val="bottom"/>
          </w:tcPr>
          <w:p w14:paraId="7207AC17" w14:textId="5F5C4128" w:rsidR="00212E1D" w:rsidRPr="000335E4" w:rsidRDefault="00212E1D" w:rsidP="00212E1D">
            <w:pPr>
              <w:spacing w:before="60" w:after="60" w:line="240" w:lineRule="auto"/>
              <w:jc w:val="right"/>
              <w:rPr>
                <w:rFonts w:ascii="Arial" w:eastAsia="Times New Roman" w:hAnsi="Arial" w:cs="Arial"/>
                <w:sz w:val="20"/>
                <w:szCs w:val="20"/>
                <w:lang w:val="en-US"/>
              </w:rPr>
            </w:pPr>
            <w:r w:rsidRPr="000335E4">
              <w:rPr>
                <w:rFonts w:ascii="Arial" w:hAnsi="Arial" w:cs="Arial"/>
                <w:sz w:val="20"/>
                <w:szCs w:val="20"/>
              </w:rPr>
              <w:t>2,375</w:t>
            </w:r>
          </w:p>
        </w:tc>
        <w:tc>
          <w:tcPr>
            <w:tcW w:w="425" w:type="dxa"/>
            <w:tcBorders>
              <w:top w:val="nil"/>
              <w:left w:val="nil"/>
              <w:bottom w:val="single" w:sz="4" w:space="0" w:color="auto"/>
              <w:right w:val="nil"/>
            </w:tcBorders>
            <w:shd w:val="clear" w:color="auto" w:fill="D9D9D9" w:themeFill="background1" w:themeFillShade="D9"/>
            <w:noWrap/>
            <w:vAlign w:val="bottom"/>
          </w:tcPr>
          <w:p w14:paraId="2B61DDA0" w14:textId="571D6CD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rPr>
              <w:t>6</w:t>
            </w:r>
          </w:p>
        </w:tc>
        <w:tc>
          <w:tcPr>
            <w:tcW w:w="77" w:type="dxa"/>
            <w:gridSpan w:val="2"/>
            <w:tcBorders>
              <w:top w:val="nil"/>
              <w:left w:val="nil"/>
              <w:bottom w:val="single" w:sz="4" w:space="0" w:color="auto"/>
              <w:right w:val="nil"/>
            </w:tcBorders>
            <w:shd w:val="clear" w:color="auto" w:fill="D9D9D9" w:themeFill="background1" w:themeFillShade="D9"/>
            <w:noWrap/>
            <w:vAlign w:val="bottom"/>
          </w:tcPr>
          <w:p w14:paraId="648012EC" w14:textId="77777777" w:rsidR="00212E1D" w:rsidRPr="000335E4" w:rsidRDefault="00212E1D" w:rsidP="00212E1D">
            <w:pPr>
              <w:spacing w:before="60" w:after="60" w:line="240" w:lineRule="auto"/>
              <w:rPr>
                <w:rFonts w:ascii="Arial" w:eastAsia="Times New Roman" w:hAnsi="Arial" w:cs="Arial"/>
                <w:sz w:val="20"/>
                <w:szCs w:val="20"/>
                <w:lang w:val="en-US"/>
              </w:rPr>
            </w:pPr>
          </w:p>
        </w:tc>
        <w:tc>
          <w:tcPr>
            <w:tcW w:w="622" w:type="dxa"/>
            <w:tcBorders>
              <w:top w:val="nil"/>
              <w:left w:val="nil"/>
              <w:bottom w:val="single" w:sz="4" w:space="0" w:color="auto"/>
              <w:right w:val="nil"/>
            </w:tcBorders>
            <w:shd w:val="clear" w:color="auto" w:fill="D9D9D9" w:themeFill="background1" w:themeFillShade="D9"/>
            <w:noWrap/>
            <w:vAlign w:val="bottom"/>
          </w:tcPr>
          <w:p w14:paraId="2062D2BC" w14:textId="47F3AF07" w:rsidR="00212E1D" w:rsidRPr="000335E4" w:rsidRDefault="008963A1" w:rsidP="008963A1">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1.067</w:t>
            </w:r>
          </w:p>
        </w:tc>
        <w:tc>
          <w:tcPr>
            <w:tcW w:w="693" w:type="dxa"/>
            <w:tcBorders>
              <w:top w:val="nil"/>
              <w:left w:val="nil"/>
              <w:bottom w:val="single" w:sz="4" w:space="0" w:color="auto"/>
              <w:right w:val="nil"/>
            </w:tcBorders>
            <w:shd w:val="clear" w:color="auto" w:fill="D9D9D9" w:themeFill="background1" w:themeFillShade="D9"/>
            <w:noWrap/>
            <w:vAlign w:val="bottom"/>
          </w:tcPr>
          <w:p w14:paraId="0A3B3876" w14:textId="4CD090C3"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0.1156</w:t>
            </w:r>
          </w:p>
        </w:tc>
        <w:tc>
          <w:tcPr>
            <w:tcW w:w="584" w:type="dxa"/>
            <w:tcBorders>
              <w:top w:val="nil"/>
              <w:left w:val="nil"/>
              <w:bottom w:val="single" w:sz="4" w:space="0" w:color="auto"/>
              <w:right w:val="nil"/>
            </w:tcBorders>
            <w:shd w:val="clear" w:color="auto" w:fill="D9D9D9" w:themeFill="background1" w:themeFillShade="D9"/>
            <w:noWrap/>
            <w:vAlign w:val="bottom"/>
          </w:tcPr>
          <w:p w14:paraId="1CF1C942" w14:textId="3C3D2512"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0.20</w:t>
            </w:r>
          </w:p>
        </w:tc>
        <w:tc>
          <w:tcPr>
            <w:tcW w:w="709" w:type="dxa"/>
            <w:tcBorders>
              <w:top w:val="nil"/>
              <w:left w:val="nil"/>
              <w:bottom w:val="single" w:sz="4" w:space="0" w:color="auto"/>
              <w:right w:val="nil"/>
            </w:tcBorders>
            <w:shd w:val="clear" w:color="auto" w:fill="D9D9D9" w:themeFill="background1" w:themeFillShade="D9"/>
            <w:noWrap/>
            <w:vAlign w:val="bottom"/>
          </w:tcPr>
          <w:p w14:paraId="02C299E9" w14:textId="44FE0BE4"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374</w:t>
            </w:r>
          </w:p>
        </w:tc>
        <w:tc>
          <w:tcPr>
            <w:tcW w:w="851" w:type="dxa"/>
            <w:tcBorders>
              <w:top w:val="nil"/>
              <w:left w:val="nil"/>
              <w:bottom w:val="single" w:sz="4" w:space="0" w:color="auto"/>
              <w:right w:val="nil"/>
            </w:tcBorders>
            <w:shd w:val="clear" w:color="auto" w:fill="D9D9D9" w:themeFill="background1" w:themeFillShade="D9"/>
            <w:noWrap/>
            <w:vAlign w:val="bottom"/>
          </w:tcPr>
          <w:p w14:paraId="7E972435" w14:textId="3B96FC6C"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4,183</w:t>
            </w:r>
          </w:p>
        </w:tc>
        <w:tc>
          <w:tcPr>
            <w:tcW w:w="499" w:type="dxa"/>
            <w:tcBorders>
              <w:top w:val="nil"/>
              <w:left w:val="nil"/>
              <w:bottom w:val="single" w:sz="4" w:space="0" w:color="auto"/>
              <w:right w:val="nil"/>
            </w:tcBorders>
            <w:shd w:val="clear" w:color="auto" w:fill="D9D9D9" w:themeFill="background1" w:themeFillShade="D9"/>
            <w:noWrap/>
            <w:vAlign w:val="bottom"/>
          </w:tcPr>
          <w:p w14:paraId="0754F7AD" w14:textId="41FDECF0"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hAnsi="Arial" w:cs="Arial"/>
                <w:sz w:val="20"/>
                <w:szCs w:val="20"/>
                <w:lang w:val="en-US"/>
              </w:rPr>
              <w:t>3</w:t>
            </w:r>
          </w:p>
        </w:tc>
        <w:tc>
          <w:tcPr>
            <w:tcW w:w="78" w:type="dxa"/>
            <w:gridSpan w:val="2"/>
            <w:tcBorders>
              <w:top w:val="nil"/>
              <w:left w:val="nil"/>
              <w:bottom w:val="single" w:sz="4" w:space="0" w:color="auto"/>
              <w:right w:val="nil"/>
            </w:tcBorders>
            <w:shd w:val="clear" w:color="auto" w:fill="D9D9D9" w:themeFill="background1" w:themeFillShade="D9"/>
            <w:noWrap/>
            <w:vAlign w:val="bottom"/>
          </w:tcPr>
          <w:p w14:paraId="61AE59F9" w14:textId="77777777" w:rsidR="00212E1D" w:rsidRPr="000335E4" w:rsidRDefault="00212E1D" w:rsidP="00212E1D">
            <w:pPr>
              <w:spacing w:before="60" w:after="60" w:line="240" w:lineRule="auto"/>
              <w:jc w:val="center"/>
              <w:rPr>
                <w:rFonts w:ascii="Arial" w:eastAsia="Times New Roman" w:hAnsi="Arial" w:cs="Arial"/>
                <w:sz w:val="20"/>
                <w:szCs w:val="20"/>
                <w:lang w:val="en-US"/>
              </w:rPr>
            </w:pPr>
          </w:p>
        </w:tc>
        <w:tc>
          <w:tcPr>
            <w:tcW w:w="674" w:type="dxa"/>
            <w:gridSpan w:val="2"/>
            <w:tcBorders>
              <w:top w:val="nil"/>
              <w:left w:val="nil"/>
              <w:bottom w:val="single" w:sz="4" w:space="0" w:color="auto"/>
              <w:right w:val="nil"/>
            </w:tcBorders>
            <w:shd w:val="clear" w:color="auto" w:fill="D9D9D9" w:themeFill="background1" w:themeFillShade="D9"/>
            <w:noWrap/>
            <w:vAlign w:val="center"/>
          </w:tcPr>
          <w:p w14:paraId="78BE9326" w14:textId="6119AECD" w:rsidR="00212E1D" w:rsidRPr="000335E4" w:rsidRDefault="00212E1D" w:rsidP="00212E1D">
            <w:pPr>
              <w:spacing w:before="60" w:after="60" w:line="240" w:lineRule="auto"/>
              <w:jc w:val="center"/>
              <w:rPr>
                <w:rFonts w:ascii="Arial" w:eastAsia="Times New Roman" w:hAnsi="Arial" w:cs="Arial"/>
                <w:sz w:val="20"/>
                <w:szCs w:val="20"/>
                <w:lang w:val="en-US"/>
              </w:rPr>
            </w:pPr>
            <w:r w:rsidRPr="000335E4">
              <w:rPr>
                <w:rFonts w:ascii="Arial" w:eastAsia="Times New Roman" w:hAnsi="Arial" w:cs="Arial"/>
                <w:sz w:val="20"/>
                <w:szCs w:val="20"/>
                <w:lang w:val="en-US"/>
              </w:rPr>
              <w:t>NA</w:t>
            </w:r>
          </w:p>
        </w:tc>
      </w:tr>
    </w:tbl>
    <w:p w14:paraId="2DC4C7DE" w14:textId="1646BC54" w:rsidR="002C1C62" w:rsidRDefault="0066268C" w:rsidP="00F13594">
      <w:pPr>
        <w:spacing w:after="120" w:line="240" w:lineRule="auto"/>
        <w:ind w:right="1702"/>
        <w:jc w:val="both"/>
        <w:rPr>
          <w:rFonts w:ascii="Arial" w:eastAsia="Times New Roman" w:hAnsi="Arial" w:cs="Arial"/>
          <w:b/>
          <w:bCs/>
          <w:color w:val="000000"/>
          <w:lang w:val="en-US"/>
        </w:rPr>
      </w:pPr>
      <w:r w:rsidRPr="0066268C">
        <w:rPr>
          <w:rFonts w:ascii="Arial" w:eastAsia="Times New Roman" w:hAnsi="Arial" w:cs="Arial"/>
          <w:bCs/>
          <w:color w:val="000000"/>
          <w:sz w:val="20"/>
          <w:szCs w:val="20"/>
          <w:lang w:val="en-US"/>
        </w:rPr>
        <w:t>Column names are iden</w:t>
      </w:r>
      <w:r>
        <w:rPr>
          <w:rFonts w:ascii="Arial" w:eastAsia="Times New Roman" w:hAnsi="Arial" w:cs="Arial"/>
          <w:bCs/>
          <w:color w:val="000000"/>
          <w:sz w:val="20"/>
          <w:szCs w:val="20"/>
          <w:lang w:val="en-US"/>
        </w:rPr>
        <w:t>t</w:t>
      </w:r>
      <w:r w:rsidRPr="0066268C">
        <w:rPr>
          <w:rFonts w:ascii="Arial" w:eastAsia="Times New Roman" w:hAnsi="Arial" w:cs="Arial"/>
          <w:bCs/>
          <w:color w:val="000000"/>
          <w:sz w:val="20"/>
          <w:szCs w:val="20"/>
          <w:lang w:val="en-US"/>
        </w:rPr>
        <w:t>ical to those</w:t>
      </w:r>
      <w:r>
        <w:rPr>
          <w:rFonts w:ascii="Arial" w:eastAsia="Times New Roman" w:hAnsi="Arial" w:cs="Arial"/>
          <w:bCs/>
          <w:color w:val="000000"/>
          <w:sz w:val="20"/>
          <w:szCs w:val="20"/>
          <w:lang w:val="en-US"/>
        </w:rPr>
        <w:t xml:space="preserve"> </w:t>
      </w:r>
      <w:r w:rsidRPr="0066268C">
        <w:rPr>
          <w:rFonts w:ascii="Arial" w:eastAsia="Times New Roman" w:hAnsi="Arial" w:cs="Arial"/>
          <w:bCs/>
          <w:color w:val="000000"/>
          <w:sz w:val="20"/>
          <w:szCs w:val="20"/>
          <w:lang w:val="en-US"/>
        </w:rPr>
        <w:t xml:space="preserve">in </w:t>
      </w:r>
      <w:r w:rsidRPr="0066268C">
        <w:rPr>
          <w:rFonts w:ascii="Arial" w:eastAsia="Times New Roman" w:hAnsi="Arial" w:cs="Arial"/>
          <w:b/>
          <w:bCs/>
          <w:color w:val="000000"/>
          <w:sz w:val="20"/>
          <w:szCs w:val="20"/>
          <w:lang w:val="en-US"/>
        </w:rPr>
        <w:t>Supplementary Table 4A</w:t>
      </w:r>
      <w:r w:rsidRPr="0066268C">
        <w:rPr>
          <w:rFonts w:ascii="Arial" w:eastAsia="Times New Roman" w:hAnsi="Arial" w:cs="Arial"/>
          <w:bCs/>
          <w:color w:val="000000"/>
          <w:sz w:val="20"/>
          <w:szCs w:val="20"/>
          <w:lang w:val="en-US"/>
        </w:rPr>
        <w:t xml:space="preserve">. Variants rs73885319 and rs60910145 are the reported variants in </w:t>
      </w:r>
      <w:r w:rsidRPr="00CB38C2">
        <w:rPr>
          <w:rFonts w:ascii="Arial" w:eastAsia="Times New Roman" w:hAnsi="Arial" w:cs="Arial"/>
          <w:bCs/>
          <w:i/>
          <w:color w:val="000000"/>
          <w:sz w:val="20"/>
          <w:szCs w:val="20"/>
          <w:lang w:val="en-US"/>
        </w:rPr>
        <w:t>APOL1</w:t>
      </w:r>
      <w:r w:rsidRPr="0066268C">
        <w:rPr>
          <w:rFonts w:ascii="Arial" w:eastAsia="Times New Roman" w:hAnsi="Arial" w:cs="Arial"/>
          <w:bCs/>
          <w:color w:val="000000"/>
          <w:sz w:val="20"/>
          <w:szCs w:val="20"/>
          <w:lang w:val="en-US"/>
        </w:rPr>
        <w:t xml:space="preserve"> associated </w:t>
      </w:r>
      <w:r w:rsidR="004F600F">
        <w:rPr>
          <w:rFonts w:ascii="Arial" w:eastAsia="Times New Roman" w:hAnsi="Arial" w:cs="Arial"/>
          <w:bCs/>
          <w:color w:val="000000"/>
          <w:sz w:val="20"/>
          <w:szCs w:val="20"/>
          <w:lang w:val="en-US"/>
        </w:rPr>
        <w:t xml:space="preserve">with Kidney Disease </w:t>
      </w:r>
      <w:r w:rsidRPr="0066268C">
        <w:rPr>
          <w:rFonts w:ascii="Arial" w:eastAsia="Times New Roman" w:hAnsi="Arial" w:cs="Arial"/>
          <w:bCs/>
          <w:color w:val="000000"/>
          <w:sz w:val="20"/>
          <w:szCs w:val="20"/>
          <w:lang w:val="en-US"/>
        </w:rPr>
        <w:t>in individuals of African ancestry</w:t>
      </w:r>
      <w:r w:rsidR="00630C24" w:rsidRPr="00630C24">
        <w:rPr>
          <w:rFonts w:ascii="Arial" w:eastAsia="Times New Roman" w:hAnsi="Arial" w:cs="Arial"/>
          <w:bCs/>
          <w:color w:val="000000"/>
          <w:sz w:val="20"/>
          <w:szCs w:val="20"/>
          <w:vertAlign w:val="superscript"/>
          <w:lang w:val="en-US"/>
        </w:rPr>
        <w:t>S</w:t>
      </w:r>
      <w:r w:rsidR="00630C24">
        <w:rPr>
          <w:rFonts w:ascii="Arial" w:eastAsia="Times New Roman" w:hAnsi="Arial" w:cs="Arial"/>
          <w:bCs/>
          <w:color w:val="000000"/>
          <w:sz w:val="20"/>
          <w:szCs w:val="20"/>
          <w:lang w:val="en-US"/>
        </w:rPr>
        <w:fldChar w:fldCharType="begin" w:fldLock="1"/>
      </w:r>
      <w:r w:rsidR="003D1CE9">
        <w:rPr>
          <w:rFonts w:ascii="Arial" w:eastAsia="Times New Roman" w:hAnsi="Arial" w:cs="Arial"/>
          <w:bCs/>
          <w:color w:val="000000"/>
          <w:sz w:val="20"/>
          <w:szCs w:val="20"/>
          <w:lang w:val="en-US"/>
        </w:rPr>
        <w:instrText>ADDIN CSL_CITATION {"citationItems":[{"id":"ITEM-1","itemData":{"DOI":"10.1126/science.1193032","ISSN":"00368075","PMID":"20647424","abstract":"African Americans have higher rates of kidney disease than European Americans. Here, we show that, in African Americans, focal segmental glomerulosclerosis (FSGS) and hypertension-attributed end-stage kidney disease (H-ESKD) are associated with two independent sequence variants in the APOL1 gene on chromosome 22 {FSGS odds ratio = 10.5 [95% confidence interval (CI) 6.0 to 18.4]; H-ESKD odds ratio = 7.3 (95% CI 5.6 to 9.5)}. The two APOL1 variants are common in African chromosomes but absent from European chromosomes, and both reside within haplotypes that harbor signatures of positive selection. ApoL1 (apolipoprotein L-1) is a serum factor that lyses trypanosomes. In vitro assays revealed that only the kidney disease-associated ApoL1 variants lysed Trypanosoma brucei rhodesiense. We speculate that evolution of a critical survival factor in Africa may have contributed to the high rates of renal disease in African Americans.","author":[{"dropping-particle":"","family":"Genovese","given":"Giulio","non-dropping-particle":"","parse-names":false,"suffix":""},{"dropping-particle":"","family":"Friedman","given":"David J.","non-dropping-particle":"","parse-names":false,"suffix":""},{"dropping-particle":"","family":"Ross","given":"Michael D.","non-dropping-particle":"","parse-names":false,"suffix":""},{"dropping-particle":"","family":"Lecordier","given":"Laurence","non-dropping-particle":"","parse-names":false,"suffix":""},{"dropping-particle":"","family":"Uzureau","given":"Pierrick","non-dropping-particle":"","parse-names":false,"suffix":""},{"dropping-particle":"","family":"Freedman","given":"Barry I.","non-dropping-particle":"","parse-names":false,"suffix":""},{"dropping-particle":"","family":"Bowden","given":"Donald W.","non-dropping-particle":"","parse-names":false,"suffix":""},{"dropping-particle":"","family":"Langefeld","given":"Carl D.","non-dropping-particle":"","parse-names":false,"suffix":""},{"dropping-particle":"","family":"Oleksyk","given":"Taras K.","non-dropping-particle":"","parse-names":false,"suffix":""},{"dropping-particle":"","family":"Uscinski Knob","given":"Andrea L.","non-dropping-particle":"","parse-names":false,"suffix":""},{"dropping-particle":"","family":"Bernhardy","given":"Andrea J.","non-dropping-particle":"","parse-names":false,"suffix":""},{"dropping-particle":"","family":"Hicks","given":"Pamela J.","non-dropping-particle":"","parse-names":false,"suffix":""},{"dropping-particle":"","family":"Nelson","given":"George W.","non-dropping-particle":"","parse-names":false,"suffix":""},{"dropping-particle":"","family":"Vanhollebeke","given":"Benoit","non-dropping-particle":"","parse-names":false,"suffix":""},{"dropping-particle":"","family":"Winkler","given":"Cheryl A.","non-dropping-particle":"","parse-names":false,"suffix":""},{"dropping-particle":"","family":"Kopp","given":"Jeffrey B.","non-dropping-particle":"","parse-names":false,"suffix":""},{"dropping-particle":"","family":"Pays","given":"Etienne","non-dropping-particle":"","parse-names":false,"suffix":""},{"dropping-particle":"","family":"Pollak","given":"Martin R.","non-dropping-particle":"","parse-names":false,"suffix":""}],"container-title":"Science","id":"ITEM-1","issued":{"date-parts":[["2010"]]},"title":"Association of trypanolytic ApoL1 variants with kidney disease in African Americans","type":"article-journal"},"uris":["http://www.mendeley.com/documents/?uuid=c71a5686-85f3-4a69-9ed4-0edafe7e993c"]}],"mendeley":{"formattedCitation":"&lt;sup&gt;2&lt;/sup&gt;","plainTextFormattedCitation":"2","previouslyFormattedCitation":"&lt;sup&gt;2&lt;/sup&gt;"},"properties":{"noteIndex":0},"schema":"https://github.com/citation-style-language/schema/raw/master/csl-citation.json"}</w:instrText>
      </w:r>
      <w:r w:rsidR="00630C24">
        <w:rPr>
          <w:rFonts w:ascii="Arial" w:eastAsia="Times New Roman" w:hAnsi="Arial" w:cs="Arial"/>
          <w:bCs/>
          <w:color w:val="000000"/>
          <w:sz w:val="20"/>
          <w:szCs w:val="20"/>
          <w:lang w:val="en-US"/>
        </w:rPr>
        <w:fldChar w:fldCharType="separate"/>
      </w:r>
      <w:r w:rsidR="00630C24" w:rsidRPr="00630C24">
        <w:rPr>
          <w:rFonts w:ascii="Arial" w:eastAsia="Times New Roman" w:hAnsi="Arial" w:cs="Arial"/>
          <w:bCs/>
          <w:noProof/>
          <w:color w:val="000000"/>
          <w:sz w:val="20"/>
          <w:szCs w:val="20"/>
          <w:vertAlign w:val="superscript"/>
          <w:lang w:val="en-US"/>
        </w:rPr>
        <w:t>2</w:t>
      </w:r>
      <w:r w:rsidR="00630C24">
        <w:rPr>
          <w:rFonts w:ascii="Arial" w:eastAsia="Times New Roman" w:hAnsi="Arial" w:cs="Arial"/>
          <w:bCs/>
          <w:color w:val="000000"/>
          <w:sz w:val="20"/>
          <w:szCs w:val="20"/>
          <w:lang w:val="en-US"/>
        </w:rPr>
        <w:fldChar w:fldCharType="end"/>
      </w:r>
      <w:r w:rsidRPr="0066268C">
        <w:rPr>
          <w:rFonts w:ascii="Arial" w:eastAsia="Times New Roman" w:hAnsi="Arial" w:cs="Arial"/>
          <w:bCs/>
          <w:color w:val="000000"/>
          <w:sz w:val="20"/>
          <w:szCs w:val="20"/>
          <w:lang w:val="en-US"/>
        </w:rPr>
        <w:t>.</w:t>
      </w:r>
      <w:r w:rsidR="008963A1">
        <w:rPr>
          <w:rFonts w:ascii="Arial" w:eastAsia="Times New Roman" w:hAnsi="Arial" w:cs="Arial"/>
          <w:bCs/>
          <w:color w:val="000000"/>
          <w:sz w:val="20"/>
          <w:szCs w:val="20"/>
          <w:lang w:val="en-US"/>
        </w:rPr>
        <w:t xml:space="preserve"> </w:t>
      </w:r>
      <w:r w:rsidR="008963A1" w:rsidRPr="000335E4">
        <w:rPr>
          <w:rFonts w:ascii="Arial" w:eastAsia="Times New Roman" w:hAnsi="Arial" w:cs="Arial"/>
          <w:bCs/>
          <w:color w:val="000000"/>
          <w:sz w:val="20"/>
          <w:szCs w:val="20"/>
          <w:lang w:val="en-US"/>
        </w:rPr>
        <w:t xml:space="preserve">The coded alleles </w:t>
      </w:r>
      <w:r w:rsidR="00A427A8" w:rsidRPr="000335E4">
        <w:rPr>
          <w:rFonts w:ascii="Arial" w:eastAsia="Times New Roman" w:hAnsi="Arial" w:cs="Arial"/>
          <w:bCs/>
          <w:color w:val="000000"/>
          <w:sz w:val="20"/>
          <w:szCs w:val="20"/>
          <w:lang w:val="en-US"/>
        </w:rPr>
        <w:t xml:space="preserve">of rs73885319 and rs60910145 </w:t>
      </w:r>
      <w:r w:rsidR="008963A1" w:rsidRPr="000335E4">
        <w:rPr>
          <w:rFonts w:ascii="Arial" w:eastAsia="Times New Roman" w:hAnsi="Arial" w:cs="Arial"/>
          <w:bCs/>
          <w:color w:val="000000"/>
          <w:sz w:val="20"/>
          <w:szCs w:val="20"/>
          <w:lang w:val="en-US"/>
        </w:rPr>
        <w:t>are the cross-sectional eGFR</w:t>
      </w:r>
      <w:r w:rsidR="00A427A8" w:rsidRPr="000335E4">
        <w:rPr>
          <w:rFonts w:ascii="Arial" w:eastAsia="Times New Roman" w:hAnsi="Arial" w:cs="Arial"/>
          <w:bCs/>
          <w:color w:val="000000"/>
          <w:sz w:val="20"/>
          <w:szCs w:val="20"/>
          <w:lang w:val="en-US"/>
        </w:rPr>
        <w:t>crea</w:t>
      </w:r>
      <w:r w:rsidR="008963A1" w:rsidRPr="000335E4">
        <w:rPr>
          <w:rFonts w:ascii="Arial" w:eastAsia="Times New Roman" w:hAnsi="Arial" w:cs="Arial"/>
          <w:bCs/>
          <w:color w:val="000000"/>
          <w:sz w:val="20"/>
          <w:szCs w:val="20"/>
          <w:lang w:val="en-US"/>
        </w:rPr>
        <w:t xml:space="preserve"> lowering allele ‘G’ for both SNPs.</w:t>
      </w:r>
    </w:p>
    <w:p w14:paraId="74A05CA3" w14:textId="77777777" w:rsidR="00184E69" w:rsidRDefault="00184E69" w:rsidP="00DC566E">
      <w:pPr>
        <w:spacing w:after="120" w:line="240" w:lineRule="auto"/>
        <w:jc w:val="both"/>
        <w:rPr>
          <w:rFonts w:ascii="Arial" w:eastAsia="Times New Roman" w:hAnsi="Arial" w:cs="Arial"/>
          <w:b/>
          <w:bCs/>
          <w:color w:val="000000"/>
          <w:lang w:val="en-US"/>
        </w:rPr>
        <w:sectPr w:rsidR="00184E69" w:rsidSect="00A12745">
          <w:pgSz w:w="16838" w:h="11906" w:orient="landscape"/>
          <w:pgMar w:top="1417" w:right="1103" w:bottom="1417" w:left="1417" w:header="708" w:footer="708" w:gutter="0"/>
          <w:cols w:space="708"/>
          <w:docGrid w:linePitch="360"/>
        </w:sectPr>
      </w:pPr>
    </w:p>
    <w:p w14:paraId="29A996D0" w14:textId="4B4A18A5" w:rsidR="008D6DF4" w:rsidRDefault="007C1EBA" w:rsidP="00DC566E">
      <w:pPr>
        <w:spacing w:after="120" w:line="240" w:lineRule="auto"/>
        <w:jc w:val="both"/>
        <w:rPr>
          <w:rFonts w:ascii="Arial" w:eastAsia="Times New Roman" w:hAnsi="Arial" w:cs="Arial"/>
          <w:b/>
          <w:bCs/>
          <w:color w:val="000000"/>
          <w:lang w:val="en-US"/>
        </w:rPr>
      </w:pPr>
      <w:r>
        <w:rPr>
          <w:rFonts w:ascii="Arial" w:eastAsia="Times New Roman" w:hAnsi="Arial" w:cs="Arial"/>
          <w:b/>
          <w:bCs/>
          <w:color w:val="000000"/>
          <w:lang w:val="en-US"/>
        </w:rPr>
        <w:lastRenderedPageBreak/>
        <w:t xml:space="preserve">Supplementary Table 5 | Conditional analysis results in </w:t>
      </w:r>
      <w:r>
        <w:rPr>
          <w:rFonts w:ascii="Arial" w:eastAsia="Times New Roman" w:hAnsi="Arial" w:cs="Arial"/>
          <w:b/>
          <w:bCs/>
          <w:i/>
          <w:iCs/>
          <w:color w:val="000000"/>
          <w:lang w:val="en-US"/>
        </w:rPr>
        <w:t>UMOD-PDILT</w:t>
      </w:r>
      <w:r>
        <w:rPr>
          <w:rFonts w:ascii="Arial" w:eastAsia="Times New Roman" w:hAnsi="Arial" w:cs="Arial"/>
          <w:b/>
          <w:bCs/>
          <w:color w:val="000000"/>
          <w:lang w:val="en-US"/>
        </w:rPr>
        <w:t xml:space="preserve">, </w:t>
      </w:r>
      <w:r>
        <w:rPr>
          <w:rFonts w:ascii="Arial" w:eastAsia="Times New Roman" w:hAnsi="Arial" w:cs="Arial"/>
          <w:b/>
          <w:bCs/>
          <w:i/>
          <w:iCs/>
          <w:color w:val="000000"/>
          <w:lang w:val="en-US"/>
        </w:rPr>
        <w:t>WDR72</w:t>
      </w:r>
      <w:r>
        <w:rPr>
          <w:rFonts w:ascii="Arial" w:eastAsia="Times New Roman" w:hAnsi="Arial" w:cs="Arial"/>
          <w:b/>
          <w:bCs/>
          <w:color w:val="000000"/>
          <w:lang w:val="en-US"/>
        </w:rPr>
        <w:t xml:space="preserve">, </w:t>
      </w:r>
      <w:r>
        <w:rPr>
          <w:rFonts w:ascii="Arial" w:eastAsia="Times New Roman" w:hAnsi="Arial" w:cs="Arial"/>
          <w:b/>
          <w:bCs/>
          <w:i/>
          <w:iCs/>
          <w:color w:val="000000"/>
          <w:lang w:val="en-US"/>
        </w:rPr>
        <w:t>PRKAG2</w:t>
      </w:r>
      <w:r>
        <w:rPr>
          <w:rFonts w:ascii="Arial" w:eastAsia="Times New Roman" w:hAnsi="Arial" w:cs="Arial"/>
          <w:b/>
          <w:bCs/>
          <w:color w:val="000000"/>
          <w:lang w:val="en-US"/>
        </w:rPr>
        <w:t xml:space="preserve">, </w:t>
      </w:r>
      <w:r>
        <w:rPr>
          <w:rFonts w:ascii="Arial" w:eastAsia="Times New Roman" w:hAnsi="Arial" w:cs="Arial"/>
          <w:b/>
          <w:bCs/>
          <w:i/>
          <w:iCs/>
          <w:color w:val="000000"/>
          <w:lang w:val="en-US"/>
        </w:rPr>
        <w:t>LARP4B</w:t>
      </w:r>
      <w:r>
        <w:rPr>
          <w:rFonts w:ascii="Arial" w:eastAsia="Times New Roman" w:hAnsi="Arial" w:cs="Arial"/>
          <w:b/>
          <w:bCs/>
          <w:color w:val="000000"/>
          <w:lang w:val="en-US"/>
        </w:rPr>
        <w:t xml:space="preserve"> and </w:t>
      </w:r>
      <w:r>
        <w:rPr>
          <w:rFonts w:ascii="Arial" w:eastAsia="Times New Roman" w:hAnsi="Arial" w:cs="Arial"/>
          <w:b/>
          <w:bCs/>
          <w:i/>
          <w:iCs/>
          <w:color w:val="000000"/>
          <w:lang w:val="en-US"/>
        </w:rPr>
        <w:t>GATM</w:t>
      </w:r>
      <w:r>
        <w:rPr>
          <w:rFonts w:ascii="Arial" w:eastAsia="Times New Roman" w:hAnsi="Arial" w:cs="Arial"/>
          <w:b/>
          <w:bCs/>
          <w:color w:val="000000"/>
          <w:lang w:val="en-US"/>
        </w:rPr>
        <w:t xml:space="preserve"> loci for Rapid3 and CKDi25 in the All and European meta-analysis. </w:t>
      </w:r>
      <w:r>
        <w:rPr>
          <w:rFonts w:ascii="Arial" w:eastAsia="Times New Roman" w:hAnsi="Arial" w:cs="Arial"/>
          <w:color w:val="000000"/>
          <w:lang w:val="en-US"/>
        </w:rPr>
        <w:t>Shown are the six variants from the candidate approach (</w:t>
      </w:r>
      <w:r>
        <w:rPr>
          <w:rFonts w:ascii="Arial" w:eastAsia="Times New Roman" w:hAnsi="Arial" w:cs="Arial"/>
          <w:b/>
          <w:color w:val="000000"/>
          <w:lang w:val="en-US"/>
        </w:rPr>
        <w:t>Table 1B</w:t>
      </w:r>
      <w:r>
        <w:rPr>
          <w:rFonts w:ascii="Arial" w:eastAsia="Times New Roman" w:hAnsi="Arial" w:cs="Arial"/>
          <w:color w:val="000000"/>
          <w:lang w:val="en-US"/>
        </w:rPr>
        <w:t xml:space="preserve">), except the </w:t>
      </w:r>
      <w:r>
        <w:rPr>
          <w:rFonts w:ascii="Arial" w:eastAsia="Times New Roman" w:hAnsi="Arial" w:cs="Arial"/>
          <w:i/>
          <w:color w:val="000000"/>
          <w:lang w:val="en-US"/>
        </w:rPr>
        <w:t>OR2S2</w:t>
      </w:r>
      <w:r>
        <w:rPr>
          <w:rFonts w:ascii="Arial" w:eastAsia="Times New Roman" w:hAnsi="Arial" w:cs="Arial"/>
          <w:color w:val="000000"/>
          <w:lang w:val="en-US"/>
        </w:rPr>
        <w:t xml:space="preserve"> variant, the OR and P-values when adjusted for the lead variant from the cross-sectional GWAS (using the lead variant from the EUR cross-sectional GWAS). </w:t>
      </w:r>
    </w:p>
    <w:tbl>
      <w:tblPr>
        <w:tblW w:w="14022" w:type="dxa"/>
        <w:tblCellMar>
          <w:left w:w="28" w:type="dxa"/>
          <w:right w:w="28" w:type="dxa"/>
        </w:tblCellMar>
        <w:tblLook w:val="04A0" w:firstRow="1" w:lastRow="0" w:firstColumn="1" w:lastColumn="0" w:noHBand="0" w:noVBand="1"/>
      </w:tblPr>
      <w:tblGrid>
        <w:gridCol w:w="1418"/>
        <w:gridCol w:w="850"/>
        <w:gridCol w:w="1559"/>
        <w:gridCol w:w="1134"/>
        <w:gridCol w:w="1134"/>
        <w:gridCol w:w="160"/>
        <w:gridCol w:w="690"/>
        <w:gridCol w:w="709"/>
        <w:gridCol w:w="200"/>
        <w:gridCol w:w="650"/>
        <w:gridCol w:w="709"/>
        <w:gridCol w:w="200"/>
        <w:gridCol w:w="651"/>
        <w:gridCol w:w="708"/>
        <w:gridCol w:w="160"/>
        <w:gridCol w:w="691"/>
        <w:gridCol w:w="979"/>
        <w:gridCol w:w="200"/>
        <w:gridCol w:w="1220"/>
      </w:tblGrid>
      <w:tr w:rsidR="008D6DF4" w14:paraId="368368EC" w14:textId="77777777" w:rsidTr="00DC566E">
        <w:trPr>
          <w:trHeight w:val="300"/>
        </w:trPr>
        <w:tc>
          <w:tcPr>
            <w:tcW w:w="1418" w:type="dxa"/>
            <w:tcBorders>
              <w:top w:val="single" w:sz="4" w:space="0" w:color="auto"/>
              <w:left w:val="nil"/>
              <w:bottom w:val="nil"/>
              <w:right w:val="nil"/>
            </w:tcBorders>
            <w:shd w:val="clear" w:color="auto" w:fill="BDD6EE" w:themeFill="accent1" w:themeFillTint="66"/>
            <w:noWrap/>
            <w:vAlign w:val="bottom"/>
            <w:hideMark/>
          </w:tcPr>
          <w:p w14:paraId="6A0B6BC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850" w:type="dxa"/>
            <w:tcBorders>
              <w:top w:val="single" w:sz="4" w:space="0" w:color="auto"/>
              <w:left w:val="nil"/>
              <w:bottom w:val="nil"/>
              <w:right w:val="nil"/>
            </w:tcBorders>
            <w:shd w:val="clear" w:color="auto" w:fill="BDD6EE" w:themeFill="accent1" w:themeFillTint="66"/>
            <w:noWrap/>
            <w:vAlign w:val="bottom"/>
            <w:hideMark/>
          </w:tcPr>
          <w:p w14:paraId="533360D4"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559" w:type="dxa"/>
            <w:tcBorders>
              <w:top w:val="single" w:sz="4" w:space="0" w:color="auto"/>
              <w:left w:val="nil"/>
              <w:bottom w:val="nil"/>
              <w:right w:val="nil"/>
            </w:tcBorders>
            <w:shd w:val="clear" w:color="auto" w:fill="BDD6EE" w:themeFill="accent1" w:themeFillTint="66"/>
            <w:noWrap/>
            <w:vAlign w:val="bottom"/>
            <w:hideMark/>
          </w:tcPr>
          <w:p w14:paraId="7516782F"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134" w:type="dxa"/>
            <w:vMerge w:val="restart"/>
            <w:tcBorders>
              <w:top w:val="single" w:sz="4" w:space="0" w:color="auto"/>
              <w:left w:val="nil"/>
              <w:right w:val="nil"/>
            </w:tcBorders>
            <w:shd w:val="clear" w:color="auto" w:fill="BDD6EE" w:themeFill="accent1" w:themeFillTint="66"/>
            <w:noWrap/>
            <w:vAlign w:val="bottom"/>
            <w:hideMark/>
          </w:tcPr>
          <w:p w14:paraId="7A0D94BD"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GWAS identified</w:t>
            </w:r>
          </w:p>
          <w:p w14:paraId="761005A0"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lead variant</w:t>
            </w:r>
          </w:p>
        </w:tc>
        <w:tc>
          <w:tcPr>
            <w:tcW w:w="1134" w:type="dxa"/>
            <w:vMerge w:val="restart"/>
            <w:tcBorders>
              <w:top w:val="single" w:sz="4" w:space="0" w:color="auto"/>
              <w:left w:val="nil"/>
              <w:right w:val="nil"/>
            </w:tcBorders>
            <w:shd w:val="clear" w:color="auto" w:fill="BDD6EE" w:themeFill="accent1" w:themeFillTint="66"/>
            <w:noWrap/>
            <w:vAlign w:val="bottom"/>
            <w:hideMark/>
          </w:tcPr>
          <w:p w14:paraId="5FB4CBC6"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R² with GWAS identified lead variant (a)</w:t>
            </w:r>
          </w:p>
        </w:tc>
        <w:tc>
          <w:tcPr>
            <w:tcW w:w="160" w:type="dxa"/>
            <w:tcBorders>
              <w:top w:val="single" w:sz="4" w:space="0" w:color="auto"/>
              <w:left w:val="nil"/>
              <w:bottom w:val="nil"/>
              <w:right w:val="nil"/>
            </w:tcBorders>
            <w:shd w:val="clear" w:color="auto" w:fill="BDD6EE" w:themeFill="accent1" w:themeFillTint="66"/>
            <w:noWrap/>
            <w:vAlign w:val="bottom"/>
            <w:hideMark/>
          </w:tcPr>
          <w:p w14:paraId="35FA667D"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2958" w:type="dxa"/>
            <w:gridSpan w:val="5"/>
            <w:tcBorders>
              <w:top w:val="single" w:sz="4" w:space="0" w:color="auto"/>
              <w:left w:val="nil"/>
              <w:bottom w:val="single" w:sz="4" w:space="0" w:color="auto"/>
              <w:right w:val="nil"/>
            </w:tcBorders>
            <w:shd w:val="clear" w:color="auto" w:fill="BDD6EE" w:themeFill="accent1" w:themeFillTint="66"/>
            <w:noWrap/>
            <w:vAlign w:val="bottom"/>
            <w:hideMark/>
          </w:tcPr>
          <w:p w14:paraId="623A910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Rapid3</w:t>
            </w:r>
          </w:p>
        </w:tc>
        <w:tc>
          <w:tcPr>
            <w:tcW w:w="200" w:type="dxa"/>
            <w:tcBorders>
              <w:top w:val="single" w:sz="4" w:space="0" w:color="auto"/>
              <w:left w:val="nil"/>
              <w:bottom w:val="single" w:sz="4" w:space="0" w:color="auto"/>
              <w:right w:val="nil"/>
            </w:tcBorders>
            <w:shd w:val="clear" w:color="auto" w:fill="BDD6EE" w:themeFill="accent1" w:themeFillTint="66"/>
            <w:noWrap/>
            <w:vAlign w:val="bottom"/>
            <w:hideMark/>
          </w:tcPr>
          <w:p w14:paraId="7BDB1F58"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3189" w:type="dxa"/>
            <w:gridSpan w:val="5"/>
            <w:tcBorders>
              <w:top w:val="single" w:sz="4" w:space="0" w:color="auto"/>
              <w:left w:val="nil"/>
              <w:bottom w:val="single" w:sz="4" w:space="0" w:color="auto"/>
              <w:right w:val="nil"/>
            </w:tcBorders>
            <w:shd w:val="clear" w:color="auto" w:fill="BDD6EE" w:themeFill="accent1" w:themeFillTint="66"/>
            <w:noWrap/>
            <w:vAlign w:val="bottom"/>
            <w:hideMark/>
          </w:tcPr>
          <w:p w14:paraId="204E76B2"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CKDi25</w:t>
            </w:r>
          </w:p>
        </w:tc>
        <w:tc>
          <w:tcPr>
            <w:tcW w:w="200" w:type="dxa"/>
            <w:tcBorders>
              <w:top w:val="single" w:sz="4" w:space="0" w:color="auto"/>
              <w:left w:val="nil"/>
              <w:bottom w:val="nil"/>
              <w:right w:val="nil"/>
            </w:tcBorders>
            <w:shd w:val="clear" w:color="auto" w:fill="BDD6EE" w:themeFill="accent1" w:themeFillTint="66"/>
            <w:noWrap/>
            <w:vAlign w:val="bottom"/>
            <w:hideMark/>
          </w:tcPr>
          <w:p w14:paraId="7D2C4AB9"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220" w:type="dxa"/>
            <w:tcBorders>
              <w:top w:val="single" w:sz="4" w:space="0" w:color="auto"/>
              <w:left w:val="nil"/>
              <w:bottom w:val="nil"/>
              <w:right w:val="nil"/>
            </w:tcBorders>
            <w:shd w:val="clear" w:color="auto" w:fill="BDD6EE" w:themeFill="accent1" w:themeFillTint="66"/>
            <w:noWrap/>
            <w:vAlign w:val="bottom"/>
            <w:hideMark/>
          </w:tcPr>
          <w:p w14:paraId="273BA70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r>
      <w:tr w:rsidR="008D6DF4" w14:paraId="3A6AC34D" w14:textId="77777777" w:rsidTr="00DC566E">
        <w:trPr>
          <w:trHeight w:val="300"/>
        </w:trPr>
        <w:tc>
          <w:tcPr>
            <w:tcW w:w="1418" w:type="dxa"/>
            <w:tcBorders>
              <w:top w:val="nil"/>
              <w:left w:val="nil"/>
              <w:bottom w:val="nil"/>
              <w:right w:val="nil"/>
            </w:tcBorders>
            <w:shd w:val="clear" w:color="auto" w:fill="BDD6EE" w:themeFill="accent1" w:themeFillTint="66"/>
            <w:noWrap/>
            <w:vAlign w:val="bottom"/>
            <w:hideMark/>
          </w:tcPr>
          <w:p w14:paraId="6A5CF41B" w14:textId="77777777" w:rsidR="008D6DF4" w:rsidRDefault="008D6DF4">
            <w:pPr>
              <w:spacing w:after="0" w:line="240" w:lineRule="auto"/>
              <w:rPr>
                <w:rFonts w:ascii="Arial" w:eastAsia="Times New Roman" w:hAnsi="Arial" w:cs="Arial"/>
                <w:color w:val="000000"/>
                <w:sz w:val="20"/>
                <w:szCs w:val="20"/>
                <w:lang w:val="en-US"/>
              </w:rPr>
            </w:pPr>
          </w:p>
        </w:tc>
        <w:tc>
          <w:tcPr>
            <w:tcW w:w="850" w:type="dxa"/>
            <w:tcBorders>
              <w:top w:val="nil"/>
              <w:left w:val="nil"/>
              <w:bottom w:val="nil"/>
              <w:right w:val="nil"/>
            </w:tcBorders>
            <w:shd w:val="clear" w:color="auto" w:fill="BDD6EE" w:themeFill="accent1" w:themeFillTint="66"/>
            <w:noWrap/>
            <w:vAlign w:val="bottom"/>
            <w:hideMark/>
          </w:tcPr>
          <w:p w14:paraId="0B0DAFDD" w14:textId="77777777" w:rsidR="008D6DF4" w:rsidRDefault="008D6DF4">
            <w:pPr>
              <w:spacing w:after="0" w:line="240" w:lineRule="auto"/>
              <w:rPr>
                <w:rFonts w:ascii="Arial" w:eastAsia="Times New Roman" w:hAnsi="Arial" w:cs="Arial"/>
                <w:sz w:val="20"/>
                <w:szCs w:val="20"/>
                <w:lang w:val="en-US"/>
              </w:rPr>
            </w:pPr>
          </w:p>
        </w:tc>
        <w:tc>
          <w:tcPr>
            <w:tcW w:w="1559" w:type="dxa"/>
            <w:tcBorders>
              <w:top w:val="nil"/>
              <w:left w:val="nil"/>
              <w:bottom w:val="nil"/>
              <w:right w:val="nil"/>
            </w:tcBorders>
            <w:shd w:val="clear" w:color="auto" w:fill="BDD6EE" w:themeFill="accent1" w:themeFillTint="66"/>
            <w:noWrap/>
            <w:vAlign w:val="bottom"/>
            <w:hideMark/>
          </w:tcPr>
          <w:p w14:paraId="27207506" w14:textId="77777777" w:rsidR="008D6DF4" w:rsidRDefault="008D6DF4">
            <w:pPr>
              <w:spacing w:after="0" w:line="240" w:lineRule="auto"/>
              <w:rPr>
                <w:rFonts w:ascii="Arial" w:eastAsia="Times New Roman" w:hAnsi="Arial" w:cs="Arial"/>
                <w:sz w:val="20"/>
                <w:szCs w:val="20"/>
                <w:lang w:val="en-US"/>
              </w:rPr>
            </w:pPr>
          </w:p>
        </w:tc>
        <w:tc>
          <w:tcPr>
            <w:tcW w:w="1134" w:type="dxa"/>
            <w:vMerge/>
            <w:tcBorders>
              <w:left w:val="nil"/>
              <w:right w:val="nil"/>
            </w:tcBorders>
            <w:shd w:val="clear" w:color="auto" w:fill="BDD6EE" w:themeFill="accent1" w:themeFillTint="66"/>
            <w:noWrap/>
            <w:vAlign w:val="bottom"/>
            <w:hideMark/>
          </w:tcPr>
          <w:p w14:paraId="23362273" w14:textId="77777777" w:rsidR="008D6DF4" w:rsidRDefault="008D6DF4">
            <w:pPr>
              <w:spacing w:after="0" w:line="240" w:lineRule="auto"/>
              <w:jc w:val="center"/>
              <w:rPr>
                <w:rFonts w:ascii="Arial" w:eastAsia="Times New Roman" w:hAnsi="Arial" w:cs="Arial"/>
                <w:sz w:val="20"/>
                <w:szCs w:val="20"/>
                <w:lang w:val="en-US"/>
              </w:rPr>
            </w:pPr>
          </w:p>
        </w:tc>
        <w:tc>
          <w:tcPr>
            <w:tcW w:w="1134" w:type="dxa"/>
            <w:vMerge/>
            <w:tcBorders>
              <w:left w:val="nil"/>
              <w:right w:val="nil"/>
            </w:tcBorders>
            <w:shd w:val="clear" w:color="auto" w:fill="BDD6EE" w:themeFill="accent1" w:themeFillTint="66"/>
            <w:noWrap/>
            <w:vAlign w:val="bottom"/>
            <w:hideMark/>
          </w:tcPr>
          <w:p w14:paraId="6ED46340" w14:textId="77777777" w:rsidR="008D6DF4" w:rsidRDefault="008D6DF4">
            <w:pPr>
              <w:spacing w:after="0" w:line="240" w:lineRule="auto"/>
              <w:jc w:val="center"/>
              <w:rPr>
                <w:rFonts w:ascii="Arial" w:eastAsia="Times New Roman" w:hAnsi="Arial" w:cs="Arial"/>
                <w:sz w:val="20"/>
                <w:szCs w:val="20"/>
                <w:lang w:val="en-US"/>
              </w:rPr>
            </w:pPr>
          </w:p>
        </w:tc>
        <w:tc>
          <w:tcPr>
            <w:tcW w:w="160" w:type="dxa"/>
            <w:tcBorders>
              <w:top w:val="nil"/>
              <w:left w:val="nil"/>
              <w:bottom w:val="nil"/>
              <w:right w:val="nil"/>
            </w:tcBorders>
            <w:shd w:val="clear" w:color="auto" w:fill="BDD6EE" w:themeFill="accent1" w:themeFillTint="66"/>
            <w:noWrap/>
            <w:vAlign w:val="bottom"/>
            <w:hideMark/>
          </w:tcPr>
          <w:p w14:paraId="64F08768" w14:textId="77777777" w:rsidR="008D6DF4" w:rsidRDefault="008D6DF4">
            <w:pPr>
              <w:spacing w:after="0" w:line="240" w:lineRule="auto"/>
              <w:rPr>
                <w:rFonts w:ascii="Arial" w:eastAsia="Times New Roman" w:hAnsi="Arial" w:cs="Arial"/>
                <w:sz w:val="20"/>
                <w:szCs w:val="20"/>
                <w:lang w:val="en-US"/>
              </w:rPr>
            </w:pPr>
          </w:p>
        </w:tc>
        <w:tc>
          <w:tcPr>
            <w:tcW w:w="1399"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7A87960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All</w:t>
            </w:r>
          </w:p>
        </w:tc>
        <w:tc>
          <w:tcPr>
            <w:tcW w:w="200" w:type="dxa"/>
            <w:tcBorders>
              <w:top w:val="nil"/>
              <w:left w:val="nil"/>
              <w:bottom w:val="single" w:sz="4" w:space="0" w:color="auto"/>
              <w:right w:val="nil"/>
            </w:tcBorders>
            <w:shd w:val="clear" w:color="auto" w:fill="BDD6EE" w:themeFill="accent1" w:themeFillTint="66"/>
            <w:noWrap/>
            <w:vAlign w:val="bottom"/>
            <w:hideMark/>
          </w:tcPr>
          <w:p w14:paraId="3E94081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359"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50079AB2"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EUR</w:t>
            </w:r>
          </w:p>
        </w:tc>
        <w:tc>
          <w:tcPr>
            <w:tcW w:w="200" w:type="dxa"/>
            <w:tcBorders>
              <w:top w:val="nil"/>
              <w:left w:val="nil"/>
              <w:bottom w:val="nil"/>
              <w:right w:val="nil"/>
            </w:tcBorders>
            <w:shd w:val="clear" w:color="auto" w:fill="BDD6EE" w:themeFill="accent1" w:themeFillTint="66"/>
            <w:noWrap/>
            <w:vAlign w:val="bottom"/>
            <w:hideMark/>
          </w:tcPr>
          <w:p w14:paraId="4EC682EB"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651" w:type="dxa"/>
            <w:tcBorders>
              <w:top w:val="nil"/>
              <w:left w:val="nil"/>
              <w:bottom w:val="single" w:sz="4" w:space="0" w:color="auto"/>
              <w:right w:val="nil"/>
            </w:tcBorders>
            <w:shd w:val="clear" w:color="auto" w:fill="BDD6EE" w:themeFill="accent1" w:themeFillTint="66"/>
            <w:noWrap/>
            <w:vAlign w:val="bottom"/>
            <w:hideMark/>
          </w:tcPr>
          <w:p w14:paraId="30994C8F"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708" w:type="dxa"/>
            <w:tcBorders>
              <w:top w:val="nil"/>
              <w:left w:val="nil"/>
              <w:bottom w:val="single" w:sz="4" w:space="0" w:color="auto"/>
              <w:right w:val="nil"/>
            </w:tcBorders>
            <w:shd w:val="clear" w:color="auto" w:fill="BDD6EE" w:themeFill="accent1" w:themeFillTint="66"/>
            <w:noWrap/>
            <w:vAlign w:val="bottom"/>
            <w:hideMark/>
          </w:tcPr>
          <w:p w14:paraId="041AE5F7"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All</w:t>
            </w:r>
          </w:p>
        </w:tc>
        <w:tc>
          <w:tcPr>
            <w:tcW w:w="160" w:type="dxa"/>
            <w:tcBorders>
              <w:top w:val="nil"/>
              <w:left w:val="nil"/>
              <w:bottom w:val="single" w:sz="4" w:space="0" w:color="auto"/>
              <w:right w:val="nil"/>
            </w:tcBorders>
            <w:shd w:val="clear" w:color="auto" w:fill="BDD6EE" w:themeFill="accent1" w:themeFillTint="66"/>
            <w:noWrap/>
            <w:vAlign w:val="bottom"/>
            <w:hideMark/>
          </w:tcPr>
          <w:p w14:paraId="16F4EA4F"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670" w:type="dxa"/>
            <w:gridSpan w:val="2"/>
            <w:tcBorders>
              <w:top w:val="nil"/>
              <w:left w:val="nil"/>
              <w:bottom w:val="single" w:sz="4" w:space="0" w:color="auto"/>
              <w:right w:val="nil"/>
            </w:tcBorders>
            <w:shd w:val="clear" w:color="auto" w:fill="BDD6EE" w:themeFill="accent1" w:themeFillTint="66"/>
            <w:noWrap/>
            <w:vAlign w:val="bottom"/>
            <w:hideMark/>
          </w:tcPr>
          <w:p w14:paraId="4CCD874E"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EUR</w:t>
            </w:r>
          </w:p>
        </w:tc>
        <w:tc>
          <w:tcPr>
            <w:tcW w:w="200" w:type="dxa"/>
            <w:tcBorders>
              <w:top w:val="nil"/>
              <w:left w:val="nil"/>
              <w:bottom w:val="nil"/>
              <w:right w:val="nil"/>
            </w:tcBorders>
            <w:shd w:val="clear" w:color="auto" w:fill="BDD6EE" w:themeFill="accent1" w:themeFillTint="66"/>
            <w:noWrap/>
            <w:vAlign w:val="bottom"/>
            <w:hideMark/>
          </w:tcPr>
          <w:p w14:paraId="03CC946E"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1220" w:type="dxa"/>
            <w:tcBorders>
              <w:top w:val="nil"/>
              <w:left w:val="nil"/>
              <w:bottom w:val="nil"/>
              <w:right w:val="nil"/>
            </w:tcBorders>
            <w:shd w:val="clear" w:color="auto" w:fill="BDD6EE" w:themeFill="accent1" w:themeFillTint="66"/>
            <w:noWrap/>
            <w:vAlign w:val="bottom"/>
            <w:hideMark/>
          </w:tcPr>
          <w:p w14:paraId="5A66F250" w14:textId="77777777" w:rsidR="008D6DF4" w:rsidRDefault="008D6DF4">
            <w:pPr>
              <w:spacing w:after="0" w:line="240" w:lineRule="auto"/>
              <w:jc w:val="center"/>
              <w:rPr>
                <w:rFonts w:ascii="Arial" w:eastAsia="Times New Roman" w:hAnsi="Arial" w:cs="Arial"/>
                <w:sz w:val="20"/>
                <w:szCs w:val="20"/>
                <w:lang w:val="en-US"/>
              </w:rPr>
            </w:pPr>
          </w:p>
        </w:tc>
      </w:tr>
      <w:tr w:rsidR="008D6DF4" w14:paraId="5AE8453E" w14:textId="77777777" w:rsidTr="00DC566E">
        <w:trPr>
          <w:trHeight w:val="492"/>
        </w:trPr>
        <w:tc>
          <w:tcPr>
            <w:tcW w:w="1418" w:type="dxa"/>
            <w:tcBorders>
              <w:top w:val="nil"/>
              <w:left w:val="nil"/>
              <w:bottom w:val="nil"/>
              <w:right w:val="nil"/>
            </w:tcBorders>
            <w:shd w:val="clear" w:color="auto" w:fill="BDD6EE" w:themeFill="accent1" w:themeFillTint="66"/>
            <w:noWrap/>
            <w:vAlign w:val="bottom"/>
            <w:hideMark/>
          </w:tcPr>
          <w:p w14:paraId="2CD32B74" w14:textId="77777777" w:rsidR="008D6DF4" w:rsidRDefault="008D6DF4">
            <w:pPr>
              <w:spacing w:after="0" w:line="240" w:lineRule="auto"/>
              <w:rPr>
                <w:rFonts w:ascii="Arial" w:eastAsia="Times New Roman" w:hAnsi="Arial" w:cs="Arial"/>
                <w:sz w:val="20"/>
                <w:szCs w:val="20"/>
                <w:lang w:val="en-US"/>
              </w:rPr>
            </w:pPr>
          </w:p>
        </w:tc>
        <w:tc>
          <w:tcPr>
            <w:tcW w:w="850" w:type="dxa"/>
            <w:vMerge w:val="restart"/>
            <w:tcBorders>
              <w:top w:val="nil"/>
              <w:left w:val="nil"/>
              <w:right w:val="nil"/>
            </w:tcBorders>
            <w:shd w:val="clear" w:color="auto" w:fill="BDD6EE" w:themeFill="accent1" w:themeFillTint="66"/>
            <w:noWrap/>
            <w:vAlign w:val="bottom"/>
            <w:hideMark/>
          </w:tcPr>
          <w:p w14:paraId="3C36C9BF" w14:textId="77777777" w:rsidR="008D6DF4" w:rsidRDefault="007C1EBA">
            <w:pPr>
              <w:spacing w:after="0" w:line="240" w:lineRule="auto"/>
              <w:rPr>
                <w:rFonts w:ascii="Arial" w:eastAsia="Times New Roman" w:hAnsi="Arial" w:cs="Arial"/>
                <w:sz w:val="20"/>
                <w:szCs w:val="20"/>
                <w:lang w:val="en-US"/>
              </w:rPr>
            </w:pPr>
            <w:r>
              <w:rPr>
                <w:rFonts w:ascii="Arial" w:eastAsia="Times New Roman" w:hAnsi="Arial" w:cs="Arial"/>
                <w:b/>
                <w:bCs/>
                <w:color w:val="000000"/>
                <w:sz w:val="20"/>
                <w:szCs w:val="20"/>
                <w:lang w:val="en-US"/>
              </w:rPr>
              <w:t>Ident. analysis</w:t>
            </w:r>
          </w:p>
        </w:tc>
        <w:tc>
          <w:tcPr>
            <w:tcW w:w="1559" w:type="dxa"/>
            <w:tcBorders>
              <w:top w:val="nil"/>
              <w:left w:val="nil"/>
              <w:bottom w:val="nil"/>
              <w:right w:val="nil"/>
            </w:tcBorders>
            <w:shd w:val="clear" w:color="auto" w:fill="BDD6EE" w:themeFill="accent1" w:themeFillTint="66"/>
            <w:noWrap/>
            <w:vAlign w:val="bottom"/>
            <w:hideMark/>
          </w:tcPr>
          <w:p w14:paraId="1CE67E9A" w14:textId="77777777" w:rsidR="008D6DF4" w:rsidRDefault="008D6DF4">
            <w:pPr>
              <w:spacing w:after="0" w:line="240" w:lineRule="auto"/>
              <w:rPr>
                <w:rFonts w:ascii="Arial" w:eastAsia="Times New Roman" w:hAnsi="Arial" w:cs="Arial"/>
                <w:sz w:val="20"/>
                <w:szCs w:val="20"/>
                <w:lang w:val="en-US"/>
              </w:rPr>
            </w:pPr>
          </w:p>
        </w:tc>
        <w:tc>
          <w:tcPr>
            <w:tcW w:w="1134" w:type="dxa"/>
            <w:vMerge/>
            <w:tcBorders>
              <w:left w:val="nil"/>
              <w:right w:val="nil"/>
            </w:tcBorders>
            <w:shd w:val="clear" w:color="auto" w:fill="BDD6EE" w:themeFill="accent1" w:themeFillTint="66"/>
            <w:noWrap/>
            <w:vAlign w:val="bottom"/>
            <w:hideMark/>
          </w:tcPr>
          <w:p w14:paraId="5193A818" w14:textId="77777777" w:rsidR="008D6DF4" w:rsidRDefault="008D6DF4">
            <w:pPr>
              <w:spacing w:after="0" w:line="240" w:lineRule="auto"/>
              <w:jc w:val="center"/>
              <w:rPr>
                <w:rFonts w:ascii="Arial" w:eastAsia="Times New Roman" w:hAnsi="Arial" w:cs="Arial"/>
                <w:sz w:val="20"/>
                <w:szCs w:val="20"/>
                <w:lang w:val="en-US"/>
              </w:rPr>
            </w:pPr>
          </w:p>
        </w:tc>
        <w:tc>
          <w:tcPr>
            <w:tcW w:w="1134" w:type="dxa"/>
            <w:vMerge/>
            <w:tcBorders>
              <w:left w:val="nil"/>
              <w:right w:val="nil"/>
            </w:tcBorders>
            <w:shd w:val="clear" w:color="auto" w:fill="BDD6EE" w:themeFill="accent1" w:themeFillTint="66"/>
            <w:noWrap/>
            <w:vAlign w:val="bottom"/>
            <w:hideMark/>
          </w:tcPr>
          <w:p w14:paraId="28A48BDE" w14:textId="77777777" w:rsidR="008D6DF4" w:rsidRDefault="008D6DF4">
            <w:pPr>
              <w:spacing w:after="0" w:line="240" w:lineRule="auto"/>
              <w:jc w:val="center"/>
              <w:rPr>
                <w:rFonts w:ascii="Arial" w:eastAsia="Times New Roman" w:hAnsi="Arial" w:cs="Arial"/>
                <w:sz w:val="20"/>
                <w:szCs w:val="20"/>
                <w:lang w:val="en-US"/>
              </w:rPr>
            </w:pPr>
          </w:p>
        </w:tc>
        <w:tc>
          <w:tcPr>
            <w:tcW w:w="160" w:type="dxa"/>
            <w:tcBorders>
              <w:top w:val="nil"/>
              <w:left w:val="nil"/>
              <w:bottom w:val="nil"/>
              <w:right w:val="nil"/>
            </w:tcBorders>
            <w:shd w:val="clear" w:color="auto" w:fill="BDD6EE" w:themeFill="accent1" w:themeFillTint="66"/>
            <w:noWrap/>
            <w:vAlign w:val="bottom"/>
            <w:hideMark/>
          </w:tcPr>
          <w:p w14:paraId="4B9693BF" w14:textId="77777777" w:rsidR="008D6DF4" w:rsidRDefault="008D6DF4">
            <w:pPr>
              <w:spacing w:after="0" w:line="240" w:lineRule="auto"/>
              <w:rPr>
                <w:rFonts w:ascii="Arial" w:eastAsia="Times New Roman" w:hAnsi="Arial" w:cs="Arial"/>
                <w:sz w:val="20"/>
                <w:szCs w:val="20"/>
                <w:lang w:val="en-US"/>
              </w:rPr>
            </w:pPr>
          </w:p>
        </w:tc>
        <w:tc>
          <w:tcPr>
            <w:tcW w:w="2958" w:type="dxa"/>
            <w:gridSpan w:val="5"/>
            <w:tcBorders>
              <w:top w:val="single" w:sz="4" w:space="0" w:color="auto"/>
              <w:left w:val="nil"/>
              <w:bottom w:val="single" w:sz="4" w:space="0" w:color="auto"/>
              <w:right w:val="nil"/>
            </w:tcBorders>
            <w:shd w:val="clear" w:color="auto" w:fill="BDD6EE" w:themeFill="accent1" w:themeFillTint="66"/>
            <w:vAlign w:val="bottom"/>
            <w:hideMark/>
          </w:tcPr>
          <w:p w14:paraId="6AAEE6E4"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Adjusted for GWAS identified lead variant (b)</w:t>
            </w:r>
          </w:p>
        </w:tc>
        <w:tc>
          <w:tcPr>
            <w:tcW w:w="200" w:type="dxa"/>
            <w:tcBorders>
              <w:top w:val="nil"/>
              <w:left w:val="nil"/>
              <w:bottom w:val="nil"/>
              <w:right w:val="nil"/>
            </w:tcBorders>
            <w:shd w:val="clear" w:color="auto" w:fill="BDD6EE" w:themeFill="accent1" w:themeFillTint="66"/>
            <w:noWrap/>
            <w:vAlign w:val="bottom"/>
            <w:hideMark/>
          </w:tcPr>
          <w:p w14:paraId="52DCB73B"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3189" w:type="dxa"/>
            <w:gridSpan w:val="5"/>
            <w:tcBorders>
              <w:top w:val="single" w:sz="4" w:space="0" w:color="auto"/>
              <w:left w:val="nil"/>
              <w:bottom w:val="single" w:sz="4" w:space="0" w:color="auto"/>
              <w:right w:val="nil"/>
            </w:tcBorders>
            <w:shd w:val="clear" w:color="auto" w:fill="BDD6EE" w:themeFill="accent1" w:themeFillTint="66"/>
            <w:vAlign w:val="bottom"/>
            <w:hideMark/>
          </w:tcPr>
          <w:p w14:paraId="786E3CAE"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Adjusted for GWAS identified lead variant (b)</w:t>
            </w:r>
          </w:p>
        </w:tc>
        <w:tc>
          <w:tcPr>
            <w:tcW w:w="200" w:type="dxa"/>
            <w:tcBorders>
              <w:top w:val="nil"/>
              <w:left w:val="nil"/>
              <w:bottom w:val="nil"/>
              <w:right w:val="nil"/>
            </w:tcBorders>
            <w:shd w:val="clear" w:color="auto" w:fill="BDD6EE" w:themeFill="accent1" w:themeFillTint="66"/>
            <w:noWrap/>
            <w:vAlign w:val="bottom"/>
            <w:hideMark/>
          </w:tcPr>
          <w:p w14:paraId="381ACEC8"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1220" w:type="dxa"/>
            <w:vMerge w:val="restart"/>
            <w:tcBorders>
              <w:top w:val="nil"/>
              <w:left w:val="nil"/>
              <w:right w:val="nil"/>
            </w:tcBorders>
            <w:shd w:val="clear" w:color="auto" w:fill="BDD6EE" w:themeFill="accent1" w:themeFillTint="66"/>
            <w:noWrap/>
            <w:vAlign w:val="bottom"/>
            <w:hideMark/>
          </w:tcPr>
          <w:p w14:paraId="777B93F6" w14:textId="77777777" w:rsidR="008D6DF4" w:rsidRDefault="007C1EBA">
            <w:pPr>
              <w:spacing w:after="0" w:line="240" w:lineRule="auto"/>
              <w:jc w:val="center"/>
              <w:rPr>
                <w:rFonts w:ascii="Arial" w:eastAsia="Times New Roman" w:hAnsi="Arial" w:cs="Arial"/>
                <w:sz w:val="20"/>
                <w:szCs w:val="20"/>
                <w:lang w:val="en-US"/>
              </w:rPr>
            </w:pPr>
            <w:r>
              <w:rPr>
                <w:rFonts w:ascii="Arial" w:eastAsia="Times New Roman" w:hAnsi="Arial" w:cs="Arial"/>
                <w:b/>
                <w:bCs/>
                <w:color w:val="000000"/>
                <w:sz w:val="20"/>
                <w:szCs w:val="20"/>
                <w:lang w:val="en-US"/>
              </w:rPr>
              <w:t>Locus/</w:t>
            </w:r>
            <w:r>
              <w:rPr>
                <w:rFonts w:ascii="Arial" w:eastAsia="Times New Roman" w:hAnsi="Arial" w:cs="Arial"/>
                <w:b/>
                <w:bCs/>
                <w:color w:val="000000"/>
                <w:sz w:val="20"/>
                <w:szCs w:val="20"/>
                <w:lang w:val="en-US"/>
              </w:rPr>
              <w:br/>
              <w:t>signal no.</w:t>
            </w:r>
          </w:p>
        </w:tc>
      </w:tr>
      <w:tr w:rsidR="008D6DF4" w14:paraId="783E2E02" w14:textId="77777777" w:rsidTr="00EE2033">
        <w:trPr>
          <w:trHeight w:val="130"/>
        </w:trPr>
        <w:tc>
          <w:tcPr>
            <w:tcW w:w="1418" w:type="dxa"/>
            <w:tcBorders>
              <w:top w:val="nil"/>
              <w:left w:val="nil"/>
              <w:bottom w:val="single" w:sz="4" w:space="0" w:color="auto"/>
              <w:right w:val="nil"/>
            </w:tcBorders>
            <w:shd w:val="clear" w:color="auto" w:fill="BDD6EE" w:themeFill="accent1" w:themeFillTint="66"/>
            <w:noWrap/>
            <w:vAlign w:val="bottom"/>
            <w:hideMark/>
          </w:tcPr>
          <w:p w14:paraId="1BB5458D"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RSID</w:t>
            </w:r>
          </w:p>
        </w:tc>
        <w:tc>
          <w:tcPr>
            <w:tcW w:w="850" w:type="dxa"/>
            <w:vMerge/>
            <w:tcBorders>
              <w:left w:val="nil"/>
              <w:bottom w:val="single" w:sz="4" w:space="0" w:color="auto"/>
              <w:right w:val="nil"/>
            </w:tcBorders>
            <w:shd w:val="clear" w:color="auto" w:fill="BDD6EE" w:themeFill="accent1" w:themeFillTint="66"/>
            <w:vAlign w:val="bottom"/>
            <w:hideMark/>
          </w:tcPr>
          <w:p w14:paraId="1439E687" w14:textId="77777777" w:rsidR="008D6DF4" w:rsidRDefault="008D6DF4">
            <w:pPr>
              <w:spacing w:after="0" w:line="240" w:lineRule="auto"/>
              <w:rPr>
                <w:rFonts w:ascii="Arial" w:eastAsia="Times New Roman" w:hAnsi="Arial" w:cs="Arial"/>
                <w:b/>
                <w:bCs/>
                <w:color w:val="000000"/>
                <w:sz w:val="20"/>
                <w:szCs w:val="20"/>
                <w:lang w:val="en-US"/>
              </w:rPr>
            </w:pPr>
          </w:p>
        </w:tc>
        <w:tc>
          <w:tcPr>
            <w:tcW w:w="1559" w:type="dxa"/>
            <w:tcBorders>
              <w:top w:val="nil"/>
              <w:left w:val="nil"/>
              <w:bottom w:val="single" w:sz="4" w:space="0" w:color="auto"/>
              <w:right w:val="nil"/>
            </w:tcBorders>
            <w:shd w:val="clear" w:color="auto" w:fill="BDD6EE" w:themeFill="accent1" w:themeFillTint="66"/>
            <w:vAlign w:val="bottom"/>
            <w:hideMark/>
          </w:tcPr>
          <w:p w14:paraId="0C4D7448"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134" w:type="dxa"/>
            <w:vMerge/>
            <w:tcBorders>
              <w:left w:val="nil"/>
              <w:bottom w:val="single" w:sz="4" w:space="0" w:color="auto"/>
              <w:right w:val="nil"/>
            </w:tcBorders>
            <w:shd w:val="clear" w:color="auto" w:fill="BDD6EE" w:themeFill="accent1" w:themeFillTint="66"/>
            <w:vAlign w:val="bottom"/>
            <w:hideMark/>
          </w:tcPr>
          <w:p w14:paraId="12729A38"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1134" w:type="dxa"/>
            <w:vMerge/>
            <w:tcBorders>
              <w:left w:val="nil"/>
              <w:bottom w:val="single" w:sz="4" w:space="0" w:color="auto"/>
              <w:right w:val="nil"/>
            </w:tcBorders>
            <w:shd w:val="clear" w:color="auto" w:fill="BDD6EE" w:themeFill="accent1" w:themeFillTint="66"/>
            <w:vAlign w:val="bottom"/>
            <w:hideMark/>
          </w:tcPr>
          <w:p w14:paraId="51930253"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160" w:type="dxa"/>
            <w:tcBorders>
              <w:top w:val="nil"/>
              <w:left w:val="nil"/>
              <w:bottom w:val="single" w:sz="4" w:space="0" w:color="auto"/>
              <w:right w:val="nil"/>
            </w:tcBorders>
            <w:shd w:val="clear" w:color="auto" w:fill="BDD6EE" w:themeFill="accent1" w:themeFillTint="66"/>
            <w:noWrap/>
            <w:vAlign w:val="bottom"/>
            <w:hideMark/>
          </w:tcPr>
          <w:p w14:paraId="0FCD1BE6"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690" w:type="dxa"/>
            <w:tcBorders>
              <w:top w:val="nil"/>
              <w:left w:val="nil"/>
              <w:bottom w:val="single" w:sz="4" w:space="0" w:color="auto"/>
              <w:right w:val="nil"/>
            </w:tcBorders>
            <w:shd w:val="clear" w:color="auto" w:fill="BDD6EE" w:themeFill="accent1" w:themeFillTint="66"/>
            <w:noWrap/>
            <w:vAlign w:val="bottom"/>
            <w:hideMark/>
          </w:tcPr>
          <w:p w14:paraId="4AB3EFB1"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709" w:type="dxa"/>
            <w:tcBorders>
              <w:top w:val="nil"/>
              <w:left w:val="nil"/>
              <w:bottom w:val="single" w:sz="4" w:space="0" w:color="auto"/>
              <w:right w:val="nil"/>
            </w:tcBorders>
            <w:shd w:val="clear" w:color="auto" w:fill="BDD6EE" w:themeFill="accent1" w:themeFillTint="66"/>
            <w:vAlign w:val="bottom"/>
            <w:hideMark/>
          </w:tcPr>
          <w:p w14:paraId="73FF286C"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200" w:type="dxa"/>
            <w:tcBorders>
              <w:top w:val="nil"/>
              <w:left w:val="nil"/>
              <w:bottom w:val="nil"/>
              <w:right w:val="nil"/>
            </w:tcBorders>
            <w:shd w:val="clear" w:color="auto" w:fill="BDD6EE" w:themeFill="accent1" w:themeFillTint="66"/>
            <w:vAlign w:val="bottom"/>
            <w:hideMark/>
          </w:tcPr>
          <w:p w14:paraId="1EBEB03F"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650" w:type="dxa"/>
            <w:tcBorders>
              <w:top w:val="nil"/>
              <w:left w:val="nil"/>
              <w:bottom w:val="single" w:sz="4" w:space="0" w:color="auto"/>
              <w:right w:val="nil"/>
            </w:tcBorders>
            <w:shd w:val="clear" w:color="auto" w:fill="BDD6EE" w:themeFill="accent1" w:themeFillTint="66"/>
            <w:vAlign w:val="bottom"/>
            <w:hideMark/>
          </w:tcPr>
          <w:p w14:paraId="147C21D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709" w:type="dxa"/>
            <w:tcBorders>
              <w:top w:val="nil"/>
              <w:left w:val="nil"/>
              <w:bottom w:val="single" w:sz="4" w:space="0" w:color="auto"/>
              <w:right w:val="nil"/>
            </w:tcBorders>
            <w:shd w:val="clear" w:color="auto" w:fill="BDD6EE" w:themeFill="accent1" w:themeFillTint="66"/>
            <w:vAlign w:val="bottom"/>
            <w:hideMark/>
          </w:tcPr>
          <w:p w14:paraId="792B6E2D"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200" w:type="dxa"/>
            <w:tcBorders>
              <w:top w:val="nil"/>
              <w:left w:val="nil"/>
              <w:bottom w:val="nil"/>
              <w:right w:val="nil"/>
            </w:tcBorders>
            <w:shd w:val="clear" w:color="auto" w:fill="BDD6EE" w:themeFill="accent1" w:themeFillTint="66"/>
            <w:noWrap/>
            <w:vAlign w:val="bottom"/>
            <w:hideMark/>
          </w:tcPr>
          <w:p w14:paraId="122EA737"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651" w:type="dxa"/>
            <w:tcBorders>
              <w:top w:val="nil"/>
              <w:left w:val="nil"/>
              <w:bottom w:val="single" w:sz="4" w:space="0" w:color="auto"/>
              <w:right w:val="nil"/>
            </w:tcBorders>
            <w:shd w:val="clear" w:color="auto" w:fill="BDD6EE" w:themeFill="accent1" w:themeFillTint="66"/>
            <w:noWrap/>
            <w:vAlign w:val="bottom"/>
            <w:hideMark/>
          </w:tcPr>
          <w:p w14:paraId="22D1ADFE"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708" w:type="dxa"/>
            <w:tcBorders>
              <w:top w:val="nil"/>
              <w:left w:val="nil"/>
              <w:bottom w:val="single" w:sz="4" w:space="0" w:color="auto"/>
              <w:right w:val="nil"/>
            </w:tcBorders>
            <w:shd w:val="clear" w:color="auto" w:fill="BDD6EE" w:themeFill="accent1" w:themeFillTint="66"/>
            <w:vAlign w:val="bottom"/>
            <w:hideMark/>
          </w:tcPr>
          <w:p w14:paraId="610CA7E9"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160" w:type="dxa"/>
            <w:tcBorders>
              <w:top w:val="nil"/>
              <w:left w:val="nil"/>
              <w:bottom w:val="nil"/>
              <w:right w:val="nil"/>
            </w:tcBorders>
            <w:shd w:val="clear" w:color="auto" w:fill="BDD6EE" w:themeFill="accent1" w:themeFillTint="66"/>
            <w:vAlign w:val="bottom"/>
            <w:hideMark/>
          </w:tcPr>
          <w:p w14:paraId="3D929027" w14:textId="77777777" w:rsidR="008D6DF4" w:rsidRDefault="008D6DF4">
            <w:pPr>
              <w:spacing w:after="0" w:line="240" w:lineRule="auto"/>
              <w:jc w:val="center"/>
              <w:rPr>
                <w:rFonts w:ascii="Arial" w:eastAsia="Times New Roman" w:hAnsi="Arial" w:cs="Arial"/>
                <w:b/>
                <w:bCs/>
                <w:color w:val="000000"/>
                <w:sz w:val="20"/>
                <w:szCs w:val="20"/>
                <w:lang w:val="en-US"/>
              </w:rPr>
            </w:pPr>
          </w:p>
        </w:tc>
        <w:tc>
          <w:tcPr>
            <w:tcW w:w="691" w:type="dxa"/>
            <w:tcBorders>
              <w:top w:val="nil"/>
              <w:left w:val="nil"/>
              <w:bottom w:val="single" w:sz="4" w:space="0" w:color="auto"/>
              <w:right w:val="nil"/>
            </w:tcBorders>
            <w:shd w:val="clear" w:color="auto" w:fill="BDD6EE" w:themeFill="accent1" w:themeFillTint="66"/>
            <w:noWrap/>
            <w:vAlign w:val="bottom"/>
            <w:hideMark/>
          </w:tcPr>
          <w:p w14:paraId="3AB10155"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OR</w:t>
            </w:r>
          </w:p>
        </w:tc>
        <w:tc>
          <w:tcPr>
            <w:tcW w:w="979" w:type="dxa"/>
            <w:tcBorders>
              <w:top w:val="nil"/>
              <w:left w:val="nil"/>
              <w:bottom w:val="single" w:sz="4" w:space="0" w:color="auto"/>
              <w:right w:val="nil"/>
            </w:tcBorders>
            <w:shd w:val="clear" w:color="auto" w:fill="BDD6EE" w:themeFill="accent1" w:themeFillTint="66"/>
            <w:vAlign w:val="bottom"/>
            <w:hideMark/>
          </w:tcPr>
          <w:p w14:paraId="338CF990"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w:t>
            </w:r>
          </w:p>
        </w:tc>
        <w:tc>
          <w:tcPr>
            <w:tcW w:w="200" w:type="dxa"/>
            <w:tcBorders>
              <w:top w:val="nil"/>
              <w:left w:val="nil"/>
              <w:bottom w:val="single" w:sz="4" w:space="0" w:color="auto"/>
              <w:right w:val="nil"/>
            </w:tcBorders>
            <w:shd w:val="clear" w:color="auto" w:fill="BDD6EE" w:themeFill="accent1" w:themeFillTint="66"/>
            <w:vAlign w:val="bottom"/>
            <w:hideMark/>
          </w:tcPr>
          <w:p w14:paraId="424EE16E"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220" w:type="dxa"/>
            <w:vMerge/>
            <w:tcBorders>
              <w:left w:val="nil"/>
              <w:bottom w:val="single" w:sz="4" w:space="0" w:color="auto"/>
              <w:right w:val="nil"/>
            </w:tcBorders>
            <w:shd w:val="clear" w:color="auto" w:fill="BDD6EE" w:themeFill="accent1" w:themeFillTint="66"/>
            <w:vAlign w:val="bottom"/>
            <w:hideMark/>
          </w:tcPr>
          <w:p w14:paraId="672B03D0" w14:textId="77777777" w:rsidR="008D6DF4" w:rsidRDefault="008D6DF4">
            <w:pPr>
              <w:spacing w:after="0" w:line="240" w:lineRule="auto"/>
              <w:jc w:val="center"/>
              <w:rPr>
                <w:rFonts w:ascii="Arial" w:eastAsia="Times New Roman" w:hAnsi="Arial" w:cs="Arial"/>
                <w:b/>
                <w:bCs/>
                <w:color w:val="000000"/>
                <w:sz w:val="20"/>
                <w:szCs w:val="20"/>
                <w:lang w:val="en-US"/>
              </w:rPr>
            </w:pPr>
          </w:p>
        </w:tc>
      </w:tr>
      <w:tr w:rsidR="008D6DF4" w14:paraId="5C5FDD90" w14:textId="77777777" w:rsidTr="00EE2033">
        <w:trPr>
          <w:trHeight w:val="570"/>
        </w:trPr>
        <w:tc>
          <w:tcPr>
            <w:tcW w:w="1418" w:type="dxa"/>
            <w:tcBorders>
              <w:top w:val="nil"/>
              <w:left w:val="nil"/>
              <w:bottom w:val="nil"/>
              <w:right w:val="nil"/>
            </w:tcBorders>
            <w:shd w:val="clear" w:color="auto" w:fill="D9D9D9" w:themeFill="background1" w:themeFillShade="D9"/>
            <w:noWrap/>
            <w:vAlign w:val="center"/>
            <w:hideMark/>
          </w:tcPr>
          <w:p w14:paraId="0477EEB4"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rs34882080 (c)</w:t>
            </w:r>
          </w:p>
        </w:tc>
        <w:tc>
          <w:tcPr>
            <w:tcW w:w="850" w:type="dxa"/>
            <w:tcBorders>
              <w:top w:val="nil"/>
              <w:left w:val="nil"/>
              <w:bottom w:val="nil"/>
              <w:right w:val="nil"/>
            </w:tcBorders>
            <w:shd w:val="clear" w:color="auto" w:fill="D9D9D9" w:themeFill="background1" w:themeFillShade="D9"/>
            <w:noWrap/>
            <w:vAlign w:val="center"/>
            <w:hideMark/>
          </w:tcPr>
          <w:p w14:paraId="7989C121" w14:textId="1BCAEA03"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r w:rsidR="00EE2033">
              <w:rPr>
                <w:rFonts w:ascii="Arial" w:eastAsia="Times New Roman" w:hAnsi="Arial" w:cs="Arial"/>
                <w:color w:val="000000"/>
                <w:sz w:val="20"/>
                <w:szCs w:val="20"/>
                <w:lang w:val="en-US"/>
              </w:rPr>
              <w:br/>
            </w:r>
            <w:r>
              <w:rPr>
                <w:rFonts w:ascii="Arial" w:eastAsia="Times New Roman" w:hAnsi="Arial" w:cs="Arial"/>
                <w:color w:val="000000"/>
                <w:sz w:val="20"/>
                <w:szCs w:val="20"/>
                <w:lang w:val="en-US"/>
              </w:rPr>
              <w:t>CKDi25</w:t>
            </w:r>
          </w:p>
        </w:tc>
        <w:tc>
          <w:tcPr>
            <w:tcW w:w="1559" w:type="dxa"/>
            <w:tcBorders>
              <w:top w:val="nil"/>
              <w:left w:val="nil"/>
              <w:bottom w:val="nil"/>
              <w:right w:val="nil"/>
            </w:tcBorders>
            <w:shd w:val="clear" w:color="auto" w:fill="D9D9D9" w:themeFill="background1" w:themeFillShade="D9"/>
            <w:noWrap/>
            <w:vAlign w:val="center"/>
            <w:hideMark/>
          </w:tcPr>
          <w:p w14:paraId="34C30D65"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34" w:type="dxa"/>
            <w:tcBorders>
              <w:top w:val="nil"/>
              <w:left w:val="nil"/>
              <w:bottom w:val="nil"/>
              <w:right w:val="nil"/>
            </w:tcBorders>
            <w:shd w:val="clear" w:color="auto" w:fill="D9D9D9" w:themeFill="background1" w:themeFillShade="D9"/>
            <w:vAlign w:val="center"/>
            <w:hideMark/>
          </w:tcPr>
          <w:p w14:paraId="39E59FA7"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rs12922822</w:t>
            </w:r>
            <w:r>
              <w:rPr>
                <w:rFonts w:ascii="Arial" w:eastAsia="Times New Roman" w:hAnsi="Arial" w:cs="Arial"/>
                <w:color w:val="000000"/>
                <w:sz w:val="20"/>
                <w:szCs w:val="20"/>
                <w:lang w:val="en-US"/>
              </w:rPr>
              <w:br/>
              <w:t>rs13329952</w:t>
            </w:r>
          </w:p>
        </w:tc>
        <w:tc>
          <w:tcPr>
            <w:tcW w:w="1134" w:type="dxa"/>
            <w:tcBorders>
              <w:top w:val="nil"/>
              <w:left w:val="nil"/>
              <w:bottom w:val="nil"/>
              <w:right w:val="nil"/>
            </w:tcBorders>
            <w:shd w:val="clear" w:color="auto" w:fill="D9D9D9" w:themeFill="background1" w:themeFillShade="D9"/>
            <w:vAlign w:val="center"/>
            <w:hideMark/>
          </w:tcPr>
          <w:p w14:paraId="392A99D8"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0.99</w:t>
            </w:r>
            <w:r>
              <w:rPr>
                <w:rFonts w:ascii="Arial" w:eastAsia="Times New Roman" w:hAnsi="Arial" w:cs="Arial"/>
                <w:color w:val="000000"/>
                <w:sz w:val="20"/>
                <w:szCs w:val="20"/>
                <w:lang w:val="en-US"/>
              </w:rPr>
              <w:br/>
              <w:t>0.91</w:t>
            </w:r>
          </w:p>
        </w:tc>
        <w:tc>
          <w:tcPr>
            <w:tcW w:w="160" w:type="dxa"/>
            <w:tcBorders>
              <w:top w:val="nil"/>
              <w:left w:val="nil"/>
              <w:bottom w:val="nil"/>
              <w:right w:val="nil"/>
            </w:tcBorders>
            <w:shd w:val="clear" w:color="auto" w:fill="D9D9D9" w:themeFill="background1" w:themeFillShade="D9"/>
            <w:noWrap/>
            <w:vAlign w:val="center"/>
            <w:hideMark/>
          </w:tcPr>
          <w:p w14:paraId="325CB495"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690" w:type="dxa"/>
            <w:tcBorders>
              <w:top w:val="nil"/>
              <w:left w:val="nil"/>
              <w:bottom w:val="nil"/>
              <w:right w:val="nil"/>
            </w:tcBorders>
            <w:shd w:val="clear" w:color="auto" w:fill="D9D9D9" w:themeFill="background1" w:themeFillShade="D9"/>
            <w:vAlign w:val="center"/>
            <w:hideMark/>
          </w:tcPr>
          <w:p w14:paraId="29888C0D"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709" w:type="dxa"/>
            <w:tcBorders>
              <w:top w:val="nil"/>
              <w:left w:val="nil"/>
              <w:bottom w:val="nil"/>
              <w:right w:val="nil"/>
            </w:tcBorders>
            <w:shd w:val="clear" w:color="auto" w:fill="D9D9D9" w:themeFill="background1" w:themeFillShade="D9"/>
            <w:vAlign w:val="center"/>
            <w:hideMark/>
          </w:tcPr>
          <w:p w14:paraId="767192F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200" w:type="dxa"/>
            <w:tcBorders>
              <w:top w:val="nil"/>
              <w:left w:val="nil"/>
              <w:bottom w:val="nil"/>
              <w:right w:val="nil"/>
            </w:tcBorders>
            <w:shd w:val="clear" w:color="auto" w:fill="D9D9D9" w:themeFill="background1" w:themeFillShade="D9"/>
            <w:vAlign w:val="center"/>
            <w:hideMark/>
          </w:tcPr>
          <w:p w14:paraId="7E20933A"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0" w:type="dxa"/>
            <w:tcBorders>
              <w:top w:val="nil"/>
              <w:left w:val="nil"/>
              <w:bottom w:val="nil"/>
              <w:right w:val="nil"/>
            </w:tcBorders>
            <w:shd w:val="clear" w:color="auto" w:fill="D9D9D9" w:themeFill="background1" w:themeFillShade="D9"/>
            <w:vAlign w:val="center"/>
            <w:hideMark/>
          </w:tcPr>
          <w:p w14:paraId="42BD1593"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709" w:type="dxa"/>
            <w:tcBorders>
              <w:top w:val="nil"/>
              <w:left w:val="nil"/>
              <w:bottom w:val="nil"/>
              <w:right w:val="nil"/>
            </w:tcBorders>
            <w:shd w:val="clear" w:color="auto" w:fill="D9D9D9" w:themeFill="background1" w:themeFillShade="D9"/>
            <w:vAlign w:val="center"/>
            <w:hideMark/>
          </w:tcPr>
          <w:p w14:paraId="6AF18BD4"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200" w:type="dxa"/>
            <w:tcBorders>
              <w:top w:val="single" w:sz="4" w:space="0" w:color="auto"/>
              <w:left w:val="nil"/>
              <w:bottom w:val="nil"/>
              <w:right w:val="nil"/>
            </w:tcBorders>
            <w:shd w:val="clear" w:color="auto" w:fill="D9D9D9" w:themeFill="background1" w:themeFillShade="D9"/>
            <w:noWrap/>
            <w:vAlign w:val="center"/>
            <w:hideMark/>
          </w:tcPr>
          <w:p w14:paraId="4F8E45A4"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1" w:type="dxa"/>
            <w:tcBorders>
              <w:top w:val="nil"/>
              <w:left w:val="nil"/>
              <w:bottom w:val="nil"/>
              <w:right w:val="nil"/>
            </w:tcBorders>
            <w:shd w:val="clear" w:color="auto" w:fill="D9D9D9" w:themeFill="background1" w:themeFillShade="D9"/>
            <w:vAlign w:val="center"/>
            <w:hideMark/>
          </w:tcPr>
          <w:p w14:paraId="201287B6"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708" w:type="dxa"/>
            <w:tcBorders>
              <w:top w:val="nil"/>
              <w:left w:val="nil"/>
              <w:bottom w:val="nil"/>
              <w:right w:val="nil"/>
            </w:tcBorders>
            <w:shd w:val="clear" w:color="auto" w:fill="D9D9D9" w:themeFill="background1" w:themeFillShade="D9"/>
            <w:vAlign w:val="center"/>
            <w:hideMark/>
          </w:tcPr>
          <w:p w14:paraId="01ED1083"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160" w:type="dxa"/>
            <w:tcBorders>
              <w:top w:val="nil"/>
              <w:left w:val="nil"/>
              <w:bottom w:val="nil"/>
              <w:right w:val="nil"/>
            </w:tcBorders>
            <w:shd w:val="clear" w:color="auto" w:fill="D9D9D9" w:themeFill="background1" w:themeFillShade="D9"/>
            <w:vAlign w:val="center"/>
            <w:hideMark/>
          </w:tcPr>
          <w:p w14:paraId="7E9F1853"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1" w:type="dxa"/>
            <w:tcBorders>
              <w:top w:val="nil"/>
              <w:left w:val="nil"/>
              <w:bottom w:val="nil"/>
              <w:right w:val="nil"/>
            </w:tcBorders>
            <w:shd w:val="clear" w:color="auto" w:fill="D9D9D9" w:themeFill="background1" w:themeFillShade="D9"/>
            <w:vAlign w:val="center"/>
            <w:hideMark/>
          </w:tcPr>
          <w:p w14:paraId="387524D6"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979" w:type="dxa"/>
            <w:tcBorders>
              <w:top w:val="nil"/>
              <w:left w:val="nil"/>
              <w:bottom w:val="nil"/>
              <w:right w:val="nil"/>
            </w:tcBorders>
            <w:shd w:val="clear" w:color="auto" w:fill="D9D9D9" w:themeFill="background1" w:themeFillShade="D9"/>
            <w:vAlign w:val="center"/>
            <w:hideMark/>
          </w:tcPr>
          <w:p w14:paraId="0112F9E4"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r>
              <w:rPr>
                <w:rFonts w:ascii="Arial" w:eastAsia="Times New Roman" w:hAnsi="Arial" w:cs="Arial"/>
                <w:color w:val="000000"/>
                <w:sz w:val="20"/>
                <w:szCs w:val="20"/>
                <w:lang w:val="en-US"/>
              </w:rPr>
              <w:br/>
              <w:t>NA (d)</w:t>
            </w:r>
          </w:p>
        </w:tc>
        <w:tc>
          <w:tcPr>
            <w:tcW w:w="200" w:type="dxa"/>
            <w:tcBorders>
              <w:top w:val="nil"/>
              <w:left w:val="nil"/>
              <w:bottom w:val="nil"/>
              <w:right w:val="nil"/>
            </w:tcBorders>
            <w:shd w:val="clear" w:color="auto" w:fill="D9D9D9" w:themeFill="background1" w:themeFillShade="D9"/>
            <w:noWrap/>
            <w:vAlign w:val="center"/>
            <w:hideMark/>
          </w:tcPr>
          <w:p w14:paraId="500952A1"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1220" w:type="dxa"/>
            <w:tcBorders>
              <w:top w:val="nil"/>
              <w:left w:val="nil"/>
              <w:bottom w:val="nil"/>
              <w:right w:val="nil"/>
            </w:tcBorders>
            <w:shd w:val="clear" w:color="auto" w:fill="D9D9D9" w:themeFill="background1" w:themeFillShade="D9"/>
            <w:noWrap/>
            <w:vAlign w:val="center"/>
            <w:hideMark/>
          </w:tcPr>
          <w:p w14:paraId="10B3CA2D"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1.1</w:t>
            </w:r>
          </w:p>
        </w:tc>
      </w:tr>
      <w:tr w:rsidR="008D6DF4" w14:paraId="0B9991AE" w14:textId="77777777">
        <w:trPr>
          <w:trHeight w:val="285"/>
        </w:trPr>
        <w:tc>
          <w:tcPr>
            <w:tcW w:w="1418" w:type="dxa"/>
            <w:tcBorders>
              <w:top w:val="nil"/>
              <w:left w:val="nil"/>
              <w:bottom w:val="nil"/>
              <w:right w:val="nil"/>
            </w:tcBorders>
            <w:shd w:val="clear" w:color="auto" w:fill="auto"/>
            <w:noWrap/>
            <w:vAlign w:val="center"/>
            <w:hideMark/>
          </w:tcPr>
          <w:p w14:paraId="64C3C683"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rs77924615</w:t>
            </w:r>
          </w:p>
        </w:tc>
        <w:tc>
          <w:tcPr>
            <w:tcW w:w="850" w:type="dxa"/>
            <w:tcBorders>
              <w:top w:val="nil"/>
              <w:left w:val="nil"/>
              <w:bottom w:val="nil"/>
              <w:right w:val="nil"/>
            </w:tcBorders>
            <w:shd w:val="clear" w:color="auto" w:fill="auto"/>
            <w:noWrap/>
            <w:vAlign w:val="center"/>
            <w:hideMark/>
          </w:tcPr>
          <w:p w14:paraId="45A36A54"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559" w:type="dxa"/>
            <w:tcBorders>
              <w:top w:val="nil"/>
              <w:left w:val="nil"/>
              <w:bottom w:val="nil"/>
              <w:right w:val="nil"/>
            </w:tcBorders>
            <w:shd w:val="clear" w:color="auto" w:fill="auto"/>
            <w:noWrap/>
            <w:vAlign w:val="center"/>
            <w:hideMark/>
          </w:tcPr>
          <w:p w14:paraId="2932F115"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134" w:type="dxa"/>
            <w:tcBorders>
              <w:top w:val="nil"/>
              <w:left w:val="nil"/>
              <w:bottom w:val="nil"/>
              <w:right w:val="nil"/>
            </w:tcBorders>
            <w:shd w:val="clear" w:color="auto" w:fill="auto"/>
            <w:noWrap/>
            <w:vAlign w:val="center"/>
            <w:hideMark/>
          </w:tcPr>
          <w:p w14:paraId="225780EE"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same </w:t>
            </w:r>
          </w:p>
        </w:tc>
        <w:tc>
          <w:tcPr>
            <w:tcW w:w="1134" w:type="dxa"/>
            <w:tcBorders>
              <w:top w:val="nil"/>
              <w:left w:val="nil"/>
              <w:bottom w:val="nil"/>
              <w:right w:val="nil"/>
            </w:tcBorders>
            <w:shd w:val="clear" w:color="auto" w:fill="auto"/>
            <w:noWrap/>
            <w:vAlign w:val="center"/>
            <w:hideMark/>
          </w:tcPr>
          <w:p w14:paraId="11F9FD2F"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160" w:type="dxa"/>
            <w:tcBorders>
              <w:top w:val="nil"/>
              <w:left w:val="nil"/>
              <w:bottom w:val="nil"/>
              <w:right w:val="nil"/>
            </w:tcBorders>
            <w:shd w:val="clear" w:color="auto" w:fill="auto"/>
            <w:noWrap/>
            <w:vAlign w:val="center"/>
            <w:hideMark/>
          </w:tcPr>
          <w:p w14:paraId="3E72BBEE"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0" w:type="dxa"/>
            <w:tcBorders>
              <w:top w:val="nil"/>
              <w:left w:val="nil"/>
              <w:bottom w:val="nil"/>
              <w:right w:val="nil"/>
            </w:tcBorders>
            <w:shd w:val="clear" w:color="auto" w:fill="auto"/>
            <w:noWrap/>
            <w:vAlign w:val="center"/>
            <w:hideMark/>
          </w:tcPr>
          <w:p w14:paraId="52A07AB8"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709" w:type="dxa"/>
            <w:tcBorders>
              <w:top w:val="nil"/>
              <w:left w:val="nil"/>
              <w:bottom w:val="nil"/>
              <w:right w:val="nil"/>
            </w:tcBorders>
            <w:shd w:val="clear" w:color="auto" w:fill="auto"/>
            <w:noWrap/>
            <w:vAlign w:val="center"/>
            <w:hideMark/>
          </w:tcPr>
          <w:p w14:paraId="7190B5D7"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200" w:type="dxa"/>
            <w:tcBorders>
              <w:top w:val="nil"/>
              <w:left w:val="nil"/>
              <w:bottom w:val="nil"/>
              <w:right w:val="nil"/>
            </w:tcBorders>
            <w:shd w:val="clear" w:color="auto" w:fill="auto"/>
            <w:noWrap/>
            <w:vAlign w:val="center"/>
            <w:hideMark/>
          </w:tcPr>
          <w:p w14:paraId="579CE081"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0" w:type="dxa"/>
            <w:tcBorders>
              <w:top w:val="nil"/>
              <w:left w:val="nil"/>
              <w:bottom w:val="nil"/>
              <w:right w:val="nil"/>
            </w:tcBorders>
            <w:shd w:val="clear" w:color="auto" w:fill="auto"/>
            <w:noWrap/>
            <w:vAlign w:val="center"/>
            <w:hideMark/>
          </w:tcPr>
          <w:p w14:paraId="385DA82E"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709" w:type="dxa"/>
            <w:tcBorders>
              <w:top w:val="nil"/>
              <w:left w:val="nil"/>
              <w:bottom w:val="nil"/>
              <w:right w:val="nil"/>
            </w:tcBorders>
            <w:shd w:val="clear" w:color="auto" w:fill="auto"/>
            <w:noWrap/>
            <w:vAlign w:val="center"/>
            <w:hideMark/>
          </w:tcPr>
          <w:p w14:paraId="7C09B517"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200" w:type="dxa"/>
            <w:tcBorders>
              <w:top w:val="nil"/>
              <w:left w:val="nil"/>
              <w:bottom w:val="nil"/>
              <w:right w:val="nil"/>
            </w:tcBorders>
            <w:shd w:val="clear" w:color="auto" w:fill="auto"/>
            <w:noWrap/>
            <w:vAlign w:val="center"/>
            <w:hideMark/>
          </w:tcPr>
          <w:p w14:paraId="1B751F08"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1" w:type="dxa"/>
            <w:tcBorders>
              <w:top w:val="nil"/>
              <w:left w:val="nil"/>
              <w:bottom w:val="nil"/>
              <w:right w:val="nil"/>
            </w:tcBorders>
            <w:shd w:val="clear" w:color="auto" w:fill="auto"/>
            <w:noWrap/>
            <w:vAlign w:val="center"/>
            <w:hideMark/>
          </w:tcPr>
          <w:p w14:paraId="77342A2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708" w:type="dxa"/>
            <w:tcBorders>
              <w:top w:val="nil"/>
              <w:left w:val="nil"/>
              <w:bottom w:val="nil"/>
              <w:right w:val="nil"/>
            </w:tcBorders>
            <w:shd w:val="clear" w:color="auto" w:fill="auto"/>
            <w:noWrap/>
            <w:vAlign w:val="center"/>
            <w:hideMark/>
          </w:tcPr>
          <w:p w14:paraId="274124F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160" w:type="dxa"/>
            <w:tcBorders>
              <w:top w:val="nil"/>
              <w:left w:val="nil"/>
              <w:bottom w:val="nil"/>
              <w:right w:val="nil"/>
            </w:tcBorders>
            <w:shd w:val="clear" w:color="auto" w:fill="auto"/>
            <w:noWrap/>
            <w:vAlign w:val="center"/>
            <w:hideMark/>
          </w:tcPr>
          <w:p w14:paraId="093487BB"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1" w:type="dxa"/>
            <w:tcBorders>
              <w:top w:val="nil"/>
              <w:left w:val="nil"/>
              <w:bottom w:val="nil"/>
              <w:right w:val="nil"/>
            </w:tcBorders>
            <w:shd w:val="clear" w:color="auto" w:fill="auto"/>
            <w:noWrap/>
            <w:vAlign w:val="center"/>
            <w:hideMark/>
          </w:tcPr>
          <w:p w14:paraId="3F47BC8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979" w:type="dxa"/>
            <w:tcBorders>
              <w:top w:val="nil"/>
              <w:left w:val="nil"/>
              <w:bottom w:val="nil"/>
              <w:right w:val="nil"/>
            </w:tcBorders>
            <w:shd w:val="clear" w:color="auto" w:fill="auto"/>
            <w:noWrap/>
            <w:vAlign w:val="center"/>
            <w:hideMark/>
          </w:tcPr>
          <w:p w14:paraId="3E18EF65"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200" w:type="dxa"/>
            <w:tcBorders>
              <w:top w:val="nil"/>
              <w:left w:val="nil"/>
              <w:bottom w:val="nil"/>
              <w:right w:val="nil"/>
            </w:tcBorders>
            <w:shd w:val="clear" w:color="auto" w:fill="auto"/>
            <w:noWrap/>
            <w:vAlign w:val="center"/>
            <w:hideMark/>
          </w:tcPr>
          <w:p w14:paraId="5DA4D9CB"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1220" w:type="dxa"/>
            <w:tcBorders>
              <w:top w:val="nil"/>
              <w:left w:val="nil"/>
              <w:bottom w:val="nil"/>
              <w:right w:val="nil"/>
            </w:tcBorders>
            <w:shd w:val="clear" w:color="auto" w:fill="auto"/>
            <w:noWrap/>
            <w:vAlign w:val="center"/>
            <w:hideMark/>
          </w:tcPr>
          <w:p w14:paraId="1844345D"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1.2</w:t>
            </w:r>
          </w:p>
        </w:tc>
      </w:tr>
      <w:tr w:rsidR="008D6DF4" w14:paraId="697CDEB0" w14:textId="77777777" w:rsidTr="00EE2033">
        <w:trPr>
          <w:trHeight w:val="285"/>
        </w:trPr>
        <w:tc>
          <w:tcPr>
            <w:tcW w:w="1418" w:type="dxa"/>
            <w:tcBorders>
              <w:top w:val="nil"/>
              <w:left w:val="nil"/>
              <w:bottom w:val="nil"/>
              <w:right w:val="nil"/>
            </w:tcBorders>
            <w:shd w:val="clear" w:color="auto" w:fill="D9D9D9" w:themeFill="background1" w:themeFillShade="D9"/>
            <w:noWrap/>
            <w:vAlign w:val="center"/>
            <w:hideMark/>
          </w:tcPr>
          <w:p w14:paraId="1D76750A"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rs690428</w:t>
            </w:r>
          </w:p>
        </w:tc>
        <w:tc>
          <w:tcPr>
            <w:tcW w:w="850" w:type="dxa"/>
            <w:tcBorders>
              <w:top w:val="nil"/>
              <w:left w:val="nil"/>
              <w:bottom w:val="nil"/>
              <w:right w:val="nil"/>
            </w:tcBorders>
            <w:shd w:val="clear" w:color="auto" w:fill="D9D9D9" w:themeFill="background1" w:themeFillShade="D9"/>
            <w:noWrap/>
            <w:vAlign w:val="center"/>
            <w:hideMark/>
          </w:tcPr>
          <w:p w14:paraId="6474B648"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559" w:type="dxa"/>
            <w:tcBorders>
              <w:top w:val="nil"/>
              <w:left w:val="nil"/>
              <w:bottom w:val="nil"/>
              <w:right w:val="nil"/>
            </w:tcBorders>
            <w:shd w:val="clear" w:color="auto" w:fill="D9D9D9" w:themeFill="background1" w:themeFillShade="D9"/>
            <w:noWrap/>
            <w:vAlign w:val="center"/>
            <w:hideMark/>
          </w:tcPr>
          <w:p w14:paraId="6C81C417"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[WDR72]</w:t>
            </w:r>
          </w:p>
        </w:tc>
        <w:tc>
          <w:tcPr>
            <w:tcW w:w="1134" w:type="dxa"/>
            <w:tcBorders>
              <w:top w:val="nil"/>
              <w:left w:val="nil"/>
              <w:bottom w:val="nil"/>
              <w:right w:val="nil"/>
            </w:tcBorders>
            <w:shd w:val="clear" w:color="auto" w:fill="D9D9D9" w:themeFill="background1" w:themeFillShade="D9"/>
            <w:noWrap/>
            <w:vAlign w:val="center"/>
            <w:hideMark/>
          </w:tcPr>
          <w:p w14:paraId="494CA1B0"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rs77593734</w:t>
            </w:r>
          </w:p>
        </w:tc>
        <w:tc>
          <w:tcPr>
            <w:tcW w:w="1134" w:type="dxa"/>
            <w:tcBorders>
              <w:top w:val="nil"/>
              <w:left w:val="nil"/>
              <w:bottom w:val="nil"/>
              <w:right w:val="nil"/>
            </w:tcBorders>
            <w:shd w:val="clear" w:color="auto" w:fill="D9D9D9" w:themeFill="background1" w:themeFillShade="D9"/>
            <w:noWrap/>
            <w:vAlign w:val="center"/>
            <w:hideMark/>
          </w:tcPr>
          <w:p w14:paraId="1BE3B62E"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0.42</w:t>
            </w:r>
          </w:p>
        </w:tc>
        <w:tc>
          <w:tcPr>
            <w:tcW w:w="160" w:type="dxa"/>
            <w:tcBorders>
              <w:top w:val="nil"/>
              <w:left w:val="nil"/>
              <w:bottom w:val="nil"/>
              <w:right w:val="nil"/>
            </w:tcBorders>
            <w:shd w:val="clear" w:color="auto" w:fill="D9D9D9" w:themeFill="background1" w:themeFillShade="D9"/>
            <w:noWrap/>
            <w:vAlign w:val="center"/>
            <w:hideMark/>
          </w:tcPr>
          <w:p w14:paraId="09D0C301"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0" w:type="dxa"/>
            <w:tcBorders>
              <w:top w:val="nil"/>
              <w:left w:val="nil"/>
              <w:bottom w:val="nil"/>
              <w:right w:val="nil"/>
            </w:tcBorders>
            <w:shd w:val="clear" w:color="auto" w:fill="D9D9D9" w:themeFill="background1" w:themeFillShade="D9"/>
            <w:noWrap/>
            <w:vAlign w:val="center"/>
            <w:hideMark/>
          </w:tcPr>
          <w:p w14:paraId="28D5AAFF"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1.00</w:t>
            </w:r>
          </w:p>
        </w:tc>
        <w:tc>
          <w:tcPr>
            <w:tcW w:w="709" w:type="dxa"/>
            <w:tcBorders>
              <w:top w:val="nil"/>
              <w:left w:val="nil"/>
              <w:bottom w:val="nil"/>
              <w:right w:val="nil"/>
            </w:tcBorders>
            <w:shd w:val="clear" w:color="auto" w:fill="D9D9D9" w:themeFill="background1" w:themeFillShade="D9"/>
            <w:noWrap/>
            <w:vAlign w:val="center"/>
            <w:hideMark/>
          </w:tcPr>
          <w:p w14:paraId="280DC3DE"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0.99</w:t>
            </w:r>
          </w:p>
        </w:tc>
        <w:tc>
          <w:tcPr>
            <w:tcW w:w="200" w:type="dxa"/>
            <w:tcBorders>
              <w:top w:val="nil"/>
              <w:left w:val="nil"/>
              <w:bottom w:val="nil"/>
              <w:right w:val="nil"/>
            </w:tcBorders>
            <w:shd w:val="clear" w:color="auto" w:fill="D9D9D9" w:themeFill="background1" w:themeFillShade="D9"/>
            <w:noWrap/>
            <w:vAlign w:val="center"/>
            <w:hideMark/>
          </w:tcPr>
          <w:p w14:paraId="331FDD36"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0" w:type="dxa"/>
            <w:tcBorders>
              <w:top w:val="nil"/>
              <w:left w:val="nil"/>
              <w:bottom w:val="nil"/>
              <w:right w:val="nil"/>
            </w:tcBorders>
            <w:shd w:val="clear" w:color="auto" w:fill="D9D9D9" w:themeFill="background1" w:themeFillShade="D9"/>
            <w:noWrap/>
            <w:vAlign w:val="center"/>
            <w:hideMark/>
          </w:tcPr>
          <w:p w14:paraId="687637F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1.01</w:t>
            </w:r>
          </w:p>
        </w:tc>
        <w:tc>
          <w:tcPr>
            <w:tcW w:w="709" w:type="dxa"/>
            <w:tcBorders>
              <w:top w:val="nil"/>
              <w:left w:val="nil"/>
              <w:bottom w:val="nil"/>
              <w:right w:val="nil"/>
            </w:tcBorders>
            <w:shd w:val="clear" w:color="auto" w:fill="D9D9D9" w:themeFill="background1" w:themeFillShade="D9"/>
            <w:noWrap/>
            <w:vAlign w:val="center"/>
            <w:hideMark/>
          </w:tcPr>
          <w:p w14:paraId="1A4E9072"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0.62</w:t>
            </w:r>
          </w:p>
        </w:tc>
        <w:tc>
          <w:tcPr>
            <w:tcW w:w="200" w:type="dxa"/>
            <w:tcBorders>
              <w:top w:val="nil"/>
              <w:left w:val="nil"/>
              <w:bottom w:val="nil"/>
              <w:right w:val="nil"/>
            </w:tcBorders>
            <w:shd w:val="clear" w:color="auto" w:fill="D9D9D9" w:themeFill="background1" w:themeFillShade="D9"/>
            <w:noWrap/>
            <w:vAlign w:val="center"/>
            <w:hideMark/>
          </w:tcPr>
          <w:p w14:paraId="53082D58"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1" w:type="dxa"/>
            <w:tcBorders>
              <w:top w:val="nil"/>
              <w:left w:val="nil"/>
              <w:bottom w:val="nil"/>
              <w:right w:val="nil"/>
            </w:tcBorders>
            <w:shd w:val="clear" w:color="auto" w:fill="D9D9D9" w:themeFill="background1" w:themeFillShade="D9"/>
            <w:noWrap/>
            <w:vAlign w:val="center"/>
            <w:hideMark/>
          </w:tcPr>
          <w:p w14:paraId="7BC0713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1.01</w:t>
            </w:r>
          </w:p>
        </w:tc>
        <w:tc>
          <w:tcPr>
            <w:tcW w:w="708" w:type="dxa"/>
            <w:tcBorders>
              <w:top w:val="nil"/>
              <w:left w:val="nil"/>
              <w:bottom w:val="nil"/>
              <w:right w:val="nil"/>
            </w:tcBorders>
            <w:shd w:val="clear" w:color="auto" w:fill="D9D9D9" w:themeFill="background1" w:themeFillShade="D9"/>
            <w:noWrap/>
            <w:vAlign w:val="center"/>
            <w:hideMark/>
          </w:tcPr>
          <w:p w14:paraId="20C3580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0.65</w:t>
            </w:r>
          </w:p>
        </w:tc>
        <w:tc>
          <w:tcPr>
            <w:tcW w:w="160" w:type="dxa"/>
            <w:tcBorders>
              <w:top w:val="nil"/>
              <w:left w:val="nil"/>
              <w:bottom w:val="nil"/>
              <w:right w:val="nil"/>
            </w:tcBorders>
            <w:shd w:val="clear" w:color="auto" w:fill="D9D9D9" w:themeFill="background1" w:themeFillShade="D9"/>
            <w:noWrap/>
            <w:vAlign w:val="center"/>
            <w:hideMark/>
          </w:tcPr>
          <w:p w14:paraId="01155F90"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1" w:type="dxa"/>
            <w:tcBorders>
              <w:top w:val="nil"/>
              <w:left w:val="nil"/>
              <w:bottom w:val="nil"/>
              <w:right w:val="nil"/>
            </w:tcBorders>
            <w:shd w:val="clear" w:color="auto" w:fill="D9D9D9" w:themeFill="background1" w:themeFillShade="D9"/>
            <w:noWrap/>
            <w:vAlign w:val="center"/>
            <w:hideMark/>
          </w:tcPr>
          <w:p w14:paraId="2BFFC85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1.01</w:t>
            </w:r>
          </w:p>
        </w:tc>
        <w:tc>
          <w:tcPr>
            <w:tcW w:w="979" w:type="dxa"/>
            <w:tcBorders>
              <w:top w:val="nil"/>
              <w:left w:val="nil"/>
              <w:bottom w:val="nil"/>
              <w:right w:val="nil"/>
            </w:tcBorders>
            <w:shd w:val="clear" w:color="auto" w:fill="D9D9D9" w:themeFill="background1" w:themeFillShade="D9"/>
            <w:noWrap/>
            <w:vAlign w:val="center"/>
            <w:hideMark/>
          </w:tcPr>
          <w:p w14:paraId="0EB49D54"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0.40</w:t>
            </w:r>
          </w:p>
        </w:tc>
        <w:tc>
          <w:tcPr>
            <w:tcW w:w="200" w:type="dxa"/>
            <w:tcBorders>
              <w:top w:val="nil"/>
              <w:left w:val="nil"/>
              <w:bottom w:val="nil"/>
              <w:right w:val="nil"/>
            </w:tcBorders>
            <w:shd w:val="clear" w:color="auto" w:fill="D9D9D9" w:themeFill="background1" w:themeFillShade="D9"/>
            <w:noWrap/>
            <w:vAlign w:val="center"/>
            <w:hideMark/>
          </w:tcPr>
          <w:p w14:paraId="42044C96"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1220" w:type="dxa"/>
            <w:tcBorders>
              <w:top w:val="nil"/>
              <w:left w:val="nil"/>
              <w:bottom w:val="nil"/>
              <w:right w:val="nil"/>
            </w:tcBorders>
            <w:shd w:val="clear" w:color="auto" w:fill="D9D9D9" w:themeFill="background1" w:themeFillShade="D9"/>
            <w:noWrap/>
            <w:vAlign w:val="center"/>
            <w:hideMark/>
          </w:tcPr>
          <w:p w14:paraId="39FAE70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r>
      <w:tr w:rsidR="008D6DF4" w14:paraId="5BE5E5E7" w14:textId="77777777">
        <w:trPr>
          <w:trHeight w:val="285"/>
        </w:trPr>
        <w:tc>
          <w:tcPr>
            <w:tcW w:w="1418" w:type="dxa"/>
            <w:tcBorders>
              <w:top w:val="nil"/>
              <w:left w:val="nil"/>
              <w:bottom w:val="nil"/>
              <w:right w:val="nil"/>
            </w:tcBorders>
            <w:shd w:val="clear" w:color="auto" w:fill="auto"/>
            <w:noWrap/>
            <w:vAlign w:val="center"/>
            <w:hideMark/>
          </w:tcPr>
          <w:p w14:paraId="7677F128"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rs10254101</w:t>
            </w:r>
          </w:p>
        </w:tc>
        <w:tc>
          <w:tcPr>
            <w:tcW w:w="850" w:type="dxa"/>
            <w:tcBorders>
              <w:top w:val="nil"/>
              <w:left w:val="nil"/>
              <w:bottom w:val="nil"/>
              <w:right w:val="nil"/>
            </w:tcBorders>
            <w:shd w:val="clear" w:color="auto" w:fill="auto"/>
            <w:noWrap/>
            <w:vAlign w:val="center"/>
            <w:hideMark/>
          </w:tcPr>
          <w:p w14:paraId="726B88F5"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559" w:type="dxa"/>
            <w:tcBorders>
              <w:top w:val="nil"/>
              <w:left w:val="nil"/>
              <w:bottom w:val="nil"/>
              <w:right w:val="nil"/>
            </w:tcBorders>
            <w:shd w:val="clear" w:color="auto" w:fill="auto"/>
            <w:noWrap/>
            <w:vAlign w:val="center"/>
            <w:hideMark/>
          </w:tcPr>
          <w:p w14:paraId="227221E8"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1134" w:type="dxa"/>
            <w:tcBorders>
              <w:top w:val="nil"/>
              <w:left w:val="nil"/>
              <w:bottom w:val="nil"/>
              <w:right w:val="nil"/>
            </w:tcBorders>
            <w:shd w:val="clear" w:color="auto" w:fill="auto"/>
            <w:noWrap/>
            <w:vAlign w:val="center"/>
            <w:hideMark/>
          </w:tcPr>
          <w:p w14:paraId="0F8B8159"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rs56012466</w:t>
            </w:r>
          </w:p>
        </w:tc>
        <w:tc>
          <w:tcPr>
            <w:tcW w:w="1134" w:type="dxa"/>
            <w:tcBorders>
              <w:top w:val="nil"/>
              <w:left w:val="nil"/>
              <w:bottom w:val="nil"/>
              <w:right w:val="nil"/>
            </w:tcBorders>
            <w:shd w:val="clear" w:color="auto" w:fill="auto"/>
            <w:noWrap/>
            <w:vAlign w:val="center"/>
            <w:hideMark/>
          </w:tcPr>
          <w:p w14:paraId="75EDF26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0.84</w:t>
            </w:r>
          </w:p>
        </w:tc>
        <w:tc>
          <w:tcPr>
            <w:tcW w:w="160" w:type="dxa"/>
            <w:tcBorders>
              <w:top w:val="nil"/>
              <w:left w:val="nil"/>
              <w:bottom w:val="nil"/>
              <w:right w:val="nil"/>
            </w:tcBorders>
            <w:shd w:val="clear" w:color="auto" w:fill="auto"/>
            <w:noWrap/>
            <w:vAlign w:val="center"/>
            <w:hideMark/>
          </w:tcPr>
          <w:p w14:paraId="4479F0D3"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0" w:type="dxa"/>
            <w:tcBorders>
              <w:top w:val="nil"/>
              <w:left w:val="nil"/>
              <w:bottom w:val="nil"/>
              <w:right w:val="nil"/>
            </w:tcBorders>
            <w:shd w:val="clear" w:color="auto" w:fill="auto"/>
            <w:noWrap/>
            <w:vAlign w:val="center"/>
            <w:hideMark/>
          </w:tcPr>
          <w:p w14:paraId="1518B588"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1.00</w:t>
            </w:r>
          </w:p>
        </w:tc>
        <w:tc>
          <w:tcPr>
            <w:tcW w:w="709" w:type="dxa"/>
            <w:tcBorders>
              <w:top w:val="nil"/>
              <w:left w:val="nil"/>
              <w:bottom w:val="nil"/>
              <w:right w:val="nil"/>
            </w:tcBorders>
            <w:shd w:val="clear" w:color="auto" w:fill="auto"/>
            <w:noWrap/>
            <w:vAlign w:val="center"/>
            <w:hideMark/>
          </w:tcPr>
          <w:p w14:paraId="6FF8E4F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0.98</w:t>
            </w:r>
          </w:p>
        </w:tc>
        <w:tc>
          <w:tcPr>
            <w:tcW w:w="200" w:type="dxa"/>
            <w:tcBorders>
              <w:top w:val="nil"/>
              <w:left w:val="nil"/>
              <w:bottom w:val="nil"/>
              <w:right w:val="nil"/>
            </w:tcBorders>
            <w:shd w:val="clear" w:color="auto" w:fill="auto"/>
            <w:noWrap/>
            <w:vAlign w:val="center"/>
            <w:hideMark/>
          </w:tcPr>
          <w:p w14:paraId="3A73D6C8"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0" w:type="dxa"/>
            <w:tcBorders>
              <w:top w:val="nil"/>
              <w:left w:val="nil"/>
              <w:bottom w:val="nil"/>
              <w:right w:val="nil"/>
            </w:tcBorders>
            <w:shd w:val="clear" w:color="auto" w:fill="auto"/>
            <w:noWrap/>
            <w:vAlign w:val="center"/>
            <w:hideMark/>
          </w:tcPr>
          <w:p w14:paraId="0903796C"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1.00</w:t>
            </w:r>
          </w:p>
        </w:tc>
        <w:tc>
          <w:tcPr>
            <w:tcW w:w="709" w:type="dxa"/>
            <w:tcBorders>
              <w:top w:val="nil"/>
              <w:left w:val="nil"/>
              <w:bottom w:val="nil"/>
              <w:right w:val="nil"/>
            </w:tcBorders>
            <w:shd w:val="clear" w:color="auto" w:fill="auto"/>
            <w:noWrap/>
            <w:vAlign w:val="center"/>
            <w:hideMark/>
          </w:tcPr>
          <w:p w14:paraId="6555D1A4"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0.98</w:t>
            </w:r>
          </w:p>
        </w:tc>
        <w:tc>
          <w:tcPr>
            <w:tcW w:w="200" w:type="dxa"/>
            <w:tcBorders>
              <w:top w:val="nil"/>
              <w:left w:val="nil"/>
              <w:bottom w:val="nil"/>
              <w:right w:val="nil"/>
            </w:tcBorders>
            <w:shd w:val="clear" w:color="auto" w:fill="auto"/>
            <w:noWrap/>
            <w:vAlign w:val="center"/>
            <w:hideMark/>
          </w:tcPr>
          <w:p w14:paraId="28585D44"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1" w:type="dxa"/>
            <w:tcBorders>
              <w:top w:val="nil"/>
              <w:left w:val="nil"/>
              <w:bottom w:val="nil"/>
              <w:right w:val="nil"/>
            </w:tcBorders>
            <w:shd w:val="clear" w:color="auto" w:fill="auto"/>
            <w:noWrap/>
            <w:vAlign w:val="center"/>
            <w:hideMark/>
          </w:tcPr>
          <w:p w14:paraId="60FEC7A0"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1.01</w:t>
            </w:r>
          </w:p>
        </w:tc>
        <w:tc>
          <w:tcPr>
            <w:tcW w:w="708" w:type="dxa"/>
            <w:tcBorders>
              <w:top w:val="nil"/>
              <w:left w:val="nil"/>
              <w:bottom w:val="nil"/>
              <w:right w:val="nil"/>
            </w:tcBorders>
            <w:shd w:val="clear" w:color="auto" w:fill="auto"/>
            <w:noWrap/>
            <w:vAlign w:val="center"/>
            <w:hideMark/>
          </w:tcPr>
          <w:p w14:paraId="293D41BC"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0.66</w:t>
            </w:r>
          </w:p>
        </w:tc>
        <w:tc>
          <w:tcPr>
            <w:tcW w:w="160" w:type="dxa"/>
            <w:tcBorders>
              <w:top w:val="nil"/>
              <w:left w:val="nil"/>
              <w:bottom w:val="nil"/>
              <w:right w:val="nil"/>
            </w:tcBorders>
            <w:shd w:val="clear" w:color="auto" w:fill="auto"/>
            <w:noWrap/>
            <w:vAlign w:val="center"/>
            <w:hideMark/>
          </w:tcPr>
          <w:p w14:paraId="2E0F7F66"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1" w:type="dxa"/>
            <w:tcBorders>
              <w:top w:val="nil"/>
              <w:left w:val="nil"/>
              <w:bottom w:val="nil"/>
              <w:right w:val="nil"/>
            </w:tcBorders>
            <w:shd w:val="clear" w:color="auto" w:fill="auto"/>
            <w:noWrap/>
            <w:vAlign w:val="center"/>
            <w:hideMark/>
          </w:tcPr>
          <w:p w14:paraId="23972514"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1.01</w:t>
            </w:r>
          </w:p>
        </w:tc>
        <w:tc>
          <w:tcPr>
            <w:tcW w:w="979" w:type="dxa"/>
            <w:tcBorders>
              <w:top w:val="nil"/>
              <w:left w:val="nil"/>
              <w:bottom w:val="nil"/>
              <w:right w:val="nil"/>
            </w:tcBorders>
            <w:shd w:val="clear" w:color="auto" w:fill="auto"/>
            <w:noWrap/>
            <w:vAlign w:val="center"/>
            <w:hideMark/>
          </w:tcPr>
          <w:p w14:paraId="78762C8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0.59</w:t>
            </w:r>
          </w:p>
        </w:tc>
        <w:tc>
          <w:tcPr>
            <w:tcW w:w="200" w:type="dxa"/>
            <w:tcBorders>
              <w:top w:val="nil"/>
              <w:left w:val="nil"/>
              <w:bottom w:val="nil"/>
              <w:right w:val="nil"/>
            </w:tcBorders>
            <w:shd w:val="clear" w:color="auto" w:fill="auto"/>
            <w:noWrap/>
            <w:vAlign w:val="center"/>
            <w:hideMark/>
          </w:tcPr>
          <w:p w14:paraId="68965290"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1220" w:type="dxa"/>
            <w:tcBorders>
              <w:top w:val="nil"/>
              <w:left w:val="nil"/>
              <w:bottom w:val="nil"/>
              <w:right w:val="nil"/>
            </w:tcBorders>
            <w:shd w:val="clear" w:color="auto" w:fill="auto"/>
            <w:noWrap/>
            <w:vAlign w:val="center"/>
            <w:hideMark/>
          </w:tcPr>
          <w:p w14:paraId="69EA4855"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r>
      <w:tr w:rsidR="008D6DF4" w14:paraId="662390E1" w14:textId="77777777" w:rsidTr="00EE2033">
        <w:trPr>
          <w:trHeight w:val="285"/>
        </w:trPr>
        <w:tc>
          <w:tcPr>
            <w:tcW w:w="1418" w:type="dxa"/>
            <w:tcBorders>
              <w:top w:val="nil"/>
              <w:left w:val="nil"/>
              <w:bottom w:val="nil"/>
              <w:right w:val="nil"/>
            </w:tcBorders>
            <w:shd w:val="clear" w:color="auto" w:fill="D9D9D9" w:themeFill="background1" w:themeFillShade="D9"/>
            <w:noWrap/>
            <w:vAlign w:val="center"/>
            <w:hideMark/>
          </w:tcPr>
          <w:p w14:paraId="1DB1C6E1"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rs80282103</w:t>
            </w:r>
          </w:p>
        </w:tc>
        <w:tc>
          <w:tcPr>
            <w:tcW w:w="850" w:type="dxa"/>
            <w:tcBorders>
              <w:top w:val="nil"/>
              <w:left w:val="nil"/>
              <w:bottom w:val="nil"/>
              <w:right w:val="nil"/>
            </w:tcBorders>
            <w:shd w:val="clear" w:color="auto" w:fill="D9D9D9" w:themeFill="background1" w:themeFillShade="D9"/>
            <w:noWrap/>
            <w:vAlign w:val="center"/>
            <w:hideMark/>
          </w:tcPr>
          <w:p w14:paraId="48277829"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CKDi25</w:t>
            </w:r>
          </w:p>
        </w:tc>
        <w:tc>
          <w:tcPr>
            <w:tcW w:w="1559" w:type="dxa"/>
            <w:tcBorders>
              <w:top w:val="nil"/>
              <w:left w:val="nil"/>
              <w:bottom w:val="nil"/>
              <w:right w:val="nil"/>
            </w:tcBorders>
            <w:shd w:val="clear" w:color="auto" w:fill="D9D9D9" w:themeFill="background1" w:themeFillShade="D9"/>
            <w:noWrap/>
            <w:vAlign w:val="center"/>
            <w:hideMark/>
          </w:tcPr>
          <w:p w14:paraId="2D398F3E"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[LARP4B]</w:t>
            </w:r>
          </w:p>
        </w:tc>
        <w:tc>
          <w:tcPr>
            <w:tcW w:w="1134" w:type="dxa"/>
            <w:tcBorders>
              <w:top w:val="nil"/>
              <w:left w:val="nil"/>
              <w:bottom w:val="nil"/>
              <w:right w:val="nil"/>
            </w:tcBorders>
            <w:shd w:val="clear" w:color="auto" w:fill="D9D9D9" w:themeFill="background1" w:themeFillShade="D9"/>
            <w:noWrap/>
            <w:vAlign w:val="center"/>
            <w:hideMark/>
          </w:tcPr>
          <w:p w14:paraId="143908E8"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same </w:t>
            </w:r>
          </w:p>
        </w:tc>
        <w:tc>
          <w:tcPr>
            <w:tcW w:w="1134" w:type="dxa"/>
            <w:tcBorders>
              <w:top w:val="nil"/>
              <w:left w:val="nil"/>
              <w:bottom w:val="nil"/>
              <w:right w:val="nil"/>
            </w:tcBorders>
            <w:shd w:val="clear" w:color="auto" w:fill="D9D9D9" w:themeFill="background1" w:themeFillShade="D9"/>
            <w:noWrap/>
            <w:vAlign w:val="center"/>
            <w:hideMark/>
          </w:tcPr>
          <w:p w14:paraId="6B17556A"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160" w:type="dxa"/>
            <w:tcBorders>
              <w:top w:val="nil"/>
              <w:left w:val="nil"/>
              <w:bottom w:val="nil"/>
              <w:right w:val="nil"/>
            </w:tcBorders>
            <w:shd w:val="clear" w:color="auto" w:fill="D9D9D9" w:themeFill="background1" w:themeFillShade="D9"/>
            <w:noWrap/>
            <w:vAlign w:val="center"/>
            <w:hideMark/>
          </w:tcPr>
          <w:p w14:paraId="7934B8FE"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0" w:type="dxa"/>
            <w:tcBorders>
              <w:top w:val="nil"/>
              <w:left w:val="nil"/>
              <w:bottom w:val="nil"/>
              <w:right w:val="nil"/>
            </w:tcBorders>
            <w:shd w:val="clear" w:color="auto" w:fill="D9D9D9" w:themeFill="background1" w:themeFillShade="D9"/>
            <w:noWrap/>
            <w:vAlign w:val="center"/>
            <w:hideMark/>
          </w:tcPr>
          <w:p w14:paraId="76A9E148"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709" w:type="dxa"/>
            <w:tcBorders>
              <w:top w:val="nil"/>
              <w:left w:val="nil"/>
              <w:bottom w:val="nil"/>
              <w:right w:val="nil"/>
            </w:tcBorders>
            <w:shd w:val="clear" w:color="auto" w:fill="D9D9D9" w:themeFill="background1" w:themeFillShade="D9"/>
            <w:noWrap/>
            <w:vAlign w:val="center"/>
            <w:hideMark/>
          </w:tcPr>
          <w:p w14:paraId="6E346E7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200" w:type="dxa"/>
            <w:tcBorders>
              <w:top w:val="nil"/>
              <w:left w:val="nil"/>
              <w:bottom w:val="nil"/>
              <w:right w:val="nil"/>
            </w:tcBorders>
            <w:shd w:val="clear" w:color="auto" w:fill="D9D9D9" w:themeFill="background1" w:themeFillShade="D9"/>
            <w:noWrap/>
            <w:vAlign w:val="center"/>
            <w:hideMark/>
          </w:tcPr>
          <w:p w14:paraId="6C7F511A"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0" w:type="dxa"/>
            <w:tcBorders>
              <w:top w:val="nil"/>
              <w:left w:val="nil"/>
              <w:bottom w:val="nil"/>
              <w:right w:val="nil"/>
            </w:tcBorders>
            <w:shd w:val="clear" w:color="auto" w:fill="D9D9D9" w:themeFill="background1" w:themeFillShade="D9"/>
            <w:noWrap/>
            <w:vAlign w:val="center"/>
            <w:hideMark/>
          </w:tcPr>
          <w:p w14:paraId="6B574C5A"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709" w:type="dxa"/>
            <w:tcBorders>
              <w:top w:val="nil"/>
              <w:left w:val="nil"/>
              <w:bottom w:val="nil"/>
              <w:right w:val="nil"/>
            </w:tcBorders>
            <w:shd w:val="clear" w:color="auto" w:fill="D9D9D9" w:themeFill="background1" w:themeFillShade="D9"/>
            <w:noWrap/>
            <w:vAlign w:val="center"/>
            <w:hideMark/>
          </w:tcPr>
          <w:p w14:paraId="0F1906E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200" w:type="dxa"/>
            <w:tcBorders>
              <w:top w:val="nil"/>
              <w:left w:val="nil"/>
              <w:bottom w:val="nil"/>
              <w:right w:val="nil"/>
            </w:tcBorders>
            <w:shd w:val="clear" w:color="auto" w:fill="D9D9D9" w:themeFill="background1" w:themeFillShade="D9"/>
            <w:noWrap/>
            <w:vAlign w:val="center"/>
            <w:hideMark/>
          </w:tcPr>
          <w:p w14:paraId="4E2B2057"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1" w:type="dxa"/>
            <w:tcBorders>
              <w:top w:val="nil"/>
              <w:left w:val="nil"/>
              <w:bottom w:val="nil"/>
              <w:right w:val="nil"/>
            </w:tcBorders>
            <w:shd w:val="clear" w:color="auto" w:fill="D9D9D9" w:themeFill="background1" w:themeFillShade="D9"/>
            <w:noWrap/>
            <w:vAlign w:val="center"/>
            <w:hideMark/>
          </w:tcPr>
          <w:p w14:paraId="67848192"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708" w:type="dxa"/>
            <w:tcBorders>
              <w:top w:val="nil"/>
              <w:left w:val="nil"/>
              <w:bottom w:val="nil"/>
              <w:right w:val="nil"/>
            </w:tcBorders>
            <w:shd w:val="clear" w:color="auto" w:fill="D9D9D9" w:themeFill="background1" w:themeFillShade="D9"/>
            <w:noWrap/>
            <w:vAlign w:val="center"/>
            <w:hideMark/>
          </w:tcPr>
          <w:p w14:paraId="616BA15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160" w:type="dxa"/>
            <w:tcBorders>
              <w:top w:val="nil"/>
              <w:left w:val="nil"/>
              <w:bottom w:val="nil"/>
              <w:right w:val="nil"/>
            </w:tcBorders>
            <w:shd w:val="clear" w:color="auto" w:fill="D9D9D9" w:themeFill="background1" w:themeFillShade="D9"/>
            <w:noWrap/>
            <w:vAlign w:val="center"/>
            <w:hideMark/>
          </w:tcPr>
          <w:p w14:paraId="7918941D"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1" w:type="dxa"/>
            <w:tcBorders>
              <w:top w:val="nil"/>
              <w:left w:val="nil"/>
              <w:bottom w:val="nil"/>
              <w:right w:val="nil"/>
            </w:tcBorders>
            <w:shd w:val="clear" w:color="auto" w:fill="D9D9D9" w:themeFill="background1" w:themeFillShade="D9"/>
            <w:noWrap/>
            <w:vAlign w:val="center"/>
            <w:hideMark/>
          </w:tcPr>
          <w:p w14:paraId="3EF707C2"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979" w:type="dxa"/>
            <w:tcBorders>
              <w:top w:val="nil"/>
              <w:left w:val="nil"/>
              <w:bottom w:val="nil"/>
              <w:right w:val="nil"/>
            </w:tcBorders>
            <w:shd w:val="clear" w:color="auto" w:fill="D9D9D9" w:themeFill="background1" w:themeFillShade="D9"/>
            <w:noWrap/>
            <w:vAlign w:val="center"/>
            <w:hideMark/>
          </w:tcPr>
          <w:p w14:paraId="25F1749F"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w:t>
            </w:r>
          </w:p>
        </w:tc>
        <w:tc>
          <w:tcPr>
            <w:tcW w:w="200" w:type="dxa"/>
            <w:tcBorders>
              <w:top w:val="nil"/>
              <w:left w:val="nil"/>
              <w:bottom w:val="nil"/>
              <w:right w:val="nil"/>
            </w:tcBorders>
            <w:shd w:val="clear" w:color="auto" w:fill="D9D9D9" w:themeFill="background1" w:themeFillShade="D9"/>
            <w:noWrap/>
            <w:vAlign w:val="center"/>
            <w:hideMark/>
          </w:tcPr>
          <w:p w14:paraId="3B13B4C1"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1220" w:type="dxa"/>
            <w:tcBorders>
              <w:top w:val="nil"/>
              <w:left w:val="nil"/>
              <w:bottom w:val="nil"/>
              <w:right w:val="nil"/>
            </w:tcBorders>
            <w:shd w:val="clear" w:color="auto" w:fill="D9D9D9" w:themeFill="background1" w:themeFillShade="D9"/>
            <w:noWrap/>
            <w:vAlign w:val="center"/>
            <w:hideMark/>
          </w:tcPr>
          <w:p w14:paraId="7E0A2467"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5</w:t>
            </w:r>
          </w:p>
        </w:tc>
      </w:tr>
      <w:tr w:rsidR="008D6DF4" w14:paraId="1B4F22BF" w14:textId="77777777">
        <w:trPr>
          <w:trHeight w:val="285"/>
        </w:trPr>
        <w:tc>
          <w:tcPr>
            <w:tcW w:w="1418" w:type="dxa"/>
            <w:tcBorders>
              <w:top w:val="nil"/>
              <w:left w:val="nil"/>
              <w:bottom w:val="single" w:sz="4" w:space="0" w:color="auto"/>
              <w:right w:val="nil"/>
            </w:tcBorders>
            <w:shd w:val="clear" w:color="auto" w:fill="auto"/>
            <w:noWrap/>
            <w:vAlign w:val="center"/>
            <w:hideMark/>
          </w:tcPr>
          <w:p w14:paraId="7D7A058A"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rs1145077</w:t>
            </w:r>
          </w:p>
        </w:tc>
        <w:tc>
          <w:tcPr>
            <w:tcW w:w="850" w:type="dxa"/>
            <w:tcBorders>
              <w:top w:val="nil"/>
              <w:left w:val="nil"/>
              <w:bottom w:val="single" w:sz="4" w:space="0" w:color="auto"/>
              <w:right w:val="nil"/>
            </w:tcBorders>
            <w:shd w:val="clear" w:color="auto" w:fill="auto"/>
            <w:noWrap/>
            <w:vAlign w:val="center"/>
            <w:hideMark/>
          </w:tcPr>
          <w:p w14:paraId="4D337E5C"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Rapid3</w:t>
            </w:r>
          </w:p>
        </w:tc>
        <w:tc>
          <w:tcPr>
            <w:tcW w:w="1559" w:type="dxa"/>
            <w:tcBorders>
              <w:top w:val="nil"/>
              <w:left w:val="nil"/>
              <w:bottom w:val="single" w:sz="4" w:space="0" w:color="auto"/>
              <w:right w:val="nil"/>
            </w:tcBorders>
            <w:shd w:val="clear" w:color="auto" w:fill="auto"/>
            <w:noWrap/>
            <w:vAlign w:val="center"/>
            <w:hideMark/>
          </w:tcPr>
          <w:p w14:paraId="4B8379BF"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[GATM]</w:t>
            </w:r>
          </w:p>
        </w:tc>
        <w:tc>
          <w:tcPr>
            <w:tcW w:w="1134" w:type="dxa"/>
            <w:tcBorders>
              <w:top w:val="nil"/>
              <w:left w:val="nil"/>
              <w:bottom w:val="single" w:sz="4" w:space="0" w:color="auto"/>
              <w:right w:val="nil"/>
            </w:tcBorders>
            <w:shd w:val="clear" w:color="auto" w:fill="auto"/>
            <w:noWrap/>
            <w:vAlign w:val="center"/>
            <w:hideMark/>
          </w:tcPr>
          <w:p w14:paraId="0DE26490"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rs1145089</w:t>
            </w:r>
          </w:p>
        </w:tc>
        <w:tc>
          <w:tcPr>
            <w:tcW w:w="1134" w:type="dxa"/>
            <w:tcBorders>
              <w:top w:val="nil"/>
              <w:left w:val="nil"/>
              <w:bottom w:val="single" w:sz="4" w:space="0" w:color="auto"/>
              <w:right w:val="nil"/>
            </w:tcBorders>
            <w:shd w:val="clear" w:color="auto" w:fill="auto"/>
            <w:noWrap/>
            <w:vAlign w:val="center"/>
            <w:hideMark/>
          </w:tcPr>
          <w:p w14:paraId="4138A96D"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1.00</w:t>
            </w:r>
          </w:p>
        </w:tc>
        <w:tc>
          <w:tcPr>
            <w:tcW w:w="160" w:type="dxa"/>
            <w:tcBorders>
              <w:top w:val="nil"/>
              <w:left w:val="nil"/>
              <w:bottom w:val="single" w:sz="4" w:space="0" w:color="auto"/>
              <w:right w:val="nil"/>
            </w:tcBorders>
            <w:shd w:val="clear" w:color="auto" w:fill="auto"/>
            <w:noWrap/>
            <w:vAlign w:val="bottom"/>
            <w:hideMark/>
          </w:tcPr>
          <w:p w14:paraId="35C88E85" w14:textId="77777777" w:rsidR="008D6DF4" w:rsidRDefault="007C1EBA" w:rsidP="00EE2033">
            <w:pPr>
              <w:spacing w:before="120" w:after="12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w:t>
            </w:r>
          </w:p>
        </w:tc>
        <w:tc>
          <w:tcPr>
            <w:tcW w:w="690" w:type="dxa"/>
            <w:tcBorders>
              <w:top w:val="nil"/>
              <w:left w:val="nil"/>
              <w:bottom w:val="single" w:sz="4" w:space="0" w:color="auto"/>
              <w:right w:val="nil"/>
            </w:tcBorders>
            <w:shd w:val="clear" w:color="auto" w:fill="auto"/>
            <w:vAlign w:val="center"/>
            <w:hideMark/>
          </w:tcPr>
          <w:p w14:paraId="6A104893"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709" w:type="dxa"/>
            <w:tcBorders>
              <w:top w:val="nil"/>
              <w:left w:val="nil"/>
              <w:bottom w:val="single" w:sz="4" w:space="0" w:color="auto"/>
              <w:right w:val="nil"/>
            </w:tcBorders>
            <w:shd w:val="clear" w:color="auto" w:fill="auto"/>
            <w:vAlign w:val="center"/>
            <w:hideMark/>
          </w:tcPr>
          <w:p w14:paraId="0DBD1B74"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200" w:type="dxa"/>
            <w:tcBorders>
              <w:top w:val="nil"/>
              <w:left w:val="nil"/>
              <w:bottom w:val="single" w:sz="4" w:space="0" w:color="auto"/>
              <w:right w:val="nil"/>
            </w:tcBorders>
            <w:shd w:val="clear" w:color="auto" w:fill="auto"/>
            <w:noWrap/>
            <w:vAlign w:val="center"/>
            <w:hideMark/>
          </w:tcPr>
          <w:p w14:paraId="2AD2E1C5"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0" w:type="dxa"/>
            <w:tcBorders>
              <w:top w:val="nil"/>
              <w:left w:val="nil"/>
              <w:bottom w:val="single" w:sz="4" w:space="0" w:color="auto"/>
              <w:right w:val="nil"/>
            </w:tcBorders>
            <w:shd w:val="clear" w:color="auto" w:fill="auto"/>
            <w:vAlign w:val="center"/>
            <w:hideMark/>
          </w:tcPr>
          <w:p w14:paraId="772C17F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709" w:type="dxa"/>
            <w:tcBorders>
              <w:top w:val="nil"/>
              <w:left w:val="nil"/>
              <w:bottom w:val="single" w:sz="4" w:space="0" w:color="auto"/>
              <w:right w:val="nil"/>
            </w:tcBorders>
            <w:shd w:val="clear" w:color="auto" w:fill="auto"/>
            <w:vAlign w:val="center"/>
            <w:hideMark/>
          </w:tcPr>
          <w:p w14:paraId="71A0FB15"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200" w:type="dxa"/>
            <w:tcBorders>
              <w:top w:val="nil"/>
              <w:left w:val="nil"/>
              <w:bottom w:val="single" w:sz="4" w:space="0" w:color="auto"/>
              <w:right w:val="nil"/>
            </w:tcBorders>
            <w:shd w:val="clear" w:color="auto" w:fill="auto"/>
            <w:noWrap/>
            <w:vAlign w:val="center"/>
            <w:hideMark/>
          </w:tcPr>
          <w:p w14:paraId="47CD3B0E"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51" w:type="dxa"/>
            <w:tcBorders>
              <w:top w:val="nil"/>
              <w:left w:val="nil"/>
              <w:bottom w:val="single" w:sz="4" w:space="0" w:color="auto"/>
              <w:right w:val="nil"/>
            </w:tcBorders>
            <w:shd w:val="clear" w:color="auto" w:fill="auto"/>
            <w:vAlign w:val="center"/>
            <w:hideMark/>
          </w:tcPr>
          <w:p w14:paraId="275F6D9E"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708" w:type="dxa"/>
            <w:tcBorders>
              <w:top w:val="nil"/>
              <w:left w:val="nil"/>
              <w:bottom w:val="single" w:sz="4" w:space="0" w:color="auto"/>
              <w:right w:val="nil"/>
            </w:tcBorders>
            <w:shd w:val="clear" w:color="auto" w:fill="auto"/>
            <w:vAlign w:val="center"/>
            <w:hideMark/>
          </w:tcPr>
          <w:p w14:paraId="12FCFE99"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160" w:type="dxa"/>
            <w:tcBorders>
              <w:top w:val="nil"/>
              <w:left w:val="nil"/>
              <w:bottom w:val="single" w:sz="4" w:space="0" w:color="auto"/>
              <w:right w:val="nil"/>
            </w:tcBorders>
            <w:shd w:val="clear" w:color="auto" w:fill="auto"/>
            <w:noWrap/>
            <w:vAlign w:val="center"/>
            <w:hideMark/>
          </w:tcPr>
          <w:p w14:paraId="0EBFEFE7"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691" w:type="dxa"/>
            <w:tcBorders>
              <w:top w:val="nil"/>
              <w:left w:val="nil"/>
              <w:bottom w:val="single" w:sz="4" w:space="0" w:color="auto"/>
              <w:right w:val="nil"/>
            </w:tcBorders>
            <w:shd w:val="clear" w:color="auto" w:fill="auto"/>
            <w:vAlign w:val="center"/>
            <w:hideMark/>
          </w:tcPr>
          <w:p w14:paraId="74632CDC"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979" w:type="dxa"/>
            <w:tcBorders>
              <w:top w:val="nil"/>
              <w:left w:val="nil"/>
              <w:bottom w:val="single" w:sz="4" w:space="0" w:color="auto"/>
              <w:right w:val="nil"/>
            </w:tcBorders>
            <w:shd w:val="clear" w:color="auto" w:fill="auto"/>
            <w:vAlign w:val="center"/>
            <w:hideMark/>
          </w:tcPr>
          <w:p w14:paraId="1BBCD9C1"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NA (d)</w:t>
            </w:r>
          </w:p>
        </w:tc>
        <w:tc>
          <w:tcPr>
            <w:tcW w:w="200" w:type="dxa"/>
            <w:tcBorders>
              <w:top w:val="nil"/>
              <w:left w:val="nil"/>
              <w:bottom w:val="single" w:sz="4" w:space="0" w:color="auto"/>
              <w:right w:val="nil"/>
            </w:tcBorders>
            <w:shd w:val="clear" w:color="auto" w:fill="auto"/>
            <w:noWrap/>
            <w:vAlign w:val="center"/>
            <w:hideMark/>
          </w:tcPr>
          <w:p w14:paraId="36FA6EE5" w14:textId="77777777" w:rsidR="008D6DF4" w:rsidRDefault="008D6DF4" w:rsidP="00EE2033">
            <w:pPr>
              <w:spacing w:before="120" w:after="120" w:line="240" w:lineRule="auto"/>
              <w:jc w:val="center"/>
              <w:rPr>
                <w:rFonts w:ascii="Arial" w:eastAsia="Times New Roman" w:hAnsi="Arial" w:cs="Arial"/>
                <w:color w:val="000000"/>
                <w:sz w:val="20"/>
                <w:szCs w:val="20"/>
                <w:lang w:val="en-US"/>
              </w:rPr>
            </w:pPr>
          </w:p>
        </w:tc>
        <w:tc>
          <w:tcPr>
            <w:tcW w:w="1220" w:type="dxa"/>
            <w:tcBorders>
              <w:top w:val="nil"/>
              <w:left w:val="nil"/>
              <w:bottom w:val="single" w:sz="4" w:space="0" w:color="auto"/>
              <w:right w:val="nil"/>
            </w:tcBorders>
            <w:shd w:val="clear" w:color="auto" w:fill="auto"/>
            <w:noWrap/>
            <w:vAlign w:val="center"/>
            <w:hideMark/>
          </w:tcPr>
          <w:p w14:paraId="407D205B" w14:textId="77777777" w:rsidR="008D6DF4" w:rsidRDefault="007C1EBA" w:rsidP="00EE2033">
            <w:pPr>
              <w:spacing w:before="120" w:after="12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6</w:t>
            </w:r>
          </w:p>
        </w:tc>
      </w:tr>
    </w:tbl>
    <w:p w14:paraId="45F4AB24" w14:textId="2263F228" w:rsidR="008D6DF4" w:rsidRDefault="007C1EBA">
      <w:pPr>
        <w:jc w:val="both"/>
        <w:rPr>
          <w:rFonts w:ascii="Arial" w:eastAsia="Times New Roman" w:hAnsi="Arial" w:cs="Arial"/>
          <w:color w:val="000000"/>
          <w:sz w:val="20"/>
          <w:szCs w:val="20"/>
          <w:lang w:val="en-US"/>
        </w:rPr>
        <w:sectPr w:rsidR="008D6DF4">
          <w:pgSz w:w="16838" w:h="11906" w:orient="landscape"/>
          <w:pgMar w:top="1417" w:right="1387" w:bottom="1417" w:left="1417" w:header="708" w:footer="708" w:gutter="0"/>
          <w:cols w:space="708"/>
          <w:docGrid w:linePitch="360"/>
        </w:sectPr>
      </w:pPr>
      <w:r>
        <w:rPr>
          <w:rFonts w:ascii="Arial" w:eastAsia="Times New Roman" w:hAnsi="Arial" w:cs="Arial"/>
          <w:b/>
          <w:bCs/>
          <w:color w:val="000000"/>
          <w:sz w:val="20"/>
          <w:szCs w:val="20"/>
          <w:lang w:val="en-US"/>
        </w:rPr>
        <w:t>Ident. analysis</w:t>
      </w:r>
      <w:r>
        <w:rPr>
          <w:rFonts w:ascii="Arial" w:eastAsia="Times New Roman" w:hAnsi="Arial" w:cs="Arial"/>
          <w:color w:val="000000"/>
          <w:sz w:val="20"/>
          <w:szCs w:val="20"/>
          <w:lang w:val="en-US"/>
        </w:rPr>
        <w:t xml:space="preserve">=Analysis where variant was significantly associated, </w:t>
      </w:r>
      <w:r>
        <w:rPr>
          <w:rFonts w:ascii="Arial" w:eastAsia="Times New Roman" w:hAnsi="Arial" w:cs="Arial"/>
          <w:b/>
          <w:color w:val="000000"/>
          <w:sz w:val="20"/>
          <w:szCs w:val="20"/>
          <w:lang w:val="en-US"/>
        </w:rPr>
        <w:t>GWAS identified lead variant</w:t>
      </w:r>
      <w:r>
        <w:rPr>
          <w:rFonts w:ascii="Arial" w:eastAsia="Times New Roman" w:hAnsi="Arial" w:cs="Arial"/>
          <w:color w:val="000000"/>
          <w:sz w:val="20"/>
          <w:szCs w:val="20"/>
          <w:lang w:val="en-US"/>
        </w:rPr>
        <w:t xml:space="preserve">=Lead variant from Rapid3 or CKDi25, respectively, </w:t>
      </w:r>
      <w:r>
        <w:rPr>
          <w:rFonts w:ascii="Arial" w:eastAsia="Times New Roman" w:hAnsi="Arial" w:cs="Arial"/>
          <w:b/>
          <w:bCs/>
          <w:color w:val="000000"/>
          <w:sz w:val="20"/>
          <w:szCs w:val="20"/>
          <w:lang w:val="en-US"/>
        </w:rPr>
        <w:t>R</w:t>
      </w:r>
      <w:r>
        <w:rPr>
          <w:rFonts w:ascii="Arial" w:eastAsia="Times New Roman" w:hAnsi="Arial" w:cs="Arial"/>
          <w:b/>
          <w:bCs/>
          <w:color w:val="000000"/>
          <w:sz w:val="20"/>
          <w:szCs w:val="20"/>
          <w:vertAlign w:val="superscript"/>
          <w:lang w:val="en-US"/>
        </w:rPr>
        <w:t>2</w:t>
      </w:r>
      <w:r>
        <w:rPr>
          <w:rFonts w:ascii="Arial" w:eastAsia="Times New Roman" w:hAnsi="Arial" w:cs="Arial"/>
          <w:b/>
          <w:bCs/>
          <w:color w:val="000000"/>
          <w:sz w:val="20"/>
          <w:szCs w:val="20"/>
          <w:lang w:val="en-US"/>
        </w:rPr>
        <w:t xml:space="preserve"> with GWAS identified lead variant</w:t>
      </w:r>
      <w:r>
        <w:rPr>
          <w:rFonts w:ascii="Arial" w:eastAsia="Times New Roman" w:hAnsi="Arial" w:cs="Arial"/>
          <w:color w:val="000000"/>
          <w:sz w:val="20"/>
          <w:szCs w:val="20"/>
          <w:lang w:val="en-US"/>
        </w:rPr>
        <w:t>=Correlation R</w:t>
      </w:r>
      <w:r>
        <w:rPr>
          <w:rFonts w:ascii="Arial" w:eastAsia="Times New Roman" w:hAnsi="Arial" w:cs="Arial"/>
          <w:color w:val="000000"/>
          <w:sz w:val="20"/>
          <w:szCs w:val="20"/>
          <w:vertAlign w:val="superscript"/>
          <w:lang w:val="en-US"/>
        </w:rPr>
        <w:t>2</w:t>
      </w:r>
      <w:r>
        <w:rPr>
          <w:rFonts w:ascii="Arial" w:eastAsia="Times New Roman" w:hAnsi="Arial" w:cs="Arial"/>
          <w:color w:val="000000"/>
          <w:sz w:val="20"/>
          <w:szCs w:val="20"/>
          <w:lang w:val="en-US"/>
        </w:rPr>
        <w:t xml:space="preserve"> with the lead variant from Rapid3 or CKDi25, respectively, </w:t>
      </w:r>
      <w:r>
        <w:rPr>
          <w:rFonts w:ascii="Arial" w:eastAsia="Times New Roman" w:hAnsi="Arial" w:cs="Arial"/>
          <w:b/>
          <w:bCs/>
          <w:color w:val="000000"/>
          <w:sz w:val="20"/>
          <w:szCs w:val="20"/>
          <w:lang w:val="en-US"/>
        </w:rPr>
        <w:t>Locus/signal no.</w:t>
      </w:r>
      <w:r>
        <w:rPr>
          <w:rFonts w:ascii="Arial" w:eastAsia="Times New Roman" w:hAnsi="Arial" w:cs="Arial"/>
          <w:color w:val="000000"/>
          <w:sz w:val="20"/>
          <w:szCs w:val="20"/>
          <w:lang w:val="en-US"/>
        </w:rPr>
        <w:t>=Locus number and signal number. (a) Pairwise R² from LD Link</w:t>
      </w:r>
      <w:r w:rsidR="003D1CE9" w:rsidRPr="003D1CE9">
        <w:rPr>
          <w:rFonts w:ascii="Arial" w:eastAsia="Times New Roman" w:hAnsi="Arial" w:cs="Arial"/>
          <w:color w:val="000000"/>
          <w:sz w:val="20"/>
          <w:szCs w:val="20"/>
          <w:vertAlign w:val="superscript"/>
          <w:lang w:val="en-US"/>
        </w:rPr>
        <w:t>S</w:t>
      </w:r>
      <w:r w:rsidR="003D1CE9">
        <w:rPr>
          <w:rFonts w:ascii="Arial" w:eastAsia="Times New Roman" w:hAnsi="Arial" w:cs="Arial"/>
          <w:color w:val="000000"/>
          <w:sz w:val="20"/>
          <w:szCs w:val="20"/>
          <w:lang w:val="en-US"/>
        </w:rPr>
        <w:fldChar w:fldCharType="begin" w:fldLock="1"/>
      </w:r>
      <w:r w:rsidR="00512974">
        <w:rPr>
          <w:rFonts w:ascii="Arial" w:eastAsia="Times New Roman" w:hAnsi="Arial" w:cs="Arial"/>
          <w:color w:val="000000"/>
          <w:sz w:val="20"/>
          <w:szCs w:val="20"/>
          <w:lang w:val="en-US"/>
        </w:rPr>
        <w:instrText>ADDIN CSL_CITATION {"citationItems":[{"id":"ITEM-1","itemData":{"DOI":"10.1093/bioinformatics/btv402","ISSN":"14602059","PMID":"26139635","abstract":"Summary: Assessing linkage disequilibrium (LD) across ancestral populations is a powerful approach for investigating population-specific genetic structure as well as functionally mapping regions of disease susceptibility. Here, we present LDlink, a web-based collection of bioinformatic modules that query single nucleotide polymorphisms (SNPs) in population groups of interest to generate haplotype tables and interactive plots. Modules are designed with an emphasis on ease of use, query flexibility, and interactive visualization of results. Phase 3 haplotype data from the 1000 Genomes Project are referenced for calculating pairwise metrics of LD, searching for proxies in high LD, and enumerating all observed haplotypes. LDlink is tailored for investigators interested in mapping common and uncommon disease susceptibility loci by focusing on output linking correlated alleles and highlighting putative functional variants. Availability and implementation: LDlink is a free and publically available web tool which can be accessed at http://analysistools.nci.nih.gov/LDlink/.","author":[{"dropping-particle":"","family":"Machiela","given":"Mitchell J.","non-dropping-particle":"","parse-names":false,"suffix":""},{"dropping-particle":"","family":"Chanock","given":"Stephen J.","non-dropping-particle":"","parse-names":false,"suffix":""}],"container-title":"Bioinformatics","id":"ITEM-1","issued":{"date-parts":[["2015"]]},"title":"LDlink: A web-based application for exploring population-specific haplotype structure and linking correlated alleles of possible functional variants","type":"article-journal"},"uris":["http://www.mendeley.com/documents/?uuid=6c6ebb16-f56c-4f3c-95ea-90a75b88dc6e"]}],"mendeley":{"formattedCitation":"&lt;sup&gt;1&lt;/sup&gt;","plainTextFormattedCitation":"1","previouslyFormattedCitation":"&lt;sup&gt;1&lt;/sup&gt;"},"properties":{"noteIndex":0},"schema":"https://github.com/citation-style-language/schema/raw/master/csl-citation.json"}</w:instrText>
      </w:r>
      <w:r w:rsidR="003D1CE9">
        <w:rPr>
          <w:rFonts w:ascii="Arial" w:eastAsia="Times New Roman" w:hAnsi="Arial" w:cs="Arial"/>
          <w:color w:val="000000"/>
          <w:sz w:val="20"/>
          <w:szCs w:val="20"/>
          <w:lang w:val="en-US"/>
        </w:rPr>
        <w:fldChar w:fldCharType="separate"/>
      </w:r>
      <w:r w:rsidR="003D1CE9" w:rsidRPr="003D1CE9">
        <w:rPr>
          <w:rFonts w:ascii="Arial" w:eastAsia="Times New Roman" w:hAnsi="Arial" w:cs="Arial"/>
          <w:noProof/>
          <w:color w:val="000000"/>
          <w:sz w:val="20"/>
          <w:szCs w:val="20"/>
          <w:vertAlign w:val="superscript"/>
          <w:lang w:val="en-US"/>
        </w:rPr>
        <w:t>1</w:t>
      </w:r>
      <w:r w:rsidR="003D1CE9">
        <w:rPr>
          <w:rFonts w:ascii="Arial" w:eastAsia="Times New Roman" w:hAnsi="Arial" w:cs="Arial"/>
          <w:color w:val="000000"/>
          <w:sz w:val="20"/>
          <w:szCs w:val="20"/>
          <w:lang w:val="en-US"/>
        </w:rPr>
        <w:fldChar w:fldCharType="end"/>
      </w:r>
      <w:r>
        <w:rPr>
          <w:rFonts w:ascii="Arial" w:eastAsia="Times New Roman" w:hAnsi="Arial" w:cs="Arial"/>
          <w:color w:val="000000"/>
          <w:sz w:val="20"/>
          <w:szCs w:val="20"/>
          <w:lang w:val="en-US"/>
        </w:rPr>
        <w:t xml:space="preserve"> in all European reference </w:t>
      </w:r>
      <w:r w:rsidR="002A0A49">
        <w:rPr>
          <w:rFonts w:ascii="Arial" w:eastAsia="Times New Roman" w:hAnsi="Arial" w:cs="Arial"/>
          <w:color w:val="000000"/>
          <w:sz w:val="20"/>
          <w:szCs w:val="20"/>
          <w:lang w:val="en-US"/>
        </w:rPr>
        <w:t>individuals</w:t>
      </w:r>
      <w:r>
        <w:rPr>
          <w:rFonts w:ascii="Arial" w:eastAsia="Times New Roman" w:hAnsi="Arial" w:cs="Arial"/>
          <w:color w:val="000000"/>
          <w:sz w:val="20"/>
          <w:szCs w:val="20"/>
          <w:lang w:val="en-US"/>
        </w:rPr>
        <w:t xml:space="preserve"> (n=503), (b) The GCTA-analyses use the 503 1000G Phase 3 version 5 European </w:t>
      </w:r>
      <w:r w:rsidR="002A0A49">
        <w:rPr>
          <w:rFonts w:ascii="Arial" w:eastAsia="Times New Roman" w:hAnsi="Arial" w:cs="Arial"/>
          <w:color w:val="000000"/>
          <w:sz w:val="20"/>
          <w:szCs w:val="20"/>
          <w:lang w:val="en-US"/>
        </w:rPr>
        <w:t>individuals</w:t>
      </w:r>
      <w:r>
        <w:rPr>
          <w:rFonts w:ascii="Arial" w:eastAsia="Times New Roman" w:hAnsi="Arial" w:cs="Arial"/>
          <w:color w:val="000000"/>
          <w:sz w:val="20"/>
          <w:szCs w:val="20"/>
          <w:lang w:val="en-US"/>
        </w:rPr>
        <w:t>, (c) Reported lead variant of the 2</w:t>
      </w:r>
      <w:r w:rsidRPr="00562788">
        <w:rPr>
          <w:rFonts w:ascii="Arial" w:eastAsia="Times New Roman" w:hAnsi="Arial" w:cs="Arial"/>
          <w:color w:val="000000"/>
          <w:sz w:val="20"/>
          <w:szCs w:val="20"/>
          <w:vertAlign w:val="superscript"/>
          <w:lang w:val="en-US"/>
        </w:rPr>
        <w:t>nd</w:t>
      </w:r>
      <w:r>
        <w:rPr>
          <w:rFonts w:ascii="Arial" w:eastAsia="Times New Roman" w:hAnsi="Arial" w:cs="Arial"/>
          <w:color w:val="000000"/>
          <w:sz w:val="20"/>
          <w:szCs w:val="20"/>
          <w:lang w:val="en-US"/>
        </w:rPr>
        <w:t xml:space="preserve"> signal in UMOD-PDILT</w:t>
      </w:r>
      <w:r>
        <w:rPr>
          <w:rFonts w:ascii="Arial" w:eastAsia="Times New Roman" w:hAnsi="Arial" w:cs="Arial"/>
          <w:color w:val="000000"/>
          <w:sz w:val="20"/>
          <w:szCs w:val="20"/>
          <w:vertAlign w:val="superscript"/>
          <w:lang w:val="en-US"/>
        </w:rPr>
        <w:t>18</w:t>
      </w:r>
      <w:r>
        <w:rPr>
          <w:rFonts w:ascii="Arial" w:eastAsia="Times New Roman" w:hAnsi="Arial" w:cs="Arial"/>
          <w:color w:val="000000"/>
          <w:sz w:val="20"/>
          <w:szCs w:val="20"/>
          <w:lang w:val="en-US"/>
        </w:rPr>
        <w:t>, (d) too highly correlated, missing in GCTA.</w:t>
      </w:r>
    </w:p>
    <w:p w14:paraId="56564EEE" w14:textId="33DAE32D" w:rsidR="008D6DF4" w:rsidRDefault="007C1EBA" w:rsidP="00BA1B84">
      <w:pPr>
        <w:spacing w:after="120" w:line="240" w:lineRule="auto"/>
        <w:jc w:val="both"/>
        <w:rPr>
          <w:rFonts w:ascii="Arial" w:hAnsi="Arial" w:cs="Arial"/>
          <w:b/>
          <w:lang w:val="en-US"/>
        </w:rPr>
      </w:pPr>
      <w:r>
        <w:rPr>
          <w:rFonts w:ascii="Arial" w:hAnsi="Arial" w:cs="Arial"/>
          <w:b/>
          <w:lang w:val="en-US"/>
        </w:rPr>
        <w:lastRenderedPageBreak/>
        <w:t>Supplementary Table 6</w:t>
      </w:r>
      <w:r w:rsidR="006F789D">
        <w:rPr>
          <w:rFonts w:ascii="Arial" w:hAnsi="Arial" w:cs="Arial"/>
          <w:b/>
          <w:lang w:val="en-US"/>
        </w:rPr>
        <w:t>A</w:t>
      </w:r>
      <w:r>
        <w:rPr>
          <w:rFonts w:ascii="Arial" w:hAnsi="Arial" w:cs="Arial"/>
          <w:b/>
          <w:lang w:val="en-US"/>
        </w:rPr>
        <w:t xml:space="preserve"> | Credible set variants and their predicted genetic function.</w:t>
      </w:r>
      <w:r>
        <w:rPr>
          <w:rFonts w:ascii="Arial" w:hAnsi="Arial" w:cs="Arial"/>
          <w:lang w:val="en-US"/>
        </w:rPr>
        <w:t xml:space="preserve"> Shown are all 99% credible set variants, the respective Posterior Probability of driving the association signal, in which gene the variant resides, the predicted function per variant derived with VEP</w:t>
      </w:r>
      <w:r w:rsidR="003D1CE9" w:rsidRPr="003D1CE9">
        <w:rPr>
          <w:rFonts w:ascii="Arial" w:hAnsi="Arial" w:cs="Arial"/>
          <w:vertAlign w:val="superscript"/>
          <w:lang w:val="en-US"/>
        </w:rPr>
        <w:t>49</w:t>
      </w:r>
      <w:r>
        <w:rPr>
          <w:rFonts w:ascii="Arial" w:hAnsi="Arial" w:cs="Arial"/>
          <w:lang w:val="en-US"/>
        </w:rPr>
        <w:t xml:space="preserve"> per variant. The credible sets were derived from the respective identifying traits from the genome-wide approach, i.e. (i) for the CDKi25-association for the loci [WDR72] and [PRKAG2] and (ii) for the Rapid3-association for the locus [OR2S2] (iii) for both Rapid3 and CKDi25 for [UMOD-PDILT]. Marked in blue are functional variants within a gene as in </w:t>
      </w:r>
      <w:r>
        <w:rPr>
          <w:rFonts w:ascii="Arial" w:hAnsi="Arial" w:cs="Arial"/>
          <w:b/>
          <w:lang w:val="en-US"/>
        </w:rPr>
        <w:t>Supplementary Table 8</w:t>
      </w:r>
      <w:r>
        <w:rPr>
          <w:rFonts w:ascii="Arial" w:hAnsi="Arial" w:cs="Arial"/>
          <w:lang w:val="en-US"/>
        </w:rPr>
        <w:t>.</w:t>
      </w:r>
    </w:p>
    <w:tbl>
      <w:tblPr>
        <w:tblW w:w="14619" w:type="dxa"/>
        <w:tblCellMar>
          <w:left w:w="0" w:type="dxa"/>
          <w:right w:w="0" w:type="dxa"/>
        </w:tblCellMar>
        <w:tblLook w:val="04A0" w:firstRow="1" w:lastRow="0" w:firstColumn="1" w:lastColumn="0" w:noHBand="0" w:noVBand="1"/>
      </w:tblPr>
      <w:tblGrid>
        <w:gridCol w:w="789"/>
        <w:gridCol w:w="1514"/>
        <w:gridCol w:w="1339"/>
        <w:gridCol w:w="599"/>
        <w:gridCol w:w="1134"/>
        <w:gridCol w:w="832"/>
        <w:gridCol w:w="846"/>
        <w:gridCol w:w="1706"/>
        <w:gridCol w:w="978"/>
        <w:gridCol w:w="933"/>
        <w:gridCol w:w="4029"/>
      </w:tblGrid>
      <w:tr w:rsidR="00283584" w:rsidRPr="00BA1B84" w14:paraId="2D94249D" w14:textId="77777777" w:rsidTr="00283584">
        <w:tc>
          <w:tcPr>
            <w:tcW w:w="789" w:type="dxa"/>
            <w:tcBorders>
              <w:top w:val="single" w:sz="4" w:space="0" w:color="auto"/>
              <w:left w:val="nil"/>
              <w:bottom w:val="single" w:sz="4" w:space="0" w:color="auto"/>
              <w:right w:val="nil"/>
            </w:tcBorders>
            <w:shd w:val="clear" w:color="auto" w:fill="BDD6EE" w:themeFill="accent1" w:themeFillTint="66"/>
            <w:vAlign w:val="bottom"/>
            <w:hideMark/>
          </w:tcPr>
          <w:p w14:paraId="481EEBE8"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Locus/</w:t>
            </w:r>
            <w:r w:rsidRPr="00BA1B84">
              <w:rPr>
                <w:rFonts w:ascii="Arial" w:eastAsia="Times New Roman" w:hAnsi="Arial" w:cs="Arial"/>
                <w:b/>
                <w:bCs/>
                <w:color w:val="000000"/>
                <w:sz w:val="18"/>
                <w:szCs w:val="18"/>
                <w:lang w:val="en-US"/>
              </w:rPr>
              <w:br/>
              <w:t>signal</w:t>
            </w:r>
            <w:r w:rsidRPr="00BA1B84">
              <w:rPr>
                <w:rFonts w:ascii="Arial" w:eastAsia="Times New Roman" w:hAnsi="Arial" w:cs="Arial"/>
                <w:b/>
                <w:bCs/>
                <w:color w:val="000000"/>
                <w:sz w:val="18"/>
                <w:szCs w:val="18"/>
                <w:lang w:val="en-US"/>
              </w:rPr>
              <w:br/>
              <w:t>No.</w:t>
            </w:r>
          </w:p>
        </w:tc>
        <w:tc>
          <w:tcPr>
            <w:tcW w:w="1498" w:type="dxa"/>
            <w:tcBorders>
              <w:top w:val="single" w:sz="4" w:space="0" w:color="auto"/>
              <w:left w:val="nil"/>
              <w:bottom w:val="single" w:sz="4" w:space="0" w:color="auto"/>
              <w:right w:val="nil"/>
            </w:tcBorders>
            <w:shd w:val="clear" w:color="auto" w:fill="BDD6EE" w:themeFill="accent1" w:themeFillTint="66"/>
            <w:noWrap/>
            <w:vAlign w:val="bottom"/>
            <w:hideMark/>
          </w:tcPr>
          <w:p w14:paraId="654D0F40"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Locus name</w:t>
            </w:r>
          </w:p>
        </w:tc>
        <w:tc>
          <w:tcPr>
            <w:tcW w:w="1323" w:type="dxa"/>
            <w:tcBorders>
              <w:top w:val="single" w:sz="4" w:space="0" w:color="auto"/>
              <w:left w:val="nil"/>
              <w:bottom w:val="single" w:sz="4" w:space="0" w:color="auto"/>
              <w:right w:val="nil"/>
            </w:tcBorders>
            <w:shd w:val="clear" w:color="auto" w:fill="BDD6EE" w:themeFill="accent1" w:themeFillTint="66"/>
            <w:noWrap/>
            <w:vAlign w:val="bottom"/>
            <w:hideMark/>
          </w:tcPr>
          <w:p w14:paraId="584F00A3"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RSID</w:t>
            </w:r>
          </w:p>
        </w:tc>
        <w:tc>
          <w:tcPr>
            <w:tcW w:w="583" w:type="dxa"/>
            <w:tcBorders>
              <w:top w:val="single" w:sz="4" w:space="0" w:color="auto"/>
              <w:left w:val="nil"/>
              <w:bottom w:val="single" w:sz="4" w:space="0" w:color="auto"/>
              <w:right w:val="nil"/>
            </w:tcBorders>
            <w:shd w:val="clear" w:color="auto" w:fill="BDD6EE" w:themeFill="accent1" w:themeFillTint="66"/>
            <w:noWrap/>
            <w:vAlign w:val="bottom"/>
            <w:hideMark/>
          </w:tcPr>
          <w:p w14:paraId="69D846C0"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Chr</w:t>
            </w:r>
          </w:p>
        </w:tc>
        <w:tc>
          <w:tcPr>
            <w:tcW w:w="1118" w:type="dxa"/>
            <w:tcBorders>
              <w:top w:val="single" w:sz="4" w:space="0" w:color="auto"/>
              <w:left w:val="nil"/>
              <w:bottom w:val="single" w:sz="4" w:space="0" w:color="auto"/>
              <w:right w:val="nil"/>
            </w:tcBorders>
            <w:shd w:val="clear" w:color="auto" w:fill="BDD6EE" w:themeFill="accent1" w:themeFillTint="66"/>
            <w:noWrap/>
            <w:vAlign w:val="bottom"/>
            <w:hideMark/>
          </w:tcPr>
          <w:p w14:paraId="291F3647"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Position</w:t>
            </w:r>
          </w:p>
        </w:tc>
        <w:tc>
          <w:tcPr>
            <w:tcW w:w="832" w:type="dxa"/>
            <w:tcBorders>
              <w:top w:val="single" w:sz="4" w:space="0" w:color="auto"/>
              <w:left w:val="nil"/>
              <w:bottom w:val="single" w:sz="4" w:space="0" w:color="auto"/>
              <w:right w:val="nil"/>
            </w:tcBorders>
            <w:shd w:val="clear" w:color="auto" w:fill="BDD6EE" w:themeFill="accent1" w:themeFillTint="66"/>
            <w:vAlign w:val="bottom"/>
            <w:hideMark/>
          </w:tcPr>
          <w:p w14:paraId="2D72054E"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Post. Prob.</w:t>
            </w:r>
            <w:r w:rsidRPr="00BA1B84">
              <w:rPr>
                <w:rFonts w:ascii="Arial" w:eastAsia="Times New Roman" w:hAnsi="Arial" w:cs="Arial"/>
                <w:b/>
                <w:bCs/>
                <w:color w:val="000000"/>
                <w:sz w:val="18"/>
                <w:szCs w:val="18"/>
                <w:lang w:val="en-US"/>
              </w:rPr>
              <w:br/>
              <w:t>Rapid3</w:t>
            </w:r>
          </w:p>
        </w:tc>
        <w:tc>
          <w:tcPr>
            <w:tcW w:w="846" w:type="dxa"/>
            <w:tcBorders>
              <w:top w:val="single" w:sz="4" w:space="0" w:color="auto"/>
              <w:left w:val="nil"/>
              <w:bottom w:val="single" w:sz="4" w:space="0" w:color="auto"/>
              <w:right w:val="nil"/>
            </w:tcBorders>
            <w:shd w:val="clear" w:color="auto" w:fill="BDD6EE" w:themeFill="accent1" w:themeFillTint="66"/>
            <w:vAlign w:val="bottom"/>
            <w:hideMark/>
          </w:tcPr>
          <w:p w14:paraId="0A424E11"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Post. Prob</w:t>
            </w:r>
          </w:p>
          <w:p w14:paraId="2CB995A7"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CKDi25</w:t>
            </w:r>
          </w:p>
        </w:tc>
        <w:tc>
          <w:tcPr>
            <w:tcW w:w="1706" w:type="dxa"/>
            <w:tcBorders>
              <w:top w:val="single" w:sz="4" w:space="0" w:color="auto"/>
              <w:left w:val="nil"/>
              <w:bottom w:val="single" w:sz="4" w:space="0" w:color="auto"/>
              <w:right w:val="nil"/>
            </w:tcBorders>
            <w:shd w:val="clear" w:color="auto" w:fill="BDD6EE" w:themeFill="accent1" w:themeFillTint="66"/>
            <w:vAlign w:val="bottom"/>
            <w:hideMark/>
          </w:tcPr>
          <w:p w14:paraId="66AEF956"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Identifying</w:t>
            </w:r>
            <w:r w:rsidRPr="00BA1B84">
              <w:rPr>
                <w:rFonts w:ascii="Arial" w:eastAsia="Times New Roman" w:hAnsi="Arial" w:cs="Arial"/>
                <w:b/>
                <w:bCs/>
                <w:color w:val="000000"/>
                <w:sz w:val="18"/>
                <w:szCs w:val="18"/>
                <w:lang w:val="en-US"/>
              </w:rPr>
              <w:br/>
              <w:t>analysis</w:t>
            </w:r>
          </w:p>
        </w:tc>
        <w:tc>
          <w:tcPr>
            <w:tcW w:w="978" w:type="dxa"/>
            <w:tcBorders>
              <w:top w:val="single" w:sz="4" w:space="0" w:color="auto"/>
              <w:left w:val="nil"/>
              <w:bottom w:val="single" w:sz="4" w:space="0" w:color="auto"/>
              <w:right w:val="nil"/>
            </w:tcBorders>
            <w:shd w:val="clear" w:color="auto" w:fill="BDD6EE" w:themeFill="accent1" w:themeFillTint="66"/>
            <w:vAlign w:val="bottom"/>
            <w:hideMark/>
          </w:tcPr>
          <w:p w14:paraId="61A057FE" w14:textId="77777777" w:rsidR="008D6DF4" w:rsidRPr="00BA1B84" w:rsidRDefault="007C1EBA">
            <w:pPr>
              <w:spacing w:after="0" w:line="240" w:lineRule="auto"/>
              <w:jc w:val="center"/>
              <w:rPr>
                <w:rFonts w:ascii="Arial" w:eastAsia="Times New Roman" w:hAnsi="Arial" w:cs="Arial"/>
                <w:b/>
                <w:bCs/>
                <w:sz w:val="18"/>
                <w:szCs w:val="18"/>
                <w:lang w:val="en-US"/>
              </w:rPr>
            </w:pPr>
            <w:r w:rsidRPr="00BA1B84">
              <w:rPr>
                <w:rFonts w:ascii="Arial" w:eastAsia="Times New Roman" w:hAnsi="Arial" w:cs="Arial"/>
                <w:b/>
                <w:bCs/>
                <w:sz w:val="18"/>
                <w:szCs w:val="18"/>
                <w:lang w:val="en-US"/>
              </w:rPr>
              <w:t>In credible set cross-sectional</w:t>
            </w:r>
          </w:p>
        </w:tc>
        <w:tc>
          <w:tcPr>
            <w:tcW w:w="933" w:type="dxa"/>
            <w:tcBorders>
              <w:top w:val="single" w:sz="4" w:space="0" w:color="auto"/>
              <w:left w:val="nil"/>
              <w:bottom w:val="single" w:sz="4" w:space="0" w:color="auto"/>
              <w:right w:val="nil"/>
            </w:tcBorders>
            <w:shd w:val="clear" w:color="auto" w:fill="BDD6EE" w:themeFill="accent1" w:themeFillTint="66"/>
            <w:vAlign w:val="bottom"/>
            <w:hideMark/>
          </w:tcPr>
          <w:p w14:paraId="5F5C9FDC"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In gene:</w:t>
            </w:r>
            <w:r w:rsidRPr="00BA1B84">
              <w:rPr>
                <w:rFonts w:ascii="Arial" w:eastAsia="Times New Roman" w:hAnsi="Arial" w:cs="Arial"/>
                <w:b/>
                <w:bCs/>
                <w:color w:val="000000"/>
                <w:sz w:val="18"/>
                <w:szCs w:val="18"/>
                <w:lang w:val="en-US"/>
              </w:rPr>
              <w:br/>
              <w:t>no/ gene name</w:t>
            </w:r>
          </w:p>
        </w:tc>
        <w:tc>
          <w:tcPr>
            <w:tcW w:w="4013" w:type="dxa"/>
            <w:tcBorders>
              <w:top w:val="single" w:sz="4" w:space="0" w:color="auto"/>
              <w:left w:val="nil"/>
              <w:bottom w:val="single" w:sz="4" w:space="0" w:color="auto"/>
              <w:right w:val="nil"/>
            </w:tcBorders>
            <w:shd w:val="clear" w:color="auto" w:fill="BDD6EE" w:themeFill="accent1" w:themeFillTint="66"/>
            <w:noWrap/>
            <w:vAlign w:val="bottom"/>
            <w:hideMark/>
          </w:tcPr>
          <w:p w14:paraId="7F6DAD09" w14:textId="77777777" w:rsidR="008D6DF4" w:rsidRPr="00BA1B84" w:rsidRDefault="007C1EBA">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Function (VEP)</w:t>
            </w:r>
          </w:p>
        </w:tc>
      </w:tr>
      <w:tr w:rsidR="008D6DF4" w:rsidRPr="00BA1B84" w14:paraId="31BF33BE"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D55B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BCD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29E3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rs36060036</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D2FA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8E01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20,361,950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8EF4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0.70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131D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0.39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2E3C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8D967"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2048"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83828"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1B84" w14:paraId="07874D1B"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D85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9478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A7E9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rs28362063</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E0D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D43B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20,365,012</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CB88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0BB9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26F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59CA8"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7CB7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4BC45"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1730840C"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5B47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900C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00AD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rs13334589</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CC28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0A38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20,366,459</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DE84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5BAA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642A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6E98A"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A1ED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CD693"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2109EF2C"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66E2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C343F"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D0E3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rs12922822</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6DF5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0A5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20,367,645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E7D3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72C6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0.23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61C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7F561"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D400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E8325"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1948811B"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91E7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2668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4958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rs9933330</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903E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7A70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20,366,810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FD04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F8C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0.11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8335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97E3"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8C5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049B"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467175B4"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B7A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9EF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2214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rs13329952</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3AB0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556F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20,366,507</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A57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593C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2135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C4A8A"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485D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F9705"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11AD9E71"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60E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AF740"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C25B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rs12917707</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FEB0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FD3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20,367,690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6ED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A0C1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F736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AF92E"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62D7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A45F"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5E68EA72"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404E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FAE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F1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rs13333226</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0D48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5343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20,365,654</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0727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4862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BDCE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C6D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F02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EDA7"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2D180FCC"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6FBE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A49ED"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2B262"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rs34882080</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36A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7E22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20,361,441</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C26E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CFD8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6F1D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7CD98"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724ED"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0505F"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1B84" w14:paraId="794AD1DF"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2E34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69A73"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FFE5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rs35650857</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C9A1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E37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20,361,491</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3F88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2C6E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6A1E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D1386"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CCE7"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B8FDD"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1B84" w14:paraId="1BA75274"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247E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C63E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21EC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rs4997081</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30A5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15E5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20,365,234</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DE1D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B69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2B59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E446B"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3846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C3559"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7EAF2AEE"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2EBA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84D3F"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5E6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rs4293393</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A5A3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34CF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20,364,588</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D666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EEEE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0566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F3882"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A89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ABE9C"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UMOD</w:t>
            </w:r>
          </w:p>
        </w:tc>
      </w:tr>
      <w:tr w:rsidR="008D6DF4" w:rsidRPr="00BA1B84" w14:paraId="0473B454"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ED88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4CA5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45B81"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rs28544423</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7382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3DA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20,359,633</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474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E11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2D97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AD5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B972E"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6D45" w14:textId="77777777" w:rsidR="008D6DF4" w:rsidRPr="00BA1B84" w:rsidRDefault="007C1EBA">
            <w:pPr>
              <w:spacing w:after="0" w:line="240" w:lineRule="auto"/>
              <w:rPr>
                <w:rFonts w:ascii="Arial" w:eastAsia="Times New Roman" w:hAnsi="Arial" w:cs="Arial"/>
                <w:sz w:val="18"/>
                <w:szCs w:val="18"/>
                <w:lang w:val="en-US"/>
              </w:rPr>
            </w:pPr>
            <w:r w:rsidRPr="00BA1B84">
              <w:rPr>
                <w:rFonts w:ascii="Arial" w:eastAsia="Times New Roman" w:hAnsi="Arial" w:cs="Arial"/>
                <w:sz w:val="18"/>
                <w:szCs w:val="18"/>
                <w:lang w:val="en-US"/>
              </w:rPr>
              <w:t>synonymous_variant, UMOD</w:t>
            </w:r>
          </w:p>
        </w:tc>
      </w:tr>
      <w:tr w:rsidR="008D6DF4" w:rsidRPr="00BA1B84" w14:paraId="6B986799"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9C03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3B8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B32B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rs35650857</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632D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8FBC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20,361,491</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0F34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2357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A49D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5948"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DE05"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24EDD"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1B84" w14:paraId="296B525D"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B475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26F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006E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rs34882080</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5D41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5453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20,361,441</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D8CA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A5B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9A1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65C9"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FB7A6"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516E0"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1B84" w14:paraId="709525C6"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37C1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9B6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2B3D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rs9928003</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9BE0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D0A9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20,358,248</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CF3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7962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8301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 Rapid3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6E45"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2255"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A0BD8"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1B84" w14:paraId="03ECFBB4"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701A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6827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8B8B2"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rs12934320</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262D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050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20,357,255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8FAD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07E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286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D570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F9BCE"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8EA9B"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1B84" w14:paraId="2A62B790"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0CF2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6FB4F"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C2C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rs34356953</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3B47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F1C3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20,356,326</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1B8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269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2D7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87B81"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6DED3"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F3220"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UMOD</w:t>
            </w:r>
          </w:p>
        </w:tc>
      </w:tr>
      <w:tr w:rsidR="008D6DF4" w:rsidRPr="00BA5039" w14:paraId="6A0091AE"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8E32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1.1</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F5930"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503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rs60136849</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C312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60B0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20,353,815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1899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70B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84CC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7E2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46EAF"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UMOD</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2058" w14:textId="77777777" w:rsidR="008D6DF4" w:rsidRPr="00BA1B84" w:rsidRDefault="007C1EBA">
            <w:pPr>
              <w:spacing w:after="0" w:line="240" w:lineRule="auto"/>
              <w:rPr>
                <w:rFonts w:ascii="Arial" w:eastAsia="Times New Roman" w:hAnsi="Arial" w:cs="Arial"/>
                <w:sz w:val="18"/>
                <w:szCs w:val="18"/>
                <w:lang w:val="en-US"/>
              </w:rPr>
            </w:pPr>
            <w:r w:rsidRPr="00BA1B84">
              <w:rPr>
                <w:rFonts w:ascii="Arial" w:eastAsia="Times New Roman" w:hAnsi="Arial" w:cs="Arial"/>
                <w:sz w:val="18"/>
                <w:szCs w:val="18"/>
                <w:lang w:val="en-US"/>
              </w:rPr>
              <w:t>intron_variant, non_coding_ transcript_exon_variant, UMOD</w:t>
            </w:r>
          </w:p>
        </w:tc>
      </w:tr>
      <w:tr w:rsidR="008D6DF4" w:rsidRPr="00BA1B84" w14:paraId="1C0D7BF0"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1A58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1.2</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7829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[UMOD-PDILT]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A635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rs77924615</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54E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F05D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20,392,332</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FFB9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3E50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0.9979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67CF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ACE7"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7268F"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PDILT</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F138B"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PDILT</w:t>
            </w:r>
          </w:p>
        </w:tc>
      </w:tr>
      <w:tr w:rsidR="008D6DF4" w:rsidRPr="00BA1B84" w14:paraId="5FDB294E"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861C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1276"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0218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rs77593734</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3A1E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6A43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54,002,606</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732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D4AB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0.50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8C96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3E46A"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E887A"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6A595"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8D6DF4" w:rsidRPr="00BA1B84" w14:paraId="50B347FA"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C8FE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0A81"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1D280"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rs11853157</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557F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3B9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54,006,275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673F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C4E8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0.13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CA16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AD88"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60E53"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70C6"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8D6DF4" w:rsidRPr="00BA1B84" w14:paraId="78C38071"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D18F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78B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2580"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rs1105903</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A869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A996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53,919,558</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B43D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61D2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647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D4C0C"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B5D40"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52184"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8D6DF4" w:rsidRPr="00BA1B84" w14:paraId="37773DA3" w14:textId="77777777" w:rsidTr="00283584">
        <w:trPr>
          <w:trHeight w:val="255"/>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77C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7939F"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6EB6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rs75183529</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130C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7EBE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53,921,457</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A31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7617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3611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13633"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94A39"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144BF"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bl>
    <w:p w14:paraId="7BB13C49" w14:textId="15585F83" w:rsidR="00283584" w:rsidRDefault="00283584" w:rsidP="00283584">
      <w:pPr>
        <w:ind w:right="-455"/>
        <w:jc w:val="right"/>
      </w:pPr>
      <w:r w:rsidRPr="00283584">
        <w:t>… to be continued</w:t>
      </w:r>
    </w:p>
    <w:p w14:paraId="658B9034" w14:textId="0280A149" w:rsidR="007E6836" w:rsidRPr="0091587F" w:rsidRDefault="007E6836" w:rsidP="007E6836">
      <w:pPr>
        <w:ind w:right="-314"/>
        <w:rPr>
          <w:lang w:val="en-US"/>
        </w:rPr>
      </w:pPr>
      <w:r>
        <w:rPr>
          <w:rFonts w:ascii="Arial" w:hAnsi="Arial" w:cs="Arial"/>
          <w:b/>
          <w:lang w:val="en-US"/>
        </w:rPr>
        <w:lastRenderedPageBreak/>
        <w:t>Supplementary Table 6</w:t>
      </w:r>
      <w:r w:rsidR="006F789D">
        <w:rPr>
          <w:rFonts w:ascii="Arial" w:hAnsi="Arial" w:cs="Arial"/>
          <w:b/>
          <w:lang w:val="en-US"/>
        </w:rPr>
        <w:t>A</w:t>
      </w:r>
      <w:r>
        <w:rPr>
          <w:rFonts w:ascii="Arial" w:hAnsi="Arial" w:cs="Arial"/>
          <w:b/>
          <w:lang w:val="en-US"/>
        </w:rPr>
        <w:t>: continued</w:t>
      </w:r>
    </w:p>
    <w:tbl>
      <w:tblPr>
        <w:tblW w:w="14884" w:type="dxa"/>
        <w:tblCellMar>
          <w:left w:w="0" w:type="dxa"/>
          <w:right w:w="0" w:type="dxa"/>
        </w:tblCellMar>
        <w:tblLook w:val="04A0" w:firstRow="1" w:lastRow="0" w:firstColumn="1" w:lastColumn="0" w:noHBand="0" w:noVBand="1"/>
      </w:tblPr>
      <w:tblGrid>
        <w:gridCol w:w="781"/>
        <w:gridCol w:w="8"/>
        <w:gridCol w:w="1588"/>
        <w:gridCol w:w="6"/>
        <w:gridCol w:w="1338"/>
        <w:gridCol w:w="81"/>
        <w:gridCol w:w="561"/>
        <w:gridCol w:w="118"/>
        <w:gridCol w:w="1064"/>
        <w:gridCol w:w="150"/>
        <w:gridCol w:w="682"/>
        <w:gridCol w:w="111"/>
        <w:gridCol w:w="735"/>
        <w:gridCol w:w="103"/>
        <w:gridCol w:w="1603"/>
        <w:gridCol w:w="73"/>
        <w:gridCol w:w="905"/>
        <w:gridCol w:w="65"/>
        <w:gridCol w:w="868"/>
        <w:gridCol w:w="8"/>
        <w:gridCol w:w="4004"/>
        <w:gridCol w:w="105"/>
      </w:tblGrid>
      <w:tr w:rsidR="0091587F" w:rsidRPr="00BA1B84" w14:paraId="79B22161" w14:textId="77777777" w:rsidTr="007E6836">
        <w:tc>
          <w:tcPr>
            <w:tcW w:w="781" w:type="dxa"/>
            <w:tcBorders>
              <w:top w:val="single" w:sz="4" w:space="0" w:color="auto"/>
              <w:left w:val="nil"/>
              <w:bottom w:val="single" w:sz="4" w:space="0" w:color="auto"/>
              <w:right w:val="nil"/>
            </w:tcBorders>
            <w:shd w:val="clear" w:color="auto" w:fill="BDD6EE" w:themeFill="accent1" w:themeFillTint="66"/>
            <w:vAlign w:val="bottom"/>
            <w:hideMark/>
          </w:tcPr>
          <w:p w14:paraId="72870947"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Locus/</w:t>
            </w:r>
            <w:r w:rsidRPr="00BA1B84">
              <w:rPr>
                <w:rFonts w:ascii="Arial" w:eastAsia="Times New Roman" w:hAnsi="Arial" w:cs="Arial"/>
                <w:b/>
                <w:bCs/>
                <w:color w:val="000000"/>
                <w:sz w:val="18"/>
                <w:szCs w:val="18"/>
                <w:lang w:val="en-US"/>
              </w:rPr>
              <w:br/>
              <w:t>signal</w:t>
            </w:r>
            <w:r w:rsidRPr="00BA1B84">
              <w:rPr>
                <w:rFonts w:ascii="Arial" w:eastAsia="Times New Roman" w:hAnsi="Arial" w:cs="Arial"/>
                <w:b/>
                <w:bCs/>
                <w:color w:val="000000"/>
                <w:sz w:val="18"/>
                <w:szCs w:val="18"/>
                <w:lang w:val="en-US"/>
              </w:rPr>
              <w:br/>
              <w:t>No.</w:t>
            </w:r>
          </w:p>
        </w:tc>
        <w:tc>
          <w:tcPr>
            <w:tcW w:w="1585" w:type="dxa"/>
            <w:gridSpan w:val="3"/>
            <w:tcBorders>
              <w:top w:val="single" w:sz="4" w:space="0" w:color="auto"/>
              <w:left w:val="nil"/>
              <w:bottom w:val="single" w:sz="4" w:space="0" w:color="auto"/>
              <w:right w:val="nil"/>
            </w:tcBorders>
            <w:shd w:val="clear" w:color="auto" w:fill="BDD6EE" w:themeFill="accent1" w:themeFillTint="66"/>
            <w:noWrap/>
            <w:vAlign w:val="bottom"/>
            <w:hideMark/>
          </w:tcPr>
          <w:p w14:paraId="417BD9A3"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Locus name</w:t>
            </w:r>
          </w:p>
        </w:tc>
        <w:tc>
          <w:tcPr>
            <w:tcW w:w="1403"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47590AF8"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RSID</w:t>
            </w:r>
          </w:p>
        </w:tc>
        <w:tc>
          <w:tcPr>
            <w:tcW w:w="663"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3E06B43F"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Chr</w:t>
            </w:r>
          </w:p>
        </w:tc>
        <w:tc>
          <w:tcPr>
            <w:tcW w:w="1198"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223D9ACC"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Position</w:t>
            </w:r>
          </w:p>
        </w:tc>
        <w:tc>
          <w:tcPr>
            <w:tcW w:w="799"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306849A5"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Post. Prob.</w:t>
            </w:r>
            <w:r w:rsidRPr="00BA1B84">
              <w:rPr>
                <w:rFonts w:ascii="Arial" w:eastAsia="Times New Roman" w:hAnsi="Arial" w:cs="Arial"/>
                <w:b/>
                <w:bCs/>
                <w:color w:val="000000"/>
                <w:sz w:val="18"/>
                <w:szCs w:val="18"/>
                <w:lang w:val="en-US"/>
              </w:rPr>
              <w:br/>
              <w:t>Rapid3</w:t>
            </w:r>
          </w:p>
        </w:tc>
        <w:tc>
          <w:tcPr>
            <w:tcW w:w="838"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2BDE0800"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Post. Prob</w:t>
            </w:r>
          </w:p>
          <w:p w14:paraId="7FE59F4B"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CKDi25</w:t>
            </w:r>
          </w:p>
        </w:tc>
        <w:tc>
          <w:tcPr>
            <w:tcW w:w="1676"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271D0266"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Identifying</w:t>
            </w:r>
            <w:r w:rsidRPr="00BA1B84">
              <w:rPr>
                <w:rFonts w:ascii="Arial" w:eastAsia="Times New Roman" w:hAnsi="Arial" w:cs="Arial"/>
                <w:b/>
                <w:bCs/>
                <w:color w:val="000000"/>
                <w:sz w:val="18"/>
                <w:szCs w:val="18"/>
                <w:lang w:val="en-US"/>
              </w:rPr>
              <w:br/>
              <w:t>analysis</w:t>
            </w:r>
          </w:p>
        </w:tc>
        <w:tc>
          <w:tcPr>
            <w:tcW w:w="970"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1EF1CA2A" w14:textId="77777777" w:rsidR="00283584" w:rsidRPr="00BA1B84" w:rsidRDefault="00283584" w:rsidP="0001057B">
            <w:pPr>
              <w:spacing w:after="0" w:line="240" w:lineRule="auto"/>
              <w:jc w:val="center"/>
              <w:rPr>
                <w:rFonts w:ascii="Arial" w:eastAsia="Times New Roman" w:hAnsi="Arial" w:cs="Arial"/>
                <w:b/>
                <w:bCs/>
                <w:sz w:val="18"/>
                <w:szCs w:val="18"/>
                <w:lang w:val="en-US"/>
              </w:rPr>
            </w:pPr>
            <w:r w:rsidRPr="00BA1B84">
              <w:rPr>
                <w:rFonts w:ascii="Arial" w:eastAsia="Times New Roman" w:hAnsi="Arial" w:cs="Arial"/>
                <w:b/>
                <w:bCs/>
                <w:sz w:val="18"/>
                <w:szCs w:val="18"/>
                <w:lang w:val="en-US"/>
              </w:rPr>
              <w:t>In credible set cross-sectional</w:t>
            </w:r>
          </w:p>
        </w:tc>
        <w:tc>
          <w:tcPr>
            <w:tcW w:w="878"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3CE56F32"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In gene:</w:t>
            </w:r>
            <w:r w:rsidRPr="00BA1B84">
              <w:rPr>
                <w:rFonts w:ascii="Arial" w:eastAsia="Times New Roman" w:hAnsi="Arial" w:cs="Arial"/>
                <w:b/>
                <w:bCs/>
                <w:color w:val="000000"/>
                <w:sz w:val="18"/>
                <w:szCs w:val="18"/>
                <w:lang w:val="en-US"/>
              </w:rPr>
              <w:br/>
              <w:t>no/ gene name</w:t>
            </w:r>
          </w:p>
        </w:tc>
        <w:tc>
          <w:tcPr>
            <w:tcW w:w="4093"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48E7A502" w14:textId="77777777" w:rsidR="00283584" w:rsidRPr="00BA1B84" w:rsidRDefault="00283584"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Function (VEP)</w:t>
            </w:r>
          </w:p>
        </w:tc>
      </w:tr>
      <w:tr w:rsidR="0091587F" w:rsidRPr="00BA1B84" w14:paraId="3CB7B5F6"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45F6B" w14:textId="36913529"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777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D0A23"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rs58901710</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ACED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EA83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53,918,873</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F4B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4B75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9BBB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A5FA"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67404"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D6B3B"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7E64EDED"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C7E3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2509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26E3"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rs11070995</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2CC9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E66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53,923,458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772B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9644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994D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F14A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74440"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0420"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276CB1F4"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A70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D13E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18CFD"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rs4536407</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AA5D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82FF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53,920,957</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43BD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9AA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1893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A5561"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A45E1"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81D6"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18DD8099"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B4D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E1FE3"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F14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rs1906411</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9F1E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253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53,927,803</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172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7162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99EA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2C66"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41CF"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8CAD"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0B1D6685"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B267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04CF"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85CC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rs12442975</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C277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3E78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53,926,520</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5653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5DB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C90F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32881"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5BA9A"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46257"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1BD850C1"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2B7A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CA2D6"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FE0C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rs10518731</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F3ED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B4E7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53,936,418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E358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921B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E310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AEBEC"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9A08A"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0A5E0"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5039" w14:paraId="245476F3"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EAF7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D45C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B11A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rs3911729</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012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5BB3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53,958,400</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E1F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5DA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4D3F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3CEF2"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6E032"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3C689"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 WDR72</w:t>
            </w:r>
          </w:p>
        </w:tc>
      </w:tr>
      <w:tr w:rsidR="0091587F" w:rsidRPr="00BA1B84" w14:paraId="3F210766"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4017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862F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241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rs12442962</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BDC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F6E4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53,923,225</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79F9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179D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0.02</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BB96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4297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8E1E"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70C56"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36902AEB"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AAD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7212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0313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rs4776164</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D90A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2556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53,926,368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3B70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224A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4AD4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74BE4"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722ED"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3A14F"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7A96E315"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B3D5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CB60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0F83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rs17730323</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907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8500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53,927,089</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3555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CDB6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A6D5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26C5D"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414FC"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5E248"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4FA750D3"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2917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27CC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9F19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rs10518732</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67ED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C7BB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53,939,042</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AFC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948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5B99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DC3ED"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22E6C"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981D"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299B0538"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499A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75DD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776C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rs3848137</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147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3171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53,959,375</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8B33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09FE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3F12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67B5F"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7B312"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D7EEB"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61FFAAD7"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3F4F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93D02"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6660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rs17730281</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598A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09C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53,907,948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D782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74DF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7598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30EA5"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5D862"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89B1EF7"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 missense L819F</w:t>
            </w:r>
          </w:p>
        </w:tc>
      </w:tr>
      <w:tr w:rsidR="0091587F" w:rsidRPr="00BA1B84" w14:paraId="0CA915B5"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9F46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1649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CBA8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rs62007961</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171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CFC0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53,965,346</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E0E8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5DC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9B9F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FEE14"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5BB1"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37AC2"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317331B1"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2813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316B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BED4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rs732975</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CBD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A7AC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53,950,390</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4FA5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3969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172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2C7EC"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C8EA3"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8DE41"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227C78E6"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111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801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EDF0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rs11070994</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F117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011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53,923,382</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C705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DF6F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5C1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CFAD"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0573"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F24D"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6BDD6248"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6CC0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DCC0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A390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rs7166545</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AE32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9946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53,925,239</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2A1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0F6D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6B1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A90FE"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938FD"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C1E26"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016D82F7"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0532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1CCE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F0221"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rs62005941</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6CA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132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53,915,766</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291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5349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030C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B9C8"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005EB"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00787"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15B88F23"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5E4B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34586"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F083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rs17730436</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D3F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3589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53,942,928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B78B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3041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0805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FE06"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5F34A"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1FD2"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5039" w14:paraId="729E3332"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EF0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8E98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3DD0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rs1031755</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3081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B580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53,951,435</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D5C1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8E4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965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D7D5"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5D7C0"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2C4A2"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 WDR72</w:t>
            </w:r>
          </w:p>
        </w:tc>
      </w:tr>
      <w:tr w:rsidR="0091587F" w:rsidRPr="00BA5039" w14:paraId="258FFAF4"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F5C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7D3C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004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rs1031756</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9062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DD5E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53,951,548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36FD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7113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BE04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76B84"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4867D"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83397"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 WDR72</w:t>
            </w:r>
          </w:p>
        </w:tc>
      </w:tr>
      <w:tr w:rsidR="0091587F" w:rsidRPr="00BA5039" w14:paraId="55C01839"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B26F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117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21D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rs12593967</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897C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4B93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53,936,948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244B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373E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33B9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0F5CD"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2A84A"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F1187"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 WDR72</w:t>
            </w:r>
          </w:p>
        </w:tc>
      </w:tr>
      <w:tr w:rsidR="0091587F" w:rsidRPr="00BA5039" w14:paraId="23594A39"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E14A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261D"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EE446"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rs4776168</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8450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D9B5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53,936,907</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CA16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80B7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C860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BF45"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9A164"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65C1"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 WDR72</w:t>
            </w:r>
          </w:p>
        </w:tc>
      </w:tr>
      <w:tr w:rsidR="0091587F" w:rsidRPr="00BA1B84" w14:paraId="399EF76A"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2D8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25B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02551"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rs1906412</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458B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B1D9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53,931,103</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C33C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A488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D65F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CB4E7"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E067"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1AB21"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3C591A64"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682F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EEF6"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E13C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rs4776169</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AA7C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2F38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53,939,427</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50E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A57E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A21C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F0E1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B40D3"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9D4A"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7FE7A6B5"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6477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18C7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63C9F"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rs62005954</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06A9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6F47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53,937,942</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DFEA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F430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C49A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15B49"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E964"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1946B"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41D795D0"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365C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CFE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96CF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rs62005955</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56E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1FDC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53,938,118</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2EF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0618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F01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CE5B1"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A5BF"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76055"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3C084B87"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2CD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443F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0515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rs1906413</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D650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A738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53,941,106</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EA04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9059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8345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BE5B1"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757BE"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E06D0"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91587F" w:rsidRPr="00BA1B84" w14:paraId="17AB3412" w14:textId="77777777" w:rsidTr="007E6836">
        <w:trPr>
          <w:gridAfter w:val="1"/>
          <w:wAfter w:w="10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65E8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046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6FFC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rs80025274</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FEBC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62E9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53,947,167</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6B1F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56F3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9B80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5ACD9"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4E589"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69768"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bl>
    <w:p w14:paraId="43545B7E" w14:textId="0DE64D76" w:rsidR="0091587F" w:rsidRDefault="0091587F" w:rsidP="0091587F">
      <w:pPr>
        <w:ind w:right="-314"/>
        <w:jc w:val="right"/>
        <w:rPr>
          <w:lang w:val="en-US"/>
        </w:rPr>
      </w:pPr>
      <w:r w:rsidRPr="0091587F">
        <w:rPr>
          <w:lang w:val="en-US"/>
        </w:rPr>
        <w:t>… to be continued</w:t>
      </w:r>
    </w:p>
    <w:p w14:paraId="4308AD32" w14:textId="486302E0" w:rsidR="0091587F" w:rsidRPr="0091587F" w:rsidRDefault="0091587F" w:rsidP="0091587F">
      <w:pPr>
        <w:ind w:right="-314"/>
        <w:rPr>
          <w:lang w:val="en-US"/>
        </w:rPr>
      </w:pPr>
      <w:r>
        <w:rPr>
          <w:rFonts w:ascii="Arial" w:hAnsi="Arial" w:cs="Arial"/>
          <w:b/>
          <w:lang w:val="en-US"/>
        </w:rPr>
        <w:lastRenderedPageBreak/>
        <w:t>Supplementary Table 6</w:t>
      </w:r>
      <w:r w:rsidR="006F789D">
        <w:rPr>
          <w:rFonts w:ascii="Arial" w:hAnsi="Arial" w:cs="Arial"/>
          <w:b/>
          <w:lang w:val="en-US"/>
        </w:rPr>
        <w:t>A</w:t>
      </w:r>
      <w:r>
        <w:rPr>
          <w:rFonts w:ascii="Arial" w:hAnsi="Arial" w:cs="Arial"/>
          <w:b/>
          <w:lang w:val="en-US"/>
        </w:rPr>
        <w:t>: continued</w:t>
      </w:r>
    </w:p>
    <w:tbl>
      <w:tblPr>
        <w:tblW w:w="15027" w:type="dxa"/>
        <w:tblCellMar>
          <w:left w:w="0" w:type="dxa"/>
          <w:right w:w="0" w:type="dxa"/>
        </w:tblCellMar>
        <w:tblLook w:val="04A0" w:firstRow="1" w:lastRow="0" w:firstColumn="1" w:lastColumn="0" w:noHBand="0" w:noVBand="1"/>
      </w:tblPr>
      <w:tblGrid>
        <w:gridCol w:w="774"/>
        <w:gridCol w:w="15"/>
        <w:gridCol w:w="1674"/>
        <w:gridCol w:w="6"/>
        <w:gridCol w:w="1526"/>
        <w:gridCol w:w="22"/>
        <w:gridCol w:w="611"/>
        <w:gridCol w:w="132"/>
        <w:gridCol w:w="982"/>
        <w:gridCol w:w="164"/>
        <w:gridCol w:w="610"/>
        <w:gridCol w:w="102"/>
        <w:gridCol w:w="744"/>
        <w:gridCol w:w="86"/>
        <w:gridCol w:w="1620"/>
        <w:gridCol w:w="25"/>
        <w:gridCol w:w="953"/>
        <w:gridCol w:w="9"/>
        <w:gridCol w:w="863"/>
        <w:gridCol w:w="61"/>
        <w:gridCol w:w="4135"/>
        <w:gridCol w:w="23"/>
      </w:tblGrid>
      <w:tr w:rsidR="0091587F" w:rsidRPr="00BA1B84" w14:paraId="4FFE9C3A" w14:textId="77777777" w:rsidTr="00783831">
        <w:tc>
          <w:tcPr>
            <w:tcW w:w="774" w:type="dxa"/>
            <w:tcBorders>
              <w:top w:val="single" w:sz="4" w:space="0" w:color="auto"/>
              <w:left w:val="nil"/>
              <w:bottom w:val="single" w:sz="4" w:space="0" w:color="auto"/>
              <w:right w:val="nil"/>
            </w:tcBorders>
            <w:shd w:val="clear" w:color="auto" w:fill="BDD6EE" w:themeFill="accent1" w:themeFillTint="66"/>
            <w:vAlign w:val="bottom"/>
            <w:hideMark/>
          </w:tcPr>
          <w:p w14:paraId="1646C140"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Locus/</w:t>
            </w:r>
            <w:r w:rsidRPr="00BA1B84">
              <w:rPr>
                <w:rFonts w:ascii="Arial" w:eastAsia="Times New Roman" w:hAnsi="Arial" w:cs="Arial"/>
                <w:b/>
                <w:bCs/>
                <w:color w:val="000000"/>
                <w:sz w:val="18"/>
                <w:szCs w:val="18"/>
                <w:lang w:val="en-US"/>
              </w:rPr>
              <w:br/>
              <w:t>signal</w:t>
            </w:r>
            <w:r w:rsidRPr="00BA1B84">
              <w:rPr>
                <w:rFonts w:ascii="Arial" w:eastAsia="Times New Roman" w:hAnsi="Arial" w:cs="Arial"/>
                <w:b/>
                <w:bCs/>
                <w:color w:val="000000"/>
                <w:sz w:val="18"/>
                <w:szCs w:val="18"/>
                <w:lang w:val="en-US"/>
              </w:rPr>
              <w:br/>
              <w:t>No.</w:t>
            </w:r>
          </w:p>
        </w:tc>
        <w:tc>
          <w:tcPr>
            <w:tcW w:w="1674" w:type="dxa"/>
            <w:gridSpan w:val="3"/>
            <w:tcBorders>
              <w:top w:val="single" w:sz="4" w:space="0" w:color="auto"/>
              <w:left w:val="nil"/>
              <w:bottom w:val="single" w:sz="4" w:space="0" w:color="auto"/>
              <w:right w:val="nil"/>
            </w:tcBorders>
            <w:shd w:val="clear" w:color="auto" w:fill="BDD6EE" w:themeFill="accent1" w:themeFillTint="66"/>
            <w:noWrap/>
            <w:vAlign w:val="bottom"/>
            <w:hideMark/>
          </w:tcPr>
          <w:p w14:paraId="33706AE0"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Locus name</w:t>
            </w:r>
          </w:p>
        </w:tc>
        <w:tc>
          <w:tcPr>
            <w:tcW w:w="1529"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7AC0D6CF"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RSID</w:t>
            </w:r>
          </w:p>
        </w:tc>
        <w:tc>
          <w:tcPr>
            <w:tcW w:w="727"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52FDAF52"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Chr</w:t>
            </w:r>
          </w:p>
        </w:tc>
        <w:tc>
          <w:tcPr>
            <w:tcW w:w="1130" w:type="dxa"/>
            <w:gridSpan w:val="2"/>
            <w:tcBorders>
              <w:top w:val="single" w:sz="4" w:space="0" w:color="auto"/>
              <w:left w:val="nil"/>
              <w:bottom w:val="single" w:sz="4" w:space="0" w:color="auto"/>
              <w:right w:val="nil"/>
            </w:tcBorders>
            <w:shd w:val="clear" w:color="auto" w:fill="BDD6EE" w:themeFill="accent1" w:themeFillTint="66"/>
            <w:noWrap/>
            <w:vAlign w:val="bottom"/>
            <w:hideMark/>
          </w:tcPr>
          <w:p w14:paraId="693BBAD2"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Position</w:t>
            </w:r>
          </w:p>
        </w:tc>
        <w:tc>
          <w:tcPr>
            <w:tcW w:w="718"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337B08EB"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Post. Prob.</w:t>
            </w:r>
            <w:r w:rsidRPr="00BA1B84">
              <w:rPr>
                <w:rFonts w:ascii="Arial" w:eastAsia="Times New Roman" w:hAnsi="Arial" w:cs="Arial"/>
                <w:b/>
                <w:bCs/>
                <w:color w:val="000000"/>
                <w:sz w:val="18"/>
                <w:szCs w:val="18"/>
                <w:lang w:val="en-US"/>
              </w:rPr>
              <w:br/>
              <w:t>Rapid3</w:t>
            </w:r>
          </w:p>
        </w:tc>
        <w:tc>
          <w:tcPr>
            <w:tcW w:w="830"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1211F82A"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Post. Prob</w:t>
            </w:r>
          </w:p>
          <w:p w14:paraId="566A2019"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CKDi25</w:t>
            </w:r>
          </w:p>
        </w:tc>
        <w:tc>
          <w:tcPr>
            <w:tcW w:w="1645"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405E4BCE"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Identifying</w:t>
            </w:r>
            <w:r w:rsidRPr="00BA1B84">
              <w:rPr>
                <w:rFonts w:ascii="Arial" w:eastAsia="Times New Roman" w:hAnsi="Arial" w:cs="Arial"/>
                <w:b/>
                <w:bCs/>
                <w:color w:val="000000"/>
                <w:sz w:val="18"/>
                <w:szCs w:val="18"/>
                <w:lang w:val="en-US"/>
              </w:rPr>
              <w:br/>
              <w:t>analysis</w:t>
            </w:r>
          </w:p>
        </w:tc>
        <w:tc>
          <w:tcPr>
            <w:tcW w:w="962"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7C8EE6D0" w14:textId="77777777" w:rsidR="0091587F" w:rsidRPr="00BA1B84" w:rsidRDefault="0091587F" w:rsidP="0001057B">
            <w:pPr>
              <w:spacing w:after="0" w:line="240" w:lineRule="auto"/>
              <w:jc w:val="center"/>
              <w:rPr>
                <w:rFonts w:ascii="Arial" w:eastAsia="Times New Roman" w:hAnsi="Arial" w:cs="Arial"/>
                <w:b/>
                <w:bCs/>
                <w:sz w:val="18"/>
                <w:szCs w:val="18"/>
                <w:lang w:val="en-US"/>
              </w:rPr>
            </w:pPr>
            <w:r w:rsidRPr="00BA1B84">
              <w:rPr>
                <w:rFonts w:ascii="Arial" w:eastAsia="Times New Roman" w:hAnsi="Arial" w:cs="Arial"/>
                <w:b/>
                <w:bCs/>
                <w:sz w:val="18"/>
                <w:szCs w:val="18"/>
                <w:lang w:val="en-US"/>
              </w:rPr>
              <w:t>In credible set cross-sectional</w:t>
            </w:r>
          </w:p>
        </w:tc>
        <w:tc>
          <w:tcPr>
            <w:tcW w:w="863" w:type="dxa"/>
            <w:tcBorders>
              <w:top w:val="single" w:sz="4" w:space="0" w:color="auto"/>
              <w:left w:val="nil"/>
              <w:bottom w:val="single" w:sz="4" w:space="0" w:color="auto"/>
              <w:right w:val="nil"/>
            </w:tcBorders>
            <w:shd w:val="clear" w:color="auto" w:fill="BDD6EE" w:themeFill="accent1" w:themeFillTint="66"/>
            <w:vAlign w:val="bottom"/>
            <w:hideMark/>
          </w:tcPr>
          <w:p w14:paraId="1139B69F"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In gene:</w:t>
            </w:r>
            <w:r w:rsidRPr="00BA1B84">
              <w:rPr>
                <w:rFonts w:ascii="Arial" w:eastAsia="Times New Roman" w:hAnsi="Arial" w:cs="Arial"/>
                <w:b/>
                <w:bCs/>
                <w:color w:val="000000"/>
                <w:sz w:val="18"/>
                <w:szCs w:val="18"/>
                <w:lang w:val="en-US"/>
              </w:rPr>
              <w:br/>
              <w:t>no/ gene name</w:t>
            </w:r>
          </w:p>
        </w:tc>
        <w:tc>
          <w:tcPr>
            <w:tcW w:w="4175" w:type="dxa"/>
            <w:gridSpan w:val="3"/>
            <w:tcBorders>
              <w:top w:val="single" w:sz="4" w:space="0" w:color="auto"/>
              <w:left w:val="nil"/>
              <w:bottom w:val="single" w:sz="4" w:space="0" w:color="auto"/>
              <w:right w:val="nil"/>
            </w:tcBorders>
            <w:shd w:val="clear" w:color="auto" w:fill="BDD6EE" w:themeFill="accent1" w:themeFillTint="66"/>
            <w:noWrap/>
            <w:vAlign w:val="bottom"/>
            <w:hideMark/>
          </w:tcPr>
          <w:p w14:paraId="6E1FAB61" w14:textId="77777777" w:rsidR="0091587F" w:rsidRPr="00BA1B84" w:rsidRDefault="0091587F" w:rsidP="0001057B">
            <w:pPr>
              <w:spacing w:after="0" w:line="240" w:lineRule="auto"/>
              <w:jc w:val="center"/>
              <w:rPr>
                <w:rFonts w:ascii="Arial" w:eastAsia="Times New Roman" w:hAnsi="Arial" w:cs="Arial"/>
                <w:b/>
                <w:bCs/>
                <w:color w:val="000000"/>
                <w:sz w:val="18"/>
                <w:szCs w:val="18"/>
                <w:lang w:val="en-US"/>
              </w:rPr>
            </w:pPr>
            <w:r w:rsidRPr="00BA1B84">
              <w:rPr>
                <w:rFonts w:ascii="Arial" w:eastAsia="Times New Roman" w:hAnsi="Arial" w:cs="Arial"/>
                <w:b/>
                <w:bCs/>
                <w:color w:val="000000"/>
                <w:sz w:val="18"/>
                <w:szCs w:val="18"/>
                <w:lang w:val="en-US"/>
              </w:rPr>
              <w:t>Function (VEP)</w:t>
            </w:r>
          </w:p>
        </w:tc>
      </w:tr>
      <w:tr w:rsidR="0091587F" w:rsidRPr="00BA1B84" w14:paraId="4C33F31C"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93F95" w14:textId="77777777" w:rsidR="0091587F" w:rsidRPr="00BA1B84" w:rsidRDefault="0091587F" w:rsidP="0001057B">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6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917B6" w14:textId="77777777" w:rsidR="0091587F" w:rsidRPr="00BA1B84" w:rsidRDefault="0091587F" w:rsidP="0001057B">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F8020" w14:textId="77777777" w:rsidR="0091587F" w:rsidRPr="00BA1B84" w:rsidRDefault="0091587F" w:rsidP="0001057B">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rs7171932</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331C0" w14:textId="77777777" w:rsidR="0091587F" w:rsidRPr="00BA1B84" w:rsidRDefault="0091587F" w:rsidP="0001057B">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882B2" w14:textId="77777777" w:rsidR="0091587F" w:rsidRPr="00BA1B84" w:rsidRDefault="0091587F" w:rsidP="0001057B">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53,925,521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AA861" w14:textId="77777777" w:rsidR="0091587F" w:rsidRPr="00BA1B84" w:rsidRDefault="0091587F" w:rsidP="0001057B">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A502E" w14:textId="77777777" w:rsidR="0091587F" w:rsidRPr="00BA1B84" w:rsidRDefault="0091587F" w:rsidP="0001057B">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2BE5D" w14:textId="77777777" w:rsidR="0091587F" w:rsidRPr="00BA1B84" w:rsidRDefault="0091587F" w:rsidP="0001057B">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DE4D4" w14:textId="77777777" w:rsidR="0091587F" w:rsidRPr="00BA1B84" w:rsidRDefault="0091587F" w:rsidP="0001057B">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07A32" w14:textId="77777777" w:rsidR="0091587F" w:rsidRPr="00BA1B84" w:rsidRDefault="0091587F" w:rsidP="0001057B">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CC08F" w14:textId="77777777" w:rsidR="0091587F" w:rsidRPr="00BA1B84" w:rsidRDefault="0091587F" w:rsidP="0001057B">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8D6DF4" w:rsidRPr="00BA1B84" w14:paraId="0CB0F6AF"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CFA53" w14:textId="298969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265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75F1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rs2675328</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8223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5739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53,936,627</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153E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DC20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8739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7F9F2"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C7D54"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0ACC6"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8D6DF4" w:rsidRPr="00BA1B84" w14:paraId="097E4998"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4476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329B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CE8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rs542780</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360C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5001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53,939,214</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27DE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4DC3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EC3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4C39C"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0E6CC"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329FA"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8D6DF4" w:rsidRPr="00BA1B84" w14:paraId="679DD747"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A03A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2</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B7A7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[WDR72]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6A5D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rs10518733</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E4D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B439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53,940,307</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C3ED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68E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&lt;0.01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C1C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6C0B3"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B43BA" w14:textId="77777777" w:rsidR="008D6DF4" w:rsidRPr="00BA1B84" w:rsidRDefault="007C1EBA">
            <w:pPr>
              <w:spacing w:after="0" w:line="240" w:lineRule="auto"/>
              <w:jc w:val="center"/>
              <w:rPr>
                <w:rFonts w:ascii="Arial" w:eastAsia="Times New Roman" w:hAnsi="Arial" w:cs="Arial"/>
                <w:i/>
                <w:iCs/>
                <w:color w:val="000000"/>
                <w:sz w:val="18"/>
                <w:szCs w:val="18"/>
                <w:lang w:val="en-US"/>
              </w:rPr>
            </w:pPr>
            <w:r w:rsidRPr="00BA1B84">
              <w:rPr>
                <w:rFonts w:ascii="Arial" w:eastAsia="Times New Roman" w:hAnsi="Arial" w:cs="Arial"/>
                <w:i/>
                <w:iCs/>
                <w:color w:val="000000"/>
                <w:sz w:val="18"/>
                <w:szCs w:val="18"/>
                <w:lang w:val="en-US"/>
              </w:rPr>
              <w:t>WDR72</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23952"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WDR72</w:t>
            </w:r>
          </w:p>
        </w:tc>
      </w:tr>
      <w:tr w:rsidR="008D6DF4" w:rsidRPr="00BA5039" w14:paraId="651235D7"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AC7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0E41"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59B1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rs56012466</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BCC7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109B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151,406,788</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7D3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278F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0.18</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8B15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52BC"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DB5C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132CDEA"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497475BA"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85CE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2E6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D5A5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rs6464165</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F954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485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151,413,124</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399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9966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0.11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800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881CE"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89FF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80CADCD"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3854DFF1"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53BC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25D7C"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9605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rs73158188</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20B6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B41E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151,415,233</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D426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9DF9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0.10</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3EE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ED9E"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2A2D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62EB14E"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3D79788E"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FFBE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F1D6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3F34"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rs10253736</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839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EC9B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151,415,256</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D6DC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9EF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0.09</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47FF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F87B"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240A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5A81D51"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707E612B"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2A80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7A4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0A5F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rs10224210</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C138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511C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151,413,194</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F2C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6F8E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0.08</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6FD9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AB377"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3A583"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15ECA"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w:t>
            </w:r>
          </w:p>
        </w:tc>
      </w:tr>
      <w:tr w:rsidR="008D6DF4" w:rsidRPr="00BA5039" w14:paraId="78FFF1EA"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29D2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344E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7D93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rs10254101</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4F7C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1B31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151,415,536</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FEBC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5A94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0.08</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F82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5394"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812F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BBC11B3"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6B66EB63"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0A1C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492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F5DE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rs55779150</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1F64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1E4B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151,406,449</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77E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6A5D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0.07</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FE4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C979B"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0E1A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20DEDC2"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73FF809E"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32D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7F61"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9032"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rs55791829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8D7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6DD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151,407,429</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0C55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63D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0.07</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30DE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8B50C"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689A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3BC25B5"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7DA04861"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634D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71213"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D2C2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rs10480300</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D34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A1A3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151,406,005</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9E7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96B4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0.06</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F69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474AB"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C82F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9E699"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w:t>
            </w:r>
          </w:p>
        </w:tc>
      </w:tr>
      <w:tr w:rsidR="008D6DF4" w:rsidRPr="00BA5039" w14:paraId="6B4018B5"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5B86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61B2"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0C36E"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rs10224002</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61DA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CE04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151,415,041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84E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BFAA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0.06</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B6CA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4EF6F"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22CF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DC50AE7"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7BCAE9B6"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BAF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135B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6E98D"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rs10480299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A9CE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29CE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151,405,818</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AA0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36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0.03</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166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A97D"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yes</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F71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805A"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 regulatory_region_variant</w:t>
            </w:r>
          </w:p>
        </w:tc>
      </w:tr>
      <w:tr w:rsidR="008D6DF4" w:rsidRPr="00BA5039" w14:paraId="530D3D0E"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F65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B079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F67ED"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rs73728279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2C5C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B64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151,411,494</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21E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17FD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0.03</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27501"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AB2A"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6313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E0AE559"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437C4D24"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C24F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3F51F"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F7FB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rs10265221</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3D7C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41D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151,414,329</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F7B1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2252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0.03</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367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F33C5"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0F04"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1E6EF6E"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2D659D6B"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8336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98BCD"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521F3"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rs7805747</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41F0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7086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151,407,801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A9F4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44E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B0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1571"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7657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03C8922"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4D011BD2"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D0F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15359"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738FA"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rs10263707</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198C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EC87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151,403,505</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E0DC0"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2324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08C9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F384E"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FD6E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A2588E2"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5B042D20"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5195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9CE1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4E828"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rs57807319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B143C"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4032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151,403,260</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9182D"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1549B"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0.01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AB7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CKDi25</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5A30"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no</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2A85F"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PRKAG2</w:t>
            </w:r>
          </w:p>
        </w:tc>
        <w:tc>
          <w:tcPr>
            <w:tcW w:w="407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552228C"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intron_variant,NMD_transcript_variant, PRKAG2</w:t>
            </w:r>
          </w:p>
        </w:tc>
      </w:tr>
      <w:tr w:rsidR="008D6DF4" w:rsidRPr="00BA5039" w14:paraId="72D5ECC4" w14:textId="77777777" w:rsidTr="00783831">
        <w:trPr>
          <w:gridAfter w:val="1"/>
          <w:wAfter w:w="40" w:type="dxa"/>
          <w:trHeight w:val="8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3FD6A"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4</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AEB7"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[OR2S2]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468D6"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rs141809766</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6C917"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9</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D27D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35,937,931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E043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0.77</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4E3A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DB16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269C"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NA</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5345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EF9B"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downstream_gene_variant, RP11-327L3.3</w:t>
            </w:r>
          </w:p>
        </w:tc>
      </w:tr>
      <w:tr w:rsidR="008D6DF4" w:rsidRPr="00BA5039" w14:paraId="7EAF997E" w14:textId="77777777" w:rsidTr="00783831">
        <w:trPr>
          <w:gridAfter w:val="1"/>
          <w:wAfter w:w="40" w:type="dxa"/>
          <w:trHeight w:val="255"/>
        </w:trPr>
        <w:tc>
          <w:tcPr>
            <w:tcW w:w="7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904C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4</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91D95"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[OR2S2]</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0CE6B" w14:textId="77777777" w:rsidR="008D6DF4" w:rsidRPr="00BA1B84" w:rsidRDefault="007C1EBA">
            <w:pPr>
              <w:spacing w:after="0" w:line="240" w:lineRule="auto"/>
              <w:jc w:val="right"/>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rs56289282</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BD149"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9</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8C572"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35,926,028</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7DC8"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0.23</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5338E"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NA</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79685"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Rapid3</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62E2D" w14:textId="77777777" w:rsidR="008D6DF4" w:rsidRPr="00BA1B84" w:rsidRDefault="007C1EBA">
            <w:pPr>
              <w:spacing w:after="0" w:line="240" w:lineRule="auto"/>
              <w:jc w:val="center"/>
              <w:rPr>
                <w:rFonts w:ascii="Arial" w:eastAsia="Times New Roman" w:hAnsi="Arial" w:cs="Arial"/>
                <w:sz w:val="18"/>
                <w:szCs w:val="18"/>
                <w:lang w:val="en-US"/>
              </w:rPr>
            </w:pPr>
            <w:r w:rsidRPr="00BA1B84">
              <w:rPr>
                <w:rFonts w:ascii="Arial" w:eastAsia="Times New Roman" w:hAnsi="Arial" w:cs="Arial"/>
                <w:sz w:val="18"/>
                <w:szCs w:val="18"/>
                <w:lang w:val="en-US"/>
              </w:rPr>
              <w:t>NA</w:t>
            </w:r>
          </w:p>
        </w:tc>
        <w:tc>
          <w:tcPr>
            <w:tcW w:w="9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66796" w14:textId="77777777" w:rsidR="008D6DF4" w:rsidRPr="00BA1B84" w:rsidRDefault="007C1EBA">
            <w:pPr>
              <w:spacing w:after="0" w:line="240" w:lineRule="auto"/>
              <w:jc w:val="center"/>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no</w:t>
            </w:r>
          </w:p>
        </w:tc>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0CD44" w14:textId="77777777" w:rsidR="008D6DF4" w:rsidRPr="00BA1B84" w:rsidRDefault="007C1EBA">
            <w:pPr>
              <w:spacing w:after="0" w:line="240" w:lineRule="auto"/>
              <w:rPr>
                <w:rFonts w:ascii="Arial" w:eastAsia="Times New Roman" w:hAnsi="Arial" w:cs="Arial"/>
                <w:color w:val="000000"/>
                <w:sz w:val="18"/>
                <w:szCs w:val="18"/>
                <w:lang w:val="en-US"/>
              </w:rPr>
            </w:pPr>
            <w:r w:rsidRPr="00BA1B84">
              <w:rPr>
                <w:rFonts w:ascii="Arial" w:eastAsia="Times New Roman" w:hAnsi="Arial" w:cs="Arial"/>
                <w:color w:val="000000"/>
                <w:sz w:val="18"/>
                <w:szCs w:val="18"/>
                <w:lang w:val="en-US"/>
              </w:rPr>
              <w:t>upstream_gene_variant, RP11-327L3.3</w:t>
            </w:r>
          </w:p>
        </w:tc>
      </w:tr>
    </w:tbl>
    <w:p w14:paraId="31A07747" w14:textId="0E56EF49" w:rsidR="008D6DF4" w:rsidRDefault="007C1EBA" w:rsidP="0091587F">
      <w:pPr>
        <w:spacing w:before="120" w:after="0" w:line="240" w:lineRule="auto"/>
        <w:jc w:val="both"/>
        <w:rPr>
          <w:rFonts w:ascii="Arial" w:hAnsi="Arial" w:cs="Arial"/>
          <w:sz w:val="20"/>
          <w:szCs w:val="20"/>
          <w:lang w:val="en-US"/>
        </w:rPr>
      </w:pPr>
      <w:r>
        <w:rPr>
          <w:rFonts w:ascii="Arial" w:hAnsi="Arial" w:cs="Arial"/>
          <w:b/>
          <w:sz w:val="20"/>
          <w:szCs w:val="20"/>
          <w:lang w:val="en-US"/>
        </w:rPr>
        <w:t>Locus/ signal No.</w:t>
      </w:r>
      <w:r>
        <w:rPr>
          <w:rFonts w:ascii="Arial" w:hAnsi="Arial" w:cs="Arial"/>
          <w:sz w:val="20"/>
          <w:szCs w:val="20"/>
          <w:lang w:val="en-US"/>
        </w:rPr>
        <w:t xml:space="preserve">=Locus number and signal number, </w:t>
      </w:r>
      <w:r>
        <w:rPr>
          <w:rFonts w:ascii="Arial" w:hAnsi="Arial" w:cs="Arial"/>
          <w:b/>
          <w:sz w:val="20"/>
          <w:szCs w:val="20"/>
          <w:lang w:val="en-US"/>
        </w:rPr>
        <w:t>Post. Prob. Rapid3/ CKDi25</w:t>
      </w:r>
      <w:r>
        <w:rPr>
          <w:rFonts w:ascii="Arial" w:hAnsi="Arial" w:cs="Arial"/>
          <w:sz w:val="20"/>
          <w:szCs w:val="20"/>
          <w:lang w:val="en-US"/>
        </w:rPr>
        <w:t xml:space="preserve">=Posterior probability of a variant in the credible set from the identifying analysis Rapid3 or CKDi25. NA if the variant was not in the credible variant set or if it was not the identifying analysis, </w:t>
      </w:r>
      <w:r>
        <w:rPr>
          <w:rFonts w:ascii="Arial" w:hAnsi="Arial" w:cs="Arial"/>
          <w:b/>
          <w:sz w:val="20"/>
          <w:szCs w:val="20"/>
          <w:lang w:val="en-US"/>
        </w:rPr>
        <w:t>In gene: no/ gene name</w:t>
      </w:r>
      <w:r>
        <w:rPr>
          <w:rFonts w:ascii="Arial" w:hAnsi="Arial" w:cs="Arial"/>
          <w:sz w:val="20"/>
          <w:szCs w:val="20"/>
          <w:lang w:val="en-US"/>
        </w:rPr>
        <w:t xml:space="preserve">=Variant position is between start and end of gene (see </w:t>
      </w:r>
      <w:r>
        <w:rPr>
          <w:rFonts w:ascii="Arial" w:hAnsi="Arial" w:cs="Arial"/>
          <w:b/>
          <w:sz w:val="20"/>
          <w:szCs w:val="20"/>
          <w:lang w:val="en-US"/>
        </w:rPr>
        <w:t>Supplementary Table 8</w:t>
      </w:r>
      <w:r>
        <w:rPr>
          <w:rFonts w:ascii="Arial" w:hAnsi="Arial" w:cs="Arial"/>
          <w:sz w:val="20"/>
          <w:szCs w:val="20"/>
          <w:lang w:val="en-US"/>
        </w:rPr>
        <w:t xml:space="preserve">), </w:t>
      </w:r>
      <w:r>
        <w:rPr>
          <w:rFonts w:ascii="Arial" w:hAnsi="Arial" w:cs="Arial"/>
          <w:b/>
          <w:sz w:val="20"/>
          <w:szCs w:val="20"/>
          <w:lang w:val="en-US"/>
        </w:rPr>
        <w:t>Function (VEP)</w:t>
      </w:r>
      <w:r>
        <w:rPr>
          <w:rFonts w:ascii="Arial" w:hAnsi="Arial" w:cs="Arial"/>
          <w:sz w:val="20"/>
          <w:szCs w:val="20"/>
          <w:lang w:val="en-US"/>
        </w:rPr>
        <w:t>=The predicted function was obtained from the Ensembl Variant Effect Predictor</w:t>
      </w:r>
      <w:r w:rsidR="003D1CE9" w:rsidRPr="003D1CE9">
        <w:rPr>
          <w:rFonts w:ascii="Arial" w:hAnsi="Arial" w:cs="Arial"/>
          <w:sz w:val="20"/>
          <w:szCs w:val="20"/>
          <w:vertAlign w:val="superscript"/>
          <w:lang w:val="en-US"/>
        </w:rPr>
        <w:t>49</w:t>
      </w:r>
      <w:r>
        <w:rPr>
          <w:rFonts w:ascii="Arial" w:hAnsi="Arial" w:cs="Arial"/>
          <w:sz w:val="20"/>
          <w:szCs w:val="20"/>
          <w:lang w:val="en-US"/>
        </w:rPr>
        <w:t>.</w:t>
      </w:r>
    </w:p>
    <w:p w14:paraId="740CA60C" w14:textId="77777777" w:rsidR="008D6DF4" w:rsidRDefault="008D6DF4">
      <w:pPr>
        <w:spacing w:line="360" w:lineRule="auto"/>
        <w:jc w:val="both"/>
        <w:rPr>
          <w:rFonts w:ascii="Arial" w:hAnsi="Arial" w:cs="Arial"/>
          <w:b/>
          <w:lang w:val="en-US"/>
        </w:rPr>
        <w:sectPr w:rsidR="008D6DF4">
          <w:pgSz w:w="16838" w:h="11906" w:orient="landscape"/>
          <w:pgMar w:top="1417" w:right="1417" w:bottom="1417" w:left="1134" w:header="708" w:footer="708" w:gutter="0"/>
          <w:cols w:space="708"/>
          <w:docGrid w:linePitch="360"/>
        </w:sectPr>
      </w:pPr>
    </w:p>
    <w:p w14:paraId="244B1099" w14:textId="1C883594" w:rsidR="008D6DF4" w:rsidRDefault="007C1EBA" w:rsidP="007E6836">
      <w:pPr>
        <w:spacing w:after="120" w:line="240" w:lineRule="auto"/>
        <w:jc w:val="both"/>
        <w:rPr>
          <w:rFonts w:ascii="Arial" w:hAnsi="Arial" w:cs="Arial"/>
          <w:b/>
          <w:lang w:val="en-US"/>
        </w:rPr>
      </w:pPr>
      <w:r>
        <w:rPr>
          <w:rFonts w:ascii="Arial" w:hAnsi="Arial" w:cs="Arial"/>
          <w:b/>
          <w:lang w:val="en-US"/>
        </w:rPr>
        <w:lastRenderedPageBreak/>
        <w:t>Supplementary Table 6</w:t>
      </w:r>
      <w:r w:rsidR="006F789D">
        <w:rPr>
          <w:rFonts w:ascii="Arial" w:hAnsi="Arial" w:cs="Arial"/>
          <w:b/>
          <w:lang w:val="en-US"/>
        </w:rPr>
        <w:t>B</w:t>
      </w:r>
      <w:r>
        <w:rPr>
          <w:rFonts w:ascii="Arial" w:hAnsi="Arial" w:cs="Arial"/>
          <w:b/>
          <w:lang w:val="en-US"/>
        </w:rPr>
        <w:t xml:space="preserve"> | The 99% credible set variants with significant eQTL results.</w:t>
      </w:r>
      <w:r>
        <w:rPr>
          <w:rFonts w:ascii="Arial" w:hAnsi="Arial" w:cs="Arial"/>
          <w:lang w:val="en-US"/>
        </w:rPr>
        <w:t xml:space="preserve"> Shown are the 99% credible set variants across the five genome-wide significant signals with significant eQTL results (FDR&lt;0.05) in NephQTL</w:t>
      </w:r>
      <w:r w:rsidR="003D1CE9" w:rsidRPr="003D1CE9">
        <w:rPr>
          <w:rFonts w:ascii="Arial" w:hAnsi="Arial" w:cs="Arial"/>
          <w:vertAlign w:val="superscript"/>
          <w:lang w:val="en-US"/>
        </w:rPr>
        <w:t>50</w:t>
      </w:r>
      <w:r>
        <w:rPr>
          <w:rFonts w:ascii="Arial" w:hAnsi="Arial" w:cs="Arial"/>
          <w:lang w:val="en-US"/>
        </w:rPr>
        <w:t xml:space="preserve"> (glomerulus or tubulointerstitium) or GTEx</w:t>
      </w:r>
      <w:r w:rsidR="003D1CE9" w:rsidRPr="003D1CE9">
        <w:rPr>
          <w:rFonts w:ascii="Arial" w:hAnsi="Arial" w:cs="Arial"/>
          <w:vertAlign w:val="superscript"/>
          <w:lang w:val="en-US"/>
        </w:rPr>
        <w:t>51</w:t>
      </w:r>
      <w:r w:rsidR="00A22573">
        <w:rPr>
          <w:rFonts w:ascii="Arial" w:hAnsi="Arial" w:cs="Arial"/>
          <w:vertAlign w:val="superscript"/>
          <w:lang w:val="en-US"/>
        </w:rPr>
        <w:t xml:space="preserve"> </w:t>
      </w:r>
      <w:r>
        <w:rPr>
          <w:rFonts w:ascii="Arial" w:hAnsi="Arial" w:cs="Arial"/>
          <w:lang w:val="en-US"/>
        </w:rPr>
        <w:t xml:space="preserve">(kidney or any other tissue) for gene expression in the locus region. Marked in orange are significant eQTLs of genes in a locus region as in </w:t>
      </w:r>
      <w:r>
        <w:rPr>
          <w:rFonts w:ascii="Arial" w:hAnsi="Arial" w:cs="Arial"/>
          <w:b/>
          <w:lang w:val="en-US"/>
        </w:rPr>
        <w:t>Supplementary</w:t>
      </w:r>
      <w:r w:rsidR="00783831">
        <w:rPr>
          <w:rFonts w:ascii="Arial" w:hAnsi="Arial" w:cs="Arial"/>
          <w:b/>
          <w:lang w:val="en-US"/>
        </w:rPr>
        <w:t> </w:t>
      </w:r>
      <w:r>
        <w:rPr>
          <w:rFonts w:ascii="Arial" w:hAnsi="Arial" w:cs="Arial"/>
          <w:b/>
          <w:lang w:val="en-US"/>
        </w:rPr>
        <w:t>Table</w:t>
      </w:r>
      <w:r w:rsidR="00783831">
        <w:rPr>
          <w:rFonts w:ascii="Arial" w:hAnsi="Arial" w:cs="Arial"/>
          <w:b/>
          <w:lang w:val="en-US"/>
        </w:rPr>
        <w:t> </w:t>
      </w:r>
      <w:r>
        <w:rPr>
          <w:rFonts w:ascii="Arial" w:hAnsi="Arial" w:cs="Arial"/>
          <w:b/>
          <w:lang w:val="en-US"/>
        </w:rPr>
        <w:t>8</w:t>
      </w:r>
      <w:r>
        <w:rPr>
          <w:rFonts w:ascii="Arial" w:hAnsi="Arial" w:cs="Arial"/>
          <w:lang w:val="en-US"/>
        </w:rPr>
        <w:t>.</w:t>
      </w:r>
    </w:p>
    <w:tbl>
      <w:tblPr>
        <w:tblW w:w="14175" w:type="dxa"/>
        <w:tblLayout w:type="fixed"/>
        <w:tblLook w:val="04A0" w:firstRow="1" w:lastRow="0" w:firstColumn="1" w:lastColumn="0" w:noHBand="0" w:noVBand="1"/>
      </w:tblPr>
      <w:tblGrid>
        <w:gridCol w:w="851"/>
        <w:gridCol w:w="1139"/>
        <w:gridCol w:w="1384"/>
        <w:gridCol w:w="1106"/>
        <w:gridCol w:w="907"/>
        <w:gridCol w:w="992"/>
        <w:gridCol w:w="1276"/>
        <w:gridCol w:w="1843"/>
        <w:gridCol w:w="272"/>
        <w:gridCol w:w="1429"/>
        <w:gridCol w:w="1275"/>
        <w:gridCol w:w="142"/>
        <w:gridCol w:w="1559"/>
      </w:tblGrid>
      <w:tr w:rsidR="008D6DF4" w14:paraId="0EC0AEF2" w14:textId="77777777" w:rsidTr="00E55235">
        <w:tc>
          <w:tcPr>
            <w:tcW w:w="851" w:type="dxa"/>
            <w:tcBorders>
              <w:top w:val="single" w:sz="4" w:space="0" w:color="auto"/>
              <w:left w:val="nil"/>
              <w:bottom w:val="nil"/>
              <w:right w:val="nil"/>
            </w:tcBorders>
            <w:shd w:val="clear" w:color="auto" w:fill="BDD6EE" w:themeFill="accent1" w:themeFillTint="66"/>
            <w:vAlign w:val="bottom"/>
            <w:hideMark/>
          </w:tcPr>
          <w:p w14:paraId="6EC88955"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139" w:type="dxa"/>
            <w:tcBorders>
              <w:top w:val="single" w:sz="4" w:space="0" w:color="auto"/>
              <w:left w:val="nil"/>
              <w:bottom w:val="nil"/>
              <w:right w:val="nil"/>
            </w:tcBorders>
            <w:shd w:val="clear" w:color="auto" w:fill="BDD6EE" w:themeFill="accent1" w:themeFillTint="66"/>
            <w:vAlign w:val="bottom"/>
            <w:hideMark/>
          </w:tcPr>
          <w:p w14:paraId="1E497439"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384" w:type="dxa"/>
            <w:tcBorders>
              <w:top w:val="single" w:sz="4" w:space="0" w:color="auto"/>
              <w:left w:val="nil"/>
              <w:bottom w:val="nil"/>
              <w:right w:val="nil"/>
            </w:tcBorders>
            <w:shd w:val="clear" w:color="auto" w:fill="BDD6EE" w:themeFill="accent1" w:themeFillTint="66"/>
            <w:vAlign w:val="bottom"/>
            <w:hideMark/>
          </w:tcPr>
          <w:p w14:paraId="02FC6961"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106" w:type="dxa"/>
            <w:tcBorders>
              <w:top w:val="single" w:sz="4" w:space="0" w:color="auto"/>
              <w:left w:val="nil"/>
              <w:bottom w:val="nil"/>
              <w:right w:val="nil"/>
            </w:tcBorders>
            <w:shd w:val="clear" w:color="auto" w:fill="BDD6EE" w:themeFill="accent1" w:themeFillTint="66"/>
            <w:noWrap/>
            <w:vAlign w:val="bottom"/>
            <w:hideMark/>
          </w:tcPr>
          <w:p w14:paraId="28636A5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 </w:t>
            </w:r>
          </w:p>
        </w:tc>
        <w:tc>
          <w:tcPr>
            <w:tcW w:w="907" w:type="dxa"/>
            <w:tcBorders>
              <w:top w:val="single" w:sz="4" w:space="0" w:color="auto"/>
              <w:left w:val="nil"/>
              <w:right w:val="nil"/>
            </w:tcBorders>
            <w:shd w:val="clear" w:color="auto" w:fill="BDD6EE" w:themeFill="accent1" w:themeFillTint="66"/>
            <w:noWrap/>
            <w:vAlign w:val="bottom"/>
            <w:hideMark/>
          </w:tcPr>
          <w:p w14:paraId="08F30C4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 </w:t>
            </w:r>
          </w:p>
        </w:tc>
        <w:tc>
          <w:tcPr>
            <w:tcW w:w="992" w:type="dxa"/>
            <w:tcBorders>
              <w:top w:val="single" w:sz="4" w:space="0" w:color="auto"/>
              <w:left w:val="nil"/>
              <w:right w:val="nil"/>
            </w:tcBorders>
            <w:shd w:val="clear" w:color="auto" w:fill="BDD6EE" w:themeFill="accent1" w:themeFillTint="66"/>
            <w:noWrap/>
            <w:vAlign w:val="bottom"/>
            <w:hideMark/>
          </w:tcPr>
          <w:p w14:paraId="6F2B08F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 </w:t>
            </w:r>
          </w:p>
        </w:tc>
        <w:tc>
          <w:tcPr>
            <w:tcW w:w="3119"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61049BC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w:t>
            </w:r>
          </w:p>
        </w:tc>
        <w:tc>
          <w:tcPr>
            <w:tcW w:w="272" w:type="dxa"/>
            <w:tcBorders>
              <w:top w:val="single" w:sz="4" w:space="0" w:color="auto"/>
              <w:left w:val="nil"/>
              <w:bottom w:val="nil"/>
              <w:right w:val="nil"/>
            </w:tcBorders>
            <w:shd w:val="clear" w:color="auto" w:fill="BDD6EE" w:themeFill="accent1" w:themeFillTint="66"/>
            <w:vAlign w:val="bottom"/>
            <w:hideMark/>
          </w:tcPr>
          <w:p w14:paraId="08D9721F"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4405" w:type="dxa"/>
            <w:gridSpan w:val="4"/>
            <w:tcBorders>
              <w:top w:val="single" w:sz="4" w:space="0" w:color="auto"/>
              <w:left w:val="nil"/>
              <w:bottom w:val="single" w:sz="4" w:space="0" w:color="auto"/>
              <w:right w:val="nil"/>
            </w:tcBorders>
            <w:shd w:val="clear" w:color="auto" w:fill="BDD6EE" w:themeFill="accent1" w:themeFillTint="66"/>
            <w:noWrap/>
            <w:vAlign w:val="bottom"/>
            <w:hideMark/>
          </w:tcPr>
          <w:p w14:paraId="18FBCBA8"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w:t>
            </w:r>
          </w:p>
        </w:tc>
      </w:tr>
      <w:tr w:rsidR="008D6DF4" w14:paraId="62005D9F" w14:textId="77777777" w:rsidTr="007D2947">
        <w:tc>
          <w:tcPr>
            <w:tcW w:w="851" w:type="dxa"/>
            <w:tcBorders>
              <w:top w:val="nil"/>
              <w:left w:val="nil"/>
              <w:bottom w:val="single" w:sz="4" w:space="0" w:color="auto"/>
              <w:right w:val="nil"/>
            </w:tcBorders>
            <w:shd w:val="clear" w:color="auto" w:fill="BDD6EE" w:themeFill="accent1" w:themeFillTint="66"/>
            <w:noWrap/>
            <w:vAlign w:val="bottom"/>
            <w:hideMark/>
          </w:tcPr>
          <w:p w14:paraId="11043543"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w:t>
            </w:r>
          </w:p>
          <w:p w14:paraId="697BF96B"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No.</w:t>
            </w:r>
          </w:p>
        </w:tc>
        <w:tc>
          <w:tcPr>
            <w:tcW w:w="1139" w:type="dxa"/>
            <w:tcBorders>
              <w:top w:val="nil"/>
              <w:left w:val="nil"/>
              <w:bottom w:val="single" w:sz="4" w:space="0" w:color="auto"/>
              <w:right w:val="nil"/>
            </w:tcBorders>
            <w:shd w:val="clear" w:color="auto" w:fill="BDD6EE" w:themeFill="accent1" w:themeFillTint="66"/>
            <w:noWrap/>
            <w:vAlign w:val="bottom"/>
            <w:hideMark/>
          </w:tcPr>
          <w:p w14:paraId="541C72E8"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384" w:type="dxa"/>
            <w:tcBorders>
              <w:top w:val="nil"/>
              <w:left w:val="nil"/>
              <w:bottom w:val="single" w:sz="4" w:space="0" w:color="auto"/>
              <w:right w:val="nil"/>
            </w:tcBorders>
            <w:shd w:val="clear" w:color="auto" w:fill="BDD6EE" w:themeFill="accent1" w:themeFillTint="66"/>
            <w:noWrap/>
            <w:vAlign w:val="bottom"/>
            <w:hideMark/>
          </w:tcPr>
          <w:p w14:paraId="627123D8"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RSID</w:t>
            </w:r>
          </w:p>
        </w:tc>
        <w:tc>
          <w:tcPr>
            <w:tcW w:w="1106" w:type="dxa"/>
            <w:tcBorders>
              <w:top w:val="nil"/>
              <w:left w:val="nil"/>
              <w:bottom w:val="single" w:sz="4" w:space="0" w:color="auto"/>
              <w:right w:val="nil"/>
            </w:tcBorders>
            <w:shd w:val="clear" w:color="auto" w:fill="BDD6EE" w:themeFill="accent1" w:themeFillTint="66"/>
            <w:vAlign w:val="bottom"/>
            <w:hideMark/>
          </w:tcPr>
          <w:p w14:paraId="2978EF16"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907" w:type="dxa"/>
            <w:tcBorders>
              <w:top w:val="nil"/>
              <w:left w:val="nil"/>
              <w:bottom w:val="single" w:sz="4" w:space="0" w:color="auto"/>
              <w:right w:val="nil"/>
            </w:tcBorders>
            <w:shd w:val="clear" w:color="auto" w:fill="BDD6EE" w:themeFill="accent1" w:themeFillTint="66"/>
            <w:vAlign w:val="bottom"/>
            <w:hideMark/>
          </w:tcPr>
          <w:p w14:paraId="1F78DBC3"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Post. Prob.</w:t>
            </w:r>
            <w:r>
              <w:rPr>
                <w:rFonts w:ascii="Arial" w:eastAsia="Times New Roman" w:hAnsi="Arial" w:cs="Arial"/>
                <w:b/>
                <w:bCs/>
                <w:color w:val="000000"/>
                <w:sz w:val="20"/>
                <w:szCs w:val="20"/>
                <w:lang w:val="en-US"/>
              </w:rPr>
              <w:br/>
              <w:t>Rapid3</w:t>
            </w:r>
          </w:p>
        </w:tc>
        <w:tc>
          <w:tcPr>
            <w:tcW w:w="992" w:type="dxa"/>
            <w:tcBorders>
              <w:top w:val="nil"/>
              <w:left w:val="nil"/>
              <w:bottom w:val="single" w:sz="4" w:space="0" w:color="auto"/>
              <w:right w:val="nil"/>
            </w:tcBorders>
            <w:shd w:val="clear" w:color="auto" w:fill="BDD6EE" w:themeFill="accent1" w:themeFillTint="66"/>
            <w:vAlign w:val="bottom"/>
            <w:hideMark/>
          </w:tcPr>
          <w:p w14:paraId="7A93873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Post. Prob.</w:t>
            </w:r>
            <w:r>
              <w:rPr>
                <w:rFonts w:ascii="Arial" w:eastAsia="Times New Roman" w:hAnsi="Arial" w:cs="Arial"/>
                <w:b/>
                <w:bCs/>
                <w:color w:val="000000"/>
                <w:sz w:val="20"/>
                <w:szCs w:val="20"/>
                <w:lang w:val="en-US"/>
              </w:rPr>
              <w:br/>
              <w:t>CKDi25</w:t>
            </w:r>
          </w:p>
        </w:tc>
        <w:tc>
          <w:tcPr>
            <w:tcW w:w="1276" w:type="dxa"/>
            <w:tcBorders>
              <w:top w:val="nil"/>
              <w:left w:val="nil"/>
              <w:bottom w:val="single" w:sz="4" w:space="0" w:color="auto"/>
              <w:right w:val="nil"/>
            </w:tcBorders>
            <w:shd w:val="clear" w:color="auto" w:fill="BDD6EE" w:themeFill="accent1" w:themeFillTint="66"/>
            <w:vAlign w:val="bottom"/>
            <w:hideMark/>
          </w:tcPr>
          <w:p w14:paraId="08B7AF8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Significant eQTL</w:t>
            </w:r>
            <w:r>
              <w:rPr>
                <w:rFonts w:ascii="Arial" w:eastAsia="Times New Roman" w:hAnsi="Arial" w:cs="Arial"/>
                <w:b/>
                <w:bCs/>
                <w:color w:val="000000"/>
                <w:sz w:val="20"/>
                <w:szCs w:val="20"/>
                <w:lang w:val="en-US"/>
              </w:rPr>
              <w:br/>
              <w:t>(FDR&lt;0.05)</w:t>
            </w:r>
          </w:p>
        </w:tc>
        <w:tc>
          <w:tcPr>
            <w:tcW w:w="1843" w:type="dxa"/>
            <w:tcBorders>
              <w:top w:val="nil"/>
              <w:left w:val="nil"/>
              <w:bottom w:val="single" w:sz="4" w:space="0" w:color="auto"/>
              <w:right w:val="nil"/>
            </w:tcBorders>
            <w:shd w:val="clear" w:color="auto" w:fill="BDD6EE" w:themeFill="accent1" w:themeFillTint="66"/>
            <w:vAlign w:val="bottom"/>
            <w:hideMark/>
          </w:tcPr>
          <w:p w14:paraId="09D5F12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Tissue with significant eQTL</w:t>
            </w:r>
          </w:p>
        </w:tc>
        <w:tc>
          <w:tcPr>
            <w:tcW w:w="272" w:type="dxa"/>
            <w:tcBorders>
              <w:top w:val="nil"/>
              <w:left w:val="nil"/>
              <w:bottom w:val="single" w:sz="4" w:space="0" w:color="auto"/>
              <w:right w:val="nil"/>
            </w:tcBorders>
            <w:shd w:val="clear" w:color="auto" w:fill="BDD6EE" w:themeFill="accent1" w:themeFillTint="66"/>
            <w:vAlign w:val="bottom"/>
            <w:hideMark/>
          </w:tcPr>
          <w:p w14:paraId="6F919C4A"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429" w:type="dxa"/>
            <w:tcBorders>
              <w:top w:val="nil"/>
              <w:left w:val="nil"/>
              <w:bottom w:val="single" w:sz="4" w:space="0" w:color="auto"/>
              <w:right w:val="nil"/>
            </w:tcBorders>
            <w:shd w:val="clear" w:color="auto" w:fill="BDD6EE" w:themeFill="accent1" w:themeFillTint="66"/>
            <w:tcMar>
              <w:left w:w="28" w:type="dxa"/>
              <w:right w:w="28" w:type="dxa"/>
            </w:tcMar>
            <w:vAlign w:val="bottom"/>
            <w:hideMark/>
          </w:tcPr>
          <w:p w14:paraId="4025C063" w14:textId="69287043" w:rsidR="008D6DF4" w:rsidRDefault="007C1EBA" w:rsidP="007D2947">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Significant eQTL</w:t>
            </w:r>
            <w:r w:rsidR="007E6836">
              <w:rPr>
                <w:rFonts w:ascii="Arial" w:eastAsia="Times New Roman" w:hAnsi="Arial" w:cs="Arial"/>
                <w:b/>
                <w:bCs/>
                <w:color w:val="000000"/>
                <w:sz w:val="20"/>
                <w:szCs w:val="20"/>
                <w:lang w:val="en-US"/>
              </w:rPr>
              <w:t xml:space="preserve"> </w:t>
            </w:r>
            <w:r>
              <w:rPr>
                <w:rFonts w:ascii="Arial" w:eastAsia="Times New Roman" w:hAnsi="Arial" w:cs="Arial"/>
                <w:b/>
                <w:bCs/>
                <w:color w:val="000000"/>
                <w:sz w:val="20"/>
                <w:szCs w:val="20"/>
                <w:lang w:val="en-US"/>
              </w:rPr>
              <w:t xml:space="preserve">in </w:t>
            </w:r>
            <w:r w:rsidR="007D2947">
              <w:rPr>
                <w:rFonts w:ascii="Arial" w:eastAsia="Times New Roman" w:hAnsi="Arial" w:cs="Arial"/>
                <w:b/>
                <w:bCs/>
                <w:color w:val="000000"/>
                <w:sz w:val="20"/>
                <w:szCs w:val="20"/>
                <w:lang w:val="en-US"/>
              </w:rPr>
              <w:t>k</w:t>
            </w:r>
            <w:r>
              <w:rPr>
                <w:rFonts w:ascii="Arial" w:eastAsia="Times New Roman" w:hAnsi="Arial" w:cs="Arial"/>
                <w:b/>
                <w:bCs/>
                <w:color w:val="000000"/>
                <w:sz w:val="20"/>
                <w:szCs w:val="20"/>
                <w:lang w:val="en-US"/>
              </w:rPr>
              <w:t>idney tissue</w:t>
            </w:r>
            <w:r>
              <w:rPr>
                <w:rFonts w:ascii="Arial" w:eastAsia="Times New Roman" w:hAnsi="Arial" w:cs="Arial"/>
                <w:b/>
                <w:bCs/>
                <w:color w:val="000000"/>
                <w:sz w:val="20"/>
                <w:szCs w:val="20"/>
                <w:lang w:val="en-US"/>
              </w:rPr>
              <w:br/>
              <w:t>(FDR&lt;0.05)</w:t>
            </w:r>
          </w:p>
        </w:tc>
        <w:tc>
          <w:tcPr>
            <w:tcW w:w="1275" w:type="dxa"/>
            <w:tcBorders>
              <w:top w:val="nil"/>
              <w:left w:val="nil"/>
              <w:bottom w:val="single" w:sz="4" w:space="0" w:color="auto"/>
              <w:right w:val="nil"/>
            </w:tcBorders>
            <w:shd w:val="clear" w:color="auto" w:fill="BDD6EE" w:themeFill="accent1" w:themeFillTint="66"/>
            <w:tcMar>
              <w:left w:w="28" w:type="dxa"/>
              <w:right w:w="28" w:type="dxa"/>
            </w:tcMar>
            <w:vAlign w:val="bottom"/>
            <w:hideMark/>
          </w:tcPr>
          <w:p w14:paraId="03527966" w14:textId="08E79DB6" w:rsidR="008D6DF4" w:rsidRDefault="007C1EBA" w:rsidP="007D2947">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Significant eQTL</w:t>
            </w:r>
            <w:r w:rsidR="007D2947">
              <w:rPr>
                <w:rFonts w:ascii="Arial" w:eastAsia="Times New Roman" w:hAnsi="Arial" w:cs="Arial"/>
                <w:b/>
                <w:bCs/>
                <w:color w:val="000000"/>
                <w:sz w:val="20"/>
                <w:szCs w:val="20"/>
                <w:lang w:val="en-US"/>
              </w:rPr>
              <w:t xml:space="preserve"> </w:t>
            </w:r>
            <w:r>
              <w:rPr>
                <w:rFonts w:ascii="Arial" w:eastAsia="Times New Roman" w:hAnsi="Arial" w:cs="Arial"/>
                <w:b/>
                <w:bCs/>
                <w:color w:val="000000"/>
                <w:sz w:val="20"/>
                <w:szCs w:val="20"/>
                <w:lang w:val="en-US"/>
              </w:rPr>
              <w:t>in other tissue</w:t>
            </w:r>
            <w:r>
              <w:rPr>
                <w:rFonts w:ascii="Arial" w:eastAsia="Times New Roman" w:hAnsi="Arial" w:cs="Arial"/>
                <w:b/>
                <w:bCs/>
                <w:color w:val="000000"/>
                <w:sz w:val="20"/>
                <w:szCs w:val="20"/>
                <w:lang w:val="en-US"/>
              </w:rPr>
              <w:br/>
              <w:t>(FDR&lt;0.05)</w:t>
            </w:r>
          </w:p>
        </w:tc>
        <w:tc>
          <w:tcPr>
            <w:tcW w:w="1701" w:type="dxa"/>
            <w:gridSpan w:val="2"/>
            <w:tcBorders>
              <w:top w:val="nil"/>
              <w:left w:val="nil"/>
              <w:bottom w:val="single" w:sz="4" w:space="0" w:color="auto"/>
              <w:right w:val="nil"/>
            </w:tcBorders>
            <w:shd w:val="clear" w:color="auto" w:fill="BDD6EE" w:themeFill="accent1" w:themeFillTint="66"/>
            <w:vAlign w:val="bottom"/>
            <w:hideMark/>
          </w:tcPr>
          <w:p w14:paraId="0E07F2F5"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Tissue with signficant eQTL</w:t>
            </w:r>
          </w:p>
        </w:tc>
      </w:tr>
      <w:tr w:rsidR="00106A2A" w:rsidRPr="00BA040E" w14:paraId="7B137D13"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48B9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1</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9F6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[UMOD-PDILT]</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F2F2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rs77924615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19562"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PDILT</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CA7B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C0760"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0.9979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3E8A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2504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A5F36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B77267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50B3C41" w14:textId="52C90DFE" w:rsidR="00106A2A" w:rsidRPr="00BA040E" w:rsidRDefault="00106A2A" w:rsidP="00BA040E">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Prostate &amp; testis</w:t>
            </w:r>
          </w:p>
        </w:tc>
      </w:tr>
      <w:tr w:rsidR="00106A2A" w:rsidRPr="00BA040E" w14:paraId="4A8FFAD0"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23E9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7BD9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FF23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rs77593734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BE499"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D996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2B36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925A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52F6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4044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C25CA5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0CFAF96"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7EB2C594"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5D7E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97B2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79CFB"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rs11853157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E1A08"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97E5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1D7B4"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D027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43C3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917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04BFAF8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8BC667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05660A99"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2B86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80D3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00F1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rs1105903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8E7E"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A46E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B834"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D63C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9AEA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24F9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094A46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1730A7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2B6CB4B3"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1310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1A74A"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B9701"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rs75183529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CC207"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C5704"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31170"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0DF7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A842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95C4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1ED6A86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C073443"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121D6AB1"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000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6236A"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99FC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rs58901710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38251"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B1BF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DAC7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D951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C663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B56E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DE1C5D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970A95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496E083D"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2B3F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FA06A"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9E27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rs11070995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2C965"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52ECB"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0D8F7"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076E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EBA2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661B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5AFE481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820B288"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6E924CAA"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ED72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13948"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F3C8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rs4536407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1B175"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181A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72387"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ADFA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34CB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DC64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F9D83B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8D2EB1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163468F0"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3F82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34396"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4A87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rs1906411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7276"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41BC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2B8F"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5E25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A0CB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0119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04F5CD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FA98A8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0923D44F"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A776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CD48"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A258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rs12442975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E5A5"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C9B9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90574"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3360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D040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3AD8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AC43B0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5195D7A"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1FE19E62"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49D0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84C6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84D8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rs10518731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432A0"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70F80"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A603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9F91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5E2C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2762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A5B6C6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05B0BD4"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437CACC9"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5CB5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6121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F9A4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rs12442962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F2F13"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DCC98"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EDFE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05DF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67E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B4D6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42B5D79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51C8DE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1B768B5B"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D7B0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4A2F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DA4A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rs4776164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21486"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A3690"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C230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7BE6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00B2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E832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2F9A6F7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2B2410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3B50A9F8"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CF0A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4BA1"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716D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rs17730323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4D8AD"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94E4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C9CB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4BE5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61F4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1046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4C197C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1E7F93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03B9F3F6"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553A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7263B"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262E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rs10518732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8031D"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644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FAB44"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A47C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1D6E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9F4F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2B07DB0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76AB54B"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22E9B6B4"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0E58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3537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62F76"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rs17730281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787ED"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66291"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03BDA"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4F8A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506E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3745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2C351E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A2AB18A"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0D36B6A1"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DA6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7D8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D5A9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rs732975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A5BC8"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FCF37"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D365D"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B6F4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699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3366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1E9B17F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EF30C96"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59B79DC2"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8F3B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97F6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A664B"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rs11070994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32217"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F93D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75D8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B9CF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2A8C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FD17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04E4B48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4EE6C2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54C4A3DF"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BFEE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EE58B"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E8A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rs7166545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127E1"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3AFD7"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DA16C"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8FA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2480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DCBE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1605187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C877C9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5BDE4525"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802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3047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50C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rs62005941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8D26A"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D15B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69B7F"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8095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B1CE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3512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08CDF3A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009325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43FD5048"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F861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7FE8A"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CDA6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rs17730436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3C5A9"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2C43A"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ECB20"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34D3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6E2F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0B1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4BB0687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9A46D2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562F502B" w14:textId="77777777" w:rsidTr="00E552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BA7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64431"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2B5B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rs1031755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0E904"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8349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7561B"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F394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6239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B287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719B54D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F1365A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E83EAC" w:rsidRPr="00BA040E" w14:paraId="07DAC369" w14:textId="77777777" w:rsidTr="00E83EA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3F656"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E02BB"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B9055"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rs1031756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CE2E5" w14:textId="77777777" w:rsidR="00E83EAC" w:rsidRPr="00BA040E" w:rsidRDefault="00E83EAC" w:rsidP="0001057B">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9591C" w14:textId="77777777" w:rsidR="00E83EAC" w:rsidRPr="00BA040E" w:rsidRDefault="00E83EAC" w:rsidP="0001057B">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C72FE" w14:textId="77777777" w:rsidR="00E83EAC" w:rsidRPr="00BA040E" w:rsidRDefault="00E83EAC" w:rsidP="0001057B">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462CC"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F14DB"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01337"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5E3DEFFB"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92C6992"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E83EAC" w:rsidRPr="00BA040E" w14:paraId="20537FC3" w14:textId="77777777" w:rsidTr="00E83EA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0C1B2"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3A3A8"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1D46"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rs12593967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1FDF1" w14:textId="77777777" w:rsidR="00E83EAC" w:rsidRPr="00BA040E" w:rsidRDefault="00E83EAC" w:rsidP="0001057B">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7D586" w14:textId="77777777" w:rsidR="00E83EAC" w:rsidRPr="00BA040E" w:rsidRDefault="00E83EAC" w:rsidP="0001057B">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60C1" w14:textId="77777777" w:rsidR="00E83EAC" w:rsidRPr="00BA040E" w:rsidRDefault="00E83EAC" w:rsidP="0001057B">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953F"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55027"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BFD6"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3DDC3C26"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4FC5B9D"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E83EAC" w:rsidRPr="00BA040E" w14:paraId="7F1A772D" w14:textId="77777777" w:rsidTr="00E83EA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91AA1"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F7491"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7D5F7"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rs3911729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81ECC" w14:textId="77777777" w:rsidR="00E83EAC" w:rsidRPr="00BA040E" w:rsidRDefault="00E83EAC" w:rsidP="0001057B">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26F8B" w14:textId="77777777" w:rsidR="00E83EAC" w:rsidRPr="00BA040E" w:rsidRDefault="00E83EAC" w:rsidP="0001057B">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E1604" w14:textId="77777777" w:rsidR="00E83EAC" w:rsidRPr="00BA040E" w:rsidRDefault="00E83EAC" w:rsidP="0001057B">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F6E4C"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72118"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D5422"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14:paraId="662181F4" w14:textId="77777777" w:rsidR="00E83EAC" w:rsidRPr="00BA040E" w:rsidRDefault="00E83EAC" w:rsidP="0001057B">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E83532B" w14:textId="77777777" w:rsidR="00E83EAC" w:rsidRPr="00BA040E" w:rsidRDefault="00E83EAC" w:rsidP="0001057B">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bl>
    <w:p w14:paraId="3389CA75" w14:textId="4AA2C824" w:rsidR="007D2947" w:rsidRDefault="007D2947" w:rsidP="007D2947">
      <w:pPr>
        <w:jc w:val="right"/>
      </w:pPr>
      <w:r>
        <w:t>… to be continued</w:t>
      </w:r>
      <w:r>
        <w:br w:type="page"/>
      </w:r>
    </w:p>
    <w:p w14:paraId="4581C41E" w14:textId="1BFFFFC0" w:rsidR="007D2947" w:rsidRDefault="007D2947" w:rsidP="007D2947">
      <w:pPr>
        <w:spacing w:after="120" w:line="240" w:lineRule="auto"/>
        <w:jc w:val="both"/>
        <w:rPr>
          <w:rFonts w:ascii="Arial" w:hAnsi="Arial" w:cs="Arial"/>
          <w:b/>
          <w:lang w:val="en-US"/>
        </w:rPr>
      </w:pPr>
      <w:r>
        <w:rPr>
          <w:rFonts w:ascii="Arial" w:hAnsi="Arial" w:cs="Arial"/>
          <w:b/>
          <w:lang w:val="en-US"/>
        </w:rPr>
        <w:lastRenderedPageBreak/>
        <w:t>Supplementary Table 6</w:t>
      </w:r>
      <w:r w:rsidR="006F789D">
        <w:rPr>
          <w:rFonts w:ascii="Arial" w:hAnsi="Arial" w:cs="Arial"/>
          <w:b/>
          <w:lang w:val="en-US"/>
        </w:rPr>
        <w:t>B</w:t>
      </w:r>
      <w:r>
        <w:rPr>
          <w:rFonts w:ascii="Arial" w:hAnsi="Arial" w:cs="Arial"/>
          <w:b/>
          <w:lang w:val="en-US"/>
        </w:rPr>
        <w:t>: continued</w:t>
      </w:r>
    </w:p>
    <w:tbl>
      <w:tblPr>
        <w:tblW w:w="14175" w:type="dxa"/>
        <w:tblLayout w:type="fixed"/>
        <w:tblLook w:val="04A0" w:firstRow="1" w:lastRow="0" w:firstColumn="1" w:lastColumn="0" w:noHBand="0" w:noVBand="1"/>
      </w:tblPr>
      <w:tblGrid>
        <w:gridCol w:w="851"/>
        <w:gridCol w:w="1139"/>
        <w:gridCol w:w="1384"/>
        <w:gridCol w:w="1106"/>
        <w:gridCol w:w="907"/>
        <w:gridCol w:w="992"/>
        <w:gridCol w:w="1276"/>
        <w:gridCol w:w="1843"/>
        <w:gridCol w:w="272"/>
        <w:gridCol w:w="1429"/>
        <w:gridCol w:w="1275"/>
        <w:gridCol w:w="142"/>
        <w:gridCol w:w="1559"/>
      </w:tblGrid>
      <w:tr w:rsidR="00E83EAC" w14:paraId="1882492A" w14:textId="77777777" w:rsidTr="0001057B">
        <w:tc>
          <w:tcPr>
            <w:tcW w:w="851" w:type="dxa"/>
            <w:tcBorders>
              <w:top w:val="single" w:sz="4" w:space="0" w:color="auto"/>
              <w:left w:val="nil"/>
              <w:bottom w:val="nil"/>
              <w:right w:val="nil"/>
            </w:tcBorders>
            <w:shd w:val="clear" w:color="auto" w:fill="BDD6EE" w:themeFill="accent1" w:themeFillTint="66"/>
            <w:vAlign w:val="bottom"/>
            <w:hideMark/>
          </w:tcPr>
          <w:p w14:paraId="5B4D020B" w14:textId="77777777" w:rsidR="00E83EAC" w:rsidRDefault="00E83EAC"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139" w:type="dxa"/>
            <w:tcBorders>
              <w:top w:val="single" w:sz="4" w:space="0" w:color="auto"/>
              <w:left w:val="nil"/>
              <w:bottom w:val="nil"/>
              <w:right w:val="nil"/>
            </w:tcBorders>
            <w:shd w:val="clear" w:color="auto" w:fill="BDD6EE" w:themeFill="accent1" w:themeFillTint="66"/>
            <w:vAlign w:val="bottom"/>
            <w:hideMark/>
          </w:tcPr>
          <w:p w14:paraId="34543737" w14:textId="77777777" w:rsidR="00E83EAC" w:rsidRDefault="00E83EAC"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384" w:type="dxa"/>
            <w:tcBorders>
              <w:top w:val="single" w:sz="4" w:space="0" w:color="auto"/>
              <w:left w:val="nil"/>
              <w:bottom w:val="nil"/>
              <w:right w:val="nil"/>
            </w:tcBorders>
            <w:shd w:val="clear" w:color="auto" w:fill="BDD6EE" w:themeFill="accent1" w:themeFillTint="66"/>
            <w:vAlign w:val="bottom"/>
            <w:hideMark/>
          </w:tcPr>
          <w:p w14:paraId="1DD6FCF1" w14:textId="77777777" w:rsidR="00E83EAC" w:rsidRDefault="00E83EAC"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106" w:type="dxa"/>
            <w:tcBorders>
              <w:top w:val="single" w:sz="4" w:space="0" w:color="auto"/>
              <w:left w:val="nil"/>
              <w:bottom w:val="nil"/>
              <w:right w:val="nil"/>
            </w:tcBorders>
            <w:shd w:val="clear" w:color="auto" w:fill="BDD6EE" w:themeFill="accent1" w:themeFillTint="66"/>
            <w:noWrap/>
            <w:vAlign w:val="bottom"/>
            <w:hideMark/>
          </w:tcPr>
          <w:p w14:paraId="5BB279B9" w14:textId="77777777" w:rsidR="00E83EAC" w:rsidRDefault="00E83EAC"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 </w:t>
            </w:r>
          </w:p>
        </w:tc>
        <w:tc>
          <w:tcPr>
            <w:tcW w:w="907" w:type="dxa"/>
            <w:tcBorders>
              <w:top w:val="single" w:sz="4" w:space="0" w:color="auto"/>
              <w:left w:val="nil"/>
              <w:right w:val="nil"/>
            </w:tcBorders>
            <w:shd w:val="clear" w:color="auto" w:fill="BDD6EE" w:themeFill="accent1" w:themeFillTint="66"/>
            <w:noWrap/>
            <w:vAlign w:val="bottom"/>
            <w:hideMark/>
          </w:tcPr>
          <w:p w14:paraId="68F495AE" w14:textId="77777777" w:rsidR="00E83EAC" w:rsidRDefault="00E83EAC"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 </w:t>
            </w:r>
          </w:p>
        </w:tc>
        <w:tc>
          <w:tcPr>
            <w:tcW w:w="992" w:type="dxa"/>
            <w:tcBorders>
              <w:top w:val="single" w:sz="4" w:space="0" w:color="auto"/>
              <w:left w:val="nil"/>
              <w:right w:val="nil"/>
            </w:tcBorders>
            <w:shd w:val="clear" w:color="auto" w:fill="BDD6EE" w:themeFill="accent1" w:themeFillTint="66"/>
            <w:noWrap/>
            <w:vAlign w:val="bottom"/>
            <w:hideMark/>
          </w:tcPr>
          <w:p w14:paraId="0A1F2E7F" w14:textId="77777777" w:rsidR="00E83EAC" w:rsidRDefault="00E83EAC"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 </w:t>
            </w:r>
          </w:p>
        </w:tc>
        <w:tc>
          <w:tcPr>
            <w:tcW w:w="3119" w:type="dxa"/>
            <w:gridSpan w:val="2"/>
            <w:tcBorders>
              <w:top w:val="single" w:sz="4" w:space="0" w:color="auto"/>
              <w:left w:val="nil"/>
              <w:bottom w:val="single" w:sz="4" w:space="0" w:color="auto"/>
              <w:right w:val="nil"/>
            </w:tcBorders>
            <w:shd w:val="clear" w:color="auto" w:fill="BDD6EE" w:themeFill="accent1" w:themeFillTint="66"/>
            <w:vAlign w:val="bottom"/>
            <w:hideMark/>
          </w:tcPr>
          <w:p w14:paraId="69478265"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w:t>
            </w:r>
          </w:p>
        </w:tc>
        <w:tc>
          <w:tcPr>
            <w:tcW w:w="272" w:type="dxa"/>
            <w:tcBorders>
              <w:top w:val="single" w:sz="4" w:space="0" w:color="auto"/>
              <w:left w:val="nil"/>
              <w:bottom w:val="nil"/>
              <w:right w:val="nil"/>
            </w:tcBorders>
            <w:shd w:val="clear" w:color="auto" w:fill="BDD6EE" w:themeFill="accent1" w:themeFillTint="66"/>
            <w:vAlign w:val="bottom"/>
            <w:hideMark/>
          </w:tcPr>
          <w:p w14:paraId="776248BC"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4405" w:type="dxa"/>
            <w:gridSpan w:val="4"/>
            <w:tcBorders>
              <w:top w:val="single" w:sz="4" w:space="0" w:color="auto"/>
              <w:left w:val="nil"/>
              <w:bottom w:val="single" w:sz="4" w:space="0" w:color="auto"/>
              <w:right w:val="nil"/>
            </w:tcBorders>
            <w:shd w:val="clear" w:color="auto" w:fill="BDD6EE" w:themeFill="accent1" w:themeFillTint="66"/>
            <w:noWrap/>
            <w:vAlign w:val="bottom"/>
            <w:hideMark/>
          </w:tcPr>
          <w:p w14:paraId="108D51A8"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w:t>
            </w:r>
          </w:p>
        </w:tc>
      </w:tr>
      <w:tr w:rsidR="00E83EAC" w14:paraId="34B952E8" w14:textId="77777777" w:rsidTr="0001057B">
        <w:tc>
          <w:tcPr>
            <w:tcW w:w="851" w:type="dxa"/>
            <w:tcBorders>
              <w:top w:val="nil"/>
              <w:left w:val="nil"/>
              <w:bottom w:val="single" w:sz="4" w:space="0" w:color="auto"/>
              <w:right w:val="nil"/>
            </w:tcBorders>
            <w:shd w:val="clear" w:color="auto" w:fill="BDD6EE" w:themeFill="accent1" w:themeFillTint="66"/>
            <w:noWrap/>
            <w:vAlign w:val="bottom"/>
            <w:hideMark/>
          </w:tcPr>
          <w:p w14:paraId="593D8D66"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w:t>
            </w:r>
          </w:p>
          <w:p w14:paraId="2966644A"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No.</w:t>
            </w:r>
          </w:p>
        </w:tc>
        <w:tc>
          <w:tcPr>
            <w:tcW w:w="1139" w:type="dxa"/>
            <w:tcBorders>
              <w:top w:val="nil"/>
              <w:left w:val="nil"/>
              <w:bottom w:val="single" w:sz="4" w:space="0" w:color="auto"/>
              <w:right w:val="nil"/>
            </w:tcBorders>
            <w:shd w:val="clear" w:color="auto" w:fill="BDD6EE" w:themeFill="accent1" w:themeFillTint="66"/>
            <w:noWrap/>
            <w:vAlign w:val="bottom"/>
            <w:hideMark/>
          </w:tcPr>
          <w:p w14:paraId="58222361"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384" w:type="dxa"/>
            <w:tcBorders>
              <w:top w:val="nil"/>
              <w:left w:val="nil"/>
              <w:bottom w:val="single" w:sz="4" w:space="0" w:color="auto"/>
              <w:right w:val="nil"/>
            </w:tcBorders>
            <w:shd w:val="clear" w:color="auto" w:fill="BDD6EE" w:themeFill="accent1" w:themeFillTint="66"/>
            <w:noWrap/>
            <w:vAlign w:val="bottom"/>
            <w:hideMark/>
          </w:tcPr>
          <w:p w14:paraId="30B4186E"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RSID</w:t>
            </w:r>
          </w:p>
        </w:tc>
        <w:tc>
          <w:tcPr>
            <w:tcW w:w="1106" w:type="dxa"/>
            <w:tcBorders>
              <w:top w:val="nil"/>
              <w:left w:val="nil"/>
              <w:bottom w:val="single" w:sz="4" w:space="0" w:color="auto"/>
              <w:right w:val="nil"/>
            </w:tcBorders>
            <w:shd w:val="clear" w:color="auto" w:fill="BDD6EE" w:themeFill="accent1" w:themeFillTint="66"/>
            <w:vAlign w:val="bottom"/>
            <w:hideMark/>
          </w:tcPr>
          <w:p w14:paraId="081A05C9"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907" w:type="dxa"/>
            <w:tcBorders>
              <w:top w:val="nil"/>
              <w:left w:val="nil"/>
              <w:bottom w:val="single" w:sz="4" w:space="0" w:color="auto"/>
              <w:right w:val="nil"/>
            </w:tcBorders>
            <w:shd w:val="clear" w:color="auto" w:fill="BDD6EE" w:themeFill="accent1" w:themeFillTint="66"/>
            <w:vAlign w:val="bottom"/>
            <w:hideMark/>
          </w:tcPr>
          <w:p w14:paraId="695CB0FB"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Post. Prob.</w:t>
            </w:r>
            <w:r>
              <w:rPr>
                <w:rFonts w:ascii="Arial" w:eastAsia="Times New Roman" w:hAnsi="Arial" w:cs="Arial"/>
                <w:b/>
                <w:bCs/>
                <w:color w:val="000000"/>
                <w:sz w:val="20"/>
                <w:szCs w:val="20"/>
                <w:lang w:val="en-US"/>
              </w:rPr>
              <w:br/>
              <w:t>Rapid3</w:t>
            </w:r>
          </w:p>
        </w:tc>
        <w:tc>
          <w:tcPr>
            <w:tcW w:w="992" w:type="dxa"/>
            <w:tcBorders>
              <w:top w:val="nil"/>
              <w:left w:val="nil"/>
              <w:bottom w:val="single" w:sz="4" w:space="0" w:color="auto"/>
              <w:right w:val="nil"/>
            </w:tcBorders>
            <w:shd w:val="clear" w:color="auto" w:fill="BDD6EE" w:themeFill="accent1" w:themeFillTint="66"/>
            <w:vAlign w:val="bottom"/>
            <w:hideMark/>
          </w:tcPr>
          <w:p w14:paraId="23FE7988"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Post. Prob.</w:t>
            </w:r>
            <w:r>
              <w:rPr>
                <w:rFonts w:ascii="Arial" w:eastAsia="Times New Roman" w:hAnsi="Arial" w:cs="Arial"/>
                <w:b/>
                <w:bCs/>
                <w:color w:val="000000"/>
                <w:sz w:val="20"/>
                <w:szCs w:val="20"/>
                <w:lang w:val="en-US"/>
              </w:rPr>
              <w:br/>
              <w:t>CKDi25</w:t>
            </w:r>
          </w:p>
        </w:tc>
        <w:tc>
          <w:tcPr>
            <w:tcW w:w="1276" w:type="dxa"/>
            <w:tcBorders>
              <w:top w:val="nil"/>
              <w:left w:val="nil"/>
              <w:bottom w:val="single" w:sz="4" w:space="0" w:color="auto"/>
              <w:right w:val="nil"/>
            </w:tcBorders>
            <w:shd w:val="clear" w:color="auto" w:fill="BDD6EE" w:themeFill="accent1" w:themeFillTint="66"/>
            <w:vAlign w:val="bottom"/>
            <w:hideMark/>
          </w:tcPr>
          <w:p w14:paraId="748922E8"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Significant eQTL</w:t>
            </w:r>
            <w:r>
              <w:rPr>
                <w:rFonts w:ascii="Arial" w:eastAsia="Times New Roman" w:hAnsi="Arial" w:cs="Arial"/>
                <w:b/>
                <w:bCs/>
                <w:color w:val="000000"/>
                <w:sz w:val="20"/>
                <w:szCs w:val="20"/>
                <w:lang w:val="en-US"/>
              </w:rPr>
              <w:br/>
              <w:t>(FDR&lt;0.05)</w:t>
            </w:r>
          </w:p>
        </w:tc>
        <w:tc>
          <w:tcPr>
            <w:tcW w:w="1843" w:type="dxa"/>
            <w:tcBorders>
              <w:top w:val="nil"/>
              <w:left w:val="nil"/>
              <w:bottom w:val="single" w:sz="4" w:space="0" w:color="auto"/>
              <w:right w:val="nil"/>
            </w:tcBorders>
            <w:shd w:val="clear" w:color="auto" w:fill="BDD6EE" w:themeFill="accent1" w:themeFillTint="66"/>
            <w:vAlign w:val="bottom"/>
            <w:hideMark/>
          </w:tcPr>
          <w:p w14:paraId="4C0D0994"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Tissue with significant eQTL</w:t>
            </w:r>
          </w:p>
        </w:tc>
        <w:tc>
          <w:tcPr>
            <w:tcW w:w="272" w:type="dxa"/>
            <w:tcBorders>
              <w:top w:val="nil"/>
              <w:left w:val="nil"/>
              <w:bottom w:val="single" w:sz="4" w:space="0" w:color="auto"/>
              <w:right w:val="nil"/>
            </w:tcBorders>
            <w:shd w:val="clear" w:color="auto" w:fill="BDD6EE" w:themeFill="accent1" w:themeFillTint="66"/>
            <w:vAlign w:val="bottom"/>
            <w:hideMark/>
          </w:tcPr>
          <w:p w14:paraId="2B3550CD"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w:t>
            </w:r>
          </w:p>
        </w:tc>
        <w:tc>
          <w:tcPr>
            <w:tcW w:w="1429" w:type="dxa"/>
            <w:tcBorders>
              <w:top w:val="nil"/>
              <w:left w:val="nil"/>
              <w:bottom w:val="single" w:sz="4" w:space="0" w:color="auto"/>
              <w:right w:val="nil"/>
            </w:tcBorders>
            <w:shd w:val="clear" w:color="auto" w:fill="BDD6EE" w:themeFill="accent1" w:themeFillTint="66"/>
            <w:tcMar>
              <w:left w:w="28" w:type="dxa"/>
              <w:right w:w="28" w:type="dxa"/>
            </w:tcMar>
            <w:vAlign w:val="bottom"/>
            <w:hideMark/>
          </w:tcPr>
          <w:p w14:paraId="3769A0BD"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Significant eQTL in kidney tissue</w:t>
            </w:r>
            <w:r>
              <w:rPr>
                <w:rFonts w:ascii="Arial" w:eastAsia="Times New Roman" w:hAnsi="Arial" w:cs="Arial"/>
                <w:b/>
                <w:bCs/>
                <w:color w:val="000000"/>
                <w:sz w:val="20"/>
                <w:szCs w:val="20"/>
                <w:lang w:val="en-US"/>
              </w:rPr>
              <w:br/>
              <w:t>(FDR&lt;0.05)</w:t>
            </w:r>
          </w:p>
        </w:tc>
        <w:tc>
          <w:tcPr>
            <w:tcW w:w="1275" w:type="dxa"/>
            <w:tcBorders>
              <w:top w:val="nil"/>
              <w:left w:val="nil"/>
              <w:bottom w:val="single" w:sz="4" w:space="0" w:color="auto"/>
              <w:right w:val="nil"/>
            </w:tcBorders>
            <w:shd w:val="clear" w:color="auto" w:fill="BDD6EE" w:themeFill="accent1" w:themeFillTint="66"/>
            <w:tcMar>
              <w:left w:w="28" w:type="dxa"/>
              <w:right w:w="28" w:type="dxa"/>
            </w:tcMar>
            <w:vAlign w:val="bottom"/>
            <w:hideMark/>
          </w:tcPr>
          <w:p w14:paraId="6A484B73"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Significant eQTL in other tissue</w:t>
            </w:r>
            <w:r>
              <w:rPr>
                <w:rFonts w:ascii="Arial" w:eastAsia="Times New Roman" w:hAnsi="Arial" w:cs="Arial"/>
                <w:b/>
                <w:bCs/>
                <w:color w:val="000000"/>
                <w:sz w:val="20"/>
                <w:szCs w:val="20"/>
                <w:lang w:val="en-US"/>
              </w:rPr>
              <w:br/>
              <w:t>(FDR&lt;0.05)</w:t>
            </w:r>
          </w:p>
        </w:tc>
        <w:tc>
          <w:tcPr>
            <w:tcW w:w="1701" w:type="dxa"/>
            <w:gridSpan w:val="2"/>
            <w:tcBorders>
              <w:top w:val="nil"/>
              <w:left w:val="nil"/>
              <w:bottom w:val="single" w:sz="4" w:space="0" w:color="auto"/>
              <w:right w:val="nil"/>
            </w:tcBorders>
            <w:shd w:val="clear" w:color="auto" w:fill="BDD6EE" w:themeFill="accent1" w:themeFillTint="66"/>
            <w:vAlign w:val="bottom"/>
            <w:hideMark/>
          </w:tcPr>
          <w:p w14:paraId="72835DFB" w14:textId="77777777" w:rsidR="00E83EAC" w:rsidRDefault="00E83EAC"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Tissue with signficant eQTL</w:t>
            </w:r>
          </w:p>
        </w:tc>
      </w:tr>
      <w:tr w:rsidR="00106A2A" w:rsidRPr="00BA040E" w14:paraId="2E503DCE"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719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BC17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AEBB8"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rs3848137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1CFBB"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B0343"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9025F"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CD8F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C6F8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A4A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EAF6BF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ACEE5B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3AAAB6C8"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FDFE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C7EA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28955"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rs4776168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B471D"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3F71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AA869"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B9E6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9DD7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212B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315B9A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37FD8B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33FD1400"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2F49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F22B2"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2E394"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rs1906412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1613B"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C04AD"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C3E6F"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3FD2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33F9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718D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E409B4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F914B2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548B1FC8"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50F2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32C1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A31E"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rs4776169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E610F"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E47E7"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93F63"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183F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0941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A017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FD777D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81C663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231AA15B"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F0B8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A2C03"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72D34"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rs62005954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13FB"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17A31"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9AD4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A346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9D7B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FD50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C9C4B2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2FB05C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69D7E53D"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CDAB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FF40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7DF1"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rs62005955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978BD"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9E3F8"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B7DE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AEF5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C112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B7B9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B50D38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6CFB824"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4D09DB00"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23CC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2CCE1"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A8FC2"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rs1906413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9CBE9"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07998"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58EC9"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3BBA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3525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8A90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6D9DB2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EB9E81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14C74588"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379A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DB4D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E4030"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rs80025274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16D39"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7F0F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3CB4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97E2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9ED4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0976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83D50E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355FC93"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41D9A00D"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339B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ADE8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6C259"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rs7171932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A8EC0"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31AF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F4171"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E443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D079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2AE0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CFA7D3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0A33FF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6579BCA3"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DEAE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9E4D4"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C8058"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rs2675328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475F3"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DDE24"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FF661"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B9EE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C28E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CC487"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A4C5BC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E693742"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5BBBA11A"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6950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F0E6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81A06"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rs542780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3025"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DEB9"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72C89"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448A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31F8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136D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EB2EFB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1A400B4"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2C62F474"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46A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23C5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[WDR72]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1DC1B" w14:textId="77777777" w:rsidR="00106A2A" w:rsidRPr="00BA040E" w:rsidRDefault="00106A2A">
            <w:pPr>
              <w:spacing w:after="0" w:line="240" w:lineRule="auto"/>
              <w:rPr>
                <w:rFonts w:ascii="Arial" w:eastAsia="Times New Roman" w:hAnsi="Arial" w:cs="Arial"/>
                <w:sz w:val="20"/>
                <w:szCs w:val="20"/>
                <w:lang w:val="en-US"/>
              </w:rPr>
            </w:pPr>
            <w:r w:rsidRPr="00BA040E">
              <w:rPr>
                <w:rFonts w:ascii="Arial" w:eastAsia="Times New Roman" w:hAnsi="Arial" w:cs="Arial"/>
                <w:sz w:val="20"/>
                <w:szCs w:val="20"/>
                <w:lang w:val="en-US"/>
              </w:rPr>
              <w:t>rs10518733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5AD02"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WDR72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AFE38"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771AD"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0D0B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2DDC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655E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71B61B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08012E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multiple</w:t>
            </w:r>
          </w:p>
        </w:tc>
      </w:tr>
      <w:tr w:rsidR="00106A2A" w:rsidRPr="00BA040E" w14:paraId="267D13DB"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8BE4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7EC0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7952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rs73728279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B841"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69391"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8088D"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0.03</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2DCF21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141747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D23A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E37E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47303"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73D5C805"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F834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B7ED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E3F0B"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rs10224210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57EB6"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ACD4F"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043A"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0.08</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895E53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9870EA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CC89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9A5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669CD"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50077B97"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4CE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DC86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D0D53"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rs56012466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50C21"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F4C2A"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9E2F7"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0.18</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B04F35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7F974F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A55D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BE20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A5CD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708A815D"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D3C9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9C2B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0F014"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rs6464165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0F2D"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DF80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02338"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0.11</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473E18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CA0BFA2"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A86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8F86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DFC07"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172F69FA"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1D16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701A"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6FD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rs73158188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63449"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0B76C"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9A17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0.10</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6A36BF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6714BC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2E00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A794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BDD8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5D57B0F6"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16A0C"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E1A1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C9684"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rs10253736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7009F"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FB637"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E4FBF"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0.09</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2661E4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2A4D6C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5230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D459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2A1D8"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17969865"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CB0E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A3D3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C5263"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rs55779150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151CB"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AA92"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B6400"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0.07</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008405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79962D6"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C7AE2"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3085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D6F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2D28ECC7"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1210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DB8B4"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3A81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rs10480299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0D8A"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82DCB"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833C"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0.03</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894815F"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433D48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20F7B"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8890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D6C8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53596C84"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06C8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14A6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D11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rs10224002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6503A"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0A33B"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2BFF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0.06</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77B1CAE"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90810A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37D54"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BCA2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6C3F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4AD91517"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4F93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99715"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F43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rs55791829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7D2C6"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DF77B"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C05C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0.07</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E46397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717A7CE"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7562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774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8C4F8"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6C927464"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AF9A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7935F"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[PRKAG2]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D5CFB"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rs7805747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4EF3C"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GALNTL5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AB9C5"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5A6D6"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D0E4BA3"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84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8789BA2"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Tubulointerstitium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A244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D6E2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7FC99"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r>
      <w:tr w:rsidR="00106A2A" w:rsidRPr="00BA040E" w14:paraId="57368821"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0601"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B40F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[OR2S2]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6F23C"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rs141809766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7A05F"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OR2S1P</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02C4E"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08FB0"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54D9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EA766"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F363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BDEBA10"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A94BD80"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Lung</w:t>
            </w:r>
          </w:p>
        </w:tc>
      </w:tr>
      <w:tr w:rsidR="00106A2A" w:rsidRPr="00BA040E" w14:paraId="454CE68D" w14:textId="77777777" w:rsidTr="007D294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12F68"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48551"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[OR2S2]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B5AC6"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rs56289282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662C8" w14:textId="77777777" w:rsidR="00106A2A" w:rsidRPr="00BA040E" w:rsidRDefault="00106A2A">
            <w:pPr>
              <w:spacing w:after="0" w:line="240" w:lineRule="auto"/>
              <w:rPr>
                <w:rFonts w:ascii="Arial" w:eastAsia="Times New Roman" w:hAnsi="Arial" w:cs="Arial"/>
                <w:i/>
                <w:iCs/>
                <w:color w:val="000000"/>
                <w:sz w:val="20"/>
                <w:szCs w:val="20"/>
                <w:lang w:val="en-US"/>
              </w:rPr>
            </w:pPr>
            <w:r w:rsidRPr="00BA040E">
              <w:rPr>
                <w:rFonts w:ascii="Arial" w:eastAsia="Times New Roman" w:hAnsi="Arial" w:cs="Arial"/>
                <w:i/>
                <w:iCs/>
                <w:color w:val="000000"/>
                <w:sz w:val="20"/>
                <w:szCs w:val="20"/>
                <w:lang w:val="en-US"/>
              </w:rPr>
              <w:t>OR2S1P</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84814"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0.23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214AA" w14:textId="77777777" w:rsidR="00106A2A" w:rsidRPr="00BA040E" w:rsidRDefault="00106A2A">
            <w:pPr>
              <w:spacing w:after="0" w:line="240" w:lineRule="auto"/>
              <w:jc w:val="right"/>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F78BA"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74F89"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4A60D"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no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E030595" w14:textId="77777777" w:rsidR="00106A2A" w:rsidRPr="00BA040E" w:rsidRDefault="00106A2A">
            <w:pPr>
              <w:spacing w:after="0" w:line="240" w:lineRule="auto"/>
              <w:jc w:val="center"/>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yes</w:t>
            </w:r>
          </w:p>
        </w:tc>
        <w:tc>
          <w:tcPr>
            <w:tcW w:w="15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4F9FC32" w14:textId="77777777" w:rsidR="00106A2A" w:rsidRPr="00BA040E" w:rsidRDefault="00106A2A">
            <w:pPr>
              <w:spacing w:after="0" w:line="240" w:lineRule="auto"/>
              <w:rPr>
                <w:rFonts w:ascii="Arial" w:eastAsia="Times New Roman" w:hAnsi="Arial" w:cs="Arial"/>
                <w:color w:val="000000"/>
                <w:sz w:val="20"/>
                <w:szCs w:val="20"/>
                <w:lang w:val="en-US"/>
              </w:rPr>
            </w:pPr>
            <w:r w:rsidRPr="00BA040E">
              <w:rPr>
                <w:rFonts w:ascii="Arial" w:eastAsia="Times New Roman" w:hAnsi="Arial" w:cs="Arial"/>
                <w:color w:val="000000"/>
                <w:sz w:val="20"/>
                <w:szCs w:val="20"/>
                <w:lang w:val="en-US"/>
              </w:rPr>
              <w:t>Lung</w:t>
            </w:r>
          </w:p>
        </w:tc>
      </w:tr>
    </w:tbl>
    <w:p w14:paraId="323587A4" w14:textId="7573F802" w:rsidR="008D6DF4" w:rsidRDefault="007C1EBA" w:rsidP="00E83EAC">
      <w:pPr>
        <w:spacing w:before="120" w:after="0" w:line="240" w:lineRule="auto"/>
        <w:jc w:val="both"/>
        <w:rPr>
          <w:rFonts w:ascii="Arial" w:hAnsi="Arial" w:cs="Arial"/>
          <w:sz w:val="20"/>
          <w:szCs w:val="20"/>
          <w:lang w:val="en-US"/>
        </w:rPr>
      </w:pPr>
      <w:r>
        <w:rPr>
          <w:rFonts w:ascii="Arial" w:hAnsi="Arial" w:cs="Arial"/>
          <w:b/>
          <w:sz w:val="20"/>
          <w:szCs w:val="20"/>
          <w:lang w:val="en-US"/>
        </w:rPr>
        <w:t>Locus No.</w:t>
      </w:r>
      <w:r>
        <w:rPr>
          <w:rFonts w:ascii="Arial" w:hAnsi="Arial" w:cs="Arial"/>
          <w:sz w:val="20"/>
          <w:szCs w:val="20"/>
          <w:lang w:val="en-US"/>
        </w:rPr>
        <w:t xml:space="preserve">=Locus number, </w:t>
      </w:r>
      <w:r>
        <w:rPr>
          <w:rFonts w:ascii="Arial" w:hAnsi="Arial" w:cs="Arial"/>
          <w:b/>
          <w:sz w:val="20"/>
          <w:szCs w:val="20"/>
          <w:lang w:val="en-US"/>
        </w:rPr>
        <w:t>NA</w:t>
      </w:r>
      <w:r>
        <w:rPr>
          <w:rFonts w:ascii="Arial" w:hAnsi="Arial" w:cs="Arial"/>
          <w:sz w:val="20"/>
          <w:szCs w:val="20"/>
          <w:lang w:val="en-US"/>
        </w:rPr>
        <w:t>=The variants in [OR2</w:t>
      </w:r>
      <w:r w:rsidR="003D1CE9">
        <w:rPr>
          <w:rFonts w:ascii="Arial" w:hAnsi="Arial" w:cs="Arial"/>
          <w:sz w:val="20"/>
          <w:szCs w:val="20"/>
          <w:lang w:val="en-US"/>
        </w:rPr>
        <w:t>S2] are not in the N</w:t>
      </w:r>
      <w:r w:rsidR="00BA040E">
        <w:rPr>
          <w:rFonts w:ascii="Arial" w:hAnsi="Arial" w:cs="Arial"/>
          <w:sz w:val="20"/>
          <w:szCs w:val="20"/>
          <w:lang w:val="en-US"/>
        </w:rPr>
        <w:t>ephQTL data</w:t>
      </w:r>
      <w:r>
        <w:rPr>
          <w:rFonts w:ascii="Arial" w:hAnsi="Arial" w:cs="Arial"/>
          <w:sz w:val="20"/>
          <w:szCs w:val="20"/>
          <w:lang w:val="en-US"/>
        </w:rPr>
        <w:t xml:space="preserve">base, </w:t>
      </w:r>
      <w:r>
        <w:rPr>
          <w:rFonts w:ascii="Arial" w:hAnsi="Arial" w:cs="Arial"/>
          <w:b/>
          <w:sz w:val="20"/>
          <w:szCs w:val="20"/>
          <w:lang w:val="en-US"/>
        </w:rPr>
        <w:t>Post. Prob. Rapid3/ CKDi25</w:t>
      </w:r>
      <w:r>
        <w:rPr>
          <w:rFonts w:ascii="Arial" w:hAnsi="Arial" w:cs="Arial"/>
          <w:sz w:val="20"/>
          <w:szCs w:val="20"/>
          <w:lang w:val="en-US"/>
        </w:rPr>
        <w:t>=Posterior probability of a variant in the credible set from the identifying analysis Rapid3 or CKDi25. NA if the variant was not in the credible variant set or if it was not the identifying analysis.</w:t>
      </w:r>
    </w:p>
    <w:p w14:paraId="4AA15EF1" w14:textId="77777777" w:rsidR="008D6DF4" w:rsidRDefault="008D6DF4">
      <w:pPr>
        <w:spacing w:line="360" w:lineRule="auto"/>
        <w:jc w:val="both"/>
        <w:rPr>
          <w:rFonts w:ascii="Arial" w:hAnsi="Arial" w:cs="Arial"/>
          <w:b/>
          <w:lang w:val="en-US"/>
        </w:rPr>
      </w:pPr>
    </w:p>
    <w:p w14:paraId="2BC41E84" w14:textId="77777777" w:rsidR="008D6DF4" w:rsidRDefault="008D6DF4">
      <w:pPr>
        <w:spacing w:line="360" w:lineRule="auto"/>
        <w:jc w:val="both"/>
        <w:rPr>
          <w:rFonts w:ascii="Arial" w:hAnsi="Arial" w:cs="Arial"/>
          <w:b/>
          <w:lang w:val="en-US"/>
        </w:rPr>
        <w:sectPr w:rsidR="008D6DF4" w:rsidSect="00E83EAC">
          <w:pgSz w:w="16838" w:h="11906" w:orient="landscape"/>
          <w:pgMar w:top="1134" w:right="1418" w:bottom="851" w:left="1134" w:header="709" w:footer="709" w:gutter="0"/>
          <w:cols w:space="708"/>
          <w:docGrid w:linePitch="360"/>
        </w:sectPr>
      </w:pPr>
    </w:p>
    <w:p w14:paraId="1DD37510" w14:textId="4BFB20C9" w:rsidR="008D6DF4" w:rsidRDefault="007C1EBA" w:rsidP="00E83EAC">
      <w:pPr>
        <w:spacing w:after="120" w:line="240" w:lineRule="auto"/>
        <w:jc w:val="both"/>
        <w:rPr>
          <w:rFonts w:ascii="Arial" w:hAnsi="Arial" w:cs="Arial"/>
          <w:b/>
          <w:lang w:val="en-US"/>
        </w:rPr>
      </w:pPr>
      <w:r>
        <w:rPr>
          <w:rFonts w:ascii="Arial" w:hAnsi="Arial" w:cs="Arial"/>
          <w:b/>
          <w:lang w:val="en-US"/>
        </w:rPr>
        <w:lastRenderedPageBreak/>
        <w:t>Supplementary Table 7</w:t>
      </w:r>
      <w:r w:rsidR="006F789D">
        <w:rPr>
          <w:rFonts w:ascii="Arial" w:hAnsi="Arial" w:cs="Arial"/>
          <w:b/>
          <w:lang w:val="en-US"/>
        </w:rPr>
        <w:t>A</w:t>
      </w:r>
      <w:r>
        <w:rPr>
          <w:rFonts w:ascii="Arial" w:hAnsi="Arial" w:cs="Arial"/>
          <w:b/>
          <w:lang w:val="en-US"/>
        </w:rPr>
        <w:t xml:space="preserve"> | Genes in locus regions with a kidney-relevant phenotype in mouse.</w:t>
      </w:r>
      <w:r>
        <w:rPr>
          <w:rFonts w:ascii="Arial" w:hAnsi="Arial" w:cs="Arial"/>
          <w:lang w:val="en-US"/>
        </w:rPr>
        <w:t xml:space="preserve"> Shown are all genes that overlap any of the four locus regions with a phenotype relevant for kidney in the Mouse Genomics Informatics database (MGI</w:t>
      </w:r>
      <w:r w:rsidR="003D1CE9" w:rsidRPr="003D1CE9">
        <w:rPr>
          <w:rFonts w:ascii="Arial" w:hAnsi="Arial" w:cs="Arial"/>
          <w:vertAlign w:val="superscript"/>
          <w:lang w:val="en-US"/>
        </w:rPr>
        <w:t>52</w:t>
      </w:r>
      <w:r w:rsidR="00783831">
        <w:rPr>
          <w:rFonts w:ascii="Arial" w:hAnsi="Arial" w:cs="Arial"/>
          <w:lang w:val="en-US"/>
        </w:rPr>
        <w:t>)</w:t>
      </w:r>
      <w:r>
        <w:rPr>
          <w:rFonts w:ascii="Arial" w:hAnsi="Arial" w:cs="Arial"/>
          <w:lang w:val="en-US"/>
        </w:rPr>
        <w:t xml:space="preserve">. Each reported phenotype is marked in green as in </w:t>
      </w:r>
      <w:r>
        <w:rPr>
          <w:rFonts w:ascii="Arial" w:hAnsi="Arial" w:cs="Arial"/>
          <w:b/>
          <w:lang w:val="en-US"/>
        </w:rPr>
        <w:t>Supplementary</w:t>
      </w:r>
      <w:r>
        <w:rPr>
          <w:rFonts w:ascii="Arial" w:hAnsi="Arial" w:cs="Arial"/>
          <w:lang w:val="en-US"/>
        </w:rPr>
        <w:t xml:space="preserve"> </w:t>
      </w:r>
      <w:r>
        <w:rPr>
          <w:rFonts w:ascii="Arial" w:hAnsi="Arial" w:cs="Arial"/>
          <w:b/>
          <w:lang w:val="en-US"/>
        </w:rPr>
        <w:t>Table 8</w:t>
      </w:r>
      <w:r>
        <w:rPr>
          <w:rFonts w:ascii="Arial" w:hAnsi="Arial" w:cs="Arial"/>
          <w:lang w:val="en-US"/>
        </w:rPr>
        <w:t>.</w:t>
      </w:r>
    </w:p>
    <w:tbl>
      <w:tblPr>
        <w:tblW w:w="9356" w:type="dxa"/>
        <w:tblLook w:val="04A0" w:firstRow="1" w:lastRow="0" w:firstColumn="1" w:lastColumn="0" w:noHBand="0" w:noVBand="1"/>
      </w:tblPr>
      <w:tblGrid>
        <w:gridCol w:w="1701"/>
        <w:gridCol w:w="1276"/>
        <w:gridCol w:w="992"/>
        <w:gridCol w:w="5387"/>
      </w:tblGrid>
      <w:tr w:rsidR="008D6DF4" w14:paraId="75068054" w14:textId="77777777" w:rsidTr="00D454E0">
        <w:trPr>
          <w:trHeight w:val="255"/>
        </w:trPr>
        <w:tc>
          <w:tcPr>
            <w:tcW w:w="1701" w:type="dxa"/>
            <w:tcBorders>
              <w:top w:val="single" w:sz="4" w:space="0" w:color="auto"/>
              <w:left w:val="nil"/>
              <w:bottom w:val="single" w:sz="4" w:space="0" w:color="auto"/>
              <w:right w:val="nil"/>
            </w:tcBorders>
            <w:shd w:val="clear" w:color="auto" w:fill="BDD6EE" w:themeFill="accent1" w:themeFillTint="66"/>
            <w:vAlign w:val="bottom"/>
            <w:hideMark/>
          </w:tcPr>
          <w:p w14:paraId="543EA8C0" w14:textId="77777777" w:rsidR="008D6DF4" w:rsidRDefault="007C1EBA" w:rsidP="00D454E0">
            <w:pPr>
              <w:spacing w:before="120" w:after="12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276" w:type="dxa"/>
            <w:tcBorders>
              <w:top w:val="single" w:sz="4" w:space="0" w:color="auto"/>
              <w:left w:val="nil"/>
              <w:bottom w:val="single" w:sz="4" w:space="0" w:color="auto"/>
              <w:right w:val="nil"/>
            </w:tcBorders>
            <w:shd w:val="clear" w:color="auto" w:fill="BDD6EE" w:themeFill="accent1" w:themeFillTint="66"/>
            <w:vAlign w:val="bottom"/>
            <w:hideMark/>
          </w:tcPr>
          <w:p w14:paraId="02DCA199" w14:textId="77777777" w:rsidR="008D6DF4" w:rsidRDefault="007C1EBA" w:rsidP="00D454E0">
            <w:pPr>
              <w:spacing w:before="120" w:after="12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no.</w:t>
            </w:r>
          </w:p>
        </w:tc>
        <w:tc>
          <w:tcPr>
            <w:tcW w:w="992" w:type="dxa"/>
            <w:tcBorders>
              <w:top w:val="single" w:sz="4" w:space="0" w:color="auto"/>
              <w:left w:val="nil"/>
              <w:bottom w:val="single" w:sz="4" w:space="0" w:color="auto"/>
              <w:right w:val="nil"/>
            </w:tcBorders>
            <w:shd w:val="clear" w:color="auto" w:fill="BDD6EE" w:themeFill="accent1" w:themeFillTint="66"/>
            <w:noWrap/>
            <w:vAlign w:val="bottom"/>
            <w:hideMark/>
          </w:tcPr>
          <w:p w14:paraId="653027DF" w14:textId="77777777" w:rsidR="008D6DF4" w:rsidRDefault="007C1EBA" w:rsidP="00D454E0">
            <w:pPr>
              <w:spacing w:before="120" w:after="12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5387" w:type="dxa"/>
            <w:tcBorders>
              <w:top w:val="single" w:sz="4" w:space="0" w:color="auto"/>
              <w:left w:val="nil"/>
              <w:bottom w:val="single" w:sz="4" w:space="0" w:color="auto"/>
              <w:right w:val="nil"/>
            </w:tcBorders>
            <w:shd w:val="clear" w:color="auto" w:fill="BDD6EE" w:themeFill="accent1" w:themeFillTint="66"/>
            <w:noWrap/>
            <w:vAlign w:val="bottom"/>
            <w:hideMark/>
          </w:tcPr>
          <w:p w14:paraId="03768630" w14:textId="77777777" w:rsidR="008D6DF4" w:rsidRDefault="007C1EBA" w:rsidP="00D454E0">
            <w:pPr>
              <w:spacing w:before="120" w:after="12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Mouse Phenotype</w:t>
            </w:r>
          </w:p>
        </w:tc>
      </w:tr>
      <w:tr w:rsidR="008D6DF4" w14:paraId="30EF5EFD"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60CC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413D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AF7A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2CA962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kidney morphology</w:t>
            </w:r>
          </w:p>
        </w:tc>
      </w:tr>
      <w:tr w:rsidR="008D6DF4" w14:paraId="3C62EB72"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BDD5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28E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BA31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7B8BC71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isosthenuria</w:t>
            </w:r>
          </w:p>
        </w:tc>
      </w:tr>
      <w:tr w:rsidR="008D6DF4" w14:paraId="22AA7471"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3F9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67EA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E85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7222232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interstitial fibrosis</w:t>
            </w:r>
          </w:p>
        </w:tc>
      </w:tr>
      <w:tr w:rsidR="008D6DF4" w:rsidRPr="00BA5039" w14:paraId="297C33B8"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1E99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3E3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DACB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757419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proximal convoluted tubule morphology</w:t>
            </w:r>
          </w:p>
        </w:tc>
      </w:tr>
      <w:tr w:rsidR="008D6DF4" w14:paraId="79065BCD"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8E8F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E44B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FEDE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A66E90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isosthenuria</w:t>
            </w:r>
          </w:p>
        </w:tc>
      </w:tr>
      <w:tr w:rsidR="008D6DF4" w14:paraId="43075158"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CB26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4AE5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073A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B50BA4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hydronephrosis</w:t>
            </w:r>
          </w:p>
        </w:tc>
      </w:tr>
      <w:tr w:rsidR="008D6DF4" w14:paraId="62CF9AEE"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87A1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12F2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BDB9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AA40E9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fibrosis</w:t>
            </w:r>
          </w:p>
        </w:tc>
      </w:tr>
      <w:tr w:rsidR="008D6DF4" w14:paraId="6F7764AA"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768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AD94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860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94AA3B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dilated renal glomerular capsule</w:t>
            </w:r>
          </w:p>
        </w:tc>
      </w:tr>
      <w:tr w:rsidR="008D6DF4" w14:paraId="469F85E7"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DCF0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B664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08B5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11F3E2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papillary duct morphology</w:t>
            </w:r>
          </w:p>
        </w:tc>
      </w:tr>
      <w:tr w:rsidR="008D6DF4" w14:paraId="3EACEA1E"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0C9C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CA5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131A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57B1A4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kidney papilla morphology</w:t>
            </w:r>
          </w:p>
        </w:tc>
      </w:tr>
      <w:tr w:rsidR="008D6DF4" w14:paraId="18065A16"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E5B3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158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0CF9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7BB98A9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renal tubule morphology</w:t>
            </w:r>
          </w:p>
        </w:tc>
      </w:tr>
      <w:tr w:rsidR="008D6DF4" w14:paraId="4BAD14B5"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BD7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3059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9AA9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812936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juxtaglomerular apparatus morphology</w:t>
            </w:r>
          </w:p>
        </w:tc>
      </w:tr>
      <w:tr w:rsidR="008D6DF4" w14:paraId="6C2E0855"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322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F5A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D7F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3F9408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papillary duct morphology</w:t>
            </w:r>
          </w:p>
        </w:tc>
      </w:tr>
      <w:tr w:rsidR="008D6DF4" w14:paraId="3945C35C"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29E0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5B48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BA98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CC2D3D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nephrocalcinosis</w:t>
            </w:r>
          </w:p>
        </w:tc>
      </w:tr>
      <w:tr w:rsidR="008D6DF4" w14:paraId="0CBC3931"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7B9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6EBA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C748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03E9A8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kidney failure</w:t>
            </w:r>
          </w:p>
        </w:tc>
      </w:tr>
      <w:tr w:rsidR="008D6DF4" w14:paraId="3027B5C3"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ACD1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ABF5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AAE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A7907A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interstitial fibrosis</w:t>
            </w:r>
          </w:p>
        </w:tc>
      </w:tr>
      <w:tr w:rsidR="008D6DF4" w14:paraId="3D06F4A4"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4CBB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D99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05E1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6A6188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nephrocalcinosis</w:t>
            </w:r>
          </w:p>
        </w:tc>
      </w:tr>
      <w:tr w:rsidR="008D6DF4" w:rsidRPr="00BA5039" w14:paraId="0AD0563F"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4010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783D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AA2D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B258E4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proximal convoluted tubule morphology</w:t>
            </w:r>
          </w:p>
        </w:tc>
      </w:tr>
      <w:tr w:rsidR="008D6DF4" w:rsidRPr="00BA5039" w14:paraId="70304596"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96C8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49D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B22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5EC2AB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increased renal glomerular filtration rate</w:t>
            </w:r>
          </w:p>
        </w:tc>
      </w:tr>
      <w:tr w:rsidR="008D6DF4" w14:paraId="7C434E53"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A7CC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F71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556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148ADE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decreased kidney weight</w:t>
            </w:r>
          </w:p>
        </w:tc>
      </w:tr>
      <w:tr w:rsidR="008D6DF4" w14:paraId="5356187E"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0D23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C8E6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B3E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B291D4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dilated kidney collecting duct</w:t>
            </w:r>
          </w:p>
        </w:tc>
      </w:tr>
      <w:tr w:rsidR="008D6DF4" w:rsidRPr="00BA5039" w14:paraId="44135006"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8DD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C327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801E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60CCCA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decreased renal glomerular filtration rate</w:t>
            </w:r>
          </w:p>
        </w:tc>
      </w:tr>
      <w:tr w:rsidR="008D6DF4" w14:paraId="2C1A8EBB"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1C29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398A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3875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62D1F6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glomerulosclerosis</w:t>
            </w:r>
          </w:p>
        </w:tc>
      </w:tr>
      <w:tr w:rsidR="008D6DF4" w14:paraId="1CFAE605"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26D6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B0D1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1DF9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46B21C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glomerulus cysts</w:t>
            </w:r>
          </w:p>
        </w:tc>
      </w:tr>
      <w:tr w:rsidR="008D6DF4" w14:paraId="2977F130"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71FC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B574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0494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4075C9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hydronephrosis</w:t>
            </w:r>
          </w:p>
        </w:tc>
      </w:tr>
      <w:tr w:rsidR="008D6DF4" w14:paraId="53F64096"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A3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A015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1A98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841EB8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kidney failure</w:t>
            </w:r>
          </w:p>
        </w:tc>
      </w:tr>
      <w:tr w:rsidR="008D6DF4" w14:paraId="21A039A1"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8957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A709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EF8F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47123C4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renal tubule morphology</w:t>
            </w:r>
          </w:p>
        </w:tc>
      </w:tr>
      <w:tr w:rsidR="008D6DF4" w14:paraId="7D793575"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F9F4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ED6D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5B53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4DA63CD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fibrosis</w:t>
            </w:r>
          </w:p>
        </w:tc>
      </w:tr>
      <w:tr w:rsidR="008D6DF4" w14:paraId="6EE5092B"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4C78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79A5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84DE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2F1520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dilated renal glomerular capsule</w:t>
            </w:r>
          </w:p>
        </w:tc>
      </w:tr>
      <w:tr w:rsidR="008D6DF4" w:rsidRPr="00BA5039" w14:paraId="61DF3C11"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DB80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8C5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95DA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60B12D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decreased renal glomerular filtration rate</w:t>
            </w:r>
          </w:p>
        </w:tc>
      </w:tr>
      <w:tr w:rsidR="008D6DF4" w:rsidRPr="00BA5039" w14:paraId="41188F1C"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0303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983B"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AD8A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3B5D0D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increased renal glomerular filtration rate</w:t>
            </w:r>
          </w:p>
        </w:tc>
      </w:tr>
      <w:tr w:rsidR="008D6DF4" w14:paraId="2049F539"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6ECF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D26E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B4D9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51C0DC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tubular necrosis</w:t>
            </w:r>
          </w:p>
        </w:tc>
      </w:tr>
      <w:tr w:rsidR="008D6DF4" w14:paraId="5ED82291"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1425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7A5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33B3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362580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decreased creatinine clearance</w:t>
            </w:r>
          </w:p>
        </w:tc>
      </w:tr>
      <w:tr w:rsidR="008D6DF4" w14:paraId="16A86269"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F19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AEA5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C3C0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607DCA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glomerulus cysts</w:t>
            </w:r>
          </w:p>
        </w:tc>
      </w:tr>
      <w:tr w:rsidR="008D6DF4" w14:paraId="5A8AADD6"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4200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D63C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92B0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204505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increased creatinine clearance</w:t>
            </w:r>
          </w:p>
        </w:tc>
      </w:tr>
      <w:tr w:rsidR="008D6DF4" w:rsidRPr="00BA5039" w14:paraId="692A4175"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BC63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096F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C007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D4A5EF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loop of Henle ascending limb thick segment morphology</w:t>
            </w:r>
          </w:p>
        </w:tc>
      </w:tr>
      <w:tr w:rsidR="008D6DF4" w14:paraId="2D105BE4"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E1EE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3CE3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24F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147DDA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kidney inflammation</w:t>
            </w:r>
          </w:p>
        </w:tc>
      </w:tr>
      <w:tr w:rsidR="008D6DF4" w14:paraId="589F86CB"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011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078D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9A84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3B883A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kidney inflammation</w:t>
            </w:r>
          </w:p>
        </w:tc>
      </w:tr>
      <w:tr w:rsidR="008D6DF4" w14:paraId="60E0CB29"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ED8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BDA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E0A9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4D08ACF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increased kidney apoptosis</w:t>
            </w:r>
          </w:p>
        </w:tc>
      </w:tr>
      <w:tr w:rsidR="008D6DF4" w:rsidRPr="00BA5039" w14:paraId="7FA64F54"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EC3A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4BCC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FED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742904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loop of Henle ascending limb thick segment morphology</w:t>
            </w:r>
          </w:p>
        </w:tc>
      </w:tr>
      <w:tr w:rsidR="008D6DF4" w14:paraId="41BD033C"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E51A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F9BE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FEA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1840B9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kidney morphology</w:t>
            </w:r>
          </w:p>
        </w:tc>
      </w:tr>
      <w:tr w:rsidR="008D6DF4" w14:paraId="213112D0"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1DFC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99F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627B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FFE7DE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kidney papilla morphology</w:t>
            </w:r>
          </w:p>
        </w:tc>
      </w:tr>
      <w:tr w:rsidR="008D6DF4" w14:paraId="5BA37FFF"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B6DC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E8E2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76E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89EB57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juxtaglomerular apparatus morphology</w:t>
            </w:r>
          </w:p>
        </w:tc>
      </w:tr>
      <w:tr w:rsidR="008D6DF4" w14:paraId="15438D6F"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529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68B5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BB24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0E3912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tubular necrosis</w:t>
            </w:r>
          </w:p>
        </w:tc>
      </w:tr>
      <w:tr w:rsidR="008D6DF4" w14:paraId="5380608A" w14:textId="77777777" w:rsidTr="00D454E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5AB1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2AF4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5F8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54E9A4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glomerulosclerosis</w:t>
            </w:r>
          </w:p>
        </w:tc>
      </w:tr>
    </w:tbl>
    <w:p w14:paraId="02819D89" w14:textId="0EF4E1D3" w:rsidR="00D454E0" w:rsidRDefault="00D454E0" w:rsidP="00D454E0">
      <w:pPr>
        <w:ind w:right="-284"/>
        <w:jc w:val="right"/>
      </w:pPr>
      <w:r>
        <w:t>… to be continued</w:t>
      </w:r>
    </w:p>
    <w:p w14:paraId="0F5EB625" w14:textId="722D965B" w:rsidR="00D454E0" w:rsidRDefault="00D454E0" w:rsidP="00D454E0">
      <w:pPr>
        <w:spacing w:after="120" w:line="240" w:lineRule="auto"/>
        <w:jc w:val="both"/>
      </w:pPr>
      <w:r>
        <w:rPr>
          <w:rFonts w:ascii="Arial" w:hAnsi="Arial" w:cs="Arial"/>
          <w:b/>
          <w:lang w:val="en-US"/>
        </w:rPr>
        <w:lastRenderedPageBreak/>
        <w:t>Supplementary Table 7</w:t>
      </w:r>
      <w:r w:rsidR="006F789D">
        <w:rPr>
          <w:rFonts w:ascii="Arial" w:hAnsi="Arial" w:cs="Arial"/>
          <w:b/>
          <w:lang w:val="en-US"/>
        </w:rPr>
        <w:t>A</w:t>
      </w:r>
      <w:r>
        <w:rPr>
          <w:rFonts w:ascii="Arial" w:hAnsi="Arial" w:cs="Arial"/>
          <w:b/>
          <w:lang w:val="en-US"/>
        </w:rPr>
        <w:t xml:space="preserve">: continued </w:t>
      </w:r>
    </w:p>
    <w:tbl>
      <w:tblPr>
        <w:tblW w:w="9356" w:type="dxa"/>
        <w:tblLook w:val="04A0" w:firstRow="1" w:lastRow="0" w:firstColumn="1" w:lastColumn="0" w:noHBand="0" w:noVBand="1"/>
      </w:tblPr>
      <w:tblGrid>
        <w:gridCol w:w="1701"/>
        <w:gridCol w:w="1276"/>
        <w:gridCol w:w="992"/>
        <w:gridCol w:w="5387"/>
      </w:tblGrid>
      <w:tr w:rsidR="006027D7" w14:paraId="701B27BE" w14:textId="77777777" w:rsidTr="006027D7">
        <w:trPr>
          <w:trHeight w:val="255"/>
        </w:trPr>
        <w:tc>
          <w:tcPr>
            <w:tcW w:w="1701" w:type="dxa"/>
            <w:tcBorders>
              <w:top w:val="single" w:sz="4" w:space="0" w:color="auto"/>
              <w:left w:val="nil"/>
              <w:bottom w:val="single" w:sz="4" w:space="0" w:color="auto"/>
              <w:right w:val="nil"/>
            </w:tcBorders>
            <w:shd w:val="clear" w:color="auto" w:fill="BDD6EE" w:themeFill="accent1" w:themeFillTint="66"/>
            <w:vAlign w:val="bottom"/>
            <w:hideMark/>
          </w:tcPr>
          <w:p w14:paraId="4973DF02" w14:textId="77777777" w:rsidR="006027D7" w:rsidRDefault="006027D7" w:rsidP="0001057B">
            <w:pPr>
              <w:spacing w:before="120" w:after="12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276" w:type="dxa"/>
            <w:tcBorders>
              <w:top w:val="single" w:sz="4" w:space="0" w:color="auto"/>
              <w:left w:val="nil"/>
              <w:bottom w:val="single" w:sz="4" w:space="0" w:color="auto"/>
              <w:right w:val="nil"/>
            </w:tcBorders>
            <w:shd w:val="clear" w:color="auto" w:fill="BDD6EE" w:themeFill="accent1" w:themeFillTint="66"/>
            <w:vAlign w:val="bottom"/>
            <w:hideMark/>
          </w:tcPr>
          <w:p w14:paraId="7D3F2537" w14:textId="77777777" w:rsidR="006027D7" w:rsidRDefault="006027D7" w:rsidP="0001057B">
            <w:pPr>
              <w:spacing w:before="120" w:after="12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no.</w:t>
            </w:r>
          </w:p>
        </w:tc>
        <w:tc>
          <w:tcPr>
            <w:tcW w:w="992" w:type="dxa"/>
            <w:tcBorders>
              <w:top w:val="single" w:sz="4" w:space="0" w:color="auto"/>
              <w:left w:val="nil"/>
              <w:bottom w:val="single" w:sz="4" w:space="0" w:color="auto"/>
              <w:right w:val="nil"/>
            </w:tcBorders>
            <w:shd w:val="clear" w:color="auto" w:fill="BDD6EE" w:themeFill="accent1" w:themeFillTint="66"/>
            <w:noWrap/>
            <w:vAlign w:val="bottom"/>
            <w:hideMark/>
          </w:tcPr>
          <w:p w14:paraId="7A83B8D8" w14:textId="77777777" w:rsidR="006027D7" w:rsidRDefault="006027D7" w:rsidP="0001057B">
            <w:pPr>
              <w:spacing w:before="120" w:after="12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5387" w:type="dxa"/>
            <w:tcBorders>
              <w:top w:val="single" w:sz="4" w:space="0" w:color="auto"/>
              <w:left w:val="nil"/>
              <w:bottom w:val="single" w:sz="4" w:space="0" w:color="auto"/>
              <w:right w:val="nil"/>
            </w:tcBorders>
            <w:shd w:val="clear" w:color="auto" w:fill="BDD6EE" w:themeFill="accent1" w:themeFillTint="66"/>
            <w:noWrap/>
            <w:vAlign w:val="bottom"/>
            <w:hideMark/>
          </w:tcPr>
          <w:p w14:paraId="2A573F11" w14:textId="77777777" w:rsidR="006027D7" w:rsidRDefault="006027D7" w:rsidP="0001057B">
            <w:pPr>
              <w:spacing w:before="120" w:after="12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Mouse Phenotype</w:t>
            </w:r>
          </w:p>
        </w:tc>
      </w:tr>
      <w:tr w:rsidR="008D6DF4" w14:paraId="75501C5E"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47F6C" w14:textId="47AAE78B"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44A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B7C3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909BAC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decreased creatinine clearance</w:t>
            </w:r>
          </w:p>
        </w:tc>
      </w:tr>
      <w:tr w:rsidR="008D6DF4" w14:paraId="57409EFC"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D307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8474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33BA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8C4F6E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dilated kidney collecting duct</w:t>
            </w:r>
          </w:p>
        </w:tc>
      </w:tr>
      <w:tr w:rsidR="008D6DF4" w14:paraId="11374500"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003A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A3E1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F42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4E3CE55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increased kidney apoptosis</w:t>
            </w:r>
          </w:p>
        </w:tc>
      </w:tr>
      <w:tr w:rsidR="008D6DF4" w14:paraId="5AB2F5EA"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ED74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5CD8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AB538"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5E704E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decreased kidney weight</w:t>
            </w:r>
          </w:p>
        </w:tc>
      </w:tr>
      <w:tr w:rsidR="008D6DF4" w14:paraId="104C2F94"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0B7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BEE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7D1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6EA946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increased creatinine clearance</w:t>
            </w:r>
          </w:p>
        </w:tc>
      </w:tr>
      <w:tr w:rsidR="008D6DF4" w14:paraId="19506655"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9F36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C219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28AC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CC1FE9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expanded mesangial matrix</w:t>
            </w:r>
          </w:p>
        </w:tc>
      </w:tr>
      <w:tr w:rsidR="008D6DF4" w14:paraId="33DDE0A1"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29A4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66A7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03A8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E52A70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fused podocyte foot processes</w:t>
            </w:r>
          </w:p>
        </w:tc>
      </w:tr>
      <w:tr w:rsidR="008D6DF4" w14:paraId="6175FC70"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F3F5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E48B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9943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7EA6D63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kidney inflammation</w:t>
            </w:r>
          </w:p>
        </w:tc>
      </w:tr>
      <w:tr w:rsidR="008D6DF4" w14:paraId="13977BC9"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2E8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FC2B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BFD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7B69C5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dilated renal tubules</w:t>
            </w:r>
          </w:p>
        </w:tc>
      </w:tr>
      <w:tr w:rsidR="008D6DF4" w14:paraId="06D0F4C1"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95E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693A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A7ED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761323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decreased nephron number</w:t>
            </w:r>
          </w:p>
        </w:tc>
      </w:tr>
      <w:tr w:rsidR="008D6DF4" w:rsidRPr="00BA5039" w14:paraId="05233901"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A322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07A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B8E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26E864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renal glomerulus basement membrane morphology</w:t>
            </w:r>
          </w:p>
        </w:tc>
      </w:tr>
      <w:tr w:rsidR="008D6DF4" w:rsidRPr="00BA5039" w14:paraId="3432E2A3"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E869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E6E0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EEEB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AB8877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podocyte slit junction morphology</w:t>
            </w:r>
          </w:p>
        </w:tc>
      </w:tr>
      <w:tr w:rsidR="008D6DF4" w14:paraId="14C60281"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D61D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F566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6EB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F0E5B0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hydronephrosis</w:t>
            </w:r>
          </w:p>
        </w:tc>
      </w:tr>
      <w:tr w:rsidR="008D6DF4" w14:paraId="28D55731"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AD58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E342C"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23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4CC333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renal tubule morphology</w:t>
            </w:r>
          </w:p>
        </w:tc>
      </w:tr>
      <w:tr w:rsidR="008D6DF4" w14:paraId="729C5AEF"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AB9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DA4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7E3D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C3D316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kidney hemorrhage</w:t>
            </w:r>
          </w:p>
        </w:tc>
      </w:tr>
      <w:tr w:rsidR="008D6DF4" w:rsidRPr="00BA5039" w14:paraId="2637B04D"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76F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AA3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EBFC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1A085B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renal glomerular capsule morphology</w:t>
            </w:r>
          </w:p>
        </w:tc>
      </w:tr>
      <w:tr w:rsidR="008D6DF4" w14:paraId="0ABA64B6"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3517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A083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B189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51AA86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glomerulosclerosis</w:t>
            </w:r>
          </w:p>
        </w:tc>
      </w:tr>
      <w:tr w:rsidR="008D6DF4" w14:paraId="04378F7A"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5AE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B3AE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E51C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7CB343A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cortical renal glomerulopathies</w:t>
            </w:r>
          </w:p>
        </w:tc>
      </w:tr>
      <w:tr w:rsidR="008D6DF4" w14:paraId="19317C0A"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F02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4977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191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2E5E93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podocyte foot process effacement</w:t>
            </w:r>
          </w:p>
        </w:tc>
      </w:tr>
      <w:tr w:rsidR="008D6DF4" w14:paraId="5E4BF4A7"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04BE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D70BA"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A812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3B9E9D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kidney morphology</w:t>
            </w:r>
          </w:p>
        </w:tc>
      </w:tr>
      <w:tr w:rsidR="008D6DF4" w14:paraId="776B5AA4"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5A2E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84C6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7808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EAB947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increased glomerular capsule space</w:t>
            </w:r>
          </w:p>
        </w:tc>
      </w:tr>
      <w:tr w:rsidR="008D6DF4" w14:paraId="589FEB0F"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1355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57A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468E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4CA1BF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podocyte morphology</w:t>
            </w:r>
          </w:p>
        </w:tc>
      </w:tr>
      <w:tr w:rsidR="008D6DF4" w14:paraId="664BE823"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82D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CE5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0F39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C5C91A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kidney failure</w:t>
            </w:r>
          </w:p>
        </w:tc>
      </w:tr>
      <w:tr w:rsidR="008D6DF4" w14:paraId="50E79FD7"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5835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BD4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1FA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E626C7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pale kidney</w:t>
            </w:r>
          </w:p>
        </w:tc>
      </w:tr>
      <w:tr w:rsidR="008D6DF4" w14:paraId="02803DFA"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E52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1FDA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C14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1CFF202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glomerulus hypertrophy</w:t>
            </w:r>
          </w:p>
        </w:tc>
      </w:tr>
      <w:tr w:rsidR="008D6DF4" w14:paraId="37B810B6"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644D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953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951A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45FDE14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glomerular immunoglobulin deposits</w:t>
            </w:r>
          </w:p>
        </w:tc>
      </w:tr>
      <w:tr w:rsidR="008D6DF4" w14:paraId="7B4B4EE2"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5E2D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C524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E726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466800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renal glomerular protein deposits</w:t>
            </w:r>
          </w:p>
        </w:tc>
      </w:tr>
      <w:tr w:rsidR="008D6DF4" w14:paraId="2FDA009F"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1DF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CA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D09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A5C3E9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glomerulonephritis</w:t>
            </w:r>
          </w:p>
        </w:tc>
      </w:tr>
      <w:tr w:rsidR="008D6DF4" w14:paraId="2549EED6"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69E7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A18B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FED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035A6B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abnormal renal glomerulus morphology</w:t>
            </w:r>
          </w:p>
        </w:tc>
      </w:tr>
      <w:tr w:rsidR="008D6DF4" w14:paraId="28EA5AD5" w14:textId="77777777" w:rsidTr="006027D7">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C433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459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58D5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w:t>
            </w:r>
          </w:p>
        </w:tc>
        <w:tc>
          <w:tcPr>
            <w:tcW w:w="538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B1B146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cortical renal glomerulopathies</w:t>
            </w:r>
          </w:p>
        </w:tc>
      </w:tr>
    </w:tbl>
    <w:p w14:paraId="41AB65AF" w14:textId="77777777" w:rsidR="008D6DF4" w:rsidRDefault="008D6DF4">
      <w:pPr>
        <w:spacing w:line="360" w:lineRule="auto"/>
        <w:jc w:val="both"/>
        <w:rPr>
          <w:rFonts w:ascii="Arial" w:hAnsi="Arial" w:cs="Arial"/>
          <w:b/>
          <w:lang w:val="en-US"/>
        </w:rPr>
        <w:sectPr w:rsidR="008D6DF4">
          <w:pgSz w:w="11906" w:h="16838"/>
          <w:pgMar w:top="1134" w:right="1417" w:bottom="1417" w:left="1417" w:header="708" w:footer="708" w:gutter="0"/>
          <w:cols w:space="708"/>
          <w:docGrid w:linePitch="360"/>
        </w:sectPr>
      </w:pPr>
    </w:p>
    <w:p w14:paraId="6768CF47" w14:textId="1CCB647F" w:rsidR="008D6DF4" w:rsidRDefault="007C1EBA" w:rsidP="009F0B9A">
      <w:pPr>
        <w:spacing w:after="120" w:line="240" w:lineRule="auto"/>
        <w:jc w:val="both"/>
        <w:rPr>
          <w:rFonts w:ascii="Arial" w:hAnsi="Arial" w:cs="Arial"/>
          <w:b/>
          <w:lang w:val="en-US"/>
        </w:rPr>
      </w:pPr>
      <w:r>
        <w:rPr>
          <w:rFonts w:ascii="Arial" w:hAnsi="Arial" w:cs="Arial"/>
          <w:b/>
          <w:lang w:val="en-US"/>
        </w:rPr>
        <w:lastRenderedPageBreak/>
        <w:t>Supplementary Table 7</w:t>
      </w:r>
      <w:r w:rsidR="006F789D">
        <w:rPr>
          <w:rFonts w:ascii="Arial" w:hAnsi="Arial" w:cs="Arial"/>
          <w:b/>
          <w:lang w:val="en-US"/>
        </w:rPr>
        <w:t>B</w:t>
      </w:r>
      <w:r>
        <w:rPr>
          <w:rFonts w:ascii="Arial" w:hAnsi="Arial" w:cs="Arial"/>
          <w:b/>
          <w:lang w:val="en-US"/>
        </w:rPr>
        <w:t xml:space="preserve"> | Genes in the six locus regions with a kidney-relevant phenotype in human.</w:t>
      </w:r>
      <w:r>
        <w:rPr>
          <w:rFonts w:ascii="Arial" w:hAnsi="Arial" w:cs="Arial"/>
          <w:lang w:val="en-US"/>
        </w:rPr>
        <w:t xml:space="preserve"> Shown are all genes that overlap any of the four locus regions with a phenotype relevant for kidney in The Online Mendelian Inheritance in Man database (OMIM</w:t>
      </w:r>
      <w:r w:rsidR="00056375" w:rsidRPr="00056375">
        <w:rPr>
          <w:rFonts w:ascii="Arial" w:hAnsi="Arial" w:cs="Arial"/>
          <w:vertAlign w:val="superscript"/>
          <w:lang w:val="en-US"/>
        </w:rPr>
        <w:t>53</w:t>
      </w:r>
      <w:r>
        <w:rPr>
          <w:rFonts w:ascii="Arial" w:hAnsi="Arial" w:cs="Arial"/>
          <w:lang w:val="en-US"/>
        </w:rPr>
        <w:t xml:space="preserve">). Each reported human phenotype is marked in green as in </w:t>
      </w:r>
      <w:r>
        <w:rPr>
          <w:rFonts w:ascii="Arial" w:hAnsi="Arial" w:cs="Arial"/>
          <w:b/>
          <w:lang w:val="en-US"/>
        </w:rPr>
        <w:t>Supplementary</w:t>
      </w:r>
      <w:r>
        <w:rPr>
          <w:rFonts w:ascii="Arial" w:hAnsi="Arial" w:cs="Arial"/>
          <w:lang w:val="en-US"/>
        </w:rPr>
        <w:t xml:space="preserve"> </w:t>
      </w:r>
      <w:r>
        <w:rPr>
          <w:rFonts w:ascii="Arial" w:hAnsi="Arial" w:cs="Arial"/>
          <w:b/>
          <w:lang w:val="en-US"/>
        </w:rPr>
        <w:t>Table 8</w:t>
      </w:r>
      <w:r>
        <w:rPr>
          <w:rFonts w:ascii="Arial" w:hAnsi="Arial" w:cs="Arial"/>
          <w:lang w:val="en-US"/>
        </w:rPr>
        <w:t>.</w:t>
      </w:r>
    </w:p>
    <w:tbl>
      <w:tblPr>
        <w:tblW w:w="14317" w:type="dxa"/>
        <w:tblLook w:val="04A0" w:firstRow="1" w:lastRow="0" w:firstColumn="1" w:lastColumn="0" w:noHBand="0" w:noVBand="1"/>
      </w:tblPr>
      <w:tblGrid>
        <w:gridCol w:w="1843"/>
        <w:gridCol w:w="1418"/>
        <w:gridCol w:w="1028"/>
        <w:gridCol w:w="3632"/>
        <w:gridCol w:w="6662"/>
      </w:tblGrid>
      <w:tr w:rsidR="008D6DF4" w14:paraId="0CC076C2" w14:textId="77777777" w:rsidTr="009F0B9A">
        <w:trPr>
          <w:trHeight w:val="255"/>
        </w:trPr>
        <w:tc>
          <w:tcPr>
            <w:tcW w:w="1843" w:type="dxa"/>
            <w:tcBorders>
              <w:top w:val="single" w:sz="4" w:space="0" w:color="auto"/>
              <w:left w:val="nil"/>
              <w:bottom w:val="single" w:sz="4" w:space="0" w:color="auto"/>
              <w:right w:val="nil"/>
            </w:tcBorders>
            <w:shd w:val="clear" w:color="auto" w:fill="BDD6EE" w:themeFill="accent1" w:themeFillTint="66"/>
            <w:vAlign w:val="bottom"/>
            <w:hideMark/>
          </w:tcPr>
          <w:p w14:paraId="3AE4B56E" w14:textId="77777777" w:rsidR="008D6DF4" w:rsidRDefault="007C1EBA" w:rsidP="009F0B9A">
            <w:pPr>
              <w:spacing w:before="120" w:after="12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1418" w:type="dxa"/>
            <w:tcBorders>
              <w:top w:val="single" w:sz="4" w:space="0" w:color="auto"/>
              <w:left w:val="nil"/>
              <w:bottom w:val="single" w:sz="4" w:space="0" w:color="auto"/>
              <w:right w:val="nil"/>
            </w:tcBorders>
            <w:shd w:val="clear" w:color="auto" w:fill="BDD6EE" w:themeFill="accent1" w:themeFillTint="66"/>
            <w:vAlign w:val="bottom"/>
            <w:hideMark/>
          </w:tcPr>
          <w:p w14:paraId="7311003E" w14:textId="77777777" w:rsidR="008D6DF4" w:rsidRDefault="007C1EBA" w:rsidP="009F0B9A">
            <w:pPr>
              <w:spacing w:before="120" w:after="12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no.</w:t>
            </w:r>
          </w:p>
        </w:tc>
        <w:tc>
          <w:tcPr>
            <w:tcW w:w="762" w:type="dxa"/>
            <w:tcBorders>
              <w:top w:val="single" w:sz="4" w:space="0" w:color="auto"/>
              <w:left w:val="nil"/>
              <w:bottom w:val="single" w:sz="4" w:space="0" w:color="auto"/>
              <w:right w:val="nil"/>
            </w:tcBorders>
            <w:shd w:val="clear" w:color="auto" w:fill="BDD6EE" w:themeFill="accent1" w:themeFillTint="66"/>
            <w:noWrap/>
            <w:vAlign w:val="bottom"/>
            <w:hideMark/>
          </w:tcPr>
          <w:p w14:paraId="6E434F12" w14:textId="77777777" w:rsidR="008D6DF4" w:rsidRDefault="007C1EBA" w:rsidP="009F0B9A">
            <w:pPr>
              <w:spacing w:before="120" w:after="12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3632" w:type="dxa"/>
            <w:tcBorders>
              <w:top w:val="single" w:sz="4" w:space="0" w:color="auto"/>
              <w:left w:val="nil"/>
              <w:bottom w:val="single" w:sz="4" w:space="0" w:color="auto"/>
              <w:right w:val="nil"/>
            </w:tcBorders>
            <w:shd w:val="clear" w:color="auto" w:fill="BDD6EE" w:themeFill="accent1" w:themeFillTint="66"/>
            <w:noWrap/>
            <w:vAlign w:val="bottom"/>
            <w:hideMark/>
          </w:tcPr>
          <w:p w14:paraId="273D4BD1" w14:textId="77777777" w:rsidR="008D6DF4" w:rsidRDefault="007C1EBA" w:rsidP="009F0B9A">
            <w:pPr>
              <w:spacing w:before="120" w:after="12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Disease</w:t>
            </w:r>
          </w:p>
        </w:tc>
        <w:tc>
          <w:tcPr>
            <w:tcW w:w="6662" w:type="dxa"/>
            <w:tcBorders>
              <w:top w:val="single" w:sz="4" w:space="0" w:color="auto"/>
              <w:left w:val="nil"/>
              <w:bottom w:val="single" w:sz="4" w:space="0" w:color="auto"/>
              <w:right w:val="nil"/>
            </w:tcBorders>
            <w:shd w:val="clear" w:color="auto" w:fill="BDD6EE" w:themeFill="accent1" w:themeFillTint="66"/>
            <w:noWrap/>
            <w:vAlign w:val="bottom"/>
            <w:hideMark/>
          </w:tcPr>
          <w:p w14:paraId="75926884" w14:textId="77777777" w:rsidR="008D6DF4" w:rsidRDefault="007C1EBA" w:rsidP="009F0B9A">
            <w:pPr>
              <w:spacing w:before="120" w:after="12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Kidney relevant phenotypes</w:t>
            </w:r>
          </w:p>
        </w:tc>
      </w:tr>
      <w:tr w:rsidR="008D6DF4" w:rsidRPr="00BA5039" w14:paraId="280F27CB" w14:textId="77777777" w:rsidTr="009F0B9A">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8AC0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D0B5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17A4" w14:textId="77777777" w:rsidR="008D6DF4" w:rsidRDefault="007C1EBA">
            <w:pPr>
              <w:spacing w:after="0" w:line="240" w:lineRule="auto"/>
              <w:jc w:val="center"/>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3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CE54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HYPERURICEMIC NEPHROPATHY, FAMILIAL JUVENILE, 1</w:t>
            </w:r>
          </w:p>
        </w:tc>
        <w:tc>
          <w:tcPr>
            <w:tcW w:w="6662"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94430C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Hyperuricemia,Renal biopsy shows chronic interstitial nephritis,Small medullary cysts,Nephropathy,Renal failure,Tubular atrophy,Thickening of the basement membrane</w:t>
            </w:r>
          </w:p>
        </w:tc>
      </w:tr>
      <w:tr w:rsidR="008D6DF4" w14:paraId="0A9D6FA0" w14:textId="77777777" w:rsidTr="009F0B9A">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65BC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AE01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4B30A" w14:textId="77777777" w:rsidR="008D6DF4" w:rsidRDefault="007C1EBA">
            <w:pPr>
              <w:spacing w:after="0" w:line="240" w:lineRule="auto"/>
              <w:jc w:val="center"/>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PRKAG2</w:t>
            </w:r>
          </w:p>
        </w:tc>
        <w:tc>
          <w:tcPr>
            <w:tcW w:w="3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5862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GLYCOGEN STORAGE DISEASE OF HEART, LETHAL CONGENITAL</w:t>
            </w:r>
          </w:p>
        </w:tc>
        <w:tc>
          <w:tcPr>
            <w:tcW w:w="6662"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4B68B2B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Renomegaly</w:t>
            </w:r>
          </w:p>
        </w:tc>
      </w:tr>
    </w:tbl>
    <w:p w14:paraId="54D00FBC" w14:textId="77777777" w:rsidR="008D6DF4" w:rsidRDefault="008D6DF4">
      <w:pPr>
        <w:spacing w:line="360" w:lineRule="auto"/>
        <w:jc w:val="both"/>
        <w:rPr>
          <w:rFonts w:ascii="Arial" w:hAnsi="Arial" w:cs="Arial"/>
          <w:b/>
          <w:lang w:val="en-US"/>
        </w:rPr>
        <w:sectPr w:rsidR="008D6DF4">
          <w:pgSz w:w="16838" w:h="11906" w:orient="landscape"/>
          <w:pgMar w:top="1417" w:right="1417" w:bottom="1417" w:left="1134" w:header="708" w:footer="708" w:gutter="0"/>
          <w:cols w:space="708"/>
          <w:docGrid w:linePitch="360"/>
        </w:sectPr>
      </w:pPr>
    </w:p>
    <w:p w14:paraId="4CF88B7E" w14:textId="1CD61904" w:rsidR="008D6DF4" w:rsidRDefault="007C1EBA" w:rsidP="009F0B9A">
      <w:pPr>
        <w:spacing w:after="120" w:line="240" w:lineRule="auto"/>
        <w:jc w:val="both"/>
        <w:rPr>
          <w:rFonts w:ascii="Arial" w:hAnsi="Arial" w:cs="Arial"/>
          <w:lang w:val="en-US"/>
        </w:rPr>
      </w:pPr>
      <w:r w:rsidRPr="00661974">
        <w:rPr>
          <w:rFonts w:ascii="Arial" w:hAnsi="Arial" w:cs="Arial"/>
          <w:b/>
          <w:lang w:val="en-US"/>
        </w:rPr>
        <w:lastRenderedPageBreak/>
        <w:t xml:space="preserve">Supplementary Table 8: Gene PrioritiSation. </w:t>
      </w:r>
      <w:r w:rsidRPr="00661974">
        <w:rPr>
          <w:rFonts w:ascii="Arial" w:hAnsi="Arial" w:cs="Arial"/>
          <w:lang w:val="en-US"/>
        </w:rPr>
        <w:t xml:space="preserve">For each gene in each of the four identified loci with genome-wide significance (locus region as lead variant ±500kB), these follow-up analysis results are shown: distance to the first and second signal lead variant; number of variants in the 99% credible set in each gene (details in </w:t>
      </w:r>
      <w:r w:rsidRPr="00661974">
        <w:rPr>
          <w:rFonts w:ascii="Arial" w:hAnsi="Arial" w:cs="Arial"/>
          <w:b/>
          <w:lang w:val="en-US"/>
        </w:rPr>
        <w:t>Supplementary Table 6</w:t>
      </w:r>
      <w:r w:rsidR="006F789D" w:rsidRPr="00661974">
        <w:rPr>
          <w:rFonts w:ascii="Arial" w:hAnsi="Arial" w:cs="Arial"/>
          <w:b/>
          <w:lang w:val="en-US"/>
        </w:rPr>
        <w:t>A)</w:t>
      </w:r>
      <w:r w:rsidRPr="00661974">
        <w:rPr>
          <w:rFonts w:ascii="Arial" w:hAnsi="Arial" w:cs="Arial"/>
          <w:lang w:val="en-US"/>
        </w:rPr>
        <w:t>;predicted function as missense, nonsense-mediated decay (NMD) or altered splicing for each variant in the 99% credible set overlapping the gene’s region (</w:t>
      </w:r>
      <w:r w:rsidRPr="00661974">
        <w:rPr>
          <w:rFonts w:ascii="Arial" w:hAnsi="Arial" w:cs="Arial"/>
          <w:b/>
          <w:lang w:val="en-US"/>
        </w:rPr>
        <w:t>Supplementary Table 6</w:t>
      </w:r>
      <w:r w:rsidR="006F789D" w:rsidRPr="00661974">
        <w:rPr>
          <w:rFonts w:ascii="Arial" w:hAnsi="Arial" w:cs="Arial"/>
          <w:b/>
          <w:lang w:val="en-US"/>
        </w:rPr>
        <w:t>A</w:t>
      </w:r>
      <w:r w:rsidR="00356522">
        <w:rPr>
          <w:rFonts w:ascii="Arial" w:hAnsi="Arial" w:cs="Arial"/>
          <w:lang w:val="en-US"/>
        </w:rPr>
        <w:t xml:space="preserve">); evidence of </w:t>
      </w:r>
      <w:r w:rsidRPr="00661974">
        <w:rPr>
          <w:rFonts w:ascii="Arial" w:hAnsi="Arial" w:cs="Arial"/>
          <w:lang w:val="en-US"/>
        </w:rPr>
        <w:t>eQTL-modulated gene expression in NephQTL or GTEx data (</w:t>
      </w:r>
      <w:r w:rsidRPr="00661974">
        <w:rPr>
          <w:rFonts w:ascii="Arial" w:hAnsi="Arial" w:cs="Arial"/>
          <w:b/>
          <w:lang w:val="en-US"/>
        </w:rPr>
        <w:t>Supplementary Table 6</w:t>
      </w:r>
      <w:r w:rsidR="006F789D" w:rsidRPr="00661974">
        <w:rPr>
          <w:rFonts w:ascii="Arial" w:hAnsi="Arial" w:cs="Arial"/>
          <w:b/>
          <w:lang w:val="en-US"/>
        </w:rPr>
        <w:t>B</w:t>
      </w:r>
      <w:r w:rsidRPr="00661974">
        <w:rPr>
          <w:rFonts w:ascii="Arial" w:hAnsi="Arial" w:cs="Arial"/>
          <w:lang w:val="en-US"/>
        </w:rPr>
        <w:t>); reported kidney-relevant mouse phenotype (</w:t>
      </w:r>
      <w:r w:rsidR="006F789D" w:rsidRPr="00661974">
        <w:rPr>
          <w:rFonts w:ascii="Arial" w:hAnsi="Arial" w:cs="Arial"/>
          <w:b/>
          <w:lang w:val="en-US"/>
        </w:rPr>
        <w:t>Supplementary Table 7A</w:t>
      </w:r>
      <w:r w:rsidRPr="00661974">
        <w:rPr>
          <w:rFonts w:ascii="Arial" w:hAnsi="Arial" w:cs="Arial"/>
          <w:lang w:val="en-US"/>
        </w:rPr>
        <w:t>) or human kidney phenotype from monogenic disease (</w:t>
      </w:r>
      <w:r w:rsidRPr="00661974">
        <w:rPr>
          <w:rFonts w:ascii="Arial" w:hAnsi="Arial" w:cs="Arial"/>
          <w:b/>
          <w:lang w:val="en-US"/>
        </w:rPr>
        <w:t>Supplementary Table 7</w:t>
      </w:r>
      <w:r w:rsidR="006F789D" w:rsidRPr="00661974">
        <w:rPr>
          <w:rFonts w:ascii="Arial" w:hAnsi="Arial" w:cs="Arial"/>
          <w:b/>
          <w:lang w:val="en-US"/>
        </w:rPr>
        <w:t>B</w:t>
      </w:r>
      <w:r w:rsidRPr="00661974">
        <w:rPr>
          <w:rFonts w:ascii="Arial" w:hAnsi="Arial" w:cs="Arial"/>
          <w:lang w:val="en-US"/>
        </w:rPr>
        <w:t xml:space="preserve">). </w:t>
      </w:r>
      <w:r w:rsidRPr="00661974">
        <w:rPr>
          <w:rFonts w:ascii="Arial" w:hAnsi="Arial" w:cs="Arial"/>
          <w:b/>
          <w:lang w:val="en-US"/>
        </w:rPr>
        <w:t>Table 4</w:t>
      </w:r>
      <w:r w:rsidRPr="00661974">
        <w:rPr>
          <w:rFonts w:ascii="Arial" w:hAnsi="Arial" w:cs="Arial"/>
          <w:lang w:val="en-US"/>
        </w:rPr>
        <w:t xml:space="preserve"> is a condensed version of this table focusing on genes with relevant findings</w:t>
      </w:r>
      <w:r w:rsidR="008E6F4E" w:rsidRPr="00661974">
        <w:rPr>
          <w:rFonts w:ascii="Arial" w:hAnsi="Arial" w:cs="Arial"/>
          <w:lang w:val="en-US"/>
        </w:rPr>
        <w:t xml:space="preserve">; </w:t>
      </w:r>
      <w:r w:rsidRPr="00661974">
        <w:rPr>
          <w:rFonts w:ascii="Arial" w:hAnsi="Arial" w:cs="Arial"/>
          <w:lang w:val="en-US"/>
        </w:rPr>
        <w:t>a sortable and searchable version of this table where the weights can be customized is provided online (</w:t>
      </w:r>
      <w:r w:rsidR="006C2FF2" w:rsidRPr="00661974">
        <w:rPr>
          <w:rFonts w:ascii="Arial" w:hAnsi="Arial" w:cs="Arial"/>
          <w:lang w:val="en-US"/>
        </w:rPr>
        <w:t>www.genepi-regensburg.de/rapiddecline</w:t>
      </w:r>
      <w:r w:rsidR="00356522">
        <w:rPr>
          <w:rFonts w:ascii="Arial" w:hAnsi="Arial" w:cs="Arial"/>
          <w:lang w:val="en-US"/>
        </w:rPr>
        <w:t>).</w:t>
      </w:r>
    </w:p>
    <w:tbl>
      <w:tblPr>
        <w:tblW w:w="13709" w:type="dxa"/>
        <w:tblLayout w:type="fixed"/>
        <w:tblCellMar>
          <w:left w:w="0" w:type="dxa"/>
          <w:right w:w="0" w:type="dxa"/>
        </w:tblCellMar>
        <w:tblLook w:val="04A0" w:firstRow="1" w:lastRow="0" w:firstColumn="1" w:lastColumn="0" w:noHBand="0" w:noVBand="1"/>
      </w:tblPr>
      <w:tblGrid>
        <w:gridCol w:w="1417"/>
        <w:gridCol w:w="282"/>
        <w:gridCol w:w="1275"/>
        <w:gridCol w:w="297"/>
        <w:gridCol w:w="1305"/>
        <w:gridCol w:w="1289"/>
        <w:gridCol w:w="1002"/>
        <w:gridCol w:w="1041"/>
        <w:gridCol w:w="652"/>
        <w:gridCol w:w="357"/>
        <w:gridCol w:w="581"/>
        <w:gridCol w:w="483"/>
        <w:gridCol w:w="448"/>
        <w:gridCol w:w="504"/>
        <w:gridCol w:w="489"/>
        <w:gridCol w:w="627"/>
        <w:gridCol w:w="567"/>
        <w:gridCol w:w="567"/>
        <w:gridCol w:w="517"/>
        <w:gridCol w:w="9"/>
      </w:tblGrid>
      <w:tr w:rsidR="008D6DF4" w14:paraId="6231FCBB" w14:textId="77777777" w:rsidTr="00CD4507">
        <w:trPr>
          <w:gridAfter w:val="1"/>
          <w:wAfter w:w="9" w:type="dxa"/>
        </w:trPr>
        <w:tc>
          <w:tcPr>
            <w:tcW w:w="1417" w:type="dxa"/>
            <w:tcBorders>
              <w:top w:val="nil"/>
              <w:left w:val="nil"/>
              <w:bottom w:val="nil"/>
              <w:right w:val="nil"/>
            </w:tcBorders>
            <w:shd w:val="clear" w:color="auto" w:fill="auto"/>
            <w:noWrap/>
            <w:vAlign w:val="bottom"/>
            <w:hideMark/>
          </w:tcPr>
          <w:p w14:paraId="760C45B3" w14:textId="77777777" w:rsidR="008D6DF4" w:rsidRDefault="008D6DF4">
            <w:pPr>
              <w:spacing w:after="0" w:line="240" w:lineRule="auto"/>
              <w:rPr>
                <w:rFonts w:ascii="Times New Roman" w:eastAsia="Times New Roman" w:hAnsi="Times New Roman" w:cs="Times New Roman"/>
                <w:sz w:val="24"/>
                <w:szCs w:val="24"/>
                <w:lang w:val="en-US"/>
              </w:rPr>
            </w:pPr>
          </w:p>
        </w:tc>
        <w:tc>
          <w:tcPr>
            <w:tcW w:w="282" w:type="dxa"/>
            <w:tcBorders>
              <w:top w:val="nil"/>
              <w:left w:val="nil"/>
              <w:bottom w:val="nil"/>
              <w:right w:val="nil"/>
            </w:tcBorders>
            <w:shd w:val="clear" w:color="auto" w:fill="auto"/>
            <w:noWrap/>
            <w:vAlign w:val="bottom"/>
            <w:hideMark/>
          </w:tcPr>
          <w:p w14:paraId="4FDAD791" w14:textId="77777777" w:rsidR="008D6DF4" w:rsidRDefault="008D6DF4">
            <w:pPr>
              <w:spacing w:after="0" w:line="240" w:lineRule="auto"/>
              <w:rPr>
                <w:rFonts w:ascii="Times New Roman" w:eastAsia="Times New Roman" w:hAnsi="Times New Roman" w:cs="Times New Roman"/>
                <w:sz w:val="20"/>
                <w:szCs w:val="20"/>
                <w:lang w:val="en-US"/>
              </w:rPr>
            </w:pPr>
          </w:p>
        </w:tc>
        <w:tc>
          <w:tcPr>
            <w:tcW w:w="1275" w:type="dxa"/>
            <w:tcBorders>
              <w:top w:val="nil"/>
              <w:left w:val="nil"/>
              <w:bottom w:val="nil"/>
              <w:right w:val="nil"/>
            </w:tcBorders>
            <w:shd w:val="clear" w:color="auto" w:fill="auto"/>
            <w:noWrap/>
            <w:vAlign w:val="bottom"/>
            <w:hideMark/>
          </w:tcPr>
          <w:p w14:paraId="198CB31D" w14:textId="77777777" w:rsidR="008D6DF4" w:rsidRDefault="008D6DF4">
            <w:pPr>
              <w:spacing w:after="0" w:line="240" w:lineRule="auto"/>
              <w:rPr>
                <w:rFonts w:ascii="Times New Roman" w:eastAsia="Times New Roman" w:hAnsi="Times New Roman" w:cs="Times New Roman"/>
                <w:sz w:val="20"/>
                <w:szCs w:val="20"/>
                <w:lang w:val="en-US"/>
              </w:rPr>
            </w:pPr>
          </w:p>
        </w:tc>
        <w:tc>
          <w:tcPr>
            <w:tcW w:w="297" w:type="dxa"/>
            <w:tcBorders>
              <w:top w:val="nil"/>
              <w:left w:val="nil"/>
              <w:bottom w:val="nil"/>
              <w:right w:val="nil"/>
            </w:tcBorders>
            <w:shd w:val="clear" w:color="auto" w:fill="auto"/>
            <w:noWrap/>
            <w:vAlign w:val="bottom"/>
            <w:hideMark/>
          </w:tcPr>
          <w:p w14:paraId="45C0266B" w14:textId="77777777" w:rsidR="008D6DF4" w:rsidRDefault="008D6DF4">
            <w:pPr>
              <w:spacing w:after="0" w:line="240" w:lineRule="auto"/>
              <w:rPr>
                <w:rFonts w:ascii="Times New Roman" w:eastAsia="Times New Roman" w:hAnsi="Times New Roman" w:cs="Times New Roman"/>
                <w:sz w:val="20"/>
                <w:szCs w:val="20"/>
                <w:lang w:val="en-US"/>
              </w:rPr>
            </w:pPr>
          </w:p>
        </w:tc>
        <w:tc>
          <w:tcPr>
            <w:tcW w:w="1305" w:type="dxa"/>
            <w:tcBorders>
              <w:top w:val="nil"/>
              <w:left w:val="nil"/>
              <w:bottom w:val="nil"/>
              <w:right w:val="nil"/>
            </w:tcBorders>
            <w:shd w:val="clear" w:color="auto" w:fill="auto"/>
            <w:noWrap/>
            <w:vAlign w:val="bottom"/>
            <w:hideMark/>
          </w:tcPr>
          <w:p w14:paraId="778EAA43" w14:textId="77777777" w:rsidR="008D6DF4" w:rsidRDefault="008D6DF4">
            <w:pPr>
              <w:spacing w:after="0" w:line="240" w:lineRule="auto"/>
              <w:rPr>
                <w:rFonts w:ascii="Times New Roman" w:eastAsia="Times New Roman" w:hAnsi="Times New Roman" w:cs="Times New Roman"/>
                <w:sz w:val="20"/>
                <w:szCs w:val="20"/>
                <w:lang w:val="en-US"/>
              </w:rPr>
            </w:pPr>
          </w:p>
        </w:tc>
        <w:tc>
          <w:tcPr>
            <w:tcW w:w="1289" w:type="dxa"/>
            <w:tcBorders>
              <w:top w:val="nil"/>
              <w:left w:val="nil"/>
              <w:bottom w:val="nil"/>
              <w:right w:val="nil"/>
            </w:tcBorders>
            <w:shd w:val="clear" w:color="auto" w:fill="auto"/>
            <w:noWrap/>
            <w:vAlign w:val="bottom"/>
            <w:hideMark/>
          </w:tcPr>
          <w:p w14:paraId="3726D2E9" w14:textId="77777777" w:rsidR="008D6DF4" w:rsidRDefault="008D6DF4">
            <w:pPr>
              <w:spacing w:after="0" w:line="240" w:lineRule="auto"/>
              <w:rPr>
                <w:rFonts w:ascii="Times New Roman" w:eastAsia="Times New Roman" w:hAnsi="Times New Roman" w:cs="Times New Roman"/>
                <w:sz w:val="20"/>
                <w:szCs w:val="20"/>
                <w:lang w:val="en-US"/>
              </w:rPr>
            </w:pPr>
          </w:p>
        </w:tc>
        <w:tc>
          <w:tcPr>
            <w:tcW w:w="1002" w:type="dxa"/>
            <w:tcBorders>
              <w:top w:val="nil"/>
              <w:left w:val="nil"/>
              <w:bottom w:val="nil"/>
              <w:right w:val="nil"/>
            </w:tcBorders>
            <w:shd w:val="clear" w:color="auto" w:fill="auto"/>
            <w:noWrap/>
            <w:vAlign w:val="bottom"/>
            <w:hideMark/>
          </w:tcPr>
          <w:p w14:paraId="6776172C" w14:textId="77777777" w:rsidR="008D6DF4" w:rsidRDefault="008D6DF4">
            <w:pPr>
              <w:spacing w:after="0" w:line="240" w:lineRule="auto"/>
              <w:rPr>
                <w:rFonts w:ascii="Times New Roman" w:eastAsia="Times New Roman" w:hAnsi="Times New Roman" w:cs="Times New Roman"/>
                <w:sz w:val="20"/>
                <w:szCs w:val="20"/>
                <w:lang w:val="en-US"/>
              </w:rPr>
            </w:pPr>
          </w:p>
        </w:tc>
        <w:tc>
          <w:tcPr>
            <w:tcW w:w="1041" w:type="dxa"/>
            <w:tcBorders>
              <w:top w:val="nil"/>
              <w:left w:val="nil"/>
              <w:bottom w:val="nil"/>
              <w:right w:val="nil"/>
            </w:tcBorders>
            <w:shd w:val="clear" w:color="auto" w:fill="auto"/>
            <w:noWrap/>
            <w:vAlign w:val="bottom"/>
            <w:hideMark/>
          </w:tcPr>
          <w:p w14:paraId="3863EDB8" w14:textId="77777777" w:rsidR="008D6DF4" w:rsidRDefault="008D6DF4">
            <w:pPr>
              <w:spacing w:after="0" w:line="240" w:lineRule="auto"/>
              <w:jc w:val="right"/>
              <w:rPr>
                <w:rFonts w:ascii="Times New Roman" w:eastAsia="Times New Roman" w:hAnsi="Times New Roman" w:cs="Times New Roman"/>
                <w:sz w:val="20"/>
                <w:szCs w:val="20"/>
                <w:lang w:val="en-US"/>
              </w:rPr>
            </w:pPr>
          </w:p>
        </w:tc>
        <w:tc>
          <w:tcPr>
            <w:tcW w:w="652" w:type="dxa"/>
            <w:tcBorders>
              <w:top w:val="nil"/>
              <w:left w:val="nil"/>
              <w:bottom w:val="nil"/>
              <w:right w:val="nil"/>
            </w:tcBorders>
            <w:shd w:val="clear" w:color="auto" w:fill="auto"/>
            <w:noWrap/>
            <w:vAlign w:val="bottom"/>
            <w:hideMark/>
          </w:tcPr>
          <w:p w14:paraId="6CA3738C" w14:textId="77777777" w:rsidR="008D6DF4" w:rsidRDefault="008D6DF4">
            <w:pPr>
              <w:spacing w:after="0" w:line="240" w:lineRule="auto"/>
              <w:jc w:val="right"/>
              <w:rPr>
                <w:rFonts w:ascii="Times New Roman" w:eastAsia="Times New Roman" w:hAnsi="Times New Roman" w:cs="Times New Roman"/>
                <w:sz w:val="20"/>
                <w:szCs w:val="20"/>
                <w:lang w:val="en-US"/>
              </w:rPr>
            </w:pPr>
          </w:p>
        </w:tc>
        <w:tc>
          <w:tcPr>
            <w:tcW w:w="357" w:type="dxa"/>
            <w:tcBorders>
              <w:top w:val="nil"/>
              <w:left w:val="nil"/>
              <w:bottom w:val="nil"/>
              <w:right w:val="nil"/>
            </w:tcBorders>
            <w:shd w:val="clear" w:color="auto" w:fill="auto"/>
            <w:noWrap/>
            <w:vAlign w:val="bottom"/>
            <w:hideMark/>
          </w:tcPr>
          <w:p w14:paraId="5594BB8B" w14:textId="77777777" w:rsidR="008D6DF4" w:rsidRDefault="008D6DF4">
            <w:pPr>
              <w:spacing w:after="0" w:line="240" w:lineRule="auto"/>
              <w:jc w:val="center"/>
              <w:rPr>
                <w:rFonts w:ascii="Times New Roman" w:eastAsia="Times New Roman" w:hAnsi="Times New Roman" w:cs="Times New Roman"/>
                <w:sz w:val="20"/>
                <w:szCs w:val="20"/>
                <w:lang w:val="en-US"/>
              </w:rPr>
            </w:pPr>
          </w:p>
        </w:tc>
        <w:tc>
          <w:tcPr>
            <w:tcW w:w="1512"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45EB9CBC"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Any credible set variants in gene</w:t>
            </w:r>
          </w:p>
        </w:tc>
        <w:tc>
          <w:tcPr>
            <w:tcW w:w="2187" w:type="dxa"/>
            <w:gridSpan w:val="4"/>
            <w:tcBorders>
              <w:top w:val="single" w:sz="4" w:space="0" w:color="auto"/>
              <w:left w:val="nil"/>
              <w:bottom w:val="single" w:sz="4" w:space="0" w:color="auto"/>
              <w:right w:val="single" w:sz="4" w:space="0" w:color="auto"/>
            </w:tcBorders>
            <w:shd w:val="clear" w:color="000000" w:fill="FFC000"/>
            <w:vAlign w:val="bottom"/>
            <w:hideMark/>
          </w:tcPr>
          <w:p w14:paraId="7AE8BEF2" w14:textId="54410DA7" w:rsidR="008D6DF4" w:rsidRDefault="007C1EBA" w:rsidP="00356522">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eQTL-modulated expression by any credible set variant</w:t>
            </w:r>
          </w:p>
        </w:tc>
        <w:tc>
          <w:tcPr>
            <w:tcW w:w="1084" w:type="dxa"/>
            <w:gridSpan w:val="2"/>
            <w:tcBorders>
              <w:top w:val="single" w:sz="4" w:space="0" w:color="auto"/>
              <w:left w:val="nil"/>
              <w:bottom w:val="single" w:sz="4" w:space="0" w:color="auto"/>
              <w:right w:val="single" w:sz="4" w:space="0" w:color="auto"/>
            </w:tcBorders>
            <w:shd w:val="clear" w:color="000000" w:fill="00CC00"/>
            <w:vAlign w:val="bottom"/>
            <w:hideMark/>
          </w:tcPr>
          <w:p w14:paraId="4DF24445" w14:textId="77777777" w:rsidR="008D6DF4" w:rsidRDefault="007C1E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Evidenced kidney phenotype</w:t>
            </w:r>
          </w:p>
        </w:tc>
      </w:tr>
      <w:tr w:rsidR="008D6DF4" w14:paraId="4182C441" w14:textId="77777777">
        <w:trPr>
          <w:trHeight w:val="255"/>
        </w:trPr>
        <w:tc>
          <w:tcPr>
            <w:tcW w:w="8917" w:type="dxa"/>
            <w:gridSpan w:val="10"/>
            <w:tcBorders>
              <w:top w:val="single" w:sz="4" w:space="0" w:color="auto"/>
              <w:left w:val="nil"/>
              <w:bottom w:val="single" w:sz="4" w:space="0" w:color="auto"/>
              <w:right w:val="single" w:sz="4" w:space="0" w:color="auto"/>
            </w:tcBorders>
            <w:shd w:val="clear" w:color="000000" w:fill="FFFF00"/>
            <w:noWrap/>
            <w:vAlign w:val="bottom"/>
            <w:hideMark/>
          </w:tcPr>
          <w:p w14:paraId="32B980D4" w14:textId="77777777" w:rsidR="008D6DF4" w:rsidRDefault="007C1EBA">
            <w:pPr>
              <w:spacing w:after="0" w:line="240" w:lineRule="auto"/>
              <w:jc w:val="right"/>
              <w:rPr>
                <w:rFonts w:ascii="Arial" w:eastAsia="Times New Roman" w:hAnsi="Arial" w:cs="Arial"/>
                <w:b/>
                <w:bCs/>
                <w:sz w:val="20"/>
                <w:szCs w:val="20"/>
                <w:lang w:val="en-US"/>
              </w:rPr>
            </w:pPr>
            <w:r>
              <w:rPr>
                <w:rFonts w:ascii="Arial" w:eastAsia="Times New Roman" w:hAnsi="Arial" w:cs="Arial"/>
                <w:b/>
                <w:bCs/>
                <w:sz w:val="20"/>
                <w:szCs w:val="20"/>
                <w:lang w:val="en-US"/>
              </w:rPr>
              <w:t>Weight (Change weights here to change Gene Priority Score)</w:t>
            </w:r>
          </w:p>
        </w:tc>
        <w:tc>
          <w:tcPr>
            <w:tcW w:w="5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1901844"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FF949C"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48" w:type="dxa"/>
            <w:tcBorders>
              <w:top w:val="single" w:sz="4" w:space="0" w:color="auto"/>
              <w:left w:val="single" w:sz="4" w:space="0" w:color="auto"/>
              <w:bottom w:val="single" w:sz="4" w:space="0" w:color="auto"/>
              <w:right w:val="single" w:sz="4" w:space="0" w:color="auto"/>
            </w:tcBorders>
            <w:shd w:val="clear" w:color="000000" w:fill="FFFF00"/>
            <w:vAlign w:val="bottom"/>
          </w:tcPr>
          <w:p w14:paraId="6AF50F71"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65E5C08"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CFD9404"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627" w:type="dxa"/>
            <w:tcBorders>
              <w:top w:val="single" w:sz="4" w:space="0" w:color="auto"/>
              <w:left w:val="single" w:sz="4" w:space="0" w:color="auto"/>
              <w:bottom w:val="single" w:sz="4" w:space="0" w:color="auto"/>
              <w:right w:val="single" w:sz="4" w:space="0" w:color="auto"/>
            </w:tcBorders>
            <w:shd w:val="clear" w:color="000000" w:fill="FFFF00"/>
            <w:vAlign w:val="bottom"/>
          </w:tcPr>
          <w:p w14:paraId="272459FC"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389CEE31"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776A98E0"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26" w:type="dxa"/>
            <w:gridSpan w:val="2"/>
            <w:tcBorders>
              <w:top w:val="single" w:sz="4" w:space="0" w:color="auto"/>
              <w:left w:val="single" w:sz="4" w:space="0" w:color="auto"/>
              <w:bottom w:val="single" w:sz="4" w:space="0" w:color="auto"/>
              <w:right w:val="single" w:sz="4" w:space="0" w:color="auto"/>
            </w:tcBorders>
            <w:shd w:val="clear" w:color="000000" w:fill="FFFF00"/>
            <w:vAlign w:val="bottom"/>
          </w:tcPr>
          <w:p w14:paraId="4F77C9BA" w14:textId="77777777" w:rsidR="008D6DF4" w:rsidRDefault="007C1EBA">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r>
      <w:tr w:rsidR="008D6DF4" w14:paraId="49C70DDA" w14:textId="77777777" w:rsidTr="00FB1F53">
        <w:trPr>
          <w:gridAfter w:val="1"/>
          <w:wAfter w:w="9" w:type="dxa"/>
          <w:trHeight w:val="2745"/>
        </w:trPr>
        <w:tc>
          <w:tcPr>
            <w:tcW w:w="141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0AFC9BA"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2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2DAD5CB"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no.</w:t>
            </w:r>
          </w:p>
        </w:tc>
        <w:tc>
          <w:tcPr>
            <w:tcW w:w="127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0486B78"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2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54FA035"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Chromosome</w:t>
            </w:r>
          </w:p>
        </w:tc>
        <w:tc>
          <w:tcPr>
            <w:tcW w:w="130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C1D1EB"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Start of gene</w:t>
            </w:r>
          </w:p>
        </w:tc>
        <w:tc>
          <w:tcPr>
            <w:tcW w:w="128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89EF4D8"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End of gene</w:t>
            </w: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523DF75"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first signal variant (a)</w:t>
            </w:r>
          </w:p>
        </w:tc>
        <w:tc>
          <w:tcPr>
            <w:tcW w:w="104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C404EF1"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second signal variant (b)</w:t>
            </w:r>
          </w:p>
        </w:tc>
        <w:tc>
          <w:tcPr>
            <w:tcW w:w="6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0A213950"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#credible set variants</w:t>
            </w:r>
            <w:r>
              <w:rPr>
                <w:rFonts w:ascii="Arial" w:eastAsia="Times New Roman" w:hAnsi="Arial" w:cs="Arial"/>
                <w:b/>
                <w:bCs/>
                <w:color w:val="000000"/>
                <w:sz w:val="20"/>
                <w:szCs w:val="20"/>
                <w:lang w:val="en-US"/>
              </w:rPr>
              <w:br/>
              <w:t>in gene</w:t>
            </w:r>
          </w:p>
        </w:tc>
        <w:tc>
          <w:tcPr>
            <w:tcW w:w="357" w:type="dxa"/>
            <w:tcBorders>
              <w:top w:val="single" w:sz="4" w:space="0" w:color="auto"/>
              <w:left w:val="nil"/>
              <w:bottom w:val="single" w:sz="4" w:space="0" w:color="auto"/>
              <w:right w:val="single" w:sz="4" w:space="0" w:color="auto"/>
            </w:tcBorders>
            <w:shd w:val="clear" w:color="000000" w:fill="FFFF00"/>
            <w:noWrap/>
            <w:textDirection w:val="btLr"/>
            <w:vAlign w:val="center"/>
            <w:hideMark/>
          </w:tcPr>
          <w:p w14:paraId="37A069A9" w14:textId="77777777" w:rsidR="008D6DF4" w:rsidRDefault="007C1EBA">
            <w:pPr>
              <w:spacing w:after="0" w:line="240" w:lineRule="auto"/>
              <w:rPr>
                <w:rFonts w:ascii="Arial" w:eastAsia="Times New Roman" w:hAnsi="Arial" w:cs="Arial"/>
                <w:b/>
                <w:bCs/>
                <w:sz w:val="20"/>
                <w:szCs w:val="20"/>
                <w:lang w:val="en-US"/>
              </w:rPr>
            </w:pPr>
            <w:r>
              <w:rPr>
                <w:rFonts w:ascii="Arial" w:eastAsia="Times New Roman" w:hAnsi="Arial" w:cs="Arial"/>
                <w:b/>
                <w:bCs/>
                <w:sz w:val="20"/>
                <w:szCs w:val="20"/>
                <w:lang w:val="en-US"/>
              </w:rPr>
              <w:t>Gene Priority Score</w:t>
            </w:r>
          </w:p>
        </w:tc>
        <w:tc>
          <w:tcPr>
            <w:tcW w:w="581" w:type="dxa"/>
            <w:tcBorders>
              <w:top w:val="nil"/>
              <w:left w:val="nil"/>
              <w:bottom w:val="single" w:sz="4" w:space="0" w:color="auto"/>
              <w:right w:val="single" w:sz="4" w:space="0" w:color="auto"/>
            </w:tcBorders>
            <w:shd w:val="clear" w:color="000000" w:fill="00B0F0"/>
            <w:noWrap/>
            <w:textDirection w:val="btLr"/>
            <w:vAlign w:val="center"/>
            <w:hideMark/>
          </w:tcPr>
          <w:p w14:paraId="200249B2"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Missense</w:t>
            </w:r>
          </w:p>
        </w:tc>
        <w:tc>
          <w:tcPr>
            <w:tcW w:w="483" w:type="dxa"/>
            <w:tcBorders>
              <w:top w:val="nil"/>
              <w:left w:val="nil"/>
              <w:bottom w:val="single" w:sz="4" w:space="0" w:color="auto"/>
              <w:right w:val="single" w:sz="4" w:space="0" w:color="auto"/>
            </w:tcBorders>
            <w:shd w:val="clear" w:color="000000" w:fill="00B0F0"/>
            <w:noWrap/>
            <w:textDirection w:val="btLr"/>
            <w:vAlign w:val="center"/>
            <w:hideMark/>
          </w:tcPr>
          <w:p w14:paraId="12D1E837"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NMD</w:t>
            </w:r>
          </w:p>
        </w:tc>
        <w:tc>
          <w:tcPr>
            <w:tcW w:w="448" w:type="dxa"/>
            <w:tcBorders>
              <w:top w:val="nil"/>
              <w:left w:val="nil"/>
              <w:bottom w:val="single" w:sz="4" w:space="0" w:color="auto"/>
              <w:right w:val="single" w:sz="4" w:space="0" w:color="auto"/>
            </w:tcBorders>
            <w:shd w:val="clear" w:color="000000" w:fill="00B0F0"/>
            <w:noWrap/>
            <w:textDirection w:val="btLr"/>
            <w:vAlign w:val="center"/>
            <w:hideMark/>
          </w:tcPr>
          <w:p w14:paraId="19C64273"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Altered splicing</w:t>
            </w:r>
          </w:p>
        </w:tc>
        <w:tc>
          <w:tcPr>
            <w:tcW w:w="504" w:type="dxa"/>
            <w:tcBorders>
              <w:top w:val="nil"/>
              <w:left w:val="nil"/>
              <w:bottom w:val="single" w:sz="4" w:space="0" w:color="auto"/>
              <w:right w:val="single" w:sz="4" w:space="0" w:color="auto"/>
            </w:tcBorders>
            <w:shd w:val="clear" w:color="000000" w:fill="FFC000"/>
            <w:noWrap/>
            <w:textDirection w:val="btLr"/>
            <w:vAlign w:val="center"/>
            <w:hideMark/>
          </w:tcPr>
          <w:p w14:paraId="65EFFFA8"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glomerulus</w:t>
            </w:r>
          </w:p>
        </w:tc>
        <w:tc>
          <w:tcPr>
            <w:tcW w:w="489" w:type="dxa"/>
            <w:tcBorders>
              <w:top w:val="nil"/>
              <w:left w:val="nil"/>
              <w:bottom w:val="single" w:sz="4" w:space="0" w:color="auto"/>
              <w:right w:val="single" w:sz="4" w:space="0" w:color="auto"/>
            </w:tcBorders>
            <w:shd w:val="clear" w:color="000000" w:fill="FFC000"/>
            <w:noWrap/>
            <w:textDirection w:val="btLr"/>
            <w:vAlign w:val="center"/>
            <w:hideMark/>
          </w:tcPr>
          <w:p w14:paraId="432FAD9E"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tubulointerstitium</w:t>
            </w:r>
          </w:p>
        </w:tc>
        <w:tc>
          <w:tcPr>
            <w:tcW w:w="627" w:type="dxa"/>
            <w:tcBorders>
              <w:top w:val="nil"/>
              <w:left w:val="nil"/>
              <w:bottom w:val="single" w:sz="4" w:space="0" w:color="auto"/>
              <w:right w:val="single" w:sz="4" w:space="0" w:color="auto"/>
            </w:tcBorders>
            <w:shd w:val="clear" w:color="000000" w:fill="FFC000"/>
            <w:noWrap/>
            <w:textDirection w:val="btLr"/>
            <w:vAlign w:val="center"/>
            <w:hideMark/>
          </w:tcPr>
          <w:p w14:paraId="17245B38"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kidney tissue</w:t>
            </w:r>
          </w:p>
        </w:tc>
        <w:tc>
          <w:tcPr>
            <w:tcW w:w="567" w:type="dxa"/>
            <w:tcBorders>
              <w:top w:val="nil"/>
              <w:left w:val="nil"/>
              <w:bottom w:val="single" w:sz="4" w:space="0" w:color="auto"/>
              <w:right w:val="single" w:sz="4" w:space="0" w:color="auto"/>
            </w:tcBorders>
            <w:shd w:val="clear" w:color="000000" w:fill="FFC000"/>
            <w:noWrap/>
            <w:textDirection w:val="btLr"/>
            <w:vAlign w:val="center"/>
            <w:hideMark/>
          </w:tcPr>
          <w:p w14:paraId="68CC3E7F"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any other tissue</w:t>
            </w:r>
          </w:p>
        </w:tc>
        <w:tc>
          <w:tcPr>
            <w:tcW w:w="567" w:type="dxa"/>
            <w:tcBorders>
              <w:top w:val="nil"/>
              <w:left w:val="nil"/>
              <w:bottom w:val="single" w:sz="4" w:space="0" w:color="auto"/>
              <w:right w:val="single" w:sz="4" w:space="0" w:color="auto"/>
            </w:tcBorders>
            <w:shd w:val="clear" w:color="000000" w:fill="00CC00"/>
            <w:noWrap/>
            <w:textDirection w:val="btLr"/>
            <w:vAlign w:val="center"/>
            <w:hideMark/>
          </w:tcPr>
          <w:p w14:paraId="7E866F17"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mice (MGI)</w:t>
            </w:r>
          </w:p>
        </w:tc>
        <w:tc>
          <w:tcPr>
            <w:tcW w:w="517" w:type="dxa"/>
            <w:tcBorders>
              <w:top w:val="nil"/>
              <w:left w:val="nil"/>
              <w:bottom w:val="single" w:sz="4" w:space="0" w:color="auto"/>
              <w:right w:val="single" w:sz="4" w:space="0" w:color="auto"/>
            </w:tcBorders>
            <w:shd w:val="clear" w:color="000000" w:fill="00CC00"/>
            <w:noWrap/>
            <w:textDirection w:val="btLr"/>
            <w:vAlign w:val="center"/>
            <w:hideMark/>
          </w:tcPr>
          <w:p w14:paraId="0660C736"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human (OMIM)</w:t>
            </w:r>
          </w:p>
        </w:tc>
      </w:tr>
      <w:tr w:rsidR="008D6DF4" w14:paraId="0450BD1A"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B369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B1DB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0F3D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UMOD</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7559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AB36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20,344,372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16FC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20,364,200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EF3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76EA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-28,132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D424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w:t>
            </w:r>
          </w:p>
        </w:tc>
        <w:tc>
          <w:tcPr>
            <w:tcW w:w="35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2839C6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8DE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8C8F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707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E8E6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AB58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3C6D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070F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56A97590" w14:textId="77777777" w:rsidR="008D6DF4" w:rsidRDefault="007C1EBA">
            <w:pPr>
              <w:spacing w:after="0" w:line="240" w:lineRule="auto"/>
              <w:jc w:val="center"/>
              <w:rPr>
                <w:rFonts w:ascii="Arial" w:eastAsia="Times New Roman" w:hAnsi="Arial" w:cs="Arial"/>
                <w:color w:val="00CC00"/>
                <w:sz w:val="20"/>
                <w:szCs w:val="20"/>
                <w:lang w:val="en-US"/>
              </w:rPr>
            </w:pPr>
            <w:r>
              <w:rPr>
                <w:rFonts w:ascii="Arial" w:eastAsia="Times New Roman" w:hAnsi="Arial" w:cs="Arial"/>
                <w:color w:val="00CC00"/>
                <w:sz w:val="20"/>
                <w:szCs w:val="20"/>
                <w:lang w:val="en-US"/>
              </w:rPr>
              <w:t>1</w:t>
            </w:r>
          </w:p>
        </w:tc>
        <w:tc>
          <w:tcPr>
            <w:tcW w:w="51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E0FEF01" w14:textId="77777777" w:rsidR="008D6DF4" w:rsidRDefault="007C1EBA">
            <w:pPr>
              <w:spacing w:after="0" w:line="240" w:lineRule="auto"/>
              <w:jc w:val="center"/>
              <w:rPr>
                <w:rFonts w:ascii="Arial" w:eastAsia="Times New Roman" w:hAnsi="Arial" w:cs="Arial"/>
                <w:color w:val="00CC00"/>
                <w:sz w:val="20"/>
                <w:szCs w:val="20"/>
                <w:lang w:val="en-US"/>
              </w:rPr>
            </w:pPr>
            <w:r>
              <w:rPr>
                <w:rFonts w:ascii="Arial" w:eastAsia="Times New Roman" w:hAnsi="Arial" w:cs="Arial"/>
                <w:color w:val="00CC00"/>
                <w:sz w:val="20"/>
                <w:szCs w:val="20"/>
                <w:lang w:val="en-US"/>
              </w:rPr>
              <w:t>1</w:t>
            </w:r>
          </w:p>
        </w:tc>
      </w:tr>
      <w:tr w:rsidR="008D6DF4" w14:paraId="1E24C7DC"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49B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FBEF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D8FC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PDILT</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27A4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A92C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20,370,491</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C7AC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20,416,033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E485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2,846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AA9C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FB4D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357" w:type="dxa"/>
            <w:tcBorders>
              <w:top w:val="single" w:sz="4" w:space="0" w:color="auto"/>
              <w:left w:val="single" w:sz="4" w:space="0" w:color="auto"/>
              <w:bottom w:val="single" w:sz="4" w:space="0" w:color="auto"/>
              <w:right w:val="single" w:sz="4" w:space="0" w:color="auto"/>
            </w:tcBorders>
            <w:shd w:val="clear" w:color="000000" w:fill="FFFF80"/>
            <w:noWrap/>
            <w:vAlign w:val="center"/>
            <w:hideMark/>
          </w:tcPr>
          <w:p w14:paraId="40F8B66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B612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A85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94B5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A08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076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1E85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6EC5429" w14:textId="77777777" w:rsidR="008D6DF4" w:rsidRDefault="007C1EBA">
            <w:pPr>
              <w:spacing w:after="0" w:line="240" w:lineRule="auto"/>
              <w:jc w:val="center"/>
              <w:rPr>
                <w:rFonts w:ascii="Arial" w:eastAsia="Times New Roman" w:hAnsi="Arial" w:cs="Arial"/>
                <w:color w:val="FFC000"/>
                <w:sz w:val="20"/>
                <w:szCs w:val="20"/>
                <w:lang w:val="en-US"/>
              </w:rPr>
            </w:pPr>
            <w:r>
              <w:rPr>
                <w:rFonts w:ascii="Arial" w:eastAsia="Times New Roman" w:hAnsi="Arial" w:cs="Arial"/>
                <w:color w:val="FFC000"/>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85F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0D26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35D861B"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401D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44F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99A3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GPRC5B</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EAA9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4396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19,870,292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0D1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19,896,956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0482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-470,689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C4A7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-495,376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C82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CAC1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288E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A051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208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3793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EFAB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52B8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2B25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134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F91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27F0049F"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E98F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2FC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9668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ACSM5</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EC1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C85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20,420,855</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6C5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20,452,655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955A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53,210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83D5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28,523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6F42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00333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9725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33CD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2769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BB72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E0D2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CE5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91E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2867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4F8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0D7A2E3"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E0BC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7684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429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ACSM2B</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308C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A2D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20,548,079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CE7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20,587,695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C0DA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180,434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3E35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155,747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FC4B"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2C81B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A2E3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BC5C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30C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CEE7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4CB0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CD0A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DC16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714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176C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554B6F5"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0C79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5BFB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819A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THUMPD1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E186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A17D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20,744,985</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2057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20,753,286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9CA4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377,340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EA6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352,653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B08E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214D5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046F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F351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4988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955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BC8A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5C3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9C6B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A175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47B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21FD28AB"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A46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FEF1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461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LOC81691=</w:t>
            </w:r>
          </w:p>
          <w:p w14:paraId="4CBF95C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REXO5</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306C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805A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20,817,766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E30E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20,860,990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3E0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450,121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7141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425,434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DBEA"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86970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B793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54B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0F2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269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12C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6298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49DD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789C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EA21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1C7E272"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DF99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C1A8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614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GPR139</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5EB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A93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20,042,806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283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20,085,100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307F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-282,545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5993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-307,232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306C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7E48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7AA0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36A6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49A7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602C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432A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70AC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5484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30A1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7BC1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DE15C1" w14:paraId="20A2A5BB"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BA9C" w14:textId="77777777" w:rsidR="00DE15C1" w:rsidRDefault="00DE15C1"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BC146"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62AA" w14:textId="77777777" w:rsidR="00DE15C1" w:rsidRDefault="00DE15C1"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GP2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FCB21"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093BF"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20,320,895</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0C94B"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20,338,942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4A52"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-28,703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AD9DF"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-53,390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0EAF" w14:textId="77777777" w:rsidR="00DE15C1" w:rsidRDefault="00DE15C1"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14524" w14:textId="77777777" w:rsidR="00DE15C1" w:rsidRDefault="00DE15C1"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2968"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F3E85"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E2F96"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45AF7"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AEE4"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C2FBB"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FD6AC"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7819"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5256"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DE15C1" w14:paraId="39491143"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CAD69" w14:textId="77777777" w:rsidR="00DE15C1" w:rsidRDefault="00DE15C1"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54AA4"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D69F2" w14:textId="77777777" w:rsidR="00DE15C1" w:rsidRDefault="00DE15C1"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ACSM2A</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61FC3"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D542E"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20,462,782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34877"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20,498,991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002AF"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95,137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39406" w14:textId="77777777" w:rsidR="00DE15C1" w:rsidRDefault="00DE15C1"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70,450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2503F" w14:textId="77777777" w:rsidR="00DE15C1" w:rsidRDefault="00DE15C1"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4D55D8" w14:textId="77777777" w:rsidR="00DE15C1" w:rsidRDefault="00DE15C1"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32FAC"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C6BB"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C755"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7C1B9"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B8BD"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EFF07"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A9D9D"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D635B"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9734C" w14:textId="77777777" w:rsidR="00DE15C1" w:rsidRDefault="00DE15C1"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CD4507" w14:paraId="09BEA1FC"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975F3" w14:textId="77777777" w:rsidR="00CD4507" w:rsidRDefault="00CD450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EC8EF"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7AF9" w14:textId="77777777" w:rsidR="00CD4507" w:rsidRDefault="00CD450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ACSM1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D8FED"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75F79"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20,634,558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67FC6"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20,709,110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0881A"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266,913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179F"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242,226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12839"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90D70B"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68DA6"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4F7AD"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E8C40"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75C61"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FA2B8"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25080"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7084D"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66EF3"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B5F95"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bl>
    <w:p w14:paraId="68674089" w14:textId="51E11D1D" w:rsidR="00FB1F53" w:rsidRPr="00DE15C1" w:rsidRDefault="00DE15C1" w:rsidP="00DE15C1">
      <w:pPr>
        <w:ind w:right="678"/>
        <w:jc w:val="right"/>
        <w:rPr>
          <w:lang w:val="en-US"/>
        </w:rPr>
      </w:pPr>
      <w:r>
        <w:rPr>
          <w:lang w:val="en-US"/>
        </w:rPr>
        <w:t>…t</w:t>
      </w:r>
      <w:r w:rsidRPr="00DE15C1">
        <w:rPr>
          <w:lang w:val="en-US"/>
        </w:rPr>
        <w:t>o be continued</w:t>
      </w:r>
    </w:p>
    <w:p w14:paraId="7CF873C9" w14:textId="7E1696F5" w:rsidR="00FB1F53" w:rsidRPr="00DE15C1" w:rsidRDefault="00DE15C1">
      <w:pPr>
        <w:rPr>
          <w:lang w:val="en-US"/>
        </w:rPr>
      </w:pPr>
      <w:r>
        <w:rPr>
          <w:rFonts w:ascii="Arial" w:hAnsi="Arial" w:cs="Arial"/>
          <w:b/>
          <w:lang w:val="en-US"/>
        </w:rPr>
        <w:lastRenderedPageBreak/>
        <w:t>Supplementary Table 8: continued</w:t>
      </w:r>
    </w:p>
    <w:tbl>
      <w:tblPr>
        <w:tblW w:w="13709" w:type="dxa"/>
        <w:tblLayout w:type="fixed"/>
        <w:tblCellMar>
          <w:left w:w="0" w:type="dxa"/>
          <w:right w:w="0" w:type="dxa"/>
        </w:tblCellMar>
        <w:tblLook w:val="04A0" w:firstRow="1" w:lastRow="0" w:firstColumn="1" w:lastColumn="0" w:noHBand="0" w:noVBand="1"/>
      </w:tblPr>
      <w:tblGrid>
        <w:gridCol w:w="1417"/>
        <w:gridCol w:w="282"/>
        <w:gridCol w:w="1275"/>
        <w:gridCol w:w="297"/>
        <w:gridCol w:w="1305"/>
        <w:gridCol w:w="1289"/>
        <w:gridCol w:w="1002"/>
        <w:gridCol w:w="1041"/>
        <w:gridCol w:w="652"/>
        <w:gridCol w:w="357"/>
        <w:gridCol w:w="581"/>
        <w:gridCol w:w="483"/>
        <w:gridCol w:w="448"/>
        <w:gridCol w:w="504"/>
        <w:gridCol w:w="489"/>
        <w:gridCol w:w="627"/>
        <w:gridCol w:w="567"/>
        <w:gridCol w:w="567"/>
        <w:gridCol w:w="517"/>
        <w:gridCol w:w="9"/>
      </w:tblGrid>
      <w:tr w:rsidR="00FB1F53" w:rsidRPr="00DE15C1" w14:paraId="7280492A" w14:textId="77777777" w:rsidTr="00CD4507">
        <w:trPr>
          <w:gridAfter w:val="1"/>
          <w:wAfter w:w="9" w:type="dxa"/>
        </w:trPr>
        <w:tc>
          <w:tcPr>
            <w:tcW w:w="1417" w:type="dxa"/>
            <w:tcBorders>
              <w:top w:val="nil"/>
              <w:left w:val="nil"/>
              <w:bottom w:val="nil"/>
              <w:right w:val="nil"/>
            </w:tcBorders>
            <w:shd w:val="clear" w:color="auto" w:fill="auto"/>
            <w:noWrap/>
            <w:vAlign w:val="bottom"/>
            <w:hideMark/>
          </w:tcPr>
          <w:p w14:paraId="0C780191" w14:textId="77777777" w:rsidR="00FB1F53" w:rsidRDefault="00FB1F53" w:rsidP="0001057B">
            <w:pPr>
              <w:spacing w:after="0" w:line="240" w:lineRule="auto"/>
              <w:rPr>
                <w:rFonts w:ascii="Times New Roman" w:eastAsia="Times New Roman" w:hAnsi="Times New Roman" w:cs="Times New Roman"/>
                <w:sz w:val="24"/>
                <w:szCs w:val="24"/>
                <w:lang w:val="en-US"/>
              </w:rPr>
            </w:pPr>
          </w:p>
        </w:tc>
        <w:tc>
          <w:tcPr>
            <w:tcW w:w="282" w:type="dxa"/>
            <w:tcBorders>
              <w:top w:val="nil"/>
              <w:left w:val="nil"/>
              <w:bottom w:val="nil"/>
              <w:right w:val="nil"/>
            </w:tcBorders>
            <w:shd w:val="clear" w:color="auto" w:fill="auto"/>
            <w:noWrap/>
            <w:vAlign w:val="bottom"/>
            <w:hideMark/>
          </w:tcPr>
          <w:p w14:paraId="72E0DEA1" w14:textId="77777777" w:rsidR="00FB1F53" w:rsidRDefault="00FB1F53" w:rsidP="0001057B">
            <w:pPr>
              <w:spacing w:after="0" w:line="240" w:lineRule="auto"/>
              <w:rPr>
                <w:rFonts w:ascii="Times New Roman" w:eastAsia="Times New Roman" w:hAnsi="Times New Roman" w:cs="Times New Roman"/>
                <w:sz w:val="20"/>
                <w:szCs w:val="20"/>
                <w:lang w:val="en-US"/>
              </w:rPr>
            </w:pPr>
          </w:p>
        </w:tc>
        <w:tc>
          <w:tcPr>
            <w:tcW w:w="1275" w:type="dxa"/>
            <w:tcBorders>
              <w:top w:val="nil"/>
              <w:left w:val="nil"/>
              <w:bottom w:val="nil"/>
              <w:right w:val="nil"/>
            </w:tcBorders>
            <w:shd w:val="clear" w:color="auto" w:fill="auto"/>
            <w:noWrap/>
            <w:vAlign w:val="bottom"/>
            <w:hideMark/>
          </w:tcPr>
          <w:p w14:paraId="37C9C737" w14:textId="77777777" w:rsidR="00FB1F53" w:rsidRDefault="00FB1F53" w:rsidP="0001057B">
            <w:pPr>
              <w:spacing w:after="0" w:line="240" w:lineRule="auto"/>
              <w:rPr>
                <w:rFonts w:ascii="Times New Roman" w:eastAsia="Times New Roman" w:hAnsi="Times New Roman" w:cs="Times New Roman"/>
                <w:sz w:val="20"/>
                <w:szCs w:val="20"/>
                <w:lang w:val="en-US"/>
              </w:rPr>
            </w:pPr>
          </w:p>
        </w:tc>
        <w:tc>
          <w:tcPr>
            <w:tcW w:w="297" w:type="dxa"/>
            <w:tcBorders>
              <w:top w:val="nil"/>
              <w:left w:val="nil"/>
              <w:bottom w:val="nil"/>
              <w:right w:val="nil"/>
            </w:tcBorders>
            <w:shd w:val="clear" w:color="auto" w:fill="auto"/>
            <w:noWrap/>
            <w:vAlign w:val="bottom"/>
            <w:hideMark/>
          </w:tcPr>
          <w:p w14:paraId="52EC6537" w14:textId="77777777" w:rsidR="00FB1F53" w:rsidRDefault="00FB1F53" w:rsidP="0001057B">
            <w:pPr>
              <w:spacing w:after="0" w:line="240" w:lineRule="auto"/>
              <w:rPr>
                <w:rFonts w:ascii="Times New Roman" w:eastAsia="Times New Roman" w:hAnsi="Times New Roman" w:cs="Times New Roman"/>
                <w:sz w:val="20"/>
                <w:szCs w:val="20"/>
                <w:lang w:val="en-US"/>
              </w:rPr>
            </w:pPr>
          </w:p>
        </w:tc>
        <w:tc>
          <w:tcPr>
            <w:tcW w:w="1305" w:type="dxa"/>
            <w:tcBorders>
              <w:top w:val="nil"/>
              <w:left w:val="nil"/>
              <w:bottom w:val="nil"/>
              <w:right w:val="nil"/>
            </w:tcBorders>
            <w:shd w:val="clear" w:color="auto" w:fill="auto"/>
            <w:noWrap/>
            <w:vAlign w:val="bottom"/>
            <w:hideMark/>
          </w:tcPr>
          <w:p w14:paraId="51F3DFD2" w14:textId="77777777" w:rsidR="00FB1F53" w:rsidRDefault="00FB1F53" w:rsidP="0001057B">
            <w:pPr>
              <w:spacing w:after="0" w:line="240" w:lineRule="auto"/>
              <w:rPr>
                <w:rFonts w:ascii="Times New Roman" w:eastAsia="Times New Roman" w:hAnsi="Times New Roman" w:cs="Times New Roman"/>
                <w:sz w:val="20"/>
                <w:szCs w:val="20"/>
                <w:lang w:val="en-US"/>
              </w:rPr>
            </w:pPr>
          </w:p>
        </w:tc>
        <w:tc>
          <w:tcPr>
            <w:tcW w:w="1289" w:type="dxa"/>
            <w:tcBorders>
              <w:top w:val="nil"/>
              <w:left w:val="nil"/>
              <w:bottom w:val="nil"/>
              <w:right w:val="nil"/>
            </w:tcBorders>
            <w:shd w:val="clear" w:color="auto" w:fill="auto"/>
            <w:noWrap/>
            <w:vAlign w:val="bottom"/>
            <w:hideMark/>
          </w:tcPr>
          <w:p w14:paraId="13DE6A43" w14:textId="77777777" w:rsidR="00FB1F53" w:rsidRDefault="00FB1F53" w:rsidP="0001057B">
            <w:pPr>
              <w:spacing w:after="0" w:line="240" w:lineRule="auto"/>
              <w:rPr>
                <w:rFonts w:ascii="Times New Roman" w:eastAsia="Times New Roman" w:hAnsi="Times New Roman" w:cs="Times New Roman"/>
                <w:sz w:val="20"/>
                <w:szCs w:val="20"/>
                <w:lang w:val="en-US"/>
              </w:rPr>
            </w:pPr>
          </w:p>
        </w:tc>
        <w:tc>
          <w:tcPr>
            <w:tcW w:w="1002" w:type="dxa"/>
            <w:tcBorders>
              <w:top w:val="nil"/>
              <w:left w:val="nil"/>
              <w:bottom w:val="nil"/>
              <w:right w:val="nil"/>
            </w:tcBorders>
            <w:shd w:val="clear" w:color="auto" w:fill="auto"/>
            <w:noWrap/>
            <w:vAlign w:val="bottom"/>
            <w:hideMark/>
          </w:tcPr>
          <w:p w14:paraId="569F4030" w14:textId="77777777" w:rsidR="00FB1F53" w:rsidRDefault="00FB1F53" w:rsidP="0001057B">
            <w:pPr>
              <w:spacing w:after="0" w:line="240" w:lineRule="auto"/>
              <w:rPr>
                <w:rFonts w:ascii="Times New Roman" w:eastAsia="Times New Roman" w:hAnsi="Times New Roman" w:cs="Times New Roman"/>
                <w:sz w:val="20"/>
                <w:szCs w:val="20"/>
                <w:lang w:val="en-US"/>
              </w:rPr>
            </w:pPr>
          </w:p>
        </w:tc>
        <w:tc>
          <w:tcPr>
            <w:tcW w:w="1041" w:type="dxa"/>
            <w:tcBorders>
              <w:top w:val="nil"/>
              <w:left w:val="nil"/>
              <w:bottom w:val="nil"/>
              <w:right w:val="nil"/>
            </w:tcBorders>
            <w:shd w:val="clear" w:color="auto" w:fill="auto"/>
            <w:noWrap/>
            <w:vAlign w:val="bottom"/>
            <w:hideMark/>
          </w:tcPr>
          <w:p w14:paraId="366E65F4" w14:textId="77777777" w:rsidR="00FB1F53" w:rsidRDefault="00FB1F53" w:rsidP="0001057B">
            <w:pPr>
              <w:spacing w:after="0" w:line="240" w:lineRule="auto"/>
              <w:jc w:val="right"/>
              <w:rPr>
                <w:rFonts w:ascii="Times New Roman" w:eastAsia="Times New Roman" w:hAnsi="Times New Roman" w:cs="Times New Roman"/>
                <w:sz w:val="20"/>
                <w:szCs w:val="20"/>
                <w:lang w:val="en-US"/>
              </w:rPr>
            </w:pPr>
          </w:p>
        </w:tc>
        <w:tc>
          <w:tcPr>
            <w:tcW w:w="652" w:type="dxa"/>
            <w:tcBorders>
              <w:top w:val="nil"/>
              <w:left w:val="nil"/>
              <w:bottom w:val="nil"/>
              <w:right w:val="nil"/>
            </w:tcBorders>
            <w:shd w:val="clear" w:color="auto" w:fill="auto"/>
            <w:noWrap/>
            <w:vAlign w:val="bottom"/>
            <w:hideMark/>
          </w:tcPr>
          <w:p w14:paraId="444A066D" w14:textId="77777777" w:rsidR="00FB1F53" w:rsidRDefault="00FB1F53" w:rsidP="0001057B">
            <w:pPr>
              <w:spacing w:after="0" w:line="240" w:lineRule="auto"/>
              <w:jc w:val="right"/>
              <w:rPr>
                <w:rFonts w:ascii="Times New Roman" w:eastAsia="Times New Roman" w:hAnsi="Times New Roman" w:cs="Times New Roman"/>
                <w:sz w:val="20"/>
                <w:szCs w:val="20"/>
                <w:lang w:val="en-US"/>
              </w:rPr>
            </w:pPr>
          </w:p>
        </w:tc>
        <w:tc>
          <w:tcPr>
            <w:tcW w:w="357" w:type="dxa"/>
            <w:tcBorders>
              <w:top w:val="nil"/>
              <w:left w:val="nil"/>
              <w:bottom w:val="nil"/>
              <w:right w:val="nil"/>
            </w:tcBorders>
            <w:shd w:val="clear" w:color="auto" w:fill="auto"/>
            <w:noWrap/>
            <w:vAlign w:val="bottom"/>
            <w:hideMark/>
          </w:tcPr>
          <w:p w14:paraId="66E553B2" w14:textId="77777777" w:rsidR="00FB1F53" w:rsidRDefault="00FB1F53" w:rsidP="0001057B">
            <w:pPr>
              <w:spacing w:after="0" w:line="240" w:lineRule="auto"/>
              <w:jc w:val="center"/>
              <w:rPr>
                <w:rFonts w:ascii="Times New Roman" w:eastAsia="Times New Roman" w:hAnsi="Times New Roman" w:cs="Times New Roman"/>
                <w:sz w:val="20"/>
                <w:szCs w:val="20"/>
                <w:lang w:val="en-US"/>
              </w:rPr>
            </w:pPr>
          </w:p>
        </w:tc>
        <w:tc>
          <w:tcPr>
            <w:tcW w:w="1512"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06C8B42D" w14:textId="77777777" w:rsidR="00FB1F53" w:rsidRDefault="00FB1F53"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Any credible set variants in gene</w:t>
            </w:r>
          </w:p>
        </w:tc>
        <w:tc>
          <w:tcPr>
            <w:tcW w:w="2187" w:type="dxa"/>
            <w:gridSpan w:val="4"/>
            <w:tcBorders>
              <w:top w:val="single" w:sz="4" w:space="0" w:color="auto"/>
              <w:left w:val="nil"/>
              <w:bottom w:val="single" w:sz="4" w:space="0" w:color="auto"/>
              <w:right w:val="single" w:sz="4" w:space="0" w:color="auto"/>
            </w:tcBorders>
            <w:shd w:val="clear" w:color="000000" w:fill="FFC000"/>
            <w:vAlign w:val="bottom"/>
            <w:hideMark/>
          </w:tcPr>
          <w:p w14:paraId="5CB4D406" w14:textId="208AD94C" w:rsidR="00FB1F53" w:rsidRDefault="00FB1F53" w:rsidP="00356522">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eQTL-modulated expression by any credible set variant</w:t>
            </w:r>
          </w:p>
        </w:tc>
        <w:tc>
          <w:tcPr>
            <w:tcW w:w="1084" w:type="dxa"/>
            <w:gridSpan w:val="2"/>
            <w:tcBorders>
              <w:top w:val="single" w:sz="4" w:space="0" w:color="auto"/>
              <w:left w:val="nil"/>
              <w:bottom w:val="single" w:sz="4" w:space="0" w:color="auto"/>
              <w:right w:val="single" w:sz="4" w:space="0" w:color="auto"/>
            </w:tcBorders>
            <w:shd w:val="clear" w:color="000000" w:fill="00CC00"/>
            <w:vAlign w:val="bottom"/>
            <w:hideMark/>
          </w:tcPr>
          <w:p w14:paraId="2036D46E" w14:textId="77777777" w:rsidR="00FB1F53" w:rsidRDefault="00FB1F53"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Evidenced kidney phenotype</w:t>
            </w:r>
          </w:p>
        </w:tc>
      </w:tr>
      <w:tr w:rsidR="00FB1F53" w14:paraId="1BAEC229" w14:textId="77777777" w:rsidTr="00FB1F53">
        <w:trPr>
          <w:trHeight w:val="255"/>
        </w:trPr>
        <w:tc>
          <w:tcPr>
            <w:tcW w:w="8917" w:type="dxa"/>
            <w:gridSpan w:val="10"/>
            <w:tcBorders>
              <w:top w:val="single" w:sz="4" w:space="0" w:color="auto"/>
              <w:left w:val="nil"/>
              <w:bottom w:val="single" w:sz="4" w:space="0" w:color="auto"/>
              <w:right w:val="single" w:sz="4" w:space="0" w:color="auto"/>
            </w:tcBorders>
            <w:shd w:val="clear" w:color="000000" w:fill="FFFF00"/>
            <w:noWrap/>
            <w:vAlign w:val="bottom"/>
            <w:hideMark/>
          </w:tcPr>
          <w:p w14:paraId="3E83BBDB" w14:textId="77777777" w:rsidR="00FB1F53" w:rsidRDefault="00FB1F53" w:rsidP="0001057B">
            <w:pPr>
              <w:spacing w:after="0" w:line="240" w:lineRule="auto"/>
              <w:jc w:val="right"/>
              <w:rPr>
                <w:rFonts w:ascii="Arial" w:eastAsia="Times New Roman" w:hAnsi="Arial" w:cs="Arial"/>
                <w:b/>
                <w:bCs/>
                <w:sz w:val="20"/>
                <w:szCs w:val="20"/>
                <w:lang w:val="en-US"/>
              </w:rPr>
            </w:pPr>
            <w:r>
              <w:rPr>
                <w:rFonts w:ascii="Arial" w:eastAsia="Times New Roman" w:hAnsi="Arial" w:cs="Arial"/>
                <w:b/>
                <w:bCs/>
                <w:sz w:val="20"/>
                <w:szCs w:val="20"/>
                <w:lang w:val="en-US"/>
              </w:rPr>
              <w:t>Weight (Change weights here to change Gene Priority Score)</w:t>
            </w:r>
          </w:p>
        </w:tc>
        <w:tc>
          <w:tcPr>
            <w:tcW w:w="5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CA941A"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A09798"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48" w:type="dxa"/>
            <w:tcBorders>
              <w:top w:val="single" w:sz="4" w:space="0" w:color="auto"/>
              <w:left w:val="single" w:sz="4" w:space="0" w:color="auto"/>
              <w:bottom w:val="single" w:sz="4" w:space="0" w:color="auto"/>
              <w:right w:val="single" w:sz="4" w:space="0" w:color="auto"/>
            </w:tcBorders>
            <w:shd w:val="clear" w:color="000000" w:fill="FFFF00"/>
            <w:vAlign w:val="bottom"/>
          </w:tcPr>
          <w:p w14:paraId="57E45625"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DC99E8F"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AD4BAF9"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627" w:type="dxa"/>
            <w:tcBorders>
              <w:top w:val="single" w:sz="4" w:space="0" w:color="auto"/>
              <w:left w:val="single" w:sz="4" w:space="0" w:color="auto"/>
              <w:bottom w:val="single" w:sz="4" w:space="0" w:color="auto"/>
              <w:right w:val="single" w:sz="4" w:space="0" w:color="auto"/>
            </w:tcBorders>
            <w:shd w:val="clear" w:color="000000" w:fill="FFFF00"/>
            <w:vAlign w:val="bottom"/>
          </w:tcPr>
          <w:p w14:paraId="7E15D95D"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2740CF2E"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7C58DE11"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26" w:type="dxa"/>
            <w:gridSpan w:val="2"/>
            <w:tcBorders>
              <w:top w:val="single" w:sz="4" w:space="0" w:color="auto"/>
              <w:left w:val="single" w:sz="4" w:space="0" w:color="auto"/>
              <w:bottom w:val="single" w:sz="4" w:space="0" w:color="auto"/>
              <w:right w:val="single" w:sz="4" w:space="0" w:color="auto"/>
            </w:tcBorders>
            <w:shd w:val="clear" w:color="000000" w:fill="FFFF00"/>
            <w:vAlign w:val="bottom"/>
          </w:tcPr>
          <w:p w14:paraId="784C2184" w14:textId="77777777" w:rsidR="00FB1F53" w:rsidRDefault="00FB1F53"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r>
      <w:tr w:rsidR="00FB1F53" w14:paraId="0D3B9DC6" w14:textId="77777777" w:rsidTr="00FB1F53">
        <w:trPr>
          <w:gridAfter w:val="1"/>
          <w:wAfter w:w="9" w:type="dxa"/>
          <w:trHeight w:val="2745"/>
        </w:trPr>
        <w:tc>
          <w:tcPr>
            <w:tcW w:w="141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A5B6674"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2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F763586"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no.</w:t>
            </w:r>
          </w:p>
        </w:tc>
        <w:tc>
          <w:tcPr>
            <w:tcW w:w="127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4F0372A"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2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E8105CB"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Chromosome</w:t>
            </w:r>
          </w:p>
        </w:tc>
        <w:tc>
          <w:tcPr>
            <w:tcW w:w="130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C83E26"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Start of gene</w:t>
            </w:r>
          </w:p>
        </w:tc>
        <w:tc>
          <w:tcPr>
            <w:tcW w:w="128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B0505F5"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End of gene</w:t>
            </w: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4AC24CCA"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first signal variant (a)</w:t>
            </w:r>
          </w:p>
        </w:tc>
        <w:tc>
          <w:tcPr>
            <w:tcW w:w="104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B08B17C"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second signal variant (b)</w:t>
            </w:r>
          </w:p>
        </w:tc>
        <w:tc>
          <w:tcPr>
            <w:tcW w:w="6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78D9C31"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#credible set variants</w:t>
            </w:r>
            <w:r>
              <w:rPr>
                <w:rFonts w:ascii="Arial" w:eastAsia="Times New Roman" w:hAnsi="Arial" w:cs="Arial"/>
                <w:b/>
                <w:bCs/>
                <w:color w:val="000000"/>
                <w:sz w:val="20"/>
                <w:szCs w:val="20"/>
                <w:lang w:val="en-US"/>
              </w:rPr>
              <w:br/>
              <w:t>in gene</w:t>
            </w:r>
          </w:p>
        </w:tc>
        <w:tc>
          <w:tcPr>
            <w:tcW w:w="357" w:type="dxa"/>
            <w:tcBorders>
              <w:top w:val="single" w:sz="4" w:space="0" w:color="auto"/>
              <w:left w:val="nil"/>
              <w:bottom w:val="single" w:sz="4" w:space="0" w:color="auto"/>
              <w:right w:val="single" w:sz="4" w:space="0" w:color="auto"/>
            </w:tcBorders>
            <w:shd w:val="clear" w:color="000000" w:fill="FFFF00"/>
            <w:noWrap/>
            <w:textDirection w:val="btLr"/>
            <w:vAlign w:val="center"/>
            <w:hideMark/>
          </w:tcPr>
          <w:p w14:paraId="4EADDBD7" w14:textId="77777777" w:rsidR="00FB1F53" w:rsidRDefault="00FB1F53" w:rsidP="0001057B">
            <w:pPr>
              <w:spacing w:after="0" w:line="240" w:lineRule="auto"/>
              <w:rPr>
                <w:rFonts w:ascii="Arial" w:eastAsia="Times New Roman" w:hAnsi="Arial" w:cs="Arial"/>
                <w:b/>
                <w:bCs/>
                <w:sz w:val="20"/>
                <w:szCs w:val="20"/>
                <w:lang w:val="en-US"/>
              </w:rPr>
            </w:pPr>
            <w:r>
              <w:rPr>
                <w:rFonts w:ascii="Arial" w:eastAsia="Times New Roman" w:hAnsi="Arial" w:cs="Arial"/>
                <w:b/>
                <w:bCs/>
                <w:sz w:val="20"/>
                <w:szCs w:val="20"/>
                <w:lang w:val="en-US"/>
              </w:rPr>
              <w:t>Gene Priority Score</w:t>
            </w:r>
          </w:p>
        </w:tc>
        <w:tc>
          <w:tcPr>
            <w:tcW w:w="581" w:type="dxa"/>
            <w:tcBorders>
              <w:top w:val="nil"/>
              <w:left w:val="nil"/>
              <w:bottom w:val="single" w:sz="4" w:space="0" w:color="auto"/>
              <w:right w:val="single" w:sz="4" w:space="0" w:color="auto"/>
            </w:tcBorders>
            <w:shd w:val="clear" w:color="000000" w:fill="00B0F0"/>
            <w:noWrap/>
            <w:textDirection w:val="btLr"/>
            <w:vAlign w:val="center"/>
            <w:hideMark/>
          </w:tcPr>
          <w:p w14:paraId="7ED7B15A"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Missense</w:t>
            </w:r>
          </w:p>
        </w:tc>
        <w:tc>
          <w:tcPr>
            <w:tcW w:w="483" w:type="dxa"/>
            <w:tcBorders>
              <w:top w:val="nil"/>
              <w:left w:val="nil"/>
              <w:bottom w:val="single" w:sz="4" w:space="0" w:color="auto"/>
              <w:right w:val="single" w:sz="4" w:space="0" w:color="auto"/>
            </w:tcBorders>
            <w:shd w:val="clear" w:color="000000" w:fill="00B0F0"/>
            <w:noWrap/>
            <w:textDirection w:val="btLr"/>
            <w:vAlign w:val="center"/>
            <w:hideMark/>
          </w:tcPr>
          <w:p w14:paraId="33BBB944"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NMD</w:t>
            </w:r>
          </w:p>
        </w:tc>
        <w:tc>
          <w:tcPr>
            <w:tcW w:w="448" w:type="dxa"/>
            <w:tcBorders>
              <w:top w:val="nil"/>
              <w:left w:val="nil"/>
              <w:bottom w:val="single" w:sz="4" w:space="0" w:color="auto"/>
              <w:right w:val="single" w:sz="4" w:space="0" w:color="auto"/>
            </w:tcBorders>
            <w:shd w:val="clear" w:color="000000" w:fill="00B0F0"/>
            <w:noWrap/>
            <w:textDirection w:val="btLr"/>
            <w:vAlign w:val="center"/>
            <w:hideMark/>
          </w:tcPr>
          <w:p w14:paraId="43BF2B03"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Altered splicing</w:t>
            </w:r>
          </w:p>
        </w:tc>
        <w:tc>
          <w:tcPr>
            <w:tcW w:w="504" w:type="dxa"/>
            <w:tcBorders>
              <w:top w:val="nil"/>
              <w:left w:val="nil"/>
              <w:bottom w:val="single" w:sz="4" w:space="0" w:color="auto"/>
              <w:right w:val="single" w:sz="4" w:space="0" w:color="auto"/>
            </w:tcBorders>
            <w:shd w:val="clear" w:color="000000" w:fill="FFC000"/>
            <w:noWrap/>
            <w:textDirection w:val="btLr"/>
            <w:vAlign w:val="center"/>
            <w:hideMark/>
          </w:tcPr>
          <w:p w14:paraId="17E1EC9B"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glomerulus</w:t>
            </w:r>
          </w:p>
        </w:tc>
        <w:tc>
          <w:tcPr>
            <w:tcW w:w="489" w:type="dxa"/>
            <w:tcBorders>
              <w:top w:val="nil"/>
              <w:left w:val="nil"/>
              <w:bottom w:val="single" w:sz="4" w:space="0" w:color="auto"/>
              <w:right w:val="single" w:sz="4" w:space="0" w:color="auto"/>
            </w:tcBorders>
            <w:shd w:val="clear" w:color="000000" w:fill="FFC000"/>
            <w:noWrap/>
            <w:textDirection w:val="btLr"/>
            <w:vAlign w:val="center"/>
            <w:hideMark/>
          </w:tcPr>
          <w:p w14:paraId="513EB9F8"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tubulointerstitium</w:t>
            </w:r>
          </w:p>
        </w:tc>
        <w:tc>
          <w:tcPr>
            <w:tcW w:w="627" w:type="dxa"/>
            <w:tcBorders>
              <w:top w:val="nil"/>
              <w:left w:val="nil"/>
              <w:bottom w:val="single" w:sz="4" w:space="0" w:color="auto"/>
              <w:right w:val="single" w:sz="4" w:space="0" w:color="auto"/>
            </w:tcBorders>
            <w:shd w:val="clear" w:color="000000" w:fill="FFC000"/>
            <w:noWrap/>
            <w:textDirection w:val="btLr"/>
            <w:vAlign w:val="center"/>
            <w:hideMark/>
          </w:tcPr>
          <w:p w14:paraId="6E7139C1"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kidney tissue</w:t>
            </w:r>
          </w:p>
        </w:tc>
        <w:tc>
          <w:tcPr>
            <w:tcW w:w="567" w:type="dxa"/>
            <w:tcBorders>
              <w:top w:val="nil"/>
              <w:left w:val="nil"/>
              <w:bottom w:val="single" w:sz="4" w:space="0" w:color="auto"/>
              <w:right w:val="single" w:sz="4" w:space="0" w:color="auto"/>
            </w:tcBorders>
            <w:shd w:val="clear" w:color="000000" w:fill="FFC000"/>
            <w:noWrap/>
            <w:textDirection w:val="btLr"/>
            <w:vAlign w:val="center"/>
            <w:hideMark/>
          </w:tcPr>
          <w:p w14:paraId="08C19914"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any other tissue</w:t>
            </w:r>
          </w:p>
        </w:tc>
        <w:tc>
          <w:tcPr>
            <w:tcW w:w="567" w:type="dxa"/>
            <w:tcBorders>
              <w:top w:val="nil"/>
              <w:left w:val="nil"/>
              <w:bottom w:val="single" w:sz="4" w:space="0" w:color="auto"/>
              <w:right w:val="single" w:sz="4" w:space="0" w:color="auto"/>
            </w:tcBorders>
            <w:shd w:val="clear" w:color="000000" w:fill="00CC00"/>
            <w:noWrap/>
            <w:textDirection w:val="btLr"/>
            <w:vAlign w:val="center"/>
            <w:hideMark/>
          </w:tcPr>
          <w:p w14:paraId="061A4067"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mice (MGI)</w:t>
            </w:r>
          </w:p>
        </w:tc>
        <w:tc>
          <w:tcPr>
            <w:tcW w:w="517" w:type="dxa"/>
            <w:tcBorders>
              <w:top w:val="nil"/>
              <w:left w:val="nil"/>
              <w:bottom w:val="single" w:sz="4" w:space="0" w:color="auto"/>
              <w:right w:val="single" w:sz="4" w:space="0" w:color="auto"/>
            </w:tcBorders>
            <w:shd w:val="clear" w:color="000000" w:fill="00CC00"/>
            <w:noWrap/>
            <w:textDirection w:val="btLr"/>
            <w:vAlign w:val="center"/>
            <w:hideMark/>
          </w:tcPr>
          <w:p w14:paraId="3825625F" w14:textId="77777777" w:rsidR="00FB1F53" w:rsidRDefault="00FB1F53"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human (OMIM)</w:t>
            </w:r>
          </w:p>
        </w:tc>
      </w:tr>
      <w:tr w:rsidR="008D6DF4" w14:paraId="7634AA16"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6363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B26B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9E81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ACSM3</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8B1F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0FA4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20,775,311</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E0E3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20,808,479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45C9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407,666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0525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382,979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38C6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5E191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67B9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0856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C50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5FDC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6AB4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FCF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9CDA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2AE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FD89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C45438F"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E05A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[UMOD-PDILT]</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B4A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E547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ERI2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455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06BA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20,791,514</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DD5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20,817,795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BC6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423,869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2846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399,182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39D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ACAB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EBD3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CF94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4425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2846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D900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B09A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E0CA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768D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DA66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D6F3A9E"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C11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[WDR72]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01E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3AD4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WDR72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B0C4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D6D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53,805,937</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4E40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54,055,075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7FD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3F22E"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ECCD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37</w:t>
            </w:r>
          </w:p>
        </w:tc>
        <w:tc>
          <w:tcPr>
            <w:tcW w:w="35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4643C6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c>
          <w:tcPr>
            <w:tcW w:w="58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46D0F88" w14:textId="77777777" w:rsidR="008D6DF4" w:rsidRDefault="007C1EBA">
            <w:pPr>
              <w:spacing w:after="0" w:line="240" w:lineRule="auto"/>
              <w:jc w:val="center"/>
              <w:rPr>
                <w:rFonts w:ascii="Arial" w:eastAsia="Times New Roman" w:hAnsi="Arial" w:cs="Arial"/>
                <w:color w:val="00B0F0"/>
                <w:sz w:val="20"/>
                <w:szCs w:val="20"/>
                <w:lang w:val="en-US"/>
              </w:rPr>
            </w:pPr>
            <w:r>
              <w:rPr>
                <w:rFonts w:ascii="Arial" w:eastAsia="Times New Roman" w:hAnsi="Arial" w:cs="Arial"/>
                <w:color w:val="00B0F0"/>
                <w:sz w:val="20"/>
                <w:szCs w:val="20"/>
                <w:lang w:val="en-US"/>
              </w:rPr>
              <w:t>1</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9BA6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23B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5C17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D059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831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3A1B7B1" w14:textId="77777777" w:rsidR="008D6DF4" w:rsidRDefault="007C1EBA">
            <w:pPr>
              <w:spacing w:after="0" w:line="240" w:lineRule="auto"/>
              <w:jc w:val="center"/>
              <w:rPr>
                <w:rFonts w:ascii="Arial" w:eastAsia="Times New Roman" w:hAnsi="Arial" w:cs="Arial"/>
                <w:color w:val="FFC000"/>
                <w:sz w:val="20"/>
                <w:szCs w:val="20"/>
                <w:lang w:val="en-US"/>
              </w:rPr>
            </w:pPr>
            <w:r>
              <w:rPr>
                <w:rFonts w:ascii="Arial" w:eastAsia="Times New Roman" w:hAnsi="Arial" w:cs="Arial"/>
                <w:color w:val="FFC000"/>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0D81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EB0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038B5B8"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8CAF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0350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F6E0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PRKAG2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D525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BE1B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151,253,199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FFB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151,574,316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38A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BD781"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7527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16</w:t>
            </w:r>
          </w:p>
        </w:tc>
        <w:tc>
          <w:tcPr>
            <w:tcW w:w="35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2C3B7F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2CD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8E9B004" w14:textId="77777777" w:rsidR="008D6DF4" w:rsidRDefault="007C1EBA">
            <w:pPr>
              <w:spacing w:after="0" w:line="240" w:lineRule="auto"/>
              <w:jc w:val="center"/>
              <w:rPr>
                <w:rFonts w:ascii="Arial" w:eastAsia="Times New Roman" w:hAnsi="Arial" w:cs="Arial"/>
                <w:color w:val="00B0F0"/>
                <w:sz w:val="20"/>
                <w:szCs w:val="20"/>
                <w:lang w:val="en-US"/>
              </w:rPr>
            </w:pPr>
            <w:r>
              <w:rPr>
                <w:rFonts w:ascii="Arial" w:eastAsia="Times New Roman" w:hAnsi="Arial" w:cs="Arial"/>
                <w:color w:val="00B0F0"/>
                <w:sz w:val="20"/>
                <w:szCs w:val="20"/>
                <w:lang w:val="en-US"/>
              </w:rPr>
              <w:t>1</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26DD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D53A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0345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4F0A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2AF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CF4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6AB08059" w14:textId="77777777" w:rsidR="008D6DF4" w:rsidRDefault="007C1EBA">
            <w:pPr>
              <w:spacing w:after="0" w:line="240" w:lineRule="auto"/>
              <w:jc w:val="center"/>
              <w:rPr>
                <w:rFonts w:ascii="Arial" w:eastAsia="Times New Roman" w:hAnsi="Arial" w:cs="Arial"/>
                <w:color w:val="00CC00"/>
                <w:sz w:val="20"/>
                <w:szCs w:val="20"/>
                <w:lang w:val="en-US"/>
              </w:rPr>
            </w:pPr>
            <w:r>
              <w:rPr>
                <w:rFonts w:ascii="Arial" w:eastAsia="Times New Roman" w:hAnsi="Arial" w:cs="Arial"/>
                <w:color w:val="00CC00"/>
                <w:sz w:val="20"/>
                <w:szCs w:val="20"/>
                <w:lang w:val="en-US"/>
              </w:rPr>
              <w:t>1</w:t>
            </w:r>
          </w:p>
        </w:tc>
      </w:tr>
      <w:tr w:rsidR="008D6DF4" w14:paraId="5D8FB6D9"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0101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5F75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E3B7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GALNTL5</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17E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EB4D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151,653,463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B87F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151,717,019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C315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246,675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D1D4A"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9551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80"/>
            <w:noWrap/>
            <w:vAlign w:val="center"/>
            <w:hideMark/>
          </w:tcPr>
          <w:p w14:paraId="12A1EAA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2ABB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36F4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D17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471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0E482DF" w14:textId="77777777" w:rsidR="008D6DF4" w:rsidRDefault="007C1EBA">
            <w:pPr>
              <w:spacing w:after="0" w:line="240" w:lineRule="auto"/>
              <w:jc w:val="center"/>
              <w:rPr>
                <w:rFonts w:ascii="Arial" w:eastAsia="Times New Roman" w:hAnsi="Arial" w:cs="Arial"/>
                <w:color w:val="FFC000"/>
                <w:sz w:val="20"/>
                <w:szCs w:val="20"/>
                <w:lang w:val="en-US"/>
              </w:rPr>
            </w:pPr>
            <w:r>
              <w:rPr>
                <w:rFonts w:ascii="Arial" w:eastAsia="Times New Roman" w:hAnsi="Arial" w:cs="Arial"/>
                <w:color w:val="FFC000"/>
                <w:sz w:val="20"/>
                <w:szCs w:val="20"/>
                <w:lang w:val="en-US"/>
              </w:rPr>
              <w:t>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D50F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9120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F2F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49C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D4F066F"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68A1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2D0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7766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ABCF2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6FF2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64C0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150,908,569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0C8B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150,924,460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0281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-482,328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DA7BC"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89A6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99649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237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1BD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187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8CC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ACE2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D30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E4F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DD0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C0EC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5B0491D2"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6C82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AB4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F7DF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CHPF2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199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EB49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150,929,574</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36B7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150,935,913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F515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-470,875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0930"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D521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02825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FED0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3C9D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18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E28C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8F5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A10A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CFA9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5F6E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CE6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24F1415"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B12E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1448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E6DE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MIR671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BB4C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F90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150,935,506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961D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150,935,624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EB3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-471,164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C9DD1"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F0AC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E5D4B"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0BF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F1F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4FFF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BCCB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A691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8FE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E7E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3CE2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95E9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FFB87B6"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572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7224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9E75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SMARCD3</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CB24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FEDB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150,936,058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477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150,974,231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879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-432,557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6507"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C87B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F974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C4FA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9462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7FA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2532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CFA6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FF9C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C48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72CF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4D99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B4D2866"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2AA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4B3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080D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NUB1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AF95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6A0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151,038,846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F3A9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151,075,547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F84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-331,241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20A1"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969A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5EE3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1DFE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73B7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0436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A3A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55F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5FC0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2F4C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48A3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6F9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8E3EDDD"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3D4A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FCD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030C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WDR86</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FB0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98F2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151,078,206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6E9E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151,107,791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7DEB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-298,997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7FB4E"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0BD9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65D6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991D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5D5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4A41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82B5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3CE4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D1E3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CBBB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AE50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10D3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3D8DAE6B"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901B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A4E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698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WDR86-AS1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3078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4BBA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151,106,246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0E2C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151,110,440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64C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-296,348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B263D"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6E22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FC77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4086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25D8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302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504A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164D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79AC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A718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1433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BAD2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57ED40E"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91A2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C6D5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B2DC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CRYGN</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7BAF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FB0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151,125,917</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B2ED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151,137,899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BC8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-268,889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4E27"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2F01A"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20FA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5D6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EE2D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0B1A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C87B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F8A3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5464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6E34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9AC1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39B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0B72E8EC"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A0E3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AB8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209F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MIR3907</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4A54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E4F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151,130,574</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CE25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151,130,725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3256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-276,063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A4EE"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329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D064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5A9F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5D44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D6B2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49C6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0B7B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5C0D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33F7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65F6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765A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05545075"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E5CE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E17F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9BAE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RHEB</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4839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16D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151,163,097</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F026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151,217,010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662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-189,778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821F0"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AD55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8678B"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04A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46D9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C59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1725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B661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76F7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370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A5CB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2834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211F90B5" w14:textId="77777777" w:rsidTr="00FB1F53">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F5B6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2D33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B96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PRKAG2-AS1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594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0A1A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151,574,126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771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151,576,308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7039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167,338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11B26"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5BF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38B6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7369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590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3673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CAAB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DE54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0BFF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20A6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6D64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5EF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CD4507" w14:paraId="59799DD4"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CBC6" w14:textId="77777777" w:rsidR="00CD4507" w:rsidRDefault="00CD450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[PRKAG2]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D4A63"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A18B" w14:textId="77777777" w:rsidR="00CD4507" w:rsidRDefault="00CD450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GALNT11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10259"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3FAA9"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151,722,758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3CF34"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151,819,432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E55F"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315,970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C3212" w14:textId="77777777" w:rsidR="00CD4507" w:rsidRDefault="00CD4507" w:rsidP="0001057B">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9BE18"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E8B97"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DF6C6"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D861"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9E1E5"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BF42A"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2F7A1"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2A571"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1C49B"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03F28"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3BAFF"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CD4507" w14:paraId="6C65BC93"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8BC03" w14:textId="77777777" w:rsidR="00CD4507" w:rsidRDefault="00CD450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18B71"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4B69" w14:textId="77777777" w:rsidR="00CD4507" w:rsidRDefault="00CD450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FAM166B</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E16B"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0C3D3"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35,561,826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5C88"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35,563,896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B8FF1"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-374,035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F5C8" w14:textId="77777777" w:rsidR="00CD4507" w:rsidRDefault="00CD4507" w:rsidP="0001057B">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ABC57"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848C6"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8E73"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1A64C"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58742"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293B1"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8C74A"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2417D"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74FED"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1DFC8"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EDB3"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6027D7" w14:paraId="0C7B9D31" w14:textId="77777777" w:rsidTr="006027D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465EF" w14:textId="77777777" w:rsidR="006027D7" w:rsidRDefault="006027D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73D8B"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0CE6A" w14:textId="77777777" w:rsidR="006027D7" w:rsidRDefault="006027D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BBF4D"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6E47C"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35,609,975</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83818"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35,618,424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CE2C3"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-319,507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417DA" w14:textId="77777777" w:rsidR="006027D7" w:rsidRDefault="006027D7" w:rsidP="0001057B">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3C4D6" w14:textId="77777777" w:rsidR="006027D7" w:rsidRDefault="006027D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9319E3" w14:textId="77777777" w:rsidR="006027D7" w:rsidRDefault="006027D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4F2A1"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CEA2C"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0721A"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61A4D"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C10E"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A220F"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9698D"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3005F" w14:textId="77777777" w:rsidR="006027D7" w:rsidRPr="006027D7" w:rsidRDefault="006027D7" w:rsidP="0001057B">
            <w:pPr>
              <w:spacing w:after="0" w:line="240" w:lineRule="auto"/>
              <w:jc w:val="center"/>
              <w:rPr>
                <w:rFonts w:ascii="Arial" w:eastAsia="Times New Roman" w:hAnsi="Arial" w:cs="Arial"/>
                <w:color w:val="FFFFFF"/>
                <w:sz w:val="20"/>
                <w:szCs w:val="20"/>
                <w:lang w:val="en-US"/>
              </w:rPr>
            </w:pPr>
            <w:r w:rsidRPr="006027D7">
              <w:rPr>
                <w:rFonts w:ascii="Arial" w:eastAsia="Times New Roman" w:hAnsi="Arial" w:cs="Arial"/>
                <w:color w:val="FFFFFF"/>
                <w:sz w:val="20"/>
                <w:szCs w:val="20"/>
                <w:lang w:val="en-US"/>
              </w:rPr>
              <w:t>1</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1EE32"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bl>
    <w:p w14:paraId="4FEE3B57" w14:textId="77777777" w:rsidR="00DE15C1" w:rsidRPr="00DE15C1" w:rsidRDefault="00DE15C1" w:rsidP="00DE15C1">
      <w:pPr>
        <w:ind w:right="678"/>
        <w:jc w:val="right"/>
        <w:rPr>
          <w:lang w:val="en-US"/>
        </w:rPr>
      </w:pPr>
      <w:r>
        <w:rPr>
          <w:lang w:val="en-US"/>
        </w:rPr>
        <w:t>…t</w:t>
      </w:r>
      <w:r w:rsidRPr="00DE15C1">
        <w:rPr>
          <w:lang w:val="en-US"/>
        </w:rPr>
        <w:t>o be continued</w:t>
      </w:r>
    </w:p>
    <w:p w14:paraId="01676A47" w14:textId="77777777" w:rsidR="00DE15C1" w:rsidRPr="00DE15C1" w:rsidRDefault="00DE15C1" w:rsidP="00DE15C1">
      <w:pPr>
        <w:rPr>
          <w:lang w:val="en-US"/>
        </w:rPr>
      </w:pPr>
      <w:r>
        <w:rPr>
          <w:rFonts w:ascii="Arial" w:hAnsi="Arial" w:cs="Arial"/>
          <w:b/>
          <w:lang w:val="en-US"/>
        </w:rPr>
        <w:lastRenderedPageBreak/>
        <w:t>Supplementary Table 8: continued</w:t>
      </w:r>
    </w:p>
    <w:tbl>
      <w:tblPr>
        <w:tblW w:w="13709" w:type="dxa"/>
        <w:tblLayout w:type="fixed"/>
        <w:tblCellMar>
          <w:left w:w="0" w:type="dxa"/>
          <w:right w:w="0" w:type="dxa"/>
        </w:tblCellMar>
        <w:tblLook w:val="04A0" w:firstRow="1" w:lastRow="0" w:firstColumn="1" w:lastColumn="0" w:noHBand="0" w:noVBand="1"/>
      </w:tblPr>
      <w:tblGrid>
        <w:gridCol w:w="1417"/>
        <w:gridCol w:w="282"/>
        <w:gridCol w:w="1275"/>
        <w:gridCol w:w="297"/>
        <w:gridCol w:w="1305"/>
        <w:gridCol w:w="1289"/>
        <w:gridCol w:w="1002"/>
        <w:gridCol w:w="1041"/>
        <w:gridCol w:w="652"/>
        <w:gridCol w:w="357"/>
        <w:gridCol w:w="581"/>
        <w:gridCol w:w="483"/>
        <w:gridCol w:w="448"/>
        <w:gridCol w:w="504"/>
        <w:gridCol w:w="489"/>
        <w:gridCol w:w="627"/>
        <w:gridCol w:w="567"/>
        <w:gridCol w:w="567"/>
        <w:gridCol w:w="517"/>
        <w:gridCol w:w="9"/>
      </w:tblGrid>
      <w:tr w:rsidR="00DE15C1" w:rsidRPr="00DE15C1" w14:paraId="70170B56" w14:textId="77777777" w:rsidTr="00CD4507">
        <w:trPr>
          <w:gridAfter w:val="1"/>
          <w:wAfter w:w="9" w:type="dxa"/>
        </w:trPr>
        <w:tc>
          <w:tcPr>
            <w:tcW w:w="1417" w:type="dxa"/>
            <w:tcBorders>
              <w:top w:val="nil"/>
              <w:left w:val="nil"/>
              <w:bottom w:val="nil"/>
              <w:right w:val="nil"/>
            </w:tcBorders>
            <w:shd w:val="clear" w:color="auto" w:fill="auto"/>
            <w:noWrap/>
            <w:vAlign w:val="bottom"/>
            <w:hideMark/>
          </w:tcPr>
          <w:p w14:paraId="7764C7F5" w14:textId="77777777" w:rsidR="00DE15C1" w:rsidRDefault="00DE15C1" w:rsidP="0001057B">
            <w:pPr>
              <w:spacing w:after="0" w:line="240" w:lineRule="auto"/>
              <w:rPr>
                <w:rFonts w:ascii="Times New Roman" w:eastAsia="Times New Roman" w:hAnsi="Times New Roman" w:cs="Times New Roman"/>
                <w:sz w:val="24"/>
                <w:szCs w:val="24"/>
                <w:lang w:val="en-US"/>
              </w:rPr>
            </w:pPr>
          </w:p>
        </w:tc>
        <w:tc>
          <w:tcPr>
            <w:tcW w:w="282" w:type="dxa"/>
            <w:tcBorders>
              <w:top w:val="nil"/>
              <w:left w:val="nil"/>
              <w:bottom w:val="nil"/>
              <w:right w:val="nil"/>
            </w:tcBorders>
            <w:shd w:val="clear" w:color="auto" w:fill="auto"/>
            <w:noWrap/>
            <w:vAlign w:val="bottom"/>
            <w:hideMark/>
          </w:tcPr>
          <w:p w14:paraId="7057FB9C" w14:textId="77777777" w:rsidR="00DE15C1" w:rsidRDefault="00DE15C1" w:rsidP="0001057B">
            <w:pPr>
              <w:spacing w:after="0" w:line="240" w:lineRule="auto"/>
              <w:rPr>
                <w:rFonts w:ascii="Times New Roman" w:eastAsia="Times New Roman" w:hAnsi="Times New Roman" w:cs="Times New Roman"/>
                <w:sz w:val="20"/>
                <w:szCs w:val="20"/>
                <w:lang w:val="en-US"/>
              </w:rPr>
            </w:pPr>
          </w:p>
        </w:tc>
        <w:tc>
          <w:tcPr>
            <w:tcW w:w="1275" w:type="dxa"/>
            <w:tcBorders>
              <w:top w:val="nil"/>
              <w:left w:val="nil"/>
              <w:bottom w:val="nil"/>
              <w:right w:val="nil"/>
            </w:tcBorders>
            <w:shd w:val="clear" w:color="auto" w:fill="auto"/>
            <w:noWrap/>
            <w:vAlign w:val="bottom"/>
            <w:hideMark/>
          </w:tcPr>
          <w:p w14:paraId="7A5C93EB" w14:textId="77777777" w:rsidR="00DE15C1" w:rsidRDefault="00DE15C1" w:rsidP="0001057B">
            <w:pPr>
              <w:spacing w:after="0" w:line="240" w:lineRule="auto"/>
              <w:rPr>
                <w:rFonts w:ascii="Times New Roman" w:eastAsia="Times New Roman" w:hAnsi="Times New Roman" w:cs="Times New Roman"/>
                <w:sz w:val="20"/>
                <w:szCs w:val="20"/>
                <w:lang w:val="en-US"/>
              </w:rPr>
            </w:pPr>
          </w:p>
        </w:tc>
        <w:tc>
          <w:tcPr>
            <w:tcW w:w="297" w:type="dxa"/>
            <w:tcBorders>
              <w:top w:val="nil"/>
              <w:left w:val="nil"/>
              <w:bottom w:val="nil"/>
              <w:right w:val="nil"/>
            </w:tcBorders>
            <w:shd w:val="clear" w:color="auto" w:fill="auto"/>
            <w:noWrap/>
            <w:vAlign w:val="bottom"/>
            <w:hideMark/>
          </w:tcPr>
          <w:p w14:paraId="4CA38F23" w14:textId="77777777" w:rsidR="00DE15C1" w:rsidRDefault="00DE15C1" w:rsidP="0001057B">
            <w:pPr>
              <w:spacing w:after="0" w:line="240" w:lineRule="auto"/>
              <w:rPr>
                <w:rFonts w:ascii="Times New Roman" w:eastAsia="Times New Roman" w:hAnsi="Times New Roman" w:cs="Times New Roman"/>
                <w:sz w:val="20"/>
                <w:szCs w:val="20"/>
                <w:lang w:val="en-US"/>
              </w:rPr>
            </w:pPr>
          </w:p>
        </w:tc>
        <w:tc>
          <w:tcPr>
            <w:tcW w:w="1305" w:type="dxa"/>
            <w:tcBorders>
              <w:top w:val="nil"/>
              <w:left w:val="nil"/>
              <w:bottom w:val="nil"/>
              <w:right w:val="nil"/>
            </w:tcBorders>
            <w:shd w:val="clear" w:color="auto" w:fill="auto"/>
            <w:noWrap/>
            <w:vAlign w:val="bottom"/>
            <w:hideMark/>
          </w:tcPr>
          <w:p w14:paraId="39B719CA" w14:textId="77777777" w:rsidR="00DE15C1" w:rsidRDefault="00DE15C1" w:rsidP="0001057B">
            <w:pPr>
              <w:spacing w:after="0" w:line="240" w:lineRule="auto"/>
              <w:rPr>
                <w:rFonts w:ascii="Times New Roman" w:eastAsia="Times New Roman" w:hAnsi="Times New Roman" w:cs="Times New Roman"/>
                <w:sz w:val="20"/>
                <w:szCs w:val="20"/>
                <w:lang w:val="en-US"/>
              </w:rPr>
            </w:pPr>
          </w:p>
        </w:tc>
        <w:tc>
          <w:tcPr>
            <w:tcW w:w="1289" w:type="dxa"/>
            <w:tcBorders>
              <w:top w:val="nil"/>
              <w:left w:val="nil"/>
              <w:bottom w:val="nil"/>
              <w:right w:val="nil"/>
            </w:tcBorders>
            <w:shd w:val="clear" w:color="auto" w:fill="auto"/>
            <w:noWrap/>
            <w:vAlign w:val="bottom"/>
            <w:hideMark/>
          </w:tcPr>
          <w:p w14:paraId="40653FB0" w14:textId="77777777" w:rsidR="00DE15C1" w:rsidRDefault="00DE15C1" w:rsidP="0001057B">
            <w:pPr>
              <w:spacing w:after="0" w:line="240" w:lineRule="auto"/>
              <w:rPr>
                <w:rFonts w:ascii="Times New Roman" w:eastAsia="Times New Roman" w:hAnsi="Times New Roman" w:cs="Times New Roman"/>
                <w:sz w:val="20"/>
                <w:szCs w:val="20"/>
                <w:lang w:val="en-US"/>
              </w:rPr>
            </w:pPr>
          </w:p>
        </w:tc>
        <w:tc>
          <w:tcPr>
            <w:tcW w:w="1002" w:type="dxa"/>
            <w:tcBorders>
              <w:top w:val="nil"/>
              <w:left w:val="nil"/>
              <w:bottom w:val="nil"/>
              <w:right w:val="nil"/>
            </w:tcBorders>
            <w:shd w:val="clear" w:color="auto" w:fill="auto"/>
            <w:noWrap/>
            <w:vAlign w:val="bottom"/>
            <w:hideMark/>
          </w:tcPr>
          <w:p w14:paraId="07490C99" w14:textId="77777777" w:rsidR="00DE15C1" w:rsidRDefault="00DE15C1" w:rsidP="0001057B">
            <w:pPr>
              <w:spacing w:after="0" w:line="240" w:lineRule="auto"/>
              <w:rPr>
                <w:rFonts w:ascii="Times New Roman" w:eastAsia="Times New Roman" w:hAnsi="Times New Roman" w:cs="Times New Roman"/>
                <w:sz w:val="20"/>
                <w:szCs w:val="20"/>
                <w:lang w:val="en-US"/>
              </w:rPr>
            </w:pPr>
          </w:p>
        </w:tc>
        <w:tc>
          <w:tcPr>
            <w:tcW w:w="1041" w:type="dxa"/>
            <w:tcBorders>
              <w:top w:val="nil"/>
              <w:left w:val="nil"/>
              <w:bottom w:val="nil"/>
              <w:right w:val="nil"/>
            </w:tcBorders>
            <w:shd w:val="clear" w:color="auto" w:fill="auto"/>
            <w:noWrap/>
            <w:vAlign w:val="bottom"/>
            <w:hideMark/>
          </w:tcPr>
          <w:p w14:paraId="1874EBE7" w14:textId="77777777" w:rsidR="00DE15C1" w:rsidRDefault="00DE15C1" w:rsidP="0001057B">
            <w:pPr>
              <w:spacing w:after="0" w:line="240" w:lineRule="auto"/>
              <w:jc w:val="right"/>
              <w:rPr>
                <w:rFonts w:ascii="Times New Roman" w:eastAsia="Times New Roman" w:hAnsi="Times New Roman" w:cs="Times New Roman"/>
                <w:sz w:val="20"/>
                <w:szCs w:val="20"/>
                <w:lang w:val="en-US"/>
              </w:rPr>
            </w:pPr>
          </w:p>
        </w:tc>
        <w:tc>
          <w:tcPr>
            <w:tcW w:w="652" w:type="dxa"/>
            <w:tcBorders>
              <w:top w:val="nil"/>
              <w:left w:val="nil"/>
              <w:bottom w:val="nil"/>
              <w:right w:val="nil"/>
            </w:tcBorders>
            <w:shd w:val="clear" w:color="auto" w:fill="auto"/>
            <w:noWrap/>
            <w:vAlign w:val="bottom"/>
            <w:hideMark/>
          </w:tcPr>
          <w:p w14:paraId="588AB7BC" w14:textId="77777777" w:rsidR="00DE15C1" w:rsidRDefault="00DE15C1" w:rsidP="0001057B">
            <w:pPr>
              <w:spacing w:after="0" w:line="240" w:lineRule="auto"/>
              <w:jc w:val="right"/>
              <w:rPr>
                <w:rFonts w:ascii="Times New Roman" w:eastAsia="Times New Roman" w:hAnsi="Times New Roman" w:cs="Times New Roman"/>
                <w:sz w:val="20"/>
                <w:szCs w:val="20"/>
                <w:lang w:val="en-US"/>
              </w:rPr>
            </w:pPr>
          </w:p>
        </w:tc>
        <w:tc>
          <w:tcPr>
            <w:tcW w:w="357" w:type="dxa"/>
            <w:tcBorders>
              <w:top w:val="nil"/>
              <w:left w:val="nil"/>
              <w:bottom w:val="nil"/>
              <w:right w:val="nil"/>
            </w:tcBorders>
            <w:shd w:val="clear" w:color="auto" w:fill="auto"/>
            <w:noWrap/>
            <w:vAlign w:val="bottom"/>
            <w:hideMark/>
          </w:tcPr>
          <w:p w14:paraId="5CB797B0" w14:textId="77777777" w:rsidR="00DE15C1" w:rsidRDefault="00DE15C1" w:rsidP="0001057B">
            <w:pPr>
              <w:spacing w:after="0" w:line="240" w:lineRule="auto"/>
              <w:jc w:val="center"/>
              <w:rPr>
                <w:rFonts w:ascii="Times New Roman" w:eastAsia="Times New Roman" w:hAnsi="Times New Roman" w:cs="Times New Roman"/>
                <w:sz w:val="20"/>
                <w:szCs w:val="20"/>
                <w:lang w:val="en-US"/>
              </w:rPr>
            </w:pPr>
          </w:p>
        </w:tc>
        <w:tc>
          <w:tcPr>
            <w:tcW w:w="1512"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0A432677" w14:textId="77777777" w:rsidR="00DE15C1" w:rsidRDefault="00DE15C1"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Any credible set variants in gene</w:t>
            </w:r>
          </w:p>
        </w:tc>
        <w:tc>
          <w:tcPr>
            <w:tcW w:w="2187" w:type="dxa"/>
            <w:gridSpan w:val="4"/>
            <w:tcBorders>
              <w:top w:val="single" w:sz="4" w:space="0" w:color="auto"/>
              <w:left w:val="nil"/>
              <w:bottom w:val="single" w:sz="4" w:space="0" w:color="auto"/>
              <w:right w:val="single" w:sz="4" w:space="0" w:color="auto"/>
            </w:tcBorders>
            <w:shd w:val="clear" w:color="000000" w:fill="FFC000"/>
            <w:vAlign w:val="bottom"/>
            <w:hideMark/>
          </w:tcPr>
          <w:p w14:paraId="4D274972" w14:textId="5FA07957" w:rsidR="00DE15C1" w:rsidRDefault="00DE15C1" w:rsidP="00356522">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eQTL-modulated</w:t>
            </w:r>
            <w:r w:rsidR="00356522">
              <w:rPr>
                <w:rFonts w:ascii="Arial" w:eastAsia="Times New Roman" w:hAnsi="Arial" w:cs="Arial"/>
                <w:b/>
                <w:bCs/>
                <w:color w:val="000000"/>
                <w:sz w:val="20"/>
                <w:szCs w:val="20"/>
                <w:lang w:val="en-US"/>
              </w:rPr>
              <w:t xml:space="preserve"> </w:t>
            </w:r>
            <w:r>
              <w:rPr>
                <w:rFonts w:ascii="Arial" w:eastAsia="Times New Roman" w:hAnsi="Arial" w:cs="Arial"/>
                <w:b/>
                <w:bCs/>
                <w:color w:val="000000"/>
                <w:sz w:val="20"/>
                <w:szCs w:val="20"/>
                <w:lang w:val="en-US"/>
              </w:rPr>
              <w:t>expression by any credible set variant</w:t>
            </w:r>
          </w:p>
        </w:tc>
        <w:tc>
          <w:tcPr>
            <w:tcW w:w="1084" w:type="dxa"/>
            <w:gridSpan w:val="2"/>
            <w:tcBorders>
              <w:top w:val="single" w:sz="4" w:space="0" w:color="auto"/>
              <w:left w:val="nil"/>
              <w:bottom w:val="single" w:sz="4" w:space="0" w:color="auto"/>
              <w:right w:val="single" w:sz="4" w:space="0" w:color="auto"/>
            </w:tcBorders>
            <w:shd w:val="clear" w:color="000000" w:fill="00CC00"/>
            <w:vAlign w:val="bottom"/>
            <w:hideMark/>
          </w:tcPr>
          <w:p w14:paraId="77396650" w14:textId="77777777" w:rsidR="00DE15C1" w:rsidRDefault="00DE15C1"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Evidenced kidney phenotype</w:t>
            </w:r>
          </w:p>
        </w:tc>
      </w:tr>
      <w:tr w:rsidR="00DE15C1" w14:paraId="65F29DF8" w14:textId="77777777" w:rsidTr="00DE15C1">
        <w:trPr>
          <w:trHeight w:val="255"/>
        </w:trPr>
        <w:tc>
          <w:tcPr>
            <w:tcW w:w="8917" w:type="dxa"/>
            <w:gridSpan w:val="10"/>
            <w:tcBorders>
              <w:top w:val="single" w:sz="4" w:space="0" w:color="auto"/>
              <w:left w:val="nil"/>
              <w:bottom w:val="single" w:sz="4" w:space="0" w:color="auto"/>
              <w:right w:val="single" w:sz="4" w:space="0" w:color="auto"/>
            </w:tcBorders>
            <w:shd w:val="clear" w:color="000000" w:fill="FFFF00"/>
            <w:noWrap/>
            <w:vAlign w:val="bottom"/>
            <w:hideMark/>
          </w:tcPr>
          <w:p w14:paraId="3F1AE13F" w14:textId="77777777" w:rsidR="00DE15C1" w:rsidRDefault="00DE15C1" w:rsidP="0001057B">
            <w:pPr>
              <w:spacing w:after="0" w:line="240" w:lineRule="auto"/>
              <w:jc w:val="right"/>
              <w:rPr>
                <w:rFonts w:ascii="Arial" w:eastAsia="Times New Roman" w:hAnsi="Arial" w:cs="Arial"/>
                <w:b/>
                <w:bCs/>
                <w:sz w:val="20"/>
                <w:szCs w:val="20"/>
                <w:lang w:val="en-US"/>
              </w:rPr>
            </w:pPr>
            <w:r>
              <w:rPr>
                <w:rFonts w:ascii="Arial" w:eastAsia="Times New Roman" w:hAnsi="Arial" w:cs="Arial"/>
                <w:b/>
                <w:bCs/>
                <w:sz w:val="20"/>
                <w:szCs w:val="20"/>
                <w:lang w:val="en-US"/>
              </w:rPr>
              <w:t>Weight (Change weights here to change Gene Priority Score)</w:t>
            </w:r>
          </w:p>
        </w:tc>
        <w:tc>
          <w:tcPr>
            <w:tcW w:w="5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540033C"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3C8C401"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48" w:type="dxa"/>
            <w:tcBorders>
              <w:top w:val="single" w:sz="4" w:space="0" w:color="auto"/>
              <w:left w:val="single" w:sz="4" w:space="0" w:color="auto"/>
              <w:bottom w:val="single" w:sz="4" w:space="0" w:color="auto"/>
              <w:right w:val="single" w:sz="4" w:space="0" w:color="auto"/>
            </w:tcBorders>
            <w:shd w:val="clear" w:color="000000" w:fill="FFFF00"/>
            <w:vAlign w:val="bottom"/>
          </w:tcPr>
          <w:p w14:paraId="48141E79"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6E1E611"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43F968"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627" w:type="dxa"/>
            <w:tcBorders>
              <w:top w:val="single" w:sz="4" w:space="0" w:color="auto"/>
              <w:left w:val="single" w:sz="4" w:space="0" w:color="auto"/>
              <w:bottom w:val="single" w:sz="4" w:space="0" w:color="auto"/>
              <w:right w:val="single" w:sz="4" w:space="0" w:color="auto"/>
            </w:tcBorders>
            <w:shd w:val="clear" w:color="000000" w:fill="FFFF00"/>
            <w:vAlign w:val="bottom"/>
          </w:tcPr>
          <w:p w14:paraId="41C405D0"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181FE025"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19E6AE48"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26" w:type="dxa"/>
            <w:gridSpan w:val="2"/>
            <w:tcBorders>
              <w:top w:val="single" w:sz="4" w:space="0" w:color="auto"/>
              <w:left w:val="single" w:sz="4" w:space="0" w:color="auto"/>
              <w:bottom w:val="single" w:sz="4" w:space="0" w:color="auto"/>
              <w:right w:val="single" w:sz="4" w:space="0" w:color="auto"/>
            </w:tcBorders>
            <w:shd w:val="clear" w:color="000000" w:fill="FFFF00"/>
            <w:vAlign w:val="bottom"/>
          </w:tcPr>
          <w:p w14:paraId="41B8B488" w14:textId="77777777" w:rsidR="00DE15C1" w:rsidRDefault="00DE15C1"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r>
      <w:tr w:rsidR="00DE15C1" w14:paraId="7CE02FED" w14:textId="77777777" w:rsidTr="00DE15C1">
        <w:trPr>
          <w:gridAfter w:val="1"/>
          <w:wAfter w:w="9" w:type="dxa"/>
          <w:trHeight w:val="2745"/>
        </w:trPr>
        <w:tc>
          <w:tcPr>
            <w:tcW w:w="141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7A327C2"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2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9391033"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no.</w:t>
            </w:r>
          </w:p>
        </w:tc>
        <w:tc>
          <w:tcPr>
            <w:tcW w:w="127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D2F3C62"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2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82C5CDB"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Chromosome</w:t>
            </w:r>
          </w:p>
        </w:tc>
        <w:tc>
          <w:tcPr>
            <w:tcW w:w="130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8F334EB"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Start of gene</w:t>
            </w:r>
          </w:p>
        </w:tc>
        <w:tc>
          <w:tcPr>
            <w:tcW w:w="128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54202DA"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End of gene</w:t>
            </w: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7412C0"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first signal variant (a)</w:t>
            </w:r>
          </w:p>
        </w:tc>
        <w:tc>
          <w:tcPr>
            <w:tcW w:w="104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003A60"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second signal variant (b)</w:t>
            </w:r>
          </w:p>
        </w:tc>
        <w:tc>
          <w:tcPr>
            <w:tcW w:w="6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CC3A8E"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#credible set variants</w:t>
            </w:r>
            <w:r>
              <w:rPr>
                <w:rFonts w:ascii="Arial" w:eastAsia="Times New Roman" w:hAnsi="Arial" w:cs="Arial"/>
                <w:b/>
                <w:bCs/>
                <w:color w:val="000000"/>
                <w:sz w:val="20"/>
                <w:szCs w:val="20"/>
                <w:lang w:val="en-US"/>
              </w:rPr>
              <w:br/>
              <w:t>in gene</w:t>
            </w:r>
          </w:p>
        </w:tc>
        <w:tc>
          <w:tcPr>
            <w:tcW w:w="357" w:type="dxa"/>
            <w:tcBorders>
              <w:top w:val="single" w:sz="4" w:space="0" w:color="auto"/>
              <w:left w:val="nil"/>
              <w:bottom w:val="single" w:sz="4" w:space="0" w:color="auto"/>
              <w:right w:val="single" w:sz="4" w:space="0" w:color="auto"/>
            </w:tcBorders>
            <w:shd w:val="clear" w:color="000000" w:fill="FFFF00"/>
            <w:noWrap/>
            <w:textDirection w:val="btLr"/>
            <w:vAlign w:val="center"/>
            <w:hideMark/>
          </w:tcPr>
          <w:p w14:paraId="7CEF56F0" w14:textId="77777777" w:rsidR="00DE15C1" w:rsidRDefault="00DE15C1" w:rsidP="0001057B">
            <w:pPr>
              <w:spacing w:after="0" w:line="240" w:lineRule="auto"/>
              <w:rPr>
                <w:rFonts w:ascii="Arial" w:eastAsia="Times New Roman" w:hAnsi="Arial" w:cs="Arial"/>
                <w:b/>
                <w:bCs/>
                <w:sz w:val="20"/>
                <w:szCs w:val="20"/>
                <w:lang w:val="en-US"/>
              </w:rPr>
            </w:pPr>
            <w:r>
              <w:rPr>
                <w:rFonts w:ascii="Arial" w:eastAsia="Times New Roman" w:hAnsi="Arial" w:cs="Arial"/>
                <w:b/>
                <w:bCs/>
                <w:sz w:val="20"/>
                <w:szCs w:val="20"/>
                <w:lang w:val="en-US"/>
              </w:rPr>
              <w:t>Gene Priority Score</w:t>
            </w:r>
          </w:p>
        </w:tc>
        <w:tc>
          <w:tcPr>
            <w:tcW w:w="581" w:type="dxa"/>
            <w:tcBorders>
              <w:top w:val="nil"/>
              <w:left w:val="nil"/>
              <w:bottom w:val="single" w:sz="4" w:space="0" w:color="auto"/>
              <w:right w:val="single" w:sz="4" w:space="0" w:color="auto"/>
            </w:tcBorders>
            <w:shd w:val="clear" w:color="000000" w:fill="00B0F0"/>
            <w:noWrap/>
            <w:textDirection w:val="btLr"/>
            <w:vAlign w:val="center"/>
            <w:hideMark/>
          </w:tcPr>
          <w:p w14:paraId="04E7310C"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Missense</w:t>
            </w:r>
          </w:p>
        </w:tc>
        <w:tc>
          <w:tcPr>
            <w:tcW w:w="483" w:type="dxa"/>
            <w:tcBorders>
              <w:top w:val="nil"/>
              <w:left w:val="nil"/>
              <w:bottom w:val="single" w:sz="4" w:space="0" w:color="auto"/>
              <w:right w:val="single" w:sz="4" w:space="0" w:color="auto"/>
            </w:tcBorders>
            <w:shd w:val="clear" w:color="000000" w:fill="00B0F0"/>
            <w:noWrap/>
            <w:textDirection w:val="btLr"/>
            <w:vAlign w:val="center"/>
            <w:hideMark/>
          </w:tcPr>
          <w:p w14:paraId="34515694"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NMD</w:t>
            </w:r>
          </w:p>
        </w:tc>
        <w:tc>
          <w:tcPr>
            <w:tcW w:w="448" w:type="dxa"/>
            <w:tcBorders>
              <w:top w:val="nil"/>
              <w:left w:val="nil"/>
              <w:bottom w:val="single" w:sz="4" w:space="0" w:color="auto"/>
              <w:right w:val="single" w:sz="4" w:space="0" w:color="auto"/>
            </w:tcBorders>
            <w:shd w:val="clear" w:color="000000" w:fill="00B0F0"/>
            <w:noWrap/>
            <w:textDirection w:val="btLr"/>
            <w:vAlign w:val="center"/>
            <w:hideMark/>
          </w:tcPr>
          <w:p w14:paraId="2F732E9A"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Altered splicing</w:t>
            </w:r>
          </w:p>
        </w:tc>
        <w:tc>
          <w:tcPr>
            <w:tcW w:w="504" w:type="dxa"/>
            <w:tcBorders>
              <w:top w:val="nil"/>
              <w:left w:val="nil"/>
              <w:bottom w:val="single" w:sz="4" w:space="0" w:color="auto"/>
              <w:right w:val="single" w:sz="4" w:space="0" w:color="auto"/>
            </w:tcBorders>
            <w:shd w:val="clear" w:color="000000" w:fill="FFC000"/>
            <w:noWrap/>
            <w:textDirection w:val="btLr"/>
            <w:vAlign w:val="center"/>
            <w:hideMark/>
          </w:tcPr>
          <w:p w14:paraId="70CFA4AE"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glomerulus</w:t>
            </w:r>
          </w:p>
        </w:tc>
        <w:tc>
          <w:tcPr>
            <w:tcW w:w="489" w:type="dxa"/>
            <w:tcBorders>
              <w:top w:val="nil"/>
              <w:left w:val="nil"/>
              <w:bottom w:val="single" w:sz="4" w:space="0" w:color="auto"/>
              <w:right w:val="single" w:sz="4" w:space="0" w:color="auto"/>
            </w:tcBorders>
            <w:shd w:val="clear" w:color="000000" w:fill="FFC000"/>
            <w:noWrap/>
            <w:textDirection w:val="btLr"/>
            <w:vAlign w:val="center"/>
            <w:hideMark/>
          </w:tcPr>
          <w:p w14:paraId="68EDA623"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tubulointerstitium</w:t>
            </w:r>
          </w:p>
        </w:tc>
        <w:tc>
          <w:tcPr>
            <w:tcW w:w="627" w:type="dxa"/>
            <w:tcBorders>
              <w:top w:val="nil"/>
              <w:left w:val="nil"/>
              <w:bottom w:val="single" w:sz="4" w:space="0" w:color="auto"/>
              <w:right w:val="single" w:sz="4" w:space="0" w:color="auto"/>
            </w:tcBorders>
            <w:shd w:val="clear" w:color="000000" w:fill="FFC000"/>
            <w:noWrap/>
            <w:textDirection w:val="btLr"/>
            <w:vAlign w:val="center"/>
            <w:hideMark/>
          </w:tcPr>
          <w:p w14:paraId="000B8188"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kidney tissue</w:t>
            </w:r>
          </w:p>
        </w:tc>
        <w:tc>
          <w:tcPr>
            <w:tcW w:w="567" w:type="dxa"/>
            <w:tcBorders>
              <w:top w:val="nil"/>
              <w:left w:val="nil"/>
              <w:bottom w:val="single" w:sz="4" w:space="0" w:color="auto"/>
              <w:right w:val="single" w:sz="4" w:space="0" w:color="auto"/>
            </w:tcBorders>
            <w:shd w:val="clear" w:color="000000" w:fill="FFC000"/>
            <w:noWrap/>
            <w:textDirection w:val="btLr"/>
            <w:vAlign w:val="center"/>
            <w:hideMark/>
          </w:tcPr>
          <w:p w14:paraId="5474F8B3"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any other tissue</w:t>
            </w:r>
          </w:p>
        </w:tc>
        <w:tc>
          <w:tcPr>
            <w:tcW w:w="567" w:type="dxa"/>
            <w:tcBorders>
              <w:top w:val="nil"/>
              <w:left w:val="nil"/>
              <w:bottom w:val="single" w:sz="4" w:space="0" w:color="auto"/>
              <w:right w:val="single" w:sz="4" w:space="0" w:color="auto"/>
            </w:tcBorders>
            <w:shd w:val="clear" w:color="000000" w:fill="00CC00"/>
            <w:noWrap/>
            <w:textDirection w:val="btLr"/>
            <w:vAlign w:val="center"/>
            <w:hideMark/>
          </w:tcPr>
          <w:p w14:paraId="2675D102"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mice (MGI)</w:t>
            </w:r>
          </w:p>
        </w:tc>
        <w:tc>
          <w:tcPr>
            <w:tcW w:w="517" w:type="dxa"/>
            <w:tcBorders>
              <w:top w:val="nil"/>
              <w:left w:val="nil"/>
              <w:bottom w:val="single" w:sz="4" w:space="0" w:color="auto"/>
              <w:right w:val="single" w:sz="4" w:space="0" w:color="auto"/>
            </w:tcBorders>
            <w:shd w:val="clear" w:color="000000" w:fill="00CC00"/>
            <w:noWrap/>
            <w:textDirection w:val="btLr"/>
            <w:vAlign w:val="center"/>
            <w:hideMark/>
          </w:tcPr>
          <w:p w14:paraId="10E00302" w14:textId="77777777" w:rsidR="00DE15C1" w:rsidRDefault="00DE15C1"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human (OMIM)</w:t>
            </w:r>
          </w:p>
        </w:tc>
      </w:tr>
      <w:tr w:rsidR="008D6DF4" w14:paraId="7B2C4140"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8E1B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7F65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2E8D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OR2S1P</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233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08F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36,013,182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E1B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36,014,128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594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75,251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F7E6"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D286B"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80"/>
            <w:noWrap/>
            <w:vAlign w:val="center"/>
            <w:hideMark/>
          </w:tcPr>
          <w:p w14:paraId="44245FF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8C4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98D6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2B42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598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07D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BFE0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11C6047" w14:textId="77777777" w:rsidR="008D6DF4" w:rsidRDefault="007C1EBA">
            <w:pPr>
              <w:spacing w:after="0" w:line="240" w:lineRule="auto"/>
              <w:jc w:val="center"/>
              <w:rPr>
                <w:rFonts w:ascii="Arial" w:eastAsia="Times New Roman" w:hAnsi="Arial" w:cs="Arial"/>
                <w:color w:val="FFC000"/>
                <w:sz w:val="20"/>
                <w:szCs w:val="20"/>
                <w:lang w:val="en-US"/>
              </w:rPr>
            </w:pPr>
            <w:r>
              <w:rPr>
                <w:rFonts w:ascii="Arial" w:eastAsia="Times New Roman" w:hAnsi="Arial" w:cs="Arial"/>
                <w:color w:val="FFC000"/>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65D8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001A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763596D"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2F6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807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5A95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C42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7D99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36,214,437</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281D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36,277,053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CF49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276,506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047FA"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3D1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80"/>
            <w:noWrap/>
            <w:vAlign w:val="center"/>
            <w:hideMark/>
          </w:tcPr>
          <w:p w14:paraId="4671FA6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F84C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6885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9193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A3CB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8D0A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DCF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1BB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08D29F9" w14:textId="77777777" w:rsidR="008D6DF4" w:rsidRDefault="007C1EBA">
            <w:pPr>
              <w:spacing w:after="0" w:line="240" w:lineRule="auto"/>
              <w:jc w:val="center"/>
              <w:rPr>
                <w:rFonts w:ascii="Arial" w:eastAsia="Times New Roman" w:hAnsi="Arial" w:cs="Arial"/>
                <w:color w:val="00CC00"/>
                <w:sz w:val="20"/>
                <w:szCs w:val="20"/>
                <w:lang w:val="en-US"/>
              </w:rPr>
            </w:pPr>
            <w:r>
              <w:rPr>
                <w:rFonts w:ascii="Arial" w:eastAsia="Times New Roman" w:hAnsi="Arial" w:cs="Arial"/>
                <w:color w:val="00CC00"/>
                <w:sz w:val="20"/>
                <w:szCs w:val="20"/>
                <w:lang w:val="en-US"/>
              </w:rPr>
              <w:t>1</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FF2D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4739848"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7D1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DB0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8AF8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RUSC2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29DE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10BF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35,489,829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533D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35,561,895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680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-376,036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B6821"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96A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6F38C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1DA2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BA67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D4E4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03AE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871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853E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7708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4B9F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E36A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C26A645"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E66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5255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609E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TESK1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64BC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5732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35,605,280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0381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35,610,038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099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-327,893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CEA2"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0DB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472E4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6E74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834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1327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8F2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25EF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685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BD5A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1173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3F91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8D34152"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5552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143F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A13E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MIR4667</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B753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A99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35,608,090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53EE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35,608,156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AD6D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-329,775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1F046"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B56F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A3272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1E7A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0950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49E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A996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D0D4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2D0B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E667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60A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32E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4983EC3"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DE79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A6EF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9F4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LOC101926948</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C1A1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213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35,646,266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44C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35,647,473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F3B3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-290,458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A9C8"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4358C"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7182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216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A63D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3D6C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3CE0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31FA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15BE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F5C6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97B5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EA0B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617A804"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C6DB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B06F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E02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SIT1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EA2D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8E85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35,649,294</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54B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35,650,947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38B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-286,984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058BE"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93FB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0D853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CDBB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4ABB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BFE2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19E8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C10D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DDEF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0918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C17B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7F89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01DA3E2D"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9D6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3A31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3EE0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RMRP</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EC85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ECE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35,657,747</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7F7B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35,658,015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7F2B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-279,916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817C5"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DBF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7BF8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AFF8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A7A7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93AE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FD5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6019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82D9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8C52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F585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CA17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5843672D"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FAD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262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28B2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CCDC107</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EB2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62A2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35,658,286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BF9D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35,661,500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CF85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-276,431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EDFEB"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0FF7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4F11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2B59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C087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E7F9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EDE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3F6D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440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DCE4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F538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5FA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E855675"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A1D9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CEC9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171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ARHGEF39</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B12E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15AC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35,659,340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279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35,665,278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F6E2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-272,653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6F2B"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8EA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6061D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5CE9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3692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A42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2AF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D012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3104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954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D3BF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2EEF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AC28C55"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2CE9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BB1D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2A08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CA9</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46A9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710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35,673,914</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1FB7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35,681,156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93A4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-256,775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EAB03"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3626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34B8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678B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15D5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7C00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EC76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5763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5F39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351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4542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0B4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386ADC0"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A34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7AC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5605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TPM2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EA67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5764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35,681,989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85C0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35,690,053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AD0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-247,878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6EDD"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FF56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5E6C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2436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045E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6319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A428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8185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1B9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D98F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1146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0F8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1B07C5D"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7FA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13E5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982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TLN1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019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97A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35,697,333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D0E0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35,732,392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F0D8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-205,539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62991"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646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8F31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C45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3620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3616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CB09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F7A9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E64E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26D9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38BC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7360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2D28976" w14:textId="77777777" w:rsidTr="00DE15C1">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FE31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8958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CDBD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MIR6852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9CC4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F64B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35,710,672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8F0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35,710,738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ABAC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-227,193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BD157"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ABC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DD653"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41BD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D2AA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AF65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D94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4F7D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5255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18F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380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FBB5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CD4507" w14:paraId="752A3814"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12F31" w14:textId="77777777" w:rsidR="00CD4507" w:rsidRDefault="00CD450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C5BB8"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7717E" w14:textId="77777777" w:rsidR="00CD4507" w:rsidRDefault="00CD450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CREB3</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9CBD7"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D9B25"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35,732,316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C272"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35,737,005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14762"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-200,926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6EBE" w14:textId="77777777" w:rsidR="00CD4507" w:rsidRDefault="00CD4507" w:rsidP="0001057B">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1377A"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A35F7"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4F4EA"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4609E"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B67CC"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EFDD"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BEE8"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FD161"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3CE5"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D020C"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44C91"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CD4507" w14:paraId="721B7258"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5C8F" w14:textId="77777777" w:rsidR="00CD4507" w:rsidRDefault="00CD450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DF8C"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1D29B" w14:textId="77777777" w:rsidR="00CD4507" w:rsidRDefault="00CD450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MIR6853</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487D"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EEEDA"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35,732,918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FC62"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35,732,992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179D" w14:textId="77777777" w:rsidR="00CD4507" w:rsidRDefault="00CD450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-204,939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EBDF8" w14:textId="77777777" w:rsidR="00CD4507" w:rsidRDefault="00CD4507" w:rsidP="0001057B">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ACE6D"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AE04B1" w14:textId="77777777" w:rsidR="00CD4507" w:rsidRDefault="00CD450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ACA7"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5EE8"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CBC3"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DDBD"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79D10"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3CF7"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C9483"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A5C0D"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3F4E" w14:textId="77777777" w:rsidR="00CD4507" w:rsidRDefault="00CD450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6027D7" w14:paraId="0DD9E54C" w14:textId="77777777" w:rsidTr="006027D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4A01" w14:textId="77777777" w:rsidR="006027D7" w:rsidRDefault="006027D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6D04C"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1B579" w14:textId="77777777" w:rsidR="006027D7" w:rsidRDefault="006027D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GBA2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BAFD5"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6627"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35,736,858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CD5F5"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35,749,225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1882"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-188,706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DFA69" w14:textId="77777777" w:rsidR="006027D7" w:rsidRDefault="006027D7" w:rsidP="0001057B">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C570C" w14:textId="77777777" w:rsidR="006027D7" w:rsidRDefault="006027D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945D73" w14:textId="77777777" w:rsidR="006027D7" w:rsidRDefault="006027D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1C272"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D55B2"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D760A"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63873"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4CF2"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4D074"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DEBBF"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9F705"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65BD"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6027D7" w14:paraId="57754830" w14:textId="77777777" w:rsidTr="006027D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3BB8" w14:textId="77777777" w:rsidR="006027D7" w:rsidRDefault="006027D7" w:rsidP="0001057B">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5FB01"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B2443" w14:textId="77777777" w:rsidR="006027D7" w:rsidRDefault="006027D7" w:rsidP="0001057B">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RGP1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B0272"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99CAB"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35,749,276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C0A04"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35,753,264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8F046" w14:textId="77777777" w:rsidR="006027D7" w:rsidRDefault="006027D7" w:rsidP="0001057B">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-184,667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6AFCF" w14:textId="77777777" w:rsidR="006027D7" w:rsidRDefault="006027D7" w:rsidP="0001057B">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34DC5" w14:textId="77777777" w:rsidR="006027D7" w:rsidRDefault="006027D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B79E7" w14:textId="77777777" w:rsidR="006027D7" w:rsidRDefault="006027D7" w:rsidP="0001057B">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45CB"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26366"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C140C"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A01F4"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AF34"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33542"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EF6E0"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1B74F"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138F" w14:textId="77777777" w:rsidR="006027D7" w:rsidRDefault="006027D7" w:rsidP="0001057B">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bl>
    <w:p w14:paraId="02E4D2B2" w14:textId="77777777" w:rsidR="00CD4507" w:rsidRPr="00DE15C1" w:rsidRDefault="00CD4507" w:rsidP="00CD4507">
      <w:pPr>
        <w:ind w:right="678"/>
        <w:jc w:val="right"/>
        <w:rPr>
          <w:lang w:val="en-US"/>
        </w:rPr>
      </w:pPr>
      <w:r>
        <w:rPr>
          <w:lang w:val="en-US"/>
        </w:rPr>
        <w:t>…t</w:t>
      </w:r>
      <w:r w:rsidRPr="00DE15C1">
        <w:rPr>
          <w:lang w:val="en-US"/>
        </w:rPr>
        <w:t>o be continued</w:t>
      </w:r>
    </w:p>
    <w:p w14:paraId="1F73A92B" w14:textId="77777777" w:rsidR="00CD4507" w:rsidRPr="00DE15C1" w:rsidRDefault="00CD4507" w:rsidP="00CD4507">
      <w:pPr>
        <w:rPr>
          <w:lang w:val="en-US"/>
        </w:rPr>
      </w:pPr>
      <w:r>
        <w:rPr>
          <w:rFonts w:ascii="Arial" w:hAnsi="Arial" w:cs="Arial"/>
          <w:b/>
          <w:lang w:val="en-US"/>
        </w:rPr>
        <w:lastRenderedPageBreak/>
        <w:t>Supplementary Table 8: continued</w:t>
      </w:r>
    </w:p>
    <w:tbl>
      <w:tblPr>
        <w:tblW w:w="13709" w:type="dxa"/>
        <w:tblLayout w:type="fixed"/>
        <w:tblCellMar>
          <w:left w:w="0" w:type="dxa"/>
          <w:right w:w="0" w:type="dxa"/>
        </w:tblCellMar>
        <w:tblLook w:val="04A0" w:firstRow="1" w:lastRow="0" w:firstColumn="1" w:lastColumn="0" w:noHBand="0" w:noVBand="1"/>
      </w:tblPr>
      <w:tblGrid>
        <w:gridCol w:w="1417"/>
        <w:gridCol w:w="282"/>
        <w:gridCol w:w="1275"/>
        <w:gridCol w:w="297"/>
        <w:gridCol w:w="1305"/>
        <w:gridCol w:w="1289"/>
        <w:gridCol w:w="1002"/>
        <w:gridCol w:w="1041"/>
        <w:gridCol w:w="652"/>
        <w:gridCol w:w="357"/>
        <w:gridCol w:w="581"/>
        <w:gridCol w:w="483"/>
        <w:gridCol w:w="448"/>
        <w:gridCol w:w="504"/>
        <w:gridCol w:w="489"/>
        <w:gridCol w:w="627"/>
        <w:gridCol w:w="567"/>
        <w:gridCol w:w="567"/>
        <w:gridCol w:w="517"/>
        <w:gridCol w:w="9"/>
      </w:tblGrid>
      <w:tr w:rsidR="00CD4507" w:rsidRPr="00DE15C1" w14:paraId="2DEE12A9" w14:textId="77777777" w:rsidTr="00CD4507">
        <w:trPr>
          <w:gridAfter w:val="1"/>
          <w:wAfter w:w="9" w:type="dxa"/>
        </w:trPr>
        <w:tc>
          <w:tcPr>
            <w:tcW w:w="1417" w:type="dxa"/>
            <w:tcBorders>
              <w:top w:val="nil"/>
              <w:left w:val="nil"/>
              <w:bottom w:val="nil"/>
              <w:right w:val="nil"/>
            </w:tcBorders>
            <w:shd w:val="clear" w:color="auto" w:fill="auto"/>
            <w:noWrap/>
            <w:vAlign w:val="bottom"/>
            <w:hideMark/>
          </w:tcPr>
          <w:p w14:paraId="332D9A6F" w14:textId="77777777" w:rsidR="00CD4507" w:rsidRDefault="00CD4507" w:rsidP="0001057B">
            <w:pPr>
              <w:spacing w:after="0" w:line="240" w:lineRule="auto"/>
              <w:rPr>
                <w:rFonts w:ascii="Times New Roman" w:eastAsia="Times New Roman" w:hAnsi="Times New Roman" w:cs="Times New Roman"/>
                <w:sz w:val="24"/>
                <w:szCs w:val="24"/>
                <w:lang w:val="en-US"/>
              </w:rPr>
            </w:pPr>
          </w:p>
        </w:tc>
        <w:tc>
          <w:tcPr>
            <w:tcW w:w="282" w:type="dxa"/>
            <w:tcBorders>
              <w:top w:val="nil"/>
              <w:left w:val="nil"/>
              <w:bottom w:val="nil"/>
              <w:right w:val="nil"/>
            </w:tcBorders>
            <w:shd w:val="clear" w:color="auto" w:fill="auto"/>
            <w:noWrap/>
            <w:vAlign w:val="bottom"/>
            <w:hideMark/>
          </w:tcPr>
          <w:p w14:paraId="778A6D90" w14:textId="77777777" w:rsidR="00CD4507" w:rsidRDefault="00CD4507" w:rsidP="0001057B">
            <w:pPr>
              <w:spacing w:after="0" w:line="240" w:lineRule="auto"/>
              <w:rPr>
                <w:rFonts w:ascii="Times New Roman" w:eastAsia="Times New Roman" w:hAnsi="Times New Roman" w:cs="Times New Roman"/>
                <w:sz w:val="20"/>
                <w:szCs w:val="20"/>
                <w:lang w:val="en-US"/>
              </w:rPr>
            </w:pPr>
          </w:p>
        </w:tc>
        <w:tc>
          <w:tcPr>
            <w:tcW w:w="1275" w:type="dxa"/>
            <w:tcBorders>
              <w:top w:val="nil"/>
              <w:left w:val="nil"/>
              <w:bottom w:val="nil"/>
              <w:right w:val="nil"/>
            </w:tcBorders>
            <w:shd w:val="clear" w:color="auto" w:fill="auto"/>
            <w:noWrap/>
            <w:vAlign w:val="bottom"/>
            <w:hideMark/>
          </w:tcPr>
          <w:p w14:paraId="149A13F8" w14:textId="77777777" w:rsidR="00CD4507" w:rsidRDefault="00CD4507" w:rsidP="0001057B">
            <w:pPr>
              <w:spacing w:after="0" w:line="240" w:lineRule="auto"/>
              <w:rPr>
                <w:rFonts w:ascii="Times New Roman" w:eastAsia="Times New Roman" w:hAnsi="Times New Roman" w:cs="Times New Roman"/>
                <w:sz w:val="20"/>
                <w:szCs w:val="20"/>
                <w:lang w:val="en-US"/>
              </w:rPr>
            </w:pPr>
          </w:p>
        </w:tc>
        <w:tc>
          <w:tcPr>
            <w:tcW w:w="297" w:type="dxa"/>
            <w:tcBorders>
              <w:top w:val="nil"/>
              <w:left w:val="nil"/>
              <w:bottom w:val="nil"/>
              <w:right w:val="nil"/>
            </w:tcBorders>
            <w:shd w:val="clear" w:color="auto" w:fill="auto"/>
            <w:noWrap/>
            <w:vAlign w:val="bottom"/>
            <w:hideMark/>
          </w:tcPr>
          <w:p w14:paraId="75FCBEDF" w14:textId="77777777" w:rsidR="00CD4507" w:rsidRDefault="00CD4507" w:rsidP="0001057B">
            <w:pPr>
              <w:spacing w:after="0" w:line="240" w:lineRule="auto"/>
              <w:rPr>
                <w:rFonts w:ascii="Times New Roman" w:eastAsia="Times New Roman" w:hAnsi="Times New Roman" w:cs="Times New Roman"/>
                <w:sz w:val="20"/>
                <w:szCs w:val="20"/>
                <w:lang w:val="en-US"/>
              </w:rPr>
            </w:pPr>
          </w:p>
        </w:tc>
        <w:tc>
          <w:tcPr>
            <w:tcW w:w="1305" w:type="dxa"/>
            <w:tcBorders>
              <w:top w:val="nil"/>
              <w:left w:val="nil"/>
              <w:bottom w:val="nil"/>
              <w:right w:val="nil"/>
            </w:tcBorders>
            <w:shd w:val="clear" w:color="auto" w:fill="auto"/>
            <w:noWrap/>
            <w:vAlign w:val="bottom"/>
            <w:hideMark/>
          </w:tcPr>
          <w:p w14:paraId="7C337089" w14:textId="77777777" w:rsidR="00CD4507" w:rsidRDefault="00CD4507" w:rsidP="0001057B">
            <w:pPr>
              <w:spacing w:after="0" w:line="240" w:lineRule="auto"/>
              <w:rPr>
                <w:rFonts w:ascii="Times New Roman" w:eastAsia="Times New Roman" w:hAnsi="Times New Roman" w:cs="Times New Roman"/>
                <w:sz w:val="20"/>
                <w:szCs w:val="20"/>
                <w:lang w:val="en-US"/>
              </w:rPr>
            </w:pPr>
          </w:p>
        </w:tc>
        <w:tc>
          <w:tcPr>
            <w:tcW w:w="1289" w:type="dxa"/>
            <w:tcBorders>
              <w:top w:val="nil"/>
              <w:left w:val="nil"/>
              <w:bottom w:val="nil"/>
              <w:right w:val="nil"/>
            </w:tcBorders>
            <w:shd w:val="clear" w:color="auto" w:fill="auto"/>
            <w:noWrap/>
            <w:vAlign w:val="bottom"/>
            <w:hideMark/>
          </w:tcPr>
          <w:p w14:paraId="5C713DF7" w14:textId="77777777" w:rsidR="00CD4507" w:rsidRDefault="00CD4507" w:rsidP="0001057B">
            <w:pPr>
              <w:spacing w:after="0" w:line="240" w:lineRule="auto"/>
              <w:rPr>
                <w:rFonts w:ascii="Times New Roman" w:eastAsia="Times New Roman" w:hAnsi="Times New Roman" w:cs="Times New Roman"/>
                <w:sz w:val="20"/>
                <w:szCs w:val="20"/>
                <w:lang w:val="en-US"/>
              </w:rPr>
            </w:pPr>
          </w:p>
        </w:tc>
        <w:tc>
          <w:tcPr>
            <w:tcW w:w="1002" w:type="dxa"/>
            <w:tcBorders>
              <w:top w:val="nil"/>
              <w:left w:val="nil"/>
              <w:bottom w:val="nil"/>
              <w:right w:val="nil"/>
            </w:tcBorders>
            <w:shd w:val="clear" w:color="auto" w:fill="auto"/>
            <w:noWrap/>
            <w:vAlign w:val="bottom"/>
            <w:hideMark/>
          </w:tcPr>
          <w:p w14:paraId="7F6312DB" w14:textId="77777777" w:rsidR="00CD4507" w:rsidRDefault="00CD4507" w:rsidP="0001057B">
            <w:pPr>
              <w:spacing w:after="0" w:line="240" w:lineRule="auto"/>
              <w:rPr>
                <w:rFonts w:ascii="Times New Roman" w:eastAsia="Times New Roman" w:hAnsi="Times New Roman" w:cs="Times New Roman"/>
                <w:sz w:val="20"/>
                <w:szCs w:val="20"/>
                <w:lang w:val="en-US"/>
              </w:rPr>
            </w:pPr>
          </w:p>
        </w:tc>
        <w:tc>
          <w:tcPr>
            <w:tcW w:w="1041" w:type="dxa"/>
            <w:tcBorders>
              <w:top w:val="nil"/>
              <w:left w:val="nil"/>
              <w:bottom w:val="nil"/>
              <w:right w:val="nil"/>
            </w:tcBorders>
            <w:shd w:val="clear" w:color="auto" w:fill="auto"/>
            <w:noWrap/>
            <w:vAlign w:val="bottom"/>
            <w:hideMark/>
          </w:tcPr>
          <w:p w14:paraId="16D74B81" w14:textId="77777777" w:rsidR="00CD4507" w:rsidRDefault="00CD4507" w:rsidP="0001057B">
            <w:pPr>
              <w:spacing w:after="0" w:line="240" w:lineRule="auto"/>
              <w:jc w:val="right"/>
              <w:rPr>
                <w:rFonts w:ascii="Times New Roman" w:eastAsia="Times New Roman" w:hAnsi="Times New Roman" w:cs="Times New Roman"/>
                <w:sz w:val="20"/>
                <w:szCs w:val="20"/>
                <w:lang w:val="en-US"/>
              </w:rPr>
            </w:pPr>
          </w:p>
        </w:tc>
        <w:tc>
          <w:tcPr>
            <w:tcW w:w="652" w:type="dxa"/>
            <w:tcBorders>
              <w:top w:val="nil"/>
              <w:left w:val="nil"/>
              <w:bottom w:val="nil"/>
              <w:right w:val="nil"/>
            </w:tcBorders>
            <w:shd w:val="clear" w:color="auto" w:fill="auto"/>
            <w:noWrap/>
            <w:vAlign w:val="bottom"/>
            <w:hideMark/>
          </w:tcPr>
          <w:p w14:paraId="5C7855B9" w14:textId="77777777" w:rsidR="00CD4507" w:rsidRDefault="00CD4507" w:rsidP="0001057B">
            <w:pPr>
              <w:spacing w:after="0" w:line="240" w:lineRule="auto"/>
              <w:jc w:val="right"/>
              <w:rPr>
                <w:rFonts w:ascii="Times New Roman" w:eastAsia="Times New Roman" w:hAnsi="Times New Roman" w:cs="Times New Roman"/>
                <w:sz w:val="20"/>
                <w:szCs w:val="20"/>
                <w:lang w:val="en-US"/>
              </w:rPr>
            </w:pPr>
          </w:p>
        </w:tc>
        <w:tc>
          <w:tcPr>
            <w:tcW w:w="357" w:type="dxa"/>
            <w:tcBorders>
              <w:top w:val="nil"/>
              <w:left w:val="nil"/>
              <w:bottom w:val="nil"/>
              <w:right w:val="nil"/>
            </w:tcBorders>
            <w:shd w:val="clear" w:color="auto" w:fill="auto"/>
            <w:noWrap/>
            <w:vAlign w:val="bottom"/>
            <w:hideMark/>
          </w:tcPr>
          <w:p w14:paraId="0F7D8D73" w14:textId="77777777" w:rsidR="00CD4507" w:rsidRDefault="00CD4507" w:rsidP="0001057B">
            <w:pPr>
              <w:spacing w:after="0" w:line="240" w:lineRule="auto"/>
              <w:jc w:val="center"/>
              <w:rPr>
                <w:rFonts w:ascii="Times New Roman" w:eastAsia="Times New Roman" w:hAnsi="Times New Roman" w:cs="Times New Roman"/>
                <w:sz w:val="20"/>
                <w:szCs w:val="20"/>
                <w:lang w:val="en-US"/>
              </w:rPr>
            </w:pPr>
          </w:p>
        </w:tc>
        <w:tc>
          <w:tcPr>
            <w:tcW w:w="1512"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5EA83630" w14:textId="77777777" w:rsidR="00CD4507" w:rsidRDefault="00CD4507"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Any credible set variants in gene</w:t>
            </w:r>
          </w:p>
        </w:tc>
        <w:tc>
          <w:tcPr>
            <w:tcW w:w="2187" w:type="dxa"/>
            <w:gridSpan w:val="4"/>
            <w:tcBorders>
              <w:top w:val="single" w:sz="4" w:space="0" w:color="auto"/>
              <w:left w:val="nil"/>
              <w:bottom w:val="single" w:sz="4" w:space="0" w:color="auto"/>
              <w:right w:val="single" w:sz="4" w:space="0" w:color="auto"/>
            </w:tcBorders>
            <w:shd w:val="clear" w:color="000000" w:fill="FFC000"/>
            <w:vAlign w:val="bottom"/>
            <w:hideMark/>
          </w:tcPr>
          <w:p w14:paraId="7633BF3A" w14:textId="41B4DFB1" w:rsidR="00CD4507" w:rsidRDefault="00CD4507" w:rsidP="00356522">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eQTL-modulated</w:t>
            </w:r>
            <w:r w:rsidR="00356522">
              <w:rPr>
                <w:rFonts w:ascii="Arial" w:eastAsia="Times New Roman" w:hAnsi="Arial" w:cs="Arial"/>
                <w:b/>
                <w:bCs/>
                <w:color w:val="000000"/>
                <w:sz w:val="20"/>
                <w:szCs w:val="20"/>
                <w:lang w:val="en-US"/>
              </w:rPr>
              <w:t xml:space="preserve"> </w:t>
            </w:r>
            <w:r>
              <w:rPr>
                <w:rFonts w:ascii="Arial" w:eastAsia="Times New Roman" w:hAnsi="Arial" w:cs="Arial"/>
                <w:b/>
                <w:bCs/>
                <w:color w:val="000000"/>
                <w:sz w:val="20"/>
                <w:szCs w:val="20"/>
                <w:lang w:val="en-US"/>
              </w:rPr>
              <w:t>expression by any credible set variant</w:t>
            </w:r>
          </w:p>
        </w:tc>
        <w:tc>
          <w:tcPr>
            <w:tcW w:w="1084" w:type="dxa"/>
            <w:gridSpan w:val="2"/>
            <w:tcBorders>
              <w:top w:val="single" w:sz="4" w:space="0" w:color="auto"/>
              <w:left w:val="nil"/>
              <w:bottom w:val="single" w:sz="4" w:space="0" w:color="auto"/>
              <w:right w:val="single" w:sz="4" w:space="0" w:color="auto"/>
            </w:tcBorders>
            <w:shd w:val="clear" w:color="000000" w:fill="00CC00"/>
            <w:vAlign w:val="bottom"/>
            <w:hideMark/>
          </w:tcPr>
          <w:p w14:paraId="3A3C1493" w14:textId="77777777" w:rsidR="00CD4507" w:rsidRDefault="00CD4507" w:rsidP="0001057B">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Evidenced kidney phenotype</w:t>
            </w:r>
          </w:p>
        </w:tc>
      </w:tr>
      <w:tr w:rsidR="00CD4507" w14:paraId="7E139284" w14:textId="77777777" w:rsidTr="00CD4507">
        <w:trPr>
          <w:trHeight w:val="255"/>
        </w:trPr>
        <w:tc>
          <w:tcPr>
            <w:tcW w:w="8917" w:type="dxa"/>
            <w:gridSpan w:val="10"/>
            <w:tcBorders>
              <w:top w:val="single" w:sz="4" w:space="0" w:color="auto"/>
              <w:left w:val="nil"/>
              <w:bottom w:val="single" w:sz="4" w:space="0" w:color="auto"/>
              <w:right w:val="single" w:sz="4" w:space="0" w:color="auto"/>
            </w:tcBorders>
            <w:shd w:val="clear" w:color="000000" w:fill="FFFF00"/>
            <w:noWrap/>
            <w:vAlign w:val="bottom"/>
            <w:hideMark/>
          </w:tcPr>
          <w:p w14:paraId="214EAD45" w14:textId="77777777" w:rsidR="00CD4507" w:rsidRDefault="00CD4507" w:rsidP="0001057B">
            <w:pPr>
              <w:spacing w:after="0" w:line="240" w:lineRule="auto"/>
              <w:jc w:val="right"/>
              <w:rPr>
                <w:rFonts w:ascii="Arial" w:eastAsia="Times New Roman" w:hAnsi="Arial" w:cs="Arial"/>
                <w:b/>
                <w:bCs/>
                <w:sz w:val="20"/>
                <w:szCs w:val="20"/>
                <w:lang w:val="en-US"/>
              </w:rPr>
            </w:pPr>
            <w:r>
              <w:rPr>
                <w:rFonts w:ascii="Arial" w:eastAsia="Times New Roman" w:hAnsi="Arial" w:cs="Arial"/>
                <w:b/>
                <w:bCs/>
                <w:sz w:val="20"/>
                <w:szCs w:val="20"/>
                <w:lang w:val="en-US"/>
              </w:rPr>
              <w:t>Weight (Change weights here to change Gene Priority Score)</w:t>
            </w:r>
          </w:p>
        </w:tc>
        <w:tc>
          <w:tcPr>
            <w:tcW w:w="5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259FBAB"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18B387"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48" w:type="dxa"/>
            <w:tcBorders>
              <w:top w:val="single" w:sz="4" w:space="0" w:color="auto"/>
              <w:left w:val="single" w:sz="4" w:space="0" w:color="auto"/>
              <w:bottom w:val="single" w:sz="4" w:space="0" w:color="auto"/>
              <w:right w:val="single" w:sz="4" w:space="0" w:color="auto"/>
            </w:tcBorders>
            <w:shd w:val="clear" w:color="000000" w:fill="FFFF00"/>
            <w:vAlign w:val="bottom"/>
          </w:tcPr>
          <w:p w14:paraId="1BAC04CE"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41269B"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48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72E4FF"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627" w:type="dxa"/>
            <w:tcBorders>
              <w:top w:val="single" w:sz="4" w:space="0" w:color="auto"/>
              <w:left w:val="single" w:sz="4" w:space="0" w:color="auto"/>
              <w:bottom w:val="single" w:sz="4" w:space="0" w:color="auto"/>
              <w:right w:val="single" w:sz="4" w:space="0" w:color="auto"/>
            </w:tcBorders>
            <w:shd w:val="clear" w:color="000000" w:fill="FFFF00"/>
            <w:vAlign w:val="bottom"/>
          </w:tcPr>
          <w:p w14:paraId="71C7D88F"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1ACBE28F"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bottom"/>
          </w:tcPr>
          <w:p w14:paraId="1ABF3E20"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c>
          <w:tcPr>
            <w:tcW w:w="526" w:type="dxa"/>
            <w:gridSpan w:val="2"/>
            <w:tcBorders>
              <w:top w:val="single" w:sz="4" w:space="0" w:color="auto"/>
              <w:left w:val="single" w:sz="4" w:space="0" w:color="auto"/>
              <w:bottom w:val="single" w:sz="4" w:space="0" w:color="auto"/>
              <w:right w:val="single" w:sz="4" w:space="0" w:color="auto"/>
            </w:tcBorders>
            <w:shd w:val="clear" w:color="000000" w:fill="FFFF00"/>
            <w:vAlign w:val="bottom"/>
          </w:tcPr>
          <w:p w14:paraId="35BF119D" w14:textId="77777777" w:rsidR="00CD4507" w:rsidRDefault="00CD4507" w:rsidP="0001057B">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1</w:t>
            </w:r>
          </w:p>
        </w:tc>
      </w:tr>
      <w:tr w:rsidR="00CD4507" w14:paraId="4EA2BC3E" w14:textId="77777777" w:rsidTr="00CD4507">
        <w:trPr>
          <w:gridAfter w:val="1"/>
          <w:wAfter w:w="9" w:type="dxa"/>
          <w:trHeight w:val="2745"/>
        </w:trPr>
        <w:tc>
          <w:tcPr>
            <w:tcW w:w="141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FE8D407"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name</w:t>
            </w:r>
          </w:p>
        </w:tc>
        <w:tc>
          <w:tcPr>
            <w:tcW w:w="2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21AF6F9"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Locus no.</w:t>
            </w:r>
          </w:p>
        </w:tc>
        <w:tc>
          <w:tcPr>
            <w:tcW w:w="127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F816D8C"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w:t>
            </w:r>
          </w:p>
        </w:tc>
        <w:tc>
          <w:tcPr>
            <w:tcW w:w="2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3546B74"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Chromosome</w:t>
            </w:r>
          </w:p>
        </w:tc>
        <w:tc>
          <w:tcPr>
            <w:tcW w:w="130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8AB0194"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Start of gene</w:t>
            </w:r>
          </w:p>
        </w:tc>
        <w:tc>
          <w:tcPr>
            <w:tcW w:w="128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3686CB2"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End of gene</w:t>
            </w: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81ED204"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first signal variant (a)</w:t>
            </w:r>
          </w:p>
        </w:tc>
        <w:tc>
          <w:tcPr>
            <w:tcW w:w="104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16BA5C5"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Distance of gene to</w:t>
            </w:r>
            <w:r>
              <w:rPr>
                <w:rFonts w:ascii="Arial" w:eastAsia="Times New Roman" w:hAnsi="Arial" w:cs="Arial"/>
                <w:b/>
                <w:bCs/>
                <w:color w:val="000000"/>
                <w:sz w:val="20"/>
                <w:szCs w:val="20"/>
                <w:lang w:val="en-US"/>
              </w:rPr>
              <w:br/>
              <w:t>second signal variant (b)</w:t>
            </w:r>
          </w:p>
        </w:tc>
        <w:tc>
          <w:tcPr>
            <w:tcW w:w="6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9C32086"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#credible set variants</w:t>
            </w:r>
            <w:r>
              <w:rPr>
                <w:rFonts w:ascii="Arial" w:eastAsia="Times New Roman" w:hAnsi="Arial" w:cs="Arial"/>
                <w:b/>
                <w:bCs/>
                <w:color w:val="000000"/>
                <w:sz w:val="20"/>
                <w:szCs w:val="20"/>
                <w:lang w:val="en-US"/>
              </w:rPr>
              <w:br/>
              <w:t>in gene</w:t>
            </w:r>
          </w:p>
        </w:tc>
        <w:tc>
          <w:tcPr>
            <w:tcW w:w="357" w:type="dxa"/>
            <w:tcBorders>
              <w:top w:val="single" w:sz="4" w:space="0" w:color="auto"/>
              <w:left w:val="nil"/>
              <w:bottom w:val="single" w:sz="4" w:space="0" w:color="auto"/>
              <w:right w:val="single" w:sz="4" w:space="0" w:color="auto"/>
            </w:tcBorders>
            <w:shd w:val="clear" w:color="000000" w:fill="FFFF00"/>
            <w:noWrap/>
            <w:textDirection w:val="btLr"/>
            <w:vAlign w:val="center"/>
            <w:hideMark/>
          </w:tcPr>
          <w:p w14:paraId="7DC3AA17" w14:textId="77777777" w:rsidR="00CD4507" w:rsidRDefault="00CD4507" w:rsidP="0001057B">
            <w:pPr>
              <w:spacing w:after="0" w:line="240" w:lineRule="auto"/>
              <w:rPr>
                <w:rFonts w:ascii="Arial" w:eastAsia="Times New Roman" w:hAnsi="Arial" w:cs="Arial"/>
                <w:b/>
                <w:bCs/>
                <w:sz w:val="20"/>
                <w:szCs w:val="20"/>
                <w:lang w:val="en-US"/>
              </w:rPr>
            </w:pPr>
            <w:r>
              <w:rPr>
                <w:rFonts w:ascii="Arial" w:eastAsia="Times New Roman" w:hAnsi="Arial" w:cs="Arial"/>
                <w:b/>
                <w:bCs/>
                <w:sz w:val="20"/>
                <w:szCs w:val="20"/>
                <w:lang w:val="en-US"/>
              </w:rPr>
              <w:t>Gene Priority Score</w:t>
            </w:r>
          </w:p>
        </w:tc>
        <w:tc>
          <w:tcPr>
            <w:tcW w:w="581" w:type="dxa"/>
            <w:tcBorders>
              <w:top w:val="nil"/>
              <w:left w:val="nil"/>
              <w:bottom w:val="single" w:sz="4" w:space="0" w:color="auto"/>
              <w:right w:val="single" w:sz="4" w:space="0" w:color="auto"/>
            </w:tcBorders>
            <w:shd w:val="clear" w:color="000000" w:fill="00B0F0"/>
            <w:noWrap/>
            <w:textDirection w:val="btLr"/>
            <w:vAlign w:val="center"/>
            <w:hideMark/>
          </w:tcPr>
          <w:p w14:paraId="56612665"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Missense</w:t>
            </w:r>
          </w:p>
        </w:tc>
        <w:tc>
          <w:tcPr>
            <w:tcW w:w="483" w:type="dxa"/>
            <w:tcBorders>
              <w:top w:val="nil"/>
              <w:left w:val="nil"/>
              <w:bottom w:val="single" w:sz="4" w:space="0" w:color="auto"/>
              <w:right w:val="single" w:sz="4" w:space="0" w:color="auto"/>
            </w:tcBorders>
            <w:shd w:val="clear" w:color="000000" w:fill="00B0F0"/>
            <w:noWrap/>
            <w:textDirection w:val="btLr"/>
            <w:vAlign w:val="center"/>
            <w:hideMark/>
          </w:tcPr>
          <w:p w14:paraId="680ADC36"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NMD</w:t>
            </w:r>
          </w:p>
        </w:tc>
        <w:tc>
          <w:tcPr>
            <w:tcW w:w="448" w:type="dxa"/>
            <w:tcBorders>
              <w:top w:val="nil"/>
              <w:left w:val="nil"/>
              <w:bottom w:val="single" w:sz="4" w:space="0" w:color="auto"/>
              <w:right w:val="single" w:sz="4" w:space="0" w:color="auto"/>
            </w:tcBorders>
            <w:shd w:val="clear" w:color="000000" w:fill="00B0F0"/>
            <w:noWrap/>
            <w:textDirection w:val="btLr"/>
            <w:vAlign w:val="center"/>
            <w:hideMark/>
          </w:tcPr>
          <w:p w14:paraId="03AEF690"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Altered splicing</w:t>
            </w:r>
          </w:p>
        </w:tc>
        <w:tc>
          <w:tcPr>
            <w:tcW w:w="504" w:type="dxa"/>
            <w:tcBorders>
              <w:top w:val="nil"/>
              <w:left w:val="nil"/>
              <w:bottom w:val="single" w:sz="4" w:space="0" w:color="auto"/>
              <w:right w:val="single" w:sz="4" w:space="0" w:color="auto"/>
            </w:tcBorders>
            <w:shd w:val="clear" w:color="000000" w:fill="FFC000"/>
            <w:noWrap/>
            <w:textDirection w:val="btLr"/>
            <w:vAlign w:val="center"/>
            <w:hideMark/>
          </w:tcPr>
          <w:p w14:paraId="6A3597D9"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glomerulus</w:t>
            </w:r>
          </w:p>
        </w:tc>
        <w:tc>
          <w:tcPr>
            <w:tcW w:w="489" w:type="dxa"/>
            <w:tcBorders>
              <w:top w:val="nil"/>
              <w:left w:val="nil"/>
              <w:bottom w:val="single" w:sz="4" w:space="0" w:color="auto"/>
              <w:right w:val="single" w:sz="4" w:space="0" w:color="auto"/>
            </w:tcBorders>
            <w:shd w:val="clear" w:color="000000" w:fill="FFC000"/>
            <w:noWrap/>
            <w:textDirection w:val="btLr"/>
            <w:vAlign w:val="center"/>
            <w:hideMark/>
          </w:tcPr>
          <w:p w14:paraId="250F601C"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NephQTL tubulointerstitium</w:t>
            </w:r>
          </w:p>
        </w:tc>
        <w:tc>
          <w:tcPr>
            <w:tcW w:w="627" w:type="dxa"/>
            <w:tcBorders>
              <w:top w:val="nil"/>
              <w:left w:val="nil"/>
              <w:bottom w:val="single" w:sz="4" w:space="0" w:color="auto"/>
              <w:right w:val="single" w:sz="4" w:space="0" w:color="auto"/>
            </w:tcBorders>
            <w:shd w:val="clear" w:color="000000" w:fill="FFC000"/>
            <w:noWrap/>
            <w:textDirection w:val="btLr"/>
            <w:vAlign w:val="center"/>
            <w:hideMark/>
          </w:tcPr>
          <w:p w14:paraId="59E6EAD0"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kidney tissue</w:t>
            </w:r>
          </w:p>
        </w:tc>
        <w:tc>
          <w:tcPr>
            <w:tcW w:w="567" w:type="dxa"/>
            <w:tcBorders>
              <w:top w:val="nil"/>
              <w:left w:val="nil"/>
              <w:bottom w:val="single" w:sz="4" w:space="0" w:color="auto"/>
              <w:right w:val="single" w:sz="4" w:space="0" w:color="auto"/>
            </w:tcBorders>
            <w:shd w:val="clear" w:color="000000" w:fill="FFC000"/>
            <w:noWrap/>
            <w:textDirection w:val="btLr"/>
            <w:vAlign w:val="center"/>
            <w:hideMark/>
          </w:tcPr>
          <w:p w14:paraId="0ACB02D6"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GTEx v8 any other tissue</w:t>
            </w:r>
          </w:p>
        </w:tc>
        <w:tc>
          <w:tcPr>
            <w:tcW w:w="567" w:type="dxa"/>
            <w:tcBorders>
              <w:top w:val="nil"/>
              <w:left w:val="nil"/>
              <w:bottom w:val="single" w:sz="4" w:space="0" w:color="auto"/>
              <w:right w:val="single" w:sz="4" w:space="0" w:color="auto"/>
            </w:tcBorders>
            <w:shd w:val="clear" w:color="000000" w:fill="00CC00"/>
            <w:noWrap/>
            <w:textDirection w:val="btLr"/>
            <w:vAlign w:val="center"/>
            <w:hideMark/>
          </w:tcPr>
          <w:p w14:paraId="293873FB"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mice (MGI)</w:t>
            </w:r>
          </w:p>
        </w:tc>
        <w:tc>
          <w:tcPr>
            <w:tcW w:w="517" w:type="dxa"/>
            <w:tcBorders>
              <w:top w:val="nil"/>
              <w:left w:val="nil"/>
              <w:bottom w:val="single" w:sz="4" w:space="0" w:color="auto"/>
              <w:right w:val="single" w:sz="4" w:space="0" w:color="auto"/>
            </w:tcBorders>
            <w:shd w:val="clear" w:color="000000" w:fill="00CC00"/>
            <w:noWrap/>
            <w:textDirection w:val="btLr"/>
            <w:vAlign w:val="center"/>
            <w:hideMark/>
          </w:tcPr>
          <w:p w14:paraId="75C62C69" w14:textId="77777777" w:rsidR="00CD4507" w:rsidRDefault="00CD4507"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In human (OMIM)</w:t>
            </w:r>
          </w:p>
        </w:tc>
      </w:tr>
      <w:tr w:rsidR="008D6DF4" w14:paraId="00AA7CDE"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2348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513E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952F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MSMP</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1BE9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9FC1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35,752,986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9495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35,754,274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44A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-183,657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8ACE7"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0F0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137C14"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BBA6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A983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D986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398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8AE6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7EA5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8B6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0F39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E8CC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01AA579"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4FF5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4199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FC8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NPR2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7F6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8336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35,792,405</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9A3B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35,809,728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B88A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-128,203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B706"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8564B"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83517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A04D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BE6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A0B4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03DF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556F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50FD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DEFC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5112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070F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43168D9"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E27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E71A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002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SPAG8</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3FF9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19C7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35,807,781</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CAC8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35,812,259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326A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-125,672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DF728"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F9F5C"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1609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273D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2DEC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9C37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DD05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EF82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690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E7C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B63E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574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6CA1497"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0400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3FA8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E94D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HINT2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0AB6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C00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35,812,956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402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35,815,042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045E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-122,889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6519C"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5AB5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AC32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CAE5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A1CC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9C7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648F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18C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462A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A7A6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6054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4479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2C04252A"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9DF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5CD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2EE6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FAM221B</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1C7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DF7C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35,817,013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701A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35,828,744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8442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-109,187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A909D"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A9CB9"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1B15D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1882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1696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6875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E68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649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D1B7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89A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D65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BAFC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7F4443A2"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27FF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14E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FD5C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TMEM8B</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8466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279F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35,829,221</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00A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35,854,844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9F34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-83,087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672A8"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9A0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605A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4E4F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FA74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10B5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CB31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F52D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177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6B7A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15A9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C23C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3CC1559E"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3883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ED66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39DC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LINC00950</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7F6B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193A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35,860,270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9D26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35,865,515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9420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-72,416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28D7"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843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B101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5219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6728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4624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A672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5041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A988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746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D4DC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04F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B22C9F7"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E58B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EB89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CCE6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OR13J1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712D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9CE1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35,869,459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527D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35,870,398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663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-67,533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BA53"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4FAB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E2FBFF"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A445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D49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458A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9061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C300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C081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00C8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CDE7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F9C7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E1D8A93"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D3D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C8631"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BF0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HRCT1</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2008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4A3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35,906,188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719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35,907,138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BEA1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-30,793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FBF88"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39C2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A2C2E"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DBA6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4C52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C4AC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E67F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6A81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AFB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4FB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A42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F438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0C2D2928"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9FF3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FFA2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D887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LINC00961</w:t>
            </w:r>
          </w:p>
          <w:p w14:paraId="6278D0D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=SPAAR</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1786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4607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35,909,479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530F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35,911,617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419B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-26,314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B8535"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2022A"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EA032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7358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E21F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AB07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93A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9A11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5D72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AFCC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05EC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17F4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3087DE56"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08CE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9EAD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C03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OR2S2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1734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FD28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35,957,104</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F17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35,958,151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C129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19,173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20975"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17A20"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46EAB1"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647F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49DE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9D34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BEF8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14E5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09F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9E7D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0983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95A0"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4F2FC6C2"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9607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652D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45F3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RECK</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49BE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33E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36,036,909</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F5B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36,124,452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7FF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98,978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04B0"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BCB9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E8992"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0698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12F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9CE1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526A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8684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61C3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B72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F79E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56C7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58E2F324"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E80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2F6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A758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GLIPR2</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BFC2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803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36,136,532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5B21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36,163,910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5DC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198,601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3F4E3"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66E86"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DADE27"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93EFB"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2019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3F8F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2DFEA"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5101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146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68949"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D9582"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D437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DC9C633"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6990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591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AAB8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CCIN</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254E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FB7A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36,169,388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528B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36,171,331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7739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231,457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9EE12"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2BAA"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AEDCD"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1B18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482FF"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2739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A14F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42EA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DFF4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80FE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FB9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82F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673238DC"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55A2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A34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854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CLTA</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BA82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F2AC6"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36,190,852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8CDC3"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36,212,059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A97E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252,921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1EECE"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31AAB"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2F70C"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C7AE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3A6FD"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A252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0431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A1E1E"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26C85"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FB7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0D33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35CF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r w:rsidR="008D6DF4" w14:paraId="1772A945" w14:textId="77777777" w:rsidTr="00CD4507">
        <w:trPr>
          <w:gridAfter w:val="1"/>
          <w:wAfter w:w="9"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348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[OR2S2]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8DCE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DE3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RNF38</w:t>
            </w:r>
          </w:p>
        </w:tc>
        <w:tc>
          <w:tcPr>
            <w:tcW w:w="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0819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9010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36,336,396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9750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36,401,195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CADF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398,465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BD8B1" w14:textId="77777777" w:rsidR="008D6DF4" w:rsidRDefault="008D6DF4">
            <w:pPr>
              <w:spacing w:after="0" w:line="240" w:lineRule="auto"/>
              <w:jc w:val="right"/>
              <w:rPr>
                <w:rFonts w:ascii="Arial" w:eastAsia="Times New Roman" w:hAnsi="Arial" w:cs="Arial"/>
                <w:color w:val="000000"/>
                <w:sz w:val="20"/>
                <w:szCs w:val="20"/>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4DBF5"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74828" w14:textId="77777777" w:rsidR="008D6DF4" w:rsidRDefault="007C1EB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7EDA3"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46E8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91CC"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622C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8328"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47A17"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C6EB1"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F47D4"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37BD6" w14:textId="77777777" w:rsidR="008D6DF4" w:rsidRDefault="007C1EBA">
            <w:pPr>
              <w:spacing w:after="0" w:line="240" w:lineRule="auto"/>
              <w:jc w:val="center"/>
              <w:rPr>
                <w:rFonts w:ascii="Arial" w:eastAsia="Times New Roman" w:hAnsi="Arial" w:cs="Arial"/>
                <w:color w:val="FFFFFF"/>
                <w:sz w:val="20"/>
                <w:szCs w:val="20"/>
                <w:lang w:val="en-US"/>
              </w:rPr>
            </w:pPr>
            <w:r>
              <w:rPr>
                <w:rFonts w:ascii="Arial" w:eastAsia="Times New Roman" w:hAnsi="Arial" w:cs="Arial"/>
                <w:color w:val="FFFFFF"/>
                <w:sz w:val="20"/>
                <w:szCs w:val="20"/>
                <w:lang w:val="en-US"/>
              </w:rPr>
              <w:t>0</w:t>
            </w:r>
          </w:p>
        </w:tc>
      </w:tr>
    </w:tbl>
    <w:p w14:paraId="24D47E74" w14:textId="77777777" w:rsidR="008D6DF4" w:rsidRDefault="007C1EBA">
      <w:pPr>
        <w:spacing w:after="0" w:line="240" w:lineRule="auto"/>
        <w:jc w:val="both"/>
        <w:rPr>
          <w:rFonts w:ascii="Arial" w:hAnsi="Arial" w:cs="Arial"/>
          <w:sz w:val="20"/>
          <w:szCs w:val="20"/>
          <w:lang w:val="en-US"/>
        </w:rPr>
      </w:pPr>
      <w:r>
        <w:rPr>
          <w:rFonts w:ascii="Arial" w:hAnsi="Arial" w:cs="Arial"/>
          <w:sz w:val="20"/>
          <w:szCs w:val="20"/>
          <w:lang w:val="en-US"/>
        </w:rPr>
        <w:t>(a) Distance to the variant with lowest P in the region of the 1</w:t>
      </w:r>
      <w:r w:rsidRPr="00A22573">
        <w:rPr>
          <w:rFonts w:ascii="Arial" w:hAnsi="Arial" w:cs="Arial"/>
          <w:sz w:val="20"/>
          <w:szCs w:val="20"/>
          <w:vertAlign w:val="superscript"/>
          <w:lang w:val="en-US"/>
        </w:rPr>
        <w:t>st</w:t>
      </w:r>
      <w:r>
        <w:rPr>
          <w:rFonts w:ascii="Arial" w:hAnsi="Arial" w:cs="Arial"/>
          <w:sz w:val="20"/>
          <w:szCs w:val="20"/>
          <w:lang w:val="en-US"/>
        </w:rPr>
        <w:t xml:space="preserve"> signal from Rapid3 ([OR2S2]), CKDi25 ([UMOD-PDILT], [WDR72] and [PRKAG2]).</w:t>
      </w:r>
    </w:p>
    <w:p w14:paraId="0703FF70" w14:textId="77777777" w:rsidR="008D6DF4" w:rsidRDefault="007C1EBA">
      <w:pPr>
        <w:spacing w:after="0" w:line="240" w:lineRule="auto"/>
        <w:jc w:val="both"/>
        <w:rPr>
          <w:rFonts w:ascii="Arial" w:hAnsi="Arial" w:cs="Arial"/>
          <w:sz w:val="20"/>
          <w:szCs w:val="20"/>
          <w:lang w:val="en-US"/>
        </w:rPr>
      </w:pPr>
      <w:r>
        <w:rPr>
          <w:rFonts w:ascii="Arial" w:hAnsi="Arial" w:cs="Arial"/>
          <w:sz w:val="20"/>
          <w:szCs w:val="20"/>
          <w:lang w:val="en-US"/>
        </w:rPr>
        <w:t>(b) Distance to the variant with lowest P in the region of the 2</w:t>
      </w:r>
      <w:r w:rsidRPr="00A22573">
        <w:rPr>
          <w:rFonts w:ascii="Arial" w:hAnsi="Arial" w:cs="Arial"/>
          <w:sz w:val="20"/>
          <w:szCs w:val="20"/>
          <w:vertAlign w:val="superscript"/>
          <w:lang w:val="en-US"/>
        </w:rPr>
        <w:t>nd</w:t>
      </w:r>
      <w:r>
        <w:rPr>
          <w:rFonts w:ascii="Arial" w:hAnsi="Arial" w:cs="Arial"/>
          <w:sz w:val="20"/>
          <w:szCs w:val="20"/>
          <w:lang w:val="en-US"/>
        </w:rPr>
        <w:t xml:space="preserve"> signal from CKDi25 in locus [UMOD-PDILT]</w:t>
      </w:r>
    </w:p>
    <w:p w14:paraId="5AE94F12" w14:textId="77777777" w:rsidR="008D6DF4" w:rsidRPr="008E6F4E" w:rsidRDefault="007C1EBA">
      <w:pPr>
        <w:rPr>
          <w:rFonts w:ascii="Arial" w:hAnsi="Arial"/>
          <w:b/>
          <w:lang w:val="en-US"/>
        </w:rPr>
      </w:pPr>
      <w:r w:rsidRPr="008E6F4E">
        <w:rPr>
          <w:rFonts w:ascii="Arial" w:hAnsi="Arial"/>
          <w:b/>
          <w:lang w:val="en-US"/>
        </w:rPr>
        <w:br w:type="page"/>
      </w:r>
    </w:p>
    <w:p w14:paraId="438B3B8F" w14:textId="7A2F444F" w:rsidR="008D6DF4" w:rsidRPr="00A22573" w:rsidRDefault="007C1EBA" w:rsidP="006027D7">
      <w:pPr>
        <w:spacing w:after="120" w:line="240" w:lineRule="auto"/>
        <w:jc w:val="both"/>
        <w:rPr>
          <w:rFonts w:ascii="Arial" w:hAnsi="Arial" w:cs="Arial"/>
          <w:lang w:val="en-US"/>
        </w:rPr>
      </w:pPr>
      <w:r w:rsidRPr="00661974">
        <w:rPr>
          <w:rFonts w:ascii="Arial" w:hAnsi="Arial"/>
          <w:b/>
          <w:lang w:val="en-US"/>
        </w:rPr>
        <w:lastRenderedPageBreak/>
        <w:t xml:space="preserve">Supplementary Table 9: </w:t>
      </w:r>
      <w:r w:rsidRPr="00661974">
        <w:rPr>
          <w:rFonts w:ascii="Arial" w:hAnsi="Arial" w:cs="Arial"/>
          <w:b/>
          <w:lang w:val="en-US"/>
        </w:rPr>
        <w:t>Kidney function related biology</w:t>
      </w:r>
      <w:r w:rsidRPr="00661974">
        <w:rPr>
          <w:rFonts w:ascii="Arial" w:hAnsi="Arial"/>
          <w:b/>
          <w:lang w:val="en-US"/>
        </w:rPr>
        <w:t xml:space="preserve"> in the OR2S2 locus</w:t>
      </w:r>
      <w:r w:rsidRPr="00661974">
        <w:rPr>
          <w:rFonts w:ascii="Arial" w:hAnsi="Arial" w:cs="Arial"/>
          <w:lang w:val="en-US"/>
        </w:rPr>
        <w:t>. For each of the 36 genes, the alternative gene names are stated and the findings from the literature search are summarized.</w:t>
      </w:r>
      <w:r w:rsidRPr="00A22573">
        <w:rPr>
          <w:rFonts w:ascii="Arial" w:hAnsi="Arial" w:cs="Arial"/>
          <w:lang w:val="en-US"/>
        </w:rPr>
        <w:t xml:space="preserve"> </w:t>
      </w:r>
    </w:p>
    <w:tbl>
      <w:tblPr>
        <w:tblW w:w="14742" w:type="dxa"/>
        <w:tblLook w:val="04A0" w:firstRow="1" w:lastRow="0" w:firstColumn="1" w:lastColumn="0" w:noHBand="0" w:noVBand="1"/>
      </w:tblPr>
      <w:tblGrid>
        <w:gridCol w:w="2420"/>
        <w:gridCol w:w="1629"/>
        <w:gridCol w:w="1218"/>
        <w:gridCol w:w="4514"/>
        <w:gridCol w:w="4961"/>
      </w:tblGrid>
      <w:tr w:rsidR="008D6DF4" w:rsidRPr="00184E69" w14:paraId="5354707B" w14:textId="77777777" w:rsidTr="006027D7">
        <w:trPr>
          <w:trHeight w:val="726"/>
        </w:trPr>
        <w:tc>
          <w:tcPr>
            <w:tcW w:w="2420" w:type="dxa"/>
            <w:tcBorders>
              <w:top w:val="single" w:sz="4" w:space="0" w:color="auto"/>
              <w:left w:val="nil"/>
              <w:bottom w:val="single" w:sz="4" w:space="0" w:color="auto"/>
              <w:right w:val="nil"/>
            </w:tcBorders>
            <w:shd w:val="clear" w:color="auto" w:fill="9CC2E5" w:themeFill="accent1" w:themeFillTint="99"/>
            <w:noWrap/>
            <w:vAlign w:val="bottom"/>
            <w:hideMark/>
          </w:tcPr>
          <w:p w14:paraId="12284628" w14:textId="03BE5F4B" w:rsidR="008D6DF4" w:rsidRDefault="007C1EBA" w:rsidP="00056375">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 Name(s)</w:t>
            </w:r>
            <w:r w:rsidR="00056375">
              <w:rPr>
                <w:rFonts w:ascii="Arial" w:eastAsia="Times New Roman" w:hAnsi="Arial" w:cs="Arial"/>
                <w:b/>
                <w:bCs/>
                <w:color w:val="000000"/>
                <w:sz w:val="20"/>
                <w:szCs w:val="20"/>
                <w:vertAlign w:val="superscript"/>
                <w:lang w:val="en-US"/>
              </w:rPr>
              <w:t>a</w:t>
            </w:r>
            <w:r w:rsidR="00B54E54">
              <w:rPr>
                <w:rFonts w:ascii="Arial" w:eastAsia="Times New Roman" w:hAnsi="Arial" w:cs="Arial"/>
                <w:b/>
                <w:bCs/>
                <w:color w:val="000000"/>
                <w:sz w:val="20"/>
                <w:szCs w:val="20"/>
                <w:vertAlign w:val="superscript"/>
                <w:lang w:val="en-US"/>
              </w:rPr>
              <w:t>,</w:t>
            </w:r>
            <w:r w:rsidR="00056375">
              <w:rPr>
                <w:rFonts w:ascii="Arial" w:eastAsia="Times New Roman" w:hAnsi="Arial" w:cs="Arial"/>
                <w:b/>
                <w:bCs/>
                <w:color w:val="000000"/>
                <w:sz w:val="20"/>
                <w:szCs w:val="20"/>
                <w:vertAlign w:val="superscript"/>
                <w:lang w:val="en-US"/>
              </w:rPr>
              <w:t>b</w:t>
            </w:r>
          </w:p>
        </w:tc>
        <w:tc>
          <w:tcPr>
            <w:tcW w:w="1629" w:type="dxa"/>
            <w:tcBorders>
              <w:top w:val="single" w:sz="4" w:space="0" w:color="auto"/>
              <w:left w:val="nil"/>
              <w:bottom w:val="single" w:sz="4" w:space="0" w:color="auto"/>
              <w:right w:val="nil"/>
            </w:tcBorders>
            <w:shd w:val="clear" w:color="auto" w:fill="9CC2E5" w:themeFill="accent1" w:themeFillTint="99"/>
            <w:vAlign w:val="bottom"/>
            <w:hideMark/>
          </w:tcPr>
          <w:p w14:paraId="2E182C12" w14:textId="3830E393"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Approved Gene Symbol</w:t>
            </w:r>
            <w:r w:rsidR="00056375">
              <w:rPr>
                <w:rFonts w:ascii="Arial" w:eastAsia="Times New Roman" w:hAnsi="Arial" w:cs="Arial"/>
                <w:b/>
                <w:bCs/>
                <w:color w:val="000000"/>
                <w:sz w:val="20"/>
                <w:szCs w:val="20"/>
                <w:vertAlign w:val="superscript"/>
                <w:lang w:val="en-US"/>
              </w:rPr>
              <w:t>c</w:t>
            </w:r>
            <w:r>
              <w:rPr>
                <w:rFonts w:ascii="Arial" w:eastAsia="Times New Roman" w:hAnsi="Arial" w:cs="Arial"/>
                <w:b/>
                <w:bCs/>
                <w:color w:val="000000"/>
                <w:sz w:val="20"/>
                <w:szCs w:val="20"/>
                <w:vertAlign w:val="superscript"/>
                <w:lang w:val="en-US"/>
              </w:rPr>
              <w:t xml:space="preserve"> </w:t>
            </w:r>
            <w:r>
              <w:rPr>
                <w:rFonts w:ascii="Arial" w:eastAsia="Times New Roman" w:hAnsi="Arial" w:cs="Arial"/>
                <w:b/>
                <w:bCs/>
                <w:color w:val="000000"/>
                <w:sz w:val="20"/>
                <w:szCs w:val="20"/>
                <w:lang w:val="en-US"/>
              </w:rPr>
              <w:t>[HGNC]</w:t>
            </w:r>
          </w:p>
        </w:tc>
        <w:tc>
          <w:tcPr>
            <w:tcW w:w="1218" w:type="dxa"/>
            <w:tcBorders>
              <w:top w:val="single" w:sz="4" w:space="0" w:color="auto"/>
              <w:left w:val="nil"/>
              <w:bottom w:val="single" w:sz="4" w:space="0" w:color="auto"/>
              <w:right w:val="nil"/>
            </w:tcBorders>
            <w:shd w:val="clear" w:color="auto" w:fill="9CC2E5" w:themeFill="accent1" w:themeFillTint="99"/>
            <w:vAlign w:val="bottom"/>
            <w:hideMark/>
          </w:tcPr>
          <w:p w14:paraId="705F8993"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GeneID [NCBI]</w:t>
            </w:r>
          </w:p>
        </w:tc>
        <w:tc>
          <w:tcPr>
            <w:tcW w:w="4514" w:type="dxa"/>
            <w:tcBorders>
              <w:top w:val="single" w:sz="4" w:space="0" w:color="auto"/>
              <w:left w:val="nil"/>
              <w:bottom w:val="single" w:sz="4" w:space="0" w:color="auto"/>
              <w:right w:val="nil"/>
            </w:tcBorders>
            <w:shd w:val="clear" w:color="auto" w:fill="9CC2E5" w:themeFill="accent1" w:themeFillTint="99"/>
            <w:vAlign w:val="bottom"/>
            <w:hideMark/>
          </w:tcPr>
          <w:p w14:paraId="1C2DC0D8" w14:textId="77777777" w:rsidR="008D6DF4" w:rsidRDefault="007C1EBA">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Approved gene name (HGNC) (WAS: DESCRIPTION)</w:t>
            </w:r>
          </w:p>
        </w:tc>
        <w:tc>
          <w:tcPr>
            <w:tcW w:w="4961" w:type="dxa"/>
            <w:tcBorders>
              <w:top w:val="single" w:sz="4" w:space="0" w:color="auto"/>
              <w:left w:val="nil"/>
              <w:bottom w:val="single" w:sz="4" w:space="0" w:color="auto"/>
              <w:right w:val="nil"/>
            </w:tcBorders>
            <w:shd w:val="clear" w:color="auto" w:fill="9CC2E5" w:themeFill="accent1" w:themeFillTint="99"/>
            <w:vAlign w:val="bottom"/>
            <w:hideMark/>
          </w:tcPr>
          <w:p w14:paraId="224BDC70" w14:textId="3985479C" w:rsidR="008D6DF4" w:rsidRDefault="007E3A70" w:rsidP="00CA2BB9">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w:t>
            </w:r>
            <w:r w:rsidR="007C1EBA">
              <w:rPr>
                <w:rFonts w:ascii="Arial" w:eastAsia="Times New Roman" w:hAnsi="Arial" w:cs="Arial"/>
                <w:b/>
                <w:bCs/>
                <w:color w:val="000000"/>
                <w:sz w:val="20"/>
                <w:szCs w:val="20"/>
                <w:lang w:val="en-US"/>
              </w:rPr>
              <w:t>urrent knowledge about this gene</w:t>
            </w:r>
            <w:r w:rsidR="007C1EBA">
              <w:rPr>
                <w:rFonts w:ascii="Arial" w:eastAsia="Times New Roman" w:hAnsi="Arial" w:cs="Arial"/>
                <w:b/>
                <w:bCs/>
                <w:color w:val="000000"/>
                <w:sz w:val="20"/>
                <w:szCs w:val="20"/>
                <w:lang w:val="en-US"/>
              </w:rPr>
              <w:br/>
              <w:t xml:space="preserve">[mouse models, monogenic renal disease, etc.] </w:t>
            </w:r>
            <w:r w:rsidR="00A22573">
              <w:rPr>
                <w:rFonts w:ascii="Arial" w:eastAsia="Times New Roman" w:hAnsi="Arial" w:cs="Arial"/>
                <w:b/>
                <w:bCs/>
                <w:color w:val="000000"/>
                <w:sz w:val="20"/>
                <w:szCs w:val="20"/>
                <w:lang w:val="en-US"/>
              </w:rPr>
              <w:t>(PMID)</w:t>
            </w:r>
          </w:p>
        </w:tc>
      </w:tr>
      <w:tr w:rsidR="008D6DF4" w14:paraId="45CB0F62"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696BF69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RUSC2, Iporin, MRT61</w:t>
            </w:r>
          </w:p>
        </w:tc>
        <w:tc>
          <w:tcPr>
            <w:tcW w:w="1629" w:type="dxa"/>
            <w:tcBorders>
              <w:top w:val="nil"/>
              <w:left w:val="nil"/>
              <w:bottom w:val="nil"/>
              <w:right w:val="nil"/>
            </w:tcBorders>
            <w:shd w:val="clear" w:color="auto" w:fill="D9D9D9" w:themeFill="background1" w:themeFillShade="D9"/>
            <w:noWrap/>
            <w:hideMark/>
          </w:tcPr>
          <w:p w14:paraId="6DDF41B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RUSC2</w:t>
            </w:r>
          </w:p>
        </w:tc>
        <w:tc>
          <w:tcPr>
            <w:tcW w:w="1218" w:type="dxa"/>
            <w:tcBorders>
              <w:top w:val="nil"/>
              <w:left w:val="nil"/>
              <w:bottom w:val="nil"/>
              <w:right w:val="nil"/>
            </w:tcBorders>
            <w:shd w:val="clear" w:color="auto" w:fill="D9D9D9" w:themeFill="background1" w:themeFillShade="D9"/>
            <w:noWrap/>
            <w:hideMark/>
          </w:tcPr>
          <w:p w14:paraId="28E8DAE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9853</w:t>
            </w:r>
          </w:p>
        </w:tc>
        <w:tc>
          <w:tcPr>
            <w:tcW w:w="4514" w:type="dxa"/>
            <w:tcBorders>
              <w:top w:val="nil"/>
              <w:left w:val="nil"/>
              <w:bottom w:val="nil"/>
              <w:right w:val="nil"/>
            </w:tcBorders>
            <w:shd w:val="clear" w:color="auto" w:fill="D9D9D9" w:themeFill="background1" w:themeFillShade="D9"/>
            <w:noWrap/>
            <w:hideMark/>
          </w:tcPr>
          <w:p w14:paraId="0823A10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RUN and SH3 domain containing 2</w:t>
            </w:r>
          </w:p>
        </w:tc>
        <w:tc>
          <w:tcPr>
            <w:tcW w:w="4961" w:type="dxa"/>
            <w:tcBorders>
              <w:top w:val="nil"/>
              <w:left w:val="nil"/>
              <w:bottom w:val="nil"/>
              <w:right w:val="nil"/>
            </w:tcBorders>
            <w:shd w:val="clear" w:color="auto" w:fill="D9D9D9" w:themeFill="background1" w:themeFillShade="D9"/>
            <w:noWrap/>
            <w:hideMark/>
          </w:tcPr>
          <w:p w14:paraId="59E51E5F" w14:textId="47721616"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r w:rsidR="00056375">
              <w:rPr>
                <w:rFonts w:ascii="Arial" w:eastAsia="Times New Roman" w:hAnsi="Arial" w:cs="Arial"/>
                <w:b/>
                <w:bCs/>
                <w:color w:val="000000"/>
                <w:sz w:val="20"/>
                <w:szCs w:val="20"/>
                <w:vertAlign w:val="superscript"/>
                <w:lang w:val="en-US"/>
              </w:rPr>
              <w:t>d</w:t>
            </w:r>
          </w:p>
        </w:tc>
      </w:tr>
      <w:tr w:rsidR="008D6DF4" w14:paraId="3794480D" w14:textId="77777777" w:rsidTr="00ED49C7">
        <w:trPr>
          <w:trHeight w:val="255"/>
        </w:trPr>
        <w:tc>
          <w:tcPr>
            <w:tcW w:w="2420" w:type="dxa"/>
            <w:tcBorders>
              <w:top w:val="nil"/>
              <w:left w:val="nil"/>
              <w:bottom w:val="nil"/>
              <w:right w:val="nil"/>
            </w:tcBorders>
            <w:shd w:val="clear" w:color="auto" w:fill="auto"/>
            <w:noWrap/>
            <w:hideMark/>
          </w:tcPr>
          <w:p w14:paraId="1A19F98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FAM166B</w:t>
            </w:r>
          </w:p>
        </w:tc>
        <w:tc>
          <w:tcPr>
            <w:tcW w:w="1629" w:type="dxa"/>
            <w:tcBorders>
              <w:top w:val="nil"/>
              <w:left w:val="nil"/>
              <w:bottom w:val="nil"/>
              <w:right w:val="nil"/>
            </w:tcBorders>
            <w:shd w:val="clear" w:color="auto" w:fill="auto"/>
            <w:noWrap/>
            <w:hideMark/>
          </w:tcPr>
          <w:p w14:paraId="718631C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FAM166B</w:t>
            </w:r>
          </w:p>
        </w:tc>
        <w:tc>
          <w:tcPr>
            <w:tcW w:w="1218" w:type="dxa"/>
            <w:tcBorders>
              <w:top w:val="nil"/>
              <w:left w:val="nil"/>
              <w:bottom w:val="nil"/>
              <w:right w:val="nil"/>
            </w:tcBorders>
            <w:shd w:val="clear" w:color="auto" w:fill="auto"/>
            <w:noWrap/>
            <w:hideMark/>
          </w:tcPr>
          <w:p w14:paraId="44300CD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730112</w:t>
            </w:r>
          </w:p>
        </w:tc>
        <w:tc>
          <w:tcPr>
            <w:tcW w:w="4514" w:type="dxa"/>
            <w:tcBorders>
              <w:top w:val="nil"/>
              <w:left w:val="nil"/>
              <w:bottom w:val="nil"/>
              <w:right w:val="nil"/>
            </w:tcBorders>
            <w:shd w:val="clear" w:color="auto" w:fill="auto"/>
            <w:noWrap/>
            <w:hideMark/>
          </w:tcPr>
          <w:p w14:paraId="026A3A0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family with sequence similarity 166 member B</w:t>
            </w:r>
          </w:p>
        </w:tc>
        <w:tc>
          <w:tcPr>
            <w:tcW w:w="4961" w:type="dxa"/>
            <w:tcBorders>
              <w:top w:val="nil"/>
              <w:left w:val="nil"/>
              <w:bottom w:val="nil"/>
              <w:right w:val="nil"/>
            </w:tcBorders>
            <w:shd w:val="clear" w:color="auto" w:fill="auto"/>
            <w:noWrap/>
            <w:hideMark/>
          </w:tcPr>
          <w:p w14:paraId="4041CE4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6BA4F112"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4E9CF0A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TESK1</w:t>
            </w:r>
          </w:p>
        </w:tc>
        <w:tc>
          <w:tcPr>
            <w:tcW w:w="1629" w:type="dxa"/>
            <w:tcBorders>
              <w:top w:val="nil"/>
              <w:left w:val="nil"/>
              <w:bottom w:val="nil"/>
              <w:right w:val="nil"/>
            </w:tcBorders>
            <w:shd w:val="clear" w:color="auto" w:fill="D9D9D9" w:themeFill="background1" w:themeFillShade="D9"/>
            <w:noWrap/>
            <w:hideMark/>
          </w:tcPr>
          <w:p w14:paraId="75C990B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TESK1</w:t>
            </w:r>
          </w:p>
        </w:tc>
        <w:tc>
          <w:tcPr>
            <w:tcW w:w="1218" w:type="dxa"/>
            <w:tcBorders>
              <w:top w:val="nil"/>
              <w:left w:val="nil"/>
              <w:bottom w:val="nil"/>
              <w:right w:val="nil"/>
            </w:tcBorders>
            <w:shd w:val="clear" w:color="auto" w:fill="D9D9D9" w:themeFill="background1" w:themeFillShade="D9"/>
            <w:noWrap/>
            <w:hideMark/>
          </w:tcPr>
          <w:p w14:paraId="50C15F9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7016</w:t>
            </w:r>
          </w:p>
        </w:tc>
        <w:tc>
          <w:tcPr>
            <w:tcW w:w="4514" w:type="dxa"/>
            <w:tcBorders>
              <w:top w:val="nil"/>
              <w:left w:val="nil"/>
              <w:bottom w:val="nil"/>
              <w:right w:val="nil"/>
            </w:tcBorders>
            <w:shd w:val="clear" w:color="auto" w:fill="D9D9D9" w:themeFill="background1" w:themeFillShade="D9"/>
            <w:noWrap/>
            <w:hideMark/>
          </w:tcPr>
          <w:p w14:paraId="257E37F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testis associated actin remodelling kinase 1</w:t>
            </w:r>
          </w:p>
        </w:tc>
        <w:tc>
          <w:tcPr>
            <w:tcW w:w="4961" w:type="dxa"/>
            <w:tcBorders>
              <w:top w:val="nil"/>
              <w:left w:val="nil"/>
              <w:bottom w:val="nil"/>
              <w:right w:val="nil"/>
            </w:tcBorders>
            <w:shd w:val="clear" w:color="auto" w:fill="D9D9D9" w:themeFill="background1" w:themeFillShade="D9"/>
            <w:noWrap/>
            <w:hideMark/>
          </w:tcPr>
          <w:p w14:paraId="763508F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298A57BD" w14:textId="77777777" w:rsidTr="00ED49C7">
        <w:trPr>
          <w:trHeight w:val="255"/>
        </w:trPr>
        <w:tc>
          <w:tcPr>
            <w:tcW w:w="2420" w:type="dxa"/>
            <w:tcBorders>
              <w:top w:val="nil"/>
              <w:left w:val="nil"/>
              <w:bottom w:val="nil"/>
              <w:right w:val="nil"/>
            </w:tcBorders>
            <w:shd w:val="clear" w:color="auto" w:fill="auto"/>
            <w:noWrap/>
            <w:hideMark/>
          </w:tcPr>
          <w:p w14:paraId="31C1328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MIR4667, mir-4667</w:t>
            </w:r>
          </w:p>
        </w:tc>
        <w:tc>
          <w:tcPr>
            <w:tcW w:w="1629" w:type="dxa"/>
            <w:tcBorders>
              <w:top w:val="nil"/>
              <w:left w:val="nil"/>
              <w:bottom w:val="nil"/>
              <w:right w:val="nil"/>
            </w:tcBorders>
            <w:shd w:val="clear" w:color="auto" w:fill="auto"/>
            <w:noWrap/>
            <w:hideMark/>
          </w:tcPr>
          <w:p w14:paraId="5BBD4488"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MIR4667</w:t>
            </w:r>
          </w:p>
        </w:tc>
        <w:tc>
          <w:tcPr>
            <w:tcW w:w="1218" w:type="dxa"/>
            <w:tcBorders>
              <w:top w:val="nil"/>
              <w:left w:val="nil"/>
              <w:bottom w:val="nil"/>
              <w:right w:val="nil"/>
            </w:tcBorders>
            <w:shd w:val="clear" w:color="auto" w:fill="auto"/>
            <w:noWrap/>
            <w:hideMark/>
          </w:tcPr>
          <w:p w14:paraId="06FAF22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100616214</w:t>
            </w:r>
          </w:p>
        </w:tc>
        <w:tc>
          <w:tcPr>
            <w:tcW w:w="4514" w:type="dxa"/>
            <w:tcBorders>
              <w:top w:val="nil"/>
              <w:left w:val="nil"/>
              <w:bottom w:val="nil"/>
              <w:right w:val="nil"/>
            </w:tcBorders>
            <w:shd w:val="clear" w:color="auto" w:fill="auto"/>
            <w:noWrap/>
            <w:hideMark/>
          </w:tcPr>
          <w:p w14:paraId="6429308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microRNA 4667</w:t>
            </w:r>
          </w:p>
        </w:tc>
        <w:tc>
          <w:tcPr>
            <w:tcW w:w="4961" w:type="dxa"/>
            <w:tcBorders>
              <w:top w:val="nil"/>
              <w:left w:val="nil"/>
              <w:bottom w:val="nil"/>
              <w:right w:val="nil"/>
            </w:tcBorders>
            <w:shd w:val="clear" w:color="auto" w:fill="auto"/>
            <w:noWrap/>
            <w:hideMark/>
          </w:tcPr>
          <w:p w14:paraId="1B370A1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rsidRPr="00BA5039" w14:paraId="492694DA" w14:textId="77777777" w:rsidTr="00ED49C7">
        <w:trPr>
          <w:trHeight w:val="1530"/>
        </w:trPr>
        <w:tc>
          <w:tcPr>
            <w:tcW w:w="2420" w:type="dxa"/>
            <w:tcBorders>
              <w:top w:val="nil"/>
              <w:left w:val="nil"/>
              <w:bottom w:val="nil"/>
              <w:right w:val="nil"/>
            </w:tcBorders>
            <w:shd w:val="clear" w:color="auto" w:fill="D9D9D9" w:themeFill="background1" w:themeFillShade="D9"/>
            <w:noWrap/>
            <w:hideMark/>
          </w:tcPr>
          <w:p w14:paraId="3B54C98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 CD72b, LYB2</w:t>
            </w:r>
          </w:p>
        </w:tc>
        <w:tc>
          <w:tcPr>
            <w:tcW w:w="1629" w:type="dxa"/>
            <w:tcBorders>
              <w:top w:val="nil"/>
              <w:left w:val="nil"/>
              <w:bottom w:val="nil"/>
              <w:right w:val="nil"/>
            </w:tcBorders>
            <w:shd w:val="clear" w:color="auto" w:fill="D9D9D9" w:themeFill="background1" w:themeFillShade="D9"/>
            <w:noWrap/>
            <w:hideMark/>
          </w:tcPr>
          <w:p w14:paraId="3EC3E7A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CD72</w:t>
            </w:r>
          </w:p>
        </w:tc>
        <w:tc>
          <w:tcPr>
            <w:tcW w:w="1218" w:type="dxa"/>
            <w:tcBorders>
              <w:top w:val="nil"/>
              <w:left w:val="nil"/>
              <w:bottom w:val="nil"/>
              <w:right w:val="nil"/>
            </w:tcBorders>
            <w:shd w:val="clear" w:color="auto" w:fill="D9D9D9" w:themeFill="background1" w:themeFillShade="D9"/>
            <w:noWrap/>
            <w:hideMark/>
          </w:tcPr>
          <w:p w14:paraId="7C9BDB6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971</w:t>
            </w:r>
          </w:p>
        </w:tc>
        <w:tc>
          <w:tcPr>
            <w:tcW w:w="4514" w:type="dxa"/>
            <w:tcBorders>
              <w:top w:val="nil"/>
              <w:left w:val="nil"/>
              <w:bottom w:val="nil"/>
              <w:right w:val="nil"/>
            </w:tcBorders>
            <w:shd w:val="clear" w:color="auto" w:fill="D9D9D9" w:themeFill="background1" w:themeFillShade="D9"/>
            <w:noWrap/>
            <w:hideMark/>
          </w:tcPr>
          <w:p w14:paraId="023D969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CD72 molecule</w:t>
            </w:r>
          </w:p>
        </w:tc>
        <w:tc>
          <w:tcPr>
            <w:tcW w:w="4961" w:type="dxa"/>
            <w:tcBorders>
              <w:top w:val="nil"/>
              <w:left w:val="nil"/>
              <w:bottom w:val="nil"/>
              <w:right w:val="nil"/>
            </w:tcBorders>
            <w:shd w:val="clear" w:color="auto" w:fill="D9D9D9" w:themeFill="background1" w:themeFillShade="D9"/>
            <w:hideMark/>
          </w:tcPr>
          <w:p w14:paraId="0FC6653D" w14:textId="55BB7038" w:rsidR="008D6DF4" w:rsidRDefault="007C1EBA" w:rsidP="00A22573">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A 13 </w:t>
            </w:r>
            <w:r w:rsidRPr="00A22573">
              <w:rPr>
                <w:rFonts w:ascii="Arial" w:eastAsia="Times New Roman" w:hAnsi="Arial" w:cs="Arial"/>
                <w:color w:val="000000"/>
                <w:sz w:val="20"/>
                <w:szCs w:val="20"/>
                <w:lang w:val="en-US"/>
              </w:rPr>
              <w:t>nucleotides repeat in intron 8 was associa</w:t>
            </w:r>
            <w:r w:rsidR="00A22573">
              <w:rPr>
                <w:rFonts w:ascii="Arial" w:eastAsia="Times New Roman" w:hAnsi="Arial" w:cs="Arial"/>
                <w:color w:val="000000"/>
                <w:sz w:val="20"/>
                <w:szCs w:val="20"/>
                <w:lang w:val="en-US"/>
              </w:rPr>
              <w:t xml:space="preserve">ted with nephritis in Japanese in </w:t>
            </w:r>
            <w:r w:rsidRPr="00A22573">
              <w:rPr>
                <w:rFonts w:ascii="Arial" w:eastAsia="Times New Roman" w:hAnsi="Arial" w:cs="Arial"/>
                <w:color w:val="000000"/>
                <w:sz w:val="20"/>
                <w:szCs w:val="20"/>
                <w:lang w:val="en-US"/>
              </w:rPr>
              <w:t>160 SLE cases</w:t>
            </w:r>
            <w:r w:rsidR="00A22573">
              <w:rPr>
                <w:rFonts w:ascii="Arial" w:eastAsia="Times New Roman" w:hAnsi="Arial" w:cs="Arial"/>
                <w:color w:val="000000"/>
                <w:sz w:val="20"/>
                <w:szCs w:val="20"/>
                <w:lang w:val="en-US"/>
              </w:rPr>
              <w:t xml:space="preserve"> and</w:t>
            </w:r>
            <w:r w:rsidRPr="00A22573">
              <w:rPr>
                <w:rFonts w:ascii="Arial" w:eastAsia="Times New Roman" w:hAnsi="Arial" w:cs="Arial"/>
                <w:color w:val="000000"/>
                <w:sz w:val="20"/>
                <w:szCs w:val="20"/>
                <w:lang w:val="en-US"/>
              </w:rPr>
              <w:t xml:space="preserve"> 277 controls (</w:t>
            </w:r>
            <w:r w:rsidR="00A22573" w:rsidRPr="00A22573">
              <w:rPr>
                <w:rFonts w:ascii="Arial" w:hAnsi="Arial" w:cs="Arial"/>
                <w:sz w:val="20"/>
                <w:szCs w:val="20"/>
                <w:lang w:val="en-US"/>
              </w:rPr>
              <w:t>15459183</w:t>
            </w:r>
            <w:r w:rsidR="00665005" w:rsidRPr="00A22573">
              <w:rPr>
                <w:rFonts w:ascii="Arial" w:eastAsia="Times New Roman" w:hAnsi="Arial" w:cs="Arial"/>
                <w:color w:val="000000"/>
                <w:sz w:val="20"/>
                <w:szCs w:val="20"/>
                <w:lang w:val="en-US"/>
              </w:rPr>
              <w:t xml:space="preserve">). Vadasz et al </w:t>
            </w:r>
            <w:r w:rsidR="00A22573">
              <w:rPr>
                <w:rFonts w:ascii="Arial" w:eastAsia="Times New Roman" w:hAnsi="Arial" w:cs="Arial"/>
                <w:color w:val="000000"/>
                <w:sz w:val="20"/>
                <w:szCs w:val="20"/>
                <w:lang w:val="en-US"/>
              </w:rPr>
              <w:t>(</w:t>
            </w:r>
            <w:r w:rsidR="00A22573" w:rsidRPr="00A22573">
              <w:rPr>
                <w:rFonts w:ascii="Arial" w:hAnsi="Arial" w:cs="Arial"/>
                <w:sz w:val="20"/>
                <w:szCs w:val="20"/>
                <w:lang w:val="en-US"/>
              </w:rPr>
              <w:t>26883681</w:t>
            </w:r>
            <w:r w:rsidR="00A22573">
              <w:rPr>
                <w:rFonts w:ascii="Arial" w:hAnsi="Arial" w:cs="Arial"/>
                <w:sz w:val="20"/>
                <w:szCs w:val="20"/>
                <w:lang w:val="en-US"/>
              </w:rPr>
              <w:t>)</w:t>
            </w:r>
            <w:r w:rsidRPr="00A22573">
              <w:rPr>
                <w:rFonts w:ascii="Arial" w:eastAsia="Times New Roman" w:hAnsi="Arial" w:cs="Arial"/>
                <w:color w:val="000000"/>
                <w:sz w:val="20"/>
                <w:szCs w:val="20"/>
                <w:lang w:val="en-US"/>
              </w:rPr>
              <w:t xml:space="preserve"> report that CD72 is elevated in SLE patients with renal involvement and might act</w:t>
            </w:r>
            <w:r>
              <w:rPr>
                <w:rFonts w:ascii="Arial" w:eastAsia="Times New Roman" w:hAnsi="Arial" w:cs="Arial"/>
                <w:color w:val="000000"/>
                <w:sz w:val="20"/>
                <w:szCs w:val="20"/>
                <w:lang w:val="en-US"/>
              </w:rPr>
              <w:t xml:space="preserve"> as a potential biomarker for renal involvement in SLE </w:t>
            </w:r>
            <w:r w:rsidR="00A22573">
              <w:rPr>
                <w:rFonts w:ascii="Arial" w:eastAsia="Times New Roman" w:hAnsi="Arial" w:cs="Arial"/>
                <w:color w:val="000000"/>
                <w:sz w:val="20"/>
                <w:szCs w:val="20"/>
                <w:lang w:val="en-US"/>
              </w:rPr>
              <w:t xml:space="preserve">in </w:t>
            </w:r>
            <w:r>
              <w:rPr>
                <w:rFonts w:ascii="Arial" w:eastAsia="Times New Roman" w:hAnsi="Arial" w:cs="Arial"/>
                <w:color w:val="000000"/>
                <w:sz w:val="20"/>
                <w:szCs w:val="20"/>
                <w:lang w:val="en-US"/>
              </w:rPr>
              <w:t>n=159 SLE cases, 40 rheumatoid arthritis patients</w:t>
            </w:r>
            <w:r w:rsidR="00A22573">
              <w:rPr>
                <w:rFonts w:ascii="Arial" w:eastAsia="Times New Roman" w:hAnsi="Arial" w:cs="Arial"/>
                <w:color w:val="000000"/>
                <w:sz w:val="20"/>
                <w:szCs w:val="20"/>
                <w:lang w:val="en-US"/>
              </w:rPr>
              <w:t xml:space="preserve"> and </w:t>
            </w:r>
            <w:r w:rsidR="00056375">
              <w:rPr>
                <w:rFonts w:ascii="Arial" w:eastAsia="Times New Roman" w:hAnsi="Arial" w:cs="Arial"/>
                <w:color w:val="000000"/>
                <w:sz w:val="20"/>
                <w:szCs w:val="20"/>
                <w:lang w:val="en-US"/>
              </w:rPr>
              <w:t>100 healthy controls.</w:t>
            </w:r>
          </w:p>
        </w:tc>
      </w:tr>
      <w:tr w:rsidR="008D6DF4" w14:paraId="3125457D" w14:textId="77777777" w:rsidTr="00ED49C7">
        <w:trPr>
          <w:trHeight w:val="255"/>
        </w:trPr>
        <w:tc>
          <w:tcPr>
            <w:tcW w:w="2420" w:type="dxa"/>
            <w:tcBorders>
              <w:top w:val="nil"/>
              <w:left w:val="nil"/>
              <w:bottom w:val="nil"/>
              <w:right w:val="nil"/>
            </w:tcBorders>
            <w:shd w:val="clear" w:color="auto" w:fill="auto"/>
            <w:noWrap/>
            <w:hideMark/>
          </w:tcPr>
          <w:p w14:paraId="682948C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LOC101926948</w:t>
            </w:r>
          </w:p>
        </w:tc>
        <w:tc>
          <w:tcPr>
            <w:tcW w:w="1629" w:type="dxa"/>
            <w:tcBorders>
              <w:top w:val="nil"/>
              <w:left w:val="nil"/>
              <w:bottom w:val="nil"/>
              <w:right w:val="nil"/>
            </w:tcBorders>
            <w:shd w:val="clear" w:color="auto" w:fill="auto"/>
            <w:noWrap/>
            <w:hideMark/>
          </w:tcPr>
          <w:p w14:paraId="12DB105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LOC101926948</w:t>
            </w:r>
          </w:p>
        </w:tc>
        <w:tc>
          <w:tcPr>
            <w:tcW w:w="1218" w:type="dxa"/>
            <w:tcBorders>
              <w:top w:val="nil"/>
              <w:left w:val="nil"/>
              <w:bottom w:val="nil"/>
              <w:right w:val="nil"/>
            </w:tcBorders>
            <w:shd w:val="clear" w:color="auto" w:fill="auto"/>
            <w:noWrap/>
            <w:hideMark/>
          </w:tcPr>
          <w:p w14:paraId="790E4C4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101926948</w:t>
            </w:r>
          </w:p>
        </w:tc>
        <w:tc>
          <w:tcPr>
            <w:tcW w:w="4514" w:type="dxa"/>
            <w:tcBorders>
              <w:top w:val="nil"/>
              <w:left w:val="nil"/>
              <w:bottom w:val="nil"/>
              <w:right w:val="nil"/>
            </w:tcBorders>
            <w:shd w:val="clear" w:color="auto" w:fill="auto"/>
            <w:noWrap/>
            <w:hideMark/>
          </w:tcPr>
          <w:p w14:paraId="3490C02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uncharacterized LOC101926948</w:t>
            </w:r>
          </w:p>
        </w:tc>
        <w:tc>
          <w:tcPr>
            <w:tcW w:w="4961" w:type="dxa"/>
            <w:tcBorders>
              <w:top w:val="nil"/>
              <w:left w:val="nil"/>
              <w:bottom w:val="nil"/>
              <w:right w:val="nil"/>
            </w:tcBorders>
            <w:shd w:val="clear" w:color="auto" w:fill="auto"/>
            <w:noWrap/>
            <w:hideMark/>
          </w:tcPr>
          <w:p w14:paraId="3029080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22A4D5C6"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7DE7A38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SIT1, SIT, SIT-R</w:t>
            </w:r>
          </w:p>
        </w:tc>
        <w:tc>
          <w:tcPr>
            <w:tcW w:w="1629" w:type="dxa"/>
            <w:tcBorders>
              <w:top w:val="nil"/>
              <w:left w:val="nil"/>
              <w:bottom w:val="nil"/>
              <w:right w:val="nil"/>
            </w:tcBorders>
            <w:shd w:val="clear" w:color="auto" w:fill="D9D9D9" w:themeFill="background1" w:themeFillShade="D9"/>
            <w:noWrap/>
            <w:hideMark/>
          </w:tcPr>
          <w:p w14:paraId="3A7A3B9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SIT1</w:t>
            </w:r>
          </w:p>
        </w:tc>
        <w:tc>
          <w:tcPr>
            <w:tcW w:w="1218" w:type="dxa"/>
            <w:tcBorders>
              <w:top w:val="nil"/>
              <w:left w:val="nil"/>
              <w:bottom w:val="nil"/>
              <w:right w:val="nil"/>
            </w:tcBorders>
            <w:shd w:val="clear" w:color="auto" w:fill="D9D9D9" w:themeFill="background1" w:themeFillShade="D9"/>
            <w:noWrap/>
            <w:hideMark/>
          </w:tcPr>
          <w:p w14:paraId="7E4C713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27240</w:t>
            </w:r>
          </w:p>
        </w:tc>
        <w:tc>
          <w:tcPr>
            <w:tcW w:w="4514" w:type="dxa"/>
            <w:tcBorders>
              <w:top w:val="nil"/>
              <w:left w:val="nil"/>
              <w:bottom w:val="nil"/>
              <w:right w:val="nil"/>
            </w:tcBorders>
            <w:shd w:val="clear" w:color="auto" w:fill="D9D9D9" w:themeFill="background1" w:themeFillShade="D9"/>
            <w:noWrap/>
            <w:hideMark/>
          </w:tcPr>
          <w:p w14:paraId="559FF34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signaling threshold regulating transmembrane adaptor 1</w:t>
            </w:r>
          </w:p>
        </w:tc>
        <w:tc>
          <w:tcPr>
            <w:tcW w:w="4961" w:type="dxa"/>
            <w:tcBorders>
              <w:top w:val="nil"/>
              <w:left w:val="nil"/>
              <w:bottom w:val="nil"/>
              <w:right w:val="nil"/>
            </w:tcBorders>
            <w:shd w:val="clear" w:color="auto" w:fill="D9D9D9" w:themeFill="background1" w:themeFillShade="D9"/>
            <w:noWrap/>
            <w:hideMark/>
          </w:tcPr>
          <w:p w14:paraId="7445539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60E3A3CA" w14:textId="77777777" w:rsidTr="00ED49C7">
        <w:trPr>
          <w:trHeight w:val="255"/>
        </w:trPr>
        <w:tc>
          <w:tcPr>
            <w:tcW w:w="2420" w:type="dxa"/>
            <w:tcBorders>
              <w:top w:val="nil"/>
              <w:left w:val="nil"/>
              <w:bottom w:val="nil"/>
              <w:right w:val="nil"/>
            </w:tcBorders>
            <w:shd w:val="clear" w:color="auto" w:fill="auto"/>
            <w:noWrap/>
            <w:hideMark/>
          </w:tcPr>
          <w:p w14:paraId="28A9C19B"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RMRP, CHH, NME1, RMRPR, RRP2</w:t>
            </w:r>
          </w:p>
        </w:tc>
        <w:tc>
          <w:tcPr>
            <w:tcW w:w="1629" w:type="dxa"/>
            <w:tcBorders>
              <w:top w:val="nil"/>
              <w:left w:val="nil"/>
              <w:bottom w:val="nil"/>
              <w:right w:val="nil"/>
            </w:tcBorders>
            <w:shd w:val="clear" w:color="auto" w:fill="auto"/>
            <w:noWrap/>
            <w:hideMark/>
          </w:tcPr>
          <w:p w14:paraId="1375256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RMRP</w:t>
            </w:r>
          </w:p>
        </w:tc>
        <w:tc>
          <w:tcPr>
            <w:tcW w:w="1218" w:type="dxa"/>
            <w:tcBorders>
              <w:top w:val="nil"/>
              <w:left w:val="nil"/>
              <w:bottom w:val="nil"/>
              <w:right w:val="nil"/>
            </w:tcBorders>
            <w:shd w:val="clear" w:color="auto" w:fill="auto"/>
            <w:noWrap/>
            <w:hideMark/>
          </w:tcPr>
          <w:p w14:paraId="102804C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6023</w:t>
            </w:r>
          </w:p>
        </w:tc>
        <w:tc>
          <w:tcPr>
            <w:tcW w:w="4514" w:type="dxa"/>
            <w:tcBorders>
              <w:top w:val="nil"/>
              <w:left w:val="nil"/>
              <w:bottom w:val="nil"/>
              <w:right w:val="nil"/>
            </w:tcBorders>
            <w:shd w:val="clear" w:color="auto" w:fill="auto"/>
            <w:noWrap/>
            <w:hideMark/>
          </w:tcPr>
          <w:p w14:paraId="6A4C40E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RNA component of mitochondrial RNA processing endoribonuclease</w:t>
            </w:r>
          </w:p>
        </w:tc>
        <w:tc>
          <w:tcPr>
            <w:tcW w:w="4961" w:type="dxa"/>
            <w:tcBorders>
              <w:top w:val="nil"/>
              <w:left w:val="nil"/>
              <w:bottom w:val="nil"/>
              <w:right w:val="nil"/>
            </w:tcBorders>
            <w:shd w:val="clear" w:color="auto" w:fill="auto"/>
            <w:noWrap/>
            <w:hideMark/>
          </w:tcPr>
          <w:p w14:paraId="0A61B18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636DEF75"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180F54E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CCDC107, PSEC0222</w:t>
            </w:r>
          </w:p>
        </w:tc>
        <w:tc>
          <w:tcPr>
            <w:tcW w:w="1629" w:type="dxa"/>
            <w:tcBorders>
              <w:top w:val="nil"/>
              <w:left w:val="nil"/>
              <w:bottom w:val="nil"/>
              <w:right w:val="nil"/>
            </w:tcBorders>
            <w:shd w:val="clear" w:color="auto" w:fill="D9D9D9" w:themeFill="background1" w:themeFillShade="D9"/>
            <w:noWrap/>
            <w:hideMark/>
          </w:tcPr>
          <w:p w14:paraId="1F37DCB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CCDC107</w:t>
            </w:r>
          </w:p>
        </w:tc>
        <w:tc>
          <w:tcPr>
            <w:tcW w:w="1218" w:type="dxa"/>
            <w:tcBorders>
              <w:top w:val="nil"/>
              <w:left w:val="nil"/>
              <w:bottom w:val="nil"/>
              <w:right w:val="nil"/>
            </w:tcBorders>
            <w:shd w:val="clear" w:color="auto" w:fill="D9D9D9" w:themeFill="background1" w:themeFillShade="D9"/>
            <w:noWrap/>
            <w:hideMark/>
          </w:tcPr>
          <w:p w14:paraId="3D1AE29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203260</w:t>
            </w:r>
          </w:p>
        </w:tc>
        <w:tc>
          <w:tcPr>
            <w:tcW w:w="4514" w:type="dxa"/>
            <w:tcBorders>
              <w:top w:val="nil"/>
              <w:left w:val="nil"/>
              <w:bottom w:val="nil"/>
              <w:right w:val="nil"/>
            </w:tcBorders>
            <w:shd w:val="clear" w:color="auto" w:fill="D9D9D9" w:themeFill="background1" w:themeFillShade="D9"/>
            <w:noWrap/>
            <w:hideMark/>
          </w:tcPr>
          <w:p w14:paraId="4B73CF1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coiled-coil domain containing 107</w:t>
            </w:r>
          </w:p>
        </w:tc>
        <w:tc>
          <w:tcPr>
            <w:tcW w:w="4961" w:type="dxa"/>
            <w:tcBorders>
              <w:top w:val="nil"/>
              <w:left w:val="nil"/>
              <w:bottom w:val="nil"/>
              <w:right w:val="nil"/>
            </w:tcBorders>
            <w:shd w:val="clear" w:color="auto" w:fill="D9D9D9" w:themeFill="background1" w:themeFillShade="D9"/>
            <w:noWrap/>
            <w:hideMark/>
          </w:tcPr>
          <w:p w14:paraId="34DB7D9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49C2BCE1" w14:textId="77777777" w:rsidTr="00ED49C7">
        <w:trPr>
          <w:trHeight w:val="255"/>
        </w:trPr>
        <w:tc>
          <w:tcPr>
            <w:tcW w:w="2420" w:type="dxa"/>
            <w:tcBorders>
              <w:top w:val="nil"/>
              <w:left w:val="nil"/>
              <w:bottom w:val="nil"/>
              <w:right w:val="nil"/>
            </w:tcBorders>
            <w:shd w:val="clear" w:color="auto" w:fill="auto"/>
            <w:noWrap/>
            <w:hideMark/>
          </w:tcPr>
          <w:p w14:paraId="0B88410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ARHGEF39, C9orf100</w:t>
            </w:r>
          </w:p>
        </w:tc>
        <w:tc>
          <w:tcPr>
            <w:tcW w:w="1629" w:type="dxa"/>
            <w:tcBorders>
              <w:top w:val="nil"/>
              <w:left w:val="nil"/>
              <w:bottom w:val="nil"/>
              <w:right w:val="nil"/>
            </w:tcBorders>
            <w:shd w:val="clear" w:color="auto" w:fill="auto"/>
            <w:noWrap/>
            <w:hideMark/>
          </w:tcPr>
          <w:p w14:paraId="0533AE78"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ARHGEF39</w:t>
            </w:r>
          </w:p>
        </w:tc>
        <w:tc>
          <w:tcPr>
            <w:tcW w:w="1218" w:type="dxa"/>
            <w:tcBorders>
              <w:top w:val="nil"/>
              <w:left w:val="nil"/>
              <w:bottom w:val="nil"/>
              <w:right w:val="nil"/>
            </w:tcBorders>
            <w:shd w:val="clear" w:color="auto" w:fill="auto"/>
            <w:noWrap/>
            <w:hideMark/>
          </w:tcPr>
          <w:p w14:paraId="2AB8EDE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84904</w:t>
            </w:r>
          </w:p>
        </w:tc>
        <w:tc>
          <w:tcPr>
            <w:tcW w:w="4514" w:type="dxa"/>
            <w:tcBorders>
              <w:top w:val="nil"/>
              <w:left w:val="nil"/>
              <w:bottom w:val="nil"/>
              <w:right w:val="nil"/>
            </w:tcBorders>
            <w:shd w:val="clear" w:color="auto" w:fill="auto"/>
            <w:noWrap/>
            <w:hideMark/>
          </w:tcPr>
          <w:p w14:paraId="138BE5F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Rho guanine nucleotide exchange factor 39</w:t>
            </w:r>
          </w:p>
        </w:tc>
        <w:tc>
          <w:tcPr>
            <w:tcW w:w="4961" w:type="dxa"/>
            <w:tcBorders>
              <w:top w:val="nil"/>
              <w:left w:val="nil"/>
              <w:bottom w:val="nil"/>
              <w:right w:val="nil"/>
            </w:tcBorders>
            <w:shd w:val="clear" w:color="auto" w:fill="auto"/>
            <w:noWrap/>
            <w:hideMark/>
          </w:tcPr>
          <w:p w14:paraId="7901811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rsidRPr="00BA5039" w14:paraId="11CBA474" w14:textId="77777777" w:rsidTr="00ED49C7">
        <w:trPr>
          <w:trHeight w:val="1020"/>
        </w:trPr>
        <w:tc>
          <w:tcPr>
            <w:tcW w:w="2420" w:type="dxa"/>
            <w:tcBorders>
              <w:top w:val="nil"/>
              <w:left w:val="nil"/>
              <w:bottom w:val="nil"/>
              <w:right w:val="nil"/>
            </w:tcBorders>
            <w:shd w:val="clear" w:color="auto" w:fill="D9D9D9" w:themeFill="background1" w:themeFillShade="D9"/>
            <w:noWrap/>
            <w:hideMark/>
          </w:tcPr>
          <w:p w14:paraId="4ED4D61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CA9, CAIX, MN</w:t>
            </w:r>
          </w:p>
        </w:tc>
        <w:tc>
          <w:tcPr>
            <w:tcW w:w="1629" w:type="dxa"/>
            <w:tcBorders>
              <w:top w:val="nil"/>
              <w:left w:val="nil"/>
              <w:bottom w:val="nil"/>
              <w:right w:val="nil"/>
            </w:tcBorders>
            <w:shd w:val="clear" w:color="auto" w:fill="D9D9D9" w:themeFill="background1" w:themeFillShade="D9"/>
            <w:noWrap/>
            <w:hideMark/>
          </w:tcPr>
          <w:p w14:paraId="5625D55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CA9</w:t>
            </w:r>
          </w:p>
        </w:tc>
        <w:tc>
          <w:tcPr>
            <w:tcW w:w="1218" w:type="dxa"/>
            <w:tcBorders>
              <w:top w:val="nil"/>
              <w:left w:val="nil"/>
              <w:bottom w:val="nil"/>
              <w:right w:val="nil"/>
            </w:tcBorders>
            <w:shd w:val="clear" w:color="auto" w:fill="D9D9D9" w:themeFill="background1" w:themeFillShade="D9"/>
            <w:noWrap/>
            <w:hideMark/>
          </w:tcPr>
          <w:p w14:paraId="04776D0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768</w:t>
            </w:r>
          </w:p>
        </w:tc>
        <w:tc>
          <w:tcPr>
            <w:tcW w:w="4514" w:type="dxa"/>
            <w:tcBorders>
              <w:top w:val="nil"/>
              <w:left w:val="nil"/>
              <w:bottom w:val="nil"/>
              <w:right w:val="nil"/>
            </w:tcBorders>
            <w:shd w:val="clear" w:color="auto" w:fill="D9D9D9" w:themeFill="background1" w:themeFillShade="D9"/>
            <w:noWrap/>
            <w:hideMark/>
          </w:tcPr>
          <w:p w14:paraId="749DDB3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carbonic anhydrase 9</w:t>
            </w:r>
          </w:p>
        </w:tc>
        <w:tc>
          <w:tcPr>
            <w:tcW w:w="4961" w:type="dxa"/>
            <w:tcBorders>
              <w:top w:val="nil"/>
              <w:left w:val="nil"/>
              <w:bottom w:val="nil"/>
              <w:right w:val="nil"/>
            </w:tcBorders>
            <w:shd w:val="clear" w:color="auto" w:fill="D9D9D9" w:themeFill="background1" w:themeFillShade="D9"/>
            <w:hideMark/>
          </w:tcPr>
          <w:p w14:paraId="66EF9FA0" w14:textId="7626430B" w:rsidR="008D6DF4" w:rsidRDefault="007C1EBA" w:rsidP="00A22573">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Widely reported involvement in renal carcinoma. CA9 is not expressed in healthy kidney but activated in clear cell </w:t>
            </w:r>
            <w:r w:rsidRPr="00166A28">
              <w:rPr>
                <w:rFonts w:ascii="Arial" w:eastAsia="Times New Roman" w:hAnsi="Arial" w:cs="Arial"/>
                <w:color w:val="000000"/>
                <w:sz w:val="20"/>
                <w:szCs w:val="20"/>
                <w:lang w:val="en-US"/>
              </w:rPr>
              <w:t xml:space="preserve">renal cell carcinomas and has 100% diagnostic </w:t>
            </w:r>
            <w:r w:rsidR="009C2BF9" w:rsidRPr="00166A28">
              <w:rPr>
                <w:rFonts w:ascii="Arial" w:eastAsia="Times New Roman" w:hAnsi="Arial" w:cs="Arial"/>
                <w:color w:val="000000"/>
                <w:sz w:val="20"/>
                <w:szCs w:val="20"/>
                <w:lang w:val="en-US"/>
              </w:rPr>
              <w:t>specificity in solid renal tumo</w:t>
            </w:r>
            <w:r w:rsidRPr="00166A28">
              <w:rPr>
                <w:rFonts w:ascii="Arial" w:eastAsia="Times New Roman" w:hAnsi="Arial" w:cs="Arial"/>
                <w:color w:val="000000"/>
                <w:sz w:val="20"/>
                <w:szCs w:val="20"/>
                <w:lang w:val="en-US"/>
              </w:rPr>
              <w:t>rs</w:t>
            </w:r>
            <w:r w:rsidR="00166A28">
              <w:rPr>
                <w:rFonts w:ascii="Arial" w:eastAsia="Times New Roman" w:hAnsi="Arial" w:cs="Arial"/>
                <w:color w:val="000000"/>
                <w:sz w:val="20"/>
                <w:szCs w:val="20"/>
                <w:lang w:val="en-US"/>
              </w:rPr>
              <w:t xml:space="preserve"> </w:t>
            </w:r>
            <w:r w:rsidR="00A22573" w:rsidRPr="00166A28">
              <w:rPr>
                <w:rFonts w:ascii="Arial" w:eastAsia="Times New Roman" w:hAnsi="Arial" w:cs="Arial"/>
                <w:color w:val="000000"/>
                <w:sz w:val="20"/>
                <w:szCs w:val="20"/>
                <w:lang w:val="en-US"/>
              </w:rPr>
              <w:t>(</w:t>
            </w:r>
            <w:r w:rsidR="00A22573" w:rsidRPr="00166A28">
              <w:rPr>
                <w:rFonts w:ascii="Arial" w:hAnsi="Arial" w:cs="Arial"/>
                <w:sz w:val="20"/>
                <w:szCs w:val="20"/>
                <w:lang w:val="en-US"/>
              </w:rPr>
              <w:t>20709527)</w:t>
            </w:r>
            <w:r w:rsidRPr="00166A28">
              <w:rPr>
                <w:rFonts w:ascii="Arial" w:eastAsia="Times New Roman" w:hAnsi="Arial" w:cs="Arial"/>
                <w:color w:val="000000"/>
                <w:sz w:val="20"/>
                <w:szCs w:val="20"/>
                <w:lang w:val="en-US"/>
              </w:rPr>
              <w:t>.</w:t>
            </w:r>
          </w:p>
        </w:tc>
      </w:tr>
      <w:tr w:rsidR="008D6DF4" w14:paraId="2047922C" w14:textId="77777777" w:rsidTr="00ED49C7">
        <w:trPr>
          <w:trHeight w:val="255"/>
        </w:trPr>
        <w:tc>
          <w:tcPr>
            <w:tcW w:w="2420" w:type="dxa"/>
            <w:tcBorders>
              <w:top w:val="nil"/>
              <w:left w:val="nil"/>
              <w:bottom w:val="nil"/>
              <w:right w:val="nil"/>
            </w:tcBorders>
            <w:shd w:val="clear" w:color="auto" w:fill="auto"/>
            <w:noWrap/>
            <w:hideMark/>
          </w:tcPr>
          <w:p w14:paraId="4C70BC20" w14:textId="77777777" w:rsidR="008D6DF4" w:rsidRDefault="007C1EBA">
            <w:pPr>
              <w:spacing w:after="0" w:line="240" w:lineRule="auto"/>
              <w:rPr>
                <w:rFonts w:ascii="Arial" w:eastAsia="Times New Roman" w:hAnsi="Arial" w:cs="Arial"/>
                <w:i/>
                <w:iCs/>
                <w:color w:val="000000"/>
                <w:sz w:val="20"/>
                <w:szCs w:val="20"/>
              </w:rPr>
            </w:pPr>
            <w:r>
              <w:rPr>
                <w:rFonts w:ascii="Arial" w:eastAsia="Times New Roman" w:hAnsi="Arial" w:cs="Arial"/>
                <w:i/>
                <w:iCs/>
                <w:color w:val="000000"/>
                <w:sz w:val="20"/>
                <w:szCs w:val="20"/>
              </w:rPr>
              <w:t>TPM2, AMCD1, DA1, DA2B, DA2B4, HEL-S-273, NEM4, TMSB</w:t>
            </w:r>
          </w:p>
        </w:tc>
        <w:tc>
          <w:tcPr>
            <w:tcW w:w="1629" w:type="dxa"/>
            <w:tcBorders>
              <w:top w:val="nil"/>
              <w:left w:val="nil"/>
              <w:bottom w:val="nil"/>
              <w:right w:val="nil"/>
            </w:tcBorders>
            <w:shd w:val="clear" w:color="auto" w:fill="auto"/>
            <w:noWrap/>
            <w:hideMark/>
          </w:tcPr>
          <w:p w14:paraId="1BEDE42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TPM2</w:t>
            </w:r>
          </w:p>
        </w:tc>
        <w:tc>
          <w:tcPr>
            <w:tcW w:w="1218" w:type="dxa"/>
            <w:tcBorders>
              <w:top w:val="nil"/>
              <w:left w:val="nil"/>
              <w:bottom w:val="nil"/>
              <w:right w:val="nil"/>
            </w:tcBorders>
            <w:shd w:val="clear" w:color="auto" w:fill="auto"/>
            <w:noWrap/>
            <w:hideMark/>
          </w:tcPr>
          <w:p w14:paraId="10558AED"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7169</w:t>
            </w:r>
          </w:p>
        </w:tc>
        <w:tc>
          <w:tcPr>
            <w:tcW w:w="4514" w:type="dxa"/>
            <w:tcBorders>
              <w:top w:val="nil"/>
              <w:left w:val="nil"/>
              <w:bottom w:val="nil"/>
              <w:right w:val="nil"/>
            </w:tcBorders>
            <w:shd w:val="clear" w:color="auto" w:fill="auto"/>
            <w:noWrap/>
            <w:hideMark/>
          </w:tcPr>
          <w:p w14:paraId="3CBF5DC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tropomyosin 2</w:t>
            </w:r>
          </w:p>
        </w:tc>
        <w:tc>
          <w:tcPr>
            <w:tcW w:w="4961" w:type="dxa"/>
            <w:tcBorders>
              <w:top w:val="nil"/>
              <w:left w:val="nil"/>
              <w:bottom w:val="nil"/>
              <w:right w:val="nil"/>
            </w:tcBorders>
            <w:shd w:val="clear" w:color="auto" w:fill="auto"/>
            <w:noWrap/>
            <w:hideMark/>
          </w:tcPr>
          <w:p w14:paraId="147D26D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4CF620A5"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74BF5ED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TLN1, ILWEQ, TLN, talin-1</w:t>
            </w:r>
          </w:p>
        </w:tc>
        <w:tc>
          <w:tcPr>
            <w:tcW w:w="1629" w:type="dxa"/>
            <w:tcBorders>
              <w:top w:val="nil"/>
              <w:left w:val="nil"/>
              <w:bottom w:val="nil"/>
              <w:right w:val="nil"/>
            </w:tcBorders>
            <w:shd w:val="clear" w:color="auto" w:fill="D9D9D9" w:themeFill="background1" w:themeFillShade="D9"/>
            <w:noWrap/>
            <w:hideMark/>
          </w:tcPr>
          <w:p w14:paraId="6CA5B15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TLN1</w:t>
            </w:r>
          </w:p>
        </w:tc>
        <w:tc>
          <w:tcPr>
            <w:tcW w:w="1218" w:type="dxa"/>
            <w:tcBorders>
              <w:top w:val="nil"/>
              <w:left w:val="nil"/>
              <w:bottom w:val="nil"/>
              <w:right w:val="nil"/>
            </w:tcBorders>
            <w:shd w:val="clear" w:color="auto" w:fill="D9D9D9" w:themeFill="background1" w:themeFillShade="D9"/>
            <w:noWrap/>
            <w:hideMark/>
          </w:tcPr>
          <w:p w14:paraId="2B9278E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7094</w:t>
            </w:r>
          </w:p>
        </w:tc>
        <w:tc>
          <w:tcPr>
            <w:tcW w:w="4514" w:type="dxa"/>
            <w:tcBorders>
              <w:top w:val="nil"/>
              <w:left w:val="nil"/>
              <w:bottom w:val="nil"/>
              <w:right w:val="nil"/>
            </w:tcBorders>
            <w:shd w:val="clear" w:color="auto" w:fill="D9D9D9" w:themeFill="background1" w:themeFillShade="D9"/>
            <w:noWrap/>
            <w:hideMark/>
          </w:tcPr>
          <w:p w14:paraId="2D36203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talin 1</w:t>
            </w:r>
          </w:p>
        </w:tc>
        <w:tc>
          <w:tcPr>
            <w:tcW w:w="4961" w:type="dxa"/>
            <w:tcBorders>
              <w:top w:val="nil"/>
              <w:left w:val="nil"/>
              <w:bottom w:val="nil"/>
              <w:right w:val="nil"/>
            </w:tcBorders>
            <w:shd w:val="clear" w:color="auto" w:fill="D9D9D9" w:themeFill="background1" w:themeFillShade="D9"/>
            <w:noWrap/>
            <w:hideMark/>
          </w:tcPr>
          <w:p w14:paraId="107E00E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219A1636" w14:textId="77777777" w:rsidTr="00374D7F">
        <w:trPr>
          <w:trHeight w:val="255"/>
        </w:trPr>
        <w:tc>
          <w:tcPr>
            <w:tcW w:w="2420" w:type="dxa"/>
            <w:tcBorders>
              <w:top w:val="nil"/>
              <w:left w:val="nil"/>
              <w:right w:val="nil"/>
            </w:tcBorders>
            <w:shd w:val="clear" w:color="auto" w:fill="auto"/>
            <w:noWrap/>
            <w:hideMark/>
          </w:tcPr>
          <w:p w14:paraId="194F3BA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MIR6852, hsa-mir-6852</w:t>
            </w:r>
          </w:p>
        </w:tc>
        <w:tc>
          <w:tcPr>
            <w:tcW w:w="1629" w:type="dxa"/>
            <w:tcBorders>
              <w:top w:val="nil"/>
              <w:left w:val="nil"/>
              <w:right w:val="nil"/>
            </w:tcBorders>
            <w:shd w:val="clear" w:color="auto" w:fill="auto"/>
            <w:noWrap/>
            <w:hideMark/>
          </w:tcPr>
          <w:p w14:paraId="0FB023C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MIR6852</w:t>
            </w:r>
          </w:p>
        </w:tc>
        <w:tc>
          <w:tcPr>
            <w:tcW w:w="1218" w:type="dxa"/>
            <w:tcBorders>
              <w:top w:val="nil"/>
              <w:left w:val="nil"/>
              <w:right w:val="nil"/>
            </w:tcBorders>
            <w:shd w:val="clear" w:color="auto" w:fill="auto"/>
            <w:noWrap/>
            <w:hideMark/>
          </w:tcPr>
          <w:p w14:paraId="73584B6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102465513</w:t>
            </w:r>
          </w:p>
        </w:tc>
        <w:tc>
          <w:tcPr>
            <w:tcW w:w="4514" w:type="dxa"/>
            <w:tcBorders>
              <w:top w:val="nil"/>
              <w:left w:val="nil"/>
              <w:right w:val="nil"/>
            </w:tcBorders>
            <w:shd w:val="clear" w:color="auto" w:fill="auto"/>
            <w:noWrap/>
            <w:hideMark/>
          </w:tcPr>
          <w:p w14:paraId="1D5263C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microRNA 6852</w:t>
            </w:r>
          </w:p>
        </w:tc>
        <w:tc>
          <w:tcPr>
            <w:tcW w:w="4961" w:type="dxa"/>
            <w:tcBorders>
              <w:top w:val="nil"/>
              <w:left w:val="nil"/>
              <w:right w:val="nil"/>
            </w:tcBorders>
            <w:shd w:val="clear" w:color="auto" w:fill="auto"/>
            <w:noWrap/>
            <w:hideMark/>
          </w:tcPr>
          <w:p w14:paraId="7CCB62C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2888EE7F" w14:textId="77777777" w:rsidTr="00374D7F">
        <w:trPr>
          <w:trHeight w:val="255"/>
        </w:trPr>
        <w:tc>
          <w:tcPr>
            <w:tcW w:w="2420" w:type="dxa"/>
            <w:tcBorders>
              <w:top w:val="nil"/>
              <w:left w:val="nil"/>
              <w:bottom w:val="single" w:sz="4" w:space="0" w:color="auto"/>
              <w:right w:val="nil"/>
            </w:tcBorders>
            <w:shd w:val="clear" w:color="auto" w:fill="D9D9D9" w:themeFill="background1" w:themeFillShade="D9"/>
            <w:noWrap/>
            <w:hideMark/>
          </w:tcPr>
          <w:p w14:paraId="2F52D0E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CREB3, LUMAN, LZIP, sLZIP</w:t>
            </w:r>
          </w:p>
        </w:tc>
        <w:tc>
          <w:tcPr>
            <w:tcW w:w="1629" w:type="dxa"/>
            <w:tcBorders>
              <w:top w:val="nil"/>
              <w:left w:val="nil"/>
              <w:bottom w:val="single" w:sz="4" w:space="0" w:color="auto"/>
              <w:right w:val="nil"/>
            </w:tcBorders>
            <w:shd w:val="clear" w:color="auto" w:fill="D9D9D9" w:themeFill="background1" w:themeFillShade="D9"/>
            <w:noWrap/>
            <w:hideMark/>
          </w:tcPr>
          <w:p w14:paraId="172461F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CREB3</w:t>
            </w:r>
          </w:p>
        </w:tc>
        <w:tc>
          <w:tcPr>
            <w:tcW w:w="1218" w:type="dxa"/>
            <w:tcBorders>
              <w:top w:val="nil"/>
              <w:left w:val="nil"/>
              <w:bottom w:val="single" w:sz="4" w:space="0" w:color="auto"/>
              <w:right w:val="nil"/>
            </w:tcBorders>
            <w:shd w:val="clear" w:color="auto" w:fill="D9D9D9" w:themeFill="background1" w:themeFillShade="D9"/>
            <w:noWrap/>
            <w:hideMark/>
          </w:tcPr>
          <w:p w14:paraId="69CE2D5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10488</w:t>
            </w:r>
          </w:p>
        </w:tc>
        <w:tc>
          <w:tcPr>
            <w:tcW w:w="4514" w:type="dxa"/>
            <w:tcBorders>
              <w:top w:val="nil"/>
              <w:left w:val="nil"/>
              <w:bottom w:val="single" w:sz="4" w:space="0" w:color="auto"/>
              <w:right w:val="nil"/>
            </w:tcBorders>
            <w:shd w:val="clear" w:color="auto" w:fill="D9D9D9" w:themeFill="background1" w:themeFillShade="D9"/>
            <w:noWrap/>
            <w:hideMark/>
          </w:tcPr>
          <w:p w14:paraId="25AE7E2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cAMP responsive element binding protein 3</w:t>
            </w:r>
          </w:p>
        </w:tc>
        <w:tc>
          <w:tcPr>
            <w:tcW w:w="4961" w:type="dxa"/>
            <w:tcBorders>
              <w:top w:val="nil"/>
              <w:left w:val="nil"/>
              <w:bottom w:val="single" w:sz="4" w:space="0" w:color="auto"/>
              <w:right w:val="nil"/>
            </w:tcBorders>
            <w:shd w:val="clear" w:color="auto" w:fill="D9D9D9" w:themeFill="background1" w:themeFillShade="D9"/>
            <w:noWrap/>
            <w:hideMark/>
          </w:tcPr>
          <w:p w14:paraId="322AA1A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bl>
    <w:p w14:paraId="0F5E2FBE" w14:textId="43AD032B" w:rsidR="00374D7F" w:rsidRDefault="00374D7F" w:rsidP="00374D7F">
      <w:pPr>
        <w:ind w:right="-456"/>
        <w:jc w:val="right"/>
      </w:pPr>
      <w:r>
        <w:t>… to be continued</w:t>
      </w:r>
    </w:p>
    <w:p w14:paraId="1F43CE9B" w14:textId="63AD559D" w:rsidR="00374D7F" w:rsidRDefault="00374D7F" w:rsidP="00374D7F">
      <w:pPr>
        <w:spacing w:after="120" w:line="240" w:lineRule="auto"/>
        <w:jc w:val="both"/>
        <w:rPr>
          <w:rFonts w:ascii="Arial" w:hAnsi="Arial" w:cs="Arial"/>
          <w:sz w:val="20"/>
          <w:szCs w:val="20"/>
          <w:lang w:val="en-US"/>
        </w:rPr>
      </w:pPr>
      <w:r w:rsidRPr="00374D7F">
        <w:rPr>
          <w:rFonts w:ascii="Arial" w:hAnsi="Arial"/>
          <w:b/>
          <w:lang w:val="en-US"/>
        </w:rPr>
        <w:lastRenderedPageBreak/>
        <w:t xml:space="preserve">Supplementary Table 9: continued </w:t>
      </w:r>
    </w:p>
    <w:tbl>
      <w:tblPr>
        <w:tblW w:w="14742" w:type="dxa"/>
        <w:tblLook w:val="04A0" w:firstRow="1" w:lastRow="0" w:firstColumn="1" w:lastColumn="0" w:noHBand="0" w:noVBand="1"/>
      </w:tblPr>
      <w:tblGrid>
        <w:gridCol w:w="2420"/>
        <w:gridCol w:w="1629"/>
        <w:gridCol w:w="1218"/>
        <w:gridCol w:w="4514"/>
        <w:gridCol w:w="4961"/>
      </w:tblGrid>
      <w:tr w:rsidR="00374D7F" w:rsidRPr="00184E69" w14:paraId="7D2DFA6C" w14:textId="77777777" w:rsidTr="0001057B">
        <w:trPr>
          <w:trHeight w:val="726"/>
        </w:trPr>
        <w:tc>
          <w:tcPr>
            <w:tcW w:w="2420" w:type="dxa"/>
            <w:tcBorders>
              <w:top w:val="single" w:sz="4" w:space="0" w:color="auto"/>
              <w:left w:val="nil"/>
              <w:bottom w:val="single" w:sz="4" w:space="0" w:color="auto"/>
              <w:right w:val="nil"/>
            </w:tcBorders>
            <w:shd w:val="clear" w:color="auto" w:fill="9CC2E5" w:themeFill="accent1" w:themeFillTint="99"/>
            <w:noWrap/>
            <w:vAlign w:val="bottom"/>
            <w:hideMark/>
          </w:tcPr>
          <w:p w14:paraId="0759CEBA"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 Name(s)</w:t>
            </w:r>
            <w:r>
              <w:rPr>
                <w:rFonts w:ascii="Arial" w:eastAsia="Times New Roman" w:hAnsi="Arial" w:cs="Arial"/>
                <w:b/>
                <w:bCs/>
                <w:color w:val="000000"/>
                <w:sz w:val="20"/>
                <w:szCs w:val="20"/>
                <w:vertAlign w:val="superscript"/>
                <w:lang w:val="en-US"/>
              </w:rPr>
              <w:t>1,2</w:t>
            </w:r>
          </w:p>
        </w:tc>
        <w:tc>
          <w:tcPr>
            <w:tcW w:w="1629" w:type="dxa"/>
            <w:tcBorders>
              <w:top w:val="single" w:sz="4" w:space="0" w:color="auto"/>
              <w:left w:val="nil"/>
              <w:bottom w:val="single" w:sz="4" w:space="0" w:color="auto"/>
              <w:right w:val="nil"/>
            </w:tcBorders>
            <w:shd w:val="clear" w:color="auto" w:fill="9CC2E5" w:themeFill="accent1" w:themeFillTint="99"/>
            <w:vAlign w:val="bottom"/>
            <w:hideMark/>
          </w:tcPr>
          <w:p w14:paraId="1B5C74D0"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Approved Gene Symbol</w:t>
            </w:r>
            <w:r>
              <w:rPr>
                <w:rFonts w:ascii="Arial" w:eastAsia="Times New Roman" w:hAnsi="Arial" w:cs="Arial"/>
                <w:b/>
                <w:bCs/>
                <w:color w:val="000000"/>
                <w:sz w:val="20"/>
                <w:szCs w:val="20"/>
                <w:vertAlign w:val="superscript"/>
                <w:lang w:val="en-US"/>
              </w:rPr>
              <w:t xml:space="preserve">3 </w:t>
            </w:r>
            <w:r>
              <w:rPr>
                <w:rFonts w:ascii="Arial" w:eastAsia="Times New Roman" w:hAnsi="Arial" w:cs="Arial"/>
                <w:b/>
                <w:bCs/>
                <w:color w:val="000000"/>
                <w:sz w:val="20"/>
                <w:szCs w:val="20"/>
                <w:lang w:val="en-US"/>
              </w:rPr>
              <w:t>[HGNC]</w:t>
            </w:r>
          </w:p>
        </w:tc>
        <w:tc>
          <w:tcPr>
            <w:tcW w:w="1218" w:type="dxa"/>
            <w:tcBorders>
              <w:top w:val="single" w:sz="4" w:space="0" w:color="auto"/>
              <w:left w:val="nil"/>
              <w:bottom w:val="single" w:sz="4" w:space="0" w:color="auto"/>
              <w:right w:val="nil"/>
            </w:tcBorders>
            <w:shd w:val="clear" w:color="auto" w:fill="9CC2E5" w:themeFill="accent1" w:themeFillTint="99"/>
            <w:vAlign w:val="bottom"/>
            <w:hideMark/>
          </w:tcPr>
          <w:p w14:paraId="44FA0EBA"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GeneID [NCBI]</w:t>
            </w:r>
          </w:p>
        </w:tc>
        <w:tc>
          <w:tcPr>
            <w:tcW w:w="4514" w:type="dxa"/>
            <w:tcBorders>
              <w:top w:val="single" w:sz="4" w:space="0" w:color="auto"/>
              <w:left w:val="nil"/>
              <w:bottom w:val="single" w:sz="4" w:space="0" w:color="auto"/>
              <w:right w:val="nil"/>
            </w:tcBorders>
            <w:shd w:val="clear" w:color="auto" w:fill="9CC2E5" w:themeFill="accent1" w:themeFillTint="99"/>
            <w:vAlign w:val="bottom"/>
            <w:hideMark/>
          </w:tcPr>
          <w:p w14:paraId="4813D421"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Approved gene name (HGNC) (WAS: DESCRIPTION)</w:t>
            </w:r>
          </w:p>
        </w:tc>
        <w:tc>
          <w:tcPr>
            <w:tcW w:w="4961" w:type="dxa"/>
            <w:tcBorders>
              <w:top w:val="single" w:sz="4" w:space="0" w:color="auto"/>
              <w:left w:val="nil"/>
              <w:bottom w:val="single" w:sz="4" w:space="0" w:color="auto"/>
              <w:right w:val="nil"/>
            </w:tcBorders>
            <w:shd w:val="clear" w:color="auto" w:fill="9CC2E5" w:themeFill="accent1" w:themeFillTint="99"/>
            <w:vAlign w:val="bottom"/>
            <w:hideMark/>
          </w:tcPr>
          <w:p w14:paraId="3BBDD8AB" w14:textId="4BA1988F" w:rsidR="00374D7F" w:rsidRDefault="00374D7F" w:rsidP="00356522">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Current knowledge about this gene</w:t>
            </w:r>
            <w:r>
              <w:rPr>
                <w:rFonts w:ascii="Arial" w:eastAsia="Times New Roman" w:hAnsi="Arial" w:cs="Arial"/>
                <w:b/>
                <w:bCs/>
                <w:color w:val="000000"/>
                <w:sz w:val="20"/>
                <w:szCs w:val="20"/>
                <w:lang w:val="en-US"/>
              </w:rPr>
              <w:br/>
              <w:t>[mouse models, monogenic renal disease, etc.]</w:t>
            </w:r>
            <w:r w:rsidR="00356522">
              <w:rPr>
                <w:rFonts w:ascii="Arial" w:eastAsia="Times New Roman" w:hAnsi="Arial" w:cs="Arial"/>
                <w:b/>
                <w:bCs/>
                <w:color w:val="000000"/>
                <w:sz w:val="20"/>
                <w:szCs w:val="20"/>
                <w:lang w:val="en-US"/>
              </w:rPr>
              <w:t xml:space="preserve"> </w:t>
            </w:r>
            <w:r w:rsidR="00166A28">
              <w:rPr>
                <w:rFonts w:ascii="Arial" w:eastAsia="Times New Roman" w:hAnsi="Arial" w:cs="Arial"/>
                <w:b/>
                <w:bCs/>
                <w:color w:val="000000"/>
                <w:sz w:val="20"/>
                <w:szCs w:val="20"/>
                <w:lang w:val="en-US"/>
              </w:rPr>
              <w:t>(PMID)</w:t>
            </w:r>
          </w:p>
        </w:tc>
      </w:tr>
      <w:tr w:rsidR="008D6DF4" w14:paraId="6B8034D0" w14:textId="77777777" w:rsidTr="00ED49C7">
        <w:trPr>
          <w:trHeight w:val="255"/>
        </w:trPr>
        <w:tc>
          <w:tcPr>
            <w:tcW w:w="2420" w:type="dxa"/>
            <w:tcBorders>
              <w:top w:val="nil"/>
              <w:left w:val="nil"/>
              <w:bottom w:val="nil"/>
              <w:right w:val="nil"/>
            </w:tcBorders>
            <w:shd w:val="clear" w:color="auto" w:fill="auto"/>
            <w:noWrap/>
            <w:hideMark/>
          </w:tcPr>
          <w:p w14:paraId="28323BA8" w14:textId="6756FE14"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MIR6853, hsa-mir-6853</w:t>
            </w:r>
          </w:p>
        </w:tc>
        <w:tc>
          <w:tcPr>
            <w:tcW w:w="1629" w:type="dxa"/>
            <w:tcBorders>
              <w:top w:val="nil"/>
              <w:left w:val="nil"/>
              <w:bottom w:val="nil"/>
              <w:right w:val="nil"/>
            </w:tcBorders>
            <w:shd w:val="clear" w:color="auto" w:fill="auto"/>
            <w:noWrap/>
            <w:hideMark/>
          </w:tcPr>
          <w:p w14:paraId="2A27546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MIR6853</w:t>
            </w:r>
          </w:p>
        </w:tc>
        <w:tc>
          <w:tcPr>
            <w:tcW w:w="1218" w:type="dxa"/>
            <w:tcBorders>
              <w:top w:val="nil"/>
              <w:left w:val="nil"/>
              <w:bottom w:val="nil"/>
              <w:right w:val="nil"/>
            </w:tcBorders>
            <w:shd w:val="clear" w:color="auto" w:fill="auto"/>
            <w:noWrap/>
            <w:hideMark/>
          </w:tcPr>
          <w:p w14:paraId="41DCD77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102466201</w:t>
            </w:r>
          </w:p>
        </w:tc>
        <w:tc>
          <w:tcPr>
            <w:tcW w:w="4514" w:type="dxa"/>
            <w:tcBorders>
              <w:top w:val="nil"/>
              <w:left w:val="nil"/>
              <w:bottom w:val="nil"/>
              <w:right w:val="nil"/>
            </w:tcBorders>
            <w:shd w:val="clear" w:color="auto" w:fill="auto"/>
            <w:noWrap/>
            <w:hideMark/>
          </w:tcPr>
          <w:p w14:paraId="5043D6D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microRNA 6853</w:t>
            </w:r>
          </w:p>
        </w:tc>
        <w:tc>
          <w:tcPr>
            <w:tcW w:w="4961" w:type="dxa"/>
            <w:tcBorders>
              <w:top w:val="nil"/>
              <w:left w:val="nil"/>
              <w:bottom w:val="nil"/>
              <w:right w:val="nil"/>
            </w:tcBorders>
            <w:shd w:val="clear" w:color="auto" w:fill="auto"/>
            <w:noWrap/>
            <w:hideMark/>
          </w:tcPr>
          <w:p w14:paraId="5595B65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1515BDEE"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3077054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GBA2, AD035, NLGase, SPG46</w:t>
            </w:r>
          </w:p>
        </w:tc>
        <w:tc>
          <w:tcPr>
            <w:tcW w:w="1629" w:type="dxa"/>
            <w:tcBorders>
              <w:top w:val="nil"/>
              <w:left w:val="nil"/>
              <w:bottom w:val="nil"/>
              <w:right w:val="nil"/>
            </w:tcBorders>
            <w:shd w:val="clear" w:color="auto" w:fill="D9D9D9" w:themeFill="background1" w:themeFillShade="D9"/>
            <w:noWrap/>
            <w:hideMark/>
          </w:tcPr>
          <w:p w14:paraId="6112360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GBA2</w:t>
            </w:r>
          </w:p>
        </w:tc>
        <w:tc>
          <w:tcPr>
            <w:tcW w:w="1218" w:type="dxa"/>
            <w:tcBorders>
              <w:top w:val="nil"/>
              <w:left w:val="nil"/>
              <w:bottom w:val="nil"/>
              <w:right w:val="nil"/>
            </w:tcBorders>
            <w:shd w:val="clear" w:color="auto" w:fill="D9D9D9" w:themeFill="background1" w:themeFillShade="D9"/>
            <w:noWrap/>
            <w:hideMark/>
          </w:tcPr>
          <w:p w14:paraId="12B098F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57704</w:t>
            </w:r>
          </w:p>
        </w:tc>
        <w:tc>
          <w:tcPr>
            <w:tcW w:w="4514" w:type="dxa"/>
            <w:tcBorders>
              <w:top w:val="nil"/>
              <w:left w:val="nil"/>
              <w:bottom w:val="nil"/>
              <w:right w:val="nil"/>
            </w:tcBorders>
            <w:shd w:val="clear" w:color="auto" w:fill="D9D9D9" w:themeFill="background1" w:themeFillShade="D9"/>
            <w:noWrap/>
            <w:hideMark/>
          </w:tcPr>
          <w:p w14:paraId="1BE837E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glucosylceramidase beta 2</w:t>
            </w:r>
          </w:p>
        </w:tc>
        <w:tc>
          <w:tcPr>
            <w:tcW w:w="4961" w:type="dxa"/>
            <w:tcBorders>
              <w:top w:val="nil"/>
              <w:left w:val="nil"/>
              <w:bottom w:val="nil"/>
              <w:right w:val="nil"/>
            </w:tcBorders>
            <w:shd w:val="clear" w:color="auto" w:fill="D9D9D9" w:themeFill="background1" w:themeFillShade="D9"/>
            <w:noWrap/>
            <w:hideMark/>
          </w:tcPr>
          <w:p w14:paraId="36B6924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557B9778" w14:textId="77777777" w:rsidTr="00ED49C7">
        <w:trPr>
          <w:trHeight w:val="255"/>
        </w:trPr>
        <w:tc>
          <w:tcPr>
            <w:tcW w:w="2420" w:type="dxa"/>
            <w:tcBorders>
              <w:top w:val="nil"/>
              <w:left w:val="nil"/>
              <w:bottom w:val="nil"/>
              <w:right w:val="nil"/>
            </w:tcBorders>
            <w:shd w:val="clear" w:color="auto" w:fill="auto"/>
            <w:noWrap/>
            <w:hideMark/>
          </w:tcPr>
          <w:p w14:paraId="7E23FFAA"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RGP1, KIAA0258</w:t>
            </w:r>
          </w:p>
        </w:tc>
        <w:tc>
          <w:tcPr>
            <w:tcW w:w="1629" w:type="dxa"/>
            <w:tcBorders>
              <w:top w:val="nil"/>
              <w:left w:val="nil"/>
              <w:bottom w:val="nil"/>
              <w:right w:val="nil"/>
            </w:tcBorders>
            <w:shd w:val="clear" w:color="auto" w:fill="auto"/>
            <w:noWrap/>
            <w:hideMark/>
          </w:tcPr>
          <w:p w14:paraId="4614236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RGP1</w:t>
            </w:r>
          </w:p>
        </w:tc>
        <w:tc>
          <w:tcPr>
            <w:tcW w:w="1218" w:type="dxa"/>
            <w:tcBorders>
              <w:top w:val="nil"/>
              <w:left w:val="nil"/>
              <w:bottom w:val="nil"/>
              <w:right w:val="nil"/>
            </w:tcBorders>
            <w:shd w:val="clear" w:color="auto" w:fill="auto"/>
            <w:noWrap/>
            <w:hideMark/>
          </w:tcPr>
          <w:p w14:paraId="0D9F0FFF"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9827</w:t>
            </w:r>
          </w:p>
        </w:tc>
        <w:tc>
          <w:tcPr>
            <w:tcW w:w="4514" w:type="dxa"/>
            <w:tcBorders>
              <w:top w:val="nil"/>
              <w:left w:val="nil"/>
              <w:bottom w:val="nil"/>
              <w:right w:val="nil"/>
            </w:tcBorders>
            <w:shd w:val="clear" w:color="auto" w:fill="auto"/>
            <w:noWrap/>
            <w:hideMark/>
          </w:tcPr>
          <w:p w14:paraId="2A355A7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RGP1 homolog, RAB6A GEF complex partner 1</w:t>
            </w:r>
          </w:p>
        </w:tc>
        <w:tc>
          <w:tcPr>
            <w:tcW w:w="4961" w:type="dxa"/>
            <w:tcBorders>
              <w:top w:val="nil"/>
              <w:left w:val="nil"/>
              <w:bottom w:val="nil"/>
              <w:right w:val="nil"/>
            </w:tcBorders>
            <w:shd w:val="clear" w:color="auto" w:fill="auto"/>
            <w:noWrap/>
            <w:hideMark/>
          </w:tcPr>
          <w:p w14:paraId="5BDD57B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2CC36F06"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016EBE1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MSMP, PSMP</w:t>
            </w:r>
          </w:p>
        </w:tc>
        <w:tc>
          <w:tcPr>
            <w:tcW w:w="1629" w:type="dxa"/>
            <w:tcBorders>
              <w:top w:val="nil"/>
              <w:left w:val="nil"/>
              <w:bottom w:val="nil"/>
              <w:right w:val="nil"/>
            </w:tcBorders>
            <w:shd w:val="clear" w:color="auto" w:fill="D9D9D9" w:themeFill="background1" w:themeFillShade="D9"/>
            <w:noWrap/>
            <w:hideMark/>
          </w:tcPr>
          <w:p w14:paraId="107E8C7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MSMP</w:t>
            </w:r>
          </w:p>
        </w:tc>
        <w:tc>
          <w:tcPr>
            <w:tcW w:w="1218" w:type="dxa"/>
            <w:tcBorders>
              <w:top w:val="nil"/>
              <w:left w:val="nil"/>
              <w:bottom w:val="nil"/>
              <w:right w:val="nil"/>
            </w:tcBorders>
            <w:shd w:val="clear" w:color="auto" w:fill="D9D9D9" w:themeFill="background1" w:themeFillShade="D9"/>
            <w:noWrap/>
            <w:hideMark/>
          </w:tcPr>
          <w:p w14:paraId="61DF4F2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692094</w:t>
            </w:r>
          </w:p>
        </w:tc>
        <w:tc>
          <w:tcPr>
            <w:tcW w:w="4514" w:type="dxa"/>
            <w:tcBorders>
              <w:top w:val="nil"/>
              <w:left w:val="nil"/>
              <w:bottom w:val="nil"/>
              <w:right w:val="nil"/>
            </w:tcBorders>
            <w:shd w:val="clear" w:color="auto" w:fill="D9D9D9" w:themeFill="background1" w:themeFillShade="D9"/>
            <w:noWrap/>
            <w:hideMark/>
          </w:tcPr>
          <w:p w14:paraId="4EEB762C"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microseminoprotein, prostate associated</w:t>
            </w:r>
          </w:p>
        </w:tc>
        <w:tc>
          <w:tcPr>
            <w:tcW w:w="4961" w:type="dxa"/>
            <w:tcBorders>
              <w:top w:val="nil"/>
              <w:left w:val="nil"/>
              <w:bottom w:val="nil"/>
              <w:right w:val="nil"/>
            </w:tcBorders>
            <w:shd w:val="clear" w:color="auto" w:fill="D9D9D9" w:themeFill="background1" w:themeFillShade="D9"/>
            <w:noWrap/>
            <w:hideMark/>
          </w:tcPr>
          <w:p w14:paraId="3A215B9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236AE3A5" w14:textId="77777777" w:rsidTr="00ED49C7">
        <w:trPr>
          <w:trHeight w:val="255"/>
        </w:trPr>
        <w:tc>
          <w:tcPr>
            <w:tcW w:w="2420" w:type="dxa"/>
            <w:tcBorders>
              <w:top w:val="nil"/>
              <w:left w:val="nil"/>
              <w:bottom w:val="nil"/>
              <w:right w:val="nil"/>
            </w:tcBorders>
            <w:shd w:val="clear" w:color="auto" w:fill="auto"/>
            <w:noWrap/>
            <w:hideMark/>
          </w:tcPr>
          <w:p w14:paraId="6086F160" w14:textId="77777777" w:rsidR="008D6DF4" w:rsidRPr="00D50766" w:rsidRDefault="007C1EBA">
            <w:pPr>
              <w:spacing w:after="0" w:line="240" w:lineRule="auto"/>
              <w:rPr>
                <w:rFonts w:ascii="Arial" w:eastAsia="Times New Roman" w:hAnsi="Arial" w:cs="Arial"/>
                <w:i/>
                <w:iCs/>
                <w:color w:val="000000"/>
                <w:sz w:val="20"/>
                <w:szCs w:val="20"/>
              </w:rPr>
            </w:pPr>
            <w:r w:rsidRPr="00D50766">
              <w:rPr>
                <w:rFonts w:ascii="Arial" w:eastAsia="Times New Roman" w:hAnsi="Arial" w:cs="Arial"/>
                <w:i/>
                <w:iCs/>
                <w:color w:val="000000"/>
                <w:sz w:val="20"/>
                <w:szCs w:val="20"/>
              </w:rPr>
              <w:t>NPR2, AMDM, ANPRB, ANPb, ECDM, GC-B, GCB, GUC2B, GUCY2B, NPRB, NPRBi, SNSK</w:t>
            </w:r>
          </w:p>
        </w:tc>
        <w:tc>
          <w:tcPr>
            <w:tcW w:w="1629" w:type="dxa"/>
            <w:tcBorders>
              <w:top w:val="nil"/>
              <w:left w:val="nil"/>
              <w:bottom w:val="nil"/>
              <w:right w:val="nil"/>
            </w:tcBorders>
            <w:shd w:val="clear" w:color="auto" w:fill="auto"/>
            <w:noWrap/>
            <w:hideMark/>
          </w:tcPr>
          <w:p w14:paraId="33E6D28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NPR2</w:t>
            </w:r>
          </w:p>
        </w:tc>
        <w:tc>
          <w:tcPr>
            <w:tcW w:w="1218" w:type="dxa"/>
            <w:tcBorders>
              <w:top w:val="nil"/>
              <w:left w:val="nil"/>
              <w:bottom w:val="nil"/>
              <w:right w:val="nil"/>
            </w:tcBorders>
            <w:shd w:val="clear" w:color="auto" w:fill="auto"/>
            <w:noWrap/>
            <w:hideMark/>
          </w:tcPr>
          <w:p w14:paraId="392873E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4882</w:t>
            </w:r>
          </w:p>
        </w:tc>
        <w:tc>
          <w:tcPr>
            <w:tcW w:w="4514" w:type="dxa"/>
            <w:tcBorders>
              <w:top w:val="nil"/>
              <w:left w:val="nil"/>
              <w:bottom w:val="nil"/>
              <w:right w:val="nil"/>
            </w:tcBorders>
            <w:shd w:val="clear" w:color="auto" w:fill="auto"/>
            <w:noWrap/>
            <w:hideMark/>
          </w:tcPr>
          <w:p w14:paraId="5FF2D7A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natriuretic peptide receptor 2</w:t>
            </w:r>
          </w:p>
        </w:tc>
        <w:tc>
          <w:tcPr>
            <w:tcW w:w="4961" w:type="dxa"/>
            <w:tcBorders>
              <w:top w:val="nil"/>
              <w:left w:val="nil"/>
              <w:bottom w:val="nil"/>
              <w:right w:val="nil"/>
            </w:tcBorders>
            <w:shd w:val="clear" w:color="auto" w:fill="auto"/>
            <w:noWrap/>
            <w:hideMark/>
          </w:tcPr>
          <w:p w14:paraId="02481C1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51FA08E7"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56ABEE62" w14:textId="77777777" w:rsidR="008D6DF4" w:rsidRPr="008B3D06" w:rsidRDefault="007C1EBA">
            <w:pPr>
              <w:spacing w:after="0" w:line="240" w:lineRule="auto"/>
              <w:rPr>
                <w:rFonts w:ascii="Arial" w:eastAsia="Times New Roman" w:hAnsi="Arial" w:cs="Arial"/>
                <w:i/>
                <w:iCs/>
                <w:color w:val="000000"/>
                <w:sz w:val="20"/>
                <w:szCs w:val="20"/>
                <w:lang w:val="en-US"/>
              </w:rPr>
            </w:pPr>
            <w:r w:rsidRPr="008B3D06">
              <w:rPr>
                <w:rFonts w:ascii="Arial" w:eastAsia="Times New Roman" w:hAnsi="Arial" w:cs="Arial"/>
                <w:i/>
                <w:iCs/>
                <w:color w:val="000000"/>
                <w:sz w:val="20"/>
                <w:szCs w:val="20"/>
                <w:lang w:val="en-US"/>
              </w:rPr>
              <w:t>SPAG8, BS-84, CILD28, CT142, HSD-1, SMP1, SPAG3, hSMP-1</w:t>
            </w:r>
          </w:p>
        </w:tc>
        <w:tc>
          <w:tcPr>
            <w:tcW w:w="1629" w:type="dxa"/>
            <w:tcBorders>
              <w:top w:val="nil"/>
              <w:left w:val="nil"/>
              <w:bottom w:val="nil"/>
              <w:right w:val="nil"/>
            </w:tcBorders>
            <w:shd w:val="clear" w:color="auto" w:fill="D9D9D9" w:themeFill="background1" w:themeFillShade="D9"/>
            <w:noWrap/>
            <w:hideMark/>
          </w:tcPr>
          <w:p w14:paraId="1CE5145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SPAG8</w:t>
            </w:r>
          </w:p>
        </w:tc>
        <w:tc>
          <w:tcPr>
            <w:tcW w:w="1218" w:type="dxa"/>
            <w:tcBorders>
              <w:top w:val="nil"/>
              <w:left w:val="nil"/>
              <w:bottom w:val="nil"/>
              <w:right w:val="nil"/>
            </w:tcBorders>
            <w:shd w:val="clear" w:color="auto" w:fill="D9D9D9" w:themeFill="background1" w:themeFillShade="D9"/>
            <w:noWrap/>
            <w:hideMark/>
          </w:tcPr>
          <w:p w14:paraId="1B4A5FA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26206</w:t>
            </w:r>
          </w:p>
        </w:tc>
        <w:tc>
          <w:tcPr>
            <w:tcW w:w="4514" w:type="dxa"/>
            <w:tcBorders>
              <w:top w:val="nil"/>
              <w:left w:val="nil"/>
              <w:bottom w:val="nil"/>
              <w:right w:val="nil"/>
            </w:tcBorders>
            <w:shd w:val="clear" w:color="auto" w:fill="D9D9D9" w:themeFill="background1" w:themeFillShade="D9"/>
            <w:noWrap/>
            <w:hideMark/>
          </w:tcPr>
          <w:p w14:paraId="0F43F11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sperm associated antigen 8</w:t>
            </w:r>
          </w:p>
        </w:tc>
        <w:tc>
          <w:tcPr>
            <w:tcW w:w="4961" w:type="dxa"/>
            <w:tcBorders>
              <w:top w:val="nil"/>
              <w:left w:val="nil"/>
              <w:bottom w:val="nil"/>
              <w:right w:val="nil"/>
            </w:tcBorders>
            <w:shd w:val="clear" w:color="auto" w:fill="D9D9D9" w:themeFill="background1" w:themeFillShade="D9"/>
            <w:noWrap/>
            <w:hideMark/>
          </w:tcPr>
          <w:p w14:paraId="3C84E96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632C3FCC" w14:textId="77777777" w:rsidTr="00ED49C7">
        <w:trPr>
          <w:trHeight w:val="255"/>
        </w:trPr>
        <w:tc>
          <w:tcPr>
            <w:tcW w:w="2420" w:type="dxa"/>
            <w:tcBorders>
              <w:top w:val="nil"/>
              <w:left w:val="nil"/>
              <w:bottom w:val="nil"/>
              <w:right w:val="nil"/>
            </w:tcBorders>
            <w:shd w:val="clear" w:color="auto" w:fill="auto"/>
            <w:noWrap/>
            <w:hideMark/>
          </w:tcPr>
          <w:p w14:paraId="0034578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HINT2, HIT-17</w:t>
            </w:r>
          </w:p>
        </w:tc>
        <w:tc>
          <w:tcPr>
            <w:tcW w:w="1629" w:type="dxa"/>
            <w:tcBorders>
              <w:top w:val="nil"/>
              <w:left w:val="nil"/>
              <w:bottom w:val="nil"/>
              <w:right w:val="nil"/>
            </w:tcBorders>
            <w:shd w:val="clear" w:color="auto" w:fill="auto"/>
            <w:noWrap/>
            <w:hideMark/>
          </w:tcPr>
          <w:p w14:paraId="730E355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HINT2</w:t>
            </w:r>
          </w:p>
        </w:tc>
        <w:tc>
          <w:tcPr>
            <w:tcW w:w="1218" w:type="dxa"/>
            <w:tcBorders>
              <w:top w:val="nil"/>
              <w:left w:val="nil"/>
              <w:bottom w:val="nil"/>
              <w:right w:val="nil"/>
            </w:tcBorders>
            <w:shd w:val="clear" w:color="auto" w:fill="auto"/>
            <w:noWrap/>
            <w:hideMark/>
          </w:tcPr>
          <w:p w14:paraId="0322763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84681</w:t>
            </w:r>
          </w:p>
        </w:tc>
        <w:tc>
          <w:tcPr>
            <w:tcW w:w="4514" w:type="dxa"/>
            <w:tcBorders>
              <w:top w:val="nil"/>
              <w:left w:val="nil"/>
              <w:bottom w:val="nil"/>
              <w:right w:val="nil"/>
            </w:tcBorders>
            <w:shd w:val="clear" w:color="auto" w:fill="auto"/>
            <w:noWrap/>
            <w:hideMark/>
          </w:tcPr>
          <w:p w14:paraId="5C1E428B"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histidine triad nucleotide binding protein 2</w:t>
            </w:r>
          </w:p>
        </w:tc>
        <w:tc>
          <w:tcPr>
            <w:tcW w:w="4961" w:type="dxa"/>
            <w:tcBorders>
              <w:top w:val="nil"/>
              <w:left w:val="nil"/>
              <w:bottom w:val="nil"/>
              <w:right w:val="nil"/>
            </w:tcBorders>
            <w:shd w:val="clear" w:color="auto" w:fill="auto"/>
            <w:noWrap/>
            <w:hideMark/>
          </w:tcPr>
          <w:p w14:paraId="0FEBC68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040D97C9"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339860A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FAM221B, C9orf128</w:t>
            </w:r>
          </w:p>
        </w:tc>
        <w:tc>
          <w:tcPr>
            <w:tcW w:w="1629" w:type="dxa"/>
            <w:tcBorders>
              <w:top w:val="nil"/>
              <w:left w:val="nil"/>
              <w:bottom w:val="nil"/>
              <w:right w:val="nil"/>
            </w:tcBorders>
            <w:shd w:val="clear" w:color="auto" w:fill="D9D9D9" w:themeFill="background1" w:themeFillShade="D9"/>
            <w:noWrap/>
            <w:hideMark/>
          </w:tcPr>
          <w:p w14:paraId="77BFF36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FAM221B</w:t>
            </w:r>
          </w:p>
        </w:tc>
        <w:tc>
          <w:tcPr>
            <w:tcW w:w="1218" w:type="dxa"/>
            <w:tcBorders>
              <w:top w:val="nil"/>
              <w:left w:val="nil"/>
              <w:bottom w:val="nil"/>
              <w:right w:val="nil"/>
            </w:tcBorders>
            <w:shd w:val="clear" w:color="auto" w:fill="D9D9D9" w:themeFill="background1" w:themeFillShade="D9"/>
            <w:noWrap/>
            <w:hideMark/>
          </w:tcPr>
          <w:p w14:paraId="19EA8ED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392307</w:t>
            </w:r>
          </w:p>
        </w:tc>
        <w:tc>
          <w:tcPr>
            <w:tcW w:w="4514" w:type="dxa"/>
            <w:tcBorders>
              <w:top w:val="nil"/>
              <w:left w:val="nil"/>
              <w:bottom w:val="nil"/>
              <w:right w:val="nil"/>
            </w:tcBorders>
            <w:shd w:val="clear" w:color="auto" w:fill="D9D9D9" w:themeFill="background1" w:themeFillShade="D9"/>
            <w:noWrap/>
            <w:hideMark/>
          </w:tcPr>
          <w:p w14:paraId="56778E4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family with sequence similarity 221 member B</w:t>
            </w:r>
          </w:p>
        </w:tc>
        <w:tc>
          <w:tcPr>
            <w:tcW w:w="4961" w:type="dxa"/>
            <w:tcBorders>
              <w:top w:val="nil"/>
              <w:left w:val="nil"/>
              <w:bottom w:val="nil"/>
              <w:right w:val="nil"/>
            </w:tcBorders>
            <w:shd w:val="clear" w:color="auto" w:fill="D9D9D9" w:themeFill="background1" w:themeFillShade="D9"/>
            <w:noWrap/>
            <w:hideMark/>
          </w:tcPr>
          <w:p w14:paraId="4399F30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28FFFDA6" w14:textId="77777777" w:rsidTr="00ED49C7">
        <w:trPr>
          <w:trHeight w:val="255"/>
        </w:trPr>
        <w:tc>
          <w:tcPr>
            <w:tcW w:w="2420" w:type="dxa"/>
            <w:tcBorders>
              <w:top w:val="nil"/>
              <w:left w:val="nil"/>
              <w:bottom w:val="nil"/>
              <w:right w:val="nil"/>
            </w:tcBorders>
            <w:shd w:val="clear" w:color="auto" w:fill="auto"/>
            <w:noWrap/>
            <w:hideMark/>
          </w:tcPr>
          <w:p w14:paraId="1884A2A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TMEM8B, C9orf127, FP588, LINC00950, NAG-5, NAG5, NGX6, NGX6a</w:t>
            </w:r>
          </w:p>
        </w:tc>
        <w:tc>
          <w:tcPr>
            <w:tcW w:w="1629" w:type="dxa"/>
            <w:tcBorders>
              <w:top w:val="nil"/>
              <w:left w:val="nil"/>
              <w:bottom w:val="nil"/>
              <w:right w:val="nil"/>
            </w:tcBorders>
            <w:shd w:val="clear" w:color="auto" w:fill="auto"/>
            <w:noWrap/>
            <w:hideMark/>
          </w:tcPr>
          <w:p w14:paraId="335FE59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TMEM8B</w:t>
            </w:r>
          </w:p>
        </w:tc>
        <w:tc>
          <w:tcPr>
            <w:tcW w:w="1218" w:type="dxa"/>
            <w:tcBorders>
              <w:top w:val="nil"/>
              <w:left w:val="nil"/>
              <w:bottom w:val="nil"/>
              <w:right w:val="nil"/>
            </w:tcBorders>
            <w:shd w:val="clear" w:color="auto" w:fill="auto"/>
            <w:noWrap/>
            <w:hideMark/>
          </w:tcPr>
          <w:p w14:paraId="00F68E7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51754</w:t>
            </w:r>
          </w:p>
        </w:tc>
        <w:tc>
          <w:tcPr>
            <w:tcW w:w="4514" w:type="dxa"/>
            <w:tcBorders>
              <w:top w:val="nil"/>
              <w:left w:val="nil"/>
              <w:bottom w:val="nil"/>
              <w:right w:val="nil"/>
            </w:tcBorders>
            <w:shd w:val="clear" w:color="auto" w:fill="auto"/>
            <w:noWrap/>
            <w:hideMark/>
          </w:tcPr>
          <w:p w14:paraId="0DC369A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transmembrane protein 8B</w:t>
            </w:r>
          </w:p>
        </w:tc>
        <w:tc>
          <w:tcPr>
            <w:tcW w:w="4961" w:type="dxa"/>
            <w:tcBorders>
              <w:top w:val="nil"/>
              <w:left w:val="nil"/>
              <w:bottom w:val="nil"/>
              <w:right w:val="nil"/>
            </w:tcBorders>
            <w:shd w:val="clear" w:color="auto" w:fill="auto"/>
            <w:noWrap/>
            <w:hideMark/>
          </w:tcPr>
          <w:p w14:paraId="1CBA0FE1"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4F8AABF6"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7FB28F66" w14:textId="77777777" w:rsidR="008D6DF4" w:rsidRPr="008B3D06" w:rsidRDefault="007C1EBA">
            <w:pPr>
              <w:spacing w:after="0" w:line="240" w:lineRule="auto"/>
              <w:rPr>
                <w:rFonts w:ascii="Arial" w:eastAsia="Times New Roman" w:hAnsi="Arial" w:cs="Arial"/>
                <w:i/>
                <w:iCs/>
                <w:color w:val="000000"/>
                <w:sz w:val="20"/>
                <w:szCs w:val="20"/>
                <w:lang w:val="en-US"/>
              </w:rPr>
            </w:pPr>
            <w:r w:rsidRPr="008B3D06">
              <w:rPr>
                <w:rFonts w:ascii="Arial" w:eastAsia="Times New Roman" w:hAnsi="Arial" w:cs="Arial"/>
                <w:i/>
                <w:iCs/>
                <w:color w:val="000000"/>
                <w:sz w:val="20"/>
                <w:szCs w:val="20"/>
                <w:lang w:val="en-US"/>
              </w:rPr>
              <w:t>TMEM8B, LINC00950, NAG5; NGX6; FP588; NAG-5; NGX6a; C9orf127; LINC00950</w:t>
            </w:r>
          </w:p>
        </w:tc>
        <w:tc>
          <w:tcPr>
            <w:tcW w:w="1629" w:type="dxa"/>
            <w:tcBorders>
              <w:top w:val="nil"/>
              <w:left w:val="nil"/>
              <w:bottom w:val="nil"/>
              <w:right w:val="nil"/>
            </w:tcBorders>
            <w:shd w:val="clear" w:color="auto" w:fill="D9D9D9" w:themeFill="background1" w:themeFillShade="D9"/>
            <w:noWrap/>
            <w:hideMark/>
          </w:tcPr>
          <w:p w14:paraId="0034263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TMEM8B</w:t>
            </w:r>
          </w:p>
        </w:tc>
        <w:tc>
          <w:tcPr>
            <w:tcW w:w="1218" w:type="dxa"/>
            <w:tcBorders>
              <w:top w:val="nil"/>
              <w:left w:val="nil"/>
              <w:bottom w:val="nil"/>
              <w:right w:val="nil"/>
            </w:tcBorders>
            <w:shd w:val="clear" w:color="auto" w:fill="D9D9D9" w:themeFill="background1" w:themeFillShade="D9"/>
            <w:noWrap/>
            <w:hideMark/>
          </w:tcPr>
          <w:p w14:paraId="6BA9F7D8"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51754</w:t>
            </w:r>
          </w:p>
        </w:tc>
        <w:tc>
          <w:tcPr>
            <w:tcW w:w="4514" w:type="dxa"/>
            <w:tcBorders>
              <w:top w:val="nil"/>
              <w:left w:val="nil"/>
              <w:bottom w:val="nil"/>
              <w:right w:val="nil"/>
            </w:tcBorders>
            <w:shd w:val="clear" w:color="auto" w:fill="D9D9D9" w:themeFill="background1" w:themeFillShade="D9"/>
            <w:noWrap/>
            <w:hideMark/>
          </w:tcPr>
          <w:p w14:paraId="729615B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transmembrane protein 8B</w:t>
            </w:r>
          </w:p>
        </w:tc>
        <w:tc>
          <w:tcPr>
            <w:tcW w:w="4961" w:type="dxa"/>
            <w:tcBorders>
              <w:top w:val="nil"/>
              <w:left w:val="nil"/>
              <w:bottom w:val="nil"/>
              <w:right w:val="nil"/>
            </w:tcBorders>
            <w:shd w:val="clear" w:color="auto" w:fill="D9D9D9" w:themeFill="background1" w:themeFillShade="D9"/>
            <w:noWrap/>
            <w:hideMark/>
          </w:tcPr>
          <w:p w14:paraId="02CB626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13632DFC" w14:textId="77777777" w:rsidTr="00ED49C7">
        <w:trPr>
          <w:trHeight w:val="255"/>
        </w:trPr>
        <w:tc>
          <w:tcPr>
            <w:tcW w:w="2420" w:type="dxa"/>
            <w:tcBorders>
              <w:top w:val="nil"/>
              <w:left w:val="nil"/>
              <w:bottom w:val="nil"/>
              <w:right w:val="nil"/>
            </w:tcBorders>
            <w:shd w:val="clear" w:color="auto" w:fill="auto"/>
            <w:noWrap/>
            <w:hideMark/>
          </w:tcPr>
          <w:p w14:paraId="15F3CC19"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OR13J1, OR9-2</w:t>
            </w:r>
          </w:p>
        </w:tc>
        <w:tc>
          <w:tcPr>
            <w:tcW w:w="1629" w:type="dxa"/>
            <w:tcBorders>
              <w:top w:val="nil"/>
              <w:left w:val="nil"/>
              <w:bottom w:val="nil"/>
              <w:right w:val="nil"/>
            </w:tcBorders>
            <w:shd w:val="clear" w:color="auto" w:fill="auto"/>
            <w:noWrap/>
            <w:hideMark/>
          </w:tcPr>
          <w:p w14:paraId="44E9896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OR13J1</w:t>
            </w:r>
          </w:p>
        </w:tc>
        <w:tc>
          <w:tcPr>
            <w:tcW w:w="1218" w:type="dxa"/>
            <w:tcBorders>
              <w:top w:val="nil"/>
              <w:left w:val="nil"/>
              <w:bottom w:val="nil"/>
              <w:right w:val="nil"/>
            </w:tcBorders>
            <w:shd w:val="clear" w:color="auto" w:fill="auto"/>
            <w:noWrap/>
            <w:hideMark/>
          </w:tcPr>
          <w:p w14:paraId="4E487E8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392309</w:t>
            </w:r>
          </w:p>
        </w:tc>
        <w:tc>
          <w:tcPr>
            <w:tcW w:w="4514" w:type="dxa"/>
            <w:tcBorders>
              <w:top w:val="nil"/>
              <w:left w:val="nil"/>
              <w:bottom w:val="nil"/>
              <w:right w:val="nil"/>
            </w:tcBorders>
            <w:shd w:val="clear" w:color="auto" w:fill="auto"/>
            <w:noWrap/>
            <w:hideMark/>
          </w:tcPr>
          <w:p w14:paraId="4E2B83B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olfactory receptor family 13 subfamily J member 1</w:t>
            </w:r>
          </w:p>
        </w:tc>
        <w:tc>
          <w:tcPr>
            <w:tcW w:w="4961" w:type="dxa"/>
            <w:tcBorders>
              <w:top w:val="nil"/>
              <w:left w:val="nil"/>
              <w:bottom w:val="nil"/>
              <w:right w:val="nil"/>
            </w:tcBorders>
            <w:shd w:val="clear" w:color="auto" w:fill="auto"/>
            <w:noWrap/>
            <w:hideMark/>
          </w:tcPr>
          <w:p w14:paraId="76681E66"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3410812D"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5EE7EAFF"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HRCT1, LGLL338, PRO537, UNQ338</w:t>
            </w:r>
          </w:p>
        </w:tc>
        <w:tc>
          <w:tcPr>
            <w:tcW w:w="1629" w:type="dxa"/>
            <w:tcBorders>
              <w:top w:val="nil"/>
              <w:left w:val="nil"/>
              <w:bottom w:val="nil"/>
              <w:right w:val="nil"/>
            </w:tcBorders>
            <w:shd w:val="clear" w:color="auto" w:fill="D9D9D9" w:themeFill="background1" w:themeFillShade="D9"/>
            <w:noWrap/>
            <w:hideMark/>
          </w:tcPr>
          <w:p w14:paraId="022F194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HRCT1</w:t>
            </w:r>
          </w:p>
        </w:tc>
        <w:tc>
          <w:tcPr>
            <w:tcW w:w="1218" w:type="dxa"/>
            <w:tcBorders>
              <w:top w:val="nil"/>
              <w:left w:val="nil"/>
              <w:bottom w:val="nil"/>
              <w:right w:val="nil"/>
            </w:tcBorders>
            <w:shd w:val="clear" w:color="auto" w:fill="D9D9D9" w:themeFill="background1" w:themeFillShade="D9"/>
            <w:noWrap/>
            <w:hideMark/>
          </w:tcPr>
          <w:p w14:paraId="63EA3839"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646962</w:t>
            </w:r>
          </w:p>
        </w:tc>
        <w:tc>
          <w:tcPr>
            <w:tcW w:w="4514" w:type="dxa"/>
            <w:tcBorders>
              <w:top w:val="nil"/>
              <w:left w:val="nil"/>
              <w:bottom w:val="nil"/>
              <w:right w:val="nil"/>
            </w:tcBorders>
            <w:shd w:val="clear" w:color="auto" w:fill="D9D9D9" w:themeFill="background1" w:themeFillShade="D9"/>
            <w:noWrap/>
            <w:hideMark/>
          </w:tcPr>
          <w:p w14:paraId="2B7BC4B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histidine rich carboxyl terminus 1</w:t>
            </w:r>
          </w:p>
        </w:tc>
        <w:tc>
          <w:tcPr>
            <w:tcW w:w="4961" w:type="dxa"/>
            <w:tcBorders>
              <w:top w:val="nil"/>
              <w:left w:val="nil"/>
              <w:bottom w:val="nil"/>
              <w:right w:val="nil"/>
            </w:tcBorders>
            <w:shd w:val="clear" w:color="auto" w:fill="D9D9D9" w:themeFill="background1" w:themeFillShade="D9"/>
            <w:noWrap/>
            <w:hideMark/>
          </w:tcPr>
          <w:p w14:paraId="46368170"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154ABFC6" w14:textId="77777777" w:rsidTr="00ED49C7">
        <w:trPr>
          <w:trHeight w:val="255"/>
        </w:trPr>
        <w:tc>
          <w:tcPr>
            <w:tcW w:w="2420" w:type="dxa"/>
            <w:tcBorders>
              <w:top w:val="nil"/>
              <w:left w:val="nil"/>
              <w:bottom w:val="nil"/>
              <w:right w:val="nil"/>
            </w:tcBorders>
            <w:shd w:val="clear" w:color="auto" w:fill="auto"/>
            <w:noWrap/>
            <w:hideMark/>
          </w:tcPr>
          <w:p w14:paraId="78386CD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LINC00961, SPAAR, SPAR</w:t>
            </w:r>
          </w:p>
        </w:tc>
        <w:tc>
          <w:tcPr>
            <w:tcW w:w="1629" w:type="dxa"/>
            <w:tcBorders>
              <w:top w:val="nil"/>
              <w:left w:val="nil"/>
              <w:bottom w:val="nil"/>
              <w:right w:val="nil"/>
            </w:tcBorders>
            <w:shd w:val="clear" w:color="auto" w:fill="auto"/>
            <w:noWrap/>
            <w:hideMark/>
          </w:tcPr>
          <w:p w14:paraId="27B57277"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SPAAR</w:t>
            </w:r>
          </w:p>
        </w:tc>
        <w:tc>
          <w:tcPr>
            <w:tcW w:w="1218" w:type="dxa"/>
            <w:tcBorders>
              <w:top w:val="nil"/>
              <w:left w:val="nil"/>
              <w:bottom w:val="nil"/>
              <w:right w:val="nil"/>
            </w:tcBorders>
            <w:shd w:val="clear" w:color="auto" w:fill="auto"/>
            <w:noWrap/>
            <w:hideMark/>
          </w:tcPr>
          <w:p w14:paraId="76F515C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158376</w:t>
            </w:r>
          </w:p>
        </w:tc>
        <w:tc>
          <w:tcPr>
            <w:tcW w:w="4514" w:type="dxa"/>
            <w:tcBorders>
              <w:top w:val="nil"/>
              <w:left w:val="nil"/>
              <w:bottom w:val="nil"/>
              <w:right w:val="nil"/>
            </w:tcBorders>
            <w:shd w:val="clear" w:color="auto" w:fill="auto"/>
            <w:noWrap/>
            <w:hideMark/>
          </w:tcPr>
          <w:p w14:paraId="33511EE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small regulatory polypeptide of amino acid response</w:t>
            </w:r>
          </w:p>
        </w:tc>
        <w:tc>
          <w:tcPr>
            <w:tcW w:w="4961" w:type="dxa"/>
            <w:tcBorders>
              <w:top w:val="nil"/>
              <w:left w:val="nil"/>
              <w:bottom w:val="nil"/>
              <w:right w:val="nil"/>
            </w:tcBorders>
            <w:shd w:val="clear" w:color="auto" w:fill="auto"/>
            <w:noWrap/>
            <w:hideMark/>
          </w:tcPr>
          <w:p w14:paraId="4A1B52F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1A4C7765" w14:textId="77777777" w:rsidTr="00374D7F">
        <w:trPr>
          <w:trHeight w:val="255"/>
        </w:trPr>
        <w:tc>
          <w:tcPr>
            <w:tcW w:w="2420" w:type="dxa"/>
            <w:tcBorders>
              <w:top w:val="nil"/>
              <w:left w:val="nil"/>
              <w:right w:val="nil"/>
            </w:tcBorders>
            <w:shd w:val="clear" w:color="auto" w:fill="D9D9D9" w:themeFill="background1" w:themeFillShade="D9"/>
            <w:noWrap/>
            <w:hideMark/>
          </w:tcPr>
          <w:p w14:paraId="6FABD3F0"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PGAM1P2</w:t>
            </w:r>
          </w:p>
        </w:tc>
        <w:tc>
          <w:tcPr>
            <w:tcW w:w="1629" w:type="dxa"/>
            <w:tcBorders>
              <w:top w:val="nil"/>
              <w:left w:val="nil"/>
              <w:right w:val="nil"/>
            </w:tcBorders>
            <w:shd w:val="clear" w:color="auto" w:fill="D9D9D9" w:themeFill="background1" w:themeFillShade="D9"/>
            <w:noWrap/>
            <w:hideMark/>
          </w:tcPr>
          <w:p w14:paraId="2DEE833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PGAM1P2</w:t>
            </w:r>
          </w:p>
        </w:tc>
        <w:tc>
          <w:tcPr>
            <w:tcW w:w="1218" w:type="dxa"/>
            <w:tcBorders>
              <w:top w:val="nil"/>
              <w:left w:val="nil"/>
              <w:right w:val="nil"/>
            </w:tcBorders>
            <w:shd w:val="clear" w:color="auto" w:fill="D9D9D9" w:themeFill="background1" w:themeFillShade="D9"/>
            <w:noWrap/>
            <w:hideMark/>
          </w:tcPr>
          <w:p w14:paraId="322BC2F2"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392310</w:t>
            </w:r>
          </w:p>
        </w:tc>
        <w:tc>
          <w:tcPr>
            <w:tcW w:w="4514" w:type="dxa"/>
            <w:tcBorders>
              <w:top w:val="nil"/>
              <w:left w:val="nil"/>
              <w:right w:val="nil"/>
            </w:tcBorders>
            <w:shd w:val="clear" w:color="auto" w:fill="D9D9D9" w:themeFill="background1" w:themeFillShade="D9"/>
            <w:noWrap/>
            <w:hideMark/>
          </w:tcPr>
          <w:p w14:paraId="53E29714"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phosphoglycerate mutase 1 pseudogene 2</w:t>
            </w:r>
          </w:p>
        </w:tc>
        <w:tc>
          <w:tcPr>
            <w:tcW w:w="4961" w:type="dxa"/>
            <w:tcBorders>
              <w:top w:val="nil"/>
              <w:left w:val="nil"/>
              <w:right w:val="nil"/>
            </w:tcBorders>
            <w:shd w:val="clear" w:color="auto" w:fill="D9D9D9" w:themeFill="background1" w:themeFillShade="D9"/>
            <w:noWrap/>
            <w:hideMark/>
          </w:tcPr>
          <w:p w14:paraId="36CAB9F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63DCF50E" w14:textId="77777777" w:rsidTr="00374D7F">
        <w:trPr>
          <w:trHeight w:val="255"/>
        </w:trPr>
        <w:tc>
          <w:tcPr>
            <w:tcW w:w="2420" w:type="dxa"/>
            <w:tcBorders>
              <w:top w:val="nil"/>
              <w:left w:val="nil"/>
              <w:bottom w:val="single" w:sz="4" w:space="0" w:color="auto"/>
              <w:right w:val="nil"/>
            </w:tcBorders>
            <w:shd w:val="clear" w:color="auto" w:fill="auto"/>
            <w:noWrap/>
            <w:hideMark/>
          </w:tcPr>
          <w:p w14:paraId="028D288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OR2S2, OR37A, OST715</w:t>
            </w:r>
          </w:p>
        </w:tc>
        <w:tc>
          <w:tcPr>
            <w:tcW w:w="1629" w:type="dxa"/>
            <w:tcBorders>
              <w:top w:val="nil"/>
              <w:left w:val="nil"/>
              <w:bottom w:val="single" w:sz="4" w:space="0" w:color="auto"/>
              <w:right w:val="nil"/>
            </w:tcBorders>
            <w:shd w:val="clear" w:color="auto" w:fill="auto"/>
            <w:noWrap/>
            <w:hideMark/>
          </w:tcPr>
          <w:p w14:paraId="7C5947F1"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OR2S2</w:t>
            </w:r>
          </w:p>
        </w:tc>
        <w:tc>
          <w:tcPr>
            <w:tcW w:w="1218" w:type="dxa"/>
            <w:tcBorders>
              <w:top w:val="nil"/>
              <w:left w:val="nil"/>
              <w:bottom w:val="single" w:sz="4" w:space="0" w:color="auto"/>
              <w:right w:val="nil"/>
            </w:tcBorders>
            <w:shd w:val="clear" w:color="auto" w:fill="auto"/>
            <w:noWrap/>
            <w:hideMark/>
          </w:tcPr>
          <w:p w14:paraId="0829D487"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56656</w:t>
            </w:r>
          </w:p>
        </w:tc>
        <w:tc>
          <w:tcPr>
            <w:tcW w:w="4514" w:type="dxa"/>
            <w:tcBorders>
              <w:top w:val="nil"/>
              <w:left w:val="nil"/>
              <w:bottom w:val="single" w:sz="4" w:space="0" w:color="auto"/>
              <w:right w:val="nil"/>
            </w:tcBorders>
            <w:shd w:val="clear" w:color="auto" w:fill="auto"/>
            <w:noWrap/>
            <w:hideMark/>
          </w:tcPr>
          <w:p w14:paraId="47CAFFB5"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olfactory receptor family 2 subfamily S member 2 (gene/pseudogene)</w:t>
            </w:r>
          </w:p>
        </w:tc>
        <w:tc>
          <w:tcPr>
            <w:tcW w:w="4961" w:type="dxa"/>
            <w:tcBorders>
              <w:top w:val="nil"/>
              <w:left w:val="nil"/>
              <w:bottom w:val="single" w:sz="4" w:space="0" w:color="auto"/>
              <w:right w:val="nil"/>
            </w:tcBorders>
            <w:shd w:val="clear" w:color="auto" w:fill="auto"/>
            <w:noWrap/>
            <w:hideMark/>
          </w:tcPr>
          <w:p w14:paraId="51C0933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bl>
    <w:p w14:paraId="6B1CFAF1" w14:textId="77777777" w:rsidR="00374D7F" w:rsidRDefault="00374D7F" w:rsidP="00374D7F">
      <w:pPr>
        <w:ind w:right="-456"/>
        <w:jc w:val="right"/>
      </w:pPr>
      <w:r>
        <w:t>… to be continued</w:t>
      </w:r>
    </w:p>
    <w:p w14:paraId="5DB95FCF" w14:textId="77777777" w:rsidR="00374D7F" w:rsidRDefault="00374D7F">
      <w:pPr>
        <w:rPr>
          <w:rFonts w:ascii="Arial" w:hAnsi="Arial"/>
          <w:b/>
          <w:lang w:val="en-US"/>
        </w:rPr>
      </w:pPr>
      <w:r>
        <w:rPr>
          <w:rFonts w:ascii="Arial" w:hAnsi="Arial"/>
          <w:b/>
          <w:lang w:val="en-US"/>
        </w:rPr>
        <w:br w:type="page"/>
      </w:r>
    </w:p>
    <w:p w14:paraId="51D3F226" w14:textId="02BE6871" w:rsidR="00374D7F" w:rsidRDefault="00374D7F" w:rsidP="00374D7F">
      <w:pPr>
        <w:spacing w:after="120" w:line="240" w:lineRule="auto"/>
        <w:jc w:val="both"/>
        <w:rPr>
          <w:rFonts w:ascii="Arial" w:hAnsi="Arial" w:cs="Arial"/>
          <w:sz w:val="20"/>
          <w:szCs w:val="20"/>
          <w:lang w:val="en-US"/>
        </w:rPr>
      </w:pPr>
      <w:r w:rsidRPr="00374D7F">
        <w:rPr>
          <w:rFonts w:ascii="Arial" w:hAnsi="Arial"/>
          <w:b/>
          <w:lang w:val="en-US"/>
        </w:rPr>
        <w:lastRenderedPageBreak/>
        <w:t xml:space="preserve">Supplementary Table 9: continued </w:t>
      </w:r>
    </w:p>
    <w:tbl>
      <w:tblPr>
        <w:tblW w:w="14742" w:type="dxa"/>
        <w:tblLook w:val="04A0" w:firstRow="1" w:lastRow="0" w:firstColumn="1" w:lastColumn="0" w:noHBand="0" w:noVBand="1"/>
      </w:tblPr>
      <w:tblGrid>
        <w:gridCol w:w="2420"/>
        <w:gridCol w:w="1629"/>
        <w:gridCol w:w="1218"/>
        <w:gridCol w:w="4514"/>
        <w:gridCol w:w="4961"/>
      </w:tblGrid>
      <w:tr w:rsidR="00374D7F" w:rsidRPr="00184E69" w14:paraId="50DC0AE9" w14:textId="77777777" w:rsidTr="0001057B">
        <w:trPr>
          <w:trHeight w:val="726"/>
        </w:trPr>
        <w:tc>
          <w:tcPr>
            <w:tcW w:w="2420" w:type="dxa"/>
            <w:tcBorders>
              <w:top w:val="single" w:sz="4" w:space="0" w:color="auto"/>
              <w:left w:val="nil"/>
              <w:bottom w:val="single" w:sz="4" w:space="0" w:color="auto"/>
              <w:right w:val="nil"/>
            </w:tcBorders>
            <w:shd w:val="clear" w:color="auto" w:fill="9CC2E5" w:themeFill="accent1" w:themeFillTint="99"/>
            <w:noWrap/>
            <w:vAlign w:val="bottom"/>
            <w:hideMark/>
          </w:tcPr>
          <w:p w14:paraId="4AFD8CB9"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 Name(s)</w:t>
            </w:r>
            <w:r>
              <w:rPr>
                <w:rFonts w:ascii="Arial" w:eastAsia="Times New Roman" w:hAnsi="Arial" w:cs="Arial"/>
                <w:b/>
                <w:bCs/>
                <w:color w:val="000000"/>
                <w:sz w:val="20"/>
                <w:szCs w:val="20"/>
                <w:vertAlign w:val="superscript"/>
                <w:lang w:val="en-US"/>
              </w:rPr>
              <w:t>1,2</w:t>
            </w:r>
          </w:p>
        </w:tc>
        <w:tc>
          <w:tcPr>
            <w:tcW w:w="1629" w:type="dxa"/>
            <w:tcBorders>
              <w:top w:val="single" w:sz="4" w:space="0" w:color="auto"/>
              <w:left w:val="nil"/>
              <w:bottom w:val="single" w:sz="4" w:space="0" w:color="auto"/>
              <w:right w:val="nil"/>
            </w:tcBorders>
            <w:shd w:val="clear" w:color="auto" w:fill="9CC2E5" w:themeFill="accent1" w:themeFillTint="99"/>
            <w:vAlign w:val="bottom"/>
            <w:hideMark/>
          </w:tcPr>
          <w:p w14:paraId="7C0C64C7"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Approved Gene Symbol</w:t>
            </w:r>
            <w:r>
              <w:rPr>
                <w:rFonts w:ascii="Arial" w:eastAsia="Times New Roman" w:hAnsi="Arial" w:cs="Arial"/>
                <w:b/>
                <w:bCs/>
                <w:color w:val="000000"/>
                <w:sz w:val="20"/>
                <w:szCs w:val="20"/>
                <w:vertAlign w:val="superscript"/>
                <w:lang w:val="en-US"/>
              </w:rPr>
              <w:t xml:space="preserve">3 </w:t>
            </w:r>
            <w:r>
              <w:rPr>
                <w:rFonts w:ascii="Arial" w:eastAsia="Times New Roman" w:hAnsi="Arial" w:cs="Arial"/>
                <w:b/>
                <w:bCs/>
                <w:color w:val="000000"/>
                <w:sz w:val="20"/>
                <w:szCs w:val="20"/>
                <w:lang w:val="en-US"/>
              </w:rPr>
              <w:t>[HGNC]</w:t>
            </w:r>
          </w:p>
        </w:tc>
        <w:tc>
          <w:tcPr>
            <w:tcW w:w="1218" w:type="dxa"/>
            <w:tcBorders>
              <w:top w:val="single" w:sz="4" w:space="0" w:color="auto"/>
              <w:left w:val="nil"/>
              <w:bottom w:val="single" w:sz="4" w:space="0" w:color="auto"/>
              <w:right w:val="nil"/>
            </w:tcBorders>
            <w:shd w:val="clear" w:color="auto" w:fill="9CC2E5" w:themeFill="accent1" w:themeFillTint="99"/>
            <w:vAlign w:val="bottom"/>
            <w:hideMark/>
          </w:tcPr>
          <w:p w14:paraId="028322C1"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GeneID [NCBI]</w:t>
            </w:r>
          </w:p>
        </w:tc>
        <w:tc>
          <w:tcPr>
            <w:tcW w:w="4514" w:type="dxa"/>
            <w:tcBorders>
              <w:top w:val="single" w:sz="4" w:space="0" w:color="auto"/>
              <w:left w:val="nil"/>
              <w:bottom w:val="single" w:sz="4" w:space="0" w:color="auto"/>
              <w:right w:val="nil"/>
            </w:tcBorders>
            <w:shd w:val="clear" w:color="auto" w:fill="9CC2E5" w:themeFill="accent1" w:themeFillTint="99"/>
            <w:vAlign w:val="bottom"/>
            <w:hideMark/>
          </w:tcPr>
          <w:p w14:paraId="7BD8EE59" w14:textId="77777777"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Approved gene name (HGNC) (WAS: DESCRIPTION)</w:t>
            </w:r>
          </w:p>
        </w:tc>
        <w:tc>
          <w:tcPr>
            <w:tcW w:w="4961" w:type="dxa"/>
            <w:tcBorders>
              <w:top w:val="single" w:sz="4" w:space="0" w:color="auto"/>
              <w:left w:val="nil"/>
              <w:bottom w:val="single" w:sz="4" w:space="0" w:color="auto"/>
              <w:right w:val="nil"/>
            </w:tcBorders>
            <w:shd w:val="clear" w:color="auto" w:fill="9CC2E5" w:themeFill="accent1" w:themeFillTint="99"/>
            <w:vAlign w:val="bottom"/>
            <w:hideMark/>
          </w:tcPr>
          <w:p w14:paraId="4C3CBAEE" w14:textId="02122A7D" w:rsidR="00374D7F" w:rsidRDefault="00374D7F" w:rsidP="0001057B">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Current knowledge about this gene</w:t>
            </w:r>
            <w:r>
              <w:rPr>
                <w:rFonts w:ascii="Arial" w:eastAsia="Times New Roman" w:hAnsi="Arial" w:cs="Arial"/>
                <w:b/>
                <w:bCs/>
                <w:color w:val="000000"/>
                <w:sz w:val="20"/>
                <w:szCs w:val="20"/>
                <w:lang w:val="en-US"/>
              </w:rPr>
              <w:br/>
              <w:t xml:space="preserve">[mouse models, monogenic renal disease, etc.] </w:t>
            </w:r>
            <w:r w:rsidR="00166A28">
              <w:rPr>
                <w:rFonts w:ascii="Arial" w:eastAsia="Times New Roman" w:hAnsi="Arial" w:cs="Arial"/>
                <w:b/>
                <w:bCs/>
                <w:color w:val="000000"/>
                <w:sz w:val="20"/>
                <w:szCs w:val="20"/>
                <w:lang w:val="en-US"/>
              </w:rPr>
              <w:t>(PMID)</w:t>
            </w:r>
          </w:p>
        </w:tc>
      </w:tr>
      <w:tr w:rsidR="008D6DF4" w14:paraId="58F55244"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2EB203E3" w14:textId="151A02D8"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OR2S1P</w:t>
            </w:r>
          </w:p>
        </w:tc>
        <w:tc>
          <w:tcPr>
            <w:tcW w:w="1629" w:type="dxa"/>
            <w:tcBorders>
              <w:top w:val="nil"/>
              <w:left w:val="nil"/>
              <w:bottom w:val="nil"/>
              <w:right w:val="nil"/>
            </w:tcBorders>
            <w:shd w:val="clear" w:color="auto" w:fill="D9D9D9" w:themeFill="background1" w:themeFillShade="D9"/>
            <w:noWrap/>
            <w:hideMark/>
          </w:tcPr>
          <w:p w14:paraId="7E4BE138"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OR2S1P</w:t>
            </w:r>
          </w:p>
        </w:tc>
        <w:tc>
          <w:tcPr>
            <w:tcW w:w="1218" w:type="dxa"/>
            <w:tcBorders>
              <w:top w:val="nil"/>
              <w:left w:val="nil"/>
              <w:bottom w:val="nil"/>
              <w:right w:val="nil"/>
            </w:tcBorders>
            <w:shd w:val="clear" w:color="auto" w:fill="D9D9D9" w:themeFill="background1" w:themeFillShade="D9"/>
            <w:noWrap/>
            <w:hideMark/>
          </w:tcPr>
          <w:p w14:paraId="400C25AB"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392313</w:t>
            </w:r>
          </w:p>
        </w:tc>
        <w:tc>
          <w:tcPr>
            <w:tcW w:w="4514" w:type="dxa"/>
            <w:tcBorders>
              <w:top w:val="nil"/>
              <w:left w:val="nil"/>
              <w:bottom w:val="nil"/>
              <w:right w:val="nil"/>
            </w:tcBorders>
            <w:shd w:val="clear" w:color="auto" w:fill="D9D9D9" w:themeFill="background1" w:themeFillShade="D9"/>
            <w:noWrap/>
            <w:hideMark/>
          </w:tcPr>
          <w:p w14:paraId="2D0DE29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olfactory receptor family 2 subfamily S member 1 pseudogene</w:t>
            </w:r>
          </w:p>
        </w:tc>
        <w:tc>
          <w:tcPr>
            <w:tcW w:w="4961" w:type="dxa"/>
            <w:tcBorders>
              <w:top w:val="nil"/>
              <w:left w:val="nil"/>
              <w:bottom w:val="nil"/>
              <w:right w:val="nil"/>
            </w:tcBorders>
            <w:shd w:val="clear" w:color="auto" w:fill="D9D9D9" w:themeFill="background1" w:themeFillShade="D9"/>
            <w:noWrap/>
            <w:hideMark/>
          </w:tcPr>
          <w:p w14:paraId="08B9BF87"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52EC8FC7" w14:textId="77777777" w:rsidTr="00ED49C7">
        <w:trPr>
          <w:trHeight w:val="255"/>
        </w:trPr>
        <w:tc>
          <w:tcPr>
            <w:tcW w:w="2420" w:type="dxa"/>
            <w:tcBorders>
              <w:top w:val="nil"/>
              <w:left w:val="nil"/>
              <w:bottom w:val="nil"/>
              <w:right w:val="nil"/>
            </w:tcBorders>
            <w:shd w:val="clear" w:color="auto" w:fill="auto"/>
            <w:noWrap/>
            <w:hideMark/>
          </w:tcPr>
          <w:p w14:paraId="5661EBB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RECK, ST15</w:t>
            </w:r>
          </w:p>
        </w:tc>
        <w:tc>
          <w:tcPr>
            <w:tcW w:w="1629" w:type="dxa"/>
            <w:tcBorders>
              <w:top w:val="nil"/>
              <w:left w:val="nil"/>
              <w:bottom w:val="nil"/>
              <w:right w:val="nil"/>
            </w:tcBorders>
            <w:shd w:val="clear" w:color="auto" w:fill="auto"/>
            <w:noWrap/>
            <w:hideMark/>
          </w:tcPr>
          <w:p w14:paraId="059BE23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RECK</w:t>
            </w:r>
          </w:p>
        </w:tc>
        <w:tc>
          <w:tcPr>
            <w:tcW w:w="1218" w:type="dxa"/>
            <w:tcBorders>
              <w:top w:val="nil"/>
              <w:left w:val="nil"/>
              <w:bottom w:val="nil"/>
              <w:right w:val="nil"/>
            </w:tcBorders>
            <w:shd w:val="clear" w:color="auto" w:fill="auto"/>
            <w:noWrap/>
            <w:hideMark/>
          </w:tcPr>
          <w:p w14:paraId="4841DD3A"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8434</w:t>
            </w:r>
          </w:p>
        </w:tc>
        <w:tc>
          <w:tcPr>
            <w:tcW w:w="4514" w:type="dxa"/>
            <w:tcBorders>
              <w:top w:val="nil"/>
              <w:left w:val="nil"/>
              <w:bottom w:val="nil"/>
              <w:right w:val="nil"/>
            </w:tcBorders>
            <w:shd w:val="clear" w:color="auto" w:fill="auto"/>
            <w:noWrap/>
            <w:hideMark/>
          </w:tcPr>
          <w:p w14:paraId="21D0C8F9"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reversion inducing cysteine rich protein with kazal motifs</w:t>
            </w:r>
          </w:p>
        </w:tc>
        <w:tc>
          <w:tcPr>
            <w:tcW w:w="4961" w:type="dxa"/>
            <w:tcBorders>
              <w:top w:val="nil"/>
              <w:left w:val="nil"/>
              <w:bottom w:val="nil"/>
              <w:right w:val="nil"/>
            </w:tcBorders>
            <w:shd w:val="clear" w:color="auto" w:fill="auto"/>
            <w:noWrap/>
            <w:hideMark/>
          </w:tcPr>
          <w:p w14:paraId="61BAB632"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rsidRPr="00BA5039" w14:paraId="63357358" w14:textId="77777777" w:rsidTr="00ED49C7">
        <w:trPr>
          <w:trHeight w:val="1785"/>
        </w:trPr>
        <w:tc>
          <w:tcPr>
            <w:tcW w:w="2420" w:type="dxa"/>
            <w:tcBorders>
              <w:top w:val="nil"/>
              <w:left w:val="nil"/>
              <w:bottom w:val="nil"/>
              <w:right w:val="nil"/>
            </w:tcBorders>
            <w:shd w:val="clear" w:color="auto" w:fill="D9D9D9" w:themeFill="background1" w:themeFillShade="D9"/>
            <w:noWrap/>
            <w:hideMark/>
          </w:tcPr>
          <w:p w14:paraId="5854A98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GLIPR2, C9orf19, GAPR-1, GAPR1</w:t>
            </w:r>
          </w:p>
        </w:tc>
        <w:tc>
          <w:tcPr>
            <w:tcW w:w="1629" w:type="dxa"/>
            <w:tcBorders>
              <w:top w:val="nil"/>
              <w:left w:val="nil"/>
              <w:bottom w:val="nil"/>
              <w:right w:val="nil"/>
            </w:tcBorders>
            <w:shd w:val="clear" w:color="auto" w:fill="D9D9D9" w:themeFill="background1" w:themeFillShade="D9"/>
            <w:noWrap/>
            <w:hideMark/>
          </w:tcPr>
          <w:p w14:paraId="42F93B0C"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GLIPR2</w:t>
            </w:r>
          </w:p>
        </w:tc>
        <w:tc>
          <w:tcPr>
            <w:tcW w:w="1218" w:type="dxa"/>
            <w:tcBorders>
              <w:top w:val="nil"/>
              <w:left w:val="nil"/>
              <w:bottom w:val="nil"/>
              <w:right w:val="nil"/>
            </w:tcBorders>
            <w:shd w:val="clear" w:color="auto" w:fill="D9D9D9" w:themeFill="background1" w:themeFillShade="D9"/>
            <w:noWrap/>
            <w:hideMark/>
          </w:tcPr>
          <w:p w14:paraId="6E5B175E"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152007</w:t>
            </w:r>
          </w:p>
        </w:tc>
        <w:tc>
          <w:tcPr>
            <w:tcW w:w="4514" w:type="dxa"/>
            <w:tcBorders>
              <w:top w:val="nil"/>
              <w:left w:val="nil"/>
              <w:bottom w:val="nil"/>
              <w:right w:val="nil"/>
            </w:tcBorders>
            <w:shd w:val="clear" w:color="auto" w:fill="D9D9D9" w:themeFill="background1" w:themeFillShade="D9"/>
            <w:noWrap/>
            <w:hideMark/>
          </w:tcPr>
          <w:p w14:paraId="379C7373"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GLI pathogenesis related 2</w:t>
            </w:r>
          </w:p>
        </w:tc>
        <w:tc>
          <w:tcPr>
            <w:tcW w:w="4961" w:type="dxa"/>
            <w:tcBorders>
              <w:top w:val="nil"/>
              <w:left w:val="nil"/>
              <w:bottom w:val="nil"/>
              <w:right w:val="nil"/>
            </w:tcBorders>
            <w:shd w:val="clear" w:color="auto" w:fill="D9D9D9" w:themeFill="background1" w:themeFillShade="D9"/>
            <w:hideMark/>
          </w:tcPr>
          <w:p w14:paraId="0805D7D3" w14:textId="3A21E2C6" w:rsidR="008D6DF4" w:rsidRDefault="007C1EBA" w:rsidP="00166A28">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Basal expression in kidney, but expression is strongly increased in fibrotic kidney. It has been proposed to induce epithelial to </w:t>
            </w:r>
            <w:r w:rsidRPr="00166A28">
              <w:rPr>
                <w:rFonts w:ascii="Arial" w:eastAsia="Times New Roman" w:hAnsi="Arial" w:cs="Arial"/>
                <w:color w:val="000000"/>
                <w:sz w:val="20"/>
                <w:szCs w:val="20"/>
                <w:lang w:val="en-US"/>
              </w:rPr>
              <w:t>mesenchymal transition (EMT) in a renal epithelial cells (</w:t>
            </w:r>
            <w:r w:rsidR="00166A28" w:rsidRPr="00166A28">
              <w:rPr>
                <w:rFonts w:ascii="Arial" w:hAnsi="Arial" w:cs="Arial"/>
                <w:sz w:val="20"/>
                <w:szCs w:val="20"/>
                <w:lang w:val="en-US"/>
              </w:rPr>
              <w:t>17055234)</w:t>
            </w:r>
            <w:r w:rsidRPr="00166A28">
              <w:rPr>
                <w:rFonts w:ascii="Arial" w:eastAsia="Times New Roman" w:hAnsi="Arial" w:cs="Arial"/>
                <w:color w:val="000000"/>
                <w:sz w:val="20"/>
                <w:szCs w:val="20"/>
                <w:lang w:val="en-US"/>
              </w:rPr>
              <w:t>. Overexpression promotes epithelial-to-mesenchymal transition (EMT) of tubular epithelial cells via the ERK1/2 signaling pathway. This is a critical event in development of renal interstitial fibrosis (</w:t>
            </w:r>
            <w:r w:rsidR="00166A28" w:rsidRPr="00166A28">
              <w:rPr>
                <w:rFonts w:ascii="Arial" w:hAnsi="Arial" w:cs="Arial"/>
                <w:sz w:val="20"/>
                <w:szCs w:val="20"/>
                <w:lang w:val="en-US"/>
              </w:rPr>
              <w:t>23516513</w:t>
            </w:r>
            <w:r w:rsidRPr="00166A28">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 xml:space="preserve"> </w:t>
            </w:r>
          </w:p>
        </w:tc>
      </w:tr>
      <w:tr w:rsidR="008D6DF4" w14:paraId="18DB372E" w14:textId="77777777" w:rsidTr="00ED49C7">
        <w:trPr>
          <w:trHeight w:val="255"/>
        </w:trPr>
        <w:tc>
          <w:tcPr>
            <w:tcW w:w="2420" w:type="dxa"/>
            <w:tcBorders>
              <w:top w:val="nil"/>
              <w:left w:val="nil"/>
              <w:bottom w:val="nil"/>
              <w:right w:val="nil"/>
            </w:tcBorders>
            <w:shd w:val="clear" w:color="auto" w:fill="auto"/>
            <w:noWrap/>
            <w:hideMark/>
          </w:tcPr>
          <w:p w14:paraId="1496F1E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CCIN, BTBD20, KBTBD14</w:t>
            </w:r>
          </w:p>
        </w:tc>
        <w:tc>
          <w:tcPr>
            <w:tcW w:w="1629" w:type="dxa"/>
            <w:tcBorders>
              <w:top w:val="nil"/>
              <w:left w:val="nil"/>
              <w:bottom w:val="nil"/>
              <w:right w:val="nil"/>
            </w:tcBorders>
            <w:shd w:val="clear" w:color="auto" w:fill="auto"/>
            <w:noWrap/>
            <w:hideMark/>
          </w:tcPr>
          <w:p w14:paraId="7DCBEDB5"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CCIN</w:t>
            </w:r>
          </w:p>
        </w:tc>
        <w:tc>
          <w:tcPr>
            <w:tcW w:w="1218" w:type="dxa"/>
            <w:tcBorders>
              <w:top w:val="nil"/>
              <w:left w:val="nil"/>
              <w:bottom w:val="nil"/>
              <w:right w:val="nil"/>
            </w:tcBorders>
            <w:shd w:val="clear" w:color="auto" w:fill="auto"/>
            <w:noWrap/>
            <w:hideMark/>
          </w:tcPr>
          <w:p w14:paraId="136B2614"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881</w:t>
            </w:r>
          </w:p>
        </w:tc>
        <w:tc>
          <w:tcPr>
            <w:tcW w:w="4514" w:type="dxa"/>
            <w:tcBorders>
              <w:top w:val="nil"/>
              <w:left w:val="nil"/>
              <w:bottom w:val="nil"/>
              <w:right w:val="nil"/>
            </w:tcBorders>
            <w:shd w:val="clear" w:color="auto" w:fill="auto"/>
            <w:noWrap/>
            <w:hideMark/>
          </w:tcPr>
          <w:p w14:paraId="10A0815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calicin</w:t>
            </w:r>
          </w:p>
        </w:tc>
        <w:tc>
          <w:tcPr>
            <w:tcW w:w="4961" w:type="dxa"/>
            <w:tcBorders>
              <w:top w:val="nil"/>
              <w:left w:val="nil"/>
              <w:bottom w:val="nil"/>
              <w:right w:val="nil"/>
            </w:tcBorders>
            <w:shd w:val="clear" w:color="auto" w:fill="auto"/>
            <w:noWrap/>
            <w:hideMark/>
          </w:tcPr>
          <w:p w14:paraId="788EC9A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1EF77D35"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2CE0B10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CLTA, LCA</w:t>
            </w:r>
          </w:p>
        </w:tc>
        <w:tc>
          <w:tcPr>
            <w:tcW w:w="1629" w:type="dxa"/>
            <w:tcBorders>
              <w:top w:val="nil"/>
              <w:left w:val="nil"/>
              <w:bottom w:val="nil"/>
              <w:right w:val="nil"/>
            </w:tcBorders>
            <w:shd w:val="clear" w:color="auto" w:fill="D9D9D9" w:themeFill="background1" w:themeFillShade="D9"/>
            <w:noWrap/>
            <w:hideMark/>
          </w:tcPr>
          <w:p w14:paraId="42F376A3"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CLTA</w:t>
            </w:r>
          </w:p>
        </w:tc>
        <w:tc>
          <w:tcPr>
            <w:tcW w:w="1218" w:type="dxa"/>
            <w:tcBorders>
              <w:top w:val="nil"/>
              <w:left w:val="nil"/>
              <w:bottom w:val="nil"/>
              <w:right w:val="nil"/>
            </w:tcBorders>
            <w:shd w:val="clear" w:color="auto" w:fill="D9D9D9" w:themeFill="background1" w:themeFillShade="D9"/>
            <w:noWrap/>
            <w:hideMark/>
          </w:tcPr>
          <w:p w14:paraId="111B2E0C"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1211</w:t>
            </w:r>
          </w:p>
        </w:tc>
        <w:tc>
          <w:tcPr>
            <w:tcW w:w="4514" w:type="dxa"/>
            <w:tcBorders>
              <w:top w:val="nil"/>
              <w:left w:val="nil"/>
              <w:bottom w:val="nil"/>
              <w:right w:val="nil"/>
            </w:tcBorders>
            <w:shd w:val="clear" w:color="auto" w:fill="D9D9D9" w:themeFill="background1" w:themeFillShade="D9"/>
            <w:noWrap/>
            <w:hideMark/>
          </w:tcPr>
          <w:p w14:paraId="5AC24C3D"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clathrin light chain A</w:t>
            </w:r>
          </w:p>
        </w:tc>
        <w:tc>
          <w:tcPr>
            <w:tcW w:w="4961" w:type="dxa"/>
            <w:tcBorders>
              <w:top w:val="nil"/>
              <w:left w:val="nil"/>
              <w:bottom w:val="nil"/>
              <w:right w:val="nil"/>
            </w:tcBorders>
            <w:shd w:val="clear" w:color="auto" w:fill="D9D9D9" w:themeFill="background1" w:themeFillShade="D9"/>
            <w:noWrap/>
            <w:hideMark/>
          </w:tcPr>
          <w:p w14:paraId="6AF39DB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rsidRPr="00BA5039" w14:paraId="7581958F" w14:textId="77777777" w:rsidTr="00ED49C7">
        <w:trPr>
          <w:trHeight w:val="2295"/>
        </w:trPr>
        <w:tc>
          <w:tcPr>
            <w:tcW w:w="2420" w:type="dxa"/>
            <w:tcBorders>
              <w:top w:val="nil"/>
              <w:left w:val="nil"/>
              <w:bottom w:val="nil"/>
              <w:right w:val="nil"/>
            </w:tcBorders>
            <w:shd w:val="clear" w:color="auto" w:fill="auto"/>
            <w:noWrap/>
            <w:hideMark/>
          </w:tcPr>
          <w:p w14:paraId="178B2569" w14:textId="77777777" w:rsidR="008D6DF4" w:rsidRPr="00D50766" w:rsidRDefault="007C1EBA">
            <w:pPr>
              <w:spacing w:after="0" w:line="240" w:lineRule="auto"/>
              <w:rPr>
                <w:rFonts w:ascii="Arial" w:eastAsia="Times New Roman" w:hAnsi="Arial" w:cs="Arial"/>
                <w:i/>
                <w:iCs/>
                <w:color w:val="000000"/>
                <w:sz w:val="20"/>
                <w:szCs w:val="20"/>
              </w:rPr>
            </w:pPr>
            <w:r w:rsidRPr="00D50766">
              <w:rPr>
                <w:rFonts w:ascii="Arial" w:eastAsia="Times New Roman" w:hAnsi="Arial" w:cs="Arial"/>
                <w:i/>
                <w:iCs/>
                <w:color w:val="000000"/>
                <w:sz w:val="20"/>
                <w:szCs w:val="20"/>
              </w:rPr>
              <w:t>GNE, DMRV, GLCNE, IBM2, NM, Uae1</w:t>
            </w:r>
          </w:p>
        </w:tc>
        <w:tc>
          <w:tcPr>
            <w:tcW w:w="1629" w:type="dxa"/>
            <w:tcBorders>
              <w:top w:val="nil"/>
              <w:left w:val="nil"/>
              <w:bottom w:val="nil"/>
              <w:right w:val="nil"/>
            </w:tcBorders>
            <w:shd w:val="clear" w:color="auto" w:fill="auto"/>
            <w:noWrap/>
            <w:hideMark/>
          </w:tcPr>
          <w:p w14:paraId="5026E7BD"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GNE</w:t>
            </w:r>
          </w:p>
        </w:tc>
        <w:tc>
          <w:tcPr>
            <w:tcW w:w="1218" w:type="dxa"/>
            <w:tcBorders>
              <w:top w:val="nil"/>
              <w:left w:val="nil"/>
              <w:bottom w:val="nil"/>
              <w:right w:val="nil"/>
            </w:tcBorders>
            <w:shd w:val="clear" w:color="auto" w:fill="auto"/>
            <w:noWrap/>
            <w:hideMark/>
          </w:tcPr>
          <w:p w14:paraId="7F95192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10020</w:t>
            </w:r>
          </w:p>
        </w:tc>
        <w:tc>
          <w:tcPr>
            <w:tcW w:w="4514" w:type="dxa"/>
            <w:tcBorders>
              <w:top w:val="nil"/>
              <w:left w:val="nil"/>
              <w:bottom w:val="nil"/>
              <w:right w:val="nil"/>
            </w:tcBorders>
            <w:shd w:val="clear" w:color="auto" w:fill="auto"/>
            <w:noWrap/>
            <w:hideMark/>
          </w:tcPr>
          <w:p w14:paraId="15F29854" w14:textId="77777777" w:rsidR="008D6DF4" w:rsidRPr="00D50766" w:rsidRDefault="007C1EBA">
            <w:pPr>
              <w:spacing w:after="0" w:line="240" w:lineRule="auto"/>
              <w:rPr>
                <w:rFonts w:ascii="Arial" w:eastAsia="Times New Roman" w:hAnsi="Arial" w:cs="Arial"/>
                <w:color w:val="000000"/>
                <w:sz w:val="20"/>
                <w:szCs w:val="20"/>
                <w:lang w:val="it-IT"/>
              </w:rPr>
            </w:pPr>
            <w:r w:rsidRPr="00D50766">
              <w:rPr>
                <w:rFonts w:ascii="Arial" w:eastAsia="Times New Roman" w:hAnsi="Arial" w:cs="Arial"/>
                <w:color w:val="000000"/>
                <w:sz w:val="20"/>
                <w:szCs w:val="20"/>
                <w:lang w:val="it-IT"/>
              </w:rPr>
              <w:t>glucosamine (UDP-N-acetyl)-2-epimerase/N-acetylmannosamine kinase</w:t>
            </w:r>
          </w:p>
        </w:tc>
        <w:tc>
          <w:tcPr>
            <w:tcW w:w="4961" w:type="dxa"/>
            <w:tcBorders>
              <w:top w:val="nil"/>
              <w:left w:val="nil"/>
              <w:bottom w:val="nil"/>
              <w:right w:val="nil"/>
            </w:tcBorders>
            <w:shd w:val="clear" w:color="auto" w:fill="auto"/>
            <w:hideMark/>
          </w:tcPr>
          <w:p w14:paraId="16CA99F9" w14:textId="6001E35E" w:rsidR="008D6DF4" w:rsidRDefault="007C1EBA" w:rsidP="00356522">
            <w:pPr>
              <w:spacing w:after="0" w:line="240" w:lineRule="auto"/>
              <w:rPr>
                <w:rFonts w:ascii="Arial" w:eastAsia="Times New Roman" w:hAnsi="Arial" w:cs="Arial"/>
                <w:color w:val="000000"/>
                <w:sz w:val="20"/>
                <w:szCs w:val="20"/>
                <w:lang w:val="en-US"/>
              </w:rPr>
            </w:pPr>
            <w:r w:rsidRPr="00D50766">
              <w:rPr>
                <w:rFonts w:ascii="Arial" w:eastAsia="Times New Roman" w:hAnsi="Arial" w:cs="Arial"/>
                <w:color w:val="000000"/>
                <w:sz w:val="20"/>
                <w:szCs w:val="20"/>
                <w:lang w:val="it-IT"/>
              </w:rPr>
              <w:t xml:space="preserve"> </w:t>
            </w:r>
            <w:r>
              <w:rPr>
                <w:rFonts w:ascii="Arial" w:eastAsia="Times New Roman" w:hAnsi="Arial" w:cs="Arial"/>
                <w:color w:val="000000"/>
                <w:sz w:val="20"/>
                <w:szCs w:val="20"/>
                <w:lang w:val="en-US"/>
              </w:rPr>
              <w:t xml:space="preserve">Mice carrying the M712T </w:t>
            </w:r>
            <w:r w:rsidR="004E505C">
              <w:rPr>
                <w:rFonts w:ascii="Arial" w:eastAsia="Times New Roman" w:hAnsi="Arial" w:cs="Arial"/>
                <w:color w:val="000000"/>
                <w:sz w:val="20"/>
                <w:szCs w:val="20"/>
                <w:lang w:val="en-US"/>
              </w:rPr>
              <w:t>mutation</w:t>
            </w:r>
            <w:r>
              <w:rPr>
                <w:rFonts w:ascii="Arial" w:eastAsia="Times New Roman" w:hAnsi="Arial" w:cs="Arial"/>
                <w:color w:val="000000"/>
                <w:sz w:val="20"/>
                <w:szCs w:val="20"/>
                <w:lang w:val="en-US"/>
              </w:rPr>
              <w:t xml:space="preserve"> have been propo</w:t>
            </w:r>
            <w:r w:rsidRPr="00166A28">
              <w:rPr>
                <w:rFonts w:ascii="Arial" w:eastAsia="Times New Roman" w:hAnsi="Arial" w:cs="Arial"/>
                <w:color w:val="000000"/>
                <w:sz w:val="20"/>
                <w:szCs w:val="20"/>
                <w:lang w:val="en-US"/>
              </w:rPr>
              <w:t>sed as a model for human glomerulopathy (</w:t>
            </w:r>
            <w:r w:rsidR="00166A28" w:rsidRPr="00166A28">
              <w:rPr>
                <w:rFonts w:ascii="Arial" w:hAnsi="Arial" w:cs="Arial"/>
                <w:sz w:val="20"/>
                <w:szCs w:val="20"/>
                <w:lang w:val="en-US"/>
              </w:rPr>
              <w:t>22322304</w:t>
            </w:r>
            <w:r w:rsidRPr="00166A28">
              <w:rPr>
                <w:rFonts w:ascii="Arial" w:eastAsia="Times New Roman" w:hAnsi="Arial" w:cs="Arial"/>
                <w:color w:val="000000"/>
                <w:sz w:val="20"/>
                <w:szCs w:val="20"/>
                <w:lang w:val="en-US"/>
              </w:rPr>
              <w:t>). Homozygous mice die by postnatal day 3 due to glomerular hematuria, proteinuria, and podocytopathy, with segmental splitting of the glomerular basement membrane, effacement of podocyte foot processes, and reduced sialylation of podocalyxin (</w:t>
            </w:r>
            <w:r w:rsidR="00166A28" w:rsidRPr="00166A28">
              <w:rPr>
                <w:rFonts w:ascii="Arial" w:hAnsi="Arial" w:cs="Arial"/>
                <w:sz w:val="20"/>
                <w:szCs w:val="20"/>
                <w:lang w:val="en-US"/>
              </w:rPr>
              <w:t>17549255</w:t>
            </w:r>
            <w:r w:rsidRPr="00166A28">
              <w:rPr>
                <w:rFonts w:ascii="Arial" w:eastAsia="Times New Roman" w:hAnsi="Arial" w:cs="Arial"/>
                <w:color w:val="000000"/>
                <w:sz w:val="20"/>
                <w:szCs w:val="20"/>
                <w:lang w:val="en-US"/>
              </w:rPr>
              <w:t xml:space="preserve">). In humans GNE mutations have been linked both </w:t>
            </w:r>
            <w:r w:rsidR="00356522">
              <w:rPr>
                <w:rFonts w:ascii="Arial" w:eastAsia="Times New Roman" w:hAnsi="Arial" w:cs="Arial"/>
                <w:color w:val="000000"/>
                <w:sz w:val="20"/>
                <w:szCs w:val="20"/>
                <w:lang w:val="en-US"/>
              </w:rPr>
              <w:t xml:space="preserve">to Nonaka Distal Myopathy (MIM </w:t>
            </w:r>
            <w:r w:rsidRPr="00166A28">
              <w:rPr>
                <w:rFonts w:ascii="Arial" w:eastAsia="Times New Roman" w:hAnsi="Arial" w:cs="Arial"/>
                <w:color w:val="000000"/>
                <w:sz w:val="20"/>
                <w:szCs w:val="20"/>
                <w:lang w:val="en-US"/>
              </w:rPr>
              <w:t xml:space="preserve">605820, autosomal recessive) and Sialuria (MIM 269921, autosomal </w:t>
            </w:r>
            <w:r>
              <w:rPr>
                <w:rFonts w:ascii="Arial" w:eastAsia="Times New Roman" w:hAnsi="Arial" w:cs="Arial"/>
                <w:color w:val="000000"/>
                <w:sz w:val="20"/>
                <w:szCs w:val="20"/>
                <w:lang w:val="en-US"/>
              </w:rPr>
              <w:t>dominant).</w:t>
            </w:r>
          </w:p>
        </w:tc>
      </w:tr>
      <w:tr w:rsidR="008D6DF4" w14:paraId="3DE33827" w14:textId="77777777" w:rsidTr="00ED49C7">
        <w:trPr>
          <w:trHeight w:val="255"/>
        </w:trPr>
        <w:tc>
          <w:tcPr>
            <w:tcW w:w="2420" w:type="dxa"/>
            <w:tcBorders>
              <w:top w:val="nil"/>
              <w:left w:val="nil"/>
              <w:bottom w:val="nil"/>
              <w:right w:val="nil"/>
            </w:tcBorders>
            <w:shd w:val="clear" w:color="auto" w:fill="D9D9D9" w:themeFill="background1" w:themeFillShade="D9"/>
            <w:noWrap/>
            <w:hideMark/>
          </w:tcPr>
          <w:p w14:paraId="07538052"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HMGB3P24</w:t>
            </w:r>
          </w:p>
        </w:tc>
        <w:tc>
          <w:tcPr>
            <w:tcW w:w="1629" w:type="dxa"/>
            <w:tcBorders>
              <w:top w:val="nil"/>
              <w:left w:val="nil"/>
              <w:bottom w:val="nil"/>
              <w:right w:val="nil"/>
            </w:tcBorders>
            <w:shd w:val="clear" w:color="auto" w:fill="D9D9D9" w:themeFill="background1" w:themeFillShade="D9"/>
            <w:noWrap/>
            <w:hideMark/>
          </w:tcPr>
          <w:p w14:paraId="296E7686"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HMGB3P24</w:t>
            </w:r>
          </w:p>
        </w:tc>
        <w:tc>
          <w:tcPr>
            <w:tcW w:w="1218" w:type="dxa"/>
            <w:tcBorders>
              <w:top w:val="nil"/>
              <w:left w:val="nil"/>
              <w:bottom w:val="nil"/>
              <w:right w:val="nil"/>
            </w:tcBorders>
            <w:shd w:val="clear" w:color="auto" w:fill="D9D9D9" w:themeFill="background1" w:themeFillShade="D9"/>
            <w:noWrap/>
            <w:hideMark/>
          </w:tcPr>
          <w:p w14:paraId="0DC5B705"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646993</w:t>
            </w:r>
          </w:p>
        </w:tc>
        <w:tc>
          <w:tcPr>
            <w:tcW w:w="4514" w:type="dxa"/>
            <w:tcBorders>
              <w:top w:val="nil"/>
              <w:left w:val="nil"/>
              <w:bottom w:val="nil"/>
              <w:right w:val="nil"/>
            </w:tcBorders>
            <w:shd w:val="clear" w:color="auto" w:fill="D9D9D9" w:themeFill="background1" w:themeFillShade="D9"/>
            <w:noWrap/>
            <w:hideMark/>
          </w:tcPr>
          <w:p w14:paraId="750AE11A"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high mobility group box 3 pseudogene 24</w:t>
            </w:r>
          </w:p>
        </w:tc>
        <w:tc>
          <w:tcPr>
            <w:tcW w:w="4961" w:type="dxa"/>
            <w:tcBorders>
              <w:top w:val="nil"/>
              <w:left w:val="nil"/>
              <w:bottom w:val="nil"/>
              <w:right w:val="nil"/>
            </w:tcBorders>
            <w:shd w:val="clear" w:color="auto" w:fill="D9D9D9" w:themeFill="background1" w:themeFillShade="D9"/>
            <w:noWrap/>
            <w:hideMark/>
          </w:tcPr>
          <w:p w14:paraId="3D6A9BAE"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14:paraId="6658848F" w14:textId="77777777" w:rsidTr="00ED49C7">
        <w:trPr>
          <w:trHeight w:val="255"/>
        </w:trPr>
        <w:tc>
          <w:tcPr>
            <w:tcW w:w="2420" w:type="dxa"/>
            <w:tcBorders>
              <w:top w:val="nil"/>
              <w:left w:val="nil"/>
              <w:bottom w:val="single" w:sz="4" w:space="0" w:color="auto"/>
              <w:right w:val="nil"/>
            </w:tcBorders>
            <w:shd w:val="clear" w:color="auto" w:fill="auto"/>
            <w:noWrap/>
            <w:hideMark/>
          </w:tcPr>
          <w:p w14:paraId="50EE171E"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RNF38</w:t>
            </w:r>
          </w:p>
        </w:tc>
        <w:tc>
          <w:tcPr>
            <w:tcW w:w="1629" w:type="dxa"/>
            <w:tcBorders>
              <w:top w:val="nil"/>
              <w:left w:val="nil"/>
              <w:bottom w:val="single" w:sz="4" w:space="0" w:color="auto"/>
              <w:right w:val="nil"/>
            </w:tcBorders>
            <w:shd w:val="clear" w:color="auto" w:fill="auto"/>
            <w:noWrap/>
            <w:hideMark/>
          </w:tcPr>
          <w:p w14:paraId="58F9C9C4" w14:textId="77777777" w:rsidR="008D6DF4" w:rsidRDefault="007C1EBA">
            <w:pPr>
              <w:spacing w:after="0" w:line="240" w:lineRule="auto"/>
              <w:rPr>
                <w:rFonts w:ascii="Arial" w:eastAsia="Times New Roman" w:hAnsi="Arial" w:cs="Arial"/>
                <w:i/>
                <w:iCs/>
                <w:color w:val="000000"/>
                <w:sz w:val="20"/>
                <w:szCs w:val="20"/>
                <w:lang w:val="en-US"/>
              </w:rPr>
            </w:pPr>
            <w:r>
              <w:rPr>
                <w:rFonts w:ascii="Arial" w:eastAsia="Times New Roman" w:hAnsi="Arial" w:cs="Arial"/>
                <w:i/>
                <w:iCs/>
                <w:color w:val="000000"/>
                <w:sz w:val="20"/>
                <w:szCs w:val="20"/>
                <w:lang w:val="en-US"/>
              </w:rPr>
              <w:t>RNF38</w:t>
            </w:r>
          </w:p>
        </w:tc>
        <w:tc>
          <w:tcPr>
            <w:tcW w:w="1218" w:type="dxa"/>
            <w:tcBorders>
              <w:top w:val="nil"/>
              <w:left w:val="nil"/>
              <w:bottom w:val="single" w:sz="4" w:space="0" w:color="auto"/>
              <w:right w:val="nil"/>
            </w:tcBorders>
            <w:shd w:val="clear" w:color="auto" w:fill="auto"/>
            <w:noWrap/>
            <w:hideMark/>
          </w:tcPr>
          <w:p w14:paraId="01BE4550" w14:textId="77777777" w:rsidR="008D6DF4" w:rsidRDefault="007C1EBA">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152006</w:t>
            </w:r>
          </w:p>
        </w:tc>
        <w:tc>
          <w:tcPr>
            <w:tcW w:w="4514" w:type="dxa"/>
            <w:tcBorders>
              <w:top w:val="nil"/>
              <w:left w:val="nil"/>
              <w:bottom w:val="single" w:sz="4" w:space="0" w:color="auto"/>
              <w:right w:val="nil"/>
            </w:tcBorders>
            <w:shd w:val="clear" w:color="auto" w:fill="auto"/>
            <w:noWrap/>
            <w:hideMark/>
          </w:tcPr>
          <w:p w14:paraId="7B75D11F"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ring finger protein 38</w:t>
            </w:r>
          </w:p>
        </w:tc>
        <w:tc>
          <w:tcPr>
            <w:tcW w:w="4961" w:type="dxa"/>
            <w:tcBorders>
              <w:top w:val="nil"/>
              <w:left w:val="nil"/>
              <w:bottom w:val="single" w:sz="4" w:space="0" w:color="auto"/>
              <w:right w:val="nil"/>
            </w:tcBorders>
            <w:shd w:val="clear" w:color="auto" w:fill="auto"/>
            <w:noWrap/>
            <w:hideMark/>
          </w:tcPr>
          <w:p w14:paraId="71E481E8" w14:textId="77777777" w:rsidR="008D6DF4" w:rsidRDefault="007C1EBA">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None</w:t>
            </w:r>
          </w:p>
        </w:tc>
      </w:tr>
      <w:tr w:rsidR="008D6DF4" w:rsidRPr="00BA5039" w14:paraId="41FF194F" w14:textId="77777777" w:rsidTr="00B54E54">
        <w:trPr>
          <w:trHeight w:val="285"/>
        </w:trPr>
        <w:tc>
          <w:tcPr>
            <w:tcW w:w="14742" w:type="dxa"/>
            <w:gridSpan w:val="5"/>
            <w:tcBorders>
              <w:top w:val="nil"/>
              <w:left w:val="nil"/>
              <w:bottom w:val="nil"/>
              <w:right w:val="nil"/>
            </w:tcBorders>
            <w:shd w:val="clear" w:color="auto" w:fill="auto"/>
            <w:noWrap/>
            <w:vAlign w:val="bottom"/>
            <w:hideMark/>
          </w:tcPr>
          <w:p w14:paraId="6CE255B6" w14:textId="3EA96AA9" w:rsidR="008D6DF4" w:rsidRPr="007E3A70" w:rsidRDefault="00056375" w:rsidP="00ED49C7">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vertAlign w:val="superscript"/>
                <w:lang w:val="en-US"/>
              </w:rPr>
              <w:t>a</w:t>
            </w:r>
            <w:r w:rsidR="00B54E54" w:rsidRPr="007E3A70">
              <w:rPr>
                <w:rFonts w:ascii="Arial" w:eastAsia="Times New Roman" w:hAnsi="Arial" w:cs="Arial"/>
                <w:color w:val="000000"/>
                <w:sz w:val="20"/>
                <w:szCs w:val="20"/>
                <w:vertAlign w:val="superscript"/>
                <w:lang w:val="en-US"/>
              </w:rPr>
              <w:t xml:space="preserve"> </w:t>
            </w:r>
            <w:r w:rsidR="007C1EBA" w:rsidRPr="007E3A70">
              <w:rPr>
                <w:rFonts w:ascii="Arial" w:eastAsia="Times New Roman" w:hAnsi="Arial" w:cs="Arial"/>
                <w:color w:val="000000"/>
                <w:sz w:val="20"/>
                <w:szCs w:val="20"/>
                <w:lang w:val="en-US"/>
              </w:rPr>
              <w:t>Genes were obtained from</w:t>
            </w:r>
            <w:r w:rsidR="00B54E54" w:rsidRPr="007E3A70">
              <w:rPr>
                <w:rFonts w:ascii="Arial" w:eastAsia="Times New Roman" w:hAnsi="Arial" w:cs="Arial"/>
                <w:color w:val="000000"/>
                <w:sz w:val="20"/>
                <w:szCs w:val="20"/>
                <w:lang w:val="en-US"/>
              </w:rPr>
              <w:t xml:space="preserve"> h</w:t>
            </w:r>
            <w:r w:rsidR="007C1EBA" w:rsidRPr="007E3A70">
              <w:rPr>
                <w:rFonts w:ascii="Arial" w:eastAsia="Times New Roman" w:hAnsi="Arial" w:cs="Arial"/>
                <w:color w:val="000000"/>
                <w:sz w:val="20"/>
                <w:szCs w:val="20"/>
                <w:lang w:val="en-US"/>
              </w:rPr>
              <w:t>ttps://hgdownload.soe.ucsc.edu/goldenPath/hg19/database/ncbiRefSeqCurated.txt.gz</w:t>
            </w:r>
          </w:p>
        </w:tc>
      </w:tr>
      <w:tr w:rsidR="008D6DF4" w:rsidRPr="00BA5039" w14:paraId="69F09CB3" w14:textId="77777777" w:rsidTr="00B54E54">
        <w:trPr>
          <w:trHeight w:val="285"/>
        </w:trPr>
        <w:tc>
          <w:tcPr>
            <w:tcW w:w="14742" w:type="dxa"/>
            <w:gridSpan w:val="5"/>
            <w:tcBorders>
              <w:top w:val="nil"/>
              <w:left w:val="nil"/>
              <w:bottom w:val="nil"/>
              <w:right w:val="nil"/>
            </w:tcBorders>
            <w:shd w:val="clear" w:color="auto" w:fill="auto"/>
            <w:noWrap/>
            <w:vAlign w:val="bottom"/>
            <w:hideMark/>
          </w:tcPr>
          <w:p w14:paraId="727ABEA4" w14:textId="31D75A0F" w:rsidR="008D6DF4" w:rsidRPr="007E3A70" w:rsidRDefault="00056375" w:rsidP="00ED49C7">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vertAlign w:val="superscript"/>
                <w:lang w:val="en-US"/>
              </w:rPr>
              <w:t>b</w:t>
            </w:r>
            <w:r w:rsidR="00B54E54" w:rsidRPr="007E3A70">
              <w:rPr>
                <w:rFonts w:ascii="Arial" w:eastAsia="Times New Roman" w:hAnsi="Arial" w:cs="Arial"/>
                <w:color w:val="000000"/>
                <w:sz w:val="20"/>
                <w:szCs w:val="20"/>
                <w:vertAlign w:val="superscript"/>
                <w:lang w:val="en-US"/>
              </w:rPr>
              <w:t xml:space="preserve"> </w:t>
            </w:r>
            <w:r w:rsidR="007C1EBA" w:rsidRPr="007E3A70">
              <w:rPr>
                <w:rFonts w:ascii="Arial" w:eastAsia="Times New Roman" w:hAnsi="Arial" w:cs="Arial"/>
                <w:color w:val="000000"/>
                <w:sz w:val="20"/>
                <w:szCs w:val="20"/>
                <w:lang w:val="en-US"/>
              </w:rPr>
              <w:t>Gene Names were obtained from https://www.ncbi.nlm.nih.gov/gene; PGAM1P2 is from UCSC Genome browser</w:t>
            </w:r>
          </w:p>
        </w:tc>
      </w:tr>
      <w:tr w:rsidR="008D6DF4" w:rsidRPr="00BA5039" w14:paraId="163DD463" w14:textId="77777777" w:rsidTr="00B54E54">
        <w:trPr>
          <w:trHeight w:val="285"/>
        </w:trPr>
        <w:tc>
          <w:tcPr>
            <w:tcW w:w="14742" w:type="dxa"/>
            <w:gridSpan w:val="5"/>
            <w:tcBorders>
              <w:top w:val="nil"/>
              <w:left w:val="nil"/>
              <w:bottom w:val="nil"/>
              <w:right w:val="nil"/>
            </w:tcBorders>
            <w:shd w:val="clear" w:color="auto" w:fill="auto"/>
            <w:noWrap/>
            <w:vAlign w:val="bottom"/>
            <w:hideMark/>
          </w:tcPr>
          <w:p w14:paraId="4EB87A6F" w14:textId="3D57A262" w:rsidR="008D6DF4" w:rsidRPr="007E3A70" w:rsidRDefault="00056375" w:rsidP="00ED49C7">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vertAlign w:val="superscript"/>
                <w:lang w:val="en-US"/>
              </w:rPr>
              <w:t>c</w:t>
            </w:r>
            <w:r w:rsidR="007C1EBA" w:rsidRPr="007E3A70">
              <w:rPr>
                <w:rFonts w:ascii="Arial" w:eastAsia="Times New Roman" w:hAnsi="Arial" w:cs="Arial"/>
                <w:color w:val="000000"/>
                <w:sz w:val="20"/>
                <w:szCs w:val="20"/>
                <w:lang w:val="en-US"/>
              </w:rPr>
              <w:t xml:space="preserve"> Approved HGNC gene symbols obtained from https://biomart.genenames.org/ based on the GeneID</w:t>
            </w:r>
          </w:p>
        </w:tc>
      </w:tr>
      <w:tr w:rsidR="007E3A70" w:rsidRPr="005B5645" w14:paraId="11A2A8EB" w14:textId="77777777" w:rsidTr="00B54E54">
        <w:trPr>
          <w:trHeight w:val="285"/>
        </w:trPr>
        <w:tc>
          <w:tcPr>
            <w:tcW w:w="14742" w:type="dxa"/>
            <w:gridSpan w:val="5"/>
            <w:tcBorders>
              <w:top w:val="nil"/>
              <w:left w:val="nil"/>
              <w:bottom w:val="nil"/>
              <w:right w:val="nil"/>
            </w:tcBorders>
            <w:shd w:val="clear" w:color="auto" w:fill="auto"/>
            <w:noWrap/>
            <w:vAlign w:val="bottom"/>
          </w:tcPr>
          <w:p w14:paraId="320F57A8" w14:textId="6760E1BF" w:rsidR="007E3A70" w:rsidRPr="007E3A70" w:rsidRDefault="00056375" w:rsidP="007E3A70">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vertAlign w:val="superscript"/>
                <w:lang w:val="en-US"/>
              </w:rPr>
              <w:t>d</w:t>
            </w:r>
            <w:r w:rsidR="007E3A70" w:rsidRPr="007E3A70">
              <w:rPr>
                <w:rFonts w:ascii="Arial" w:eastAsia="Times New Roman" w:hAnsi="Arial" w:cs="Arial"/>
                <w:color w:val="000000"/>
                <w:sz w:val="20"/>
                <w:szCs w:val="20"/>
                <w:lang w:val="en-US"/>
              </w:rPr>
              <w:t xml:space="preserve"> None means throughout the table that no data are available about the gene, respectively no involvement in renal disease identified.</w:t>
            </w:r>
          </w:p>
        </w:tc>
      </w:tr>
    </w:tbl>
    <w:p w14:paraId="1BAE5B20" w14:textId="77777777" w:rsidR="008D6DF4" w:rsidRDefault="008D6DF4">
      <w:pPr>
        <w:spacing w:line="360" w:lineRule="auto"/>
        <w:jc w:val="both"/>
        <w:rPr>
          <w:rFonts w:ascii="Arial" w:hAnsi="Arial" w:cs="Arial"/>
          <w:b/>
          <w:lang w:val="en-US"/>
        </w:rPr>
        <w:sectPr w:rsidR="008D6DF4" w:rsidSect="00FB1F53">
          <w:pgSz w:w="16838" w:h="11906" w:orient="landscape"/>
          <w:pgMar w:top="1134" w:right="1418" w:bottom="1021" w:left="1134" w:header="709" w:footer="709" w:gutter="0"/>
          <w:cols w:space="708"/>
          <w:docGrid w:linePitch="360"/>
        </w:sectPr>
      </w:pPr>
    </w:p>
    <w:p w14:paraId="0AEA972C" w14:textId="0CF09CF5" w:rsidR="008D6DF4" w:rsidRDefault="007C1EBA">
      <w:pPr>
        <w:spacing w:line="360" w:lineRule="auto"/>
        <w:jc w:val="both"/>
        <w:rPr>
          <w:rFonts w:ascii="Arial" w:hAnsi="Arial" w:cs="Arial"/>
          <w:b/>
          <w:lang w:val="en-US"/>
        </w:rPr>
      </w:pPr>
      <w:r>
        <w:rPr>
          <w:rFonts w:ascii="Arial" w:hAnsi="Arial" w:cs="Arial"/>
          <w:b/>
          <w:lang w:val="en-US"/>
        </w:rPr>
        <w:lastRenderedPageBreak/>
        <w:t>Supplementary Figure 1</w:t>
      </w:r>
      <w:r w:rsidR="006F789D">
        <w:rPr>
          <w:rFonts w:ascii="Arial" w:hAnsi="Arial" w:cs="Arial"/>
          <w:b/>
          <w:lang w:val="en-US"/>
        </w:rPr>
        <w:t>A</w:t>
      </w:r>
      <w:r>
        <w:rPr>
          <w:rFonts w:ascii="Arial" w:hAnsi="Arial" w:cs="Arial"/>
          <w:b/>
          <w:lang w:val="en-US"/>
        </w:rPr>
        <w:t xml:space="preserve"> | Study-specific information on proportion of cases versus follow-up time for Rapid3 and CKDi25. </w:t>
      </w:r>
      <w:r>
        <w:rPr>
          <w:rFonts w:ascii="Arial" w:hAnsi="Arial" w:cs="Arial"/>
          <w:lang w:val="en-US"/>
        </w:rPr>
        <w:t>Shown are the study-specific proportions of cases versus median follow-up time for the case-control definitions of Rapid3 (34,874 cases; 107,090 controls) and CKDi25 (19,901 cases; 175,244 controls). Studies are color-coded by the pre-dominant ancestry of study participants. There was no association between proportion of cases and follow-up time (linear regression association P-value=0.31 and 0.88 for Rapid3 and CKDi25, respectively).</w:t>
      </w:r>
    </w:p>
    <w:p w14:paraId="64B61D78" w14:textId="77777777" w:rsidR="008D6DF4" w:rsidRDefault="005B5645">
      <w:pPr>
        <w:rPr>
          <w:rFonts w:ascii="Arial" w:hAnsi="Arial" w:cs="Arial"/>
          <w:b/>
          <w:lang w:val="en-US"/>
        </w:rPr>
        <w:sectPr w:rsidR="008D6DF4">
          <w:pgSz w:w="16838" w:h="11906" w:orient="landscape"/>
          <w:pgMar w:top="1417" w:right="1417" w:bottom="1417" w:left="1134" w:header="708" w:footer="708" w:gutter="0"/>
          <w:cols w:space="708"/>
          <w:docGrid w:linePitch="360"/>
        </w:sectPr>
      </w:pPr>
      <w:r>
        <w:rPr>
          <w:rFonts w:ascii="Arial" w:hAnsi="Arial" w:cs="Arial"/>
          <w:b/>
          <w:lang w:val="en-US"/>
        </w:rPr>
        <w:pict w14:anchorId="25B75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8pt;height:352.6pt">
            <v:imagedata r:id="rId9" o:title="SF1ANEW"/>
          </v:shape>
        </w:pict>
      </w:r>
    </w:p>
    <w:p w14:paraId="39955E0F" w14:textId="7C3D48E5" w:rsidR="008D6DF4" w:rsidRDefault="007C1EBA">
      <w:pPr>
        <w:spacing w:line="360" w:lineRule="auto"/>
        <w:jc w:val="both"/>
        <w:rPr>
          <w:rFonts w:ascii="Arial" w:hAnsi="Arial" w:cs="Arial"/>
          <w:lang w:val="en-US"/>
        </w:rPr>
      </w:pPr>
      <w:r>
        <w:rPr>
          <w:rFonts w:ascii="Arial" w:hAnsi="Arial" w:cs="Arial"/>
          <w:b/>
          <w:lang w:val="en-US"/>
        </w:rPr>
        <w:lastRenderedPageBreak/>
        <w:t>Supplementary Figure 1</w:t>
      </w:r>
      <w:r w:rsidR="006F789D">
        <w:rPr>
          <w:rFonts w:ascii="Arial" w:hAnsi="Arial" w:cs="Arial"/>
          <w:b/>
          <w:lang w:val="en-US"/>
        </w:rPr>
        <w:t>B</w:t>
      </w:r>
      <w:r>
        <w:rPr>
          <w:rFonts w:ascii="Arial" w:hAnsi="Arial" w:cs="Arial"/>
          <w:b/>
          <w:lang w:val="en-US"/>
        </w:rPr>
        <w:t xml:space="preserve"> | Study-specific information on proportion of cases versus age for Rapid3 and CDKi25. </w:t>
      </w:r>
      <w:r>
        <w:rPr>
          <w:rFonts w:ascii="Arial" w:hAnsi="Arial" w:cs="Arial"/>
          <w:lang w:val="en-US"/>
        </w:rPr>
        <w:t>Shown are study-specific proportions of cases versus median age of study participants for the case-control definition of Rapid3 (34,874 cases; 107,090 controls) and CKDi25 (19,901 cases; 175,244 controls). Studies are color coded by their pre-dominant ancestry. There was no association between proportion of cases and age (linear regression association P-value=0.47 and 0.79 for Rapid3 and CKDi25, respectively).</w:t>
      </w:r>
    </w:p>
    <w:p w14:paraId="32463AA5" w14:textId="77777777" w:rsidR="008D6DF4" w:rsidRDefault="005B5645">
      <w:pPr>
        <w:rPr>
          <w:rFonts w:ascii="Arial" w:hAnsi="Arial" w:cs="Arial"/>
          <w:b/>
          <w:lang w:val="en-US"/>
        </w:rPr>
      </w:pPr>
      <w:r>
        <w:rPr>
          <w:rFonts w:ascii="Arial" w:hAnsi="Arial" w:cs="Arial"/>
          <w:b/>
          <w:lang w:val="en-US"/>
        </w:rPr>
        <w:pict w14:anchorId="054892A7">
          <v:shape id="_x0000_i1026" type="#_x0000_t75" style="width:713.75pt;height:348.2pt">
            <v:imagedata r:id="rId10" o:title="SF1BNEW"/>
          </v:shape>
        </w:pict>
      </w:r>
    </w:p>
    <w:p w14:paraId="4B449393" w14:textId="77777777" w:rsidR="008D6DF4" w:rsidRDefault="008D6DF4">
      <w:pPr>
        <w:rPr>
          <w:rFonts w:ascii="Arial" w:hAnsi="Arial" w:cs="Arial"/>
          <w:b/>
          <w:lang w:val="en-US"/>
        </w:rPr>
        <w:sectPr w:rsidR="008D6DF4">
          <w:pgSz w:w="16838" w:h="11906" w:orient="landscape"/>
          <w:pgMar w:top="1417" w:right="1417" w:bottom="1417" w:left="1134" w:header="708" w:footer="708" w:gutter="0"/>
          <w:cols w:space="708"/>
          <w:docGrid w:linePitch="360"/>
        </w:sectPr>
      </w:pPr>
    </w:p>
    <w:p w14:paraId="4466B050" w14:textId="0318C1D8" w:rsidR="008D6DF4" w:rsidRDefault="007C1EBA">
      <w:pPr>
        <w:spacing w:after="0" w:line="360" w:lineRule="auto"/>
        <w:jc w:val="both"/>
        <w:rPr>
          <w:rFonts w:ascii="Arial" w:hAnsi="Arial" w:cs="Arial"/>
          <w:lang w:val="en-US"/>
        </w:rPr>
      </w:pPr>
      <w:r>
        <w:rPr>
          <w:rFonts w:ascii="Arial" w:hAnsi="Arial" w:cs="Arial"/>
          <w:b/>
          <w:lang w:val="en-US"/>
        </w:rPr>
        <w:lastRenderedPageBreak/>
        <w:t xml:space="preserve">Supplementary Figure 2 | Genetic effects for rapid eGFRcrea decline traits versus effects for cross-sectional eGFRcrea. </w:t>
      </w:r>
      <w:r>
        <w:rPr>
          <w:rFonts w:ascii="Arial" w:hAnsi="Arial" w:cs="Arial"/>
          <w:lang w:val="en-US"/>
        </w:rPr>
        <w:t>Shown are the 265 variants reported for cross-sectional eGFRcrea</w:t>
      </w:r>
      <w:r w:rsidR="00056375" w:rsidRPr="00056375">
        <w:rPr>
          <w:rFonts w:ascii="Arial" w:hAnsi="Arial" w:cs="Arial"/>
          <w:vertAlign w:val="superscript"/>
          <w:lang w:val="en-US"/>
        </w:rPr>
        <w:t>17</w:t>
      </w:r>
      <w:r>
        <w:rPr>
          <w:rFonts w:ascii="Arial" w:hAnsi="Arial" w:cs="Arial"/>
          <w:lang w:val="en-US"/>
        </w:rPr>
        <w:t xml:space="preserve"> with their effects for Rapid3 (34,874 cases and 107,090 controls) and CKDi25 (19,901 cases and 175,244 controls) from this meta-analysis versus the previously reported effects for cross-sectional eGFRcrea</w:t>
      </w:r>
      <w:r w:rsidR="00056375">
        <w:rPr>
          <w:rFonts w:ascii="Arial" w:eastAsia="Times New Roman" w:hAnsi="Arial" w:cs="Arial"/>
          <w:color w:val="000000"/>
          <w:vertAlign w:val="superscript"/>
          <w:lang w:val="en-US"/>
        </w:rPr>
        <w:t>17</w:t>
      </w:r>
      <w:r>
        <w:rPr>
          <w:rFonts w:ascii="Arial" w:hAnsi="Arial" w:cs="Arial"/>
          <w:lang w:val="en-US"/>
        </w:rPr>
        <w:t xml:space="preserve"> (n up to 765,248). Genetic variants are colored when the association was nominally significant in any of the two rapid decline traits (P-value&lt;0.05). Gene names are indicated for the six variants identified in our candidate-based approach.</w:t>
      </w:r>
    </w:p>
    <w:p w14:paraId="3286CCE6" w14:textId="77777777" w:rsidR="008D6DF4" w:rsidRDefault="007C1EBA">
      <w:pPr>
        <w:spacing w:after="0" w:line="360" w:lineRule="auto"/>
        <w:rPr>
          <w:rFonts w:ascii="Arial" w:hAnsi="Arial" w:cs="Arial"/>
          <w:lang w:val="en-US"/>
        </w:rPr>
      </w:pPr>
      <w:r>
        <w:rPr>
          <w:rFonts w:ascii="Arial" w:hAnsi="Arial" w:cs="Arial"/>
          <w:noProof/>
          <w:lang w:val="en-US"/>
        </w:rPr>
        <w:drawing>
          <wp:inline distT="0" distB="0" distL="0" distR="0" wp14:anchorId="5DBB601F" wp14:editId="78636C23">
            <wp:extent cx="9066530" cy="4459605"/>
            <wp:effectExtent l="0" t="0" r="1270" b="0"/>
            <wp:docPr id="5" name="Grafik 5" descr="S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6530" cy="4459605"/>
                    </a:xfrm>
                    <a:prstGeom prst="rect">
                      <a:avLst/>
                    </a:prstGeom>
                    <a:noFill/>
                    <a:ln>
                      <a:noFill/>
                    </a:ln>
                  </pic:spPr>
                </pic:pic>
              </a:graphicData>
            </a:graphic>
          </wp:inline>
        </w:drawing>
      </w:r>
    </w:p>
    <w:p w14:paraId="786F533E" w14:textId="77777777" w:rsidR="008D6DF4" w:rsidRDefault="008D6DF4">
      <w:pPr>
        <w:spacing w:after="0" w:line="360" w:lineRule="auto"/>
        <w:rPr>
          <w:rFonts w:ascii="Arial" w:hAnsi="Arial" w:cs="Arial"/>
          <w:lang w:val="en-US"/>
        </w:rPr>
        <w:sectPr w:rsidR="008D6DF4">
          <w:pgSz w:w="16838" w:h="11906" w:orient="landscape"/>
          <w:pgMar w:top="1417" w:right="1417" w:bottom="1417" w:left="1134" w:header="708" w:footer="708" w:gutter="0"/>
          <w:cols w:space="708"/>
          <w:docGrid w:linePitch="360"/>
        </w:sectPr>
      </w:pPr>
    </w:p>
    <w:p w14:paraId="61D95A7F" w14:textId="77777777" w:rsidR="008D6DF4" w:rsidRDefault="007C1EBA">
      <w:pPr>
        <w:spacing w:after="0" w:line="360" w:lineRule="auto"/>
        <w:jc w:val="both"/>
        <w:rPr>
          <w:rFonts w:ascii="Arial" w:hAnsi="Arial" w:cs="Arial"/>
          <w:lang w:val="en-US"/>
        </w:rPr>
      </w:pPr>
      <w:r>
        <w:rPr>
          <w:rFonts w:ascii="Arial" w:hAnsi="Arial" w:cs="Arial"/>
          <w:b/>
          <w:lang w:val="en-US"/>
        </w:rPr>
        <w:lastRenderedPageBreak/>
        <w:t xml:space="preserve">Supplementary Figure 3 | Study-specific association and leave-one-out-analysis results for the </w:t>
      </w:r>
      <w:r>
        <w:rPr>
          <w:rFonts w:ascii="Arial" w:hAnsi="Arial" w:cs="Arial"/>
          <w:b/>
          <w:i/>
          <w:lang w:val="en-US"/>
        </w:rPr>
        <w:t>OR2S2</w:t>
      </w:r>
      <w:r>
        <w:rPr>
          <w:rFonts w:ascii="Arial" w:hAnsi="Arial" w:cs="Arial"/>
          <w:b/>
          <w:lang w:val="en-US"/>
        </w:rPr>
        <w:t xml:space="preserve"> lead variant.</w:t>
      </w:r>
      <w:r>
        <w:rPr>
          <w:rFonts w:ascii="Arial" w:hAnsi="Arial" w:cs="Arial"/>
          <w:lang w:val="en-US"/>
        </w:rPr>
        <w:t xml:space="preserve"> Shown are log odds ratios and 95% confidence intervals (CI) for the </w:t>
      </w:r>
      <w:r>
        <w:rPr>
          <w:rFonts w:ascii="Arial" w:hAnsi="Arial" w:cs="Arial"/>
          <w:i/>
          <w:lang w:val="en-US"/>
        </w:rPr>
        <w:t>OR2S2</w:t>
      </w:r>
      <w:r>
        <w:rPr>
          <w:rFonts w:ascii="Arial" w:hAnsi="Arial" w:cs="Arial"/>
          <w:lang w:val="en-US"/>
        </w:rPr>
        <w:t xml:space="preserve"> locus lead variant (rs141809766, effect allele ‘G’, overall 26,553 Rapid3 cases and 90,388 controls) and its association for Rapid3: (</w:t>
      </w:r>
      <w:r>
        <w:rPr>
          <w:rFonts w:ascii="Arial" w:hAnsi="Arial" w:cs="Arial"/>
          <w:b/>
          <w:lang w:val="en-US"/>
        </w:rPr>
        <w:t>A</w:t>
      </w:r>
      <w:r>
        <w:rPr>
          <w:rFonts w:ascii="Arial" w:hAnsi="Arial" w:cs="Arial"/>
          <w:lang w:val="en-US"/>
        </w:rPr>
        <w:t>) association per study to evaluate consistency across the 28 studies and (</w:t>
      </w:r>
      <w:r>
        <w:rPr>
          <w:rFonts w:ascii="Arial" w:hAnsi="Arial" w:cs="Arial"/>
          <w:b/>
          <w:lang w:val="en-US"/>
        </w:rPr>
        <w:t>B</w:t>
      </w:r>
      <w:r>
        <w:rPr>
          <w:rFonts w:ascii="Arial" w:hAnsi="Arial" w:cs="Arial"/>
          <w:lang w:val="en-US"/>
        </w:rPr>
        <w:t xml:space="preserve">) leave-one-out meta-analysis results (i.e. excluding one study at a time) to rule-out that the signal was driven by a single study. Also shown are study-study characteristics like pre-dominant ethnicity and number of Rapid3 cases and controls for rs141809766 after quality control (imputation quality &gt;0.6, MAC &gt;10). </w:t>
      </w:r>
    </w:p>
    <w:p w14:paraId="6A71A668" w14:textId="77777777" w:rsidR="008D6DF4" w:rsidRDefault="005B5645">
      <w:pPr>
        <w:spacing w:after="0" w:line="360" w:lineRule="auto"/>
        <w:jc w:val="both"/>
        <w:rPr>
          <w:rFonts w:ascii="Arial" w:hAnsi="Arial" w:cs="Arial"/>
          <w:b/>
          <w:lang w:val="en-US"/>
        </w:rPr>
      </w:pPr>
      <w:r>
        <w:rPr>
          <w:rFonts w:ascii="Arial" w:hAnsi="Arial" w:cs="Arial"/>
          <w:noProof/>
          <w:lang w:val="en-US"/>
        </w:rPr>
        <w:pict w14:anchorId="1938639E">
          <v:shape id="_x0000_i1027" type="#_x0000_t75" style="width:449.9pt;height:380.15pt">
            <v:imagedata r:id="rId12" o:title="04_rs141809766_OR2S2_byStudy_forestplot_v2_20200716_artwork_300dpi"/>
          </v:shape>
        </w:pict>
      </w:r>
    </w:p>
    <w:p w14:paraId="2509CFAE" w14:textId="77777777" w:rsidR="008D6DF4" w:rsidRDefault="008D6DF4">
      <w:pPr>
        <w:spacing w:after="0" w:line="360" w:lineRule="auto"/>
        <w:jc w:val="center"/>
        <w:rPr>
          <w:rFonts w:ascii="Arial" w:hAnsi="Arial" w:cs="Arial"/>
          <w:b/>
          <w:lang w:val="en-US"/>
        </w:rPr>
        <w:sectPr w:rsidR="008D6DF4">
          <w:pgSz w:w="11906" w:h="16838"/>
          <w:pgMar w:top="1134" w:right="1417" w:bottom="1417" w:left="1417" w:header="708" w:footer="708" w:gutter="0"/>
          <w:cols w:space="708"/>
          <w:docGrid w:linePitch="360"/>
        </w:sectPr>
      </w:pPr>
    </w:p>
    <w:p w14:paraId="04710F45" w14:textId="3BB3118F" w:rsidR="008D6DF4" w:rsidRDefault="007C1EBA">
      <w:pPr>
        <w:spacing w:line="360" w:lineRule="auto"/>
        <w:jc w:val="both"/>
        <w:rPr>
          <w:rFonts w:ascii="Arial" w:hAnsi="Arial" w:cs="Arial"/>
          <w:lang w:val="en-US"/>
        </w:rPr>
      </w:pPr>
      <w:r>
        <w:rPr>
          <w:rFonts w:ascii="Arial" w:hAnsi="Arial" w:cs="Arial"/>
          <w:b/>
          <w:lang w:val="en-US"/>
        </w:rPr>
        <w:lastRenderedPageBreak/>
        <w:t>Supplementary Figure 4 | Regional association for the six identified loci.</w:t>
      </w:r>
      <w:r>
        <w:rPr>
          <w:rFonts w:ascii="Arial" w:hAnsi="Arial" w:cs="Arial"/>
          <w:lang w:val="en-US"/>
        </w:rPr>
        <w:t xml:space="preserve"> Shown are association P-values versus genomic position for </w:t>
      </w:r>
      <w:r>
        <w:rPr>
          <w:rFonts w:ascii="Arial" w:hAnsi="Arial" w:cs="Arial"/>
          <w:b/>
          <w:lang w:val="en-US"/>
        </w:rPr>
        <w:t>(left column)</w:t>
      </w:r>
      <w:r>
        <w:rPr>
          <w:rFonts w:ascii="Arial" w:hAnsi="Arial" w:cs="Arial"/>
          <w:lang w:val="en-US"/>
        </w:rPr>
        <w:t xml:space="preserve"> Rapid3 (34,874 cases and 107,090 controls), </w:t>
      </w:r>
      <w:r>
        <w:rPr>
          <w:rFonts w:ascii="Arial" w:hAnsi="Arial" w:cs="Arial"/>
          <w:b/>
          <w:lang w:val="en-US"/>
        </w:rPr>
        <w:t>(middle column)</w:t>
      </w:r>
      <w:r>
        <w:rPr>
          <w:rFonts w:ascii="Arial" w:hAnsi="Arial" w:cs="Arial"/>
          <w:lang w:val="en-US"/>
        </w:rPr>
        <w:t xml:space="preserve"> CKDi25 (19,901 cases and 175,244 controls) and </w:t>
      </w:r>
      <w:r>
        <w:rPr>
          <w:rFonts w:ascii="Arial" w:hAnsi="Arial" w:cs="Arial"/>
          <w:b/>
          <w:lang w:val="en-US"/>
        </w:rPr>
        <w:t>(right column)</w:t>
      </w:r>
      <w:r>
        <w:rPr>
          <w:rFonts w:ascii="Arial" w:hAnsi="Arial" w:cs="Arial"/>
          <w:lang w:val="en-US"/>
        </w:rPr>
        <w:t xml:space="preserve"> cross-sectional eGFRcrea</w:t>
      </w:r>
      <w:r>
        <w:rPr>
          <w:rFonts w:ascii="Arial" w:eastAsia="Times New Roman" w:hAnsi="Arial" w:cs="Arial"/>
          <w:color w:val="000000"/>
          <w:vertAlign w:val="superscript"/>
          <w:lang w:val="en-US"/>
        </w:rPr>
        <w:t>1</w:t>
      </w:r>
      <w:r w:rsidR="00056375">
        <w:rPr>
          <w:rFonts w:ascii="Arial" w:eastAsia="Times New Roman" w:hAnsi="Arial" w:cs="Arial"/>
          <w:color w:val="000000"/>
          <w:vertAlign w:val="superscript"/>
          <w:lang w:val="en-US"/>
        </w:rPr>
        <w:t>7</w:t>
      </w:r>
      <w:r>
        <w:rPr>
          <w:rFonts w:ascii="Arial" w:hAnsi="Arial" w:cs="Arial"/>
          <w:lang w:val="en-US"/>
        </w:rPr>
        <w:t xml:space="preserve">, n up to 765,248) in the </w:t>
      </w:r>
      <w:r>
        <w:rPr>
          <w:rFonts w:ascii="Arial" w:hAnsi="Arial" w:cs="Arial"/>
          <w:i/>
          <w:lang w:val="en-US"/>
        </w:rPr>
        <w:t>UMOD-PDILT</w:t>
      </w:r>
      <w:r>
        <w:rPr>
          <w:rFonts w:ascii="Arial" w:hAnsi="Arial" w:cs="Arial"/>
          <w:lang w:val="en-US"/>
        </w:rPr>
        <w:t xml:space="preserve">, </w:t>
      </w:r>
      <w:r>
        <w:rPr>
          <w:rFonts w:ascii="Arial" w:hAnsi="Arial" w:cs="Arial"/>
          <w:i/>
          <w:lang w:val="en-US"/>
        </w:rPr>
        <w:t>WDR72</w:t>
      </w:r>
      <w:r>
        <w:rPr>
          <w:rFonts w:ascii="Arial" w:hAnsi="Arial" w:cs="Arial"/>
          <w:lang w:val="en-US"/>
        </w:rPr>
        <w:t xml:space="preserve">, </w:t>
      </w:r>
      <w:r>
        <w:rPr>
          <w:rFonts w:ascii="Arial" w:hAnsi="Arial" w:cs="Arial"/>
          <w:i/>
          <w:lang w:val="en-US"/>
        </w:rPr>
        <w:t>PRKAG2</w:t>
      </w:r>
      <w:r>
        <w:rPr>
          <w:rFonts w:ascii="Arial" w:hAnsi="Arial" w:cs="Arial"/>
          <w:lang w:val="en-US"/>
        </w:rPr>
        <w:t xml:space="preserve">, </w:t>
      </w:r>
      <w:r>
        <w:rPr>
          <w:rFonts w:ascii="Arial" w:hAnsi="Arial" w:cs="Arial"/>
          <w:i/>
          <w:lang w:val="en-US"/>
        </w:rPr>
        <w:t>OR2S2</w:t>
      </w:r>
      <w:r>
        <w:rPr>
          <w:rFonts w:ascii="Arial" w:hAnsi="Arial" w:cs="Arial"/>
          <w:lang w:val="en-US"/>
        </w:rPr>
        <w:t xml:space="preserve">, </w:t>
      </w:r>
      <w:r>
        <w:rPr>
          <w:rFonts w:ascii="Arial" w:hAnsi="Arial" w:cs="Arial"/>
          <w:i/>
          <w:lang w:val="en-US"/>
        </w:rPr>
        <w:t>LARP4B</w:t>
      </w:r>
      <w:r>
        <w:rPr>
          <w:rFonts w:ascii="Arial" w:hAnsi="Arial" w:cs="Arial"/>
          <w:lang w:val="en-US"/>
        </w:rPr>
        <w:t xml:space="preserve"> and </w:t>
      </w:r>
      <w:r>
        <w:rPr>
          <w:rFonts w:ascii="Arial" w:hAnsi="Arial" w:cs="Arial"/>
          <w:i/>
          <w:lang w:val="en-US"/>
        </w:rPr>
        <w:t>GATM</w:t>
      </w:r>
      <w:r>
        <w:rPr>
          <w:rFonts w:ascii="Arial" w:hAnsi="Arial" w:cs="Arial"/>
          <w:lang w:val="en-US"/>
        </w:rPr>
        <w:t xml:space="preserve"> loci. Red and blue horizontal lines represent the threshold for genome-wide significance (5.00x10</w:t>
      </w:r>
      <w:r>
        <w:rPr>
          <w:rFonts w:ascii="Arial" w:hAnsi="Arial" w:cs="Arial"/>
          <w:vertAlign w:val="superscript"/>
          <w:lang w:val="en-US"/>
        </w:rPr>
        <w:t>-8</w:t>
      </w:r>
      <w:r>
        <w:rPr>
          <w:rFonts w:ascii="Arial" w:hAnsi="Arial" w:cs="Arial"/>
          <w:lang w:val="en-US"/>
        </w:rPr>
        <w:t>) or for the Bonferroni-correct threshold in the candidate-based approach testing 265 reported variants (0.05/265=1.89x10</w:t>
      </w:r>
      <w:r>
        <w:rPr>
          <w:rFonts w:ascii="Arial" w:hAnsi="Arial" w:cs="Arial"/>
          <w:vertAlign w:val="superscript"/>
          <w:lang w:val="en-US"/>
        </w:rPr>
        <w:t>-4</w:t>
      </w:r>
      <w:r>
        <w:rPr>
          <w:rFonts w:ascii="Arial" w:hAnsi="Arial" w:cs="Arial"/>
          <w:lang w:val="en-US"/>
        </w:rPr>
        <w:t>). SNPs are color coded by their correlation R².</w:t>
      </w:r>
    </w:p>
    <w:p w14:paraId="0063815E" w14:textId="77777777" w:rsidR="008D6DF4" w:rsidRDefault="007C1EBA">
      <w:pPr>
        <w:spacing w:after="0" w:line="360" w:lineRule="auto"/>
        <w:jc w:val="center"/>
        <w:rPr>
          <w:rFonts w:ascii="Arial" w:hAnsi="Arial" w:cs="Arial"/>
          <w:b/>
          <w:lang w:val="en-US"/>
        </w:rPr>
      </w:pPr>
      <w:r>
        <w:rPr>
          <w:rFonts w:ascii="Arial" w:hAnsi="Arial" w:cs="Arial"/>
          <w:b/>
          <w:noProof/>
          <w:lang w:val="en-US"/>
        </w:rPr>
        <w:lastRenderedPageBreak/>
        <w:drawing>
          <wp:inline distT="0" distB="0" distL="0" distR="0" wp14:anchorId="23526344" wp14:editId="2AB6EA64">
            <wp:extent cx="8325485" cy="5762625"/>
            <wp:effectExtent l="0" t="0" r="0" b="9525"/>
            <wp:docPr id="2" name="Grafik 2" descr="S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1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5485" cy="5762625"/>
                    </a:xfrm>
                    <a:prstGeom prst="rect">
                      <a:avLst/>
                    </a:prstGeom>
                    <a:noFill/>
                    <a:ln>
                      <a:noFill/>
                    </a:ln>
                  </pic:spPr>
                </pic:pic>
              </a:graphicData>
            </a:graphic>
          </wp:inline>
        </w:drawing>
      </w:r>
    </w:p>
    <w:p w14:paraId="0466A894" w14:textId="77777777" w:rsidR="008D6DF4" w:rsidRDefault="007C1EBA">
      <w:pPr>
        <w:spacing w:after="0" w:line="360" w:lineRule="auto"/>
        <w:jc w:val="center"/>
        <w:rPr>
          <w:rFonts w:ascii="Arial" w:hAnsi="Arial" w:cs="Arial"/>
          <w:b/>
          <w:noProof/>
          <w:lang w:val="en-US"/>
        </w:rPr>
        <w:sectPr w:rsidR="008D6DF4">
          <w:pgSz w:w="16838" w:h="11906" w:orient="landscape"/>
          <w:pgMar w:top="1417" w:right="1417" w:bottom="1417" w:left="1134" w:header="708" w:footer="708" w:gutter="0"/>
          <w:cols w:space="708"/>
          <w:docGrid w:linePitch="360"/>
        </w:sectPr>
      </w:pPr>
      <w:r>
        <w:rPr>
          <w:rFonts w:ascii="Arial" w:hAnsi="Arial" w:cs="Arial"/>
          <w:b/>
          <w:noProof/>
          <w:lang w:val="en-US"/>
        </w:rPr>
        <w:lastRenderedPageBreak/>
        <w:drawing>
          <wp:inline distT="0" distB="0" distL="0" distR="0" wp14:anchorId="464ACB21" wp14:editId="3E5F91CC">
            <wp:extent cx="8324215" cy="5762625"/>
            <wp:effectExtent l="0" t="0" r="635" b="9525"/>
            <wp:docPr id="3" name="Grafik 3" descr="SF4_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4_2_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24215" cy="5762625"/>
                    </a:xfrm>
                    <a:prstGeom prst="rect">
                      <a:avLst/>
                    </a:prstGeom>
                    <a:noFill/>
                    <a:ln>
                      <a:noFill/>
                    </a:ln>
                  </pic:spPr>
                </pic:pic>
              </a:graphicData>
            </a:graphic>
          </wp:inline>
        </w:drawing>
      </w:r>
    </w:p>
    <w:p w14:paraId="715DD66F" w14:textId="045AE596" w:rsidR="008D6DF4" w:rsidRDefault="007C1EBA">
      <w:pPr>
        <w:spacing w:after="0" w:line="360" w:lineRule="auto"/>
        <w:jc w:val="both"/>
        <w:rPr>
          <w:rFonts w:ascii="Arial" w:hAnsi="Arial" w:cs="Arial"/>
          <w:lang w:val="en-US"/>
        </w:rPr>
      </w:pPr>
      <w:r>
        <w:rPr>
          <w:rFonts w:ascii="Arial" w:hAnsi="Arial" w:cs="Arial"/>
          <w:b/>
          <w:lang w:val="en-US"/>
        </w:rPr>
        <w:lastRenderedPageBreak/>
        <w:t xml:space="preserve">Supplementary Figure 5 | Multi-tissue expression quantitative trait loci (eQTL) comparison of the </w:t>
      </w:r>
      <w:r>
        <w:rPr>
          <w:rFonts w:ascii="Arial" w:hAnsi="Arial" w:cs="Arial"/>
          <w:b/>
          <w:i/>
          <w:lang w:val="en-US"/>
        </w:rPr>
        <w:t>OR2S2</w:t>
      </w:r>
      <w:r>
        <w:rPr>
          <w:rFonts w:ascii="Arial" w:hAnsi="Arial" w:cs="Arial"/>
          <w:b/>
          <w:lang w:val="en-US"/>
        </w:rPr>
        <w:t xml:space="preserve"> lead variant</w:t>
      </w:r>
      <w:r w:rsidR="00056375">
        <w:rPr>
          <w:rFonts w:ascii="Arial" w:hAnsi="Arial" w:cs="Arial"/>
          <w:lang w:val="en-US"/>
        </w:rPr>
        <w:t>. In the GTEx version 8 data</w:t>
      </w:r>
      <w:r w:rsidR="00056375" w:rsidRPr="00056375">
        <w:rPr>
          <w:rFonts w:ascii="Arial" w:hAnsi="Arial" w:cs="Arial"/>
          <w:vertAlign w:val="superscript"/>
          <w:lang w:val="en-US"/>
        </w:rPr>
        <w:t>51</w:t>
      </w:r>
      <w:r>
        <w:rPr>
          <w:rFonts w:ascii="Arial" w:hAnsi="Arial" w:cs="Arial"/>
          <w:lang w:val="en-US"/>
        </w:rPr>
        <w:t xml:space="preserve">, we found the </w:t>
      </w:r>
      <w:r>
        <w:rPr>
          <w:rFonts w:ascii="Arial" w:hAnsi="Arial" w:cs="Arial"/>
          <w:i/>
          <w:lang w:val="en-US"/>
        </w:rPr>
        <w:t>OR2S2</w:t>
      </w:r>
      <w:r>
        <w:rPr>
          <w:rFonts w:ascii="Arial" w:hAnsi="Arial" w:cs="Arial"/>
          <w:lang w:val="en-US"/>
        </w:rPr>
        <w:t xml:space="preserve"> lead variant </w:t>
      </w:r>
      <w:r>
        <w:rPr>
          <w:rFonts w:ascii="Arial" w:eastAsia="Times New Roman" w:hAnsi="Arial" w:cs="Arial"/>
          <w:color w:val="000000"/>
          <w:lang w:val="en-US"/>
        </w:rPr>
        <w:t xml:space="preserve">rs141809766 to capture an eQTL for </w:t>
      </w:r>
      <w:r>
        <w:rPr>
          <w:rFonts w:ascii="Arial" w:hAnsi="Arial" w:cs="Arial"/>
          <w:i/>
          <w:lang w:val="en-US"/>
        </w:rPr>
        <w:t xml:space="preserve">OR2S1P </w:t>
      </w:r>
      <w:r>
        <w:rPr>
          <w:rFonts w:ascii="Arial" w:hAnsi="Arial" w:cs="Arial"/>
          <w:lang w:val="en-US"/>
        </w:rPr>
        <w:t>(40kb upstream of</w:t>
      </w:r>
      <w:r>
        <w:rPr>
          <w:rFonts w:ascii="Arial" w:hAnsi="Arial" w:cs="Arial"/>
          <w:i/>
          <w:lang w:val="en-US"/>
        </w:rPr>
        <w:t xml:space="preserve"> OR2S2). </w:t>
      </w:r>
      <w:r>
        <w:rPr>
          <w:rFonts w:ascii="Arial" w:hAnsi="Arial" w:cs="Arial"/>
          <w:lang w:val="en-US"/>
        </w:rPr>
        <w:t>Shown is the tissue-specific association of this variant with normalized gene expression (stated as and sorted by normalized effect size, NES). Also given are number of samples per tissue, P-value for eQTL association and the posterior probability from METASOFT (m-value). We observe significant eQTLs (FDR&lt;0.05) for Lung, Thyroid, Nerve – Tibial, Artery – Coronary, and Adipose – subcutaneous).</w:t>
      </w:r>
    </w:p>
    <w:p w14:paraId="37F85007" w14:textId="77777777" w:rsidR="008D6DF4" w:rsidRDefault="007C1EBA">
      <w:pPr>
        <w:spacing w:after="0" w:line="360" w:lineRule="auto"/>
        <w:rPr>
          <w:rFonts w:ascii="Arial" w:hAnsi="Arial" w:cs="Arial"/>
          <w:b/>
          <w:lang w:val="en-US"/>
        </w:rPr>
      </w:pPr>
      <w:r>
        <w:rPr>
          <w:noProof/>
          <w:highlight w:val="green"/>
          <w:lang w:val="en-US"/>
        </w:rPr>
        <w:drawing>
          <wp:inline distT="0" distB="0" distL="0" distR="0" wp14:anchorId="73690CA8" wp14:editId="20178929">
            <wp:extent cx="5106670" cy="6409690"/>
            <wp:effectExtent l="0" t="0" r="0" b="0"/>
            <wp:docPr id="1" name="Grafik 1" descr="S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6670" cy="6409690"/>
                    </a:xfrm>
                    <a:prstGeom prst="rect">
                      <a:avLst/>
                    </a:prstGeom>
                    <a:noFill/>
                    <a:ln>
                      <a:noFill/>
                    </a:ln>
                  </pic:spPr>
                </pic:pic>
              </a:graphicData>
            </a:graphic>
          </wp:inline>
        </w:drawing>
      </w:r>
    </w:p>
    <w:p w14:paraId="4C22FF39" w14:textId="77777777" w:rsidR="008D6DF4" w:rsidRDefault="008D6DF4">
      <w:pPr>
        <w:rPr>
          <w:rFonts w:ascii="Arial" w:eastAsia="Times New Roman" w:hAnsi="Arial" w:cs="Arial"/>
          <w:color w:val="000000"/>
          <w:lang w:val="en-US"/>
        </w:rPr>
        <w:sectPr w:rsidR="008D6DF4">
          <w:pgSz w:w="11906" w:h="16838"/>
          <w:pgMar w:top="1417" w:right="1417" w:bottom="1134" w:left="1417" w:header="708" w:footer="708" w:gutter="0"/>
          <w:cols w:space="708"/>
          <w:docGrid w:linePitch="360"/>
        </w:sectPr>
      </w:pPr>
    </w:p>
    <w:p w14:paraId="5097BFA4" w14:textId="77777777" w:rsidR="003715B2" w:rsidRDefault="003715B2" w:rsidP="003715B2">
      <w:pPr>
        <w:spacing w:after="0" w:line="360" w:lineRule="auto"/>
        <w:rPr>
          <w:rFonts w:ascii="Arial" w:eastAsia="Times New Roman" w:hAnsi="Arial" w:cs="Arial"/>
          <w:b/>
          <w:bCs/>
          <w:color w:val="000000"/>
          <w:sz w:val="20"/>
          <w:szCs w:val="20"/>
          <w:lang w:val="en-US"/>
        </w:rPr>
      </w:pPr>
    </w:p>
    <w:p w14:paraId="5DC0B289" w14:textId="31564864" w:rsidR="00990E60" w:rsidRDefault="00990E60" w:rsidP="00EB4604">
      <w:pPr>
        <w:spacing w:after="0" w:line="360" w:lineRule="auto"/>
        <w:rPr>
          <w:rFonts w:ascii="Arial" w:eastAsia="Times New Roman" w:hAnsi="Arial" w:cs="Arial"/>
          <w:b/>
          <w:bCs/>
          <w:color w:val="000000"/>
          <w:lang w:val="en-US"/>
        </w:rPr>
      </w:pPr>
      <w:r>
        <w:rPr>
          <w:rFonts w:ascii="Arial" w:eastAsia="Times New Roman" w:hAnsi="Arial" w:cs="Arial"/>
          <w:b/>
          <w:bCs/>
          <w:color w:val="000000"/>
          <w:lang w:val="en-US"/>
        </w:rPr>
        <w:t>Supplementary Methods</w:t>
      </w:r>
    </w:p>
    <w:p w14:paraId="3EFE6885" w14:textId="77777777" w:rsidR="00990E60" w:rsidRDefault="00990E60" w:rsidP="00990E60">
      <w:pPr>
        <w:pStyle w:val="berschrift2"/>
      </w:pPr>
    </w:p>
    <w:p w14:paraId="3AC92158" w14:textId="2E1A38B6" w:rsidR="00990E60" w:rsidRDefault="00990E60" w:rsidP="00990E60">
      <w:pPr>
        <w:pStyle w:val="berschrift2"/>
      </w:pPr>
      <w:r>
        <w:t>Overview</w:t>
      </w:r>
    </w:p>
    <w:p w14:paraId="5110F101" w14:textId="77777777" w:rsidR="00990E60" w:rsidRPr="00B15C34" w:rsidRDefault="00990E60" w:rsidP="00990E60">
      <w:pPr>
        <w:pStyle w:val="KeinLeerraum"/>
        <w:spacing w:line="360" w:lineRule="auto"/>
        <w:jc w:val="both"/>
        <w:rPr>
          <w:rFonts w:cs="Arial"/>
          <w:sz w:val="22"/>
          <w:szCs w:val="22"/>
          <w:lang w:val="en-US"/>
        </w:rPr>
      </w:pPr>
      <w:r w:rsidRPr="00B15C34">
        <w:rPr>
          <w:rFonts w:cs="Arial"/>
          <w:sz w:val="22"/>
          <w:szCs w:val="22"/>
          <w:lang w:val="en-US"/>
        </w:rPr>
        <w:t xml:space="preserve">An analysis plan and standardized scripts for phenotype generation and GWAS analysis had been sent to all </w:t>
      </w:r>
      <w:r>
        <w:rPr>
          <w:rFonts w:cs="Arial"/>
          <w:sz w:val="22"/>
          <w:szCs w:val="22"/>
          <w:lang w:val="en-US"/>
        </w:rPr>
        <w:t xml:space="preserve">42 </w:t>
      </w:r>
      <w:r w:rsidRPr="00B15C34">
        <w:rPr>
          <w:rFonts w:cs="Arial"/>
          <w:sz w:val="22"/>
          <w:szCs w:val="22"/>
          <w:lang w:val="en-US"/>
        </w:rPr>
        <w:t>participating studies (</w:t>
      </w:r>
      <w:r w:rsidRPr="00B15C34">
        <w:rPr>
          <w:rFonts w:cs="Arial"/>
          <w:b/>
          <w:sz w:val="22"/>
          <w:szCs w:val="22"/>
          <w:lang w:val="en-US"/>
        </w:rPr>
        <w:t>Supplementary Table 1A&amp;B</w:t>
      </w:r>
      <w:r w:rsidRPr="00B15C34">
        <w:rPr>
          <w:rFonts w:cs="Arial"/>
          <w:sz w:val="22"/>
          <w:szCs w:val="22"/>
          <w:lang w:val="en-US"/>
        </w:rPr>
        <w:t xml:space="preserve">). </w:t>
      </w:r>
      <w:r>
        <w:rPr>
          <w:rFonts w:cs="Arial"/>
          <w:sz w:val="22"/>
          <w:szCs w:val="22"/>
          <w:lang w:val="en-US"/>
        </w:rPr>
        <w:t xml:space="preserve">Each study conducted the </w:t>
      </w:r>
      <w:r w:rsidRPr="00B15C34">
        <w:rPr>
          <w:rFonts w:cs="Arial"/>
          <w:sz w:val="22"/>
          <w:szCs w:val="22"/>
          <w:lang w:val="en-US"/>
        </w:rPr>
        <w:t xml:space="preserve">GWAS </w:t>
      </w:r>
      <w:r>
        <w:rPr>
          <w:rFonts w:cs="Arial"/>
          <w:sz w:val="22"/>
          <w:szCs w:val="22"/>
          <w:lang w:val="en-US"/>
        </w:rPr>
        <w:t xml:space="preserve">and </w:t>
      </w:r>
      <w:r w:rsidRPr="00B15C34">
        <w:rPr>
          <w:rFonts w:cs="Arial"/>
          <w:sz w:val="22"/>
          <w:szCs w:val="22"/>
          <w:lang w:val="en-US"/>
        </w:rPr>
        <w:t>had its own research protocol approved by its respective local ethics committee, and written informed consent was provided by participants in all studies.</w:t>
      </w:r>
    </w:p>
    <w:p w14:paraId="11FA8A82" w14:textId="77777777" w:rsidR="00990E60" w:rsidRDefault="00990E60" w:rsidP="00990E60">
      <w:pPr>
        <w:pStyle w:val="KeinLeerraum"/>
        <w:spacing w:line="360" w:lineRule="auto"/>
        <w:jc w:val="both"/>
        <w:rPr>
          <w:rFonts w:cs="Arial"/>
          <w:sz w:val="22"/>
          <w:szCs w:val="22"/>
          <w:lang w:val="en-US"/>
        </w:rPr>
      </w:pPr>
    </w:p>
    <w:p w14:paraId="53A05A38" w14:textId="77777777" w:rsidR="00990E60" w:rsidRDefault="00990E60" w:rsidP="00990E60">
      <w:pPr>
        <w:pStyle w:val="berschrift2"/>
      </w:pPr>
      <w:r>
        <w:t>Phenotype description</w:t>
      </w:r>
    </w:p>
    <w:p w14:paraId="49B1EAA3" w14:textId="6A6AA207" w:rsidR="00990E60" w:rsidRDefault="00990E60" w:rsidP="00990E60">
      <w:pPr>
        <w:pStyle w:val="KeinLeerraum"/>
        <w:spacing w:line="360" w:lineRule="auto"/>
        <w:jc w:val="both"/>
        <w:rPr>
          <w:rFonts w:cs="Arial"/>
          <w:sz w:val="22"/>
          <w:szCs w:val="22"/>
          <w:lang w:val="en-US"/>
        </w:rPr>
      </w:pPr>
      <w:r>
        <w:rPr>
          <w:rFonts w:cs="Arial"/>
          <w:sz w:val="22"/>
          <w:szCs w:val="22"/>
          <w:lang w:val="en-US"/>
        </w:rPr>
        <w:t>In each study serum creatinine obtained by the Jaffé assay prior to 2009 (</w:t>
      </w:r>
      <w:r>
        <w:rPr>
          <w:rFonts w:cs="Arial"/>
          <w:b/>
          <w:sz w:val="22"/>
          <w:szCs w:val="22"/>
          <w:lang w:val="en-US"/>
        </w:rPr>
        <w:t>Supplementary Table 1A)</w:t>
      </w:r>
      <w:r>
        <w:rPr>
          <w:rFonts w:cs="Arial"/>
          <w:sz w:val="22"/>
          <w:szCs w:val="22"/>
          <w:lang w:val="en-US"/>
        </w:rPr>
        <w:t xml:space="preserve"> were calibrated by multiplying by 0.95</w:t>
      </w:r>
      <w:r w:rsidR="00512974" w:rsidRPr="00512974">
        <w:rPr>
          <w:rFonts w:cs="Arial"/>
          <w:sz w:val="22"/>
          <w:szCs w:val="22"/>
          <w:vertAlign w:val="superscript"/>
          <w:lang w:val="en-US"/>
        </w:rPr>
        <w:t>3</w:t>
      </w:r>
      <w:r>
        <w:rPr>
          <w:rFonts w:cs="Arial"/>
          <w:sz w:val="22"/>
          <w:szCs w:val="22"/>
          <w:lang w:val="en-US"/>
        </w:rPr>
        <w:t>, and used to estimate eGFRcrea according to the Chronic Kidney Disease Epidemiology Collaboration (CKD-EPI) equation</w:t>
      </w:r>
      <w:r w:rsidR="00512974" w:rsidRPr="00512974">
        <w:rPr>
          <w:rFonts w:cs="Arial"/>
          <w:sz w:val="22"/>
          <w:szCs w:val="22"/>
          <w:vertAlign w:val="superscript"/>
          <w:lang w:val="en-US"/>
        </w:rPr>
        <w:t>11</w:t>
      </w:r>
      <w:r>
        <w:rPr>
          <w:rFonts w:cs="Arial"/>
          <w:sz w:val="22"/>
          <w:szCs w:val="22"/>
          <w:lang w:val="en-US"/>
        </w:rPr>
        <w:t xml:space="preserve"> in studies with adult participants (&gt;18 years of age) with the R package ‘nephro’ version 1.1</w:t>
      </w:r>
      <w:r w:rsidR="00512974" w:rsidRPr="00512974">
        <w:rPr>
          <w:rFonts w:cs="Arial"/>
          <w:sz w:val="22"/>
          <w:szCs w:val="22"/>
          <w:vertAlign w:val="superscript"/>
          <w:lang w:val="en-US"/>
        </w:rPr>
        <w:t>S</w:t>
      </w:r>
      <w:r>
        <w:rPr>
          <w:rFonts w:cs="Arial"/>
          <w:sz w:val="22"/>
          <w:szCs w:val="22"/>
          <w:lang w:val="en-US"/>
        </w:rPr>
        <w:fldChar w:fldCharType="begin" w:fldLock="1"/>
      </w:r>
      <w:r w:rsidR="00512974">
        <w:rPr>
          <w:rFonts w:cs="Arial"/>
          <w:sz w:val="22"/>
          <w:szCs w:val="22"/>
          <w:lang w:val="en-US"/>
        </w:rPr>
        <w:instrText>ADDIN CSL_CITATION {"citationItems":[{"id":"ITEM-1","itemData":{"DOI":"10.1159000351043","ISSN":"16602110","abstract":"BackgroundAims: Several formulas for glomerular filtration rate (GFR) estimation, based on serum creatinine or cystatin C, have been proposed. We assessed the impact of some of these equations on estimated GFR (eGFR) and chronic kidney disease (CKD) prevalence, and on the association with cardiovascular risk factors, in a general population sample characterized by a young mean age. Methods: We studied 1,199 individuals from three Alpine villages enrolled into the MICROS study. eGFR was obtained with the 4- and 6-parameter MDRD study equations, the Virga equation, and with the three CKD-EPI formulas for creatinine, cystatin C, and the combination of creatinine and cystatin C. We assessed the concordance between quantitative eGFR levels, CKD prevalence, and in terms of association with total, LDL, and HDL cholesterol. Results: The highest and lowest eGFR levels corresponded to the cystatin C-based and MDRD-4 equations, respectively. CKD prevalence varied from 1.8% (Virga) to 5.8% (MDRD-4). The CKD-EPI based on creatinine showed the highest agreement with all other equations. Agreement between methods was higher at lower eGFR levels, older age, and in the presence of diabetes and hypertension. Creatinine-based estimates of eGFR were associated with total and low-density lipoprotein but not high-density lipoprotein cholesterol. The opposite was observed for the cystatin C-based GFR. Conclusion: GFR estimation is strongly affected by the chosen equation. Differences are more pronounced in healthy and younger individuals. To identify CKD risk factors, the choice of the equation is of secondary importance to the choice of the biomarker used in the formula. If eGFR is not calibrated to a gold standard GFR in the general population, reports about CKD prevalence should be considered with caution. Copyright © 2013 S. Karger AG, Basel.","author":[{"dropping-particle":"","family":"Pattaro","given":"Cristian","non-dropping-particle":"","parse-names":false,"suffix":""},{"dropping-particle":"","family":"Riegler","given":"Peter","non-dropping-particle":"","parse-names":false,"suffix":""},{"dropping-particle":"","family":"Stifter","given":"Gerald","non-dropping-particle":"","parse-names":false,"suffix":""},{"dropping-particle":"","family":"Modenese","given":"Mirko","non-dropping-particle":"","parse-names":false,"suffix":""},{"dropping-particle":"","family":"Minelli","given":"Cosetta","non-dropping-particle":"","parse-names":false,"suffix":""},{"dropping-particle":"","family":"Pramstaller","given":"Peter P.","non-dropping-particle":"","parse-names":false,"suffix":""}],"container-title":"Nephron - Clinical Practice","id":"ITEM-1","issued":{"date-parts":[["2013"]]},"title":"Estimating the glomerular filtration rate in the general population using different equations: Effects on classification and association","type":"article-journal"},"uris":["http://www.mendeley.com/documents/?uuid=a892ba13-269e-4b48-9ad3-8417a46055db"]}],"mendeley":{"formattedCitation":"&lt;sup&gt;3&lt;/sup&gt;","plainTextFormattedCitation":"3","previouslyFormattedCitation":"&lt;sup&gt;3&lt;/sup&gt;"},"properties":{"noteIndex":0},"schema":"https://github.com/citation-style-language/schema/raw/master/csl-citation.json"}</w:instrText>
      </w:r>
      <w:r>
        <w:rPr>
          <w:rFonts w:cs="Arial"/>
          <w:sz w:val="22"/>
          <w:szCs w:val="22"/>
          <w:lang w:val="en-US"/>
        </w:rPr>
        <w:fldChar w:fldCharType="separate"/>
      </w:r>
      <w:r w:rsidR="00512974" w:rsidRPr="00512974">
        <w:rPr>
          <w:rFonts w:cs="Arial"/>
          <w:noProof/>
          <w:sz w:val="22"/>
          <w:szCs w:val="22"/>
          <w:vertAlign w:val="superscript"/>
          <w:lang w:val="en-US"/>
        </w:rPr>
        <w:t>3</w:t>
      </w:r>
      <w:r>
        <w:rPr>
          <w:rFonts w:cs="Arial"/>
          <w:sz w:val="22"/>
          <w:szCs w:val="22"/>
          <w:lang w:val="en-US"/>
        </w:rPr>
        <w:fldChar w:fldCharType="end"/>
      </w:r>
      <w:r w:rsidR="003A0A52">
        <w:rPr>
          <w:rFonts w:cs="Arial"/>
          <w:sz w:val="22"/>
          <w:szCs w:val="22"/>
          <w:lang w:val="en-US"/>
        </w:rPr>
        <w:t>.</w:t>
      </w:r>
    </w:p>
    <w:p w14:paraId="49835651" w14:textId="77777777" w:rsidR="00990E60" w:rsidRPr="009C4254" w:rsidRDefault="00990E60" w:rsidP="00990E60">
      <w:pPr>
        <w:pStyle w:val="KeinLeerraum"/>
        <w:spacing w:line="360" w:lineRule="auto"/>
        <w:ind w:firstLine="708"/>
        <w:jc w:val="both"/>
        <w:rPr>
          <w:rFonts w:cs="Arial"/>
          <w:sz w:val="22"/>
          <w:szCs w:val="22"/>
          <w:lang w:val="en-US"/>
        </w:rPr>
      </w:pPr>
      <w:bookmarkStart w:id="1" w:name="_Hlk46239308"/>
      <w:r>
        <w:rPr>
          <w:rFonts w:cs="Arial"/>
          <w:sz w:val="22"/>
          <w:szCs w:val="22"/>
          <w:lang w:val="en-US"/>
        </w:rPr>
        <w:t xml:space="preserve">The variable “annual eGFRcrea decline” was defined as the difference between eGFRcrea at baseline and eGFRcrea at follow-up divided by the number of years of follow-up. By </w:t>
      </w:r>
      <w:r w:rsidRPr="009C4254">
        <w:rPr>
          <w:rFonts w:cs="Arial"/>
          <w:sz w:val="22"/>
          <w:szCs w:val="22"/>
          <w:lang w:val="en-US"/>
        </w:rPr>
        <w:t xml:space="preserve">this definition, the variable is positive, if there was a deteriorating kidney function over time. </w:t>
      </w:r>
      <w:bookmarkStart w:id="2" w:name="_Hlk46323927"/>
      <w:bookmarkStart w:id="3" w:name="_Hlk46422643"/>
      <w:bookmarkStart w:id="4" w:name="_Hlk46318787"/>
      <w:r w:rsidRPr="009C4254">
        <w:rPr>
          <w:rFonts w:cs="Arial"/>
          <w:sz w:val="22"/>
          <w:szCs w:val="22"/>
          <w:lang w:val="en-US"/>
        </w:rPr>
        <w:t xml:space="preserve">Most studies were population-based with a baseline survey and one follow-up, with blood collection at these two time points and thus two measurements of serum creatinine over time. For the few studies with more than one follow-up and more than two creatinine measurements over time, </w:t>
      </w:r>
      <w:bookmarkEnd w:id="2"/>
      <w:r w:rsidRPr="009C4254">
        <w:rPr>
          <w:rFonts w:cs="Arial"/>
          <w:sz w:val="22"/>
          <w:szCs w:val="22"/>
          <w:lang w:val="en-US"/>
        </w:rPr>
        <w:t xml:space="preserve">eGFRcrea decline was estimated based on the baseline survey and the last follow-up. </w:t>
      </w:r>
    </w:p>
    <w:p w14:paraId="4E9338DE" w14:textId="35163A48" w:rsidR="00990E60" w:rsidRDefault="00990E60" w:rsidP="00990E60">
      <w:pPr>
        <w:pStyle w:val="KeinLeerraum"/>
        <w:spacing w:line="360" w:lineRule="auto"/>
        <w:ind w:firstLine="708"/>
        <w:jc w:val="both"/>
        <w:rPr>
          <w:rFonts w:cs="Arial"/>
          <w:b/>
          <w:sz w:val="22"/>
          <w:szCs w:val="22"/>
          <w:lang w:val="en-US"/>
        </w:rPr>
      </w:pPr>
      <w:bookmarkStart w:id="5" w:name="_Hlk46999131"/>
      <w:bookmarkStart w:id="6" w:name="_Hlk46424087"/>
      <w:bookmarkEnd w:id="3"/>
      <w:r w:rsidRPr="009C4254">
        <w:rPr>
          <w:rFonts w:cs="Arial"/>
          <w:sz w:val="22"/>
          <w:szCs w:val="22"/>
          <w:lang w:val="en-US"/>
        </w:rPr>
        <w:t>From the “annual eGFRcrea decline”, each study analyst derived whether the participant had experienced a rapid decline yes/no</w:t>
      </w:r>
      <w:bookmarkEnd w:id="1"/>
      <w:r w:rsidRPr="009C4254">
        <w:rPr>
          <w:rFonts w:cs="Arial"/>
          <w:sz w:val="22"/>
          <w:szCs w:val="22"/>
          <w:lang w:val="en-US"/>
        </w:rPr>
        <w:t xml:space="preserve"> using two case-control-definitions</w:t>
      </w:r>
      <w:bookmarkEnd w:id="4"/>
      <w:bookmarkEnd w:id="5"/>
      <w:r w:rsidRPr="009C4254">
        <w:rPr>
          <w:rFonts w:cs="Arial"/>
          <w:sz w:val="22"/>
          <w:szCs w:val="22"/>
          <w:lang w:val="en-US"/>
        </w:rPr>
        <w:t xml:space="preserve">: </w:t>
      </w:r>
      <w:bookmarkEnd w:id="6"/>
      <w:r w:rsidR="00661974" w:rsidRPr="009C4254">
        <w:rPr>
          <w:rFonts w:cs="Arial"/>
          <w:sz w:val="22"/>
          <w:szCs w:val="22"/>
          <w:lang w:val="en-US"/>
        </w:rPr>
        <w:t xml:space="preserve">(1) “Rapid3” cases defined as eGFRcrea decline of &gt;3 mL/min/1.73m² per year compared to “no decline” (“Rapid3” controls, </w:t>
      </w:r>
      <w:r w:rsidR="00661974" w:rsidRPr="009C4254">
        <w:rPr>
          <w:rFonts w:cs="Arial"/>
          <w:sz w:val="22"/>
          <w:szCs w:val="22"/>
          <w:lang w:val="en-US"/>
        </w:rPr>
        <w:noBreakHyphen/>
        <w:t>1 to +1 mL/min/1.73m² per year), (2) ”CKDi25” cases defined as ≥25% eGFRcrea decline during follow-up together with a movement from eGFRcrea≥60 mL/min/1.73m² at baseline to eGFRcrea&lt;60 mL/min/1.73m² at follow-up compared to “CKDi25” controls defined as eGFRcrea≥60 mL/min/1.73m² at baseline and follow-up (</w:t>
      </w:r>
      <w:r w:rsidR="00661974" w:rsidRPr="009C4254">
        <w:rPr>
          <w:rFonts w:cs="Arial"/>
          <w:b/>
          <w:sz w:val="22"/>
          <w:szCs w:val="22"/>
          <w:lang w:val="en-US"/>
        </w:rPr>
        <w:t>Figure 1</w:t>
      </w:r>
      <w:r w:rsidR="00661974" w:rsidRPr="009C4254">
        <w:rPr>
          <w:rFonts w:cs="Arial"/>
          <w:sz w:val="22"/>
          <w:szCs w:val="22"/>
          <w:lang w:val="en-US"/>
        </w:rPr>
        <w:t>).</w:t>
      </w:r>
    </w:p>
    <w:p w14:paraId="00F97584" w14:textId="77777777" w:rsidR="00990E60" w:rsidRDefault="00990E60" w:rsidP="00990E60">
      <w:pPr>
        <w:pStyle w:val="KeinLeerraum"/>
        <w:spacing w:line="360" w:lineRule="auto"/>
        <w:jc w:val="both"/>
        <w:rPr>
          <w:rFonts w:cs="Arial"/>
          <w:sz w:val="22"/>
          <w:szCs w:val="22"/>
          <w:lang w:val="en-US"/>
        </w:rPr>
      </w:pPr>
    </w:p>
    <w:p w14:paraId="7D1E0CC3" w14:textId="77777777" w:rsidR="00990E60" w:rsidRDefault="00990E60" w:rsidP="00990E60">
      <w:pPr>
        <w:pStyle w:val="berschrift2"/>
      </w:pPr>
      <w:r>
        <w:t>Genotyping, genotype imputation, and association analysis per study</w:t>
      </w:r>
    </w:p>
    <w:p w14:paraId="04DC7D72" w14:textId="67983B1F" w:rsidR="00990E60" w:rsidRDefault="00990E60" w:rsidP="00990E60">
      <w:pPr>
        <w:pStyle w:val="KeinLeerraum"/>
        <w:spacing w:line="360" w:lineRule="auto"/>
        <w:jc w:val="both"/>
        <w:rPr>
          <w:rFonts w:cs="Arial"/>
          <w:sz w:val="22"/>
          <w:szCs w:val="22"/>
          <w:lang w:val="en-US"/>
        </w:rPr>
      </w:pPr>
      <w:r>
        <w:rPr>
          <w:rFonts w:cs="Arial"/>
          <w:sz w:val="22"/>
          <w:szCs w:val="22"/>
          <w:lang w:val="en-US"/>
        </w:rPr>
        <w:t>Genotyping was based on different genotyping arrays and imputation used the 1000 Genomes phase 3 v5 ALL</w:t>
      </w:r>
      <w:r w:rsidR="00512974" w:rsidRPr="00512974">
        <w:rPr>
          <w:rFonts w:cs="Arial"/>
          <w:sz w:val="22"/>
          <w:szCs w:val="22"/>
          <w:vertAlign w:val="superscript"/>
          <w:lang w:val="en-US"/>
        </w:rPr>
        <w:t>47</w:t>
      </w:r>
      <w:r>
        <w:rPr>
          <w:rFonts w:cs="Arial"/>
          <w:sz w:val="22"/>
          <w:szCs w:val="22"/>
          <w:lang w:val="en-US"/>
        </w:rPr>
        <w:t xml:space="preserve"> or Haplotype Reference Consortium v.1.1</w:t>
      </w:r>
      <w:r w:rsidR="00512974" w:rsidRPr="00512974">
        <w:rPr>
          <w:rFonts w:cs="Arial"/>
          <w:sz w:val="22"/>
          <w:szCs w:val="22"/>
          <w:vertAlign w:val="superscript"/>
          <w:lang w:val="en-US"/>
        </w:rPr>
        <w:t>48</w:t>
      </w:r>
      <w:r>
        <w:rPr>
          <w:rFonts w:cs="Arial"/>
          <w:sz w:val="22"/>
          <w:szCs w:val="22"/>
          <w:lang w:val="en-US"/>
        </w:rPr>
        <w:t xml:space="preserve"> reference panels. Imputation quality scores were provided (IMPUTE2</w:t>
      </w:r>
      <w:r w:rsidR="00512974" w:rsidRPr="00512974">
        <w:rPr>
          <w:rFonts w:cs="Arial"/>
          <w:sz w:val="22"/>
          <w:szCs w:val="22"/>
          <w:vertAlign w:val="superscript"/>
          <w:lang w:val="en-US"/>
        </w:rPr>
        <w:t>S</w:t>
      </w:r>
      <w:r>
        <w:rPr>
          <w:rFonts w:cs="Arial"/>
          <w:sz w:val="22"/>
          <w:szCs w:val="22"/>
          <w:lang w:val="en-US"/>
        </w:rPr>
        <w:fldChar w:fldCharType="begin" w:fldLock="1"/>
      </w:r>
      <w:r w:rsidR="00512974">
        <w:rPr>
          <w:rFonts w:cs="Arial"/>
          <w:sz w:val="22"/>
          <w:szCs w:val="22"/>
          <w:lang w:val="en-US"/>
        </w:rPr>
        <w:instrText>ADDIN CSL_CITATION {"citationItems":[{"id":"ITEM-1","itemData":{"DOI":"10.1371/journal.pgen.1000529","ISSN":"15537390","abstract":"Genotype imputation methods are now being widely used in the analysis of genome-wide association studies. Most imputation analyses to date have used the HapMap as a reference dataset, but new reference panels (such as controls genotyped on multiple SNP chips and densely typed samples from the 1,000 Genomes Project) will soon allow a broader range of SNPs to be imputed with higher accuracy, thereby increasing power. We describe a genotype imputation method (IMPUTE version 2) that is designed to address the challenges presented by these new datasets. The main innovation of our approach is a flexible modelling framework that increases accuracy and combines information across multiple reference panels while remaining computationally feasible. We find that IMPUTE v2 attains higher accuracy than other methods when the HapMap provides the sole reference panel, but that the size of the panel constrains the improvements that can be made. We also find that imputation accuracy can be greatly enhanced by expanding the reference panel to contain thousands of chromosomes and that IMPUTE v2 outperforms other methods in this setting at both rare and common SNPs, with overall error rates that are 15%-20% lower than those of the closest competing method. One particularly challenging aspect of next-generation association studies is to integrate information across multiple reference panels genotyped on different sets of SNPs; we show that our approach to this problem has practical advantages over other suggested solutions. © 2009 Howie et al.","author":[{"dropping-particle":"","family":"Howie","given":"Bryan N.","non-dropping-particle":"","parse-names":false,"suffix":""},{"dropping-particle":"","family":"Donnelly","given":"Peter","non-dropping-particle":"","parse-names":false,"suffix":""},{"dropping-particle":"","family":"Marchini","given":"Jonathan","non-dropping-particle":"","parse-names":false,"suffix":""}],"container-title":"PLoS Genetics","id":"ITEM-1","issued":{"date-parts":[["2009"]]},"title":"A flexible and accurate genotype imputation method for the next generation of genome-wide association studies","type":"article-journal"},"uris":["http://www.mendeley.com/documents/?uuid=fc73c904-56b4-4e59-8ccd-6b8a2622dbf5"]}],"mendeley":{"formattedCitation":"&lt;sup&gt;4&lt;/sup&gt;","plainTextFormattedCitation":"4","previouslyFormattedCitation":"&lt;sup&gt;4&lt;/sup&gt;"},"properties":{"noteIndex":0},"schema":"https://github.com/citation-style-language/schema/raw/master/csl-citation.json"}</w:instrText>
      </w:r>
      <w:r>
        <w:rPr>
          <w:rFonts w:cs="Arial"/>
          <w:sz w:val="22"/>
          <w:szCs w:val="22"/>
          <w:lang w:val="en-US"/>
        </w:rPr>
        <w:fldChar w:fldCharType="separate"/>
      </w:r>
      <w:r w:rsidR="00512974" w:rsidRPr="00512974">
        <w:rPr>
          <w:rFonts w:cs="Arial"/>
          <w:noProof/>
          <w:sz w:val="22"/>
          <w:szCs w:val="22"/>
          <w:vertAlign w:val="superscript"/>
          <w:lang w:val="en-US"/>
        </w:rPr>
        <w:t>4</w:t>
      </w:r>
      <w:r>
        <w:rPr>
          <w:rFonts w:cs="Arial"/>
          <w:sz w:val="22"/>
          <w:szCs w:val="22"/>
          <w:lang w:val="en-US"/>
        </w:rPr>
        <w:fldChar w:fldCharType="end"/>
      </w:r>
      <w:r>
        <w:rPr>
          <w:rFonts w:cs="Arial"/>
          <w:sz w:val="22"/>
          <w:szCs w:val="22"/>
          <w:lang w:val="en-US"/>
        </w:rPr>
        <w:t xml:space="preserve"> info score, R</w:t>
      </w:r>
      <w:r>
        <w:rPr>
          <w:rFonts w:cs="Arial"/>
          <w:sz w:val="22"/>
          <w:szCs w:val="22"/>
          <w:vertAlign w:val="superscript"/>
          <w:lang w:val="en-US"/>
        </w:rPr>
        <w:t>2</w:t>
      </w:r>
      <w:r>
        <w:rPr>
          <w:rFonts w:cs="Arial"/>
          <w:sz w:val="22"/>
          <w:szCs w:val="22"/>
          <w:lang w:val="en-US"/>
        </w:rPr>
        <w:t xml:space="preserve"> or minimac</w:t>
      </w:r>
      <w:r w:rsidR="00512974" w:rsidRPr="00512974">
        <w:rPr>
          <w:rFonts w:cs="Arial"/>
          <w:sz w:val="22"/>
          <w:szCs w:val="22"/>
          <w:vertAlign w:val="superscript"/>
          <w:lang w:val="en-US"/>
        </w:rPr>
        <w:t>S</w:t>
      </w:r>
      <w:r>
        <w:rPr>
          <w:rFonts w:cs="Arial"/>
          <w:sz w:val="22"/>
          <w:szCs w:val="22"/>
          <w:lang w:val="en-US"/>
        </w:rPr>
        <w:fldChar w:fldCharType="begin" w:fldLock="1"/>
      </w:r>
      <w:r w:rsidR="00512974">
        <w:rPr>
          <w:rFonts w:cs="Arial"/>
          <w:sz w:val="22"/>
          <w:szCs w:val="22"/>
          <w:lang w:val="en-US"/>
        </w:rPr>
        <w:instrText>ADDIN CSL_CITATION {"citationItems":[{"id":"ITEM-1","itemData":{"DOI":"10.1093/bioinformatics/btu704","ISSN":"14602059","abstract":"Genotype imputation is a key step in the analysis of genome-wide association studies. Upcoming very large reference panels, such as those from The 1000 Genomes Project and the Haplotype Consortium, will improve imputation quality of rare and less common variants, but will also increase the computational burden. Here, we demonstrate how the application of software engineering techniques can help to keep imputation broadly accessible. Overall, these improvements speed up imputation by an order of magnitude compared with our previous implementation.","author":[{"dropping-particle":"","family":"Fuchsberger","given":"Christian","non-dropping-particle":"","parse-names":false,"suffix":""},{"dropping-particle":"","family":"Abecasis","given":"Gonçalo R.","non-dropping-particle":"","parse-names":false,"suffix":""},{"dropping-particle":"","family":"Hinds","given":"David A.","non-dropping-particle":"","parse-names":false,"suffix":""}],"container-title":"Bioinformatics","id":"ITEM-1","issued":{"date-parts":[["2015"]]},"title":"Minimac2: Faster genotype imputation","type":"article-journal"},"uris":["http://www.mendeley.com/documents/?uuid=820a6402-daf3-4c98-b7c4-6f06b36a6934"]}],"mendeley":{"formattedCitation":"&lt;sup&gt;5&lt;/sup&gt;","plainTextFormattedCitation":"5","previouslyFormattedCitation":"&lt;sup&gt;5&lt;/sup&gt;"},"properties":{"noteIndex":0},"schema":"https://github.com/citation-style-language/schema/raw/master/csl-citation.json"}</w:instrText>
      </w:r>
      <w:r>
        <w:rPr>
          <w:rFonts w:cs="Arial"/>
          <w:sz w:val="22"/>
          <w:szCs w:val="22"/>
          <w:lang w:val="en-US"/>
        </w:rPr>
        <w:fldChar w:fldCharType="separate"/>
      </w:r>
      <w:r w:rsidR="00512974" w:rsidRPr="00512974">
        <w:rPr>
          <w:rFonts w:cs="Arial"/>
          <w:noProof/>
          <w:sz w:val="22"/>
          <w:szCs w:val="22"/>
          <w:vertAlign w:val="superscript"/>
          <w:lang w:val="en-US"/>
        </w:rPr>
        <w:t>5</w:t>
      </w:r>
      <w:r>
        <w:rPr>
          <w:rFonts w:cs="Arial"/>
          <w:sz w:val="22"/>
          <w:szCs w:val="22"/>
          <w:lang w:val="en-US"/>
        </w:rPr>
        <w:fldChar w:fldCharType="end"/>
      </w:r>
      <w:r>
        <w:rPr>
          <w:rFonts w:cs="Arial"/>
          <w:sz w:val="22"/>
          <w:szCs w:val="22"/>
          <w:lang w:val="en-US"/>
        </w:rPr>
        <w:t xml:space="preserve"> RSQ) for each variant</w:t>
      </w:r>
      <w:r>
        <w:rPr>
          <w:rFonts w:cs="Arial"/>
          <w:b/>
          <w:sz w:val="22"/>
          <w:szCs w:val="22"/>
          <w:lang w:val="en-US"/>
        </w:rPr>
        <w:t xml:space="preserve"> </w:t>
      </w:r>
      <w:r>
        <w:rPr>
          <w:rFonts w:cs="Arial"/>
          <w:sz w:val="22"/>
          <w:szCs w:val="22"/>
          <w:lang w:val="en-US"/>
        </w:rPr>
        <w:t>(</w:t>
      </w:r>
      <w:r>
        <w:rPr>
          <w:rFonts w:cs="Arial"/>
          <w:b/>
          <w:sz w:val="22"/>
          <w:szCs w:val="22"/>
          <w:lang w:val="en-US"/>
        </w:rPr>
        <w:t>Supplementary Table 3).</w:t>
      </w:r>
    </w:p>
    <w:p w14:paraId="19C52CF2" w14:textId="4682DDFE" w:rsidR="00990E60" w:rsidRDefault="00990E60" w:rsidP="00990E60">
      <w:pPr>
        <w:pStyle w:val="KeinLeerraum"/>
        <w:spacing w:line="360" w:lineRule="auto"/>
        <w:jc w:val="both"/>
        <w:rPr>
          <w:rFonts w:cs="Arial"/>
          <w:sz w:val="22"/>
          <w:szCs w:val="22"/>
          <w:lang w:val="en-US"/>
        </w:rPr>
      </w:pPr>
      <w:r>
        <w:rPr>
          <w:rFonts w:cs="Arial"/>
          <w:sz w:val="22"/>
          <w:szCs w:val="22"/>
          <w:lang w:val="en-US"/>
        </w:rPr>
        <w:t xml:space="preserve">Each binary phenotype was regressed on variant dosage assuming an additive genetic model using logistic regression models adjusted for sex, age and baseline eGFRcrea in each of the </w:t>
      </w:r>
      <w:r>
        <w:rPr>
          <w:rFonts w:cs="Arial"/>
          <w:sz w:val="22"/>
          <w:szCs w:val="22"/>
          <w:lang w:val="en-US"/>
        </w:rPr>
        <w:lastRenderedPageBreak/>
        <w:t xml:space="preserve">studies. Other variables, such as genetic principal components, were used in a study-specific manner to control for specific design issues. A total of 38 studies contributed GWA summary statistics to the meta-analysis of Rapid3 and 23 studies to the meta-analysis of CKDi25 (42 studies for either Rapid3 or CKDi25, </w:t>
      </w:r>
      <w:r>
        <w:rPr>
          <w:rFonts w:cs="Arial"/>
          <w:b/>
          <w:sz w:val="22"/>
          <w:szCs w:val="22"/>
          <w:lang w:val="en-US"/>
        </w:rPr>
        <w:t>Supplementary Table 1</w:t>
      </w:r>
      <w:r>
        <w:rPr>
          <w:rFonts w:cs="Arial"/>
          <w:sz w:val="22"/>
          <w:szCs w:val="22"/>
          <w:lang w:val="en-US"/>
        </w:rPr>
        <w:t>).</w:t>
      </w:r>
      <w:r>
        <w:rPr>
          <w:rFonts w:cs="Arial"/>
          <w:b/>
          <w:sz w:val="22"/>
          <w:szCs w:val="22"/>
          <w:lang w:val="en-US"/>
        </w:rPr>
        <w:t xml:space="preserve"> </w:t>
      </w:r>
      <w:r>
        <w:rPr>
          <w:rFonts w:cs="Arial"/>
          <w:sz w:val="22"/>
          <w:szCs w:val="22"/>
          <w:lang w:val="en-US"/>
        </w:rPr>
        <w:t>Summary statistics and study characteristics were collected centrally and quality-controlled with custom scripts and GWAtoolbox</w:t>
      </w:r>
      <w:r w:rsidR="00512974" w:rsidRPr="00512974">
        <w:rPr>
          <w:rFonts w:cs="Arial"/>
          <w:sz w:val="22"/>
          <w:szCs w:val="22"/>
          <w:vertAlign w:val="superscript"/>
          <w:lang w:val="en-US"/>
        </w:rPr>
        <w:t>S</w:t>
      </w:r>
      <w:r>
        <w:rPr>
          <w:rFonts w:cs="Arial"/>
          <w:sz w:val="22"/>
          <w:szCs w:val="22"/>
          <w:lang w:val="en-US"/>
        </w:rPr>
        <w:fldChar w:fldCharType="begin" w:fldLock="1"/>
      </w:r>
      <w:r w:rsidR="00512974">
        <w:rPr>
          <w:rFonts w:cs="Arial"/>
          <w:sz w:val="22"/>
          <w:szCs w:val="22"/>
          <w:lang w:val="en-US"/>
        </w:rPr>
        <w:instrText>ADDIN CSL_CITATION {"citationItems":[{"id":"ITEM-1","itemData":{"DOI":"10.1093/bioinformatics/btr679","ISSN":"13674803","abstract":"The GWAtoolbox is an R package that standardizes and accelerates the handling of data from genome-wide association studies (GWAS), particularly in the context of large-scale GWAS meta-analyses. A key feature of GWAtoolbox is its ability to perform quality control (QC) of any number of files in a matter of minutes. The implemented workflow has been structured to check three particular data quality aspects: (i) data formatting, (ii) quality of the GWAS results and (iii) data consistency across studies. Output consists of an extensive list of quality statistics and plots which allow inspection of individual files and between-study comparison to identify systematic bias. © The Author 2011. Published by Oxford University Press. All rights reserved.","author":[{"dropping-particle":"","family":"Fuchsberger","given":"Christian","non-dropping-particle":"","parse-names":false,"suffix":""},{"dropping-particle":"","family":"Taliun","given":"Daniel","non-dropping-particle":"","parse-names":false,"suffix":""},{"dropping-particle":"","family":"Pramstaller","given":"Peter P.","non-dropping-particle":"","parse-names":false,"suffix":""},{"dropping-particle":"","family":"Pattaro","given":"Cristian","non-dropping-particle":"","parse-names":false,"suffix":""}],"container-title":"Bioinformatics","id":"ITEM-1","issued":{"date-parts":[["2012"]]},"title":"GWAtoolbox: An R package for fast quality control and handling of genome-wide association studies meta-analysis data","type":"article-journal"},"uris":["http://www.mendeley.com/documents/?uuid=8e96bd6d-a334-4375-a956-b1012dbab0b2"]}],"mendeley":{"formattedCitation":"&lt;sup&gt;6&lt;/sup&gt;","plainTextFormattedCitation":"6","previouslyFormattedCitation":"&lt;sup&gt;6&lt;/sup&gt;"},"properties":{"noteIndex":0},"schema":"https://github.com/citation-style-language/schema/raw/master/csl-citation.json"}</w:instrText>
      </w:r>
      <w:r>
        <w:rPr>
          <w:rFonts w:cs="Arial"/>
          <w:sz w:val="22"/>
          <w:szCs w:val="22"/>
          <w:lang w:val="en-US"/>
        </w:rPr>
        <w:fldChar w:fldCharType="separate"/>
      </w:r>
      <w:r w:rsidR="00512974" w:rsidRPr="00512974">
        <w:rPr>
          <w:rFonts w:cs="Arial"/>
          <w:noProof/>
          <w:sz w:val="22"/>
          <w:szCs w:val="22"/>
          <w:vertAlign w:val="superscript"/>
          <w:lang w:val="en-US"/>
        </w:rPr>
        <w:t>6</w:t>
      </w:r>
      <w:r>
        <w:rPr>
          <w:rFonts w:cs="Arial"/>
          <w:sz w:val="22"/>
          <w:szCs w:val="22"/>
          <w:lang w:val="en-US"/>
        </w:rPr>
        <w:fldChar w:fldCharType="end"/>
      </w:r>
      <w:r>
        <w:rPr>
          <w:rFonts w:cs="Arial"/>
          <w:sz w:val="22"/>
          <w:szCs w:val="22"/>
          <w:lang w:val="en-US"/>
        </w:rPr>
        <w:t>.</w:t>
      </w:r>
    </w:p>
    <w:p w14:paraId="3C5A1209" w14:textId="77777777" w:rsidR="00990E60" w:rsidRDefault="00990E60" w:rsidP="00990E60">
      <w:pPr>
        <w:pStyle w:val="KeinLeerraum"/>
        <w:spacing w:line="360" w:lineRule="auto"/>
        <w:ind w:firstLine="708"/>
        <w:jc w:val="both"/>
        <w:rPr>
          <w:rFonts w:cs="Arial"/>
          <w:sz w:val="22"/>
          <w:szCs w:val="22"/>
          <w:lang w:val="en-US"/>
        </w:rPr>
      </w:pPr>
    </w:p>
    <w:p w14:paraId="6672C01B" w14:textId="77777777" w:rsidR="00990E60" w:rsidRDefault="00990E60" w:rsidP="00990E60">
      <w:pPr>
        <w:pStyle w:val="berschrift2"/>
      </w:pPr>
      <w:r>
        <w:t>Rapid eGFRcrea decline meta-analyses and locus identification</w:t>
      </w:r>
    </w:p>
    <w:p w14:paraId="5B40A7AB" w14:textId="526549B3" w:rsidR="00990E60" w:rsidRDefault="00990E60" w:rsidP="005901EC">
      <w:pPr>
        <w:pStyle w:val="KeinLeerraum"/>
        <w:spacing w:line="360" w:lineRule="auto"/>
        <w:jc w:val="both"/>
        <w:rPr>
          <w:rFonts w:cs="Arial"/>
          <w:sz w:val="22"/>
          <w:szCs w:val="22"/>
          <w:lang w:val="en-US"/>
        </w:rPr>
      </w:pPr>
      <w:r>
        <w:rPr>
          <w:rFonts w:cs="Arial"/>
          <w:sz w:val="22"/>
          <w:szCs w:val="22"/>
          <w:lang w:val="en-US"/>
        </w:rPr>
        <w:t>Before meta-analysis, all multi-allelic variants, variants with a Minor Allele Count (MAC) &lt;10 and imputation quality score &lt;0.6 were removed. A fixed-effects inverse-variance-weighted meta-analysis was conducted on GWA results including all studies that had at least 100 cases and 100 controls. We used METAL</w:t>
      </w:r>
      <w:r w:rsidR="00512974" w:rsidRPr="00512974">
        <w:rPr>
          <w:rFonts w:cs="Arial"/>
          <w:sz w:val="22"/>
          <w:szCs w:val="22"/>
          <w:vertAlign w:val="superscript"/>
          <w:lang w:val="en-US"/>
        </w:rPr>
        <w:t>S</w:t>
      </w:r>
      <w:r>
        <w:rPr>
          <w:rFonts w:cs="Arial"/>
          <w:sz w:val="22"/>
          <w:szCs w:val="22"/>
          <w:lang w:val="en-US"/>
        </w:rPr>
        <w:fldChar w:fldCharType="begin" w:fldLock="1"/>
      </w:r>
      <w:r w:rsidR="00512974">
        <w:rPr>
          <w:rFonts w:cs="Arial"/>
          <w:sz w:val="22"/>
          <w:szCs w:val="22"/>
          <w:lang w:val="en-US"/>
        </w:rPr>
        <w:instrText>ADDIN CSL_CITATION {"citationItems":[{"id":"ITEM-1","itemData":{"DOI":"10.1093/bioinformatics/btq340","ISSN":"13674803","abstract":"Summary: METAL provides a computationally efficient tool for metaanalysis of genome-wide association scans, which is a commonly used approach for improving power complex traits gene mapping studies. METAL provides a rich scripting interface and implements efficient memory management to allow analyses of very large data sets and to support a variety of input file formats. © The Author(s) 2010. Published by Oxford University Press.","author":[{"dropping-particle":"","family":"Willer","given":"Cristen J.","non-dropping-particle":"","parse-names":false,"suffix":""},{"dropping-particle":"","family":"Li","given":"Yun","non-dropping-particle":"","parse-names":false,"suffix":""},{"dropping-particle":"","family":"Abecasis","given":"Gonçalo R.","non-dropping-particle":"","parse-names":false,"suffix":""}],"container-title":"Bioinformatics","id":"ITEM-1","issued":{"date-parts":[["2010"]]},"title":"METAL: Fast and efficient meta-analysis of genomewide association scans","type":"article-journal"},"uris":["http://www.mendeley.com/documents/?uuid=7a5498bb-1949-45ef-af3b-82463b4f31f0"]}],"mendeley":{"formattedCitation":"&lt;sup&gt;7&lt;/sup&gt;","plainTextFormattedCitation":"7","previouslyFormattedCitation":"&lt;sup&gt;7&lt;/sup&gt;"},"properties":{"noteIndex":0},"schema":"https://github.com/citation-style-language/schema/raw/master/csl-citation.json"}</w:instrText>
      </w:r>
      <w:r>
        <w:rPr>
          <w:rFonts w:cs="Arial"/>
          <w:sz w:val="22"/>
          <w:szCs w:val="22"/>
          <w:lang w:val="en-US"/>
        </w:rPr>
        <w:fldChar w:fldCharType="separate"/>
      </w:r>
      <w:r w:rsidR="00512974" w:rsidRPr="00512974">
        <w:rPr>
          <w:rFonts w:cs="Arial"/>
          <w:noProof/>
          <w:sz w:val="22"/>
          <w:szCs w:val="22"/>
          <w:vertAlign w:val="superscript"/>
          <w:lang w:val="en-US"/>
        </w:rPr>
        <w:t>7</w:t>
      </w:r>
      <w:r>
        <w:rPr>
          <w:rFonts w:cs="Arial"/>
          <w:sz w:val="22"/>
          <w:szCs w:val="22"/>
          <w:lang w:val="en-US"/>
        </w:rPr>
        <w:fldChar w:fldCharType="end"/>
      </w:r>
      <w:r>
        <w:rPr>
          <w:rFonts w:cs="Arial"/>
          <w:sz w:val="22"/>
          <w:szCs w:val="22"/>
          <w:lang w:val="en-US"/>
        </w:rPr>
        <w:t xml:space="preserve"> with genomic control (GC) correction if the study GC lambda was &gt;1. Between-study heterogeneity was assessed using the I² statistic. </w:t>
      </w:r>
      <w:r w:rsidR="005901EC" w:rsidRPr="00B15C34">
        <w:rPr>
          <w:rFonts w:cs="Arial"/>
          <w:sz w:val="22"/>
          <w:szCs w:val="22"/>
          <w:lang w:val="en-US"/>
        </w:rPr>
        <w:t>Meta-analyses were conducted including studies from all ancestries (“All meta-analysis”) and restricting to studies of European descent (“EUR meta-analysis”).</w:t>
      </w:r>
      <w:r w:rsidR="005901EC">
        <w:rPr>
          <w:rFonts w:cs="Arial"/>
          <w:sz w:val="22"/>
          <w:szCs w:val="22"/>
          <w:lang w:val="en-US"/>
        </w:rPr>
        <w:t xml:space="preserve"> </w:t>
      </w:r>
      <w:r w:rsidR="005901EC" w:rsidRPr="00B15C34">
        <w:rPr>
          <w:rFonts w:cs="Arial"/>
          <w:sz w:val="22"/>
          <w:szCs w:val="22"/>
          <w:lang w:val="en-US"/>
        </w:rPr>
        <w:t>The “All meta-analysis” was conducted on 38 studies for Rapid3 (34,874 cases and 107,090 controls) and 23 studies for CKDi25 (19,901 cases and 175,244 controls). The “EUR meta-analysis” included 28 Rapid3 studies (31,101 cases, 102,485 controls) and 19 CKDi25 studies (19,419 cases, 169,087 controls).</w:t>
      </w:r>
      <w:r>
        <w:rPr>
          <w:rFonts w:cs="Arial"/>
          <w:sz w:val="22"/>
          <w:szCs w:val="22"/>
          <w:lang w:val="en-US"/>
        </w:rPr>
        <w:t xml:space="preserve"> </w:t>
      </w:r>
    </w:p>
    <w:p w14:paraId="5A6D3F7C" w14:textId="0CDB2460" w:rsidR="00990E60" w:rsidRPr="00B15C34" w:rsidRDefault="00990E60" w:rsidP="00990E60">
      <w:pPr>
        <w:pStyle w:val="KeinLeerraum"/>
        <w:spacing w:line="360" w:lineRule="auto"/>
        <w:ind w:firstLine="708"/>
        <w:jc w:val="both"/>
        <w:rPr>
          <w:rFonts w:cs="Arial"/>
          <w:sz w:val="22"/>
          <w:szCs w:val="22"/>
          <w:lang w:val="en-US"/>
        </w:rPr>
      </w:pPr>
      <w:r>
        <w:rPr>
          <w:rFonts w:cs="Arial"/>
          <w:sz w:val="22"/>
          <w:szCs w:val="22"/>
          <w:lang w:val="en-US"/>
        </w:rPr>
        <w:t>To</w:t>
      </w:r>
      <w:r w:rsidRPr="00B15C34">
        <w:rPr>
          <w:rFonts w:cs="Arial"/>
          <w:sz w:val="22"/>
          <w:szCs w:val="22"/>
          <w:lang w:val="en-US"/>
        </w:rPr>
        <w:t xml:space="preserve"> select </w:t>
      </w:r>
      <w:r>
        <w:rPr>
          <w:rFonts w:cs="Arial"/>
          <w:sz w:val="22"/>
          <w:szCs w:val="22"/>
          <w:lang w:val="en-US"/>
        </w:rPr>
        <w:t xml:space="preserve">genome-wide significant </w:t>
      </w:r>
      <w:r w:rsidRPr="00B15C34">
        <w:rPr>
          <w:rFonts w:cs="Arial"/>
          <w:sz w:val="22"/>
          <w:szCs w:val="22"/>
          <w:lang w:val="en-US"/>
        </w:rPr>
        <w:t>lead variants and locus regions, we selected the variant with the smallest genome-wide P-value as the primary lead variant and defined this locus’ region as this variant ±500 kB. Then, we omitted this region and selected the next variant with the smallest genome-wide P-value; we repeated this procedure until genome-wide no variant with P-value&lt;5x10</w:t>
      </w:r>
      <w:r w:rsidRPr="00B15C34">
        <w:rPr>
          <w:rFonts w:cs="Arial"/>
          <w:sz w:val="22"/>
          <w:szCs w:val="22"/>
          <w:vertAlign w:val="superscript"/>
          <w:lang w:val="en-US"/>
        </w:rPr>
        <w:t>-8</w:t>
      </w:r>
      <w:r w:rsidRPr="00B15C34">
        <w:rPr>
          <w:rFonts w:cs="Arial"/>
          <w:sz w:val="22"/>
          <w:szCs w:val="22"/>
          <w:lang w:val="en-US"/>
        </w:rPr>
        <w:t xml:space="preserve"> was </w:t>
      </w:r>
      <w:r w:rsidRPr="00990E60">
        <w:rPr>
          <w:rFonts w:cs="Arial"/>
          <w:sz w:val="22"/>
          <w:szCs w:val="22"/>
          <w:lang w:val="en-US"/>
        </w:rPr>
        <w:t xml:space="preserve">observed. The </w:t>
      </w:r>
      <w:r w:rsidRPr="00990E60">
        <w:rPr>
          <w:rFonts w:cs="Arial"/>
          <w:i/>
          <w:sz w:val="22"/>
          <w:szCs w:val="22"/>
          <w:lang w:val="en-US"/>
        </w:rPr>
        <w:t>MHC</w:t>
      </w:r>
      <w:r w:rsidRPr="00990E60">
        <w:rPr>
          <w:rFonts w:cs="Arial"/>
          <w:sz w:val="22"/>
          <w:szCs w:val="22"/>
          <w:lang w:val="en-US"/>
        </w:rPr>
        <w:t xml:space="preserve"> region was considered a single locus. A locus overlapped with any of the 265 loci reported</w:t>
      </w:r>
      <w:r w:rsidRPr="00B15C34">
        <w:rPr>
          <w:rFonts w:cs="Arial"/>
          <w:sz w:val="22"/>
          <w:szCs w:val="22"/>
          <w:lang w:val="en-US"/>
        </w:rPr>
        <w:t xml:space="preserve"> for cross-sectional eGFRcrea</w:t>
      </w:r>
      <w:r w:rsidR="00512974" w:rsidRPr="00512974">
        <w:rPr>
          <w:rFonts w:cs="Arial"/>
          <w:sz w:val="22"/>
          <w:szCs w:val="22"/>
          <w:vertAlign w:val="superscript"/>
          <w:lang w:val="en-US"/>
        </w:rPr>
        <w:t>17</w:t>
      </w:r>
      <w:r w:rsidRPr="00B15C34">
        <w:rPr>
          <w:rFonts w:cs="Arial"/>
          <w:sz w:val="22"/>
          <w:szCs w:val="22"/>
          <w:lang w:val="en-US"/>
        </w:rPr>
        <w:t xml:space="preserve">, </w:t>
      </w:r>
      <w:r>
        <w:rPr>
          <w:rFonts w:cs="Arial"/>
          <w:sz w:val="22"/>
          <w:szCs w:val="22"/>
          <w:lang w:val="en-US"/>
        </w:rPr>
        <w:t xml:space="preserve">when </w:t>
      </w:r>
      <w:r w:rsidRPr="00B15C34">
        <w:rPr>
          <w:rFonts w:cs="Arial"/>
          <w:sz w:val="22"/>
          <w:szCs w:val="22"/>
          <w:lang w:val="en-US"/>
        </w:rPr>
        <w:t>our detected primary lead variant resided in the reported locus.</w:t>
      </w:r>
      <w:r w:rsidR="005901EC">
        <w:rPr>
          <w:rFonts w:cs="Arial"/>
          <w:sz w:val="22"/>
          <w:szCs w:val="22"/>
          <w:lang w:val="en-US"/>
        </w:rPr>
        <w:t xml:space="preserve"> </w:t>
      </w:r>
      <w:r w:rsidRPr="00B15C34">
        <w:rPr>
          <w:rFonts w:cs="Arial"/>
          <w:sz w:val="22"/>
          <w:szCs w:val="22"/>
          <w:lang w:val="en-US"/>
        </w:rPr>
        <w:t xml:space="preserve">In each of our identified loci, we searched for </w:t>
      </w:r>
      <w:r>
        <w:rPr>
          <w:rFonts w:cs="Arial"/>
          <w:sz w:val="22"/>
          <w:szCs w:val="22"/>
          <w:lang w:val="en-US"/>
        </w:rPr>
        <w:t>2</w:t>
      </w:r>
      <w:r w:rsidRPr="00962188">
        <w:rPr>
          <w:rFonts w:cs="Arial"/>
          <w:sz w:val="22"/>
          <w:szCs w:val="22"/>
          <w:vertAlign w:val="superscript"/>
          <w:lang w:val="en-US"/>
        </w:rPr>
        <w:t>nd</w:t>
      </w:r>
      <w:r w:rsidRPr="00B15C34">
        <w:rPr>
          <w:rFonts w:cs="Arial"/>
          <w:sz w:val="22"/>
          <w:szCs w:val="22"/>
          <w:lang w:val="en-US"/>
        </w:rPr>
        <w:t xml:space="preserve"> signals with a summary statistics based conditional analysis using GCTA</w:t>
      </w:r>
      <w:r w:rsidR="00512974" w:rsidRPr="00512974">
        <w:rPr>
          <w:rFonts w:cs="Arial"/>
          <w:sz w:val="22"/>
          <w:szCs w:val="22"/>
          <w:vertAlign w:val="superscript"/>
          <w:lang w:val="en-US"/>
        </w:rPr>
        <w:t>S</w:t>
      </w:r>
      <w:r w:rsidRPr="00B15C34">
        <w:rPr>
          <w:rFonts w:cs="Arial"/>
          <w:sz w:val="22"/>
          <w:szCs w:val="22"/>
          <w:lang w:val="en-US"/>
        </w:rPr>
        <w:fldChar w:fldCharType="begin" w:fldLock="1"/>
      </w:r>
      <w:r w:rsidR="00D97510">
        <w:rPr>
          <w:rFonts w:cs="Arial"/>
          <w:sz w:val="22"/>
          <w:szCs w:val="22"/>
          <w:lang w:val="en-US"/>
        </w:rPr>
        <w:instrText>ADDIN CSL_CITATION {"citationItems":[{"id":"ITEM-1","itemData":{"DOI":"10.1038/ng.2213","ISSN":"10614036","abstract":"We present an approximate conditional and joint association analysis that can use summary-level statistics from a meta-analysis of genome-wide association studies (GWAS) and estimated linkage disequilibrium (LD) from a reference sample with individual-level genotype data. Using this method, we analyzed meta-analysis summary data from the GIANT Consortium for height and body mass index (BMI), with the LD structure estimated from genotype data in two independent cohorts. We identified 36 loci with multiple associated variants for height (38 leading and 49 additional SNPs, 87 in total) via a genome-wide SNP selection procedure. The 49 new SNPs explain approximately 1.3% of variance, nearly doubling the heritability explained at the 36 loci. We did not find any locus showing multiple associated SNPs for BMI. The method we present is computationally fast and is also applicable to case-control data, which we demonstrate in an example from meta-analysis of type 2 diabetes by the DIAGRAM Consortium. © 2012 Nature America, Inc. All rights reserved.","author":[{"dropping-particle":"","family":"Yang","given":"Jian","non-dropping-particle":"","parse-names":false,"suffix":""},{"dropping-particle":"","family":"Ferreira","given":"Teresa","non-dropping-particle":"","parse-names":false,"suffix":""},{"dropping-particle":"","family":"Morris","given":"Andrew P.","non-dropping-particle":"","parse-names":false,"suffix":""},{"dropping-particle":"","family":"Medland","given":"Sarah E.","non-dropping-particle":"","parse-names":false,"suffix":""},{"dropping-particle":"","family":"Madden","given":"Pamela A.F.","non-dropping-particle":"","parse-names":false,"suffix":""},{"dropping-particle":"","family":"Heath","given":"Andrew C.","non-dropping-particle":"","parse-names":false,"suffix":""},{"dropping-particle":"","family":"Martin","given":"Nicholas G.","non-dropping-particle":"","parse-names":false,"suffix":""},{"dropping-particle":"","family":"Montgomery","given":"Grant W.","non-dropping-particle":"","parse-names":false,"suffix":""},{"dropping-particle":"","family":"Weedon","given":"Michael N.","non-dropping-particle":"","parse-names":false,"suffix":""},{"dropping-particle":"","family":"Loos","given":"Ruth J.","non-dropping-particle":"","parse-names":false,"suffix":""},{"dropping-particle":"","family":"Frayling","given":"Timothy M.","non-dropping-particle":"","parse-names":false,"suffix":""},{"dropping-particle":"","family":"McCarthy","given":"Mark I.","non-dropping-particle":"","parse-names":false,"suffix":""},{"dropping-particle":"","family":"Hirschhorn","given":"Joel N.","non-dropping-particle":"","parse-names":false,"suffix":""},{"dropping-particle":"","family":"Goddard","given":"Michael E.","non-dropping-particle":"","parse-names":false,"suffix":""},{"dropping-particle":"","family":"Visscher","given":"Peter M.","non-dropping-particle":"","parse-names":false,"suffix":""}],"container-title":"Nature Genetics","id":"ITEM-1","issued":{"date-parts":[["2012"]]},"title":"Conditional and joint multiple-SNP analysis of GWAS summary statistics identifies additional variants influencing complex traits","type":"article-journal"},"uris":["http://www.mendeley.com/documents/?uuid=520521cb-0711-4614-a99c-9c54b6024b6d"]}],"mendeley":{"formattedCitation":"&lt;sup&gt;8&lt;/sup&gt;","plainTextFormattedCitation":"8","previouslyFormattedCitation":"&lt;sup&gt;8&lt;/sup&gt;"},"properties":{"noteIndex":0},"schema":"https://github.com/citation-style-language/schema/raw/master/csl-citation.json"}</w:instrText>
      </w:r>
      <w:r w:rsidRPr="00B15C34">
        <w:rPr>
          <w:rFonts w:cs="Arial"/>
          <w:sz w:val="22"/>
          <w:szCs w:val="22"/>
          <w:lang w:val="en-US"/>
        </w:rPr>
        <w:fldChar w:fldCharType="separate"/>
      </w:r>
      <w:r w:rsidR="00512974" w:rsidRPr="00512974">
        <w:rPr>
          <w:rFonts w:cs="Arial"/>
          <w:noProof/>
          <w:sz w:val="22"/>
          <w:szCs w:val="22"/>
          <w:vertAlign w:val="superscript"/>
          <w:lang w:val="en-US"/>
        </w:rPr>
        <w:t>8</w:t>
      </w:r>
      <w:r w:rsidRPr="00B15C34">
        <w:rPr>
          <w:rFonts w:cs="Arial"/>
          <w:sz w:val="22"/>
          <w:szCs w:val="22"/>
          <w:lang w:val="en-US"/>
        </w:rPr>
        <w:fldChar w:fldCharType="end"/>
      </w:r>
      <w:r w:rsidRPr="00B15C34">
        <w:rPr>
          <w:rFonts w:cs="Arial"/>
          <w:sz w:val="22"/>
          <w:szCs w:val="22"/>
          <w:lang w:val="en-US"/>
        </w:rPr>
        <w:t xml:space="preserve"> by conditioning the association of each variant in the respective locus on the primary lead variant (adjusted P-values). A </w:t>
      </w:r>
      <w:r>
        <w:rPr>
          <w:rFonts w:cs="Arial"/>
          <w:sz w:val="22"/>
          <w:szCs w:val="22"/>
          <w:lang w:val="en-US"/>
        </w:rPr>
        <w:t>2</w:t>
      </w:r>
      <w:r w:rsidRPr="00962188">
        <w:rPr>
          <w:rFonts w:cs="Arial"/>
          <w:sz w:val="22"/>
          <w:szCs w:val="22"/>
          <w:vertAlign w:val="superscript"/>
          <w:lang w:val="en-US"/>
        </w:rPr>
        <w:t>nd</w:t>
      </w:r>
      <w:r w:rsidRPr="00B15C34">
        <w:rPr>
          <w:rFonts w:cs="Arial"/>
          <w:sz w:val="22"/>
          <w:szCs w:val="22"/>
          <w:lang w:val="en-US"/>
        </w:rPr>
        <w:t xml:space="preserve"> signal was identified, when a variant with an adjusted P-value&lt;5x10</w:t>
      </w:r>
      <w:r w:rsidRPr="00B15C34">
        <w:rPr>
          <w:rFonts w:cs="Arial"/>
          <w:sz w:val="22"/>
          <w:szCs w:val="22"/>
          <w:vertAlign w:val="superscript"/>
          <w:lang w:val="en-US"/>
        </w:rPr>
        <w:t>-8</w:t>
      </w:r>
      <w:r w:rsidRPr="00B15C34">
        <w:rPr>
          <w:rFonts w:cs="Arial"/>
          <w:sz w:val="22"/>
          <w:szCs w:val="22"/>
          <w:lang w:val="en-US"/>
        </w:rPr>
        <w:t xml:space="preserve"> was retained and the variants with the smallest adjusted P-value in the locus was defined as </w:t>
      </w:r>
      <w:r>
        <w:rPr>
          <w:rFonts w:cs="Arial"/>
          <w:sz w:val="22"/>
          <w:szCs w:val="22"/>
          <w:lang w:val="en-US"/>
        </w:rPr>
        <w:t>2</w:t>
      </w:r>
      <w:r w:rsidRPr="00962188">
        <w:rPr>
          <w:rFonts w:cs="Arial"/>
          <w:sz w:val="22"/>
          <w:szCs w:val="22"/>
          <w:vertAlign w:val="superscript"/>
          <w:lang w:val="en-US"/>
        </w:rPr>
        <w:t>nd</w:t>
      </w:r>
      <w:r w:rsidRPr="00B15C34">
        <w:rPr>
          <w:rFonts w:cs="Arial"/>
          <w:sz w:val="22"/>
          <w:szCs w:val="22"/>
          <w:lang w:val="en-US"/>
        </w:rPr>
        <w:t xml:space="preserve"> lead variant. We continued </w:t>
      </w:r>
      <w:r>
        <w:rPr>
          <w:rFonts w:cs="Arial"/>
          <w:sz w:val="22"/>
          <w:szCs w:val="22"/>
          <w:lang w:val="en-US"/>
        </w:rPr>
        <w:t xml:space="preserve">this </w:t>
      </w:r>
      <w:r w:rsidRPr="00B15C34">
        <w:rPr>
          <w:rFonts w:cs="Arial"/>
          <w:sz w:val="22"/>
          <w:szCs w:val="22"/>
          <w:lang w:val="en-US"/>
        </w:rPr>
        <w:t>until no further signal was found in the locus.</w:t>
      </w:r>
    </w:p>
    <w:p w14:paraId="6D780C2F" w14:textId="5C6B0149" w:rsidR="00990E60" w:rsidRDefault="00990E60" w:rsidP="00990E60">
      <w:pPr>
        <w:pStyle w:val="KeinLeerraum"/>
        <w:spacing w:line="360" w:lineRule="auto"/>
        <w:ind w:firstLine="708"/>
        <w:jc w:val="both"/>
        <w:rPr>
          <w:rFonts w:cs="Arial"/>
          <w:sz w:val="22"/>
          <w:szCs w:val="22"/>
          <w:lang w:val="en-US"/>
        </w:rPr>
      </w:pPr>
      <w:r>
        <w:rPr>
          <w:rFonts w:cs="Arial"/>
          <w:sz w:val="22"/>
          <w:szCs w:val="22"/>
          <w:lang w:val="en-US"/>
        </w:rPr>
        <w:t>For the candidate-based search, we evaluated association with Rapid3 and CKDi25 for the 264 lead variants reported for cross-sectional eGFRcrea</w:t>
      </w:r>
      <w:r w:rsidR="00512974" w:rsidRPr="00512974">
        <w:rPr>
          <w:rFonts w:cs="Arial"/>
          <w:sz w:val="22"/>
          <w:szCs w:val="22"/>
          <w:vertAlign w:val="superscript"/>
          <w:lang w:val="en-US"/>
        </w:rPr>
        <w:t>17</w:t>
      </w:r>
      <w:r>
        <w:rPr>
          <w:rFonts w:cs="Arial"/>
          <w:sz w:val="22"/>
          <w:szCs w:val="22"/>
          <w:lang w:val="en-US"/>
        </w:rPr>
        <w:t>. We also included the lead variant of the 2</w:t>
      </w:r>
      <w:r>
        <w:rPr>
          <w:rFonts w:cs="Arial"/>
          <w:sz w:val="22"/>
          <w:szCs w:val="22"/>
          <w:vertAlign w:val="superscript"/>
          <w:lang w:val="en-US"/>
        </w:rPr>
        <w:t>nd</w:t>
      </w:r>
      <w:r>
        <w:rPr>
          <w:rFonts w:cs="Arial"/>
          <w:sz w:val="22"/>
          <w:szCs w:val="22"/>
          <w:lang w:val="en-US"/>
        </w:rPr>
        <w:t xml:space="preserve"> signal in the </w:t>
      </w:r>
      <w:r>
        <w:rPr>
          <w:rFonts w:cs="Arial"/>
          <w:i/>
          <w:sz w:val="22"/>
          <w:szCs w:val="22"/>
          <w:lang w:val="en-US"/>
        </w:rPr>
        <w:t>UMOD-PDILT</w:t>
      </w:r>
      <w:r>
        <w:rPr>
          <w:rFonts w:cs="Arial"/>
          <w:sz w:val="22"/>
          <w:szCs w:val="22"/>
          <w:lang w:val="en-US"/>
        </w:rPr>
        <w:t xml:space="preserve"> locus, yielding 265 candidate variants in total. We judged significance of these variants at the Bonferroni-corrected level (0.05/265≈1.9x10</w:t>
      </w:r>
      <w:r>
        <w:rPr>
          <w:rFonts w:cs="Arial"/>
          <w:sz w:val="22"/>
          <w:szCs w:val="22"/>
          <w:vertAlign w:val="superscript"/>
          <w:lang w:val="en-US"/>
        </w:rPr>
        <w:t>-4</w:t>
      </w:r>
      <w:r>
        <w:rPr>
          <w:rFonts w:cs="Arial"/>
          <w:sz w:val="22"/>
          <w:szCs w:val="22"/>
          <w:lang w:val="en-US"/>
        </w:rPr>
        <w:t xml:space="preserve">). To clarify the overlap of our detected signals for Rapid3 or CKDi25 with cross-sectional eGFRcrea signals, we derived the correlation of our lead variant to the nearest eGFRcrea lead variant </w:t>
      </w:r>
      <w:r>
        <w:rPr>
          <w:rFonts w:cs="Arial"/>
          <w:sz w:val="22"/>
          <w:szCs w:val="22"/>
          <w:lang w:val="en-US"/>
        </w:rPr>
        <w:lastRenderedPageBreak/>
        <w:t>(LD Link</w:t>
      </w:r>
      <w:r w:rsidR="00512974" w:rsidRPr="00512974">
        <w:rPr>
          <w:rFonts w:cs="Arial"/>
          <w:sz w:val="22"/>
          <w:szCs w:val="22"/>
          <w:vertAlign w:val="superscript"/>
          <w:lang w:val="en-US"/>
        </w:rPr>
        <w:t>S</w:t>
      </w:r>
      <w:r>
        <w:rPr>
          <w:rFonts w:cs="Arial"/>
          <w:sz w:val="22"/>
          <w:szCs w:val="22"/>
          <w:lang w:val="en-US"/>
        </w:rPr>
        <w:fldChar w:fldCharType="begin" w:fldLock="1"/>
      </w:r>
      <w:r w:rsidR="00630C24">
        <w:rPr>
          <w:rFonts w:cs="Arial"/>
          <w:sz w:val="22"/>
          <w:szCs w:val="22"/>
          <w:lang w:val="en-US"/>
        </w:rPr>
        <w:instrText>ADDIN CSL_CITATION {"citationItems":[{"id":"ITEM-1","itemData":{"DOI":"10.1093/bioinformatics/btv402","ISSN":"14602059","PMID":"26139635","abstract":"Summary: Assessing linkage disequilibrium (LD) across ancestral populations is a powerful approach for investigating population-specific genetic structure as well as functionally mapping regions of disease susceptibility. Here, we present LDlink, a web-based collection of bioinformatic modules that query single nucleotide polymorphisms (SNPs) in population groups of interest to generate haplotype tables and interactive plots. Modules are designed with an emphasis on ease of use, query flexibility, and interactive visualization of results. Phase 3 haplotype data from the 1000 Genomes Project are referenced for calculating pairwise metrics of LD, searching for proxies in high LD, and enumerating all observed haplotypes. LDlink is tailored for investigators interested in mapping common and uncommon disease susceptibility loci by focusing on output linking correlated alleles and highlighting putative functional variants. Availability and implementation: LDlink is a free and publically available web tool which can be accessed at http://analysistools.nci.nih.gov/LDlink/.","author":[{"dropping-particle":"","family":"Machiela","given":"Mitchell J.","non-dropping-particle":"","parse-names":false,"suffix":""},{"dropping-particle":"","family":"Chanock","given":"Stephen J.","non-dropping-particle":"","parse-names":false,"suffix":""}],"container-title":"Bioinformatics","id":"ITEM-1","issued":{"date-parts":[["2015"]]},"title":"LDlink: A web-based application for exploring population-specific haplotype structure and linking correlated alleles of possible functional variants","type":"article-journal"},"uris":["http://www.mendeley.com/documents/?uuid=6c6ebb16-f56c-4f3c-95ea-90a75b88dc6e"]}],"mendeley":{"formattedCitation":"&lt;sup&gt;1&lt;/sup&gt;","plainTextFormattedCitation":"1","previouslyFormattedCitation":"&lt;sup&gt;1&lt;/sup&gt;"},"properties":{"noteIndex":0},"schema":"https://github.com/citation-style-language/schema/raw/master/csl-citation.json"}</w:instrText>
      </w:r>
      <w:r>
        <w:rPr>
          <w:rFonts w:cs="Arial"/>
          <w:sz w:val="22"/>
          <w:szCs w:val="22"/>
          <w:lang w:val="en-US"/>
        </w:rPr>
        <w:fldChar w:fldCharType="separate"/>
      </w:r>
      <w:r w:rsidR="00630C24" w:rsidRPr="00630C24">
        <w:rPr>
          <w:rFonts w:cs="Arial"/>
          <w:noProof/>
          <w:sz w:val="22"/>
          <w:szCs w:val="22"/>
          <w:vertAlign w:val="superscript"/>
          <w:lang w:val="en-US"/>
        </w:rPr>
        <w:t>1</w:t>
      </w:r>
      <w:r>
        <w:rPr>
          <w:rFonts w:cs="Arial"/>
          <w:sz w:val="22"/>
          <w:szCs w:val="22"/>
          <w:lang w:val="en-US"/>
        </w:rPr>
        <w:fldChar w:fldCharType="end"/>
      </w:r>
      <w:r>
        <w:rPr>
          <w:rFonts w:cs="Arial"/>
          <w:sz w:val="22"/>
          <w:szCs w:val="22"/>
          <w:lang w:val="en-US"/>
        </w:rPr>
        <w:t xml:space="preserve"> in European (“EUR”, n=503) and conditioned our association result for the respective eGFRcrea lead variant to see whether the adjusted P-value of our lead variant was still &lt;5x10</w:t>
      </w:r>
      <w:r>
        <w:rPr>
          <w:rFonts w:cs="Arial"/>
          <w:sz w:val="22"/>
          <w:szCs w:val="22"/>
          <w:vertAlign w:val="superscript"/>
          <w:lang w:val="en-US"/>
        </w:rPr>
        <w:t>-8</w:t>
      </w:r>
      <w:r>
        <w:rPr>
          <w:rFonts w:cs="Arial"/>
          <w:sz w:val="22"/>
          <w:szCs w:val="22"/>
          <w:lang w:val="en-US"/>
        </w:rPr>
        <w:t>.</w:t>
      </w:r>
    </w:p>
    <w:p w14:paraId="31784629" w14:textId="77777777" w:rsidR="00990E60" w:rsidRDefault="00990E60" w:rsidP="00990E60">
      <w:pPr>
        <w:pStyle w:val="KeinLeerraum"/>
        <w:spacing w:line="360" w:lineRule="auto"/>
        <w:jc w:val="both"/>
        <w:rPr>
          <w:rFonts w:cs="Arial"/>
          <w:sz w:val="22"/>
          <w:szCs w:val="22"/>
          <w:lang w:val="en-US"/>
        </w:rPr>
      </w:pPr>
    </w:p>
    <w:p w14:paraId="6E2859B3" w14:textId="77777777" w:rsidR="00990E60" w:rsidRDefault="00990E60" w:rsidP="00990E60">
      <w:pPr>
        <w:pStyle w:val="berschrift2"/>
      </w:pPr>
      <w:r>
        <w:t>Validating identified effects by alternative renal markers</w:t>
      </w:r>
    </w:p>
    <w:p w14:paraId="3B26A7C5" w14:textId="27DF89B9" w:rsidR="00990E60" w:rsidRDefault="00990E60" w:rsidP="00990E60">
      <w:pPr>
        <w:pStyle w:val="KeinLeerraum"/>
        <w:spacing w:line="360" w:lineRule="auto"/>
        <w:jc w:val="both"/>
        <w:rPr>
          <w:rFonts w:cs="Arial"/>
          <w:sz w:val="22"/>
          <w:szCs w:val="22"/>
          <w:lang w:val="en-US"/>
        </w:rPr>
      </w:pPr>
      <w:r>
        <w:rPr>
          <w:rFonts w:cs="Arial"/>
          <w:sz w:val="22"/>
          <w:szCs w:val="22"/>
          <w:lang w:val="en-US"/>
        </w:rPr>
        <w:t>We assessed the association of identified variants for consistent association with annual change in eGFRcys</w:t>
      </w:r>
      <w:r w:rsidR="00D97510" w:rsidRPr="00D97510">
        <w:rPr>
          <w:rFonts w:cs="Arial"/>
          <w:sz w:val="22"/>
          <w:szCs w:val="22"/>
          <w:vertAlign w:val="superscript"/>
          <w:lang w:val="en-US"/>
        </w:rPr>
        <w:t>11</w:t>
      </w:r>
      <w:r>
        <w:rPr>
          <w:rFonts w:cs="Arial"/>
          <w:sz w:val="22"/>
          <w:szCs w:val="22"/>
          <w:lang w:val="en-US"/>
        </w:rPr>
        <w:t xml:space="preserve"> or annual change in BUN as well as cross-sectional eGFRcys and BUN. For this, we used UKBiobank (n=15,746; 15,277; 364,819 and 358,791, respectively). The </w:t>
      </w:r>
      <w:r w:rsidRPr="00B15C34">
        <w:rPr>
          <w:rFonts w:cs="Arial"/>
          <w:sz w:val="22"/>
          <w:szCs w:val="22"/>
          <w:lang w:val="en-US"/>
        </w:rPr>
        <w:t xml:space="preserve">age, sex and baseline </w:t>
      </w:r>
      <w:r>
        <w:rPr>
          <w:rFonts w:cs="Arial"/>
          <w:sz w:val="22"/>
          <w:szCs w:val="22"/>
          <w:lang w:val="en-US"/>
        </w:rPr>
        <w:t>adjusted residuals of annual change in eGFRcys or BUN were regressed on allele dosage of each variant. We investigated directionally consistent nominal significance (one-sided P-value &lt; 0.05) of the Rapid3- or CKDi25-increasing risk allele with annual change in eGFRcys and BUN and for cross-sectional eGFRcys and BUN.</w:t>
      </w:r>
    </w:p>
    <w:p w14:paraId="54FF0875" w14:textId="77777777" w:rsidR="00990E60" w:rsidRDefault="00990E60" w:rsidP="00990E60">
      <w:pPr>
        <w:pStyle w:val="KeinLeerraum"/>
        <w:spacing w:line="360" w:lineRule="auto"/>
        <w:jc w:val="both"/>
        <w:rPr>
          <w:rFonts w:cs="Arial"/>
          <w:b/>
          <w:sz w:val="22"/>
          <w:szCs w:val="22"/>
          <w:lang w:val="en-US"/>
        </w:rPr>
      </w:pPr>
    </w:p>
    <w:p w14:paraId="56F44CD1" w14:textId="77777777" w:rsidR="00990E60" w:rsidRDefault="00990E60" w:rsidP="00990E60">
      <w:pPr>
        <w:pStyle w:val="berschrift2"/>
      </w:pPr>
      <w:r>
        <w:t>From lead variants to statistical signals and biology</w:t>
      </w:r>
    </w:p>
    <w:p w14:paraId="796FEB75" w14:textId="06EBA840" w:rsidR="00990E60" w:rsidRPr="00990E60" w:rsidRDefault="00990E60" w:rsidP="00990E60">
      <w:pPr>
        <w:spacing w:after="0" w:line="360" w:lineRule="auto"/>
        <w:jc w:val="both"/>
        <w:rPr>
          <w:rFonts w:ascii="Arial" w:hAnsi="Arial" w:cs="Arial"/>
          <w:lang w:val="en-US"/>
        </w:rPr>
      </w:pPr>
      <w:r>
        <w:rPr>
          <w:rFonts w:ascii="Arial" w:hAnsi="Arial" w:cs="Arial"/>
          <w:lang w:val="en-US"/>
        </w:rPr>
        <w:t>We generated region plots using LocusZoom v1.4</w:t>
      </w:r>
      <w:r w:rsidR="00D97510" w:rsidRPr="00D97510">
        <w:rPr>
          <w:rFonts w:ascii="Arial" w:hAnsi="Arial" w:cs="Arial"/>
          <w:vertAlign w:val="superscript"/>
          <w:lang w:val="en-US"/>
        </w:rPr>
        <w:t>S</w:t>
      </w:r>
      <w:r>
        <w:rPr>
          <w:rFonts w:ascii="Arial" w:hAnsi="Arial" w:cs="Arial"/>
          <w:lang w:val="en-US"/>
        </w:rPr>
        <w:fldChar w:fldCharType="begin" w:fldLock="1"/>
      </w:r>
      <w:r w:rsidR="001469AB">
        <w:rPr>
          <w:rFonts w:ascii="Arial" w:hAnsi="Arial" w:cs="Arial"/>
          <w:lang w:val="en-US"/>
        </w:rPr>
        <w:instrText>ADDIN CSL_CITATION {"citationItems":[{"id":"ITEM-1","itemData":{"DOI":"10.1093/bioinformatics/btq419","ISSN":"14602059","abstract":"Summary: 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region.","author":[{"dropping-particle":"","family":"Pruim","given":"Randall J.","non-dropping-particle":"","parse-names":false,"suffix":""},{"dropping-particle":"","family":"Welch","given":"Ryan P.","non-dropping-particle":"","parse-names":false,"suffix":""},{"dropping-particle":"","family":"Sanna","given":"Serena","non-dropping-particle":"","parse-names":false,"suffix":""},{"dropping-particle":"","family":"Teslovich","given":"Tanya M.","non-dropping-particle":"","parse-names":false,"suffix":""},{"dropping-particle":"","family":"Chines","given":"Peter S.","non-dropping-particle":"","parse-names":false,"suffix":""},{"dropping-particle":"","family":"Gliedt","given":"Terry P.","non-dropping-particle":"","parse-names":false,"suffix":""},{"dropping-particle":"","family":"Boehnke","given":"Michael","non-dropping-particle":"","parse-names":false,"suffix":""},{"dropping-particle":"","family":"Abecasis","given":"Gonçalo R.","non-dropping-particle":"","parse-names":false,"suffix":""},{"dropping-particle":"","family":"Willer","given":"Cristen J.","non-dropping-particle":"","parse-names":false,"suffix":""},{"dropping-particle":"","family":"Frishman","given":"Dmitrij","non-dropping-particle":"","parse-names":false,"suffix":""}],"container-title":"Bioinformatics","id":"ITEM-1","issued":{"date-parts":[["2011"]]},"title":"LocusZoom: Regional visualization of genome-wide association scan results","type":"paper-conference"},"uris":["http://www.mendeley.com/documents/?uuid=c8c7d21a-14e8-4cb5-912c-1ef1a690f3a9"]}],"mendeley":{"formattedCitation":"&lt;sup&gt;9&lt;/sup&gt;","plainTextFormattedCitation":"9","previouslyFormattedCitation":"&lt;sup&gt;9&lt;/sup&gt;"},"properties":{"noteIndex":0},"schema":"https://github.com/citation-style-language/schema/raw/master/csl-citation.json"}</w:instrText>
      </w:r>
      <w:r>
        <w:rPr>
          <w:rFonts w:ascii="Arial" w:hAnsi="Arial" w:cs="Arial"/>
          <w:lang w:val="en-US"/>
        </w:rPr>
        <w:fldChar w:fldCharType="separate"/>
      </w:r>
      <w:r w:rsidR="00D97510" w:rsidRPr="00D97510">
        <w:rPr>
          <w:rFonts w:ascii="Arial" w:hAnsi="Arial" w:cs="Arial"/>
          <w:noProof/>
          <w:vertAlign w:val="superscript"/>
          <w:lang w:val="en-US"/>
        </w:rPr>
        <w:t>9</w:t>
      </w:r>
      <w:r>
        <w:rPr>
          <w:rFonts w:ascii="Arial" w:hAnsi="Arial" w:cs="Arial"/>
          <w:lang w:val="en-US"/>
        </w:rPr>
        <w:fldChar w:fldCharType="end"/>
      </w:r>
      <w:r>
        <w:rPr>
          <w:rFonts w:ascii="Arial" w:hAnsi="Arial" w:cs="Arial"/>
          <w:lang w:val="en-US"/>
        </w:rPr>
        <w:t>. We computed the Bayes Factor based Posterior Probability of association (PPA) of each variant within identified signal using z</w:t>
      </w:r>
      <w:r>
        <w:rPr>
          <w:rFonts w:ascii="Arial" w:hAnsi="Arial" w:cs="Arial"/>
          <w:lang w:val="en-US"/>
        </w:rPr>
        <w:noBreakHyphen/>
        <w:t>scores</w:t>
      </w:r>
      <w:r w:rsidR="00D97510" w:rsidRPr="00D97510">
        <w:rPr>
          <w:rFonts w:ascii="Arial" w:hAnsi="Arial" w:cs="Arial"/>
          <w:vertAlign w:val="superscript"/>
          <w:lang w:val="en-US"/>
        </w:rPr>
        <w:t>S</w:t>
      </w:r>
      <w:r>
        <w:rPr>
          <w:rFonts w:ascii="Arial" w:hAnsi="Arial" w:cs="Arial"/>
          <w:lang w:val="en-US"/>
        </w:rPr>
        <w:fldChar w:fldCharType="begin" w:fldLock="1"/>
      </w:r>
      <w:r w:rsidR="001469AB">
        <w:rPr>
          <w:rFonts w:ascii="Arial" w:hAnsi="Arial" w:cs="Arial"/>
          <w:lang w:val="en-US"/>
        </w:rPr>
        <w:instrText>ADDIN CSL_CITATION {"citationItems":[{"id":"ITEM-1","itemData":{"DOI":"10.1371/journal.pgen.1004722","ISSN":"15537404","PMID":"25357204","abstract":"Standard statistical approaches for prioritization of variants for functional testing in fine-mapping studies either use marginal association statistics or estimate posterior probabilities for variants to be causal under simplifying assumptions. Here, we present a probabilistic framework that integrates association strength with functional genomic annotation data to improve accuracy in selecting plausible causal variants for functional validation. A key feature of our approach is that it empirically estimates the contribution of each functional annotation to the trait of interest directly from summary association statistics while allowing for multiple causal variants at any risk locus. We devise efficient algorithms that estimate the parameters of our model across all risk loci to further increase performance. Using simulations starting from the 1000 Genomes data, we find that our framework consistently outperforms the current state-of-the-art fine-mapping methods, reducing the number of variants that need to be selected to capture 90% of the causal variants from an average of 13.3 to 10.4 SNPs per locus (as compared to the next-best performing strategy). Furthermore, we introduce a cost-to-benefit optimization framework for determining the number of variants to be followed up in functional assays and assess its performance using real and simulation data. We validate our findings using a large scale meta-analysis of four blood lipids traits and find that the relative probability for causality is increased for variants in exons and transcription start sites and decreased in repressed genomic regions at the risk loci of these traits. Using these highly predictive, trait-specific functional annotations, we estimate causality probabilities across all traits and variants, reducing the size of the 90% confidence set from an average of 17.5 to 13.5 variants per locus in this data.","author":[{"dropping-particle":"","family":"Kichaev","given":"Gleb","non-dropping-particle":"","parse-names":false,"suffix":""},{"dropping-particle":"","family":"Yang","given":"Wen Yun","non-dropping-particle":"","parse-names":false,"suffix":""},{"dropping-particle":"","family":"Lindstrom","given":"Sara","non-dropping-particle":"","parse-names":false,"suffix":""},{"dropping-particle":"","family":"Hormozdiari","given":"Farhad","non-dropping-particle":"","parse-names":false,"suffix":""},{"dropping-particle":"","family":"Eskin","given":"Eleazar","non-dropping-particle":"","parse-names":false,"suffix":""},{"dropping-particle":"","family":"Price","given":"Alkes L.","non-dropping-particle":"","parse-names":false,"suffix":""},{"dropping-particle":"","family":"Kraft","given":"Peter","non-dropping-particle":"","parse-names":false,"suffix":""},{"dropping-particle":"","family":"Pasaniuc","given":"Bogdan","non-dropping-particle":"","parse-names":false,"suffix":""}],"container-title":"PLoS Genetics","id":"ITEM-1","issued":{"date-parts":[["2014"]]},"title":"Integrating Functional Data to Prioritize Causal Variants in Statistical Fine-Mapping Studies","type":"article-journal"},"uris":["http://www.mendeley.com/documents/?uuid=0de749c4-e6ac-429e-8021-f7917fc73583"]}],"mendeley":{"formattedCitation":"&lt;sup&gt;10&lt;/sup&gt;","plainTextFormattedCitation":"10","previouslyFormattedCitation":"&lt;sup&gt;10&lt;/sup&gt;"},"properties":{"noteIndex":0},"schema":"https://github.com/citation-style-language/schema/raw/master/csl-citation.json"}</w:instrText>
      </w:r>
      <w:r>
        <w:rPr>
          <w:rFonts w:ascii="Arial" w:hAnsi="Arial" w:cs="Arial"/>
          <w:lang w:val="en-US"/>
        </w:rPr>
        <w:fldChar w:fldCharType="separate"/>
      </w:r>
      <w:r w:rsidR="00D97510" w:rsidRPr="00D97510">
        <w:rPr>
          <w:rFonts w:ascii="Arial" w:hAnsi="Arial" w:cs="Arial"/>
          <w:noProof/>
          <w:vertAlign w:val="superscript"/>
          <w:lang w:val="en-US"/>
        </w:rPr>
        <w:t>10</w:t>
      </w:r>
      <w:r>
        <w:rPr>
          <w:rFonts w:ascii="Arial" w:hAnsi="Arial" w:cs="Arial"/>
          <w:lang w:val="en-US"/>
        </w:rPr>
        <w:fldChar w:fldCharType="end"/>
      </w:r>
      <w:r>
        <w:rPr>
          <w:rFonts w:ascii="Arial" w:hAnsi="Arial" w:cs="Arial"/>
          <w:lang w:val="en-US"/>
        </w:rPr>
        <w:t>. We ranked variants by their PPAs and added them to the set of variants with a cumulative PPA&gt;99% per region</w:t>
      </w:r>
      <w:r w:rsidR="00D97510" w:rsidRPr="00D97510">
        <w:rPr>
          <w:rFonts w:ascii="Arial" w:hAnsi="Arial" w:cs="Arial"/>
          <w:vertAlign w:val="superscript"/>
          <w:lang w:val="en-US"/>
        </w:rPr>
        <w:t>S</w:t>
      </w:r>
      <w:r>
        <w:rPr>
          <w:rFonts w:ascii="Arial" w:hAnsi="Arial" w:cs="Arial"/>
          <w:lang w:val="en-US"/>
        </w:rPr>
        <w:fldChar w:fldCharType="begin" w:fldLock="1"/>
      </w:r>
      <w:r w:rsidR="001469AB">
        <w:rPr>
          <w:rFonts w:ascii="Arial" w:hAnsi="Arial" w:cs="Arial"/>
          <w:lang w:val="en-US"/>
        </w:rPr>
        <w:instrText>ADDIN CSL_CITATION {"citationItems":[{"id":"ITEM-1","itemData":{"DOI":"10.1534/genetics.116.195966","ISSN":"19432631","abstract":"Age-related macular degeneration (AMD) is the leading cause of blindness in ageing societies, triggered by both environmental and genetic factors. The strongest genetic signal for AMD with odds ratios of up to 2.8 per adverse allele was found previously over a chromosomal region in 10q26 harboring two genes, ARMS2 and HTRA1, although with little knowledge as to which gene or genetic variation is functionally relevant to AMD pathology. In this study, we analyzed rare recombinant haplotypes in 16,144 AMD cases and 17,832 controls from the International AMD Genomics Consortium and identified variants in ARMS2 but not HTRA1 to exclusively carry the AMD risk with P-values between 10 × 10-773 and 6.7 × 10-5. This now allows prioritization of the gene of interest for subsequent functional studies.","author":[{"dropping-particle":"","family":"Grassmann","given":"Felix","non-dropping-particle":"","parse-names":false,"suffix":""},{"dropping-particle":"","family":"Heid","given":"Iris M.","non-dropping-particle":"","parse-names":false,"suffix":""},{"dropping-particle":"","family":"Weber","given":"Bernhard H.F.","non-dropping-particle":"","parse-names":false,"suffix":""},{"dropping-particle":"","family":"Fritsche","given":"L. G.","non-dropping-particle":"","parse-names":false,"suffix":""},{"dropping-particle":"","family":"Igl","given":"W.","non-dropping-particle":"","parse-names":false,"suffix":""},{"dropping-particle":"","family":"Bailey","given":"J. N.","non-dropping-particle":"","parse-names":false,"suffix":""},{"dropping-particle":"","family":"Grassmann","given":"F.","non-dropping-particle":"","parse-names":false,"suffix":""},{"dropping-particle":"","family":"Sengupta","given":"S.","non-dropping-particle":"","parse-names":false,"suffix":""},{"dropping-particle":"","family":"Bragg-Gresham","given":"J. L.","non-dropping-particle":"","parse-names":false,"suffix":""},{"dropping-particle":"","family":"Burdon","given":"K. P.","non-dropping-particle":"","parse-names":false,"suffix":""},{"dropping-particle":"","family":"Hebbring","given":"S. J.","non-dropping-particle":"","parse-names":false,"suffix":""},{"dropping-particle":"","family":"Wen","given":"C.","non-dropping-particle":"","parse-names":false,"suffix":""},{"dropping-particle":"","family":"Gorski","given":"M.","non-dropping-particle":"","parse-names":false,"suffix":""},{"dropping-particle":"","family":"Kim","given":"I. K.","non-dropping-particle":"","parse-names":false,"suffix":""},{"dropping-particle":"","family":"Cho","given":"D.","non-dropping-particle":"","parse-names":false,"suffix":""},{"dropping-particle":"","family":"Zack","given":"D.","non-dropping-particle":"","parse-names":false,"suffix":""},{"dropping-particle":"","family":"Souied","given":"E.","non-dropping-particle":"","parse-names":false,"suffix":""},{"dropping-particle":"","family":"Scholl","given":"H. P.","non-dropping-particle":"","parse-names":false,"suffix":""},{"dropping-particle":"","family":"Bala","given":"E.","non-dropping-particle":"","parse-names":false,"suffix":""},{"dropping-particle":"","family":"Lee","given":"K. E.","non-dropping-particle":"","parse-names":false,"suffix":""},{"dropping-particle":"","family":"Hunter","given":"D. J.","non-dropping-particle":"","parse-names":false,"suffix":""},{"dropping-particle":"","family":"Sardell","given":"R. J.","non-dropping-particle":"","parse-names":false,"suffix":""},{"dropping-particle":"","family":"Mitchell","given":"P.","non-dropping-particle":"","parse-names":false,"suffix":""},{"dropping-particle":"","family":"Merriam","given":"J. E.","non-dropping-particle":"","parse-names":false,"suffix":""},{"dropping-particle":"","family":"Cipriani","given":"V.","non-dropping-particle":"","parse-names":false,"suffix":""},{"dropping-particle":"","family":"Hoffman","given":"J. D.","non-dropping-particle":"","parse-names":false,"suffix":""},{"dropping-particle":"","family":"Schick","given":"T.","non-dropping-particle":"","parse-names":false,"suffix":""},{"dropping-particle":"","family":"Lechanteur","given":"Y. T.","non-dropping-particle":"","parse-names":false,"suffix":""},{"dropping-particle":"","family":"Guymer","given":"R. H.","non-dropping-particle":"","parse-names":false,"suffix":""},{"dropping-particle":"","family":"Johnson","given":"M. P.","non-dropping-particle":"","parse-names":false,"suffix":""},{"dropping-particle":"","family":"Jiang","given":"Y.","non-dropping-particle":"","parse-names":false,"suffix":""},{"dropping-particle":"","family":"Stanton","given":"C. M.","non-dropping-particle":"","parse-names":false,"suffix":""},{"dropping-particle":"","family":"Buitendijk","given":"G. H.","non-dropping-particle":"","parse-names":false,"suffix":""},{"dropping-particle":"","family":"Zhan","given":"X.","non-dropping-particle":"","parse-names":false,"suffix":""},{"dropping-particle":"","family":"Kwong","given":"A. M.","non-dropping-particle":"","parse-names":false,"suffix":""},{"dropping-particle":"","family":"Boleda","given":"A.","non-dropping-particle":"","parse-names":false,"suffix":""},{"dropping-particle":"","family":"Brooks","given":"M.","non-dropping-particle":"","parse-names":false,"suffix":""},{"dropping-particle":"","family":"Gieser","given":"L.","non-dropping-particle":"","parse-names":false,"suffix":""},{"dropping-particle":"","family":"Ratnapriya","given":"R.","non-dropping-particle":"","parse-names":false,"suffix":""},{"dropping-particle":"","family":"Branham","given":"K. E.","non-dropping-particle":"","parse-names":false,"suffix":""},{"dropping-particle":"","family":"Foerster","given":"J. R.","non-dropping-particle":"","parse-names":false,"suffix":""},{"dropping-particle":"","family":"Heckenlively","given":"J. R.","non-dropping-particle":"","parse-names":false,"suffix":""},{"dropping-particle":"","family":"Othman","given":"M. I.","non-dropping-particle":"","parse-names":false,"suffix":""},{"dropping-particle":"","family":"Vote","given":"B. J.","non-dropping-particle":"","parse-names":false,"suffix":""},{"dropping-particle":"","family":"Liang","given":"H. H.","non-dropping-particle":"","parse-names":false,"suffix":""},{"dropping-particle":"","family":"Souzeau","given":"E.","non-dropping-particle":"","parse-names":false,"suffix":""},{"dropping-particle":"","family":"McAllister","given":"I. L.","non-dropping-particle":"","parse-names":false,"suffix":""},{"dropping-particle":"","family":"Isaacs","given":"T.","non-dropping-particle":"","parse-names":false,"suffix":""},{"dropping-particle":"","family":"Hall","given":"J.","non-dropping-particle":"","parse-names":false,"suffix":""},{"dropping-particle":"","family":"Lake","given":"S.","non-dropping-particle":"","parse-names":false,"suffix":""},{"dropping-particle":"","family":"Mackey","given":"D. A.","non-dropping-particle":"","parse-names":false,"suffix":""},{"dropping-particle":"","family":"Constable","given":"I. J.","non-dropping-particle":"","parse-names":false,"suffix":""},{"dropping-particle":"","family":"Craig","given":"J. E.","non-dropping-particle":"","parse-names":false,"suffix":""},{"dropping-particle":"","family":"Kitchner","given":"T. E.","non-dropping-particle":"","parse-names":false,"suffix":""},{"dropping-particle":"","family":"Yang","given":"Z.","non-dropping-particle":"","parse-names":false,"suffix":""},{"dropping-particle":"","family":"Su","given":"Z.","non-dropping-particle":"","parse-names":false,"suffix":""},{"dropping-particle":"","family":"Luo","given":"H.","non-dropping-particle":"","parse-names":false,"suffix":""},{"dropping-particle":"","family":"Chen","given":"D.","non-dropping-particle":"","parse-names":false,"suffix":""},{"dropping-particle":"","family":"Ouyang","given":"H.","non-dropping-particle":"","parse-names":false,"suffix":""},{"dropping-particle":"","family":"Flagg","given":"K.","non-dropping-particle":"","parse-names":false,"suffix":""},{"dropping-particle":"","family":"Lin","given":"D.","non-dropping-particle":"","parse-names":false,"suffix":""},{"dropping-particle":"","family":"Mao","given":"G.","non-dropping-particle":"","parse-names":false,"suffix":""},{"dropping-particle":"","family":"Ferreyra","given":"H.","non-dropping-particle":"","parse-names":false,"suffix":""},{"dropping-particle":"","family":"Stark","given":"K.","non-dropping-particle":"","parse-names":false,"suffix":""},{"dropping-particle":"","family":"Strachwitz","given":"C. N.","non-dropping-particle":"von","parse-names":false,"suffix":""},{"dropping-particle":"","family":"Wolf","given":"A.","non-dropping-particle":"","parse-names":false,"suffix":""},{"dropping-particle":"","family":"Brandl","given":"C.","non-dropping-particle":"","parse-names":false,"suffix":""},{"dropping-particle":"","family":"Rudolph","given":"G.","non-dropping-particle":"","parse-names":false,"suffix":""},{"dropping-particle":"","family":"Olden","given":"M.","non-dropping-particle":"","parse-names":false,"suffix":""},{"dropping-particle":"","family":"Morrison","given":"M. A.","non-dropping-particle":"","parse-names":false,"suffix":""},{"dropping-particle":"","family":"Morgan","given":"D. J.","non-dropping-particle":"","parse-names":false,"suffix":""},{"dropping-particle":"","family":"Schu","given":"M.","non-dropping-particle":"","parse-names":false,"suffix":""},{"dropping-particle":"","family":"Ahn","given":"J.","non-dropping-particle":"","parse-names":false,"suffix":""},{"dropping-particle":"","family":"Silvestri","given":"G.","non-dropping-particle":"","parse-names":false,"suffix":""},{"dropping-particle":"","family":"Tsironi","given":"E. E.","non-dropping-particle":"","parse-names":false,"suffix":""},{"dropping-particle":"","family":"Park","given":"K. H.","non-dropping-particle":"","parse-names":false,"suffix":""},{"dropping-particle":"","family":"Farrer","given":"L. A.","non-dropping-particle":"","parse-names":false,"suffix":""},{"dropping-particle":"","family":"Orlin","given":"A.","non-dropping-particle":"","parse-names":false,"suffix":""},{"dropping-particle":"","family":"Brucker","given":"A.","non-dropping-particle":"","parse-names":false,"suffix":""},{"dropping-particle":"","family":"Li","given":"M.","non-dropping-particle":"","parse-names":false,"suffix":""},{"dropping-particle":"","family":"Curcio","given":"C. A.","non-dropping-particle":"","parse-names":false,"suffix":""},{"dropping-particle":"","family":"Mohand-Saïd","given":"S.","non-dropping-particle":"","parse-names":false,"suffix":""},{"dropping-particle":"","family":"Sahel","given":"J. A.","non-dropping-particle":"","parse-names":false,"suffix":""},{"dropping-particle":"","family":"Audo","given":"I.","non-dropping-particle":"","parse-names":false,"suffix":""},{"dropping-particle":"","family":"Benchaboune","given":"M.","non-dropping-particle":"","parse-names":false,"suffix":""},{"dropping-particle":"","family":"Cree","given":"A. J.","non-dropping-particle":"","parse-names":false,"suffix":""},{"dropping-particle":"","family":"Rennie","given":"C. A.","non-dropping-particle":"","parse-names":false,"suffix":""},{"dropping-particle":"V.","family":"Goverdhan","given":"S.","non-dropping-particle":"","parse-names":false,"suffix":""},{"dropping-particle":"","family":"Grunin","given":"M.","non-dropping-particle":"","parse-names":false,"suffix":""},{"dropping-particle":"","family":"Hagbi-Levi","given":"S.","non-dropping-particle":"","parse-names":false,"suffix":""},{"dropping-particle":"","family":"Campochiaro","given":"P.","non-dropping-particle":"","parse-names":false,"suffix":""},{"dropping-particle":"","family":"Katsanis","given":"N.","non-dropping-particle":"","parse-names":false,"suffix":""},{"dropping-particle":"","family":"Holz","given":"F. G.","non-dropping-particle":"","parse-names":false,"suffix":""},{"dropping-particle":"","family":"Blond","given":"F.","non-dropping-particle":"","parse-names":false,"suffix":""},{"dropping-particle":"","family":"Blanché","given":"H.","non-dropping-particle":"","parse-names":false,"suffix":""},{"dropping-particle":"","family":"Deleuze","given":"J. F.","non-dropping-particle":"","parse-names":false,"suffix":""},{"dropping-particle":"","family":"Igo","given":"R. P.","non-dropping-particle":"","parse-names":false,"suffix":""},{"dropping-particle":"","family":"Truitt","given":"B.","non-dropping-particle":"","parse-names":false,"suffix":""},{"dropping-particle":"","family":"Peachey","given":"N. S.","non-dropping-particle":"","parse-names":false,"suffix":""},{"dropping-particle":"","family":"Meuer","given":"S. M.","non-dropping-particle":"","parse-names":false,"suffix":""},{"dropping-particle":"","family":"Myers","given":"C. E.","non-dropping-particle":"","parse-names":false,"suffix":""},{"dropping-particle":"","family":"Moore","given":"E. L.","non-dropping-particle":"","parse-names":false,"suffix":""},{"dropping-particle":"","family":"Klein","given":"R.","non-dropping-particle":"","parse-names":false,"suffix":""},{"dropping-particle":"","family":"Hauser","given":"M. A.","non-dropping-particle":"","parse-names":false,"suffix":""},{"dropping-particle":"","family":"Postel","given":"E. A.","non-dropping-particle":"","parse-names":false,"suffix":""},{"dropping-particle":"","family":"Courtenay","given":"M. D.","non-dropping-particle":"","parse-names":false,"suffix":""},{"dropping-particle":"","family":"Schwartz","given":"S. G.","non-dropping-particle":"","parse-names":false,"suffix":""},{"dropping-particle":"","family":"Kovach","given":"J. L.","non-dropping-particle":"","parse-names":false,"suffix":""},{"dropping-particle":"","family":"Scott","given":"W. K.","non-dropping-particle":"","parse-names":false,"suffix":""},{"dropping-particle":"","family":"Liew","given":"G.","non-dropping-particle":"","parse-names":false,"suffix":""},{"dropping-particle":"","family":"Tan","given":"A. G.","non-dropping-particle":"","parse-names":false,"suffix":""},{"dropping-particle":"","family":"Gopinath","given":"B.","non-dropping-particle":"","parse-names":false,"suffix":""},{"dropping-particle":"","family":"Merriam","given":"J. C.","non-dropping-particle":"","parse-names":false,"suffix":""},{"dropping-particle":"","family":"Smith","given":"R. T.","non-dropping-particle":"","parse-names":false,"suffix":""},{"dropping-particle":"","family":"Khan","given":"J. C.","non-dropping-particle":"","parse-names":false,"suffix":""},{"dropping-particle":"","family":"Shahid","given":"H.","non-dropping-particle":"","parse-names":false,"suffix":""},{"dropping-particle":"","family":"Moore","given":"A. T.","non-dropping-particle":"","parse-names":false,"suffix":""},{"dropping-particle":"","family":"McGrath","given":"J. A.","non-dropping-particle":"","parse-names":false,"suffix":""},{"dropping-particle":"","family":"Laux","given":"R.","non-dropping-particle":"","parse-names":false,"suffix":""},{"dropping-particle":"","family":"Brantley","given":"M.","non-dropping-particle":"","parse-names":false,"suffix":""},{"dropping-particle":"","family":"Agarwal","given":"A.","non-dropping-particle":"","parse-names":false,"suffix":""},{"dropping-particle":"","family":"Ersoy","given":"L.","non-dropping-particle":"","parse-names":false,"suffix":""},{"dropping-particle":"","family":"Caramoy","given":"A.","non-dropping-particle":"","parse-names":false,"suffix":""},{"dropping-particle":"","family":"Langmann","given":"T.","non-dropping-particle":"","parse-names":false,"suffix":""},{"dropping-particle":"","family":"Saksens","given":"N. T.","non-dropping-particle":"","parse-names":false,"suffix":""},{"dropping-particle":"","family":"Jong","given":"E. K.","non-dropping-particle":"de","parse-names":false,"suffix":""},{"dropping-particle":"","family":"Hoyng","given":"C. B.","non-dropping-particle":"","parse-names":false,"suffix":""},{"dropping-particle":"","family":"Cain","given":"M. S.","non-dropping-particle":"","parse-names":false,"suffix":""},{"dropping-particle":"","family":"Richardson","given":"A. J.","non-dropping-particle":"","parse-names":false,"suffix":""},{"dropping-particle":"","family":"Martin","given":"T. M.","non-dropping-particle":"","parse-names":false,"suffix":""},{"dropping-particle":"","family":"Blangero","given":"J.","non-dropping-particle":"","parse-names":false,"suffix":""},{"dropping-particle":"","family":"Weeks","given":"D. E.","non-dropping-particle":"","parse-names":false,"suffix":""},{"dropping-particle":"","family":"Dhillon","given":"B.","non-dropping-particle":"","parse-names":false,"suffix":""},{"dropping-particle":"","family":"Duijn","given":"C. M.","non-dropping-particle":"van","parse-names":false,"suffix":""},{"dropping-particle":"","family":"Doheny","given":"K. F.","non-dropping-particle":"","parse-names":false,"suffix":""},{"dropping-particle":"","family":"Romm","given":"J.","non-dropping-particle":"","parse-names":false,"suffix":""},{"dropping-particle":"","family":"Klaver","given":"C. C.","non-dropping-particle":"","parse-names":false,"suffix":""},{"dropping-particle":"","family":"Hayward","given":"C.","non-dropping-particle":"","parse-names":false,"suffix":""},{"dropping-particle":"","family":"Gorin","given":"M. B.","non-dropping-particle":"","parse-names":false,"suffix":""},{"dropping-particle":"","family":"Klein","given":"M. L.","non-dropping-particle":"","parse-names":false,"suffix":""},{"dropping-particle":"","family":"Baird","given":"P. N.","non-dropping-particle":"","parse-names":false,"suffix":""},{"dropping-particle":"","family":"Hollander","given":"A. I.","non-dropping-particle":"den","parse-names":false,"suffix":""},{"dropping-particle":"","family":"Fauser","given":"S.","non-dropping-particle":"","parse-names":false,"suffix":""},{"dropping-particle":"","family":"Yates","given":"J. R.","non-dropping-particle":"","parse-names":false,"suffix":""},{"dropping-particle":"","family":"Allikmets","given":"R.","non-dropping-particle":"","parse-names":false,"suffix":""},{"dropping-particle":"","family":"Wang","given":"J. J.","non-dropping-particle":"","parse-names":false,"suffix":""},{"dropping-particle":"","family":"Schaumberg","given":"D. A.","non-dropping-particle":"","parse-names":false,"suffix":""},{"dropping-particle":"","family":"Klein","given":"B. E.","non-dropping-particle":"","parse-names":false,"suffix":""},{"dropping-particle":"","family":"Hagstrom","given":"S. A.","non-dropping-particle":"","parse-names":false,"suffix":""},{"dropping-particle":"","family":"Chowers","given":"I.","non-dropping-particle":"","parse-names":false,"suffix":""},{"dropping-particle":"","family":"Lotery","given":"A. J.","non-dropping-particle":"","parse-names":false,"suffix":""},{"dropping-particle":"","family":"Léveillard","given":"T.","non-dropping-particle":"","parse-names":false,"suffix":""},{"dropping-particle":"","family":"Zhang","given":"K.","non-dropping-particle":"","parse-names":false,"suffix":""},{"dropping-particle":"","family":"Brilliant","given":"M. H.","non-dropping-particle":"","parse-names":false,"suffix":""},{"dropping-particle":"","family":"Hewitt","given":"A. W.","non-dropping-particle":"","parse-names":false,"suffix":""},{"dropping-particle":"","family":"Swaroop","given":"A.","non-dropping-particle":"","parse-names":false,"suffix":""},{"dropping-particle":"","family":"Chew","given":"E. Y.","non-dropping-particle":"","parse-names":false,"suffix":""},{"dropping-particle":"","family":"Pericak-Vance","given":"M. A.","non-dropping-particle":"","parse-names":false,"suffix":""},{"dropping-particle":"","family":"Deangelis","given":"M.","non-dropping-particle":"","parse-names":false,"suffix":""},{"dropping-particle":"","family":"Stambolian","given":"D.","non-dropping-particle":"","parse-names":false,"suffix":""},{"dropping-particle":"","family":"Haines","given":"J. L.","non-dropping-particle":"","parse-names":false,"suffix":""},{"dropping-particle":"","family":"Iyengar","given":"S. K.","non-dropping-particle":"","parse-names":false,"suffix":""},{"dropping-particle":"","family":"Weber","given":"B. H.","non-dropping-particle":"","parse-names":false,"suffix":""},{"dropping-particle":"","family":"Abecasis","given":"G. R.","non-dropping-particle":"","parse-names":false,"suffix":""},{"dropping-particle":"","family":"Heid","given":"I. M.","non-dropping-particle":"","parse-names":false,"suffix":""}],"container-title":"Genetics","id":"ITEM-1","issued":{"date-parts":[["2017"]]},"title":"Recombinant haplotypes narrow the ARMS2/HTRA1 association signal for age-related macular degeneration","type":"article-journal"},"uris":["http://www.mendeley.com/documents/?uuid=945e41bf-8325-4407-b3c1-9647248d8369"]}],"mendeley":{"formattedCitation":"&lt;sup&gt;11&lt;/sup&gt;","plainTextFormattedCitation":"11","previouslyFormattedCitation":"&lt;sup&gt;11&lt;/sup&gt;"},"properties":{"noteIndex":0},"schema":"https://github.com/citation-style-language/schema/raw/master/csl-citation.json"}</w:instrText>
      </w:r>
      <w:r>
        <w:rPr>
          <w:rFonts w:ascii="Arial" w:hAnsi="Arial" w:cs="Arial"/>
          <w:lang w:val="en-US"/>
        </w:rPr>
        <w:fldChar w:fldCharType="separate"/>
      </w:r>
      <w:r w:rsidR="00D97510" w:rsidRPr="00D97510">
        <w:rPr>
          <w:rFonts w:ascii="Arial" w:hAnsi="Arial" w:cs="Arial"/>
          <w:noProof/>
          <w:vertAlign w:val="superscript"/>
          <w:lang w:val="en-US"/>
        </w:rPr>
        <w:t>11</w:t>
      </w:r>
      <w:r>
        <w:rPr>
          <w:rFonts w:ascii="Arial" w:hAnsi="Arial" w:cs="Arial"/>
          <w:lang w:val="en-US"/>
        </w:rPr>
        <w:fldChar w:fldCharType="end"/>
      </w:r>
      <w:r>
        <w:rPr>
          <w:rFonts w:ascii="Arial" w:hAnsi="Arial" w:cs="Arial"/>
          <w:lang w:val="en-US"/>
        </w:rPr>
        <w:t>. By this, we obtained 99% credible sets of variants for each signal, We compared credible set variants for Rapid3, CKDi25 with those derived previously from the cross-sectional eGFRcrea</w:t>
      </w:r>
      <w:r w:rsidR="00D97510" w:rsidRPr="00D97510">
        <w:rPr>
          <w:rFonts w:ascii="Arial" w:hAnsi="Arial" w:cs="Arial"/>
          <w:vertAlign w:val="superscript"/>
          <w:lang w:val="en-US"/>
        </w:rPr>
        <w:t>17</w:t>
      </w:r>
      <w:r>
        <w:rPr>
          <w:rFonts w:ascii="Arial" w:hAnsi="Arial" w:cs="Arial"/>
          <w:lang w:val="en-US"/>
        </w:rPr>
        <w:t xml:space="preserve"> in terms of size and overlap. For each gene in the identified locus regions (±500kB around lead variant), we conducted a range of statistical and functional follow-up analyses for prioritizing genes: </w:t>
      </w:r>
      <w:r w:rsidRPr="00990E60">
        <w:rPr>
          <w:rFonts w:ascii="Arial" w:hAnsi="Arial" w:cs="Arial"/>
          <w:lang w:val="en-US"/>
        </w:rPr>
        <w:t>We annotated the credible set variants across the five genome-wide significant signals for being protein altering via VEP</w:t>
      </w:r>
      <w:r w:rsidR="00D97510">
        <w:rPr>
          <w:rFonts w:ascii="Arial" w:hAnsi="Arial" w:cs="Arial"/>
          <w:vertAlign w:val="superscript"/>
          <w:lang w:val="en-US"/>
        </w:rPr>
        <w:t>49</w:t>
      </w:r>
      <w:r w:rsidRPr="00990E60">
        <w:rPr>
          <w:rFonts w:ascii="Arial" w:hAnsi="Arial" w:cs="Arial"/>
          <w:lang w:val="en-US"/>
        </w:rPr>
        <w:t xml:space="preserve"> or a significant eQTL-variant in glomerulus or tubulointerstitium from NephQTL</w:t>
      </w:r>
      <w:r w:rsidR="00D97510" w:rsidRPr="00D97510">
        <w:rPr>
          <w:rFonts w:ascii="Arial" w:hAnsi="Arial" w:cs="Arial"/>
          <w:vertAlign w:val="superscript"/>
          <w:lang w:val="en-US"/>
        </w:rPr>
        <w:t>5</w:t>
      </w:r>
      <w:r w:rsidR="00D97510">
        <w:rPr>
          <w:rFonts w:ascii="Arial" w:hAnsi="Arial" w:cs="Arial"/>
          <w:vertAlign w:val="superscript"/>
          <w:lang w:val="en-US"/>
        </w:rPr>
        <w:t>0</w:t>
      </w:r>
      <w:r w:rsidRPr="00990E60">
        <w:rPr>
          <w:rFonts w:ascii="Arial" w:hAnsi="Arial" w:cs="Arial"/>
          <w:lang w:val="en-US"/>
        </w:rPr>
        <w:t xml:space="preserve"> or in any tissue from GTEx v8</w:t>
      </w:r>
      <w:r w:rsidR="00D97510" w:rsidRPr="00D97510">
        <w:rPr>
          <w:rFonts w:ascii="Arial" w:hAnsi="Arial" w:cs="Arial"/>
          <w:vertAlign w:val="superscript"/>
          <w:lang w:val="en-US"/>
        </w:rPr>
        <w:t>51</w:t>
      </w:r>
      <w:r w:rsidRPr="00990E60">
        <w:rPr>
          <w:rFonts w:ascii="Arial" w:hAnsi="Arial" w:cs="Arial"/>
          <w:lang w:val="en-US"/>
        </w:rPr>
        <w:t xml:space="preserve"> (judged at a false-discovery rate&lt;5%). We annotated the 64 genes in the five loci for containing a protein-altering credible set variant, for being a target of a significant eQTL-variant, or for having shown a kidney-related phenotype in MGI</w:t>
      </w:r>
      <w:r w:rsidR="00D97510" w:rsidRPr="00D97510">
        <w:rPr>
          <w:rFonts w:ascii="Arial" w:hAnsi="Arial" w:cs="Arial"/>
          <w:vertAlign w:val="superscript"/>
          <w:lang w:val="en-US"/>
        </w:rPr>
        <w:t>52</w:t>
      </w:r>
      <w:r w:rsidRPr="00990E60">
        <w:rPr>
          <w:rFonts w:ascii="Arial" w:hAnsi="Arial" w:cs="Arial"/>
          <w:lang w:val="en-US"/>
        </w:rPr>
        <w:t xml:space="preserve"> or OMIM</w:t>
      </w:r>
      <w:r w:rsidR="00D97510" w:rsidRPr="00D97510">
        <w:rPr>
          <w:rFonts w:ascii="Arial" w:hAnsi="Arial" w:cs="Arial"/>
          <w:vertAlign w:val="superscript"/>
          <w:lang w:val="en-US"/>
        </w:rPr>
        <w:t>53</w:t>
      </w:r>
      <w:r>
        <w:rPr>
          <w:rFonts w:ascii="Arial" w:hAnsi="Arial" w:cs="Arial"/>
          <w:lang w:val="en-US"/>
        </w:rPr>
        <w:t>.</w:t>
      </w:r>
    </w:p>
    <w:p w14:paraId="5D3547B2" w14:textId="77777777" w:rsidR="00990E60" w:rsidRDefault="00990E60" w:rsidP="00990E60">
      <w:pPr>
        <w:pStyle w:val="KeinLeerraum"/>
        <w:spacing w:line="360" w:lineRule="auto"/>
        <w:jc w:val="both"/>
        <w:rPr>
          <w:rFonts w:cs="Arial"/>
          <w:b/>
          <w:sz w:val="22"/>
          <w:szCs w:val="22"/>
          <w:lang w:val="en-US"/>
        </w:rPr>
      </w:pPr>
    </w:p>
    <w:p w14:paraId="600C54CC" w14:textId="77777777" w:rsidR="00990E60" w:rsidRDefault="00990E60" w:rsidP="00990E60">
      <w:pPr>
        <w:pStyle w:val="berschrift2"/>
      </w:pPr>
      <w:r>
        <w:t>The cumulative effect on rapid kidney function decline, ESKD, and AKI</w:t>
      </w:r>
    </w:p>
    <w:p w14:paraId="2088640B" w14:textId="0B682B67" w:rsidR="00990E60" w:rsidRDefault="00990E60" w:rsidP="00990E60">
      <w:pPr>
        <w:pStyle w:val="KeinLeerraum"/>
        <w:spacing w:line="360" w:lineRule="auto"/>
        <w:jc w:val="both"/>
        <w:rPr>
          <w:rFonts w:cs="Arial"/>
          <w:sz w:val="22"/>
          <w:szCs w:val="22"/>
          <w:lang w:val="en-US"/>
        </w:rPr>
        <w:sectPr w:rsidR="00990E60">
          <w:pgSz w:w="11906" w:h="16838"/>
          <w:pgMar w:top="1134" w:right="1417" w:bottom="1417" w:left="1417" w:header="708" w:footer="708" w:gutter="0"/>
          <w:cols w:space="708"/>
          <w:docGrid w:linePitch="360"/>
        </w:sectPr>
      </w:pPr>
      <w:r>
        <w:rPr>
          <w:rFonts w:cs="Arial"/>
          <w:sz w:val="22"/>
          <w:szCs w:val="22"/>
          <w:lang w:val="en-US"/>
        </w:rPr>
        <w:t>To estimate the joint effect of variants increasing the risk for progression of kidney function, we calculated a genetic risk score (GRS)</w:t>
      </w:r>
      <w:r w:rsidRPr="009F2C30">
        <w:rPr>
          <w:rFonts w:cs="Arial"/>
          <w:sz w:val="22"/>
          <w:szCs w:val="22"/>
          <w:lang w:val="en-US"/>
        </w:rPr>
        <w:t xml:space="preserve"> </w:t>
      </w:r>
      <w:r>
        <w:rPr>
          <w:rFonts w:cs="Arial"/>
          <w:sz w:val="22"/>
          <w:szCs w:val="22"/>
          <w:lang w:val="en-US"/>
        </w:rPr>
        <w:t>as the number of risk increasing alleles of the identified variants. For this, we compared individuals at high risk (GRS≥7.5 alleles) with those at low risk (GRS≤5.5 allele)</w:t>
      </w:r>
      <w:r w:rsidRPr="008601DB">
        <w:rPr>
          <w:rFonts w:cs="Arial"/>
          <w:sz w:val="22"/>
          <w:szCs w:val="22"/>
          <w:lang w:val="en-US"/>
        </w:rPr>
        <w:t xml:space="preserve"> </w:t>
      </w:r>
      <w:r>
        <w:rPr>
          <w:rFonts w:cs="Arial"/>
          <w:sz w:val="22"/>
          <w:szCs w:val="22"/>
          <w:lang w:val="en-US"/>
        </w:rPr>
        <w:t xml:space="preserve">via logistic regression in UK Biobank, DIACORE, KORA-F3, and KORA-F4 (unrelated European). We used the same GRS and the same high-risk versus low-risk comparisons as described above, to compute the relative risk on ESKD and AKI: </w:t>
      </w:r>
    </w:p>
    <w:p w14:paraId="7F3685E4" w14:textId="141C3506" w:rsidR="00990E60" w:rsidRDefault="00990E60" w:rsidP="00990E60">
      <w:pPr>
        <w:pStyle w:val="KeinLeerraum"/>
        <w:spacing w:line="360" w:lineRule="auto"/>
        <w:jc w:val="both"/>
        <w:rPr>
          <w:rFonts w:eastAsia="Times New Roman" w:cs="Arial"/>
          <w:b/>
          <w:bCs/>
          <w:color w:val="000000"/>
          <w:lang w:val="en-US"/>
        </w:rPr>
        <w:sectPr w:rsidR="00990E60">
          <w:pgSz w:w="11906" w:h="16838"/>
          <w:pgMar w:top="1417" w:right="1417" w:bottom="1134" w:left="1417" w:header="708" w:footer="708" w:gutter="0"/>
          <w:cols w:space="708"/>
          <w:docGrid w:linePitch="360"/>
        </w:sectPr>
      </w:pPr>
      <w:r>
        <w:rPr>
          <w:rFonts w:cs="Arial"/>
          <w:sz w:val="22"/>
          <w:szCs w:val="22"/>
          <w:lang w:val="en-US"/>
        </w:rPr>
        <w:lastRenderedPageBreak/>
        <w:t xml:space="preserve"> (i) unrelated Europeans from UK Biobank were defined as cases via health records (ICD10 code N18.0 or N18.5, n=528) and as controls when there was no record of N18 code and eGFRcrea&gt;60 mL/min/1.73m² (frequency-matched by age-group and sex; n=1,584); (ii) 470 GENDIAN ESKD cases versus 1,545 KORA-F4 controls as done previously</w:t>
      </w:r>
      <w:r w:rsidR="001469AB" w:rsidRPr="001469AB">
        <w:rPr>
          <w:rFonts w:cs="Arial"/>
          <w:sz w:val="22"/>
          <w:szCs w:val="22"/>
          <w:vertAlign w:val="superscript"/>
          <w:lang w:val="en-US"/>
        </w:rPr>
        <w:t>36</w:t>
      </w:r>
      <w:r>
        <w:rPr>
          <w:rFonts w:cs="Arial"/>
          <w:sz w:val="22"/>
          <w:szCs w:val="22"/>
          <w:lang w:val="en-US"/>
        </w:rPr>
        <w:t xml:space="preserve"> (eGFRcrea&gt;60 mL/min/1.73m²; frequency-matched on age-groups and sex); (iii) 1100 4D ESKD cases versus 1601 KORA-F3 controls as done previously</w:t>
      </w:r>
      <w:r w:rsidR="001469AB" w:rsidRPr="001469AB">
        <w:rPr>
          <w:rFonts w:cs="Arial"/>
          <w:sz w:val="22"/>
          <w:szCs w:val="22"/>
          <w:vertAlign w:val="superscript"/>
          <w:lang w:val="en-US"/>
        </w:rPr>
        <w:t>36</w:t>
      </w:r>
      <w:r>
        <w:rPr>
          <w:rFonts w:cs="Arial"/>
          <w:sz w:val="22"/>
          <w:szCs w:val="22"/>
          <w:lang w:val="en-US"/>
        </w:rPr>
        <w:t xml:space="preserve"> (eGFRcrea&gt;60 mL/min/1.73m², frequency matched by age-groups and sex). We estimated the OR for ESKD per data source via logistic regression adjusting for matching variables age-groups and sex as well quantitative age and meta-analyzed risk estimates. For AKI, we used UK Biobank (cases: ICD10 code N17 “Acute Renal Failure”, n=4,123; controls: without ICD10 code N17 frequency matched on age-group and sex, n=12,369). We estimated the OR for AKI in the same fashion as for ESKD.</w:t>
      </w:r>
    </w:p>
    <w:p w14:paraId="10FDB0F2" w14:textId="6590ECA4" w:rsidR="00EB4604" w:rsidRPr="003715B2" w:rsidRDefault="00EB4604" w:rsidP="00EB4604">
      <w:pPr>
        <w:spacing w:after="0" w:line="360" w:lineRule="auto"/>
        <w:rPr>
          <w:rFonts w:ascii="Arial" w:eastAsia="Times New Roman" w:hAnsi="Arial" w:cs="Arial"/>
          <w:b/>
          <w:bCs/>
          <w:color w:val="000000"/>
          <w:lang w:val="en-US"/>
        </w:rPr>
      </w:pPr>
      <w:r w:rsidRPr="003715B2">
        <w:rPr>
          <w:rFonts w:ascii="Arial" w:eastAsia="Times New Roman" w:hAnsi="Arial" w:cs="Arial"/>
          <w:b/>
          <w:bCs/>
          <w:color w:val="000000"/>
          <w:lang w:val="en-US"/>
        </w:rPr>
        <w:lastRenderedPageBreak/>
        <w:t xml:space="preserve">Supplementary Note </w:t>
      </w:r>
      <w:r>
        <w:rPr>
          <w:rFonts w:ascii="Arial" w:eastAsia="Times New Roman" w:hAnsi="Arial" w:cs="Arial"/>
          <w:b/>
          <w:bCs/>
          <w:color w:val="000000"/>
          <w:lang w:val="en-US"/>
        </w:rPr>
        <w:t>1</w:t>
      </w:r>
      <w:r w:rsidRPr="003715B2">
        <w:rPr>
          <w:rFonts w:ascii="Arial" w:eastAsia="Times New Roman" w:hAnsi="Arial" w:cs="Arial"/>
          <w:b/>
          <w:bCs/>
          <w:color w:val="000000"/>
          <w:lang w:val="en-US"/>
        </w:rPr>
        <w:t xml:space="preserve"> | </w:t>
      </w:r>
      <w:r w:rsidRPr="003715B2">
        <w:rPr>
          <w:rFonts w:ascii="Arial" w:hAnsi="Arial" w:cs="Arial"/>
          <w:b/>
          <w:lang w:val="en-US"/>
        </w:rPr>
        <w:t>Meta-analysis of Rapid3 and CKDi25 in individuals of African American ancestry</w:t>
      </w:r>
    </w:p>
    <w:p w14:paraId="6F79EBE2" w14:textId="121D9681" w:rsidR="00EB4604" w:rsidRPr="009C4254" w:rsidRDefault="00EB4604" w:rsidP="00EB4604">
      <w:pPr>
        <w:spacing w:after="0" w:line="360" w:lineRule="auto"/>
        <w:jc w:val="both"/>
        <w:rPr>
          <w:rFonts w:ascii="Arial" w:hAnsi="Arial" w:cs="Arial"/>
          <w:color w:val="353838"/>
          <w:lang w:val="en-US"/>
        </w:rPr>
        <w:sectPr w:rsidR="00EB4604" w:rsidRPr="009C4254">
          <w:pgSz w:w="11906" w:h="16838"/>
          <w:pgMar w:top="1417" w:right="1417" w:bottom="1134" w:left="1417" w:header="708" w:footer="708" w:gutter="0"/>
          <w:cols w:space="708"/>
          <w:docGrid w:linePitch="360"/>
        </w:sectPr>
      </w:pPr>
      <w:r w:rsidRPr="009C4254">
        <w:rPr>
          <w:rFonts w:ascii="Arial" w:hAnsi="Arial" w:cs="Arial"/>
          <w:color w:val="353838"/>
          <w:lang w:val="en-US"/>
        </w:rPr>
        <w:t>We conducted a meta-analysis restricting to individuals of African ancestry (2,356 cases and 2,375 controls from six studies for Rapid3; 374 cases and 4,183 controls from three studies for CKDi25), effect sizes had large standard errors due to the limited sample sizes, which prohibited an informative comparison with EUR effect sizes (</w:t>
      </w:r>
      <w:r w:rsidRPr="009C4254">
        <w:rPr>
          <w:rFonts w:ascii="Arial" w:hAnsi="Arial" w:cs="Arial"/>
          <w:b/>
          <w:color w:val="353838"/>
          <w:lang w:val="en-US"/>
        </w:rPr>
        <w:t>Supplementary Table 4B</w:t>
      </w:r>
      <w:r w:rsidRPr="009C4254">
        <w:rPr>
          <w:rFonts w:ascii="Arial" w:hAnsi="Arial" w:cs="Arial"/>
          <w:color w:val="353838"/>
          <w:lang w:val="en-US"/>
        </w:rPr>
        <w:t xml:space="preserve">). For the </w:t>
      </w:r>
      <w:r w:rsidRPr="009C4254">
        <w:rPr>
          <w:rFonts w:ascii="Arial" w:hAnsi="Arial" w:cs="Arial"/>
          <w:i/>
          <w:color w:val="353838"/>
          <w:lang w:val="en-US"/>
        </w:rPr>
        <w:t>APOL1</w:t>
      </w:r>
      <w:r w:rsidRPr="009C4254">
        <w:rPr>
          <w:rFonts w:ascii="Arial" w:hAnsi="Arial" w:cs="Arial"/>
          <w:color w:val="353838"/>
          <w:lang w:val="en-US"/>
        </w:rPr>
        <w:t xml:space="preserve"> locus variants rs73885319 and rs60910145 reported for strong effects on kidney diseases in African ancestry</w:t>
      </w:r>
      <w:r w:rsidR="00037720" w:rsidRPr="009C4254">
        <w:rPr>
          <w:rFonts w:ascii="Arial" w:hAnsi="Arial" w:cs="Arial"/>
          <w:color w:val="353838"/>
          <w:vertAlign w:val="superscript"/>
          <w:lang w:val="en-US"/>
        </w:rPr>
        <w:t>S2</w:t>
      </w:r>
      <w:r w:rsidRPr="009C4254">
        <w:rPr>
          <w:rFonts w:ascii="Arial" w:hAnsi="Arial" w:cs="Arial"/>
          <w:color w:val="353838"/>
          <w:lang w:val="en-US"/>
        </w:rPr>
        <w:t xml:space="preserve">, we found directionally consistent effects for </w:t>
      </w:r>
      <w:r w:rsidR="00B2791F">
        <w:rPr>
          <w:rFonts w:ascii="Arial" w:hAnsi="Arial" w:cs="Arial"/>
          <w:color w:val="353838"/>
          <w:lang w:val="en-US"/>
        </w:rPr>
        <w:t>CKDi25 (</w:t>
      </w:r>
      <w:r w:rsidR="005B5645">
        <w:rPr>
          <w:rFonts w:ascii="Arial" w:hAnsi="Arial" w:cs="Arial"/>
          <w:color w:val="353838"/>
          <w:lang w:val="en-US"/>
        </w:rPr>
        <w:t xml:space="preserve">OR=1.068 </w:t>
      </w:r>
      <w:r w:rsidR="00B2791F" w:rsidRPr="000335E4">
        <w:rPr>
          <w:rFonts w:ascii="Arial" w:hAnsi="Arial" w:cs="Arial"/>
          <w:color w:val="353838"/>
          <w:lang w:val="en-US"/>
        </w:rPr>
        <w:t>and 1.06</w:t>
      </w:r>
      <w:r w:rsidR="005B5645">
        <w:rPr>
          <w:rFonts w:ascii="Arial" w:hAnsi="Arial" w:cs="Arial"/>
          <w:color w:val="353838"/>
          <w:lang w:val="en-US"/>
        </w:rPr>
        <w:t>7</w:t>
      </w:r>
      <w:r w:rsidRPr="000335E4">
        <w:rPr>
          <w:rFonts w:ascii="Arial" w:hAnsi="Arial" w:cs="Arial"/>
          <w:color w:val="353838"/>
          <w:lang w:val="en-US"/>
        </w:rPr>
        <w:t>), but</w:t>
      </w:r>
      <w:r w:rsidRPr="009C4254">
        <w:rPr>
          <w:rFonts w:ascii="Arial" w:hAnsi="Arial" w:cs="Arial"/>
          <w:color w:val="353838"/>
          <w:lang w:val="en-US"/>
        </w:rPr>
        <w:t xml:space="preserve"> not for Rapid3</w:t>
      </w:r>
      <w:r w:rsidR="00BA5039">
        <w:rPr>
          <w:rFonts w:ascii="Arial" w:hAnsi="Arial" w:cs="Arial"/>
          <w:color w:val="353838"/>
          <w:lang w:val="en-US"/>
        </w:rPr>
        <w:t xml:space="preserve"> (both OR=0.980)</w:t>
      </w:r>
      <w:r w:rsidRPr="009C4254">
        <w:rPr>
          <w:rFonts w:ascii="Arial" w:hAnsi="Arial" w:cs="Arial"/>
          <w:color w:val="353838"/>
          <w:lang w:val="en-US"/>
        </w:rPr>
        <w:t>.</w:t>
      </w:r>
    </w:p>
    <w:p w14:paraId="5AA17687" w14:textId="7F4CF37A" w:rsidR="00EB4604" w:rsidRPr="00EB4604" w:rsidRDefault="00EB4604" w:rsidP="00EB4604">
      <w:pPr>
        <w:pStyle w:val="berschrift2"/>
      </w:pPr>
      <w:r w:rsidRPr="00EB4604">
        <w:lastRenderedPageBreak/>
        <w:t>Supplementary Note 2 | Two additional loci for rapid eGFRcrea decline from a candidate-based search</w:t>
      </w:r>
    </w:p>
    <w:p w14:paraId="6CE1F55C" w14:textId="6F490706" w:rsidR="00EB4604" w:rsidRPr="00EB4604" w:rsidRDefault="00EB4604" w:rsidP="00EB4604">
      <w:pPr>
        <w:spacing w:after="0" w:line="360" w:lineRule="auto"/>
        <w:jc w:val="both"/>
        <w:rPr>
          <w:rFonts w:ascii="Arial" w:eastAsia="Times New Roman" w:hAnsi="Arial" w:cs="Arial"/>
          <w:b/>
          <w:bCs/>
          <w:color w:val="000000"/>
          <w:lang w:val="en-US"/>
        </w:rPr>
      </w:pPr>
      <w:r w:rsidRPr="00EB4604">
        <w:rPr>
          <w:rFonts w:ascii="Arial" w:hAnsi="Arial" w:cs="Arial"/>
          <w:color w:val="353838"/>
          <w:lang w:val="en-US"/>
        </w:rPr>
        <w:t xml:space="preserve">For </w:t>
      </w:r>
      <w:r w:rsidRPr="00EB4604">
        <w:rPr>
          <w:rFonts w:ascii="Arial" w:hAnsi="Arial" w:cs="Arial"/>
          <w:color w:val="353838"/>
          <w:u w:val="single"/>
          <w:lang w:val="en-US"/>
        </w:rPr>
        <w:t>our candidate-based approach</w:t>
      </w:r>
      <w:r w:rsidRPr="00EB4604">
        <w:rPr>
          <w:rFonts w:ascii="Arial" w:hAnsi="Arial" w:cs="Arial"/>
          <w:color w:val="353838"/>
          <w:lang w:val="en-US"/>
        </w:rPr>
        <w:t>, we selected the 264 lead variants and the 2</w:t>
      </w:r>
      <w:r w:rsidRPr="00EB4604">
        <w:rPr>
          <w:rFonts w:ascii="Arial" w:hAnsi="Arial" w:cs="Arial"/>
          <w:color w:val="353838"/>
          <w:vertAlign w:val="superscript"/>
          <w:lang w:val="en-US"/>
        </w:rPr>
        <w:t>nd</w:t>
      </w:r>
      <w:r w:rsidRPr="00EB4604">
        <w:rPr>
          <w:rFonts w:ascii="Arial" w:hAnsi="Arial" w:cs="Arial"/>
          <w:color w:val="353838"/>
          <w:lang w:val="en-US"/>
        </w:rPr>
        <w:t xml:space="preserve"> signal lead variant in the </w:t>
      </w:r>
      <w:r w:rsidRPr="00EB4604">
        <w:rPr>
          <w:rFonts w:ascii="Arial" w:hAnsi="Arial" w:cs="Arial"/>
          <w:i/>
          <w:color w:val="353838"/>
          <w:lang w:val="en-US"/>
        </w:rPr>
        <w:t>UMOD-PDILT</w:t>
      </w:r>
      <w:r w:rsidRPr="00EB4604">
        <w:rPr>
          <w:rFonts w:ascii="Arial" w:hAnsi="Arial" w:cs="Arial"/>
          <w:color w:val="353838"/>
          <w:lang w:val="en-US"/>
        </w:rPr>
        <w:t xml:space="preserve"> locus reported previously for eGFRcrea</w:t>
      </w:r>
      <w:r w:rsidR="00037720" w:rsidRPr="00037720">
        <w:rPr>
          <w:rFonts w:ascii="Arial" w:hAnsi="Arial" w:cs="Arial"/>
          <w:color w:val="353838"/>
          <w:vertAlign w:val="superscript"/>
          <w:lang w:val="en-US"/>
        </w:rPr>
        <w:t>17</w:t>
      </w:r>
      <w:r w:rsidRPr="00EB4604">
        <w:rPr>
          <w:rFonts w:ascii="Arial" w:hAnsi="Arial" w:cs="Arial"/>
          <w:color w:val="353838"/>
          <w:lang w:val="en-US"/>
        </w:rPr>
        <w:t xml:space="preserve"> and tested these for association with Rapid3 and CKDi25 (judged at Bonferroni-corrected significance; 0.05/265=1.89x10</w:t>
      </w:r>
      <w:r w:rsidRPr="00EB4604">
        <w:rPr>
          <w:rFonts w:ascii="Arial" w:hAnsi="Arial" w:cs="Arial"/>
          <w:color w:val="353838"/>
          <w:vertAlign w:val="superscript"/>
          <w:lang w:val="en-US"/>
        </w:rPr>
        <w:t>-4</w:t>
      </w:r>
      <w:r w:rsidRPr="00EB4604">
        <w:rPr>
          <w:rFonts w:ascii="Arial" w:hAnsi="Arial" w:cs="Arial"/>
          <w:color w:val="353838"/>
          <w:lang w:val="en-US"/>
        </w:rPr>
        <w:t>). Among these, we found six variants in five loci significantly associated with Rapid3 and/or CKDi25 (</w:t>
      </w:r>
      <w:r w:rsidRPr="00EB4604">
        <w:rPr>
          <w:rFonts w:ascii="Arial" w:hAnsi="Arial" w:cs="Arial"/>
          <w:b/>
          <w:color w:val="353838"/>
          <w:lang w:val="en-US"/>
        </w:rPr>
        <w:t>Table 1B</w:t>
      </w:r>
      <w:r>
        <w:rPr>
          <w:rFonts w:ascii="Arial" w:hAnsi="Arial" w:cs="Arial"/>
          <w:color w:val="353838"/>
          <w:lang w:val="en-US"/>
        </w:rPr>
        <w:t xml:space="preserve">): </w:t>
      </w:r>
      <w:r w:rsidRPr="00EB4604">
        <w:rPr>
          <w:rFonts w:ascii="Arial" w:hAnsi="Arial" w:cs="Arial"/>
          <w:color w:val="353838"/>
          <w:lang w:val="en-US"/>
        </w:rPr>
        <w:t xml:space="preserve">(i) the two variants in the </w:t>
      </w:r>
      <w:r w:rsidRPr="00EB4604">
        <w:rPr>
          <w:rFonts w:ascii="Arial" w:hAnsi="Arial" w:cs="Arial"/>
          <w:i/>
          <w:color w:val="353838"/>
          <w:lang w:val="en-US"/>
        </w:rPr>
        <w:t>UMOD-PDILT</w:t>
      </w:r>
      <w:r w:rsidRPr="00EB4604">
        <w:rPr>
          <w:rFonts w:ascii="Arial" w:hAnsi="Arial" w:cs="Arial"/>
          <w:color w:val="353838"/>
          <w:lang w:val="en-US"/>
        </w:rPr>
        <w:t xml:space="preserve"> locus were significant for CKDi25 and/or Rapid3 and they were identical (rs77924615) or highly correlated (</w:t>
      </w:r>
      <w:r w:rsidRPr="00EB4604">
        <w:rPr>
          <w:rFonts w:ascii="Arial" w:hAnsi="Arial" w:cs="Arial"/>
          <w:color w:val="000000"/>
          <w:lang w:val="en-US"/>
        </w:rPr>
        <w:t>rs34882080</w:t>
      </w:r>
      <w:r w:rsidRPr="00EB4604">
        <w:rPr>
          <w:rFonts w:ascii="Arial" w:hAnsi="Arial" w:cs="Arial"/>
          <w:color w:val="353838"/>
          <w:lang w:val="en-US"/>
        </w:rPr>
        <w:t xml:space="preserve">) with our GWAS lead variants. (ii) Two reported variants, one each in the </w:t>
      </w:r>
      <w:r w:rsidRPr="00EB4604">
        <w:rPr>
          <w:rFonts w:ascii="Arial" w:hAnsi="Arial" w:cs="Arial"/>
          <w:i/>
          <w:color w:val="353838"/>
          <w:lang w:val="en-US"/>
        </w:rPr>
        <w:t>PRKAG2</w:t>
      </w:r>
      <w:r w:rsidRPr="00EB4604">
        <w:rPr>
          <w:rFonts w:ascii="Arial" w:hAnsi="Arial" w:cs="Arial"/>
          <w:color w:val="353838"/>
          <w:lang w:val="en-US"/>
        </w:rPr>
        <w:t xml:space="preserve"> and </w:t>
      </w:r>
      <w:r w:rsidRPr="00EB4604">
        <w:rPr>
          <w:rFonts w:ascii="Arial" w:hAnsi="Arial" w:cs="Arial"/>
          <w:i/>
          <w:color w:val="353838"/>
          <w:lang w:val="en-US"/>
        </w:rPr>
        <w:t>WDR72</w:t>
      </w:r>
      <w:r w:rsidRPr="00EB4604">
        <w:rPr>
          <w:rFonts w:ascii="Arial" w:hAnsi="Arial" w:cs="Arial"/>
          <w:color w:val="353838"/>
          <w:lang w:val="en-US"/>
        </w:rPr>
        <w:t xml:space="preserve"> loci, were significantly associated with CKDi25. They were correlated with the respective CKDi25-GWAS lead variants (R²=0.84 for </w:t>
      </w:r>
      <w:r w:rsidRPr="00EB4604">
        <w:rPr>
          <w:rFonts w:ascii="Arial" w:hAnsi="Arial" w:cs="Arial"/>
          <w:i/>
          <w:color w:val="353838"/>
          <w:lang w:val="en-US"/>
        </w:rPr>
        <w:t>PRKAG2</w:t>
      </w:r>
      <w:r w:rsidRPr="00EB4604">
        <w:rPr>
          <w:rFonts w:ascii="Arial" w:hAnsi="Arial" w:cs="Arial"/>
          <w:color w:val="353838"/>
          <w:lang w:val="en-US"/>
        </w:rPr>
        <w:t xml:space="preserve">, 0.42 for </w:t>
      </w:r>
      <w:r w:rsidRPr="00EB4604">
        <w:rPr>
          <w:rFonts w:ascii="Arial" w:hAnsi="Arial" w:cs="Arial"/>
          <w:i/>
          <w:color w:val="353838"/>
          <w:lang w:val="en-US"/>
        </w:rPr>
        <w:t>WDR72</w:t>
      </w:r>
      <w:r w:rsidRPr="00EB4604">
        <w:rPr>
          <w:rFonts w:ascii="Arial" w:hAnsi="Arial" w:cs="Arial"/>
          <w:color w:val="353838"/>
          <w:lang w:val="en-US"/>
        </w:rPr>
        <w:t>) and lost association when adjusted for the respective CKDi25-GWAS lead variant</w:t>
      </w:r>
      <w:r w:rsidR="00037720" w:rsidRPr="00037720">
        <w:rPr>
          <w:rFonts w:ascii="Arial" w:hAnsi="Arial" w:cs="Arial"/>
          <w:color w:val="353838"/>
          <w:vertAlign w:val="superscript"/>
          <w:lang w:val="en-US"/>
        </w:rPr>
        <w:t>S8</w:t>
      </w:r>
      <w:r w:rsidRPr="00EB4604">
        <w:rPr>
          <w:rFonts w:ascii="Arial" w:hAnsi="Arial" w:cs="Arial"/>
          <w:color w:val="353838"/>
          <w:lang w:val="en-US"/>
        </w:rPr>
        <w:t xml:space="preserve"> (</w:t>
      </w:r>
      <w:r w:rsidRPr="00EB4604">
        <w:rPr>
          <w:rFonts w:ascii="Arial" w:hAnsi="Arial" w:cs="Arial"/>
          <w:b/>
          <w:color w:val="353838"/>
          <w:lang w:val="en-US"/>
        </w:rPr>
        <w:t>Methods</w:t>
      </w:r>
      <w:r w:rsidRPr="00EB4604">
        <w:rPr>
          <w:rFonts w:ascii="Arial" w:hAnsi="Arial" w:cs="Arial"/>
          <w:color w:val="353838"/>
          <w:lang w:val="en-US"/>
        </w:rPr>
        <w:t xml:space="preserve">; P-values from 0.40 to 0.99, </w:t>
      </w:r>
      <w:r w:rsidRPr="00EB4604">
        <w:rPr>
          <w:rFonts w:ascii="Arial" w:hAnsi="Arial" w:cs="Arial"/>
          <w:b/>
          <w:color w:val="353838"/>
          <w:lang w:val="en-US"/>
        </w:rPr>
        <w:t>Supplementary Table 5</w:t>
      </w:r>
      <w:r w:rsidRPr="00EB4604">
        <w:rPr>
          <w:rFonts w:ascii="Arial" w:hAnsi="Arial" w:cs="Arial"/>
          <w:color w:val="353838"/>
          <w:lang w:val="en-US"/>
        </w:rPr>
        <w:t xml:space="preserve">). The candidate-based signals thus coincided with the genome-wide detected signals. (iii) Two reported variants, one each in </w:t>
      </w:r>
      <w:r w:rsidRPr="00EB4604">
        <w:rPr>
          <w:rFonts w:ascii="Arial" w:hAnsi="Arial" w:cs="Arial"/>
          <w:i/>
          <w:color w:val="353838"/>
          <w:lang w:val="en-US"/>
        </w:rPr>
        <w:t>LARP4B</w:t>
      </w:r>
      <w:r w:rsidRPr="00EB4604">
        <w:rPr>
          <w:rFonts w:ascii="Arial" w:hAnsi="Arial" w:cs="Arial"/>
          <w:color w:val="353838"/>
          <w:lang w:val="en-US"/>
        </w:rPr>
        <w:t xml:space="preserve"> and </w:t>
      </w:r>
      <w:r w:rsidRPr="00EB4604">
        <w:rPr>
          <w:rFonts w:ascii="Arial" w:hAnsi="Arial" w:cs="Arial"/>
          <w:i/>
          <w:color w:val="353838"/>
          <w:lang w:val="en-US"/>
        </w:rPr>
        <w:t>GATM</w:t>
      </w:r>
      <w:r w:rsidRPr="00EB4604">
        <w:rPr>
          <w:rFonts w:ascii="Arial" w:hAnsi="Arial" w:cs="Arial"/>
          <w:color w:val="353838"/>
          <w:lang w:val="en-US"/>
        </w:rPr>
        <w:t>, were significantly associated with CKDi25 or Rapid3. These variants had the smallest P-value in this locus for the respective trait.</w:t>
      </w:r>
    </w:p>
    <w:p w14:paraId="13AC3D8C" w14:textId="77777777" w:rsidR="00EB4604" w:rsidRDefault="00EB4604" w:rsidP="00EB4604">
      <w:pPr>
        <w:spacing w:after="0" w:line="360" w:lineRule="auto"/>
        <w:ind w:firstLine="708"/>
        <w:jc w:val="both"/>
        <w:rPr>
          <w:rFonts w:ascii="Arial" w:hAnsi="Arial" w:cs="Arial"/>
          <w:b/>
          <w:color w:val="353838"/>
          <w:lang w:val="en-US"/>
        </w:rPr>
        <w:sectPr w:rsidR="00EB4604">
          <w:pgSz w:w="11906" w:h="16838"/>
          <w:pgMar w:top="1417" w:right="1417" w:bottom="1134" w:left="1417" w:header="708" w:footer="708" w:gutter="0"/>
          <w:cols w:space="708"/>
          <w:docGrid w:linePitch="360"/>
        </w:sectPr>
      </w:pPr>
      <w:r w:rsidRPr="00EB4604">
        <w:rPr>
          <w:rFonts w:ascii="Arial" w:hAnsi="Arial" w:cs="Arial"/>
          <w:color w:val="353838"/>
          <w:lang w:val="en-US"/>
        </w:rPr>
        <w:t xml:space="preserve">Among the tested 265 variants, 64 were associated with Rapid3 or/and CKDi25 at nominal significance, and 55 of the 64 were direction-consistent (i.e. the eGFRcrea-lowering allele increased rapid decline risk; </w:t>
      </w:r>
      <w:r w:rsidRPr="00EB4604">
        <w:rPr>
          <w:rFonts w:ascii="Arial" w:hAnsi="Arial" w:cs="Arial"/>
          <w:b/>
          <w:color w:val="353838"/>
          <w:lang w:val="en-US"/>
        </w:rPr>
        <w:t>Supplementary Figure 2</w:t>
      </w:r>
      <w:r w:rsidRPr="00EB4604">
        <w:rPr>
          <w:rFonts w:ascii="Arial" w:hAnsi="Arial" w:cs="Arial"/>
          <w:color w:val="353838"/>
          <w:lang w:val="en-US"/>
        </w:rPr>
        <w:t>). Heterogeneity of the six variants’ association across studies was zero to moderate (I² from 0 to 41%). A sensitivity analysis restricted to</w:t>
      </w:r>
      <w:r>
        <w:rPr>
          <w:rFonts w:ascii="Arial" w:hAnsi="Arial" w:cs="Arial"/>
          <w:color w:val="353838"/>
          <w:lang w:val="en-US"/>
        </w:rPr>
        <w:t xml:space="preserve"> </w:t>
      </w:r>
      <w:r w:rsidRPr="00EB4604">
        <w:rPr>
          <w:rFonts w:ascii="Arial" w:hAnsi="Arial" w:cs="Arial"/>
          <w:color w:val="353838"/>
          <w:lang w:val="en-US"/>
        </w:rPr>
        <w:t>European ancestry participants showed similar results (</w:t>
      </w:r>
      <w:r w:rsidRPr="00EB4604">
        <w:rPr>
          <w:rFonts w:ascii="Arial" w:hAnsi="Arial" w:cs="Arial"/>
          <w:b/>
          <w:color w:val="353838"/>
          <w:lang w:val="en-US"/>
        </w:rPr>
        <w:t>Sup</w:t>
      </w:r>
      <w:r>
        <w:rPr>
          <w:rFonts w:ascii="Arial" w:hAnsi="Arial" w:cs="Arial"/>
          <w:b/>
          <w:color w:val="353838"/>
          <w:lang w:val="en-US"/>
        </w:rPr>
        <w:t>plementary Table 5</w:t>
      </w:r>
      <w:r w:rsidRPr="005901EC">
        <w:rPr>
          <w:rFonts w:ascii="Arial" w:hAnsi="Arial" w:cs="Arial"/>
          <w:color w:val="353838"/>
          <w:lang w:val="en-US"/>
        </w:rPr>
        <w:t>).</w:t>
      </w:r>
    </w:p>
    <w:p w14:paraId="7D906063" w14:textId="77777777" w:rsidR="00EB4604" w:rsidRPr="003715B2" w:rsidRDefault="00EB4604" w:rsidP="00EB4604">
      <w:pPr>
        <w:spacing w:after="0" w:line="360" w:lineRule="auto"/>
        <w:rPr>
          <w:rFonts w:ascii="Arial" w:eastAsia="Times New Roman" w:hAnsi="Arial" w:cs="Arial"/>
          <w:b/>
          <w:bCs/>
          <w:color w:val="000000"/>
          <w:lang w:val="en-US"/>
        </w:rPr>
      </w:pPr>
      <w:r w:rsidRPr="003715B2">
        <w:rPr>
          <w:rFonts w:ascii="Arial" w:eastAsia="Times New Roman" w:hAnsi="Arial" w:cs="Arial"/>
          <w:b/>
          <w:bCs/>
          <w:color w:val="000000"/>
          <w:lang w:val="en-US"/>
        </w:rPr>
        <w:lastRenderedPageBreak/>
        <w:t xml:space="preserve">Supplementary Note </w:t>
      </w:r>
      <w:r>
        <w:rPr>
          <w:rFonts w:ascii="Arial" w:eastAsia="Times New Roman" w:hAnsi="Arial" w:cs="Arial"/>
          <w:b/>
          <w:bCs/>
          <w:color w:val="000000"/>
          <w:lang w:val="en-US"/>
        </w:rPr>
        <w:t>3</w:t>
      </w:r>
      <w:r w:rsidRPr="003715B2">
        <w:rPr>
          <w:rFonts w:ascii="Arial" w:eastAsia="Times New Roman" w:hAnsi="Arial" w:cs="Arial"/>
          <w:b/>
          <w:bCs/>
          <w:color w:val="000000"/>
          <w:lang w:val="en-US"/>
        </w:rPr>
        <w:t xml:space="preserve"> | Testing effect direction consistency of identified lead variants with </w:t>
      </w:r>
      <w:r>
        <w:rPr>
          <w:rFonts w:ascii="Arial" w:eastAsia="Times New Roman" w:hAnsi="Arial" w:cs="Arial"/>
          <w:b/>
          <w:bCs/>
          <w:color w:val="000000"/>
          <w:lang w:val="en-US"/>
        </w:rPr>
        <w:t xml:space="preserve">annual change in </w:t>
      </w:r>
      <w:r w:rsidRPr="003715B2">
        <w:rPr>
          <w:rFonts w:ascii="Arial" w:eastAsia="Times New Roman" w:hAnsi="Arial" w:cs="Arial"/>
          <w:b/>
          <w:bCs/>
          <w:color w:val="000000"/>
          <w:lang w:val="en-US"/>
        </w:rPr>
        <w:t>eGFRcys and BUN in the UK Biobank</w:t>
      </w:r>
    </w:p>
    <w:p w14:paraId="26CEA47C" w14:textId="77777777" w:rsidR="00EB4604" w:rsidRPr="003715B2" w:rsidRDefault="00EB4604" w:rsidP="00EB4604">
      <w:pPr>
        <w:pStyle w:val="StandardWeb"/>
        <w:spacing w:before="0" w:beforeAutospacing="0" w:after="0" w:afterAutospacing="0" w:line="360" w:lineRule="auto"/>
        <w:jc w:val="both"/>
        <w:rPr>
          <w:rFonts w:ascii="Arial" w:hAnsi="Arial" w:cs="Arial"/>
          <w:color w:val="353838"/>
          <w:sz w:val="20"/>
          <w:szCs w:val="20"/>
        </w:rPr>
      </w:pPr>
      <w:r w:rsidRPr="003715B2">
        <w:rPr>
          <w:rFonts w:ascii="Arial" w:hAnsi="Arial" w:cs="Arial"/>
          <w:color w:val="353838"/>
          <w:sz w:val="22"/>
          <w:szCs w:val="22"/>
        </w:rPr>
        <w:t xml:space="preserve">We evaluated the seven lead variants for their direction-consistent association with annual change in eGFRcys and BUN in UK Biobank (n=15,746 or 15,277, respectively; mean follow-up time=4.3 years): annual </w:t>
      </w:r>
      <w:r w:rsidRPr="003715B2">
        <w:rPr>
          <w:rFonts w:ascii="Arial" w:hAnsi="Arial" w:cs="Arial"/>
          <w:color w:val="353838"/>
          <w:sz w:val="22"/>
          <w:szCs w:val="22"/>
          <w:u w:val="single"/>
        </w:rPr>
        <w:t>decline</w:t>
      </w:r>
      <w:r w:rsidRPr="003715B2">
        <w:rPr>
          <w:rFonts w:ascii="Arial" w:hAnsi="Arial" w:cs="Arial"/>
          <w:color w:val="353838"/>
          <w:sz w:val="22"/>
          <w:szCs w:val="22"/>
        </w:rPr>
        <w:t xml:space="preserve"> of eGFRcys and/or an annual </w:t>
      </w:r>
      <w:r w:rsidRPr="003715B2">
        <w:rPr>
          <w:rFonts w:ascii="Arial" w:hAnsi="Arial" w:cs="Arial"/>
          <w:color w:val="353838"/>
          <w:sz w:val="22"/>
          <w:szCs w:val="22"/>
          <w:u w:val="single"/>
        </w:rPr>
        <w:t>increase</w:t>
      </w:r>
      <w:r w:rsidRPr="003715B2">
        <w:rPr>
          <w:rFonts w:ascii="Arial" w:hAnsi="Arial" w:cs="Arial"/>
          <w:color w:val="353838"/>
          <w:sz w:val="22"/>
          <w:szCs w:val="22"/>
        </w:rPr>
        <w:t xml:space="preserve"> of BUN for the Rapid3/CKDi25-risk increasing allele. For five of the seven variants, we found a direction-consistent, nominally significant association for annual change in eGFRcys and/or BUN (</w:t>
      </w:r>
      <w:r w:rsidRPr="003715B2">
        <w:rPr>
          <w:rFonts w:ascii="Arial" w:hAnsi="Arial" w:cs="Arial"/>
          <w:i/>
          <w:color w:val="353838"/>
          <w:sz w:val="22"/>
          <w:szCs w:val="22"/>
        </w:rPr>
        <w:t>UMOD</w:t>
      </w:r>
      <w:r w:rsidRPr="003715B2">
        <w:rPr>
          <w:rFonts w:ascii="Arial" w:hAnsi="Arial" w:cs="Arial"/>
          <w:color w:val="353838"/>
          <w:sz w:val="22"/>
          <w:szCs w:val="22"/>
        </w:rPr>
        <w:t>-</w:t>
      </w:r>
      <w:r w:rsidRPr="003715B2">
        <w:rPr>
          <w:rFonts w:ascii="Arial" w:hAnsi="Arial" w:cs="Arial"/>
          <w:i/>
          <w:color w:val="353838"/>
          <w:sz w:val="22"/>
          <w:szCs w:val="22"/>
        </w:rPr>
        <w:t xml:space="preserve">PDILT </w:t>
      </w:r>
      <w:r w:rsidRPr="003715B2">
        <w:rPr>
          <w:rFonts w:ascii="Arial" w:hAnsi="Arial" w:cs="Arial"/>
          <w:color w:val="353838"/>
          <w:sz w:val="22"/>
          <w:szCs w:val="22"/>
        </w:rPr>
        <w:t xml:space="preserve">(2), </w:t>
      </w:r>
      <w:r w:rsidRPr="003715B2">
        <w:rPr>
          <w:rFonts w:ascii="Arial" w:hAnsi="Arial" w:cs="Arial"/>
          <w:i/>
          <w:color w:val="353838"/>
          <w:sz w:val="22"/>
          <w:szCs w:val="22"/>
        </w:rPr>
        <w:t>WDR72</w:t>
      </w:r>
      <w:r w:rsidRPr="003715B2">
        <w:rPr>
          <w:rFonts w:ascii="Arial" w:hAnsi="Arial" w:cs="Arial"/>
          <w:color w:val="353838"/>
          <w:sz w:val="22"/>
          <w:szCs w:val="22"/>
        </w:rPr>
        <w:t xml:space="preserve">, </w:t>
      </w:r>
      <w:r w:rsidRPr="003715B2">
        <w:rPr>
          <w:rFonts w:ascii="Arial" w:hAnsi="Arial" w:cs="Arial"/>
          <w:i/>
          <w:color w:val="353838"/>
          <w:sz w:val="22"/>
          <w:szCs w:val="22"/>
        </w:rPr>
        <w:t>PRKAG2</w:t>
      </w:r>
      <w:r w:rsidRPr="003715B2">
        <w:rPr>
          <w:rFonts w:ascii="Arial" w:hAnsi="Arial" w:cs="Arial"/>
          <w:color w:val="353838"/>
          <w:sz w:val="22"/>
          <w:szCs w:val="22"/>
        </w:rPr>
        <w:t xml:space="preserve">, </w:t>
      </w:r>
      <w:r w:rsidRPr="003715B2">
        <w:rPr>
          <w:rFonts w:ascii="Arial" w:hAnsi="Arial" w:cs="Arial"/>
          <w:i/>
          <w:color w:val="353838"/>
          <w:sz w:val="22"/>
          <w:szCs w:val="22"/>
        </w:rPr>
        <w:t xml:space="preserve">OR2S2; </w:t>
      </w:r>
      <w:r w:rsidRPr="003715B2">
        <w:rPr>
          <w:rFonts w:ascii="Arial" w:hAnsi="Arial" w:cs="Arial"/>
          <w:color w:val="353838"/>
          <w:sz w:val="22"/>
          <w:szCs w:val="22"/>
        </w:rPr>
        <w:t>one-sided P-value=2.75x10</w:t>
      </w:r>
      <w:r w:rsidRPr="003715B2">
        <w:rPr>
          <w:rFonts w:ascii="Arial" w:hAnsi="Arial" w:cs="Arial"/>
          <w:color w:val="353838"/>
          <w:sz w:val="22"/>
          <w:szCs w:val="22"/>
          <w:vertAlign w:val="superscript"/>
        </w:rPr>
        <w:t>-3</w:t>
      </w:r>
      <w:r w:rsidRPr="003715B2">
        <w:rPr>
          <w:rFonts w:ascii="Arial" w:hAnsi="Arial" w:cs="Arial"/>
          <w:color w:val="353838"/>
          <w:sz w:val="22"/>
          <w:szCs w:val="22"/>
        </w:rPr>
        <w:t xml:space="preserve"> to 0.04, </w:t>
      </w:r>
      <w:r w:rsidRPr="003715B2">
        <w:rPr>
          <w:rFonts w:ascii="Arial" w:hAnsi="Arial" w:cs="Arial"/>
          <w:b/>
          <w:color w:val="353838"/>
          <w:sz w:val="22"/>
          <w:szCs w:val="22"/>
        </w:rPr>
        <w:t>Table</w:t>
      </w:r>
      <w:r>
        <w:rPr>
          <w:rFonts w:ascii="Arial" w:hAnsi="Arial" w:cs="Arial"/>
          <w:b/>
          <w:color w:val="353838"/>
          <w:sz w:val="22"/>
          <w:szCs w:val="22"/>
        </w:rPr>
        <w:t> </w:t>
      </w:r>
      <w:r w:rsidRPr="003715B2">
        <w:rPr>
          <w:rFonts w:ascii="Arial" w:hAnsi="Arial" w:cs="Arial"/>
          <w:b/>
          <w:color w:val="353838"/>
          <w:sz w:val="22"/>
          <w:szCs w:val="22"/>
        </w:rPr>
        <w:t>2</w:t>
      </w:r>
      <w:r w:rsidRPr="003715B2">
        <w:rPr>
          <w:rFonts w:ascii="Arial" w:hAnsi="Arial" w:cs="Arial"/>
          <w:color w:val="353838"/>
          <w:sz w:val="22"/>
          <w:szCs w:val="22"/>
        </w:rPr>
        <w:t xml:space="preserve">), but not for </w:t>
      </w:r>
      <w:r w:rsidRPr="003715B2">
        <w:rPr>
          <w:rFonts w:ascii="Arial" w:hAnsi="Arial" w:cs="Arial"/>
          <w:i/>
          <w:color w:val="353838"/>
          <w:sz w:val="22"/>
          <w:szCs w:val="22"/>
        </w:rPr>
        <w:t>LARP4B</w:t>
      </w:r>
      <w:r w:rsidRPr="003715B2">
        <w:rPr>
          <w:rFonts w:ascii="Arial" w:hAnsi="Arial" w:cs="Arial"/>
          <w:color w:val="353838"/>
          <w:sz w:val="22"/>
          <w:szCs w:val="22"/>
        </w:rPr>
        <w:t xml:space="preserve"> or </w:t>
      </w:r>
      <w:r w:rsidRPr="003715B2">
        <w:rPr>
          <w:rFonts w:ascii="Arial" w:hAnsi="Arial" w:cs="Arial"/>
          <w:i/>
          <w:color w:val="353838"/>
          <w:sz w:val="22"/>
          <w:szCs w:val="22"/>
        </w:rPr>
        <w:t>GATM</w:t>
      </w:r>
      <w:r w:rsidRPr="003715B2">
        <w:rPr>
          <w:rFonts w:ascii="Arial" w:hAnsi="Arial" w:cs="Arial"/>
          <w:color w:val="353838"/>
          <w:sz w:val="22"/>
          <w:szCs w:val="22"/>
        </w:rPr>
        <w:t xml:space="preserve"> (one-sided P-value=0.10 to 0.82). While the </w:t>
      </w:r>
      <w:r w:rsidRPr="003715B2">
        <w:rPr>
          <w:rFonts w:ascii="Arial" w:hAnsi="Arial" w:cs="Arial"/>
          <w:i/>
          <w:color w:val="353838"/>
          <w:sz w:val="22"/>
          <w:szCs w:val="22"/>
        </w:rPr>
        <w:t>LARP4B</w:t>
      </w:r>
      <w:r w:rsidRPr="003715B2">
        <w:rPr>
          <w:rFonts w:ascii="Arial" w:hAnsi="Arial" w:cs="Arial"/>
          <w:color w:val="353838"/>
          <w:sz w:val="22"/>
          <w:szCs w:val="22"/>
        </w:rPr>
        <w:t xml:space="preserve"> associations with BUN change and eGFRcys change were into the expected directions, the </w:t>
      </w:r>
      <w:r w:rsidRPr="003715B2">
        <w:rPr>
          <w:rFonts w:ascii="Arial" w:hAnsi="Arial" w:cs="Arial"/>
          <w:i/>
          <w:color w:val="353838"/>
          <w:sz w:val="22"/>
          <w:szCs w:val="22"/>
        </w:rPr>
        <w:t>GATM</w:t>
      </w:r>
      <w:r w:rsidRPr="003715B2">
        <w:rPr>
          <w:rFonts w:ascii="Arial" w:hAnsi="Arial" w:cs="Arial"/>
          <w:color w:val="353838"/>
          <w:sz w:val="22"/>
          <w:szCs w:val="22"/>
        </w:rPr>
        <w:t xml:space="preserve"> associations were directionally unexpected. For completeness, we also evaluated the seven variants’ association with cross-sectional eGFRcys and BUN (n=364,819 and 358,791; </w:t>
      </w:r>
      <w:r w:rsidRPr="003715B2">
        <w:rPr>
          <w:rFonts w:ascii="Arial" w:hAnsi="Arial" w:cs="Arial"/>
          <w:b/>
          <w:color w:val="353838"/>
          <w:sz w:val="22"/>
          <w:szCs w:val="22"/>
        </w:rPr>
        <w:t>Table 2</w:t>
      </w:r>
      <w:r w:rsidRPr="003715B2">
        <w:rPr>
          <w:rFonts w:ascii="Arial" w:hAnsi="Arial" w:cs="Arial"/>
          <w:color w:val="353838"/>
          <w:sz w:val="22"/>
          <w:szCs w:val="22"/>
        </w:rPr>
        <w:t xml:space="preserve">). </w:t>
      </w:r>
    </w:p>
    <w:p w14:paraId="2280BAE2" w14:textId="41B60B77" w:rsidR="00630C24" w:rsidRDefault="00EB4604" w:rsidP="00EB4604">
      <w:pPr>
        <w:pStyle w:val="StandardWeb"/>
        <w:spacing w:before="0" w:beforeAutospacing="0" w:after="0" w:afterAutospacing="0" w:line="360" w:lineRule="auto"/>
        <w:jc w:val="both"/>
        <w:rPr>
          <w:rFonts w:ascii="Arial" w:hAnsi="Arial" w:cs="Arial"/>
          <w:color w:val="353838"/>
          <w:sz w:val="22"/>
          <w:szCs w:val="22"/>
        </w:rPr>
        <w:sectPr w:rsidR="00630C24">
          <w:pgSz w:w="11906" w:h="16838"/>
          <w:pgMar w:top="1417" w:right="1417" w:bottom="1134" w:left="1417" w:header="708" w:footer="708" w:gutter="0"/>
          <w:cols w:space="708"/>
          <w:docGrid w:linePitch="360"/>
        </w:sectPr>
      </w:pPr>
      <w:r w:rsidRPr="003715B2">
        <w:rPr>
          <w:rFonts w:ascii="Arial" w:hAnsi="Arial" w:cs="Arial"/>
          <w:color w:val="353838"/>
          <w:sz w:val="22"/>
          <w:szCs w:val="22"/>
        </w:rPr>
        <w:t xml:space="preserve">We also evaluated the seven variants’ association with cross-sectional eGFRcys and BUN (n=364,819 and 358,791; </w:t>
      </w:r>
      <w:r w:rsidRPr="003715B2">
        <w:rPr>
          <w:rFonts w:ascii="Arial" w:hAnsi="Arial" w:cs="Arial"/>
          <w:b/>
          <w:color w:val="353838"/>
          <w:sz w:val="22"/>
          <w:szCs w:val="22"/>
        </w:rPr>
        <w:t>Table 2</w:t>
      </w:r>
      <w:r w:rsidRPr="003715B2">
        <w:rPr>
          <w:rFonts w:ascii="Arial" w:hAnsi="Arial" w:cs="Arial"/>
          <w:color w:val="353838"/>
          <w:sz w:val="22"/>
          <w:szCs w:val="22"/>
        </w:rPr>
        <w:t>)</w:t>
      </w:r>
      <w:r>
        <w:rPr>
          <w:rFonts w:ascii="Arial" w:hAnsi="Arial" w:cs="Arial"/>
          <w:color w:val="353838"/>
          <w:sz w:val="22"/>
          <w:szCs w:val="22"/>
        </w:rPr>
        <w:t xml:space="preserve">. </w:t>
      </w:r>
      <w:r w:rsidRPr="003715B2">
        <w:rPr>
          <w:rFonts w:ascii="Arial" w:hAnsi="Arial" w:cs="Arial"/>
          <w:color w:val="353838"/>
          <w:sz w:val="22"/>
          <w:szCs w:val="22"/>
        </w:rPr>
        <w:t xml:space="preserve">Five variants showed highly significant, direction-consistent associations for BUN and eGFRcys (i.e. BUN increase and eGFRcys decrease for the eGFRcrea-lowering allele; </w:t>
      </w:r>
      <w:r w:rsidRPr="003715B2">
        <w:rPr>
          <w:rFonts w:ascii="Arial" w:hAnsi="Arial" w:cs="Arial"/>
          <w:i/>
          <w:color w:val="353838"/>
          <w:sz w:val="22"/>
          <w:szCs w:val="22"/>
        </w:rPr>
        <w:t>UMOD</w:t>
      </w:r>
      <w:r w:rsidRPr="003715B2">
        <w:rPr>
          <w:rFonts w:ascii="Arial" w:hAnsi="Arial" w:cs="Arial"/>
          <w:color w:val="353838"/>
          <w:sz w:val="22"/>
          <w:szCs w:val="22"/>
        </w:rPr>
        <w:t>-</w:t>
      </w:r>
      <w:r w:rsidRPr="003715B2">
        <w:rPr>
          <w:rFonts w:ascii="Arial" w:hAnsi="Arial" w:cs="Arial"/>
          <w:i/>
          <w:color w:val="353838"/>
          <w:sz w:val="22"/>
          <w:szCs w:val="22"/>
        </w:rPr>
        <w:t xml:space="preserve">PDILT </w:t>
      </w:r>
      <w:r w:rsidRPr="003715B2">
        <w:rPr>
          <w:rFonts w:ascii="Arial" w:hAnsi="Arial" w:cs="Arial"/>
          <w:color w:val="353838"/>
          <w:sz w:val="22"/>
          <w:szCs w:val="22"/>
        </w:rPr>
        <w:t xml:space="preserve">(2), </w:t>
      </w:r>
      <w:r w:rsidRPr="003715B2">
        <w:rPr>
          <w:rFonts w:ascii="Arial" w:hAnsi="Arial" w:cs="Arial"/>
          <w:i/>
          <w:color w:val="353838"/>
          <w:sz w:val="22"/>
          <w:szCs w:val="22"/>
        </w:rPr>
        <w:t>WDR72</w:t>
      </w:r>
      <w:r w:rsidRPr="003715B2">
        <w:rPr>
          <w:rFonts w:ascii="Arial" w:hAnsi="Arial" w:cs="Arial"/>
          <w:color w:val="353838"/>
          <w:sz w:val="22"/>
          <w:szCs w:val="22"/>
        </w:rPr>
        <w:t xml:space="preserve">, </w:t>
      </w:r>
      <w:r w:rsidRPr="003715B2">
        <w:rPr>
          <w:rFonts w:ascii="Arial" w:hAnsi="Arial" w:cs="Arial"/>
          <w:i/>
          <w:color w:val="353838"/>
          <w:sz w:val="22"/>
          <w:szCs w:val="22"/>
        </w:rPr>
        <w:t>PRKAG2</w:t>
      </w:r>
      <w:r w:rsidRPr="003715B2">
        <w:rPr>
          <w:rFonts w:ascii="Arial" w:hAnsi="Arial" w:cs="Arial"/>
          <w:color w:val="353838"/>
          <w:sz w:val="22"/>
          <w:szCs w:val="22"/>
        </w:rPr>
        <w:t xml:space="preserve">, </w:t>
      </w:r>
      <w:r w:rsidRPr="003715B2">
        <w:rPr>
          <w:rFonts w:ascii="Arial" w:hAnsi="Arial" w:cs="Arial"/>
          <w:i/>
          <w:color w:val="353838"/>
          <w:sz w:val="22"/>
          <w:szCs w:val="22"/>
        </w:rPr>
        <w:t>LARP4B</w:t>
      </w:r>
      <w:r w:rsidRPr="003715B2">
        <w:rPr>
          <w:rFonts w:ascii="Arial" w:hAnsi="Arial" w:cs="Arial"/>
          <w:color w:val="353838"/>
          <w:sz w:val="22"/>
          <w:szCs w:val="22"/>
        </w:rPr>
        <w:t>; one-sided P-value=1.74x10</w:t>
      </w:r>
      <w:r w:rsidRPr="003715B2">
        <w:rPr>
          <w:rFonts w:ascii="Arial" w:hAnsi="Arial" w:cs="Arial"/>
          <w:color w:val="353838"/>
          <w:sz w:val="22"/>
          <w:szCs w:val="22"/>
          <w:vertAlign w:val="superscript"/>
        </w:rPr>
        <w:t>-108</w:t>
      </w:r>
      <w:r w:rsidRPr="003715B2">
        <w:rPr>
          <w:rFonts w:ascii="Arial" w:hAnsi="Arial" w:cs="Arial"/>
          <w:color w:val="353838"/>
          <w:sz w:val="22"/>
          <w:szCs w:val="22"/>
        </w:rPr>
        <w:t xml:space="preserve"> to 1.59x10</w:t>
      </w:r>
      <w:r w:rsidRPr="003715B2">
        <w:rPr>
          <w:rFonts w:ascii="Arial" w:hAnsi="Arial" w:cs="Arial"/>
          <w:color w:val="353838"/>
          <w:sz w:val="22"/>
          <w:szCs w:val="22"/>
          <w:vertAlign w:val="superscript"/>
        </w:rPr>
        <w:t>-9</w:t>
      </w:r>
      <w:r w:rsidRPr="003715B2">
        <w:rPr>
          <w:rFonts w:ascii="Arial" w:hAnsi="Arial" w:cs="Arial"/>
          <w:color w:val="353838"/>
          <w:sz w:val="22"/>
          <w:szCs w:val="22"/>
        </w:rPr>
        <w:t>). This extended previous results for BUN in CKDGen</w:t>
      </w:r>
      <w:r w:rsidR="00037720" w:rsidRPr="00037720">
        <w:rPr>
          <w:rFonts w:ascii="Arial" w:hAnsi="Arial" w:cs="Arial"/>
          <w:color w:val="353838"/>
          <w:sz w:val="22"/>
          <w:szCs w:val="22"/>
          <w:vertAlign w:val="superscript"/>
        </w:rPr>
        <w:t>17</w:t>
      </w:r>
      <w:r w:rsidRPr="003715B2">
        <w:rPr>
          <w:rFonts w:ascii="Arial" w:hAnsi="Arial" w:cs="Arial"/>
          <w:color w:val="353838"/>
          <w:sz w:val="22"/>
          <w:szCs w:val="22"/>
        </w:rPr>
        <w:t xml:space="preserve"> (n=416,076) not only by replication in independent data, but also by confirmation with eGFRcys. Two variants did not show any association for cross-sectional eGFRcys or BUN (</w:t>
      </w:r>
      <w:r w:rsidRPr="003715B2">
        <w:rPr>
          <w:rFonts w:ascii="Arial" w:hAnsi="Arial" w:cs="Arial"/>
          <w:i/>
          <w:color w:val="353838"/>
          <w:sz w:val="22"/>
          <w:szCs w:val="22"/>
        </w:rPr>
        <w:t>OR2S2</w:t>
      </w:r>
      <w:r w:rsidRPr="003715B2">
        <w:rPr>
          <w:rFonts w:ascii="Arial" w:hAnsi="Arial" w:cs="Arial"/>
          <w:color w:val="353838"/>
          <w:sz w:val="22"/>
          <w:szCs w:val="22"/>
        </w:rPr>
        <w:t xml:space="preserve"> and </w:t>
      </w:r>
      <w:r w:rsidRPr="003715B2">
        <w:rPr>
          <w:rFonts w:ascii="Arial" w:hAnsi="Arial" w:cs="Arial"/>
          <w:i/>
          <w:color w:val="353838"/>
          <w:sz w:val="22"/>
          <w:szCs w:val="22"/>
        </w:rPr>
        <w:t xml:space="preserve">GATM </w:t>
      </w:r>
      <w:r w:rsidRPr="003715B2">
        <w:rPr>
          <w:rFonts w:ascii="Arial" w:hAnsi="Arial" w:cs="Arial"/>
          <w:color w:val="353838"/>
          <w:sz w:val="22"/>
          <w:szCs w:val="22"/>
        </w:rPr>
        <w:t>loci, one-sided P-value=0.70 to 0.95).</w:t>
      </w:r>
    </w:p>
    <w:p w14:paraId="4ABD44DD" w14:textId="1A3EC821" w:rsidR="00630C24" w:rsidRDefault="00630C24" w:rsidP="00630C24">
      <w:pPr>
        <w:spacing w:after="0" w:line="360" w:lineRule="auto"/>
        <w:jc w:val="both"/>
        <w:rPr>
          <w:rFonts w:ascii="Arial" w:eastAsia="Times New Roman" w:hAnsi="Arial" w:cs="Arial"/>
          <w:b/>
          <w:bCs/>
          <w:color w:val="000000"/>
          <w:lang w:val="en-US"/>
        </w:rPr>
      </w:pPr>
      <w:r>
        <w:rPr>
          <w:rFonts w:ascii="Arial" w:eastAsia="Times New Roman" w:hAnsi="Arial" w:cs="Arial"/>
          <w:b/>
          <w:bCs/>
          <w:color w:val="000000"/>
          <w:lang w:val="en-US"/>
        </w:rPr>
        <w:lastRenderedPageBreak/>
        <w:t>Supplementary References</w:t>
      </w:r>
    </w:p>
    <w:p w14:paraId="7590558E" w14:textId="77777777" w:rsidR="00AC2DDE" w:rsidRDefault="00AC2DDE" w:rsidP="00630C24">
      <w:pPr>
        <w:spacing w:after="0" w:line="360" w:lineRule="auto"/>
        <w:jc w:val="both"/>
        <w:rPr>
          <w:rFonts w:ascii="Arial" w:eastAsia="Times New Roman" w:hAnsi="Arial" w:cs="Arial"/>
          <w:b/>
          <w:bCs/>
          <w:color w:val="000000"/>
          <w:lang w:val="en-US"/>
        </w:rPr>
      </w:pPr>
    </w:p>
    <w:p w14:paraId="49546FEC" w14:textId="356FD6B2"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sidRPr="00AC2DDE">
        <w:rPr>
          <w:rFonts w:ascii="Arial" w:eastAsia="Times New Roman" w:hAnsi="Arial" w:cs="Arial"/>
          <w:bCs/>
          <w:color w:val="000000"/>
          <w:lang w:val="en-US"/>
        </w:rPr>
        <w:t>S</w:t>
      </w:r>
      <w:r w:rsidR="00001E16">
        <w:rPr>
          <w:rFonts w:ascii="Arial" w:eastAsia="Times New Roman" w:hAnsi="Arial" w:cs="Arial"/>
          <w:b/>
          <w:bCs/>
          <w:color w:val="000000"/>
          <w:lang w:val="en-US"/>
        </w:rPr>
        <w:fldChar w:fldCharType="begin" w:fldLock="1"/>
      </w:r>
      <w:r w:rsidR="00001E16">
        <w:rPr>
          <w:rFonts w:ascii="Arial" w:eastAsia="Times New Roman" w:hAnsi="Arial" w:cs="Arial"/>
          <w:b/>
          <w:bCs/>
          <w:color w:val="000000"/>
          <w:lang w:val="en-US"/>
        </w:rPr>
        <w:instrText xml:space="preserve">ADDIN Mendeley Bibliography CSL_BIBLIOGRAPHY </w:instrText>
      </w:r>
      <w:r w:rsidR="00001E16">
        <w:rPr>
          <w:rFonts w:ascii="Arial" w:eastAsia="Times New Roman" w:hAnsi="Arial" w:cs="Arial"/>
          <w:b/>
          <w:bCs/>
          <w:color w:val="000000"/>
          <w:lang w:val="en-US"/>
        </w:rPr>
        <w:fldChar w:fldCharType="separate"/>
      </w:r>
      <w:r w:rsidR="00001E16" w:rsidRPr="00AC2DDE">
        <w:rPr>
          <w:rFonts w:ascii="Arial" w:hAnsi="Arial" w:cs="Arial"/>
          <w:noProof/>
          <w:szCs w:val="24"/>
          <w:lang w:val="en-US"/>
        </w:rPr>
        <w:t xml:space="preserve">1. </w:t>
      </w:r>
      <w:r w:rsidR="00001E16" w:rsidRPr="00AC2DDE">
        <w:rPr>
          <w:rFonts w:ascii="Arial" w:hAnsi="Arial" w:cs="Arial"/>
          <w:noProof/>
          <w:szCs w:val="24"/>
          <w:lang w:val="en-US"/>
        </w:rPr>
        <w:tab/>
        <w:t xml:space="preserve">Machiela MJ, Chanock SJ. LDlink: A web-based application for exploring population-specific haplotype structure and linking correlated alleles of possible functional variants. </w:t>
      </w:r>
      <w:r w:rsidR="00001E16" w:rsidRPr="00661974">
        <w:rPr>
          <w:rFonts w:ascii="Arial" w:hAnsi="Arial" w:cs="Arial"/>
          <w:i/>
          <w:iCs/>
          <w:noProof/>
          <w:szCs w:val="24"/>
          <w:lang w:val="en-US"/>
        </w:rPr>
        <w:t>Bioinformatics</w:t>
      </w:r>
      <w:r w:rsidR="00001E16" w:rsidRPr="00661974">
        <w:rPr>
          <w:rFonts w:ascii="Arial" w:hAnsi="Arial" w:cs="Arial"/>
          <w:noProof/>
          <w:szCs w:val="24"/>
          <w:lang w:val="en-US"/>
        </w:rPr>
        <w:t>. 2015. doi:10.1093/bioinformatics/btv402</w:t>
      </w:r>
    </w:p>
    <w:p w14:paraId="4756930A" w14:textId="35A45F6B"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sidRPr="00661974">
        <w:rPr>
          <w:rFonts w:ascii="Arial" w:hAnsi="Arial" w:cs="Arial"/>
          <w:noProof/>
          <w:szCs w:val="24"/>
          <w:lang w:val="en-US"/>
        </w:rPr>
        <w:t>S</w:t>
      </w:r>
      <w:r w:rsidR="00001E16" w:rsidRPr="00661974">
        <w:rPr>
          <w:rFonts w:ascii="Arial" w:hAnsi="Arial" w:cs="Arial"/>
          <w:noProof/>
          <w:szCs w:val="24"/>
          <w:lang w:val="en-US"/>
        </w:rPr>
        <w:t xml:space="preserve">2. </w:t>
      </w:r>
      <w:r w:rsidR="00001E16" w:rsidRPr="00661974">
        <w:rPr>
          <w:rFonts w:ascii="Arial" w:hAnsi="Arial" w:cs="Arial"/>
          <w:noProof/>
          <w:szCs w:val="24"/>
          <w:lang w:val="en-US"/>
        </w:rPr>
        <w:tab/>
        <w:t xml:space="preserve">Genovese G, Friedman DJ, Ross MD, et al. Association of trypanolytic ApoL1 variants with kidney disease in African Americans. </w:t>
      </w:r>
      <w:r w:rsidR="00001E16" w:rsidRPr="00661974">
        <w:rPr>
          <w:rFonts w:ascii="Arial" w:hAnsi="Arial" w:cs="Arial"/>
          <w:i/>
          <w:iCs/>
          <w:noProof/>
          <w:szCs w:val="24"/>
          <w:lang w:val="en-US"/>
        </w:rPr>
        <w:t>Science (80- )</w:t>
      </w:r>
      <w:r w:rsidR="00001E16" w:rsidRPr="00661974">
        <w:rPr>
          <w:rFonts w:ascii="Arial" w:hAnsi="Arial" w:cs="Arial"/>
          <w:noProof/>
          <w:szCs w:val="24"/>
          <w:lang w:val="en-US"/>
        </w:rPr>
        <w:t>. 2010. doi:10.1126/science.1193032</w:t>
      </w:r>
    </w:p>
    <w:p w14:paraId="5F53CC75" w14:textId="1EA95B73"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sidRPr="00661974">
        <w:rPr>
          <w:rFonts w:ascii="Arial" w:hAnsi="Arial" w:cs="Arial"/>
          <w:noProof/>
          <w:szCs w:val="24"/>
          <w:lang w:val="en-US"/>
        </w:rPr>
        <w:t>S</w:t>
      </w:r>
      <w:r w:rsidR="00001E16" w:rsidRPr="00661974">
        <w:rPr>
          <w:rFonts w:ascii="Arial" w:hAnsi="Arial" w:cs="Arial"/>
          <w:noProof/>
          <w:szCs w:val="24"/>
          <w:lang w:val="en-US"/>
        </w:rPr>
        <w:t xml:space="preserve">3. </w:t>
      </w:r>
      <w:r w:rsidR="00001E16" w:rsidRPr="00661974">
        <w:rPr>
          <w:rFonts w:ascii="Arial" w:hAnsi="Arial" w:cs="Arial"/>
          <w:noProof/>
          <w:szCs w:val="24"/>
          <w:lang w:val="en-US"/>
        </w:rPr>
        <w:tab/>
        <w:t xml:space="preserve">Pattaro C, Riegler P, Stifter G, Modenese M, Minelli C, Pramstaller PP. Estimating the glomerular filtration rate in the general population using different equations: Effects on classification and association. </w:t>
      </w:r>
      <w:r w:rsidR="00001E16" w:rsidRPr="00661974">
        <w:rPr>
          <w:rFonts w:ascii="Arial" w:hAnsi="Arial" w:cs="Arial"/>
          <w:i/>
          <w:iCs/>
          <w:noProof/>
          <w:szCs w:val="24"/>
          <w:lang w:val="en-US"/>
        </w:rPr>
        <w:t>Nephron - Clin Pract</w:t>
      </w:r>
      <w:r w:rsidR="00001E16" w:rsidRPr="00661974">
        <w:rPr>
          <w:rFonts w:ascii="Arial" w:hAnsi="Arial" w:cs="Arial"/>
          <w:noProof/>
          <w:szCs w:val="24"/>
          <w:lang w:val="en-US"/>
        </w:rPr>
        <w:t>. 2013. doi:10.1159000351043</w:t>
      </w:r>
    </w:p>
    <w:p w14:paraId="2CD79EF0" w14:textId="1DDC8BDA" w:rsidR="00001E16" w:rsidRPr="00001E16" w:rsidRDefault="00AC2DDE" w:rsidP="00001E16">
      <w:pPr>
        <w:widowControl w:val="0"/>
        <w:autoSpaceDE w:val="0"/>
        <w:autoSpaceDN w:val="0"/>
        <w:adjustRightInd w:val="0"/>
        <w:spacing w:after="0" w:line="360" w:lineRule="auto"/>
        <w:ind w:left="640" w:hanging="640"/>
        <w:rPr>
          <w:rFonts w:ascii="Arial" w:hAnsi="Arial" w:cs="Arial"/>
          <w:noProof/>
          <w:szCs w:val="24"/>
        </w:rPr>
      </w:pPr>
      <w:r w:rsidRPr="00661974">
        <w:rPr>
          <w:rFonts w:ascii="Arial" w:hAnsi="Arial" w:cs="Arial"/>
          <w:noProof/>
          <w:szCs w:val="24"/>
          <w:lang w:val="en-US"/>
        </w:rPr>
        <w:t>S</w:t>
      </w:r>
      <w:r w:rsidR="00001E16" w:rsidRPr="00661974">
        <w:rPr>
          <w:rFonts w:ascii="Arial" w:hAnsi="Arial" w:cs="Arial"/>
          <w:noProof/>
          <w:szCs w:val="24"/>
          <w:lang w:val="en-US"/>
        </w:rPr>
        <w:t xml:space="preserve">4. </w:t>
      </w:r>
      <w:r w:rsidR="00001E16" w:rsidRPr="00661974">
        <w:rPr>
          <w:rFonts w:ascii="Arial" w:hAnsi="Arial" w:cs="Arial"/>
          <w:noProof/>
          <w:szCs w:val="24"/>
          <w:lang w:val="en-US"/>
        </w:rPr>
        <w:tab/>
        <w:t xml:space="preserve">Howie BN, Donnelly P, Marchini J. A flexible and accurate genotype imputation method for the next generation of genome-wide association studies. </w:t>
      </w:r>
      <w:r w:rsidR="00001E16" w:rsidRPr="00001E16">
        <w:rPr>
          <w:rFonts w:ascii="Arial" w:hAnsi="Arial" w:cs="Arial"/>
          <w:i/>
          <w:iCs/>
          <w:noProof/>
          <w:szCs w:val="24"/>
        </w:rPr>
        <w:t>PLoS Genet</w:t>
      </w:r>
      <w:r w:rsidR="00001E16" w:rsidRPr="00001E16">
        <w:rPr>
          <w:rFonts w:ascii="Arial" w:hAnsi="Arial" w:cs="Arial"/>
          <w:noProof/>
          <w:szCs w:val="24"/>
        </w:rPr>
        <w:t>. 2009. doi:10.1371/journal.pgen.1000529</w:t>
      </w:r>
    </w:p>
    <w:p w14:paraId="66F92F62" w14:textId="2BFFB5FB"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Pr>
          <w:rFonts w:ascii="Arial" w:hAnsi="Arial" w:cs="Arial"/>
          <w:noProof/>
          <w:szCs w:val="24"/>
        </w:rPr>
        <w:t>S</w:t>
      </w:r>
      <w:r w:rsidR="00001E16" w:rsidRPr="00001E16">
        <w:rPr>
          <w:rFonts w:ascii="Arial" w:hAnsi="Arial" w:cs="Arial"/>
          <w:noProof/>
          <w:szCs w:val="24"/>
        </w:rPr>
        <w:t xml:space="preserve">5. </w:t>
      </w:r>
      <w:r w:rsidR="00001E16" w:rsidRPr="00001E16">
        <w:rPr>
          <w:rFonts w:ascii="Arial" w:hAnsi="Arial" w:cs="Arial"/>
          <w:noProof/>
          <w:szCs w:val="24"/>
        </w:rPr>
        <w:tab/>
        <w:t xml:space="preserve">Fuchsberger C, Abecasis GR, Hinds DA. </w:t>
      </w:r>
      <w:r w:rsidR="00001E16" w:rsidRPr="00661974">
        <w:rPr>
          <w:rFonts w:ascii="Arial" w:hAnsi="Arial" w:cs="Arial"/>
          <w:noProof/>
          <w:szCs w:val="24"/>
          <w:lang w:val="en-US"/>
        </w:rPr>
        <w:t xml:space="preserve">Minimac2: Faster genotype imputation. </w:t>
      </w:r>
      <w:r w:rsidR="00001E16" w:rsidRPr="00661974">
        <w:rPr>
          <w:rFonts w:ascii="Arial" w:hAnsi="Arial" w:cs="Arial"/>
          <w:i/>
          <w:iCs/>
          <w:noProof/>
          <w:szCs w:val="24"/>
          <w:lang w:val="en-US"/>
        </w:rPr>
        <w:t>Bioinformatics</w:t>
      </w:r>
      <w:r w:rsidR="00001E16" w:rsidRPr="00661974">
        <w:rPr>
          <w:rFonts w:ascii="Arial" w:hAnsi="Arial" w:cs="Arial"/>
          <w:noProof/>
          <w:szCs w:val="24"/>
          <w:lang w:val="en-US"/>
        </w:rPr>
        <w:t>. 2015. doi:10.1093/bioinformatics/btu704</w:t>
      </w:r>
    </w:p>
    <w:p w14:paraId="009BA669" w14:textId="14D05800"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sidRPr="00661974">
        <w:rPr>
          <w:rFonts w:ascii="Arial" w:hAnsi="Arial" w:cs="Arial"/>
          <w:noProof/>
          <w:szCs w:val="24"/>
          <w:lang w:val="en-US"/>
        </w:rPr>
        <w:t>S</w:t>
      </w:r>
      <w:r w:rsidR="00001E16" w:rsidRPr="00661974">
        <w:rPr>
          <w:rFonts w:ascii="Arial" w:hAnsi="Arial" w:cs="Arial"/>
          <w:noProof/>
          <w:szCs w:val="24"/>
          <w:lang w:val="en-US"/>
        </w:rPr>
        <w:t xml:space="preserve">6. </w:t>
      </w:r>
      <w:r w:rsidR="00001E16" w:rsidRPr="00661974">
        <w:rPr>
          <w:rFonts w:ascii="Arial" w:hAnsi="Arial" w:cs="Arial"/>
          <w:noProof/>
          <w:szCs w:val="24"/>
          <w:lang w:val="en-US"/>
        </w:rPr>
        <w:tab/>
        <w:t xml:space="preserve">Fuchsberger C, Taliun D, Pramstaller PP, Pattaro C. GWAtoolbox: An R package for fast quality control and handling of genome-wide association studies meta-analysis data. </w:t>
      </w:r>
      <w:r w:rsidR="00001E16" w:rsidRPr="00661974">
        <w:rPr>
          <w:rFonts w:ascii="Arial" w:hAnsi="Arial" w:cs="Arial"/>
          <w:i/>
          <w:iCs/>
          <w:noProof/>
          <w:szCs w:val="24"/>
          <w:lang w:val="en-US"/>
        </w:rPr>
        <w:t>Bioinformatics</w:t>
      </w:r>
      <w:r w:rsidR="00001E16" w:rsidRPr="00661974">
        <w:rPr>
          <w:rFonts w:ascii="Arial" w:hAnsi="Arial" w:cs="Arial"/>
          <w:noProof/>
          <w:szCs w:val="24"/>
          <w:lang w:val="en-US"/>
        </w:rPr>
        <w:t>. 2012. doi:10.1093/bioinformatics/btr679</w:t>
      </w:r>
    </w:p>
    <w:p w14:paraId="6E4BBB85" w14:textId="7AA2738C"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sidRPr="00661974">
        <w:rPr>
          <w:rFonts w:ascii="Arial" w:hAnsi="Arial" w:cs="Arial"/>
          <w:noProof/>
          <w:szCs w:val="24"/>
          <w:lang w:val="en-US"/>
        </w:rPr>
        <w:t>S</w:t>
      </w:r>
      <w:r w:rsidR="00001E16" w:rsidRPr="00661974">
        <w:rPr>
          <w:rFonts w:ascii="Arial" w:hAnsi="Arial" w:cs="Arial"/>
          <w:noProof/>
          <w:szCs w:val="24"/>
          <w:lang w:val="en-US"/>
        </w:rPr>
        <w:t xml:space="preserve">7. </w:t>
      </w:r>
      <w:r w:rsidR="00001E16" w:rsidRPr="00661974">
        <w:rPr>
          <w:rFonts w:ascii="Arial" w:hAnsi="Arial" w:cs="Arial"/>
          <w:noProof/>
          <w:szCs w:val="24"/>
          <w:lang w:val="en-US"/>
        </w:rPr>
        <w:tab/>
        <w:t xml:space="preserve">Willer CJ, Li Y, Abecasis GR. METAL: Fast and efficient meta-analysis of genomewide association scans. </w:t>
      </w:r>
      <w:r w:rsidR="00001E16" w:rsidRPr="00661974">
        <w:rPr>
          <w:rFonts w:ascii="Arial" w:hAnsi="Arial" w:cs="Arial"/>
          <w:i/>
          <w:iCs/>
          <w:noProof/>
          <w:szCs w:val="24"/>
          <w:lang w:val="en-US"/>
        </w:rPr>
        <w:t>Bioinformatics</w:t>
      </w:r>
      <w:r w:rsidR="00001E16" w:rsidRPr="00661974">
        <w:rPr>
          <w:rFonts w:ascii="Arial" w:hAnsi="Arial" w:cs="Arial"/>
          <w:noProof/>
          <w:szCs w:val="24"/>
          <w:lang w:val="en-US"/>
        </w:rPr>
        <w:t>. 2010. doi:10.1093/bioinformatics/btq340</w:t>
      </w:r>
    </w:p>
    <w:p w14:paraId="6A65D20E" w14:textId="183B377E"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sidRPr="00661974">
        <w:rPr>
          <w:rFonts w:ascii="Arial" w:hAnsi="Arial" w:cs="Arial"/>
          <w:noProof/>
          <w:szCs w:val="24"/>
          <w:lang w:val="en-US"/>
        </w:rPr>
        <w:t>S</w:t>
      </w:r>
      <w:r w:rsidR="00001E16" w:rsidRPr="00661974">
        <w:rPr>
          <w:rFonts w:ascii="Arial" w:hAnsi="Arial" w:cs="Arial"/>
          <w:noProof/>
          <w:szCs w:val="24"/>
          <w:lang w:val="en-US"/>
        </w:rPr>
        <w:t xml:space="preserve">8. </w:t>
      </w:r>
      <w:r w:rsidR="00001E16" w:rsidRPr="00661974">
        <w:rPr>
          <w:rFonts w:ascii="Arial" w:hAnsi="Arial" w:cs="Arial"/>
          <w:noProof/>
          <w:szCs w:val="24"/>
          <w:lang w:val="en-US"/>
        </w:rPr>
        <w:tab/>
        <w:t xml:space="preserve">Yang J, Ferreira T, Morris AP, et al. Conditional and joint multiple-SNP analysis of GWAS summary statistics identifies additional variants influencing complex traits. </w:t>
      </w:r>
      <w:r w:rsidR="00001E16" w:rsidRPr="00661974">
        <w:rPr>
          <w:rFonts w:ascii="Arial" w:hAnsi="Arial" w:cs="Arial"/>
          <w:i/>
          <w:iCs/>
          <w:noProof/>
          <w:szCs w:val="24"/>
          <w:lang w:val="en-US"/>
        </w:rPr>
        <w:t>Nat Genet</w:t>
      </w:r>
      <w:r w:rsidR="00001E16" w:rsidRPr="00661974">
        <w:rPr>
          <w:rFonts w:ascii="Arial" w:hAnsi="Arial" w:cs="Arial"/>
          <w:noProof/>
          <w:szCs w:val="24"/>
          <w:lang w:val="en-US"/>
        </w:rPr>
        <w:t>. 2012. doi:10.1038/ng.2213</w:t>
      </w:r>
    </w:p>
    <w:p w14:paraId="5F384850" w14:textId="7404D692" w:rsidR="00001E16" w:rsidRPr="00661974" w:rsidRDefault="00AC2DDE" w:rsidP="00001E16">
      <w:pPr>
        <w:widowControl w:val="0"/>
        <w:autoSpaceDE w:val="0"/>
        <w:autoSpaceDN w:val="0"/>
        <w:adjustRightInd w:val="0"/>
        <w:spacing w:after="0" w:line="360" w:lineRule="auto"/>
        <w:ind w:left="640" w:hanging="640"/>
        <w:rPr>
          <w:rFonts w:ascii="Arial" w:hAnsi="Arial" w:cs="Arial"/>
          <w:noProof/>
          <w:szCs w:val="24"/>
          <w:lang w:val="en-US"/>
        </w:rPr>
      </w:pPr>
      <w:r w:rsidRPr="00661974">
        <w:rPr>
          <w:rFonts w:ascii="Arial" w:hAnsi="Arial" w:cs="Arial"/>
          <w:noProof/>
          <w:szCs w:val="24"/>
          <w:lang w:val="en-US"/>
        </w:rPr>
        <w:t>S</w:t>
      </w:r>
      <w:r w:rsidR="00001E16" w:rsidRPr="00661974">
        <w:rPr>
          <w:rFonts w:ascii="Arial" w:hAnsi="Arial" w:cs="Arial"/>
          <w:noProof/>
          <w:szCs w:val="24"/>
          <w:lang w:val="en-US"/>
        </w:rPr>
        <w:t xml:space="preserve">9. </w:t>
      </w:r>
      <w:r w:rsidR="00001E16" w:rsidRPr="00661974">
        <w:rPr>
          <w:rFonts w:ascii="Arial" w:hAnsi="Arial" w:cs="Arial"/>
          <w:noProof/>
          <w:szCs w:val="24"/>
          <w:lang w:val="en-US"/>
        </w:rPr>
        <w:tab/>
        <w:t xml:space="preserve">Pruim RJ, Welch RP, Sanna S, et al. LocusZoom: Regional visualization of genome-wide association scan results. In: </w:t>
      </w:r>
      <w:r w:rsidR="00001E16" w:rsidRPr="00661974">
        <w:rPr>
          <w:rFonts w:ascii="Arial" w:hAnsi="Arial" w:cs="Arial"/>
          <w:i/>
          <w:iCs/>
          <w:noProof/>
          <w:szCs w:val="24"/>
          <w:lang w:val="en-US"/>
        </w:rPr>
        <w:t>Bioinformatics</w:t>
      </w:r>
      <w:r w:rsidR="00001E16" w:rsidRPr="00661974">
        <w:rPr>
          <w:rFonts w:ascii="Arial" w:hAnsi="Arial" w:cs="Arial"/>
          <w:noProof/>
          <w:szCs w:val="24"/>
          <w:lang w:val="en-US"/>
        </w:rPr>
        <w:t>. ; 2011. doi:10.1093/bioinformatics/btq419</w:t>
      </w:r>
    </w:p>
    <w:p w14:paraId="0D3B0E1E" w14:textId="5A29A09A" w:rsidR="00001E16" w:rsidRPr="00001E16" w:rsidRDefault="00AC2DDE" w:rsidP="00001E16">
      <w:pPr>
        <w:widowControl w:val="0"/>
        <w:autoSpaceDE w:val="0"/>
        <w:autoSpaceDN w:val="0"/>
        <w:adjustRightInd w:val="0"/>
        <w:spacing w:after="0" w:line="360" w:lineRule="auto"/>
        <w:ind w:left="640" w:hanging="640"/>
        <w:rPr>
          <w:rFonts w:ascii="Arial" w:hAnsi="Arial" w:cs="Arial"/>
          <w:noProof/>
          <w:szCs w:val="24"/>
        </w:rPr>
      </w:pPr>
      <w:r w:rsidRPr="00661974">
        <w:rPr>
          <w:rFonts w:ascii="Arial" w:hAnsi="Arial" w:cs="Arial"/>
          <w:noProof/>
          <w:szCs w:val="24"/>
          <w:lang w:val="en-US"/>
        </w:rPr>
        <w:t>S</w:t>
      </w:r>
      <w:r w:rsidR="00001E16" w:rsidRPr="00661974">
        <w:rPr>
          <w:rFonts w:ascii="Arial" w:hAnsi="Arial" w:cs="Arial"/>
          <w:noProof/>
          <w:szCs w:val="24"/>
          <w:lang w:val="en-US"/>
        </w:rPr>
        <w:t xml:space="preserve">10. </w:t>
      </w:r>
      <w:r w:rsidR="00001E16" w:rsidRPr="00661974">
        <w:rPr>
          <w:rFonts w:ascii="Arial" w:hAnsi="Arial" w:cs="Arial"/>
          <w:noProof/>
          <w:szCs w:val="24"/>
          <w:lang w:val="en-US"/>
        </w:rPr>
        <w:tab/>
        <w:t xml:space="preserve">Kichaev G, Yang WY, Lindstrom S, et al. Integrating Functional Data to Prioritize Causal Variants in Statistical Fine-Mapping Studies. </w:t>
      </w:r>
      <w:r w:rsidR="00001E16" w:rsidRPr="00001E16">
        <w:rPr>
          <w:rFonts w:ascii="Arial" w:hAnsi="Arial" w:cs="Arial"/>
          <w:i/>
          <w:iCs/>
          <w:noProof/>
          <w:szCs w:val="24"/>
        </w:rPr>
        <w:t>PLoS Genet</w:t>
      </w:r>
      <w:r w:rsidR="00001E16" w:rsidRPr="00001E16">
        <w:rPr>
          <w:rFonts w:ascii="Arial" w:hAnsi="Arial" w:cs="Arial"/>
          <w:noProof/>
          <w:szCs w:val="24"/>
        </w:rPr>
        <w:t>. 2014. doi:10.1371/journal.pgen.1004722</w:t>
      </w:r>
    </w:p>
    <w:p w14:paraId="2D993B57" w14:textId="2769D813" w:rsidR="00001E16" w:rsidRPr="00661974" w:rsidRDefault="00AC2DDE" w:rsidP="00001E16">
      <w:pPr>
        <w:widowControl w:val="0"/>
        <w:autoSpaceDE w:val="0"/>
        <w:autoSpaceDN w:val="0"/>
        <w:adjustRightInd w:val="0"/>
        <w:spacing w:after="0" w:line="360" w:lineRule="auto"/>
        <w:ind w:left="640" w:hanging="640"/>
        <w:rPr>
          <w:rFonts w:ascii="Arial" w:hAnsi="Arial" w:cs="Arial"/>
          <w:noProof/>
          <w:lang w:val="en-US"/>
        </w:rPr>
      </w:pPr>
      <w:r>
        <w:rPr>
          <w:rFonts w:ascii="Arial" w:hAnsi="Arial" w:cs="Arial"/>
          <w:noProof/>
          <w:szCs w:val="24"/>
        </w:rPr>
        <w:t>S</w:t>
      </w:r>
      <w:r w:rsidR="00001E16" w:rsidRPr="00001E16">
        <w:rPr>
          <w:rFonts w:ascii="Arial" w:hAnsi="Arial" w:cs="Arial"/>
          <w:noProof/>
          <w:szCs w:val="24"/>
        </w:rPr>
        <w:t xml:space="preserve">11. </w:t>
      </w:r>
      <w:r w:rsidR="00001E16" w:rsidRPr="00001E16">
        <w:rPr>
          <w:rFonts w:ascii="Arial" w:hAnsi="Arial" w:cs="Arial"/>
          <w:noProof/>
          <w:szCs w:val="24"/>
        </w:rPr>
        <w:tab/>
        <w:t xml:space="preserve">Grassmann F, Heid IM, Weber BHF, et al. </w:t>
      </w:r>
      <w:r w:rsidR="00001E16" w:rsidRPr="00661974">
        <w:rPr>
          <w:rFonts w:ascii="Arial" w:hAnsi="Arial" w:cs="Arial"/>
          <w:noProof/>
          <w:szCs w:val="24"/>
          <w:lang w:val="en-US"/>
        </w:rPr>
        <w:t xml:space="preserve">Recombinant haplotypes narrow the ARMS2/HTRA1 association signal for age-related macular degeneration. </w:t>
      </w:r>
      <w:r w:rsidR="00001E16" w:rsidRPr="00661974">
        <w:rPr>
          <w:rFonts w:ascii="Arial" w:hAnsi="Arial" w:cs="Arial"/>
          <w:i/>
          <w:iCs/>
          <w:noProof/>
          <w:szCs w:val="24"/>
          <w:lang w:val="en-US"/>
        </w:rPr>
        <w:t>Genetics</w:t>
      </w:r>
      <w:r w:rsidR="00001E16" w:rsidRPr="00661974">
        <w:rPr>
          <w:rFonts w:ascii="Arial" w:hAnsi="Arial" w:cs="Arial"/>
          <w:noProof/>
          <w:szCs w:val="24"/>
          <w:lang w:val="en-US"/>
        </w:rPr>
        <w:t>. 2017. doi:10.1534/genetics.116.195966</w:t>
      </w:r>
    </w:p>
    <w:p w14:paraId="4A0A2189" w14:textId="206AB2F2" w:rsidR="00001E16" w:rsidRDefault="00001E16" w:rsidP="00001E16">
      <w:pPr>
        <w:spacing w:after="0" w:line="360" w:lineRule="auto"/>
        <w:jc w:val="both"/>
        <w:rPr>
          <w:rFonts w:ascii="Arial" w:eastAsia="Times New Roman" w:hAnsi="Arial" w:cs="Arial"/>
          <w:b/>
          <w:bCs/>
          <w:color w:val="000000"/>
          <w:sz w:val="20"/>
          <w:szCs w:val="20"/>
          <w:lang w:val="en-US"/>
        </w:rPr>
      </w:pPr>
      <w:r>
        <w:rPr>
          <w:rFonts w:ascii="Arial" w:eastAsia="Times New Roman" w:hAnsi="Arial" w:cs="Arial"/>
          <w:b/>
          <w:bCs/>
          <w:color w:val="000000"/>
          <w:lang w:val="en-US"/>
        </w:rPr>
        <w:fldChar w:fldCharType="end"/>
      </w:r>
    </w:p>
    <w:p w14:paraId="152D0BEF" w14:textId="77777777" w:rsidR="00001E16" w:rsidRDefault="00001E16">
      <w:pPr>
        <w:rPr>
          <w:rFonts w:ascii="Arial" w:eastAsia="Times New Roman" w:hAnsi="Arial" w:cs="Arial"/>
          <w:b/>
          <w:bCs/>
          <w:color w:val="000000"/>
          <w:sz w:val="20"/>
          <w:szCs w:val="20"/>
          <w:lang w:val="en-US"/>
        </w:rPr>
        <w:sectPr w:rsidR="00001E16">
          <w:pgSz w:w="11906" w:h="16838"/>
          <w:pgMar w:top="1417" w:right="1417" w:bottom="1134" w:left="1417" w:header="708" w:footer="708" w:gutter="0"/>
          <w:cols w:space="708"/>
          <w:docGrid w:linePitch="360"/>
        </w:sectPr>
      </w:pPr>
    </w:p>
    <w:p w14:paraId="3678A46F" w14:textId="6F27197F" w:rsidR="00D97510" w:rsidRDefault="00D97510">
      <w:pPr>
        <w:rPr>
          <w:rFonts w:ascii="Arial" w:eastAsia="Times New Roman" w:hAnsi="Arial" w:cs="Arial"/>
          <w:b/>
          <w:bCs/>
          <w:color w:val="000000"/>
          <w:sz w:val="20"/>
          <w:szCs w:val="20"/>
          <w:lang w:val="en-US"/>
        </w:rPr>
      </w:pPr>
    </w:p>
    <w:p w14:paraId="75A61003" w14:textId="4106A1C4" w:rsidR="008D6DF4" w:rsidRDefault="007C1EBA">
      <w:pP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Extended acknowledgements and study funding information</w:t>
      </w:r>
    </w:p>
    <w:p w14:paraId="7EC128EA" w14:textId="77777777" w:rsidR="008D6DF4" w:rsidRDefault="007C1EBA">
      <w:pPr>
        <w:spacing w:line="360" w:lineRule="auto"/>
        <w:jc w:val="both"/>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t>The views expressed in this manuscript are those of the authors and do not necessarily represent the views of the National Heart, Lung, and Blood Institute, the National Institutes of Health, or the US Department of Health and Human Services. The Deutsche Forschungsgemeinschaft (DFG, German Research Foundation) supported this work – Project-ID 387509280 – SFB1350 (Subproject C6 to I.M.H.).</w:t>
      </w:r>
    </w:p>
    <w:p w14:paraId="534B9384" w14:textId="77777777" w:rsidR="008D6DF4" w:rsidRDefault="007C1EBA">
      <w:pPr>
        <w:ind w:left="1701" w:hanging="1701"/>
        <w:jc w:val="both"/>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4D</w:t>
      </w:r>
      <w:r>
        <w:rPr>
          <w:rFonts w:ascii="Arial" w:eastAsia="Times New Roman" w:hAnsi="Arial" w:cs="Arial"/>
          <w:b/>
          <w:bCs/>
          <w:color w:val="000000"/>
          <w:sz w:val="20"/>
          <w:szCs w:val="20"/>
          <w:lang w:val="en-US"/>
        </w:rPr>
        <w:tab/>
      </w:r>
      <w:r>
        <w:rPr>
          <w:rFonts w:ascii="Arial" w:hAnsi="Arial" w:cs="Arial"/>
          <w:sz w:val="20"/>
          <w:szCs w:val="20"/>
          <w:lang w:val="en-US"/>
        </w:rPr>
        <w:t>The 4D study (Die Deutsche Diabetes Dialyse Studie) has received funding from the German Ministry of Education and Research (project 01GL0304: Comprehensive Heart Failure Center).</w:t>
      </w:r>
      <w:r>
        <w:rPr>
          <w:rFonts w:ascii="Arial" w:eastAsia="Times New Roman" w:hAnsi="Arial" w:cs="Arial"/>
          <w:b/>
          <w:bCs/>
          <w:color w:val="000000"/>
          <w:sz w:val="20"/>
          <w:szCs w:val="20"/>
          <w:lang w:val="en-US"/>
        </w:rPr>
        <w:t xml:space="preserve"> </w:t>
      </w:r>
    </w:p>
    <w:p w14:paraId="15670832"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ADVANCE</w:t>
      </w:r>
      <w:r>
        <w:rPr>
          <w:rFonts w:ascii="Arial" w:eastAsia="Times New Roman" w:hAnsi="Arial" w:cs="Arial"/>
          <w:bCs/>
          <w:color w:val="000000"/>
          <w:sz w:val="20"/>
          <w:szCs w:val="20"/>
          <w:lang w:val="en-US"/>
        </w:rPr>
        <w:tab/>
        <w:t>ADVANCE genomic sub-studies were supported by grants from the Ministry of Science and Innovation from the Quebec Government, from Genome Quebec, from the Consortium Québécois du Médicament, from the Canadian Institutes of Health Research and from Medpharmgene, OPTITHERA Inc and Les Laboratoires Servier.</w:t>
      </w:r>
    </w:p>
    <w:p w14:paraId="2CB22674"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AFTER EU</w:t>
      </w:r>
      <w:r>
        <w:rPr>
          <w:rFonts w:ascii="Arial" w:eastAsia="Times New Roman" w:hAnsi="Arial" w:cs="Arial"/>
          <w:bCs/>
          <w:color w:val="000000"/>
          <w:sz w:val="20"/>
          <w:szCs w:val="20"/>
          <w:lang w:val="en-US"/>
        </w:rPr>
        <w:t xml:space="preserve"> </w:t>
      </w:r>
      <w:r>
        <w:rPr>
          <w:rFonts w:ascii="Arial" w:eastAsia="Times New Roman" w:hAnsi="Arial" w:cs="Arial"/>
          <w:bCs/>
          <w:color w:val="000000"/>
          <w:sz w:val="20"/>
          <w:szCs w:val="20"/>
          <w:lang w:val="en-US"/>
        </w:rPr>
        <w:tab/>
        <w:t>The AFTER EU study is the Danish part of the EURAGEDIC study which was supported by the European Commission (contract QLG2-CT-2001– 01669). The genotyping for this study was part of the Genetics of Diabetic Nephropathy (GenDN) study, primarily funded by Juvenile Diabetes Research Foundation (JDRF) International Prime Award Number 17-2013- 8. Tarunveer S Ahluwalia was also funded by the GenDN study grant and Lundbeck foundation Travel Grant (Ref. Number 2013-14471).</w:t>
      </w:r>
    </w:p>
    <w:p w14:paraId="497A0423"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ARIC</w:t>
      </w:r>
      <w:r>
        <w:rPr>
          <w:rFonts w:ascii="Arial" w:eastAsia="Times New Roman" w:hAnsi="Arial" w:cs="Arial"/>
          <w:bCs/>
          <w:color w:val="000000"/>
          <w:sz w:val="20"/>
          <w:szCs w:val="20"/>
          <w:lang w:val="en-US"/>
        </w:rPr>
        <w:tab/>
        <w:t>The Atherosclerosis Risk in Communities study has been funded in whole or in part with Federal funds from the National Heart, Lung, and Blood Institute, National Institutes of Health, Department of Health and Human Services (contract numbers HHSN268201700001I, HHSN268201700002I, HHSN268201700003I, HHSN268201700004I and HHSN268201700005I), R01HL087641, R01HL086694; National Human Genome Research Institute contract U01HG004402; and National Institutes of Health contract HHSN268200625226C. The authors thank the staff and participants of the ARIC study for their important contributions. Infrastructure was partly supported by Grant Number UL1RR025005, a component of the National Institutes of Health and NIH Roadmap for Medical Research. The work of Anna Köttgen was supported by a Heisenberg Professorship (KO 3598/5-1) as well as CRC 992 of the German Research Foundation.</w:t>
      </w:r>
    </w:p>
    <w:p w14:paraId="68FD7DF1"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ASPS</w:t>
      </w:r>
      <w:r>
        <w:rPr>
          <w:rFonts w:ascii="Arial" w:eastAsia="Times New Roman" w:hAnsi="Arial" w:cs="Arial"/>
          <w:bCs/>
          <w:color w:val="000000"/>
          <w:sz w:val="20"/>
          <w:szCs w:val="20"/>
          <w:lang w:val="en-US"/>
        </w:rPr>
        <w:tab/>
        <w:t>The authors thank the staff and the participants for their valuable contributions. We thank Birgit Reinhart for her long-term administrative commitment, Elfi Hofer for the technical assistance at creating the DNA bank, Ing. Johann Semmler and Anita Harb for DNA sequencing and DNA analyses by TaqMan assays and Irmgard Poelzl for supervising the quality management processes after ISO9001 at the biobanking and DNA analyses. The research reported in this article was funded by the Austrian Science Fond (FWF) grant number P20545-P05, P13180 and PI904 as well as by the Austrian National Bank (OeNB) Anniversary Fund grant number P15435 and the Austrian Federal Ministry of Science, Research and Economy under the aegis of the EU Joint Programme</w:t>
      </w:r>
      <w:r w:rsidR="004E505C">
        <w:rPr>
          <w:rFonts w:ascii="Arial" w:eastAsia="Times New Roman" w:hAnsi="Arial" w:cs="Arial"/>
          <w:bCs/>
          <w:color w:val="000000"/>
          <w:sz w:val="20"/>
          <w:szCs w:val="20"/>
          <w:lang w:val="en-US"/>
        </w:rPr>
        <w:t xml:space="preserve"> </w:t>
      </w:r>
      <w:r>
        <w:rPr>
          <w:rFonts w:ascii="Arial" w:eastAsia="Times New Roman" w:hAnsi="Arial" w:cs="Arial"/>
          <w:bCs/>
          <w:color w:val="000000"/>
          <w:sz w:val="20"/>
          <w:szCs w:val="20"/>
          <w:lang w:val="en-US"/>
        </w:rPr>
        <w:t>Neurodegenerative Disease Research (JPND)-www.jpnd.eu. The Medical University of Graz supports the databank of the ASPS.</w:t>
      </w:r>
    </w:p>
    <w:p w14:paraId="5FD56E7A"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BioMe</w:t>
      </w:r>
      <w:r>
        <w:rPr>
          <w:rFonts w:ascii="Arial" w:eastAsia="Times New Roman" w:hAnsi="Arial" w:cs="Arial"/>
          <w:bCs/>
          <w:color w:val="000000"/>
          <w:sz w:val="20"/>
          <w:szCs w:val="20"/>
          <w:lang w:val="en-US"/>
        </w:rPr>
        <w:tab/>
        <w:t>The Mount Sinai IPM Biobank Program is supported by The Andrea and Charles Bronfman Philanthropies. Ruth Loos is funded by R01DK110113, U01HG007417, R01DK101855, and R01DK107786.</w:t>
      </w:r>
    </w:p>
    <w:p w14:paraId="19FC15B0"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CHS</w:t>
      </w:r>
      <w:r>
        <w:rPr>
          <w:rFonts w:ascii="Arial" w:eastAsia="Times New Roman" w:hAnsi="Arial" w:cs="Arial"/>
          <w:bCs/>
          <w:color w:val="000000"/>
          <w:sz w:val="20"/>
          <w:szCs w:val="20"/>
          <w:lang w:val="en-US"/>
        </w:rPr>
        <w:tab/>
        <w:t xml:space="preserve">Cardiovascular Health Study: This CHS research was supported by NHLBI contracts HHSN268201200036C, HHSN268200800007C, HHSN268201800001C, </w:t>
      </w:r>
      <w:r>
        <w:rPr>
          <w:rFonts w:ascii="Arial" w:eastAsia="Times New Roman" w:hAnsi="Arial" w:cs="Arial"/>
          <w:bCs/>
          <w:color w:val="000000"/>
          <w:sz w:val="20"/>
          <w:szCs w:val="20"/>
          <w:lang w:val="en-US"/>
        </w:rPr>
        <w:lastRenderedPageBreak/>
        <w:t>N01HC55222, N01HC85079, N01HC85080, N01HC85081, N01HC85082, N01HC85083, N01HC85086; and NHLBI grants U01HL080295, R01HL087652, R01HL105756, R01HL103612, R01HL120393, and U01HL130114 with additional contribution from the National Institute of Neurological Disorders and Stroke (NINDS). Additional support was provided through R01AG023629 from the National Institute on Aging (NIA). A full list of principal CHS investigators and institutions can be found at CHS-NHLBI.org. The provision of genotyping data was supported in part by the National Center for Advancing Translational Sciences, CTSI grant UL1TR001881, and the National Institute of Diabetes and Digestive and Kidney Disease Diabetes Research Center (DRC) grant DK063491 to the Southern California Diabetes Endocrinology Research Center. The content is solely the responsibility of the authors and does not necessarily represent the official views of the National Institutes of Health.</w:t>
      </w:r>
    </w:p>
    <w:p w14:paraId="76D8D2D5" w14:textId="4848FA8B"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DECODE</w:t>
      </w:r>
      <w:r>
        <w:rPr>
          <w:rFonts w:ascii="Arial" w:eastAsia="Times New Roman" w:hAnsi="Arial" w:cs="Arial"/>
          <w:bCs/>
          <w:color w:val="000000"/>
          <w:sz w:val="20"/>
          <w:szCs w:val="20"/>
          <w:lang w:val="en-US"/>
        </w:rPr>
        <w:tab/>
        <w:t xml:space="preserve">The study was funded by deCODE Genetics/Amgen inc. We thank the study </w:t>
      </w:r>
      <w:r w:rsidR="002A0A49">
        <w:rPr>
          <w:rFonts w:ascii="Arial" w:eastAsia="Times New Roman" w:hAnsi="Arial" w:cs="Arial"/>
          <w:bCs/>
          <w:color w:val="000000"/>
          <w:sz w:val="20"/>
          <w:szCs w:val="20"/>
          <w:lang w:val="en-US"/>
        </w:rPr>
        <w:t>individuals</w:t>
      </w:r>
      <w:r>
        <w:rPr>
          <w:rFonts w:ascii="Arial" w:eastAsia="Times New Roman" w:hAnsi="Arial" w:cs="Arial"/>
          <w:bCs/>
          <w:color w:val="000000"/>
          <w:sz w:val="20"/>
          <w:szCs w:val="20"/>
          <w:lang w:val="en-US"/>
        </w:rPr>
        <w:t xml:space="preserve"> for their valuable participation and our colleagues, who contributed to data collection, sample handling, and genotyping</w:t>
      </w:r>
    </w:p>
    <w:p w14:paraId="771D23AC"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DIACORE</w:t>
      </w:r>
      <w:r>
        <w:rPr>
          <w:rFonts w:ascii="Arial" w:eastAsia="Times New Roman" w:hAnsi="Arial" w:cs="Arial"/>
          <w:bCs/>
          <w:color w:val="000000"/>
          <w:sz w:val="20"/>
          <w:szCs w:val="20"/>
          <w:lang w:val="en-US"/>
        </w:rPr>
        <w:tab/>
        <w:t>Cohort recruiting and management was funded by the KfH Stiftung Präventivmedizin e.V. (Carsten A. Böger). Genome-wide genotyping was funded the Else Kröner-Fresenius-Stiftung (2012_A147), the KfH Stiftung Präventivmedizin and the University Hospital Regensburg. The Deutsche Forschungsgemeinschaft (DFG, German Research Foundation) supported this work – Project-ID 387509280 – SFB 1350 (Subproject C6 to I.M.H.) and Iris Heid and Carsten Böger received funding by DFG BO 3815/4-1.</w:t>
      </w:r>
    </w:p>
    <w:p w14:paraId="33EE65B6"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ESTHER</w:t>
      </w:r>
      <w:r>
        <w:rPr>
          <w:rFonts w:ascii="Arial" w:eastAsia="Times New Roman" w:hAnsi="Arial" w:cs="Arial"/>
          <w:bCs/>
          <w:color w:val="000000"/>
          <w:sz w:val="20"/>
          <w:szCs w:val="20"/>
          <w:lang w:val="en-US"/>
        </w:rPr>
        <w:tab/>
        <w:t>The ESTHER study was funded by the Saarland state Ministry for Social Affairs, Health, Women and Family Affairs (Saarbrücken, Germany), the Baden-Württemberg state Ministry of Science, Research and Arts (Stuttgart, Germany), the Federal Ministry of Education and Research (Berlin, Germany) and the Federal Ministry of Family Affairs, Senior Citizens, Women and Youth (Berlin, Germany).</w:t>
      </w:r>
    </w:p>
    <w:p w14:paraId="5BC0C411"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FHS</w:t>
      </w:r>
      <w:r>
        <w:rPr>
          <w:rFonts w:ascii="Arial" w:eastAsia="Times New Roman" w:hAnsi="Arial" w:cs="Arial"/>
          <w:bCs/>
          <w:color w:val="000000"/>
          <w:sz w:val="20"/>
          <w:szCs w:val="20"/>
          <w:lang w:val="en-US"/>
        </w:rPr>
        <w:tab/>
        <w:t>The Framingham Heart Study is supported by HHSN268201500001.</w:t>
      </w:r>
    </w:p>
    <w:p w14:paraId="0D2EAEEC"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FINCAVAS</w:t>
      </w:r>
      <w:r>
        <w:rPr>
          <w:rFonts w:ascii="Arial" w:eastAsia="Times New Roman" w:hAnsi="Arial" w:cs="Arial"/>
          <w:bCs/>
          <w:color w:val="000000"/>
          <w:sz w:val="20"/>
          <w:szCs w:val="20"/>
          <w:lang w:val="en-US"/>
        </w:rPr>
        <w:tab/>
      </w:r>
      <w:r>
        <w:rPr>
          <w:rFonts w:ascii="Arial" w:hAnsi="Arial" w:cs="Arial"/>
          <w:bCs/>
          <w:color w:val="000000"/>
          <w:sz w:val="20"/>
          <w:szCs w:val="20"/>
          <w:lang w:val="en-US"/>
        </w:rPr>
        <w:t>The Finnish Cardiovascular Study (FINCAVAS) has been financially supported by the Competitive Research Funding of the Tampere University Hospital (Grant 9M048 and 9N035), the Finnish Cultural Foundation, the Finnish Foundation for Cardiovascular Research, the Emil Aaltonen Foundation, Finland, the Tampere Tuberculosis Foundation, EU Horizon 2020 (grant 755320 for TAXINOMISIS; grant 848146 for To_Aition), and the Academy of Finland grant 322098. The authors thank the staff of the Department of Clinical Physiology for collecting the exercise test data.</w:t>
      </w:r>
      <w:r>
        <w:rPr>
          <w:rFonts w:ascii="Arial" w:hAnsi="Arial" w:cs="Arial"/>
          <w:bCs/>
          <w:color w:val="000000"/>
          <w:sz w:val="20"/>
          <w:szCs w:val="20"/>
          <w:lang w:val="en-US"/>
        </w:rPr>
        <w:tab/>
      </w:r>
    </w:p>
    <w:p w14:paraId="52F9590B"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GCKD</w:t>
      </w:r>
      <w:r>
        <w:rPr>
          <w:rFonts w:ascii="Arial" w:eastAsia="Times New Roman" w:hAnsi="Arial" w:cs="Arial"/>
          <w:bCs/>
          <w:color w:val="000000"/>
          <w:sz w:val="20"/>
          <w:szCs w:val="20"/>
          <w:lang w:val="en-US"/>
        </w:rPr>
        <w:tab/>
      </w:r>
      <w:r>
        <w:rPr>
          <w:rFonts w:ascii="Arial" w:hAnsi="Arial" w:cs="Arial"/>
          <w:bCs/>
          <w:color w:val="000000"/>
          <w:sz w:val="20"/>
          <w:szCs w:val="20"/>
          <w:lang w:val="en-US"/>
        </w:rPr>
        <w:t>The GCKD study was funded by the German Ministry of Research and Education (Bundesministerium für Bildung und Forschung, BMBF), by the Foundation KfH Stiftung Präventivmedizin. Unregistered grants to support the study were provided by Bayer, Fresenius Medical Care and Amgen. Genotyping was supported by Bayer Pharma AG. The work of Matthias Wuttke was supported by the Deutsche Forschungsgemeinschaft (DFG, German Research Foundation) – Projektnummer 246781735 – SFB 1140 and the Else Kroener Fresenius Forschungskolleg NAKSYS. The work of Yong Li was supported by DFG KO 3598/4-2.</w:t>
      </w:r>
    </w:p>
    <w:p w14:paraId="42D9D582"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JHS</w:t>
      </w:r>
      <w:r>
        <w:rPr>
          <w:rFonts w:ascii="Arial" w:eastAsia="Times New Roman" w:hAnsi="Arial" w:cs="Arial"/>
          <w:bCs/>
          <w:color w:val="000000"/>
          <w:sz w:val="20"/>
          <w:szCs w:val="20"/>
          <w:lang w:val="en-US"/>
        </w:rPr>
        <w:tab/>
        <w:t xml:space="preserve">The Jackson Heart Study (JHS) is supported and conducted in collaboration with Jackson State University (HHSN268201800013I), Tougaloo College (HHSN268201800014I), the Mississippi State Department of Health (HHSN268201800015I/HHSN26800001) and the University of Mississippi Medical Center (HHSN268201800010I, HHSN268201800011I and HHSN268201800012I) contracts from the National Heart, Lung, and Blood Institute (NHLBI) and the National Institute for Minority Health and Health Disparities (NIMHD). The authors </w:t>
      </w:r>
      <w:r>
        <w:rPr>
          <w:rFonts w:ascii="Arial" w:eastAsia="Times New Roman" w:hAnsi="Arial" w:cs="Arial"/>
          <w:bCs/>
          <w:color w:val="000000"/>
          <w:sz w:val="20"/>
          <w:szCs w:val="20"/>
          <w:lang w:val="en-US"/>
        </w:rPr>
        <w:lastRenderedPageBreak/>
        <w:t>also wish to thank the staffs and participants of the JHS. James G. Wilson is supported by U54GM115428 from the National Institute of General Medical Sciences. Laura M. Raffield is supported by T32 HL129982.</w:t>
      </w:r>
    </w:p>
    <w:p w14:paraId="39E0C640"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KORA</w:t>
      </w:r>
      <w:r>
        <w:rPr>
          <w:rFonts w:ascii="Arial" w:eastAsia="Times New Roman" w:hAnsi="Arial" w:cs="Arial"/>
          <w:bCs/>
          <w:color w:val="000000"/>
          <w:sz w:val="20"/>
          <w:szCs w:val="20"/>
          <w:lang w:val="en-US"/>
        </w:rPr>
        <w:tab/>
        <w:t>The KORA research platform (KORA, Cooperative Health Research in the Region of Augsburg) was initiated and financed by the Helmholtz Zentrum München - German Research Center for Environmental Health, which is funded by the German Federal Ministry of Education and Research and by the State of Bavaria. Furthermore, KORA research was supported within the Munich Center of Health Sciences (MC Health), Ludwig-Maximilians Universität, as part of LMUinnovativ. Statistical KORA analyses were supported by DFG BO-3815/4-1 (to Carsten A. Böger), BMBF 01ER1206, 01ER1507 (to Iris M. Heid), by the University of Regensburg and by the Deutsche Forschungsgemeinschaft (DFG, German Research Foundation) – Project-ID 387509280 – SFB 1350 (Subproject C6 to I.M.H.) and DFG BO 3815/4-1.</w:t>
      </w:r>
    </w:p>
    <w:p w14:paraId="7F225FE9" w14:textId="77777777" w:rsidR="008D6DF4" w:rsidRDefault="007C1EBA">
      <w:pPr>
        <w:ind w:left="1701" w:hanging="1701"/>
        <w:jc w:val="both"/>
        <w:rPr>
          <w:rFonts w:ascii="Arial" w:hAnsi="Arial" w:cs="Arial"/>
          <w:sz w:val="20"/>
          <w:szCs w:val="20"/>
          <w:lang w:val="en-US"/>
        </w:rPr>
      </w:pPr>
      <w:r>
        <w:rPr>
          <w:rFonts w:ascii="Arial" w:eastAsia="Times New Roman" w:hAnsi="Arial" w:cs="Arial"/>
          <w:b/>
          <w:bCs/>
          <w:color w:val="000000"/>
          <w:sz w:val="20"/>
          <w:szCs w:val="20"/>
          <w:lang w:val="en-US"/>
        </w:rPr>
        <w:t>Lifelines</w:t>
      </w:r>
      <w:r>
        <w:rPr>
          <w:rFonts w:ascii="Arial" w:eastAsia="Times New Roman" w:hAnsi="Arial" w:cs="Arial"/>
          <w:bCs/>
          <w:color w:val="000000"/>
          <w:sz w:val="20"/>
          <w:szCs w:val="20"/>
          <w:lang w:val="en-US"/>
        </w:rPr>
        <w:tab/>
      </w:r>
      <w:r>
        <w:rPr>
          <w:rFonts w:ascii="Arial" w:hAnsi="Arial" w:cs="Arial"/>
          <w:sz w:val="20"/>
          <w:szCs w:val="20"/>
          <w:lang w:val="en-US"/>
        </w:rPr>
        <w:t xml:space="preserve">The LifeLines Cohort Study, and generation and management of GWAS genotype data for the LifeLines Cohort Study is supported by the UMCG Genetics Lifelines Initiative (UGLI), the Netherlands Organization of Scientific Research NWO (grant 175.010.2007.006), the Economic Structure Enhancing Fund (FES) of the Dutch government, the Ministry of Economic Affairs, the Ministry of Education, Culture and Science, the Ministry for Health, Welfare and Sports, the Northern Netherlands Collaboration of Provinces (SNN), the Province of Groningen, University Medical Center Groningen, the University of Groningen, Dutch Kidney Foundation and Dutch Diabetes Research Foundation. </w:t>
      </w:r>
      <w:r>
        <w:rPr>
          <w:rFonts w:ascii="Arial" w:hAnsi="Arial" w:cs="Arial"/>
          <w:sz w:val="20"/>
          <w:szCs w:val="20"/>
          <w:lang w:val="en-GB" w:eastAsia="nl-NL"/>
        </w:rPr>
        <w:t>The authors wish to acknowledge the services of the Lifelines Cohort Study, the contributing research centers delivering data to Lifelines, and all the study participants.</w:t>
      </w:r>
    </w:p>
    <w:p w14:paraId="64C6659A"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MDC-CC</w:t>
      </w:r>
      <w:r>
        <w:rPr>
          <w:rFonts w:ascii="Arial" w:eastAsia="Times New Roman" w:hAnsi="Arial" w:cs="Arial"/>
          <w:bCs/>
          <w:color w:val="000000"/>
          <w:sz w:val="20"/>
          <w:szCs w:val="20"/>
          <w:lang w:val="en-US"/>
        </w:rPr>
        <w:tab/>
        <w:t>This study was supported by the European Research Council (Consolidator grant nr 649021, Orho-Melander), the Swedish Research Council, the Swedish Heart and Lung Foundation, the Novo Nordic Foundation, the Swedish Diabetes Foundation, and the Påhlsson Foundation, and by equipment grants from the Knut and Alice Wallenberg Foundation, the Region Skåne, Skåne University Hospital, the Linneus Foundation for the Lund University Diabetes Center and Swedish Foundation for Strategic Research for IRC15-0067.</w:t>
      </w:r>
    </w:p>
    <w:p w14:paraId="2A34BDCE" w14:textId="34423D2F"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Cs/>
          <w:noProof/>
          <w:color w:val="000000"/>
          <w:sz w:val="20"/>
          <w:szCs w:val="20"/>
          <w:lang w:val="en-US"/>
        </w:rPr>
        <mc:AlternateContent>
          <mc:Choice Requires="wps">
            <w:drawing>
              <wp:anchor distT="45720" distB="45720" distL="114300" distR="114300" simplePos="0" relativeHeight="251659264" behindDoc="0" locked="0" layoutInCell="1" allowOverlap="1" wp14:anchorId="41F5B4C0" wp14:editId="0A23EED6">
                <wp:simplePos x="0" y="0"/>
                <wp:positionH relativeFrom="column">
                  <wp:posOffset>-130224</wp:posOffset>
                </wp:positionH>
                <wp:positionV relativeFrom="paragraph">
                  <wp:posOffset>1956435</wp:posOffset>
                </wp:positionV>
                <wp:extent cx="936346" cy="1404620"/>
                <wp:effectExtent l="0" t="0" r="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46" cy="1404620"/>
                        </a:xfrm>
                        <a:prstGeom prst="rect">
                          <a:avLst/>
                        </a:prstGeom>
                        <a:solidFill>
                          <a:srgbClr val="FFFFFF"/>
                        </a:solidFill>
                        <a:ln w="9525">
                          <a:noFill/>
                          <a:miter lim="800000"/>
                          <a:headEnd/>
                          <a:tailEnd/>
                        </a:ln>
                      </wps:spPr>
                      <wps:txbx>
                        <w:txbxContent>
                          <w:p w14:paraId="37284003" w14:textId="77777777" w:rsidR="003A0A52" w:rsidRDefault="003A0A5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MyCode</w:t>
                            </w:r>
                          </w:p>
                          <w:p w14:paraId="1E2C7986" w14:textId="77777777" w:rsidR="003A0A52" w:rsidRDefault="003A0A52">
                            <w:pPr>
                              <w:spacing w:after="0" w:line="240" w:lineRule="auto"/>
                              <w:rPr>
                                <w:b/>
                              </w:rPr>
                            </w:pPr>
                            <w:r>
                              <w:rPr>
                                <w:rFonts w:ascii="Arial" w:eastAsia="Times New Roman" w:hAnsi="Arial" w:cs="Arial"/>
                                <w:b/>
                                <w:bCs/>
                                <w:color w:val="000000"/>
                                <w:sz w:val="20"/>
                                <w:szCs w:val="20"/>
                              </w:rPr>
                              <w:t>(Geisinger)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F5B4C0" id="_x0000_t202" coordsize="21600,21600" o:spt="202" path="m,l,21600r21600,l21600,xe">
                <v:stroke joinstyle="miter"/>
                <v:path gradientshapeok="t" o:connecttype="rect"/>
              </v:shapetype>
              <v:shape id="Text Box 2" o:spid="_x0000_s1026" type="#_x0000_t202" style="position:absolute;left:0;text-align:left;margin-left:-10.25pt;margin-top:154.05pt;width:73.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" stroked="f">
                <v:textbox style="mso-fit-shape-to-text:t">
                  <w:txbxContent>
                    <w:p w14:paraId="37284003" w14:textId="77777777" w:rsidR="003A0A52" w:rsidRDefault="003A0A52">
                      <w:pPr>
                        <w:spacing w:after="0" w:line="240" w:lineRule="auto"/>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MyCode</w:t>
                      </w:r>
                      <w:proofErr w:type="spellEnd"/>
                    </w:p>
                    <w:p w14:paraId="1E2C7986" w14:textId="77777777" w:rsidR="003A0A52" w:rsidRDefault="003A0A52">
                      <w:pPr>
                        <w:spacing w:after="0" w:line="240" w:lineRule="auto"/>
                        <w:rPr>
                          <w:b/>
                        </w:rPr>
                      </w:pPr>
                      <w:r>
                        <w:rPr>
                          <w:rFonts w:ascii="Arial" w:eastAsia="Times New Roman" w:hAnsi="Arial" w:cs="Arial"/>
                          <w:b/>
                          <w:bCs/>
                          <w:color w:val="000000"/>
                          <w:sz w:val="20"/>
                          <w:szCs w:val="20"/>
                        </w:rPr>
                        <w:t>(</w:t>
                      </w:r>
                      <w:proofErr w:type="spellStart"/>
                      <w:r>
                        <w:rPr>
                          <w:rFonts w:ascii="Arial" w:eastAsia="Times New Roman" w:hAnsi="Arial" w:cs="Arial"/>
                          <w:b/>
                          <w:bCs/>
                          <w:color w:val="000000"/>
                          <w:sz w:val="20"/>
                          <w:szCs w:val="20"/>
                        </w:rPr>
                        <w:t>Geisinger</w:t>
                      </w:r>
                      <w:proofErr w:type="spellEnd"/>
                      <w:r>
                        <w:rPr>
                          <w:rFonts w:ascii="Arial" w:eastAsia="Times New Roman" w:hAnsi="Arial" w:cs="Arial"/>
                          <w:b/>
                          <w:bCs/>
                          <w:color w:val="000000"/>
                          <w:sz w:val="20"/>
                          <w:szCs w:val="20"/>
                        </w:rPr>
                        <w:t>)</w:t>
                      </w:r>
                    </w:p>
                  </w:txbxContent>
                </v:textbox>
              </v:shape>
            </w:pict>
          </mc:Fallback>
        </mc:AlternateContent>
      </w:r>
      <w:r>
        <w:rPr>
          <w:rFonts w:ascii="Arial" w:eastAsia="Times New Roman" w:hAnsi="Arial" w:cs="Arial"/>
          <w:b/>
          <w:bCs/>
          <w:color w:val="000000"/>
          <w:sz w:val="20"/>
          <w:szCs w:val="20"/>
          <w:lang w:val="en-US"/>
        </w:rPr>
        <w:t>MESA</w:t>
      </w:r>
      <w:r>
        <w:rPr>
          <w:rFonts w:ascii="Arial" w:eastAsia="Times New Roman" w:hAnsi="Arial" w:cs="Arial"/>
          <w:bCs/>
          <w:color w:val="000000"/>
          <w:sz w:val="20"/>
          <w:szCs w:val="20"/>
          <w:lang w:val="en-US"/>
        </w:rPr>
        <w:tab/>
      </w:r>
      <w:r>
        <w:rPr>
          <w:rFonts w:ascii="Arial" w:hAnsi="Arial" w:cs="Arial"/>
          <w:sz w:val="20"/>
          <w:szCs w:val="20"/>
          <w:lang w:val="en-US"/>
        </w:rPr>
        <w:t>MESA and the MESA SHARe projects are conducted and supported by the National Heart, Lung, and Blood Institute (NHLBI) in collaboration with MESA investigators. Support for MESA is provided by contracts 75N92020D00001, HHSN</w:t>
      </w:r>
      <w:r w:rsidRPr="006C2FF2">
        <w:rPr>
          <w:rFonts w:ascii="Arial" w:hAnsi="Arial" w:cs="Arial"/>
          <w:sz w:val="20"/>
          <w:szCs w:val="20"/>
          <w:lang w:val="en-US"/>
        </w:rPr>
        <w:t>268201500003</w:t>
      </w:r>
      <w:r>
        <w:rPr>
          <w:rFonts w:ascii="Arial" w:hAnsi="Arial" w:cs="Arial"/>
          <w:sz w:val="20"/>
          <w:szCs w:val="20"/>
          <w:lang w:val="en-US"/>
        </w:rPr>
        <w:t>I, N01-HC-95159, 75N92020D00005, N01-HC-95160, 75N92020D00002, N01-HC-95161, 75N92020D00003, N01-HC-95162, 75N92020D00006, N01-HC-95163, 75N92020D00004, N01-HC-95164, 75N92020D00007, N01-HC-95165, N01-HC-95166, N01-HC-95167, N01-HC-95168, N01-HC-95169, UL1-TR-000040, UL1-TR-001079, and UL1-TR-001420. Also supported by the National Center for Advancing Translational Sciences, CTSI grant UL1TR001881, and the National Institute of Diabetes and Digestive and Kidney Disease Diabetes Research Center (DRC) grant DK063491 to the Southern California Diabetes Endocrinology Research Center.</w:t>
      </w:r>
    </w:p>
    <w:p w14:paraId="44626127"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tab/>
        <w:t>We would like to acknowledge the participants, staff, and our colleagues associated with the Geisinger MyCode Community Health Initiative. We also thank the staff of the PACDC of Geisinger for assistance with the phenotypic data, and the staff of the Biomedical &amp; Translational Informatics and Kidney Health Research Institute.</w:t>
      </w:r>
    </w:p>
    <w:p w14:paraId="0D35DC6E" w14:textId="77777777" w:rsidR="008D6DF4" w:rsidRDefault="007C1EBA">
      <w:pPr>
        <w:tabs>
          <w:tab w:val="left" w:pos="1701"/>
        </w:tabs>
        <w:ind w:left="1695" w:hanging="1695"/>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NESDA</w:t>
      </w:r>
      <w:r>
        <w:rPr>
          <w:rFonts w:ascii="Arial" w:eastAsia="Times New Roman" w:hAnsi="Arial" w:cs="Arial"/>
          <w:b/>
          <w:bCs/>
          <w:color w:val="000000"/>
          <w:sz w:val="20"/>
          <w:szCs w:val="20"/>
          <w:lang w:val="en-US"/>
        </w:rPr>
        <w:tab/>
      </w:r>
      <w:r>
        <w:rPr>
          <w:rFonts w:ascii="Arial" w:eastAsia="Times New Roman" w:hAnsi="Arial" w:cs="Arial"/>
          <w:bCs/>
          <w:color w:val="000000"/>
          <w:sz w:val="20"/>
          <w:szCs w:val="20"/>
          <w:lang w:val="en-US"/>
        </w:rPr>
        <w:tab/>
        <w:t xml:space="preserve">Funding was obtained from the Netherlands Organization for Scientific Research (Geestkracht program grant 10-000-1002); the Center for Medical Systems Biology (CSMB, NWO Genomics), Biobanking and Biomolecular Resources Research Infrastructure (BBMRI-NL), VU University’s Institutes for Health and Care Research (EMGO+) and Neuroscience Campus Amsterdam, University Medical Center </w:t>
      </w:r>
      <w:r>
        <w:rPr>
          <w:rFonts w:ascii="Arial" w:eastAsia="Times New Roman" w:hAnsi="Arial" w:cs="Arial"/>
          <w:bCs/>
          <w:color w:val="000000"/>
          <w:sz w:val="20"/>
          <w:szCs w:val="20"/>
          <w:lang w:val="en-US"/>
        </w:rPr>
        <w:lastRenderedPageBreak/>
        <w:t>Groningen, Leiden University Medical Center, National Institutes of Health (NIH, R01D0042157-01A, MH081802, Grand Opportunity grants 1RC2 MH089951 and 1RC2 MH089995). Part of the genotyping and analyses were funded by the Genetic Association Information Network (GAIN) of the Foundation for the National Institutes of Health.Computing was supported by BiG Grid, the Dutch e-Science Grid, which is financially supported by NWO.</w:t>
      </w:r>
    </w:p>
    <w:p w14:paraId="66561178"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PREVEND</w:t>
      </w:r>
      <w:r>
        <w:rPr>
          <w:rFonts w:ascii="Arial" w:eastAsia="Times New Roman" w:hAnsi="Arial" w:cs="Arial"/>
          <w:bCs/>
          <w:color w:val="000000"/>
          <w:sz w:val="20"/>
          <w:szCs w:val="20"/>
          <w:lang w:val="en-US"/>
        </w:rPr>
        <w:tab/>
        <w:t>The Prevention of Renal and Vascular Endstage Disease Study (PREVEND) genetics is supported by the Dutch Kidney Foundation (Grant E033), the EU project grant GENECURE (FP-6 LSHM CT 2006 037697), the National Institutes of Health (grant LM010098), the Netherlands organization for health research and development (NWO VENI grant 916.761.70), and the Dutch Inter University Cardiology Institute Netherlands (ICIN). Niek Verweij was supported by NWO VENI grant 016.186.125.</w:t>
      </w:r>
    </w:p>
    <w:p w14:paraId="0EE91A90"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POPGEN</w:t>
      </w:r>
      <w:r>
        <w:rPr>
          <w:rFonts w:ascii="Arial" w:eastAsia="Times New Roman" w:hAnsi="Arial" w:cs="Arial"/>
          <w:bCs/>
          <w:color w:val="000000"/>
          <w:sz w:val="20"/>
          <w:szCs w:val="20"/>
          <w:lang w:val="en-US"/>
        </w:rPr>
        <w:tab/>
        <w:t>The PopGen 2.0 network was supported by a grant from the German Ministry for Education and Research (01EY1103). Sandra Freitag-Wolf was supported by German Research Foundation, Clusters of Excellence 306, Inflammation at Interfaces.</w:t>
      </w:r>
    </w:p>
    <w:p w14:paraId="1FACC45B"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RS</w:t>
      </w:r>
      <w:r>
        <w:rPr>
          <w:rFonts w:ascii="Arial" w:eastAsia="Times New Roman" w:hAnsi="Arial" w:cs="Arial"/>
          <w:bCs/>
          <w:color w:val="000000"/>
          <w:sz w:val="20"/>
          <w:szCs w:val="20"/>
          <w:lang w:val="en-US"/>
        </w:rPr>
        <w:tab/>
        <w:t>The Rotterdam Study (RS) has been approved by the Medical Ethics Committee of the Erasmus MC (registration number MEC 02.1015) and by the Dutch Ministry of Health, Welfare and Sport (Population Screening Act WBO, license number 1071272-159521-PG). The RS has been entered into the Netherlands National Trial Register (NTR; www.trialregister.nl) and into the WHO International Clinical Trials Registry Platform (ICTRP; www.who.int/ictrp/network/primary/en/) under shared catalogue number NTR6831. All participants provided written informed consent to participate in the study and to have their information obtained from treating physicians. The generation and management of GWAS genotype data for the RS (RS I, RS II, RS III) was executed by the Human Genotyping Facility of the Genetic Laboratory of the Department of Internal Medicine, Erasmus MC, Rotterdam, the Netherlands. The GWAS datasets are supported by the Netherlands Organisation of Scientific Research NWO Investments (nr. 175.010.2005.011, 911-03-012), the Genetic Laboratory of the Department of Internal Medicine, Erasmus MC, the Research Institute for Diseases in the Elderly (014-93-015; RIDE2), the Netherlands Genomics Initiative (NGI)/Netherlands Organisation for Scientific Research (NWO) Netherlands Consortium for Healthy Aging (NCHA), project nr. 050-060- 810. We thank Pascal Arp, Mila Jhamai, Marijn Verkerk, Lizbeth Herrera and Marjolein Peters, and Carolina Medina-Gomez, for their help in creating the GWAS database, and Karol Estrada, Yurii Aulchenko, and Carolina Medina-Gomez, for the creation and analysis of imputed data. The RS is funded by Erasmus Medical Center and Erasmus University, Rotterdam, Netherlands Organization for the Health Research and Development (ZonMw), the Research Institute for Diseases in the Elderly (RIDE), the Ministry of Education, Culture and Science, the Ministry for Health, Welfare and Sports, the European Commission (DG XII), and the Municipality of Rotterdam. The authors are grateful to the study participants, the staff from the RS and the participating general practitioners and pharmacists.</w:t>
      </w:r>
    </w:p>
    <w:p w14:paraId="41F599D2"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SHIP</w:t>
      </w:r>
      <w:r>
        <w:rPr>
          <w:rFonts w:ascii="Arial" w:eastAsia="Times New Roman" w:hAnsi="Arial" w:cs="Arial"/>
          <w:bCs/>
          <w:color w:val="000000"/>
          <w:sz w:val="20"/>
          <w:szCs w:val="20"/>
          <w:lang w:val="en-US"/>
        </w:rPr>
        <w:tab/>
        <w:t xml:space="preserve">SHIP is part of the Community Medicine Research net of the University of Greifswald, Germany, which is funded by the Federal Ministry of Education and Research (grants no. 01ZZ9603, 01ZZ0103, and 01ZZ0403), the Ministry of Cultural Affairs as well as the Social Ministry of the Federal State of Mecklenburg-West Pomerania, and the network ‘Greifswald Approach to Individualized Medicine (GANI_MED)’ funded by the Federal Ministry of Education and Research (grant 03IS2061A). Genome-wide data have been supported by the Federal Ministry of Education and Research (grant no. 03ZIK012) and a joint grant from Siemens Healthineers, Erlangen, Germany and the Federal State of Mecklenburg- West </w:t>
      </w:r>
      <w:r>
        <w:rPr>
          <w:rFonts w:ascii="Arial" w:eastAsia="Times New Roman" w:hAnsi="Arial" w:cs="Arial"/>
          <w:bCs/>
          <w:color w:val="000000"/>
          <w:sz w:val="20"/>
          <w:szCs w:val="20"/>
          <w:lang w:val="en-US"/>
        </w:rPr>
        <w:lastRenderedPageBreak/>
        <w:t>Pomerania. The University of Greifswald is a member of the Caché Campus program of the InterSystems GmbH.</w:t>
      </w:r>
    </w:p>
    <w:p w14:paraId="061AE110"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SiMES</w:t>
      </w:r>
      <w:r>
        <w:rPr>
          <w:rFonts w:ascii="Arial" w:eastAsia="Times New Roman" w:hAnsi="Arial" w:cs="Arial"/>
          <w:bCs/>
          <w:color w:val="000000"/>
          <w:sz w:val="20"/>
          <w:szCs w:val="20"/>
          <w:lang w:val="en-US"/>
        </w:rPr>
        <w:tab/>
        <w:t>The Singapore Malay Eye Study (SiMES) was funded by the National Medical Research Council (NMRC 0796/2003 and NMRC/STaR/0003/2008) and Biomedical Research Council (BMRC, 09/1/35/19/616). The Genome Institute of Singapore provided services for genotyping.</w:t>
      </w:r>
    </w:p>
    <w:p w14:paraId="5038D923"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SINDI</w:t>
      </w:r>
      <w:r>
        <w:rPr>
          <w:rFonts w:ascii="Arial" w:eastAsia="Times New Roman" w:hAnsi="Arial" w:cs="Arial"/>
          <w:bCs/>
          <w:color w:val="000000"/>
          <w:sz w:val="20"/>
          <w:szCs w:val="20"/>
          <w:lang w:val="en-US"/>
        </w:rPr>
        <w:tab/>
        <w:t>The Singapore Indian Eye Study (SINDI) was funded by grants from the Biomedical Research Council of Singapore (BMRC 09/1/35/19/616 and 08/1/35/19/550), and the National Medical Research Council of Singapore (NMRC/STaR/0003/2008). The Genome Institute of Singapore provided services for genotyping.</w:t>
      </w:r>
      <w:r>
        <w:rPr>
          <w:rFonts w:ascii="Arial" w:eastAsia="Times New Roman" w:hAnsi="Arial" w:cs="Arial"/>
          <w:bCs/>
          <w:color w:val="000000"/>
          <w:sz w:val="20"/>
          <w:szCs w:val="20"/>
          <w:lang w:val="en-US"/>
        </w:rPr>
        <w:tab/>
      </w:r>
    </w:p>
    <w:p w14:paraId="2FEEE1A4"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SOLID-TIMI 52</w:t>
      </w:r>
      <w:r>
        <w:rPr>
          <w:rFonts w:ascii="Arial" w:eastAsia="Times New Roman" w:hAnsi="Arial" w:cs="Arial"/>
          <w:bCs/>
          <w:color w:val="000000"/>
          <w:sz w:val="20"/>
          <w:szCs w:val="20"/>
          <w:lang w:val="en-US"/>
        </w:rPr>
        <w:tab/>
        <w:t>The SOLID-TIMI 52 trial was supported and funded by grants from GlaxoSmithKline.</w:t>
      </w:r>
    </w:p>
    <w:p w14:paraId="7A5326D1"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STABILITY</w:t>
      </w:r>
      <w:r>
        <w:rPr>
          <w:rFonts w:ascii="Arial" w:eastAsia="Times New Roman" w:hAnsi="Arial" w:cs="Arial"/>
          <w:bCs/>
          <w:color w:val="000000"/>
          <w:sz w:val="20"/>
          <w:szCs w:val="20"/>
          <w:lang w:val="en-US"/>
        </w:rPr>
        <w:tab/>
        <w:t>The STABILITY trial was supported and funded by grants from GlaxoSmithKline.</w:t>
      </w:r>
    </w:p>
    <w:p w14:paraId="630522C0"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Vanderbilt</w:t>
      </w:r>
      <w:r>
        <w:rPr>
          <w:rFonts w:ascii="Arial" w:eastAsia="Times New Roman" w:hAnsi="Arial" w:cs="Arial"/>
          <w:bCs/>
          <w:color w:val="000000"/>
          <w:sz w:val="20"/>
          <w:szCs w:val="20"/>
          <w:lang w:val="en-US"/>
        </w:rPr>
        <w:tab/>
        <w:t>The data used for the analyses were obtained from Vanderbilt University Medical Center’s BioVU, which is supported by numerous sources: institutional funding, private agencies, and federal grants. These include the NIH funded Shared Instrumentation Grant S10RR025141; and CTSA grants UL1TR002243, UL1TR000445, and UL1RR024975. Genomic data are also supported by investigator-led projects that include U01HG004798, R01NS032830, RC2GM092618, P50GM115305, U01HG006378, U19HL065962, R01HD074711; and additional funding sources listed at https://victr.vanderbilt.edu/pub/biovu/. Jacklyn N. Hellwege is supported by the Vanderbilt Molecular and Genetic Epidemiology of Cancer training program, funded by T32CA160056.</w:t>
      </w:r>
    </w:p>
    <w:p w14:paraId="5712FF48" w14:textId="77777777" w:rsidR="008D6DF4" w:rsidRDefault="007C1EBA">
      <w:pPr>
        <w:ind w:left="1701" w:hanging="1701"/>
        <w:jc w:val="both"/>
        <w:rPr>
          <w:rFonts w:ascii="Arial" w:eastAsia="Times New Roman" w:hAnsi="Arial" w:cs="Arial"/>
          <w:bCs/>
          <w:color w:val="000000"/>
          <w:sz w:val="20"/>
          <w:szCs w:val="20"/>
          <w:lang w:val="en-US"/>
        </w:rPr>
      </w:pPr>
      <w:r>
        <w:rPr>
          <w:rFonts w:ascii="Arial" w:eastAsia="Times New Roman" w:hAnsi="Arial" w:cs="Arial"/>
          <w:b/>
          <w:bCs/>
          <w:color w:val="000000"/>
          <w:sz w:val="20"/>
          <w:szCs w:val="20"/>
          <w:lang w:val="en-US"/>
        </w:rPr>
        <w:t>YFS</w:t>
      </w:r>
      <w:r>
        <w:rPr>
          <w:rFonts w:ascii="Arial" w:eastAsia="Times New Roman" w:hAnsi="Arial" w:cs="Arial"/>
          <w:bCs/>
          <w:color w:val="000000"/>
          <w:sz w:val="20"/>
          <w:szCs w:val="20"/>
          <w:lang w:val="en-US"/>
        </w:rPr>
        <w:tab/>
      </w:r>
      <w:r>
        <w:rPr>
          <w:rFonts w:ascii="Arial" w:hAnsi="Arial" w:cs="Arial"/>
          <w:bCs/>
          <w:color w:val="000000"/>
          <w:sz w:val="20"/>
          <w:szCs w:val="20"/>
          <w:lang w:val="en-US"/>
        </w:rPr>
        <w:t>The Young Finns Study has been financially supported by the Academy of Finland: grants 322098, 286284, 134309 (Eye), 126925, 121584, 124282, 129378 (Salve), 117787 (Gendi), and 41071 (Skidi); the Social Insurance Institution of Finland; Competitive State Research Financing of the Expert Responsibility area of Kuopio, Tampere and Turku University Hospitals (grant X51001); Juho Vainio Foundation; Paavo Nurmi Foundation; Finnish Foundation for Cardiovascular Research ; Finnish Cultural Foundation; The Sigrid Juselius Foundation; Tampere Tuberculosis Foundation; Emil Aaltonen Foundation; Yrjö Jahnsson Foundation; Signe and Ane Gyllenberg Foundation; Diabetes Research Foundation of Finnish Diabetes Association; EU Horizon 2020 (grant 755320 for TAXINOMISIS; grant 848146 for To_Aition); European Research Council (grant 742927 for MULTIEPIGEN project); and Tampere University Hospital Supporting Foundation. We thank the teams that collected data at all measurement time points; the persons who participated as both children and adults in these longitudinal studies; and biostatisticians Irina Lisinen, Johanna Ikonen, Noora Kartiosuo, Ville Aalto, and Jarno Kankaanranta for data management and statistical advice.</w:t>
      </w:r>
    </w:p>
    <w:p w14:paraId="0ED85DB4" w14:textId="77777777" w:rsidR="008D6DF4" w:rsidRDefault="007C1EBA">
      <w:pPr>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br w:type="page"/>
      </w:r>
    </w:p>
    <w:p w14:paraId="1D8F6F20" w14:textId="77777777" w:rsidR="008D6DF4" w:rsidRPr="007D28C8" w:rsidRDefault="007C1EBA">
      <w:pPr>
        <w:spacing w:after="200" w:line="276" w:lineRule="auto"/>
        <w:rPr>
          <w:rFonts w:ascii="Arial" w:eastAsia="Times New Roman" w:hAnsi="Arial" w:cs="Arial"/>
          <w:b/>
          <w:szCs w:val="24"/>
          <w:lang w:val="en-US"/>
        </w:rPr>
      </w:pPr>
      <w:r w:rsidRPr="007D28C8">
        <w:rPr>
          <w:rFonts w:ascii="Arial" w:eastAsia="Times New Roman" w:hAnsi="Arial" w:cs="Arial"/>
          <w:b/>
          <w:szCs w:val="24"/>
          <w:lang w:val="en-US"/>
        </w:rPr>
        <w:lastRenderedPageBreak/>
        <w:t>LifeLines group author genetics</w:t>
      </w:r>
    </w:p>
    <w:p w14:paraId="22A6E2F6" w14:textId="77777777" w:rsidR="008D6DF4" w:rsidRPr="007D28C8" w:rsidRDefault="007C1EBA">
      <w:pPr>
        <w:rPr>
          <w:rFonts w:ascii="Arial" w:hAnsi="Arial" w:cs="Arial"/>
          <w:lang w:val="en-US"/>
        </w:rPr>
      </w:pPr>
      <w:r w:rsidRPr="007D28C8">
        <w:rPr>
          <w:rFonts w:ascii="Arial" w:hAnsi="Arial" w:cs="Arial"/>
          <w:lang w:val="en-US"/>
        </w:rPr>
        <w:t>LifeLines Cohort Study</w:t>
      </w:r>
    </w:p>
    <w:p w14:paraId="775DC404" w14:textId="77777777" w:rsidR="008D6DF4" w:rsidRPr="007D28C8" w:rsidRDefault="007C1EBA">
      <w:pPr>
        <w:rPr>
          <w:rFonts w:ascii="Arial" w:hAnsi="Arial" w:cs="Arial"/>
          <w:lang w:val="en-US"/>
        </w:rPr>
      </w:pPr>
      <w:r w:rsidRPr="007D28C8">
        <w:rPr>
          <w:rFonts w:ascii="Arial" w:hAnsi="Arial" w:cs="Arial"/>
          <w:lang w:val="en-US"/>
        </w:rPr>
        <w:t>Behrooz Z Alizadeh</w:t>
      </w:r>
      <w:r w:rsidRPr="007D28C8">
        <w:rPr>
          <w:rFonts w:ascii="Arial" w:hAnsi="Arial" w:cs="Arial"/>
          <w:vertAlign w:val="superscript"/>
          <w:lang w:val="en-US"/>
        </w:rPr>
        <w:t>1</w:t>
      </w:r>
      <w:r w:rsidRPr="007D28C8">
        <w:rPr>
          <w:rFonts w:ascii="Arial" w:hAnsi="Arial" w:cs="Arial"/>
          <w:lang w:val="en-US"/>
        </w:rPr>
        <w:t>, H Marike Boezen</w:t>
      </w:r>
      <w:r w:rsidRPr="007D28C8">
        <w:rPr>
          <w:rFonts w:ascii="Arial" w:hAnsi="Arial" w:cs="Arial"/>
          <w:vertAlign w:val="superscript"/>
          <w:lang w:val="en-US"/>
        </w:rPr>
        <w:t>1</w:t>
      </w:r>
      <w:r w:rsidRPr="007D28C8">
        <w:rPr>
          <w:rFonts w:ascii="Arial" w:hAnsi="Arial" w:cs="Arial"/>
          <w:lang w:val="en-US"/>
        </w:rPr>
        <w:t>, Lude Franke</w:t>
      </w:r>
      <w:r w:rsidRPr="007D28C8">
        <w:rPr>
          <w:rFonts w:ascii="Arial" w:hAnsi="Arial" w:cs="Arial"/>
          <w:vertAlign w:val="superscript"/>
          <w:lang w:val="en-US"/>
        </w:rPr>
        <w:t>2</w:t>
      </w:r>
      <w:r w:rsidRPr="007D28C8">
        <w:rPr>
          <w:rFonts w:ascii="Arial" w:hAnsi="Arial" w:cs="Arial"/>
          <w:lang w:val="en-US"/>
        </w:rPr>
        <w:t>, Pim van der Harst</w:t>
      </w:r>
      <w:r w:rsidRPr="007D28C8">
        <w:rPr>
          <w:rFonts w:ascii="Arial" w:hAnsi="Arial" w:cs="Arial"/>
          <w:vertAlign w:val="superscript"/>
          <w:lang w:val="en-US"/>
        </w:rPr>
        <w:t>3</w:t>
      </w:r>
      <w:r w:rsidRPr="007D28C8">
        <w:rPr>
          <w:rFonts w:ascii="Arial" w:hAnsi="Arial" w:cs="Arial"/>
          <w:lang w:val="en-US"/>
        </w:rPr>
        <w:t>, Gerjan Navis</w:t>
      </w:r>
      <w:r w:rsidRPr="007D28C8">
        <w:rPr>
          <w:rFonts w:ascii="Arial" w:hAnsi="Arial" w:cs="Arial"/>
          <w:vertAlign w:val="superscript"/>
          <w:lang w:val="en-US"/>
        </w:rPr>
        <w:t>4</w:t>
      </w:r>
      <w:r w:rsidRPr="007D28C8">
        <w:rPr>
          <w:rFonts w:ascii="Arial" w:hAnsi="Arial" w:cs="Arial"/>
          <w:lang w:val="en-US"/>
        </w:rPr>
        <w:t>, Marianne Rots</w:t>
      </w:r>
      <w:r w:rsidRPr="007D28C8">
        <w:rPr>
          <w:rFonts w:ascii="Arial" w:hAnsi="Arial" w:cs="Arial"/>
          <w:vertAlign w:val="superscript"/>
          <w:lang w:val="en-US"/>
        </w:rPr>
        <w:t>5</w:t>
      </w:r>
      <w:r w:rsidRPr="007D28C8">
        <w:rPr>
          <w:rFonts w:ascii="Arial" w:hAnsi="Arial" w:cs="Arial"/>
          <w:lang w:val="en-US"/>
        </w:rPr>
        <w:t>, Harold Snieder</w:t>
      </w:r>
      <w:r w:rsidRPr="007D28C8">
        <w:rPr>
          <w:rFonts w:ascii="Arial" w:hAnsi="Arial" w:cs="Arial"/>
          <w:vertAlign w:val="superscript"/>
          <w:lang w:val="en-US"/>
        </w:rPr>
        <w:t>1</w:t>
      </w:r>
      <w:r w:rsidRPr="007D28C8">
        <w:rPr>
          <w:rFonts w:ascii="Arial" w:hAnsi="Arial" w:cs="Arial"/>
          <w:lang w:val="en-US"/>
        </w:rPr>
        <w:t>, Morris Swertz</w:t>
      </w:r>
      <w:r w:rsidRPr="007D28C8">
        <w:rPr>
          <w:rFonts w:ascii="Arial" w:hAnsi="Arial" w:cs="Arial"/>
          <w:vertAlign w:val="superscript"/>
          <w:lang w:val="en-US"/>
        </w:rPr>
        <w:t>2</w:t>
      </w:r>
      <w:r w:rsidRPr="007D28C8">
        <w:rPr>
          <w:rFonts w:ascii="Arial" w:hAnsi="Arial" w:cs="Arial"/>
          <w:lang w:val="en-US"/>
        </w:rPr>
        <w:t>, Bruce HR Wolffenbuttel</w:t>
      </w:r>
      <w:r w:rsidRPr="007D28C8">
        <w:rPr>
          <w:rFonts w:ascii="Arial" w:hAnsi="Arial" w:cs="Arial"/>
          <w:vertAlign w:val="superscript"/>
          <w:lang w:val="en-US"/>
        </w:rPr>
        <w:t>6</w:t>
      </w:r>
      <w:r w:rsidRPr="007D28C8">
        <w:rPr>
          <w:rFonts w:ascii="Arial" w:hAnsi="Arial" w:cs="Arial"/>
          <w:lang w:val="en-US"/>
        </w:rPr>
        <w:t>, Cisca Wijmenga</w:t>
      </w:r>
      <w:r w:rsidRPr="007D28C8">
        <w:rPr>
          <w:rFonts w:ascii="Arial" w:hAnsi="Arial" w:cs="Arial"/>
          <w:vertAlign w:val="superscript"/>
          <w:lang w:val="en-US"/>
        </w:rPr>
        <w:t>2</w:t>
      </w:r>
      <w:r w:rsidRPr="007D28C8">
        <w:rPr>
          <w:rFonts w:ascii="Arial" w:hAnsi="Arial" w:cs="Arial"/>
          <w:lang w:val="en-US"/>
        </w:rPr>
        <w:t>.</w:t>
      </w:r>
    </w:p>
    <w:p w14:paraId="6335C6AF" w14:textId="410269EE" w:rsidR="008D6DF4" w:rsidRPr="007D28C8" w:rsidRDefault="007C1EBA">
      <w:pPr>
        <w:jc w:val="both"/>
        <w:rPr>
          <w:rFonts w:ascii="Arial" w:hAnsi="Arial" w:cs="Arial"/>
          <w:i/>
          <w:lang w:val="en-US"/>
        </w:rPr>
      </w:pPr>
      <w:r w:rsidRPr="007D28C8">
        <w:rPr>
          <w:rFonts w:ascii="Arial" w:hAnsi="Arial" w:cs="Arial"/>
          <w:i/>
          <w:lang w:val="en-US"/>
        </w:rPr>
        <w:t xml:space="preserve"> </w:t>
      </w:r>
      <w:r w:rsidRPr="007D28C8">
        <w:rPr>
          <w:rFonts w:ascii="Arial" w:hAnsi="Arial" w:cs="Arial"/>
          <w:i/>
          <w:vertAlign w:val="superscript"/>
          <w:lang w:val="en-US"/>
        </w:rPr>
        <w:t>1</w:t>
      </w:r>
      <w:r w:rsidRPr="007D28C8">
        <w:rPr>
          <w:rFonts w:ascii="Arial" w:hAnsi="Arial" w:cs="Arial"/>
          <w:i/>
          <w:lang w:val="en-US"/>
        </w:rPr>
        <w:t xml:space="preserve">Department of Epidemiology, University of Groningen, University Medical Center Groningen, The Netherlands. </w:t>
      </w:r>
      <w:r w:rsidRPr="007D28C8">
        <w:rPr>
          <w:rFonts w:ascii="Arial" w:hAnsi="Arial" w:cs="Arial"/>
          <w:i/>
          <w:vertAlign w:val="superscript"/>
          <w:lang w:val="en-US"/>
        </w:rPr>
        <w:t>2</w:t>
      </w:r>
      <w:r w:rsidRPr="007D28C8">
        <w:rPr>
          <w:rFonts w:ascii="Arial" w:hAnsi="Arial" w:cs="Arial"/>
          <w:i/>
          <w:lang w:val="en-US"/>
        </w:rPr>
        <w:t>Department of Genetics, University of Groningen,</w:t>
      </w:r>
      <w:r w:rsidR="004E505C" w:rsidRPr="007D28C8">
        <w:rPr>
          <w:rFonts w:ascii="Arial" w:hAnsi="Arial" w:cs="Arial"/>
          <w:i/>
          <w:lang w:val="en-US"/>
        </w:rPr>
        <w:t xml:space="preserve"> </w:t>
      </w:r>
      <w:r w:rsidRPr="007D28C8">
        <w:rPr>
          <w:rFonts w:ascii="Arial" w:hAnsi="Arial" w:cs="Arial"/>
          <w:i/>
          <w:lang w:val="en-US"/>
        </w:rPr>
        <w:t xml:space="preserve">University Medical Center Groningen, The Netherlands, </w:t>
      </w:r>
      <w:r w:rsidRPr="007D28C8">
        <w:rPr>
          <w:rFonts w:ascii="Arial" w:hAnsi="Arial" w:cs="Arial"/>
          <w:i/>
          <w:vertAlign w:val="superscript"/>
          <w:lang w:val="en-US"/>
        </w:rPr>
        <w:t>3</w:t>
      </w:r>
      <w:r w:rsidRPr="007D28C8">
        <w:rPr>
          <w:rFonts w:ascii="Arial" w:hAnsi="Arial" w:cs="Arial"/>
          <w:i/>
          <w:lang w:val="en-US"/>
        </w:rPr>
        <w:t>Department of Cardiology, University of Groningen,</w:t>
      </w:r>
      <w:r w:rsidR="004E505C" w:rsidRPr="007D28C8">
        <w:rPr>
          <w:rFonts w:ascii="Arial" w:hAnsi="Arial" w:cs="Arial"/>
          <w:i/>
          <w:lang w:val="en-US"/>
        </w:rPr>
        <w:t xml:space="preserve"> </w:t>
      </w:r>
      <w:r w:rsidRPr="007D28C8">
        <w:rPr>
          <w:rFonts w:ascii="Arial" w:hAnsi="Arial" w:cs="Arial"/>
          <w:i/>
          <w:lang w:val="en-US"/>
        </w:rPr>
        <w:t xml:space="preserve">University Medical Center Groningen, The Netherlands, </w:t>
      </w:r>
      <w:r w:rsidRPr="007D28C8">
        <w:rPr>
          <w:rFonts w:ascii="Arial" w:hAnsi="Arial" w:cs="Arial"/>
          <w:i/>
          <w:vertAlign w:val="superscript"/>
          <w:lang w:val="en-US"/>
        </w:rPr>
        <w:t>4</w:t>
      </w:r>
      <w:r w:rsidRPr="007D28C8">
        <w:rPr>
          <w:rFonts w:ascii="Arial" w:hAnsi="Arial" w:cs="Arial"/>
          <w:i/>
          <w:lang w:val="en-US"/>
        </w:rPr>
        <w:t>Department of Internal Medicine, Division of Nephrology,</w:t>
      </w:r>
      <w:r w:rsidR="004E505C" w:rsidRPr="007D28C8">
        <w:rPr>
          <w:rFonts w:ascii="Arial" w:hAnsi="Arial" w:cs="Arial"/>
          <w:i/>
          <w:lang w:val="en-US"/>
        </w:rPr>
        <w:t xml:space="preserve"> </w:t>
      </w:r>
      <w:r w:rsidRPr="007D28C8">
        <w:rPr>
          <w:rFonts w:ascii="Arial" w:hAnsi="Arial" w:cs="Arial"/>
          <w:i/>
          <w:lang w:val="en-US"/>
        </w:rPr>
        <w:t xml:space="preserve">University of Groningen, University Medical Center Groningen, The Netherlands, </w:t>
      </w:r>
      <w:r w:rsidRPr="007D28C8">
        <w:rPr>
          <w:rFonts w:ascii="Arial" w:hAnsi="Arial" w:cs="Arial"/>
          <w:i/>
          <w:vertAlign w:val="superscript"/>
          <w:lang w:val="en-US"/>
        </w:rPr>
        <w:t>5</w:t>
      </w:r>
      <w:r w:rsidRPr="007D28C8">
        <w:rPr>
          <w:rFonts w:ascii="Arial" w:hAnsi="Arial" w:cs="Arial"/>
          <w:i/>
          <w:lang w:val="en-US"/>
        </w:rPr>
        <w:t>Department of Pathology and Medical Biology, University</w:t>
      </w:r>
      <w:r w:rsidR="004E505C" w:rsidRPr="007D28C8">
        <w:rPr>
          <w:rFonts w:ascii="Arial" w:hAnsi="Arial" w:cs="Arial"/>
          <w:i/>
          <w:lang w:val="en-US"/>
        </w:rPr>
        <w:t xml:space="preserve"> </w:t>
      </w:r>
      <w:r w:rsidRPr="007D28C8">
        <w:rPr>
          <w:rFonts w:ascii="Arial" w:hAnsi="Arial" w:cs="Arial"/>
          <w:i/>
          <w:lang w:val="en-US"/>
        </w:rPr>
        <w:t xml:space="preserve">of Groningen, University Medical Center Groningen, The Netherlands, </w:t>
      </w:r>
      <w:r w:rsidRPr="007D28C8">
        <w:rPr>
          <w:rFonts w:ascii="Arial" w:hAnsi="Arial" w:cs="Arial"/>
          <w:i/>
          <w:vertAlign w:val="superscript"/>
          <w:lang w:val="en-US"/>
        </w:rPr>
        <w:t>6</w:t>
      </w:r>
      <w:r w:rsidRPr="007D28C8">
        <w:rPr>
          <w:rFonts w:ascii="Arial" w:hAnsi="Arial" w:cs="Arial"/>
          <w:i/>
          <w:lang w:val="en-US"/>
        </w:rPr>
        <w:t>Department of Endocrinology, University of Groningen,</w:t>
      </w:r>
      <w:r w:rsidR="004E505C" w:rsidRPr="007D28C8">
        <w:rPr>
          <w:rFonts w:ascii="Arial" w:hAnsi="Arial" w:cs="Arial"/>
          <w:i/>
          <w:lang w:val="en-US"/>
        </w:rPr>
        <w:t xml:space="preserve"> </w:t>
      </w:r>
      <w:r w:rsidRPr="007D28C8">
        <w:rPr>
          <w:rFonts w:ascii="Arial" w:hAnsi="Arial" w:cs="Arial"/>
          <w:i/>
          <w:lang w:val="en-US"/>
        </w:rPr>
        <w:t>University Medical Center Groningen, The Netherlands</w:t>
      </w:r>
    </w:p>
    <w:p w14:paraId="2E6D5470" w14:textId="2BAF4356" w:rsidR="007D3557" w:rsidRPr="007D28C8" w:rsidRDefault="007D3557" w:rsidP="007D3557">
      <w:pPr>
        <w:spacing w:after="200" w:line="276" w:lineRule="auto"/>
        <w:rPr>
          <w:rFonts w:ascii="Arial" w:eastAsia="Times New Roman" w:hAnsi="Arial" w:cs="Arial"/>
          <w:b/>
          <w:szCs w:val="24"/>
          <w:lang w:val="en-US"/>
        </w:rPr>
      </w:pPr>
      <w:r w:rsidRPr="007D28C8">
        <w:rPr>
          <w:rFonts w:ascii="Arial" w:eastAsia="Times New Roman" w:hAnsi="Arial" w:cs="Arial"/>
          <w:b/>
          <w:szCs w:val="24"/>
          <w:lang w:val="en-US"/>
        </w:rPr>
        <w:t>Regeneron Genetics Center Banner Author List and Contribution Statements</w:t>
      </w:r>
    </w:p>
    <w:p w14:paraId="2E50C2CF" w14:textId="77777777" w:rsidR="007D3557" w:rsidRPr="007D28C8" w:rsidRDefault="007D3557" w:rsidP="007D28C8">
      <w:pPr>
        <w:jc w:val="both"/>
        <w:rPr>
          <w:rFonts w:ascii="Arial" w:hAnsi="Arial" w:cs="Arial"/>
          <w:lang w:val="en-US"/>
        </w:rPr>
      </w:pPr>
      <w:r w:rsidRPr="007D28C8">
        <w:rPr>
          <w:rFonts w:ascii="Arial" w:hAnsi="Arial" w:cs="Arial"/>
          <w:lang w:val="en-US"/>
        </w:rPr>
        <w:t>All authors/contributors are listed in alphabetical order.</w:t>
      </w:r>
    </w:p>
    <w:p w14:paraId="33A45561" w14:textId="77777777" w:rsidR="007D3557" w:rsidRPr="007D28C8" w:rsidRDefault="007D3557" w:rsidP="007D28C8">
      <w:pPr>
        <w:spacing w:after="0"/>
        <w:jc w:val="both"/>
        <w:rPr>
          <w:rFonts w:ascii="Arial" w:hAnsi="Arial" w:cs="Arial"/>
          <w:u w:val="single"/>
          <w:lang w:val="en-US"/>
        </w:rPr>
      </w:pPr>
      <w:r w:rsidRPr="007D28C8">
        <w:rPr>
          <w:rFonts w:ascii="Arial" w:hAnsi="Arial" w:cs="Arial"/>
          <w:u w:val="single"/>
          <w:lang w:val="en-US"/>
        </w:rPr>
        <w:t>RGC Management and Leadership Team</w:t>
      </w:r>
    </w:p>
    <w:p w14:paraId="47389F54" w14:textId="767C3BB5" w:rsidR="007D3557" w:rsidRPr="007D28C8" w:rsidRDefault="007D3557" w:rsidP="007D28C8">
      <w:pPr>
        <w:spacing w:after="120"/>
        <w:jc w:val="both"/>
        <w:rPr>
          <w:rFonts w:ascii="Arial" w:hAnsi="Arial" w:cs="Arial"/>
          <w:lang w:val="en-US"/>
        </w:rPr>
      </w:pPr>
      <w:r w:rsidRPr="007D28C8">
        <w:rPr>
          <w:rFonts w:ascii="Arial" w:hAnsi="Arial" w:cs="Arial"/>
          <w:lang w:val="en-US"/>
        </w:rPr>
        <w:t>Goncalo Abecasis, Ph.D., Aris Baras, M.D., Michael Cantor, M.D., Giovanni Coppola, M.D., Aris Economides, Ph.D., Luca A. Lotta, M.D., Ph.D., John D. Overton, Ph.D., Jeffrey G. Reid, Ph.D., Alan Shuldiner, M.D.</w:t>
      </w:r>
      <w:r w:rsidR="00A4789D" w:rsidRPr="007D28C8">
        <w:rPr>
          <w:rFonts w:ascii="Arial" w:hAnsi="Arial" w:cs="Arial"/>
          <w:lang w:val="en-US"/>
        </w:rPr>
        <w:t xml:space="preserve"> </w:t>
      </w:r>
      <w:r w:rsidRPr="007D28C8">
        <w:rPr>
          <w:rFonts w:ascii="Arial" w:hAnsi="Arial" w:cs="Arial"/>
          <w:lang w:val="en-US"/>
        </w:rPr>
        <w:t>Contribution: All authors contributed to securing funding, study design and oversight. All authors reviewed the final version of the manuscript.</w:t>
      </w:r>
    </w:p>
    <w:p w14:paraId="14C450BE" w14:textId="459D63A3" w:rsidR="007D3557" w:rsidRPr="007D28C8" w:rsidRDefault="007D3557" w:rsidP="007D28C8">
      <w:pPr>
        <w:spacing w:after="0"/>
        <w:jc w:val="both"/>
        <w:rPr>
          <w:rFonts w:ascii="Arial" w:hAnsi="Arial" w:cs="Arial"/>
          <w:u w:val="single"/>
          <w:lang w:val="en-US"/>
        </w:rPr>
      </w:pPr>
      <w:r w:rsidRPr="007D28C8">
        <w:rPr>
          <w:rFonts w:ascii="Arial" w:hAnsi="Arial" w:cs="Arial"/>
          <w:u w:val="single"/>
          <w:lang w:val="en-US"/>
        </w:rPr>
        <w:t>Sequencing and Lab Operations</w:t>
      </w:r>
    </w:p>
    <w:p w14:paraId="06C45B5C" w14:textId="16F6A6D9" w:rsidR="007D3557" w:rsidRPr="007D28C8" w:rsidRDefault="007D3557" w:rsidP="007D28C8">
      <w:pPr>
        <w:spacing w:after="120"/>
        <w:jc w:val="both"/>
        <w:rPr>
          <w:rFonts w:ascii="Arial" w:hAnsi="Arial" w:cs="Arial"/>
          <w:lang w:val="en-US"/>
        </w:rPr>
      </w:pPr>
      <w:r w:rsidRPr="007D28C8">
        <w:rPr>
          <w:rFonts w:ascii="Arial" w:hAnsi="Arial" w:cs="Arial"/>
          <w:lang w:val="en-US"/>
        </w:rPr>
        <w:t>Christina Beechert, Caitlin Forsythe, M.S., Erin D. Fuller, Zhenhua Gu, M.S., Michael Lattari, Alexander Lopez, M.S., John D. Overton, Ph.D., Thomas D. Schleicher, M.S., Maria Sotiropoulos Padilla, M.S., Karina Toledo, Louis Widom, Sarah E. Wolf, M.S., Manasi Pradhan, M.S., Kia Manoochehri, Ricardo H. Ulloa.</w:t>
      </w:r>
      <w:r w:rsidR="00A4789D" w:rsidRPr="007D28C8">
        <w:rPr>
          <w:rFonts w:ascii="Arial" w:hAnsi="Arial" w:cs="Arial"/>
          <w:lang w:val="en-US"/>
        </w:rPr>
        <w:t xml:space="preserve"> </w:t>
      </w:r>
      <w:r w:rsidRPr="007D28C8">
        <w:rPr>
          <w:rFonts w:ascii="Arial" w:hAnsi="Arial" w:cs="Arial"/>
          <w:lang w:val="en-US"/>
        </w:rPr>
        <w:t>Contribution: C.B., C.F., K.T., A.L., and J.D.O. performed and are res</w:t>
      </w:r>
      <w:r w:rsidR="00356522">
        <w:rPr>
          <w:rFonts w:ascii="Arial" w:hAnsi="Arial" w:cs="Arial"/>
          <w:lang w:val="en-US"/>
        </w:rPr>
        <w:t>ponsible for sample genotyping.</w:t>
      </w:r>
      <w:r w:rsidRPr="007D28C8">
        <w:rPr>
          <w:rFonts w:ascii="Arial" w:hAnsi="Arial" w:cs="Arial"/>
          <w:lang w:val="en-US"/>
        </w:rPr>
        <w:t xml:space="preserve"> C.B, C.F., E.D.F., M.L., M.S.P., K.T., L.W., S.E.W., A.L., and J.D.O. performed and are responsible for exome sequencing. T.D.S., Z.G., A.L., and J.D.O. conceived and are responsi</w:t>
      </w:r>
      <w:r w:rsidR="00356522">
        <w:rPr>
          <w:rFonts w:ascii="Arial" w:hAnsi="Arial" w:cs="Arial"/>
          <w:lang w:val="en-US"/>
        </w:rPr>
        <w:t xml:space="preserve">ble for laboratory automation. </w:t>
      </w:r>
      <w:r w:rsidRPr="007D28C8">
        <w:rPr>
          <w:rFonts w:ascii="Arial" w:hAnsi="Arial" w:cs="Arial"/>
          <w:lang w:val="en-US"/>
        </w:rPr>
        <w:t xml:space="preserve">M.P., K.M., R.U., and J.D.O are responsible for sample tracking and the library </w:t>
      </w:r>
      <w:r w:rsidR="00356522">
        <w:rPr>
          <w:rFonts w:ascii="Arial" w:hAnsi="Arial" w:cs="Arial"/>
          <w:lang w:val="en-US"/>
        </w:rPr>
        <w:t>information management system.</w:t>
      </w:r>
    </w:p>
    <w:p w14:paraId="0E79E042" w14:textId="77777777" w:rsidR="007D3557" w:rsidRPr="007D28C8" w:rsidRDefault="007D3557" w:rsidP="007D28C8">
      <w:pPr>
        <w:spacing w:after="0"/>
        <w:jc w:val="both"/>
        <w:rPr>
          <w:rFonts w:ascii="Arial" w:hAnsi="Arial" w:cs="Arial"/>
          <w:u w:val="single"/>
          <w:lang w:val="en-US"/>
        </w:rPr>
      </w:pPr>
      <w:r w:rsidRPr="007D28C8">
        <w:rPr>
          <w:rFonts w:ascii="Arial" w:hAnsi="Arial" w:cs="Arial"/>
          <w:u w:val="single"/>
          <w:lang w:val="en-US"/>
        </w:rPr>
        <w:t>Genome Informatics</w:t>
      </w:r>
    </w:p>
    <w:p w14:paraId="1F4A911D" w14:textId="08DB4FF0" w:rsidR="007D3557" w:rsidRPr="007D28C8" w:rsidRDefault="007D3557" w:rsidP="007D28C8">
      <w:pPr>
        <w:jc w:val="both"/>
        <w:rPr>
          <w:rFonts w:ascii="Arial" w:hAnsi="Arial" w:cs="Arial"/>
          <w:lang w:val="en-US"/>
        </w:rPr>
      </w:pPr>
      <w:r w:rsidRPr="007D28C8">
        <w:rPr>
          <w:rFonts w:ascii="Arial" w:hAnsi="Arial" w:cs="Arial"/>
          <w:lang w:val="en-US"/>
        </w:rPr>
        <w:t>Xiaodong Bai, Ph.D., Suganthi Balasubramanian, Ph.D., Leland Barnard, Ph.D., Andrew Blumenfeld, Gisu Eom, Lukas Habegger, Ph.D., Alicia Hawes, B.S., Shareef Khalid, Jeffrey G. Reid, Ph.D., Evan K. Maxwell, Ph.D., William Salerno, Ph.D., Jeffrey C. Staples, Ph.D.</w:t>
      </w:r>
      <w:r w:rsidR="00A4789D" w:rsidRPr="007D28C8">
        <w:rPr>
          <w:rFonts w:ascii="Arial" w:hAnsi="Arial" w:cs="Arial"/>
          <w:lang w:val="en-US"/>
        </w:rPr>
        <w:t xml:space="preserve"> </w:t>
      </w:r>
      <w:r w:rsidRPr="007D28C8">
        <w:rPr>
          <w:rFonts w:ascii="Arial" w:hAnsi="Arial" w:cs="Arial"/>
          <w:lang w:val="en-US"/>
        </w:rPr>
        <w:t>Contribution: X.B., A.H., W.S. and J.G.R. performed and are responsible for analysis needed to produce exome and genotype data. G.E. and J.G.R. provided compute infrastructure development and operational support. S.K., S.B., and J.G.R. provide variant and gene annotations and their functional interpretation of variants. E.M., L.B., J.S., A.B., L.H., J.G.R. conceived and are responsible for creating, developing, and deploying analysis platforms and computational methods for analyzing genomic data.</w:t>
      </w:r>
    </w:p>
    <w:p w14:paraId="14150867" w14:textId="77777777" w:rsidR="007D3557" w:rsidRPr="007D28C8" w:rsidRDefault="007D3557" w:rsidP="007D28C8">
      <w:pPr>
        <w:spacing w:after="0"/>
        <w:jc w:val="both"/>
        <w:rPr>
          <w:rFonts w:ascii="Arial" w:hAnsi="Arial" w:cs="Arial"/>
          <w:u w:val="single"/>
          <w:lang w:val="en-US"/>
        </w:rPr>
      </w:pPr>
      <w:r w:rsidRPr="007D28C8">
        <w:rPr>
          <w:rFonts w:ascii="Arial" w:hAnsi="Arial" w:cs="Arial"/>
          <w:u w:val="single"/>
          <w:lang w:val="en-US"/>
        </w:rPr>
        <w:t>Research Program Management</w:t>
      </w:r>
    </w:p>
    <w:p w14:paraId="05F01AC8" w14:textId="77777777" w:rsidR="007D3557" w:rsidRPr="007D28C8" w:rsidRDefault="007D3557" w:rsidP="007D28C8">
      <w:pPr>
        <w:spacing w:after="0"/>
        <w:jc w:val="both"/>
        <w:rPr>
          <w:rFonts w:ascii="Arial" w:hAnsi="Arial" w:cs="Arial"/>
          <w:lang w:val="en-US"/>
        </w:rPr>
      </w:pPr>
      <w:r w:rsidRPr="007D28C8">
        <w:rPr>
          <w:rFonts w:ascii="Arial" w:hAnsi="Arial" w:cs="Arial"/>
          <w:lang w:val="en-US"/>
        </w:rPr>
        <w:t>Marcus B. Jones, Ph.D., Lyndon J. Mitnaul, Ph.D.</w:t>
      </w:r>
    </w:p>
    <w:p w14:paraId="211423E2" w14:textId="3561E94B" w:rsidR="008D6DF4" w:rsidRPr="007D28C8" w:rsidRDefault="007D3557" w:rsidP="007D28C8">
      <w:pPr>
        <w:jc w:val="both"/>
        <w:rPr>
          <w:rFonts w:ascii="Arial" w:hAnsi="Arial" w:cs="Arial"/>
          <w:lang w:val="en-US"/>
        </w:rPr>
      </w:pPr>
      <w:r w:rsidRPr="007D28C8">
        <w:rPr>
          <w:rFonts w:ascii="Arial" w:hAnsi="Arial" w:cs="Arial"/>
          <w:lang w:val="en-US"/>
        </w:rPr>
        <w:t>Contribution: All authors contributed to the management and coordination of all research activities, planning and execution. All authors contributed to the review process for the final version of the manuscript.</w:t>
      </w:r>
    </w:p>
    <w:sectPr w:rsidR="008D6DF4" w:rsidRPr="007D28C8">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83C78" w16cex:dateUtc="2020-07-26T15:31:00Z"/>
  <w16cex:commentExtensible w16cex:durableId="22C847B4" w16cex:dateUtc="2020-07-26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18423" w16cid:durableId="22CAFA8F"/>
  <w16cid:commentId w16cid:paraId="203718EB" w16cid:durableId="22CAFA90"/>
  <w16cid:commentId w16cid:paraId="01C34055" w16cid:durableId="22CAFA94"/>
  <w16cid:commentId w16cid:paraId="3A87AFAE" w16cid:durableId="22CAFA95"/>
  <w16cid:commentId w16cid:paraId="6F9B2C81" w16cid:durableId="22CAFA9D"/>
  <w16cid:commentId w16cid:paraId="2F0737D1" w16cid:durableId="22CAFA9E"/>
  <w16cid:commentId w16cid:paraId="249FB10E" w16cid:durableId="22CB1AE7"/>
  <w16cid:commentId w16cid:paraId="67E90A43" w16cid:durableId="22D50370"/>
  <w16cid:commentId w16cid:paraId="741DFBC6" w16cid:durableId="22D50382"/>
  <w16cid:commentId w16cid:paraId="6FDC1902" w16cid:durableId="22CAFA9F"/>
  <w16cid:commentId w16cid:paraId="69B854AA" w16cid:durableId="22CAFAA1"/>
  <w16cid:commentId w16cid:paraId="5B1F8BB3" w16cid:durableId="22CAFAA2"/>
  <w16cid:commentId w16cid:paraId="5C4072C5" w16cid:durableId="22CAFAA3"/>
  <w16cid:commentId w16cid:paraId="3ABB6E93" w16cid:durableId="22CAFAA4"/>
  <w16cid:commentId w16cid:paraId="530C3F02" w16cid:durableId="22CAFAA5"/>
  <w16cid:commentId w16cid:paraId="6CF53F57" w16cid:durableId="22CAFAA6"/>
  <w16cid:commentId w16cid:paraId="3F4173B0" w16cid:durableId="22CAFAA7"/>
  <w16cid:commentId w16cid:paraId="6FAC0924" w16cid:durableId="22CAFA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D6C56" w14:textId="77777777" w:rsidR="003A0A52" w:rsidRDefault="003A0A52">
      <w:pPr>
        <w:spacing w:after="0" w:line="240" w:lineRule="auto"/>
      </w:pPr>
      <w:r>
        <w:separator/>
      </w:r>
    </w:p>
  </w:endnote>
  <w:endnote w:type="continuationSeparator" w:id="0">
    <w:p w14:paraId="52924E3D" w14:textId="77777777" w:rsidR="003A0A52" w:rsidRDefault="003A0A52">
      <w:pPr>
        <w:spacing w:after="0" w:line="240" w:lineRule="auto"/>
      </w:pPr>
      <w:r>
        <w:continuationSeparator/>
      </w:r>
    </w:p>
  </w:endnote>
  <w:endnote w:type="continuationNotice" w:id="1">
    <w:p w14:paraId="43A5CDF8" w14:textId="77777777" w:rsidR="003A0A52" w:rsidRDefault="003A0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618683"/>
      <w:docPartObj>
        <w:docPartGallery w:val="Page Numbers (Bottom of Page)"/>
        <w:docPartUnique/>
      </w:docPartObj>
    </w:sdtPr>
    <w:sdtEndPr/>
    <w:sdtContent>
      <w:p w14:paraId="34B60594" w14:textId="4AE59ADD" w:rsidR="003A0A52" w:rsidRDefault="003A0A52">
        <w:pPr>
          <w:pStyle w:val="Fuzeile"/>
          <w:jc w:val="right"/>
        </w:pPr>
        <w:r>
          <w:fldChar w:fldCharType="begin"/>
        </w:r>
        <w:r>
          <w:instrText>PAGE   \* MERGEFORMAT</w:instrText>
        </w:r>
        <w:r>
          <w:fldChar w:fldCharType="separate"/>
        </w:r>
        <w:r w:rsidR="00BA5039">
          <w:rPr>
            <w:noProof/>
          </w:rPr>
          <w:t>21</w:t>
        </w:r>
        <w:r>
          <w:fldChar w:fldCharType="end"/>
        </w:r>
      </w:p>
    </w:sdtContent>
  </w:sdt>
  <w:p w14:paraId="4600CD4A" w14:textId="77777777" w:rsidR="003A0A52" w:rsidRDefault="003A0A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19B03" w14:textId="77777777" w:rsidR="003A0A52" w:rsidRDefault="003A0A52">
      <w:pPr>
        <w:spacing w:after="0" w:line="240" w:lineRule="auto"/>
      </w:pPr>
      <w:r>
        <w:separator/>
      </w:r>
    </w:p>
  </w:footnote>
  <w:footnote w:type="continuationSeparator" w:id="0">
    <w:p w14:paraId="640E5928" w14:textId="77777777" w:rsidR="003A0A52" w:rsidRDefault="003A0A52">
      <w:pPr>
        <w:spacing w:after="0" w:line="240" w:lineRule="auto"/>
      </w:pPr>
      <w:r>
        <w:continuationSeparator/>
      </w:r>
    </w:p>
  </w:footnote>
  <w:footnote w:type="continuationNotice" w:id="1">
    <w:p w14:paraId="4B4FC36F" w14:textId="77777777" w:rsidR="003A0A52" w:rsidRDefault="003A0A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37A6"/>
    <w:multiLevelType w:val="hybridMultilevel"/>
    <w:tmpl w:val="FCC851AC"/>
    <w:lvl w:ilvl="0" w:tplc="4104B37A">
      <w:start w:val="6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7B2879"/>
    <w:multiLevelType w:val="hybridMultilevel"/>
    <w:tmpl w:val="F3B4F1C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C6A5E42"/>
    <w:multiLevelType w:val="hybridMultilevel"/>
    <w:tmpl w:val="B6E879A8"/>
    <w:lvl w:ilvl="0" w:tplc="C602F716">
      <w:start w:val="1"/>
      <w:numFmt w:val="decimal"/>
      <w:lvlText w:val="(%1)"/>
      <w:lvlJc w:val="left"/>
      <w:pPr>
        <w:ind w:left="502" w:hanging="360"/>
      </w:pPr>
      <w:rPr>
        <w:rFonts w:cs="Times New Roman" w:hint="default"/>
      </w:rPr>
    </w:lvl>
    <w:lvl w:ilvl="1" w:tplc="04130019" w:tentative="1">
      <w:start w:val="1"/>
      <w:numFmt w:val="lowerLetter"/>
      <w:lvlText w:val="%2."/>
      <w:lvlJc w:val="left"/>
      <w:pPr>
        <w:ind w:left="1222" w:hanging="360"/>
      </w:pPr>
      <w:rPr>
        <w:rFonts w:cs="Times New Roman"/>
      </w:rPr>
    </w:lvl>
    <w:lvl w:ilvl="2" w:tplc="0413001B" w:tentative="1">
      <w:start w:val="1"/>
      <w:numFmt w:val="lowerRoman"/>
      <w:lvlText w:val="%3."/>
      <w:lvlJc w:val="right"/>
      <w:pPr>
        <w:ind w:left="1942" w:hanging="180"/>
      </w:pPr>
      <w:rPr>
        <w:rFonts w:cs="Times New Roman"/>
      </w:rPr>
    </w:lvl>
    <w:lvl w:ilvl="3" w:tplc="0413000F" w:tentative="1">
      <w:start w:val="1"/>
      <w:numFmt w:val="decimal"/>
      <w:lvlText w:val="%4."/>
      <w:lvlJc w:val="left"/>
      <w:pPr>
        <w:ind w:left="2662" w:hanging="360"/>
      </w:pPr>
      <w:rPr>
        <w:rFonts w:cs="Times New Roman"/>
      </w:rPr>
    </w:lvl>
    <w:lvl w:ilvl="4" w:tplc="04130019" w:tentative="1">
      <w:start w:val="1"/>
      <w:numFmt w:val="lowerLetter"/>
      <w:lvlText w:val="%5."/>
      <w:lvlJc w:val="left"/>
      <w:pPr>
        <w:ind w:left="3382" w:hanging="360"/>
      </w:pPr>
      <w:rPr>
        <w:rFonts w:cs="Times New Roman"/>
      </w:rPr>
    </w:lvl>
    <w:lvl w:ilvl="5" w:tplc="0413001B" w:tentative="1">
      <w:start w:val="1"/>
      <w:numFmt w:val="lowerRoman"/>
      <w:lvlText w:val="%6."/>
      <w:lvlJc w:val="right"/>
      <w:pPr>
        <w:ind w:left="4102" w:hanging="180"/>
      </w:pPr>
      <w:rPr>
        <w:rFonts w:cs="Times New Roman"/>
      </w:rPr>
    </w:lvl>
    <w:lvl w:ilvl="6" w:tplc="0413000F" w:tentative="1">
      <w:start w:val="1"/>
      <w:numFmt w:val="decimal"/>
      <w:lvlText w:val="%7."/>
      <w:lvlJc w:val="left"/>
      <w:pPr>
        <w:ind w:left="4822" w:hanging="360"/>
      </w:pPr>
      <w:rPr>
        <w:rFonts w:cs="Times New Roman"/>
      </w:rPr>
    </w:lvl>
    <w:lvl w:ilvl="7" w:tplc="04130019" w:tentative="1">
      <w:start w:val="1"/>
      <w:numFmt w:val="lowerLetter"/>
      <w:lvlText w:val="%8."/>
      <w:lvlJc w:val="left"/>
      <w:pPr>
        <w:ind w:left="5542" w:hanging="360"/>
      </w:pPr>
      <w:rPr>
        <w:rFonts w:cs="Times New Roman"/>
      </w:rPr>
    </w:lvl>
    <w:lvl w:ilvl="8" w:tplc="0413001B" w:tentative="1">
      <w:start w:val="1"/>
      <w:numFmt w:val="lowerRoman"/>
      <w:lvlText w:val="%9."/>
      <w:lvlJc w:val="right"/>
      <w:pPr>
        <w:ind w:left="6262"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it-IT" w:vendorID="64" w:dllVersion="6" w:nlCheck="1" w:checkStyle="0"/>
  <w:activeWritingStyle w:appName="MSWord" w:lang="it-IT" w:vendorID="64" w:dllVersion="4096" w:nlCheck="1" w:checkStyle="0"/>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DF4"/>
    <w:rsid w:val="00001E16"/>
    <w:rsid w:val="0001057B"/>
    <w:rsid w:val="000335E4"/>
    <w:rsid w:val="00037720"/>
    <w:rsid w:val="00056375"/>
    <w:rsid w:val="000709F4"/>
    <w:rsid w:val="000751DF"/>
    <w:rsid w:val="00085DAC"/>
    <w:rsid w:val="000A21DC"/>
    <w:rsid w:val="000F3DEC"/>
    <w:rsid w:val="000F6BC1"/>
    <w:rsid w:val="00106A2A"/>
    <w:rsid w:val="0011344C"/>
    <w:rsid w:val="001469AB"/>
    <w:rsid w:val="00166A28"/>
    <w:rsid w:val="00184E69"/>
    <w:rsid w:val="001A7458"/>
    <w:rsid w:val="001C4E57"/>
    <w:rsid w:val="0020592B"/>
    <w:rsid w:val="0021002F"/>
    <w:rsid w:val="002123DE"/>
    <w:rsid w:val="00212E1D"/>
    <w:rsid w:val="00283584"/>
    <w:rsid w:val="00291506"/>
    <w:rsid w:val="002978C9"/>
    <w:rsid w:val="002A0A49"/>
    <w:rsid w:val="002C1C62"/>
    <w:rsid w:val="002E649B"/>
    <w:rsid w:val="0032391B"/>
    <w:rsid w:val="00342E60"/>
    <w:rsid w:val="003520F7"/>
    <w:rsid w:val="00356522"/>
    <w:rsid w:val="00362DCE"/>
    <w:rsid w:val="003715B2"/>
    <w:rsid w:val="00374D7F"/>
    <w:rsid w:val="00395C96"/>
    <w:rsid w:val="003A0A52"/>
    <w:rsid w:val="003C4252"/>
    <w:rsid w:val="003D1CE9"/>
    <w:rsid w:val="00416191"/>
    <w:rsid w:val="00424E28"/>
    <w:rsid w:val="0043730A"/>
    <w:rsid w:val="00450AA6"/>
    <w:rsid w:val="004536B6"/>
    <w:rsid w:val="004675A4"/>
    <w:rsid w:val="00475C49"/>
    <w:rsid w:val="004E505C"/>
    <w:rsid w:val="004F600F"/>
    <w:rsid w:val="00512974"/>
    <w:rsid w:val="00513872"/>
    <w:rsid w:val="00513FB5"/>
    <w:rsid w:val="0052015C"/>
    <w:rsid w:val="00532746"/>
    <w:rsid w:val="0054417E"/>
    <w:rsid w:val="0055161E"/>
    <w:rsid w:val="00562788"/>
    <w:rsid w:val="005901EC"/>
    <w:rsid w:val="005B5645"/>
    <w:rsid w:val="006027D7"/>
    <w:rsid w:val="0062014A"/>
    <w:rsid w:val="00630C24"/>
    <w:rsid w:val="00661974"/>
    <w:rsid w:val="0066268C"/>
    <w:rsid w:val="00665005"/>
    <w:rsid w:val="0067314E"/>
    <w:rsid w:val="006800B7"/>
    <w:rsid w:val="00685851"/>
    <w:rsid w:val="00697222"/>
    <w:rsid w:val="006B10C7"/>
    <w:rsid w:val="006C2FF2"/>
    <w:rsid w:val="006F789D"/>
    <w:rsid w:val="007125DD"/>
    <w:rsid w:val="0072469E"/>
    <w:rsid w:val="00732619"/>
    <w:rsid w:val="007404CB"/>
    <w:rsid w:val="00766840"/>
    <w:rsid w:val="00783831"/>
    <w:rsid w:val="00796A92"/>
    <w:rsid w:val="007A473F"/>
    <w:rsid w:val="007C1EBA"/>
    <w:rsid w:val="007C57ED"/>
    <w:rsid w:val="007D28C8"/>
    <w:rsid w:val="007D2947"/>
    <w:rsid w:val="007D3557"/>
    <w:rsid w:val="007D425C"/>
    <w:rsid w:val="007E3A70"/>
    <w:rsid w:val="007E6836"/>
    <w:rsid w:val="008223CD"/>
    <w:rsid w:val="0083589D"/>
    <w:rsid w:val="00836F24"/>
    <w:rsid w:val="00840BE1"/>
    <w:rsid w:val="008963A1"/>
    <w:rsid w:val="008B3D06"/>
    <w:rsid w:val="008C28AF"/>
    <w:rsid w:val="008C7EB5"/>
    <w:rsid w:val="008D6DF4"/>
    <w:rsid w:val="008E6F4E"/>
    <w:rsid w:val="0091587F"/>
    <w:rsid w:val="0092547F"/>
    <w:rsid w:val="00946F31"/>
    <w:rsid w:val="0097188D"/>
    <w:rsid w:val="00990E60"/>
    <w:rsid w:val="009B5F54"/>
    <w:rsid w:val="009C2BF9"/>
    <w:rsid w:val="009C4254"/>
    <w:rsid w:val="009F0B9A"/>
    <w:rsid w:val="009F2882"/>
    <w:rsid w:val="00A12745"/>
    <w:rsid w:val="00A22573"/>
    <w:rsid w:val="00A427A8"/>
    <w:rsid w:val="00A4551B"/>
    <w:rsid w:val="00A4789D"/>
    <w:rsid w:val="00A961E3"/>
    <w:rsid w:val="00A96EF3"/>
    <w:rsid w:val="00AC2DDE"/>
    <w:rsid w:val="00B073B0"/>
    <w:rsid w:val="00B24891"/>
    <w:rsid w:val="00B2755F"/>
    <w:rsid w:val="00B2791F"/>
    <w:rsid w:val="00B36FFF"/>
    <w:rsid w:val="00B45027"/>
    <w:rsid w:val="00B54E54"/>
    <w:rsid w:val="00B63FCC"/>
    <w:rsid w:val="00BA040E"/>
    <w:rsid w:val="00BA1B84"/>
    <w:rsid w:val="00BA3678"/>
    <w:rsid w:val="00BA5039"/>
    <w:rsid w:val="00BE496F"/>
    <w:rsid w:val="00CA2BB9"/>
    <w:rsid w:val="00CB38C2"/>
    <w:rsid w:val="00CD4507"/>
    <w:rsid w:val="00D12890"/>
    <w:rsid w:val="00D42339"/>
    <w:rsid w:val="00D454E0"/>
    <w:rsid w:val="00D50766"/>
    <w:rsid w:val="00D55582"/>
    <w:rsid w:val="00D97510"/>
    <w:rsid w:val="00DB0471"/>
    <w:rsid w:val="00DC566E"/>
    <w:rsid w:val="00DD02E5"/>
    <w:rsid w:val="00DE15C1"/>
    <w:rsid w:val="00E55235"/>
    <w:rsid w:val="00E65DAB"/>
    <w:rsid w:val="00E67C00"/>
    <w:rsid w:val="00E759E2"/>
    <w:rsid w:val="00E8396C"/>
    <w:rsid w:val="00E83EAC"/>
    <w:rsid w:val="00EB4604"/>
    <w:rsid w:val="00ED49C7"/>
    <w:rsid w:val="00EE2033"/>
    <w:rsid w:val="00EE2E36"/>
    <w:rsid w:val="00F04804"/>
    <w:rsid w:val="00F13594"/>
    <w:rsid w:val="00F27245"/>
    <w:rsid w:val="00F7058B"/>
    <w:rsid w:val="00F75A40"/>
    <w:rsid w:val="00F9320F"/>
    <w:rsid w:val="00FA0460"/>
    <w:rsid w:val="00FB1F53"/>
    <w:rsid w:val="00FC61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F6D3A6E"/>
  <w15:docId w15:val="{0475EE98-E8FB-47B9-BA1C-CD6A89217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KeinLeerraum"/>
    <w:next w:val="Standard"/>
    <w:link w:val="berschrift2Zchn"/>
    <w:autoRedefine/>
    <w:uiPriority w:val="9"/>
    <w:unhideWhenUsed/>
    <w:qFormat/>
    <w:rsid w:val="00EB4604"/>
    <w:pPr>
      <w:overflowPunct/>
      <w:autoSpaceDE/>
      <w:autoSpaceDN/>
      <w:adjustRightInd/>
      <w:spacing w:line="360" w:lineRule="auto"/>
      <w:jc w:val="both"/>
      <w:textAlignment w:val="auto"/>
      <w:outlineLvl w:val="1"/>
    </w:pPr>
    <w:rPr>
      <w:rFonts w:eastAsia="Times New Roman" w:cs="Arial"/>
      <w:b/>
      <w:bCs/>
      <w:color w:val="000000"/>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000FF"/>
      <w:u w:val="single"/>
    </w:rPr>
  </w:style>
  <w:style w:type="paragraph" w:styleId="KeinLeerraum">
    <w:name w:val="No Spacing"/>
    <w:aliases w:val="Standard: Kein Leerraum"/>
    <w:link w:val="KeinLeerraumZchn"/>
    <w:uiPriority w:val="1"/>
    <w:qFormat/>
    <w:pPr>
      <w:overflowPunct w:val="0"/>
      <w:autoSpaceDE w:val="0"/>
      <w:autoSpaceDN w:val="0"/>
      <w:adjustRightInd w:val="0"/>
      <w:spacing w:after="0" w:line="240" w:lineRule="auto"/>
      <w:textAlignment w:val="baseline"/>
    </w:pPr>
    <w:rPr>
      <w:rFonts w:ascii="Arial" w:eastAsiaTheme="minorEastAsia" w:hAnsi="Arial" w:cs="Times New Roman"/>
      <w:sz w:val="20"/>
      <w:szCs w:val="20"/>
      <w:lang w:eastAsia="de-DE"/>
    </w:rPr>
  </w:style>
  <w:style w:type="character" w:customStyle="1" w:styleId="KeinLeerraumZchn">
    <w:name w:val="Kein Leerraum Zchn"/>
    <w:aliases w:val="Standard: Kein Leerraum Zchn"/>
    <w:basedOn w:val="Absatz-Standardschriftart"/>
    <w:link w:val="KeinLeerraum"/>
    <w:uiPriority w:val="1"/>
    <w:rPr>
      <w:rFonts w:ascii="Arial" w:eastAsiaTheme="minorEastAsia" w:hAnsi="Arial" w:cs="Times New Roman"/>
      <w:sz w:val="20"/>
      <w:szCs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Listenabsatz">
    <w:name w:val="List Paragraph"/>
    <w:basedOn w:val="Standard"/>
    <w:uiPriority w:val="34"/>
    <w:qFormat/>
    <w:pPr>
      <w:ind w:left="720"/>
      <w:contextualSpacing/>
    </w:pPr>
  </w:style>
  <w:style w:type="character" w:styleId="BesuchterLink">
    <w:name w:val="FollowedHyperlink"/>
    <w:basedOn w:val="Absatz-Standardschriftart"/>
    <w:uiPriority w:val="99"/>
    <w:semiHidden/>
    <w:unhideWhenUsed/>
    <w:rPr>
      <w:color w:val="954F72"/>
      <w:u w:val="single"/>
    </w:rPr>
  </w:style>
  <w:style w:type="paragraph" w:customStyle="1" w:styleId="msonormal0">
    <w:name w:val="msonormal"/>
    <w:basedOn w:val="Standar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Standard"/>
    <w:pPr>
      <w:spacing w:before="100" w:beforeAutospacing="1" w:after="100" w:afterAutospacing="1" w:line="240" w:lineRule="auto"/>
    </w:pPr>
    <w:rPr>
      <w:rFonts w:ascii="Arial" w:eastAsia="Times New Roman" w:hAnsi="Arial" w:cs="Arial"/>
      <w:sz w:val="24"/>
      <w:szCs w:val="24"/>
      <w:lang w:val="en-US"/>
    </w:rPr>
  </w:style>
  <w:style w:type="paragraph" w:customStyle="1" w:styleId="xl73">
    <w:name w:val="xl73"/>
    <w:basedOn w:val="Standard"/>
    <w:pPr>
      <w:spacing w:before="100" w:beforeAutospacing="1" w:after="100" w:afterAutospacing="1" w:line="240" w:lineRule="auto"/>
    </w:pPr>
    <w:rPr>
      <w:rFonts w:ascii="Arial" w:eastAsia="Times New Roman" w:hAnsi="Arial" w:cs="Arial"/>
      <w:sz w:val="20"/>
      <w:szCs w:val="20"/>
      <w:lang w:val="en-US"/>
    </w:rPr>
  </w:style>
  <w:style w:type="paragraph" w:customStyle="1" w:styleId="xl74">
    <w:name w:val="xl74"/>
    <w:basedOn w:val="Standard"/>
    <w:pP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75">
    <w:name w:val="xl75"/>
    <w:basedOn w:val="Standard"/>
    <w:pPr>
      <w:spacing w:before="100" w:beforeAutospacing="1" w:after="100" w:afterAutospacing="1" w:line="240" w:lineRule="auto"/>
    </w:pPr>
    <w:rPr>
      <w:rFonts w:ascii="Arial" w:eastAsia="Times New Roman" w:hAnsi="Arial" w:cs="Arial"/>
      <w:sz w:val="20"/>
      <w:szCs w:val="20"/>
      <w:lang w:val="en-US"/>
    </w:rPr>
  </w:style>
  <w:style w:type="paragraph" w:customStyle="1" w:styleId="xl76">
    <w:name w:val="xl76"/>
    <w:basedOn w:val="Standard"/>
    <w:pPr>
      <w:spacing w:before="100" w:beforeAutospacing="1" w:after="100" w:afterAutospacing="1" w:line="240" w:lineRule="auto"/>
      <w:jc w:val="right"/>
    </w:pPr>
    <w:rPr>
      <w:rFonts w:ascii="Arial" w:eastAsia="Times New Roman" w:hAnsi="Arial" w:cs="Arial"/>
      <w:sz w:val="20"/>
      <w:szCs w:val="20"/>
      <w:lang w:val="en-US"/>
    </w:rPr>
  </w:style>
  <w:style w:type="paragraph" w:customStyle="1" w:styleId="xl77">
    <w:name w:val="xl77"/>
    <w:basedOn w:val="Standard"/>
    <w:pPr>
      <w:spacing w:before="100" w:beforeAutospacing="1" w:after="100" w:afterAutospacing="1" w:line="240" w:lineRule="auto"/>
    </w:pPr>
    <w:rPr>
      <w:rFonts w:ascii="Arial" w:eastAsia="Times New Roman" w:hAnsi="Arial" w:cs="Arial"/>
      <w:sz w:val="20"/>
      <w:szCs w:val="20"/>
      <w:lang w:val="en-US"/>
    </w:rPr>
  </w:style>
  <w:style w:type="paragraph" w:customStyle="1" w:styleId="xl78">
    <w:name w:val="xl78"/>
    <w:basedOn w:val="Standard"/>
    <w:pPr>
      <w:spacing w:before="100" w:beforeAutospacing="1" w:after="100" w:afterAutospacing="1" w:line="240" w:lineRule="auto"/>
      <w:jc w:val="right"/>
    </w:pPr>
    <w:rPr>
      <w:rFonts w:ascii="Arial" w:eastAsia="Times New Roman" w:hAnsi="Arial" w:cs="Arial"/>
      <w:sz w:val="20"/>
      <w:szCs w:val="20"/>
      <w:lang w:val="en-US"/>
    </w:rPr>
  </w:style>
  <w:style w:type="paragraph" w:customStyle="1" w:styleId="xl79">
    <w:name w:val="xl79"/>
    <w:basedOn w:val="Standar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80">
    <w:name w:val="xl80"/>
    <w:basedOn w:val="Standar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81">
    <w:name w:val="xl81"/>
    <w:basedOn w:val="Standar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82">
    <w:name w:val="xl82"/>
    <w:basedOn w:val="Standar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83">
    <w:name w:val="xl83"/>
    <w:basedOn w:val="Standar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84">
    <w:name w:val="xl84"/>
    <w:basedOn w:val="Standar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85">
    <w:name w:val="xl85"/>
    <w:basedOn w:val="Standard"/>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86">
    <w:name w:val="xl86"/>
    <w:basedOn w:val="Standard"/>
    <w:pPr>
      <w:spacing w:before="100" w:beforeAutospacing="1" w:after="100" w:afterAutospacing="1" w:line="240" w:lineRule="auto"/>
    </w:pPr>
    <w:rPr>
      <w:rFonts w:ascii="Arial" w:eastAsia="Times New Roman" w:hAnsi="Arial" w:cs="Arial"/>
      <w:i/>
      <w:iCs/>
      <w:sz w:val="20"/>
      <w:szCs w:val="20"/>
      <w:lang w:val="en-US"/>
    </w:rPr>
  </w:style>
  <w:style w:type="paragraph" w:customStyle="1" w:styleId="xl87">
    <w:name w:val="xl87"/>
    <w:basedOn w:val="Standar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88">
    <w:name w:val="xl88"/>
    <w:basedOn w:val="Standar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89">
    <w:name w:val="xl89"/>
    <w:basedOn w:val="Standar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90">
    <w:name w:val="xl90"/>
    <w:basedOn w:val="Standard"/>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color w:val="00B0F0"/>
      <w:sz w:val="20"/>
      <w:szCs w:val="20"/>
      <w:lang w:val="en-US"/>
    </w:rPr>
  </w:style>
  <w:style w:type="paragraph" w:customStyle="1" w:styleId="xl91">
    <w:name w:val="xl91"/>
    <w:basedOn w:val="Standar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color w:val="00B0F0"/>
      <w:sz w:val="20"/>
      <w:szCs w:val="20"/>
      <w:lang w:val="en-US"/>
    </w:rPr>
  </w:style>
  <w:style w:type="paragraph" w:customStyle="1" w:styleId="xl92">
    <w:name w:val="xl92"/>
    <w:basedOn w:val="Standar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FFFF"/>
      <w:sz w:val="20"/>
      <w:szCs w:val="20"/>
      <w:lang w:val="en-US"/>
    </w:rPr>
  </w:style>
  <w:style w:type="paragraph" w:customStyle="1" w:styleId="xl93">
    <w:name w:val="xl93"/>
    <w:basedOn w:val="Standar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FFFF"/>
      <w:sz w:val="20"/>
      <w:szCs w:val="20"/>
      <w:lang w:val="en-US"/>
    </w:rPr>
  </w:style>
  <w:style w:type="paragraph" w:customStyle="1" w:styleId="xl94">
    <w:name w:val="xl94"/>
    <w:basedOn w:val="Standar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95">
    <w:name w:val="xl95"/>
    <w:basedOn w:val="Standar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96">
    <w:name w:val="xl96"/>
    <w:basedOn w:val="Standard"/>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97">
    <w:name w:val="xl97"/>
    <w:basedOn w:val="Standard"/>
    <w:pPr>
      <w:pBdr>
        <w:top w:val="single" w:sz="4" w:space="0" w:color="auto"/>
        <w:bottom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0"/>
      <w:szCs w:val="20"/>
      <w:lang w:val="en-US"/>
    </w:rPr>
  </w:style>
  <w:style w:type="paragraph" w:customStyle="1" w:styleId="xl98">
    <w:name w:val="xl98"/>
    <w:basedOn w:val="Standar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0"/>
      <w:szCs w:val="20"/>
      <w:lang w:val="en-US"/>
    </w:rPr>
  </w:style>
  <w:style w:type="paragraph" w:styleId="berarbeitung">
    <w:name w:val="Revision"/>
    <w:hidden/>
    <w:uiPriority w:val="99"/>
    <w:semiHidden/>
    <w:rsid w:val="0072469E"/>
    <w:pPr>
      <w:spacing w:after="0" w:line="240" w:lineRule="auto"/>
    </w:pPr>
  </w:style>
  <w:style w:type="paragraph" w:styleId="StandardWeb">
    <w:name w:val="Normal (Web)"/>
    <w:basedOn w:val="Standard"/>
    <w:uiPriority w:val="99"/>
    <w:unhideWhenUsed/>
    <w:rsid w:val="003715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erschrift2Zchn">
    <w:name w:val="Überschrift 2 Zchn"/>
    <w:basedOn w:val="Absatz-Standardschriftart"/>
    <w:link w:val="berschrift2"/>
    <w:uiPriority w:val="9"/>
    <w:rsid w:val="00EB4604"/>
    <w:rPr>
      <w:rFonts w:ascii="Arial" w:eastAsia="Times New Roman" w:hAnsi="Arial" w:cs="Arial"/>
      <w:b/>
      <w:bCs/>
      <w:color w:val="00000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8180">
      <w:bodyDiv w:val="1"/>
      <w:marLeft w:val="0"/>
      <w:marRight w:val="0"/>
      <w:marTop w:val="0"/>
      <w:marBottom w:val="0"/>
      <w:divBdr>
        <w:top w:val="none" w:sz="0" w:space="0" w:color="auto"/>
        <w:left w:val="none" w:sz="0" w:space="0" w:color="auto"/>
        <w:bottom w:val="none" w:sz="0" w:space="0" w:color="auto"/>
        <w:right w:val="none" w:sz="0" w:space="0" w:color="auto"/>
      </w:divBdr>
    </w:div>
    <w:div w:id="108016201">
      <w:bodyDiv w:val="1"/>
      <w:marLeft w:val="0"/>
      <w:marRight w:val="0"/>
      <w:marTop w:val="0"/>
      <w:marBottom w:val="0"/>
      <w:divBdr>
        <w:top w:val="none" w:sz="0" w:space="0" w:color="auto"/>
        <w:left w:val="none" w:sz="0" w:space="0" w:color="auto"/>
        <w:bottom w:val="none" w:sz="0" w:space="0" w:color="auto"/>
        <w:right w:val="none" w:sz="0" w:space="0" w:color="auto"/>
      </w:divBdr>
    </w:div>
    <w:div w:id="152766376">
      <w:bodyDiv w:val="1"/>
      <w:marLeft w:val="0"/>
      <w:marRight w:val="0"/>
      <w:marTop w:val="0"/>
      <w:marBottom w:val="0"/>
      <w:divBdr>
        <w:top w:val="none" w:sz="0" w:space="0" w:color="auto"/>
        <w:left w:val="none" w:sz="0" w:space="0" w:color="auto"/>
        <w:bottom w:val="none" w:sz="0" w:space="0" w:color="auto"/>
        <w:right w:val="none" w:sz="0" w:space="0" w:color="auto"/>
      </w:divBdr>
    </w:div>
    <w:div w:id="225378658">
      <w:bodyDiv w:val="1"/>
      <w:marLeft w:val="0"/>
      <w:marRight w:val="0"/>
      <w:marTop w:val="0"/>
      <w:marBottom w:val="0"/>
      <w:divBdr>
        <w:top w:val="none" w:sz="0" w:space="0" w:color="auto"/>
        <w:left w:val="none" w:sz="0" w:space="0" w:color="auto"/>
        <w:bottom w:val="none" w:sz="0" w:space="0" w:color="auto"/>
        <w:right w:val="none" w:sz="0" w:space="0" w:color="auto"/>
      </w:divBdr>
    </w:div>
    <w:div w:id="230043864">
      <w:bodyDiv w:val="1"/>
      <w:marLeft w:val="0"/>
      <w:marRight w:val="0"/>
      <w:marTop w:val="0"/>
      <w:marBottom w:val="0"/>
      <w:divBdr>
        <w:top w:val="none" w:sz="0" w:space="0" w:color="auto"/>
        <w:left w:val="none" w:sz="0" w:space="0" w:color="auto"/>
        <w:bottom w:val="none" w:sz="0" w:space="0" w:color="auto"/>
        <w:right w:val="none" w:sz="0" w:space="0" w:color="auto"/>
      </w:divBdr>
    </w:div>
    <w:div w:id="317727973">
      <w:bodyDiv w:val="1"/>
      <w:marLeft w:val="0"/>
      <w:marRight w:val="0"/>
      <w:marTop w:val="0"/>
      <w:marBottom w:val="0"/>
      <w:divBdr>
        <w:top w:val="none" w:sz="0" w:space="0" w:color="auto"/>
        <w:left w:val="none" w:sz="0" w:space="0" w:color="auto"/>
        <w:bottom w:val="none" w:sz="0" w:space="0" w:color="auto"/>
        <w:right w:val="none" w:sz="0" w:space="0" w:color="auto"/>
      </w:divBdr>
    </w:div>
    <w:div w:id="319502720">
      <w:bodyDiv w:val="1"/>
      <w:marLeft w:val="0"/>
      <w:marRight w:val="0"/>
      <w:marTop w:val="0"/>
      <w:marBottom w:val="0"/>
      <w:divBdr>
        <w:top w:val="none" w:sz="0" w:space="0" w:color="auto"/>
        <w:left w:val="none" w:sz="0" w:space="0" w:color="auto"/>
        <w:bottom w:val="none" w:sz="0" w:space="0" w:color="auto"/>
        <w:right w:val="none" w:sz="0" w:space="0" w:color="auto"/>
      </w:divBdr>
    </w:div>
    <w:div w:id="392319292">
      <w:bodyDiv w:val="1"/>
      <w:marLeft w:val="0"/>
      <w:marRight w:val="0"/>
      <w:marTop w:val="0"/>
      <w:marBottom w:val="0"/>
      <w:divBdr>
        <w:top w:val="none" w:sz="0" w:space="0" w:color="auto"/>
        <w:left w:val="none" w:sz="0" w:space="0" w:color="auto"/>
        <w:bottom w:val="none" w:sz="0" w:space="0" w:color="auto"/>
        <w:right w:val="none" w:sz="0" w:space="0" w:color="auto"/>
      </w:divBdr>
    </w:div>
    <w:div w:id="396366566">
      <w:bodyDiv w:val="1"/>
      <w:marLeft w:val="0"/>
      <w:marRight w:val="0"/>
      <w:marTop w:val="0"/>
      <w:marBottom w:val="0"/>
      <w:divBdr>
        <w:top w:val="none" w:sz="0" w:space="0" w:color="auto"/>
        <w:left w:val="none" w:sz="0" w:space="0" w:color="auto"/>
        <w:bottom w:val="none" w:sz="0" w:space="0" w:color="auto"/>
        <w:right w:val="none" w:sz="0" w:space="0" w:color="auto"/>
      </w:divBdr>
    </w:div>
    <w:div w:id="426386586">
      <w:bodyDiv w:val="1"/>
      <w:marLeft w:val="0"/>
      <w:marRight w:val="0"/>
      <w:marTop w:val="0"/>
      <w:marBottom w:val="0"/>
      <w:divBdr>
        <w:top w:val="none" w:sz="0" w:space="0" w:color="auto"/>
        <w:left w:val="none" w:sz="0" w:space="0" w:color="auto"/>
        <w:bottom w:val="none" w:sz="0" w:space="0" w:color="auto"/>
        <w:right w:val="none" w:sz="0" w:space="0" w:color="auto"/>
      </w:divBdr>
    </w:div>
    <w:div w:id="445541870">
      <w:bodyDiv w:val="1"/>
      <w:marLeft w:val="0"/>
      <w:marRight w:val="0"/>
      <w:marTop w:val="0"/>
      <w:marBottom w:val="0"/>
      <w:divBdr>
        <w:top w:val="none" w:sz="0" w:space="0" w:color="auto"/>
        <w:left w:val="none" w:sz="0" w:space="0" w:color="auto"/>
        <w:bottom w:val="none" w:sz="0" w:space="0" w:color="auto"/>
        <w:right w:val="none" w:sz="0" w:space="0" w:color="auto"/>
      </w:divBdr>
    </w:div>
    <w:div w:id="476413752">
      <w:bodyDiv w:val="1"/>
      <w:marLeft w:val="0"/>
      <w:marRight w:val="0"/>
      <w:marTop w:val="0"/>
      <w:marBottom w:val="0"/>
      <w:divBdr>
        <w:top w:val="none" w:sz="0" w:space="0" w:color="auto"/>
        <w:left w:val="none" w:sz="0" w:space="0" w:color="auto"/>
        <w:bottom w:val="none" w:sz="0" w:space="0" w:color="auto"/>
        <w:right w:val="none" w:sz="0" w:space="0" w:color="auto"/>
      </w:divBdr>
    </w:div>
    <w:div w:id="479930588">
      <w:bodyDiv w:val="1"/>
      <w:marLeft w:val="0"/>
      <w:marRight w:val="0"/>
      <w:marTop w:val="0"/>
      <w:marBottom w:val="0"/>
      <w:divBdr>
        <w:top w:val="none" w:sz="0" w:space="0" w:color="auto"/>
        <w:left w:val="none" w:sz="0" w:space="0" w:color="auto"/>
        <w:bottom w:val="none" w:sz="0" w:space="0" w:color="auto"/>
        <w:right w:val="none" w:sz="0" w:space="0" w:color="auto"/>
      </w:divBdr>
    </w:div>
    <w:div w:id="501434891">
      <w:bodyDiv w:val="1"/>
      <w:marLeft w:val="0"/>
      <w:marRight w:val="0"/>
      <w:marTop w:val="0"/>
      <w:marBottom w:val="0"/>
      <w:divBdr>
        <w:top w:val="none" w:sz="0" w:space="0" w:color="auto"/>
        <w:left w:val="none" w:sz="0" w:space="0" w:color="auto"/>
        <w:bottom w:val="none" w:sz="0" w:space="0" w:color="auto"/>
        <w:right w:val="none" w:sz="0" w:space="0" w:color="auto"/>
      </w:divBdr>
    </w:div>
    <w:div w:id="525991979">
      <w:bodyDiv w:val="1"/>
      <w:marLeft w:val="0"/>
      <w:marRight w:val="0"/>
      <w:marTop w:val="0"/>
      <w:marBottom w:val="0"/>
      <w:divBdr>
        <w:top w:val="none" w:sz="0" w:space="0" w:color="auto"/>
        <w:left w:val="none" w:sz="0" w:space="0" w:color="auto"/>
        <w:bottom w:val="none" w:sz="0" w:space="0" w:color="auto"/>
        <w:right w:val="none" w:sz="0" w:space="0" w:color="auto"/>
      </w:divBdr>
    </w:div>
    <w:div w:id="564072320">
      <w:bodyDiv w:val="1"/>
      <w:marLeft w:val="0"/>
      <w:marRight w:val="0"/>
      <w:marTop w:val="0"/>
      <w:marBottom w:val="0"/>
      <w:divBdr>
        <w:top w:val="none" w:sz="0" w:space="0" w:color="auto"/>
        <w:left w:val="none" w:sz="0" w:space="0" w:color="auto"/>
        <w:bottom w:val="none" w:sz="0" w:space="0" w:color="auto"/>
        <w:right w:val="none" w:sz="0" w:space="0" w:color="auto"/>
      </w:divBdr>
    </w:div>
    <w:div w:id="627123825">
      <w:bodyDiv w:val="1"/>
      <w:marLeft w:val="0"/>
      <w:marRight w:val="0"/>
      <w:marTop w:val="0"/>
      <w:marBottom w:val="0"/>
      <w:divBdr>
        <w:top w:val="none" w:sz="0" w:space="0" w:color="auto"/>
        <w:left w:val="none" w:sz="0" w:space="0" w:color="auto"/>
        <w:bottom w:val="none" w:sz="0" w:space="0" w:color="auto"/>
        <w:right w:val="none" w:sz="0" w:space="0" w:color="auto"/>
      </w:divBdr>
    </w:div>
    <w:div w:id="688137842">
      <w:bodyDiv w:val="1"/>
      <w:marLeft w:val="0"/>
      <w:marRight w:val="0"/>
      <w:marTop w:val="0"/>
      <w:marBottom w:val="0"/>
      <w:divBdr>
        <w:top w:val="none" w:sz="0" w:space="0" w:color="auto"/>
        <w:left w:val="none" w:sz="0" w:space="0" w:color="auto"/>
        <w:bottom w:val="none" w:sz="0" w:space="0" w:color="auto"/>
        <w:right w:val="none" w:sz="0" w:space="0" w:color="auto"/>
      </w:divBdr>
    </w:div>
    <w:div w:id="710612493">
      <w:bodyDiv w:val="1"/>
      <w:marLeft w:val="0"/>
      <w:marRight w:val="0"/>
      <w:marTop w:val="0"/>
      <w:marBottom w:val="0"/>
      <w:divBdr>
        <w:top w:val="none" w:sz="0" w:space="0" w:color="auto"/>
        <w:left w:val="none" w:sz="0" w:space="0" w:color="auto"/>
        <w:bottom w:val="none" w:sz="0" w:space="0" w:color="auto"/>
        <w:right w:val="none" w:sz="0" w:space="0" w:color="auto"/>
      </w:divBdr>
    </w:div>
    <w:div w:id="876504221">
      <w:bodyDiv w:val="1"/>
      <w:marLeft w:val="0"/>
      <w:marRight w:val="0"/>
      <w:marTop w:val="0"/>
      <w:marBottom w:val="0"/>
      <w:divBdr>
        <w:top w:val="none" w:sz="0" w:space="0" w:color="auto"/>
        <w:left w:val="none" w:sz="0" w:space="0" w:color="auto"/>
        <w:bottom w:val="none" w:sz="0" w:space="0" w:color="auto"/>
        <w:right w:val="none" w:sz="0" w:space="0" w:color="auto"/>
      </w:divBdr>
    </w:div>
    <w:div w:id="883567930">
      <w:bodyDiv w:val="1"/>
      <w:marLeft w:val="0"/>
      <w:marRight w:val="0"/>
      <w:marTop w:val="0"/>
      <w:marBottom w:val="0"/>
      <w:divBdr>
        <w:top w:val="none" w:sz="0" w:space="0" w:color="auto"/>
        <w:left w:val="none" w:sz="0" w:space="0" w:color="auto"/>
        <w:bottom w:val="none" w:sz="0" w:space="0" w:color="auto"/>
        <w:right w:val="none" w:sz="0" w:space="0" w:color="auto"/>
      </w:divBdr>
    </w:div>
    <w:div w:id="900408115">
      <w:bodyDiv w:val="1"/>
      <w:marLeft w:val="0"/>
      <w:marRight w:val="0"/>
      <w:marTop w:val="0"/>
      <w:marBottom w:val="0"/>
      <w:divBdr>
        <w:top w:val="none" w:sz="0" w:space="0" w:color="auto"/>
        <w:left w:val="none" w:sz="0" w:space="0" w:color="auto"/>
        <w:bottom w:val="none" w:sz="0" w:space="0" w:color="auto"/>
        <w:right w:val="none" w:sz="0" w:space="0" w:color="auto"/>
      </w:divBdr>
    </w:div>
    <w:div w:id="909267706">
      <w:bodyDiv w:val="1"/>
      <w:marLeft w:val="0"/>
      <w:marRight w:val="0"/>
      <w:marTop w:val="0"/>
      <w:marBottom w:val="0"/>
      <w:divBdr>
        <w:top w:val="none" w:sz="0" w:space="0" w:color="auto"/>
        <w:left w:val="none" w:sz="0" w:space="0" w:color="auto"/>
        <w:bottom w:val="none" w:sz="0" w:space="0" w:color="auto"/>
        <w:right w:val="none" w:sz="0" w:space="0" w:color="auto"/>
      </w:divBdr>
    </w:div>
    <w:div w:id="1059088861">
      <w:bodyDiv w:val="1"/>
      <w:marLeft w:val="0"/>
      <w:marRight w:val="0"/>
      <w:marTop w:val="0"/>
      <w:marBottom w:val="0"/>
      <w:divBdr>
        <w:top w:val="none" w:sz="0" w:space="0" w:color="auto"/>
        <w:left w:val="none" w:sz="0" w:space="0" w:color="auto"/>
        <w:bottom w:val="none" w:sz="0" w:space="0" w:color="auto"/>
        <w:right w:val="none" w:sz="0" w:space="0" w:color="auto"/>
      </w:divBdr>
    </w:div>
    <w:div w:id="1079518990">
      <w:bodyDiv w:val="1"/>
      <w:marLeft w:val="0"/>
      <w:marRight w:val="0"/>
      <w:marTop w:val="0"/>
      <w:marBottom w:val="0"/>
      <w:divBdr>
        <w:top w:val="none" w:sz="0" w:space="0" w:color="auto"/>
        <w:left w:val="none" w:sz="0" w:space="0" w:color="auto"/>
        <w:bottom w:val="none" w:sz="0" w:space="0" w:color="auto"/>
        <w:right w:val="none" w:sz="0" w:space="0" w:color="auto"/>
      </w:divBdr>
    </w:div>
    <w:div w:id="1203665813">
      <w:bodyDiv w:val="1"/>
      <w:marLeft w:val="0"/>
      <w:marRight w:val="0"/>
      <w:marTop w:val="0"/>
      <w:marBottom w:val="0"/>
      <w:divBdr>
        <w:top w:val="none" w:sz="0" w:space="0" w:color="auto"/>
        <w:left w:val="none" w:sz="0" w:space="0" w:color="auto"/>
        <w:bottom w:val="none" w:sz="0" w:space="0" w:color="auto"/>
        <w:right w:val="none" w:sz="0" w:space="0" w:color="auto"/>
      </w:divBdr>
    </w:div>
    <w:div w:id="1209149382">
      <w:bodyDiv w:val="1"/>
      <w:marLeft w:val="0"/>
      <w:marRight w:val="0"/>
      <w:marTop w:val="0"/>
      <w:marBottom w:val="0"/>
      <w:divBdr>
        <w:top w:val="none" w:sz="0" w:space="0" w:color="auto"/>
        <w:left w:val="none" w:sz="0" w:space="0" w:color="auto"/>
        <w:bottom w:val="none" w:sz="0" w:space="0" w:color="auto"/>
        <w:right w:val="none" w:sz="0" w:space="0" w:color="auto"/>
      </w:divBdr>
    </w:div>
    <w:div w:id="1215703514">
      <w:bodyDiv w:val="1"/>
      <w:marLeft w:val="0"/>
      <w:marRight w:val="0"/>
      <w:marTop w:val="0"/>
      <w:marBottom w:val="0"/>
      <w:divBdr>
        <w:top w:val="none" w:sz="0" w:space="0" w:color="auto"/>
        <w:left w:val="none" w:sz="0" w:space="0" w:color="auto"/>
        <w:bottom w:val="none" w:sz="0" w:space="0" w:color="auto"/>
        <w:right w:val="none" w:sz="0" w:space="0" w:color="auto"/>
      </w:divBdr>
    </w:div>
    <w:div w:id="1218391399">
      <w:bodyDiv w:val="1"/>
      <w:marLeft w:val="0"/>
      <w:marRight w:val="0"/>
      <w:marTop w:val="0"/>
      <w:marBottom w:val="0"/>
      <w:divBdr>
        <w:top w:val="none" w:sz="0" w:space="0" w:color="auto"/>
        <w:left w:val="none" w:sz="0" w:space="0" w:color="auto"/>
        <w:bottom w:val="none" w:sz="0" w:space="0" w:color="auto"/>
        <w:right w:val="none" w:sz="0" w:space="0" w:color="auto"/>
      </w:divBdr>
    </w:div>
    <w:div w:id="1276447667">
      <w:bodyDiv w:val="1"/>
      <w:marLeft w:val="0"/>
      <w:marRight w:val="0"/>
      <w:marTop w:val="0"/>
      <w:marBottom w:val="0"/>
      <w:divBdr>
        <w:top w:val="none" w:sz="0" w:space="0" w:color="auto"/>
        <w:left w:val="none" w:sz="0" w:space="0" w:color="auto"/>
        <w:bottom w:val="none" w:sz="0" w:space="0" w:color="auto"/>
        <w:right w:val="none" w:sz="0" w:space="0" w:color="auto"/>
      </w:divBdr>
    </w:div>
    <w:div w:id="1290626029">
      <w:bodyDiv w:val="1"/>
      <w:marLeft w:val="0"/>
      <w:marRight w:val="0"/>
      <w:marTop w:val="0"/>
      <w:marBottom w:val="0"/>
      <w:divBdr>
        <w:top w:val="none" w:sz="0" w:space="0" w:color="auto"/>
        <w:left w:val="none" w:sz="0" w:space="0" w:color="auto"/>
        <w:bottom w:val="none" w:sz="0" w:space="0" w:color="auto"/>
        <w:right w:val="none" w:sz="0" w:space="0" w:color="auto"/>
      </w:divBdr>
    </w:div>
    <w:div w:id="132705123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37865089">
          <w:marLeft w:val="0"/>
          <w:marRight w:val="0"/>
          <w:marTop w:val="0"/>
          <w:marBottom w:val="0"/>
          <w:divBdr>
            <w:top w:val="none" w:sz="0" w:space="0" w:color="auto"/>
            <w:left w:val="none" w:sz="0" w:space="0" w:color="auto"/>
            <w:bottom w:val="none" w:sz="0" w:space="0" w:color="auto"/>
            <w:right w:val="none" w:sz="0" w:space="0" w:color="auto"/>
          </w:divBdr>
          <w:divsChild>
            <w:div w:id="790632445">
              <w:marLeft w:val="0"/>
              <w:marRight w:val="0"/>
              <w:marTop w:val="0"/>
              <w:marBottom w:val="0"/>
              <w:divBdr>
                <w:top w:val="none" w:sz="0" w:space="0" w:color="auto"/>
                <w:left w:val="none" w:sz="0" w:space="0" w:color="auto"/>
                <w:bottom w:val="none" w:sz="0" w:space="0" w:color="auto"/>
                <w:right w:val="none" w:sz="0" w:space="0" w:color="auto"/>
              </w:divBdr>
            </w:div>
            <w:div w:id="1209730805">
              <w:marLeft w:val="0"/>
              <w:marRight w:val="0"/>
              <w:marTop w:val="0"/>
              <w:marBottom w:val="0"/>
              <w:divBdr>
                <w:top w:val="none" w:sz="0" w:space="0" w:color="auto"/>
                <w:left w:val="none" w:sz="0" w:space="0" w:color="auto"/>
                <w:bottom w:val="none" w:sz="0" w:space="0" w:color="auto"/>
                <w:right w:val="none" w:sz="0" w:space="0" w:color="auto"/>
              </w:divBdr>
            </w:div>
            <w:div w:id="2063014386">
              <w:marLeft w:val="0"/>
              <w:marRight w:val="0"/>
              <w:marTop w:val="0"/>
              <w:marBottom w:val="0"/>
              <w:divBdr>
                <w:top w:val="none" w:sz="0" w:space="0" w:color="auto"/>
                <w:left w:val="none" w:sz="0" w:space="0" w:color="auto"/>
                <w:bottom w:val="none" w:sz="0" w:space="0" w:color="auto"/>
                <w:right w:val="none" w:sz="0" w:space="0" w:color="auto"/>
              </w:divBdr>
            </w:div>
            <w:div w:id="1693074239">
              <w:marLeft w:val="567"/>
              <w:marRight w:val="0"/>
              <w:marTop w:val="0"/>
              <w:marBottom w:val="0"/>
              <w:divBdr>
                <w:top w:val="none" w:sz="0" w:space="0" w:color="auto"/>
                <w:left w:val="none" w:sz="0" w:space="0" w:color="auto"/>
                <w:bottom w:val="none" w:sz="0" w:space="0" w:color="auto"/>
                <w:right w:val="none" w:sz="0" w:space="0" w:color="auto"/>
              </w:divBdr>
            </w:div>
            <w:div w:id="1885092708">
              <w:marLeft w:val="567"/>
              <w:marRight w:val="0"/>
              <w:marTop w:val="0"/>
              <w:marBottom w:val="0"/>
              <w:divBdr>
                <w:top w:val="none" w:sz="0" w:space="0" w:color="auto"/>
                <w:left w:val="none" w:sz="0" w:space="0" w:color="auto"/>
                <w:bottom w:val="none" w:sz="0" w:space="0" w:color="auto"/>
                <w:right w:val="none" w:sz="0" w:space="0" w:color="auto"/>
              </w:divBdr>
            </w:div>
            <w:div w:id="1991901912">
              <w:marLeft w:val="567"/>
              <w:marRight w:val="0"/>
              <w:marTop w:val="0"/>
              <w:marBottom w:val="0"/>
              <w:divBdr>
                <w:top w:val="none" w:sz="0" w:space="0" w:color="auto"/>
                <w:left w:val="none" w:sz="0" w:space="0" w:color="auto"/>
                <w:bottom w:val="none" w:sz="0" w:space="0" w:color="auto"/>
                <w:right w:val="none" w:sz="0" w:space="0" w:color="auto"/>
              </w:divBdr>
            </w:div>
            <w:div w:id="720514570">
              <w:marLeft w:val="567"/>
              <w:marRight w:val="0"/>
              <w:marTop w:val="0"/>
              <w:marBottom w:val="0"/>
              <w:divBdr>
                <w:top w:val="none" w:sz="0" w:space="0" w:color="auto"/>
                <w:left w:val="none" w:sz="0" w:space="0" w:color="auto"/>
                <w:bottom w:val="none" w:sz="0" w:space="0" w:color="auto"/>
                <w:right w:val="none" w:sz="0" w:space="0" w:color="auto"/>
              </w:divBdr>
            </w:div>
            <w:div w:id="1407915823">
              <w:marLeft w:val="567"/>
              <w:marRight w:val="0"/>
              <w:marTop w:val="0"/>
              <w:marBottom w:val="0"/>
              <w:divBdr>
                <w:top w:val="none" w:sz="0" w:space="0" w:color="auto"/>
                <w:left w:val="none" w:sz="0" w:space="0" w:color="auto"/>
                <w:bottom w:val="none" w:sz="0" w:space="0" w:color="auto"/>
                <w:right w:val="none" w:sz="0" w:space="0" w:color="auto"/>
              </w:divBdr>
            </w:div>
            <w:div w:id="34813461">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347898863">
      <w:bodyDiv w:val="1"/>
      <w:marLeft w:val="0"/>
      <w:marRight w:val="0"/>
      <w:marTop w:val="0"/>
      <w:marBottom w:val="0"/>
      <w:divBdr>
        <w:top w:val="none" w:sz="0" w:space="0" w:color="auto"/>
        <w:left w:val="none" w:sz="0" w:space="0" w:color="auto"/>
        <w:bottom w:val="none" w:sz="0" w:space="0" w:color="auto"/>
        <w:right w:val="none" w:sz="0" w:space="0" w:color="auto"/>
      </w:divBdr>
    </w:div>
    <w:div w:id="1383015672">
      <w:bodyDiv w:val="1"/>
      <w:marLeft w:val="0"/>
      <w:marRight w:val="0"/>
      <w:marTop w:val="0"/>
      <w:marBottom w:val="0"/>
      <w:divBdr>
        <w:top w:val="none" w:sz="0" w:space="0" w:color="auto"/>
        <w:left w:val="none" w:sz="0" w:space="0" w:color="auto"/>
        <w:bottom w:val="none" w:sz="0" w:space="0" w:color="auto"/>
        <w:right w:val="none" w:sz="0" w:space="0" w:color="auto"/>
      </w:divBdr>
    </w:div>
    <w:div w:id="1467814513">
      <w:bodyDiv w:val="1"/>
      <w:marLeft w:val="0"/>
      <w:marRight w:val="0"/>
      <w:marTop w:val="0"/>
      <w:marBottom w:val="0"/>
      <w:divBdr>
        <w:top w:val="none" w:sz="0" w:space="0" w:color="auto"/>
        <w:left w:val="none" w:sz="0" w:space="0" w:color="auto"/>
        <w:bottom w:val="none" w:sz="0" w:space="0" w:color="auto"/>
        <w:right w:val="none" w:sz="0" w:space="0" w:color="auto"/>
      </w:divBdr>
    </w:div>
    <w:div w:id="1513881796">
      <w:bodyDiv w:val="1"/>
      <w:marLeft w:val="240"/>
      <w:marRight w:val="240"/>
      <w:marTop w:val="240"/>
      <w:marBottom w:val="60"/>
      <w:divBdr>
        <w:top w:val="none" w:sz="0" w:space="0" w:color="auto"/>
        <w:left w:val="none" w:sz="0" w:space="0" w:color="auto"/>
        <w:bottom w:val="none" w:sz="0" w:space="0" w:color="auto"/>
        <w:right w:val="none" w:sz="0" w:space="0" w:color="auto"/>
      </w:divBdr>
      <w:divsChild>
        <w:div w:id="36980390">
          <w:marLeft w:val="0"/>
          <w:marRight w:val="0"/>
          <w:marTop w:val="0"/>
          <w:marBottom w:val="0"/>
          <w:divBdr>
            <w:top w:val="none" w:sz="0" w:space="0" w:color="auto"/>
            <w:left w:val="none" w:sz="0" w:space="0" w:color="auto"/>
            <w:bottom w:val="single" w:sz="6" w:space="9" w:color="C8C8C8"/>
            <w:right w:val="none" w:sz="0" w:space="0" w:color="auto"/>
          </w:divBdr>
          <w:divsChild>
            <w:div w:id="7379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0588">
      <w:bodyDiv w:val="1"/>
      <w:marLeft w:val="0"/>
      <w:marRight w:val="0"/>
      <w:marTop w:val="0"/>
      <w:marBottom w:val="0"/>
      <w:divBdr>
        <w:top w:val="none" w:sz="0" w:space="0" w:color="auto"/>
        <w:left w:val="none" w:sz="0" w:space="0" w:color="auto"/>
        <w:bottom w:val="none" w:sz="0" w:space="0" w:color="auto"/>
        <w:right w:val="none" w:sz="0" w:space="0" w:color="auto"/>
      </w:divBdr>
    </w:div>
    <w:div w:id="1663659162">
      <w:bodyDiv w:val="1"/>
      <w:marLeft w:val="0"/>
      <w:marRight w:val="0"/>
      <w:marTop w:val="0"/>
      <w:marBottom w:val="0"/>
      <w:divBdr>
        <w:top w:val="none" w:sz="0" w:space="0" w:color="auto"/>
        <w:left w:val="none" w:sz="0" w:space="0" w:color="auto"/>
        <w:bottom w:val="none" w:sz="0" w:space="0" w:color="auto"/>
        <w:right w:val="none" w:sz="0" w:space="0" w:color="auto"/>
      </w:divBdr>
    </w:div>
    <w:div w:id="1665350868">
      <w:bodyDiv w:val="1"/>
      <w:marLeft w:val="0"/>
      <w:marRight w:val="0"/>
      <w:marTop w:val="0"/>
      <w:marBottom w:val="0"/>
      <w:divBdr>
        <w:top w:val="none" w:sz="0" w:space="0" w:color="auto"/>
        <w:left w:val="none" w:sz="0" w:space="0" w:color="auto"/>
        <w:bottom w:val="none" w:sz="0" w:space="0" w:color="auto"/>
        <w:right w:val="none" w:sz="0" w:space="0" w:color="auto"/>
      </w:divBdr>
    </w:div>
    <w:div w:id="1721708236">
      <w:bodyDiv w:val="1"/>
      <w:marLeft w:val="0"/>
      <w:marRight w:val="0"/>
      <w:marTop w:val="0"/>
      <w:marBottom w:val="0"/>
      <w:divBdr>
        <w:top w:val="none" w:sz="0" w:space="0" w:color="auto"/>
        <w:left w:val="none" w:sz="0" w:space="0" w:color="auto"/>
        <w:bottom w:val="none" w:sz="0" w:space="0" w:color="auto"/>
        <w:right w:val="none" w:sz="0" w:space="0" w:color="auto"/>
      </w:divBdr>
    </w:div>
    <w:div w:id="1726445987">
      <w:bodyDiv w:val="1"/>
      <w:marLeft w:val="0"/>
      <w:marRight w:val="0"/>
      <w:marTop w:val="0"/>
      <w:marBottom w:val="0"/>
      <w:divBdr>
        <w:top w:val="none" w:sz="0" w:space="0" w:color="auto"/>
        <w:left w:val="none" w:sz="0" w:space="0" w:color="auto"/>
        <w:bottom w:val="none" w:sz="0" w:space="0" w:color="auto"/>
        <w:right w:val="none" w:sz="0" w:space="0" w:color="auto"/>
      </w:divBdr>
    </w:div>
    <w:div w:id="1760834270">
      <w:bodyDiv w:val="1"/>
      <w:marLeft w:val="0"/>
      <w:marRight w:val="0"/>
      <w:marTop w:val="0"/>
      <w:marBottom w:val="0"/>
      <w:divBdr>
        <w:top w:val="none" w:sz="0" w:space="0" w:color="auto"/>
        <w:left w:val="none" w:sz="0" w:space="0" w:color="auto"/>
        <w:bottom w:val="none" w:sz="0" w:space="0" w:color="auto"/>
        <w:right w:val="none" w:sz="0" w:space="0" w:color="auto"/>
      </w:divBdr>
    </w:div>
    <w:div w:id="1788038326">
      <w:bodyDiv w:val="1"/>
      <w:marLeft w:val="0"/>
      <w:marRight w:val="0"/>
      <w:marTop w:val="0"/>
      <w:marBottom w:val="0"/>
      <w:divBdr>
        <w:top w:val="none" w:sz="0" w:space="0" w:color="auto"/>
        <w:left w:val="none" w:sz="0" w:space="0" w:color="auto"/>
        <w:bottom w:val="none" w:sz="0" w:space="0" w:color="auto"/>
        <w:right w:val="none" w:sz="0" w:space="0" w:color="auto"/>
      </w:divBdr>
    </w:div>
    <w:div w:id="1817453360">
      <w:bodyDiv w:val="1"/>
      <w:marLeft w:val="0"/>
      <w:marRight w:val="0"/>
      <w:marTop w:val="0"/>
      <w:marBottom w:val="0"/>
      <w:divBdr>
        <w:top w:val="none" w:sz="0" w:space="0" w:color="auto"/>
        <w:left w:val="none" w:sz="0" w:space="0" w:color="auto"/>
        <w:bottom w:val="none" w:sz="0" w:space="0" w:color="auto"/>
        <w:right w:val="none" w:sz="0" w:space="0" w:color="auto"/>
      </w:divBdr>
    </w:div>
    <w:div w:id="1835874836">
      <w:bodyDiv w:val="1"/>
      <w:marLeft w:val="0"/>
      <w:marRight w:val="0"/>
      <w:marTop w:val="0"/>
      <w:marBottom w:val="0"/>
      <w:divBdr>
        <w:top w:val="none" w:sz="0" w:space="0" w:color="auto"/>
        <w:left w:val="none" w:sz="0" w:space="0" w:color="auto"/>
        <w:bottom w:val="none" w:sz="0" w:space="0" w:color="auto"/>
        <w:right w:val="none" w:sz="0" w:space="0" w:color="auto"/>
      </w:divBdr>
    </w:div>
    <w:div w:id="1929849517">
      <w:bodyDiv w:val="1"/>
      <w:marLeft w:val="0"/>
      <w:marRight w:val="0"/>
      <w:marTop w:val="0"/>
      <w:marBottom w:val="0"/>
      <w:divBdr>
        <w:top w:val="none" w:sz="0" w:space="0" w:color="auto"/>
        <w:left w:val="none" w:sz="0" w:space="0" w:color="auto"/>
        <w:bottom w:val="none" w:sz="0" w:space="0" w:color="auto"/>
        <w:right w:val="none" w:sz="0" w:space="0" w:color="auto"/>
      </w:divBdr>
    </w:div>
    <w:div w:id="1988245846">
      <w:bodyDiv w:val="1"/>
      <w:marLeft w:val="0"/>
      <w:marRight w:val="0"/>
      <w:marTop w:val="0"/>
      <w:marBottom w:val="0"/>
      <w:divBdr>
        <w:top w:val="none" w:sz="0" w:space="0" w:color="auto"/>
        <w:left w:val="none" w:sz="0" w:space="0" w:color="auto"/>
        <w:bottom w:val="none" w:sz="0" w:space="0" w:color="auto"/>
        <w:right w:val="none" w:sz="0" w:space="0" w:color="auto"/>
      </w:divBdr>
    </w:div>
    <w:div w:id="2033146726">
      <w:bodyDiv w:val="1"/>
      <w:marLeft w:val="0"/>
      <w:marRight w:val="0"/>
      <w:marTop w:val="0"/>
      <w:marBottom w:val="0"/>
      <w:divBdr>
        <w:top w:val="none" w:sz="0" w:space="0" w:color="auto"/>
        <w:left w:val="none" w:sz="0" w:space="0" w:color="auto"/>
        <w:bottom w:val="none" w:sz="0" w:space="0" w:color="auto"/>
        <w:right w:val="none" w:sz="0" w:space="0" w:color="auto"/>
      </w:divBdr>
    </w:div>
    <w:div w:id="2069961871">
      <w:bodyDiv w:val="1"/>
      <w:marLeft w:val="0"/>
      <w:marRight w:val="0"/>
      <w:marTop w:val="0"/>
      <w:marBottom w:val="0"/>
      <w:divBdr>
        <w:top w:val="none" w:sz="0" w:space="0" w:color="auto"/>
        <w:left w:val="none" w:sz="0" w:space="0" w:color="auto"/>
        <w:bottom w:val="none" w:sz="0" w:space="0" w:color="auto"/>
        <w:right w:val="none" w:sz="0" w:space="0" w:color="auto"/>
      </w:divBdr>
    </w:div>
    <w:div w:id="210029800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68143989">
          <w:marLeft w:val="0"/>
          <w:marRight w:val="0"/>
          <w:marTop w:val="0"/>
          <w:marBottom w:val="0"/>
          <w:divBdr>
            <w:top w:val="none" w:sz="0" w:space="0" w:color="auto"/>
            <w:left w:val="none" w:sz="0" w:space="0" w:color="auto"/>
            <w:bottom w:val="single" w:sz="6" w:space="9" w:color="C8C8C8"/>
            <w:right w:val="none" w:sz="0" w:space="0" w:color="auto"/>
          </w:divBdr>
          <w:divsChild>
            <w:div w:id="13705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310">
      <w:bodyDiv w:val="1"/>
      <w:marLeft w:val="0"/>
      <w:marRight w:val="0"/>
      <w:marTop w:val="0"/>
      <w:marBottom w:val="0"/>
      <w:divBdr>
        <w:top w:val="none" w:sz="0" w:space="0" w:color="auto"/>
        <w:left w:val="none" w:sz="0" w:space="0" w:color="auto"/>
        <w:bottom w:val="none" w:sz="0" w:space="0" w:color="auto"/>
        <w:right w:val="none" w:sz="0" w:space="0" w:color="auto"/>
      </w:divBdr>
    </w:div>
    <w:div w:id="2137596747">
      <w:bodyDiv w:val="1"/>
      <w:marLeft w:val="0"/>
      <w:marRight w:val="0"/>
      <w:marTop w:val="0"/>
      <w:marBottom w:val="0"/>
      <w:divBdr>
        <w:top w:val="none" w:sz="0" w:space="0" w:color="auto"/>
        <w:left w:val="none" w:sz="0" w:space="0" w:color="auto"/>
        <w:bottom w:val="none" w:sz="0" w:space="0" w:color="auto"/>
        <w:right w:val="none" w:sz="0" w:space="0" w:color="auto"/>
      </w:divBdr>
    </w:div>
    <w:div w:id="213759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07679-AB07-4EFA-AC82-1EAE4499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24427</Words>
  <Characters>139234</Characters>
  <Application>Microsoft Office Word</Application>
  <DocSecurity>0</DocSecurity>
  <Lines>1160</Lines>
  <Paragraphs>326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Regensburg</Company>
  <LinksUpToDate>false</LinksUpToDate>
  <CharactersWithSpaces>163335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Gorski</dc:creator>
  <cp:keywords/>
  <dc:description/>
  <cp:lastModifiedBy>Mathias Gorski</cp:lastModifiedBy>
  <cp:revision>57</cp:revision>
  <dcterms:created xsi:type="dcterms:W3CDTF">2020-08-05T11:53:00Z</dcterms:created>
  <dcterms:modified xsi:type="dcterms:W3CDTF">2020-08-26T08:10:00Z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http://www.zotero.org/styles/kidney-international</vt:lpwstr>
  </property>
  <property fmtid="{D5CDD505-2E9C-101B-9397-08002B2CF9AE}" pid="15" name="Mendeley Recent Style Name 6_1">
    <vt:lpwstr>Kidney International</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6dd7934c-9765-3aea-bb48-a13fafed4c82</vt:lpwstr>
  </property>
  <property fmtid="{D5CDD505-2E9C-101B-9397-08002B2CF9AE}" pid="24" name="Mendeley Citation Style_1">
    <vt:lpwstr>http://www.zotero.org/styles/kidney-international</vt:lpwstr>
  </property>
</Properties>
</file>