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38B53" w14:textId="6F8D041B" w:rsidR="0058398D" w:rsidRPr="005B28F6" w:rsidRDefault="0058398D" w:rsidP="0058398D">
      <w:pPr>
        <w:pStyle w:val="berschrift1"/>
        <w:spacing w:before="0" w:line="360" w:lineRule="auto"/>
        <w:contextualSpacing/>
        <w:jc w:val="both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  <w:r w:rsidRPr="005B28F6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SUPPLEMENTARY </w:t>
      </w:r>
      <w:r w:rsidRPr="005B28F6">
        <w:rPr>
          <w:rFonts w:ascii="Arial" w:hAnsi="Arial" w:cs="Arial" w:hint="eastAsia"/>
          <w:b/>
          <w:color w:val="000000" w:themeColor="text1"/>
          <w:sz w:val="20"/>
          <w:szCs w:val="20"/>
          <w:lang w:val="en-US" w:eastAsia="zh-CN"/>
        </w:rPr>
        <w:t>F</w:t>
      </w:r>
      <w:r w:rsidRPr="005B28F6">
        <w:rPr>
          <w:rFonts w:ascii="Arial" w:hAnsi="Arial" w:cs="Arial"/>
          <w:b/>
          <w:color w:val="000000" w:themeColor="text1"/>
          <w:sz w:val="20"/>
          <w:szCs w:val="20"/>
          <w:lang w:val="en-US" w:eastAsia="zh-CN"/>
        </w:rPr>
        <w:t>IGURE LEGENDS</w:t>
      </w:r>
    </w:p>
    <w:p w14:paraId="7EF4AEC0" w14:textId="77777777" w:rsidR="0058398D" w:rsidRPr="005B28F6" w:rsidRDefault="0058398D" w:rsidP="0058398D">
      <w:pPr>
        <w:pStyle w:val="berschrift1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  <w:r w:rsidRPr="005B28F6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MLKL promotes cellular differentiation in myeloid leukemia by facilitating the release of G-CSF</w:t>
      </w:r>
    </w:p>
    <w:p w14:paraId="0BE0ED3B" w14:textId="77777777" w:rsidR="0058398D" w:rsidRPr="005B28F6" w:rsidRDefault="0058398D" w:rsidP="0058398D">
      <w:pPr>
        <w:rPr>
          <w:rFonts w:ascii="Arial" w:hAnsi="Arial" w:cs="Arial"/>
          <w:sz w:val="20"/>
          <w:szCs w:val="20"/>
        </w:rPr>
      </w:pPr>
    </w:p>
    <w:p w14:paraId="4DDAD65C" w14:textId="77777777" w:rsidR="0058398D" w:rsidRPr="005B28F6" w:rsidRDefault="0058398D" w:rsidP="0058398D">
      <w:pPr>
        <w:pStyle w:val="berschrift2"/>
        <w:spacing w:before="0"/>
        <w:contextualSpacing/>
        <w:rPr>
          <w:rFonts w:ascii="Arial" w:hAnsi="Arial" w:cs="Arial"/>
          <w:b/>
          <w:color w:val="000000" w:themeColor="text1"/>
          <w:sz w:val="20"/>
          <w:szCs w:val="20"/>
        </w:rPr>
      </w:pPr>
      <w:r w:rsidRPr="005B28F6">
        <w:rPr>
          <w:rFonts w:ascii="Arial" w:hAnsi="Arial" w:cs="Arial"/>
          <w:b/>
          <w:color w:val="000000" w:themeColor="text1"/>
          <w:sz w:val="20"/>
          <w:szCs w:val="20"/>
        </w:rPr>
        <w:t>Supplementary Figure S1 related to Figure 1.</w:t>
      </w:r>
    </w:p>
    <w:p w14:paraId="5F5E5532" w14:textId="77777777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 xml:space="preserve">A. </w:t>
      </w:r>
      <w:proofErr w:type="spellStart"/>
      <w:r w:rsidRPr="005B28F6">
        <w:rPr>
          <w:rFonts w:ascii="Arial" w:hAnsi="Arial" w:cs="Arial"/>
          <w:sz w:val="20"/>
          <w:szCs w:val="20"/>
        </w:rPr>
        <w:t>cBioPortal</w:t>
      </w:r>
      <w:proofErr w:type="spellEnd"/>
      <w:r w:rsidRPr="005B28F6">
        <w:rPr>
          <w:rFonts w:ascii="Arial" w:hAnsi="Arial" w:cs="Arial"/>
          <w:sz w:val="20"/>
          <w:szCs w:val="20"/>
        </w:rPr>
        <w:t xml:space="preserve"> for Cancer Genomics (http://cbioportal.org) was queried for mutation frequency of </w:t>
      </w:r>
      <w:r w:rsidRPr="005B28F6">
        <w:rPr>
          <w:rFonts w:ascii="Arial" w:hAnsi="Arial" w:cs="Arial"/>
          <w:i/>
          <w:sz w:val="20"/>
          <w:szCs w:val="20"/>
        </w:rPr>
        <w:t>MLKL</w:t>
      </w:r>
      <w:r w:rsidRPr="005B28F6">
        <w:rPr>
          <w:rFonts w:ascii="Arial" w:hAnsi="Arial" w:cs="Arial"/>
          <w:sz w:val="20"/>
          <w:szCs w:val="20"/>
        </w:rPr>
        <w:t xml:space="preserve"> in different cancers (date: 09/2019) using bar graphs to display the frequency.</w:t>
      </w:r>
    </w:p>
    <w:p w14:paraId="40F74DD5" w14:textId="77777777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 xml:space="preserve">B. Lolli plot visualizing the distribution of </w:t>
      </w:r>
      <w:r w:rsidRPr="005B28F6">
        <w:rPr>
          <w:rFonts w:ascii="Arial" w:hAnsi="Arial" w:cs="Arial"/>
          <w:i/>
          <w:sz w:val="20"/>
          <w:szCs w:val="20"/>
        </w:rPr>
        <w:t>MLKL</w:t>
      </w:r>
      <w:r w:rsidRPr="005B28F6">
        <w:rPr>
          <w:rFonts w:ascii="Arial" w:hAnsi="Arial" w:cs="Arial"/>
          <w:sz w:val="20"/>
          <w:szCs w:val="20"/>
        </w:rPr>
        <w:t xml:space="preserve"> alterations identified in various cancers within the protein sequence of </w:t>
      </w:r>
      <w:r w:rsidRPr="005B28F6">
        <w:rPr>
          <w:rFonts w:ascii="Arial" w:hAnsi="Arial" w:cs="Arial"/>
          <w:i/>
          <w:sz w:val="20"/>
          <w:szCs w:val="20"/>
        </w:rPr>
        <w:t>MLKL</w:t>
      </w:r>
      <w:r w:rsidRPr="005B28F6">
        <w:rPr>
          <w:rFonts w:ascii="Arial" w:hAnsi="Arial" w:cs="Arial"/>
          <w:sz w:val="20"/>
          <w:szCs w:val="20"/>
        </w:rPr>
        <w:t xml:space="preserve"> as analyzed by </w:t>
      </w:r>
      <w:proofErr w:type="spellStart"/>
      <w:r w:rsidRPr="005B28F6">
        <w:rPr>
          <w:rFonts w:ascii="Arial" w:hAnsi="Arial" w:cs="Arial"/>
          <w:sz w:val="20"/>
          <w:szCs w:val="20"/>
        </w:rPr>
        <w:t>cBioportal</w:t>
      </w:r>
      <w:proofErr w:type="spellEnd"/>
      <w:r w:rsidRPr="005B28F6">
        <w:rPr>
          <w:rFonts w:ascii="Arial" w:hAnsi="Arial" w:cs="Arial"/>
          <w:sz w:val="20"/>
          <w:szCs w:val="20"/>
        </w:rPr>
        <w:t>.</w:t>
      </w:r>
    </w:p>
    <w:p w14:paraId="6A71C915" w14:textId="77777777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</w:p>
    <w:p w14:paraId="2A3C0944" w14:textId="77777777" w:rsidR="0058398D" w:rsidRPr="005B28F6" w:rsidRDefault="0058398D" w:rsidP="0058398D">
      <w:pPr>
        <w:pStyle w:val="berschrift2"/>
        <w:spacing w:before="0"/>
        <w:contextualSpacing/>
        <w:rPr>
          <w:rFonts w:ascii="Arial" w:hAnsi="Arial" w:cs="Arial"/>
          <w:b/>
          <w:color w:val="auto"/>
          <w:sz w:val="20"/>
          <w:szCs w:val="20"/>
        </w:rPr>
      </w:pPr>
      <w:r w:rsidRPr="005B28F6">
        <w:rPr>
          <w:rFonts w:ascii="Arial" w:hAnsi="Arial" w:cs="Arial"/>
          <w:b/>
          <w:color w:val="000000" w:themeColor="text1"/>
          <w:sz w:val="20"/>
          <w:szCs w:val="20"/>
        </w:rPr>
        <w:t xml:space="preserve">Supplementary </w:t>
      </w:r>
      <w:r w:rsidRPr="005B28F6">
        <w:rPr>
          <w:rFonts w:ascii="Arial" w:hAnsi="Arial" w:cs="Arial"/>
          <w:b/>
          <w:color w:val="auto"/>
          <w:sz w:val="20"/>
          <w:szCs w:val="20"/>
        </w:rPr>
        <w:t>Figure S2 related to Figure 2.</w:t>
      </w:r>
    </w:p>
    <w:p w14:paraId="7C8B0AE5" w14:textId="77777777" w:rsidR="00E30CB0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 xml:space="preserve">A-C. Shown is the viability of BM cells (WT and </w:t>
      </w:r>
      <w:proofErr w:type="spellStart"/>
      <w:r w:rsidRPr="005B28F6">
        <w:rPr>
          <w:rFonts w:ascii="Arial" w:hAnsi="Arial" w:cs="Arial"/>
          <w:i/>
          <w:sz w:val="20"/>
          <w:szCs w:val="20"/>
        </w:rPr>
        <w:t>Mlkl</w:t>
      </w:r>
      <w:proofErr w:type="spellEnd"/>
      <w:r w:rsidRPr="005B28F6">
        <w:rPr>
          <w:rFonts w:ascii="Arial" w:hAnsi="Arial" w:cs="Arial"/>
          <w:i/>
          <w:sz w:val="20"/>
          <w:szCs w:val="20"/>
          <w:vertAlign w:val="superscript"/>
        </w:rPr>
        <w:t>-/-</w:t>
      </w:r>
      <w:r w:rsidRPr="005B28F6">
        <w:rPr>
          <w:rFonts w:ascii="Arial" w:hAnsi="Arial" w:cs="Arial"/>
          <w:sz w:val="20"/>
          <w:szCs w:val="20"/>
        </w:rPr>
        <w:t xml:space="preserve">) transduced with (A) AML-ETO, (B) FLT3-ITD or (C) MLL-ENL linked to Figure 2A-C (t-test, mean with SD). </w:t>
      </w:r>
    </w:p>
    <w:p w14:paraId="5C3C38FD" w14:textId="0E7B9708" w:rsidR="0058398D" w:rsidRPr="005B28F6" w:rsidRDefault="00607C11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>D</w:t>
      </w:r>
      <w:r w:rsidR="0058398D" w:rsidRPr="005B28F6">
        <w:rPr>
          <w:rFonts w:ascii="Arial" w:hAnsi="Arial" w:cs="Arial"/>
          <w:sz w:val="20"/>
          <w:szCs w:val="20"/>
        </w:rPr>
        <w:t>. Shown are gating strategies and progenitor populations in GFP</w:t>
      </w:r>
      <w:r w:rsidR="0058398D" w:rsidRPr="005B28F6">
        <w:rPr>
          <w:rFonts w:ascii="Arial" w:hAnsi="Arial" w:cs="Arial"/>
          <w:b/>
          <w:sz w:val="20"/>
          <w:szCs w:val="20"/>
          <w:vertAlign w:val="superscript"/>
        </w:rPr>
        <w:t>+</w:t>
      </w:r>
      <w:r w:rsidR="0058398D" w:rsidRPr="005B28F6">
        <w:rPr>
          <w:rFonts w:ascii="Arial" w:hAnsi="Arial" w:cs="Arial"/>
          <w:sz w:val="20"/>
          <w:szCs w:val="20"/>
        </w:rPr>
        <w:t xml:space="preserve"> cells in AML-ETO, FLT3-ITD or MLL-ENL (t-test, mean with SD) linked to Figure 2A-F.</w:t>
      </w:r>
    </w:p>
    <w:p w14:paraId="0D632019" w14:textId="77777777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>*P&lt;0.05, **P&lt;0.005, ***P&lt;0.0005</w:t>
      </w:r>
    </w:p>
    <w:p w14:paraId="2ED31EEC" w14:textId="77777777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</w:p>
    <w:p w14:paraId="74561448" w14:textId="77777777" w:rsidR="0058398D" w:rsidRPr="005B28F6" w:rsidRDefault="0058398D" w:rsidP="0058398D">
      <w:pPr>
        <w:pStyle w:val="berschrift2"/>
        <w:spacing w:before="0"/>
        <w:contextualSpacing/>
        <w:rPr>
          <w:rFonts w:ascii="Arial" w:hAnsi="Arial" w:cs="Arial"/>
          <w:b/>
          <w:color w:val="auto"/>
          <w:sz w:val="20"/>
          <w:szCs w:val="20"/>
        </w:rPr>
      </w:pPr>
      <w:r w:rsidRPr="005B28F6">
        <w:rPr>
          <w:rFonts w:ascii="Arial" w:hAnsi="Arial" w:cs="Arial"/>
          <w:b/>
          <w:color w:val="000000" w:themeColor="text1"/>
          <w:sz w:val="20"/>
          <w:szCs w:val="20"/>
        </w:rPr>
        <w:t xml:space="preserve">Supplementary </w:t>
      </w:r>
      <w:r w:rsidRPr="005B28F6">
        <w:rPr>
          <w:rFonts w:ascii="Arial" w:hAnsi="Arial" w:cs="Arial"/>
          <w:b/>
          <w:color w:val="auto"/>
          <w:sz w:val="20"/>
          <w:szCs w:val="20"/>
        </w:rPr>
        <w:t>Figure S3 related to Figure 3.</w:t>
      </w:r>
    </w:p>
    <w:p w14:paraId="2554F21D" w14:textId="77777777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>A. Enrichment plots for gene set enrichment analysis (GSEA) linked to Figure 3.</w:t>
      </w:r>
    </w:p>
    <w:p w14:paraId="46D90200" w14:textId="6003A1AD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>B</w:t>
      </w:r>
      <w:r w:rsidR="00595EF9" w:rsidRPr="005B28F6">
        <w:rPr>
          <w:rFonts w:ascii="Arial" w:hAnsi="Arial" w:cs="Arial"/>
          <w:sz w:val="20"/>
          <w:szCs w:val="20"/>
        </w:rPr>
        <w:t xml:space="preserve"> </w:t>
      </w:r>
      <w:r w:rsidR="002A68A8" w:rsidRPr="005B28F6">
        <w:rPr>
          <w:rFonts w:ascii="Arial" w:hAnsi="Arial" w:cs="Arial"/>
          <w:sz w:val="20"/>
          <w:szCs w:val="20"/>
        </w:rPr>
        <w:t xml:space="preserve">and </w:t>
      </w:r>
      <w:r w:rsidR="00595EF9" w:rsidRPr="005B28F6">
        <w:rPr>
          <w:rFonts w:ascii="Arial" w:hAnsi="Arial" w:cs="Arial"/>
          <w:sz w:val="20"/>
          <w:szCs w:val="20"/>
        </w:rPr>
        <w:t>C</w:t>
      </w:r>
      <w:r w:rsidRPr="005B28F6">
        <w:rPr>
          <w:rFonts w:ascii="Arial" w:hAnsi="Arial" w:cs="Arial"/>
          <w:sz w:val="20"/>
          <w:szCs w:val="20"/>
        </w:rPr>
        <w:t xml:space="preserve">. Shown is the correlation between </w:t>
      </w:r>
      <w:r w:rsidRPr="005B28F6">
        <w:rPr>
          <w:rFonts w:ascii="Arial" w:hAnsi="Arial" w:cs="Arial"/>
          <w:i/>
          <w:sz w:val="20"/>
          <w:szCs w:val="20"/>
        </w:rPr>
        <w:t>CSF3</w:t>
      </w:r>
      <w:r w:rsidRPr="005B28F6">
        <w:rPr>
          <w:rFonts w:ascii="Arial" w:hAnsi="Arial" w:cs="Arial"/>
          <w:sz w:val="20"/>
          <w:szCs w:val="20"/>
        </w:rPr>
        <w:t xml:space="preserve"> and </w:t>
      </w:r>
      <w:r w:rsidRPr="005B28F6">
        <w:rPr>
          <w:rFonts w:ascii="Arial" w:hAnsi="Arial" w:cs="Arial"/>
          <w:i/>
          <w:sz w:val="20"/>
          <w:szCs w:val="20"/>
        </w:rPr>
        <w:t>MLKL</w:t>
      </w:r>
      <w:r w:rsidRPr="005B28F6">
        <w:rPr>
          <w:rFonts w:ascii="Arial" w:hAnsi="Arial" w:cs="Arial"/>
          <w:sz w:val="20"/>
          <w:szCs w:val="20"/>
        </w:rPr>
        <w:t xml:space="preserve"> mRNA expression in GSE37642</w:t>
      </w:r>
      <w:r w:rsidR="003B4181" w:rsidRPr="005B28F6">
        <w:rPr>
          <w:rFonts w:ascii="Arial" w:hAnsi="Arial" w:cs="Arial"/>
          <w:sz w:val="20"/>
          <w:szCs w:val="20"/>
        </w:rPr>
        <w:t xml:space="preserve"> (n=422)</w:t>
      </w:r>
      <w:r w:rsidR="00E25985" w:rsidRPr="005B28F6">
        <w:rPr>
          <w:rFonts w:ascii="Arial" w:hAnsi="Arial" w:cs="Arial"/>
          <w:sz w:val="20"/>
          <w:szCs w:val="20"/>
        </w:rPr>
        <w:t xml:space="preserve"> and TCGA_LAML datasets</w:t>
      </w:r>
      <w:r w:rsidR="003B4181" w:rsidRPr="005B28F6">
        <w:rPr>
          <w:rFonts w:ascii="Arial" w:hAnsi="Arial" w:cs="Arial"/>
          <w:sz w:val="20"/>
          <w:szCs w:val="20"/>
        </w:rPr>
        <w:t xml:space="preserve"> (n=173)</w:t>
      </w:r>
      <w:r w:rsidRPr="005B28F6">
        <w:rPr>
          <w:rFonts w:ascii="Arial" w:hAnsi="Arial" w:cs="Arial"/>
          <w:sz w:val="20"/>
          <w:szCs w:val="20"/>
        </w:rPr>
        <w:t xml:space="preserve"> (Pearson correlation)</w:t>
      </w:r>
      <w:r w:rsidR="00E25985" w:rsidRPr="005B28F6">
        <w:rPr>
          <w:rFonts w:ascii="Arial" w:hAnsi="Arial" w:cs="Arial"/>
          <w:sz w:val="20"/>
          <w:szCs w:val="20"/>
        </w:rPr>
        <w:t>.</w:t>
      </w:r>
    </w:p>
    <w:p w14:paraId="165F723C" w14:textId="5AEC4F76" w:rsidR="00595EF9" w:rsidRPr="005B28F6" w:rsidRDefault="00595EF9" w:rsidP="0058398D">
      <w:pPr>
        <w:contextualSpacing/>
        <w:rPr>
          <w:rFonts w:ascii="Arial" w:hAnsi="Arial" w:cs="Arial"/>
          <w:iCs/>
          <w:sz w:val="20"/>
          <w:szCs w:val="20"/>
        </w:rPr>
      </w:pPr>
      <w:r w:rsidRPr="005B28F6">
        <w:rPr>
          <w:rFonts w:ascii="Arial" w:hAnsi="Arial" w:cs="Arial" w:hint="eastAsia"/>
          <w:sz w:val="20"/>
          <w:szCs w:val="20"/>
        </w:rPr>
        <w:t>D</w:t>
      </w:r>
      <w:r w:rsidRPr="005B28F6">
        <w:rPr>
          <w:rFonts w:ascii="Arial" w:hAnsi="Arial" w:cs="Arial"/>
          <w:sz w:val="20"/>
          <w:szCs w:val="20"/>
        </w:rPr>
        <w:t xml:space="preserve">. </w:t>
      </w:r>
      <w:r w:rsidR="00F42F79" w:rsidRPr="005B28F6">
        <w:rPr>
          <w:rFonts w:ascii="Arial" w:hAnsi="Arial" w:cs="Arial"/>
          <w:sz w:val="20"/>
          <w:szCs w:val="20"/>
        </w:rPr>
        <w:t>qPCR results for the</w:t>
      </w:r>
      <w:r w:rsidR="006D1D55" w:rsidRPr="005B28F6">
        <w:rPr>
          <w:rFonts w:ascii="Arial" w:hAnsi="Arial" w:cs="Arial"/>
          <w:sz w:val="20"/>
          <w:szCs w:val="20"/>
        </w:rPr>
        <w:t xml:space="preserve"> </w:t>
      </w:r>
      <w:r w:rsidR="007B7052" w:rsidRPr="005B28F6">
        <w:rPr>
          <w:rFonts w:ascii="Arial" w:hAnsi="Arial" w:cs="Arial"/>
          <w:sz w:val="20"/>
          <w:szCs w:val="20"/>
        </w:rPr>
        <w:t>most differentia</w:t>
      </w:r>
      <w:r w:rsidR="006D1D55" w:rsidRPr="005B28F6">
        <w:rPr>
          <w:rFonts w:ascii="Arial" w:hAnsi="Arial" w:cs="Arial"/>
          <w:sz w:val="20"/>
          <w:szCs w:val="20"/>
        </w:rPr>
        <w:t xml:space="preserve">l expressed genes </w:t>
      </w:r>
      <w:r w:rsidR="000D208A" w:rsidRPr="005B28F6">
        <w:rPr>
          <w:rFonts w:ascii="Arial" w:hAnsi="Arial" w:cs="Arial"/>
          <w:sz w:val="20"/>
          <w:szCs w:val="20"/>
        </w:rPr>
        <w:t>in</w:t>
      </w:r>
      <w:r w:rsidR="006D1D55" w:rsidRPr="005B28F6">
        <w:rPr>
          <w:rFonts w:ascii="Arial" w:hAnsi="Arial" w:cs="Arial"/>
          <w:sz w:val="20"/>
          <w:szCs w:val="20"/>
        </w:rPr>
        <w:t xml:space="preserve"> </w:t>
      </w:r>
      <w:r w:rsidR="00873C01" w:rsidRPr="005B28F6">
        <w:rPr>
          <w:rFonts w:ascii="Arial" w:hAnsi="Arial" w:cs="Arial"/>
          <w:sz w:val="20"/>
          <w:szCs w:val="20"/>
        </w:rPr>
        <w:t>Figure 3C</w:t>
      </w:r>
      <w:r w:rsidR="007B7052" w:rsidRPr="005B28F6">
        <w:rPr>
          <w:rFonts w:ascii="Arial" w:hAnsi="Arial" w:cs="Arial"/>
          <w:sz w:val="20"/>
          <w:szCs w:val="20"/>
        </w:rPr>
        <w:t xml:space="preserve">, between WT and </w:t>
      </w:r>
      <w:proofErr w:type="spellStart"/>
      <w:r w:rsidR="00766AF6" w:rsidRPr="005B28F6">
        <w:rPr>
          <w:rFonts w:ascii="Arial" w:hAnsi="Arial" w:cs="Arial"/>
          <w:i/>
          <w:sz w:val="20"/>
          <w:szCs w:val="20"/>
        </w:rPr>
        <w:t>Mlkl</w:t>
      </w:r>
      <w:proofErr w:type="spellEnd"/>
      <w:r w:rsidR="00766AF6" w:rsidRPr="005B28F6">
        <w:rPr>
          <w:rFonts w:ascii="Arial" w:hAnsi="Arial" w:cs="Arial"/>
          <w:i/>
          <w:sz w:val="20"/>
          <w:szCs w:val="20"/>
          <w:vertAlign w:val="superscript"/>
        </w:rPr>
        <w:t>-/-</w:t>
      </w:r>
      <w:r w:rsidR="00766AF6" w:rsidRPr="005B28F6">
        <w:rPr>
          <w:rFonts w:ascii="Arial" w:hAnsi="Arial" w:cs="Arial"/>
          <w:iCs/>
          <w:sz w:val="20"/>
          <w:szCs w:val="20"/>
        </w:rPr>
        <w:t xml:space="preserve"> bone marrows cross </w:t>
      </w:r>
      <w:r w:rsidR="00766AF6" w:rsidRPr="005B28F6">
        <w:rPr>
          <w:rFonts w:ascii="Arial" w:hAnsi="Arial" w:cs="Arial"/>
          <w:sz w:val="20"/>
          <w:szCs w:val="20"/>
        </w:rPr>
        <w:t>AML-ETO, FLT3-ITD and MLL-ENL oncogenes</w:t>
      </w:r>
      <w:r w:rsidR="00555961" w:rsidRPr="005B28F6">
        <w:rPr>
          <w:rFonts w:ascii="Arial" w:hAnsi="Arial" w:cs="Arial"/>
          <w:sz w:val="20"/>
          <w:szCs w:val="20"/>
        </w:rPr>
        <w:t xml:space="preserve"> (t-test, mean with SD)</w:t>
      </w:r>
      <w:r w:rsidR="00766AF6" w:rsidRPr="005B28F6">
        <w:rPr>
          <w:rFonts w:ascii="Arial" w:hAnsi="Arial" w:cs="Arial"/>
          <w:sz w:val="20"/>
          <w:szCs w:val="20"/>
        </w:rPr>
        <w:t>.</w:t>
      </w:r>
    </w:p>
    <w:p w14:paraId="665BEC14" w14:textId="77777777" w:rsidR="00555961" w:rsidRPr="005B28F6" w:rsidRDefault="00555961" w:rsidP="00555961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>*P&lt;0.05, **P&lt;0.005, ***P&lt;0.0005</w:t>
      </w:r>
    </w:p>
    <w:p w14:paraId="0E2E8E13" w14:textId="77777777" w:rsidR="0058398D" w:rsidRPr="005B28F6" w:rsidRDefault="0058398D" w:rsidP="0058398D">
      <w:pPr>
        <w:spacing w:line="360" w:lineRule="auto"/>
        <w:contextualSpacing/>
        <w:rPr>
          <w:rFonts w:ascii="Arial" w:hAnsi="Arial" w:cs="Arial"/>
          <w:sz w:val="20"/>
          <w:szCs w:val="20"/>
        </w:rPr>
      </w:pPr>
    </w:p>
    <w:p w14:paraId="2B0D1ABD" w14:textId="477A0B22" w:rsidR="0058398D" w:rsidRPr="005B28F6" w:rsidRDefault="0058398D" w:rsidP="0058398D">
      <w:pPr>
        <w:pStyle w:val="berschrift2"/>
        <w:spacing w:before="0"/>
        <w:contextualSpacing/>
        <w:rPr>
          <w:rFonts w:ascii="Arial" w:hAnsi="Arial" w:cs="Arial"/>
          <w:b/>
          <w:color w:val="auto"/>
          <w:sz w:val="20"/>
          <w:szCs w:val="20"/>
        </w:rPr>
      </w:pPr>
      <w:r w:rsidRPr="005B28F6">
        <w:rPr>
          <w:rFonts w:ascii="Arial" w:hAnsi="Arial" w:cs="Arial"/>
          <w:b/>
          <w:color w:val="000000" w:themeColor="text1"/>
          <w:sz w:val="20"/>
          <w:szCs w:val="20"/>
        </w:rPr>
        <w:t xml:space="preserve">Supplementary </w:t>
      </w:r>
      <w:r w:rsidRPr="005B28F6">
        <w:rPr>
          <w:rFonts w:ascii="Arial" w:hAnsi="Arial" w:cs="Arial"/>
          <w:b/>
          <w:color w:val="auto"/>
          <w:sz w:val="20"/>
          <w:szCs w:val="20"/>
        </w:rPr>
        <w:t>Figure S4 related to Figure 4</w:t>
      </w:r>
      <w:r w:rsidR="00600CC2" w:rsidRPr="005B28F6">
        <w:rPr>
          <w:rFonts w:ascii="Arial" w:hAnsi="Arial" w:cs="Arial"/>
          <w:b/>
          <w:color w:val="auto"/>
          <w:sz w:val="20"/>
          <w:szCs w:val="20"/>
        </w:rPr>
        <w:t>.</w:t>
      </w:r>
    </w:p>
    <w:p w14:paraId="30C7821A" w14:textId="77777777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>A. Shown are supernatant cytokine measurements for GM-CSF, IL-3, IL6, TNF and IL-1β linked to Figure 4D (t-test, mean with SD).</w:t>
      </w:r>
    </w:p>
    <w:p w14:paraId="70D6F72F" w14:textId="77777777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 xml:space="preserve">B. Shown are histograms of cytokines measured in BM cells linked to Figure 4C-D, red represent signal from </w:t>
      </w:r>
      <w:proofErr w:type="spellStart"/>
      <w:r w:rsidRPr="005B28F6">
        <w:rPr>
          <w:rFonts w:ascii="Arial" w:hAnsi="Arial" w:cs="Arial"/>
          <w:i/>
          <w:iCs/>
          <w:sz w:val="20"/>
          <w:szCs w:val="20"/>
        </w:rPr>
        <w:t>Mlkl</w:t>
      </w:r>
      <w:proofErr w:type="spellEnd"/>
      <w:r w:rsidRPr="005B28F6">
        <w:rPr>
          <w:rFonts w:ascii="Arial" w:hAnsi="Arial" w:cs="Arial"/>
          <w:i/>
          <w:iCs/>
          <w:sz w:val="20"/>
          <w:szCs w:val="20"/>
          <w:vertAlign w:val="superscript"/>
        </w:rPr>
        <w:t>-/-</w:t>
      </w:r>
      <w:r w:rsidRPr="005B28F6">
        <w:rPr>
          <w:rFonts w:ascii="Arial" w:hAnsi="Arial" w:cs="Arial"/>
          <w:sz w:val="20"/>
          <w:szCs w:val="20"/>
        </w:rPr>
        <w:t xml:space="preserve"> group, blue represent signal from WT group.</w:t>
      </w:r>
    </w:p>
    <w:p w14:paraId="01D5BAD1" w14:textId="77777777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>*P&lt;0.05, **P&lt;0.005, ***P&lt;0.0005</w:t>
      </w:r>
    </w:p>
    <w:p w14:paraId="7F6C9766" w14:textId="77777777" w:rsidR="0058398D" w:rsidRPr="005B28F6" w:rsidRDefault="0058398D" w:rsidP="0058398D">
      <w:pPr>
        <w:spacing w:line="360" w:lineRule="auto"/>
        <w:contextualSpacing/>
        <w:rPr>
          <w:rFonts w:ascii="Arial" w:hAnsi="Arial" w:cs="Arial"/>
          <w:sz w:val="20"/>
          <w:szCs w:val="20"/>
        </w:rPr>
      </w:pPr>
    </w:p>
    <w:p w14:paraId="03F91C19" w14:textId="0FBA48C8" w:rsidR="0058398D" w:rsidRPr="005B28F6" w:rsidRDefault="0058398D" w:rsidP="0058398D">
      <w:pPr>
        <w:pStyle w:val="berschrift2"/>
        <w:spacing w:before="0"/>
        <w:contextualSpacing/>
        <w:rPr>
          <w:rFonts w:ascii="Arial" w:hAnsi="Arial" w:cs="Arial"/>
          <w:b/>
          <w:color w:val="auto"/>
          <w:sz w:val="20"/>
          <w:szCs w:val="20"/>
        </w:rPr>
      </w:pPr>
      <w:r w:rsidRPr="005B28F6">
        <w:rPr>
          <w:rFonts w:ascii="Arial" w:hAnsi="Arial" w:cs="Arial"/>
          <w:b/>
          <w:color w:val="000000" w:themeColor="text1"/>
          <w:sz w:val="20"/>
          <w:szCs w:val="20"/>
        </w:rPr>
        <w:t xml:space="preserve">Supplementary </w:t>
      </w:r>
      <w:r w:rsidRPr="005B28F6">
        <w:rPr>
          <w:rFonts w:ascii="Arial" w:hAnsi="Arial" w:cs="Arial"/>
          <w:b/>
          <w:color w:val="auto"/>
          <w:sz w:val="20"/>
          <w:szCs w:val="20"/>
        </w:rPr>
        <w:t>Figure S5 related to Figure 5.</w:t>
      </w:r>
    </w:p>
    <w:p w14:paraId="7886EB6E" w14:textId="4600838C" w:rsidR="007B647E" w:rsidRPr="005B28F6" w:rsidRDefault="007B647E" w:rsidP="002A68A8">
      <w:pPr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 xml:space="preserve">A. </w:t>
      </w:r>
      <w:r w:rsidR="000C4B66" w:rsidRPr="005B28F6">
        <w:rPr>
          <w:rFonts w:ascii="Arial" w:hAnsi="Arial" w:cs="Arial"/>
          <w:sz w:val="20"/>
          <w:szCs w:val="20"/>
        </w:rPr>
        <w:t>T</w:t>
      </w:r>
      <w:r w:rsidR="008E7174" w:rsidRPr="005B28F6">
        <w:rPr>
          <w:rFonts w:ascii="Arial" w:hAnsi="Arial" w:cs="Arial"/>
          <w:sz w:val="20"/>
          <w:szCs w:val="20"/>
        </w:rPr>
        <w:t xml:space="preserve">he relative </w:t>
      </w:r>
      <w:r w:rsidR="00976169" w:rsidRPr="005B28F6">
        <w:rPr>
          <w:rFonts w:ascii="Arial" w:hAnsi="Arial" w:cs="Arial"/>
          <w:sz w:val="20"/>
          <w:szCs w:val="20"/>
        </w:rPr>
        <w:t xml:space="preserve">surface </w:t>
      </w:r>
      <w:r w:rsidR="00B53EB0" w:rsidRPr="005B28F6">
        <w:rPr>
          <w:rFonts w:ascii="Arial" w:hAnsi="Arial" w:cs="Arial"/>
          <w:sz w:val="20"/>
          <w:szCs w:val="20"/>
        </w:rPr>
        <w:t xml:space="preserve">GCSFR </w:t>
      </w:r>
      <w:r w:rsidR="00790173" w:rsidRPr="005B28F6">
        <w:rPr>
          <w:rFonts w:ascii="Arial" w:hAnsi="Arial" w:cs="Arial"/>
          <w:sz w:val="20"/>
          <w:szCs w:val="20"/>
        </w:rPr>
        <w:t>level were measured</w:t>
      </w:r>
      <w:r w:rsidR="002E06FA" w:rsidRPr="005B28F6">
        <w:rPr>
          <w:rFonts w:ascii="Arial" w:hAnsi="Arial" w:cs="Arial"/>
          <w:sz w:val="20"/>
          <w:szCs w:val="20"/>
        </w:rPr>
        <w:t xml:space="preserve"> </w:t>
      </w:r>
      <w:r w:rsidR="00EC5828" w:rsidRPr="005B28F6">
        <w:rPr>
          <w:rFonts w:ascii="Arial" w:hAnsi="Arial" w:cs="Arial"/>
          <w:sz w:val="20"/>
          <w:szCs w:val="20"/>
        </w:rPr>
        <w:t xml:space="preserve">between WT and </w:t>
      </w:r>
      <w:proofErr w:type="spellStart"/>
      <w:r w:rsidR="00EC5828" w:rsidRPr="005B28F6">
        <w:rPr>
          <w:rFonts w:ascii="Arial" w:hAnsi="Arial" w:cs="Arial"/>
          <w:i/>
          <w:sz w:val="20"/>
          <w:szCs w:val="20"/>
        </w:rPr>
        <w:t>Mlkl</w:t>
      </w:r>
      <w:proofErr w:type="spellEnd"/>
      <w:r w:rsidR="00EC5828" w:rsidRPr="005B28F6">
        <w:rPr>
          <w:rFonts w:ascii="Arial" w:hAnsi="Arial" w:cs="Arial"/>
          <w:i/>
          <w:sz w:val="20"/>
          <w:szCs w:val="20"/>
          <w:vertAlign w:val="superscript"/>
        </w:rPr>
        <w:t>-/-</w:t>
      </w:r>
      <w:r w:rsidR="00EC5828" w:rsidRPr="005B28F6">
        <w:rPr>
          <w:rFonts w:ascii="Arial" w:hAnsi="Arial" w:cs="Arial"/>
          <w:iCs/>
          <w:sz w:val="20"/>
          <w:szCs w:val="20"/>
        </w:rPr>
        <w:t xml:space="preserve"> bone marrows cross </w:t>
      </w:r>
      <w:r w:rsidR="00EC5828" w:rsidRPr="005B28F6">
        <w:rPr>
          <w:rFonts w:ascii="Arial" w:hAnsi="Arial" w:cs="Arial"/>
          <w:sz w:val="20"/>
          <w:szCs w:val="20"/>
        </w:rPr>
        <w:t>AML-ETO, FLT3-ITD and</w:t>
      </w:r>
      <w:r w:rsidR="00976169" w:rsidRPr="005B28F6">
        <w:rPr>
          <w:rFonts w:ascii="Arial" w:hAnsi="Arial" w:cs="Arial"/>
          <w:sz w:val="20"/>
          <w:szCs w:val="20"/>
        </w:rPr>
        <w:t xml:space="preserve"> non-transformed bone marrow cells</w:t>
      </w:r>
      <w:r w:rsidR="009943FB" w:rsidRPr="005B28F6">
        <w:rPr>
          <w:rFonts w:ascii="Arial" w:hAnsi="Arial" w:cs="Arial"/>
          <w:sz w:val="20"/>
          <w:szCs w:val="20"/>
        </w:rPr>
        <w:t xml:space="preserve"> with surface stain FACS</w:t>
      </w:r>
      <w:r w:rsidR="00A20EF0" w:rsidRPr="005B28F6">
        <w:rPr>
          <w:rFonts w:ascii="Arial" w:hAnsi="Arial" w:cs="Arial"/>
          <w:sz w:val="20"/>
          <w:szCs w:val="20"/>
        </w:rPr>
        <w:t xml:space="preserve"> </w:t>
      </w:r>
      <w:r w:rsidR="0034742D" w:rsidRPr="005B28F6">
        <w:rPr>
          <w:rFonts w:ascii="Arial" w:hAnsi="Arial" w:cs="Arial"/>
          <w:sz w:val="20"/>
          <w:szCs w:val="20"/>
        </w:rPr>
        <w:t>(t-test, mean with SD)</w:t>
      </w:r>
      <w:r w:rsidR="008E7174" w:rsidRPr="005B28F6">
        <w:rPr>
          <w:rFonts w:ascii="Arial" w:hAnsi="Arial" w:cs="Arial"/>
          <w:sz w:val="20"/>
          <w:szCs w:val="20"/>
        </w:rPr>
        <w:t>.</w:t>
      </w:r>
    </w:p>
    <w:p w14:paraId="06B78ED4" w14:textId="7F07EB7D" w:rsidR="0058398D" w:rsidRPr="005B28F6" w:rsidRDefault="00B641D5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 xml:space="preserve">B. </w:t>
      </w:r>
      <w:r w:rsidR="0058398D" w:rsidRPr="005B28F6">
        <w:rPr>
          <w:rFonts w:ascii="Arial" w:hAnsi="Arial" w:cs="Arial"/>
          <w:sz w:val="20"/>
          <w:szCs w:val="20"/>
        </w:rPr>
        <w:t xml:space="preserve">Shown are gating strategies and progenitor populations in BM cells using AML-ETO-transduced cells as example after treatment with </w:t>
      </w:r>
      <w:r w:rsidR="0058398D" w:rsidRPr="005B28F6">
        <w:rPr>
          <w:rFonts w:ascii="Arial" w:hAnsi="Arial" w:cs="Arial" w:hint="eastAsia"/>
          <w:sz w:val="20"/>
          <w:szCs w:val="20"/>
        </w:rPr>
        <w:t>α</w:t>
      </w:r>
      <w:r w:rsidR="0058398D" w:rsidRPr="005B28F6">
        <w:rPr>
          <w:rFonts w:ascii="Arial" w:hAnsi="Arial" w:cs="Arial"/>
          <w:sz w:val="20"/>
          <w:szCs w:val="20"/>
        </w:rPr>
        <w:t>-G-CSF antibody or rec. G-CSF (</w:t>
      </w:r>
      <w:bookmarkStart w:id="0" w:name="OLE_LINK1"/>
      <w:bookmarkStart w:id="1" w:name="OLE_LINK2"/>
      <w:r w:rsidR="0058398D" w:rsidRPr="005B28F6">
        <w:rPr>
          <w:rFonts w:ascii="Arial" w:hAnsi="Arial" w:cs="Arial"/>
          <w:sz w:val="20"/>
          <w:szCs w:val="20"/>
        </w:rPr>
        <w:t>t-test, mean with SD</w:t>
      </w:r>
      <w:bookmarkEnd w:id="0"/>
      <w:bookmarkEnd w:id="1"/>
      <w:r w:rsidR="0058398D" w:rsidRPr="005B28F6">
        <w:rPr>
          <w:rFonts w:ascii="Arial" w:hAnsi="Arial" w:cs="Arial"/>
          <w:sz w:val="20"/>
          <w:szCs w:val="20"/>
        </w:rPr>
        <w:t>) linked to Figure 5.</w:t>
      </w:r>
    </w:p>
    <w:p w14:paraId="01378A09" w14:textId="77777777" w:rsidR="007278CB" w:rsidRPr="005B28F6" w:rsidRDefault="007278CB" w:rsidP="007278CB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>*P&lt;0.05, **P&lt;0.005, ***P&lt;0.0005</w:t>
      </w:r>
    </w:p>
    <w:p w14:paraId="4AEF00C7" w14:textId="77777777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</w:p>
    <w:p w14:paraId="4DFDC11D" w14:textId="77777777" w:rsidR="0058398D" w:rsidRPr="005B28F6" w:rsidRDefault="0058398D" w:rsidP="0058398D">
      <w:pPr>
        <w:pStyle w:val="berschrift2"/>
        <w:spacing w:before="0"/>
        <w:contextualSpacing/>
        <w:rPr>
          <w:rFonts w:ascii="Arial" w:hAnsi="Arial" w:cs="Arial"/>
          <w:b/>
          <w:color w:val="auto"/>
          <w:sz w:val="20"/>
          <w:szCs w:val="20"/>
        </w:rPr>
      </w:pPr>
      <w:r w:rsidRPr="005B28F6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Supplementary </w:t>
      </w:r>
      <w:r w:rsidRPr="005B28F6">
        <w:rPr>
          <w:rFonts w:ascii="Arial" w:hAnsi="Arial" w:cs="Arial"/>
          <w:b/>
          <w:color w:val="auto"/>
          <w:sz w:val="20"/>
          <w:szCs w:val="20"/>
        </w:rPr>
        <w:t>Figure S6 related to Figure 6.</w:t>
      </w:r>
    </w:p>
    <w:p w14:paraId="1AE641D1" w14:textId="19762851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 xml:space="preserve">A </w:t>
      </w:r>
      <w:r w:rsidR="00280DA7" w:rsidRPr="005B28F6">
        <w:rPr>
          <w:rFonts w:ascii="Arial" w:hAnsi="Arial" w:cs="Arial"/>
          <w:sz w:val="20"/>
          <w:szCs w:val="20"/>
        </w:rPr>
        <w:t xml:space="preserve">and </w:t>
      </w:r>
      <w:r w:rsidRPr="005B28F6">
        <w:rPr>
          <w:rFonts w:ascii="Arial" w:hAnsi="Arial" w:cs="Arial"/>
          <w:sz w:val="20"/>
          <w:szCs w:val="20"/>
        </w:rPr>
        <w:t>B, BMDMs treated with high level of LPS (100ng/ml which could induce cell death) for 24 hours, the PI</w:t>
      </w:r>
      <w:r w:rsidRPr="005B28F6">
        <w:rPr>
          <w:rFonts w:ascii="Arial" w:hAnsi="Arial" w:cs="Arial"/>
          <w:sz w:val="20"/>
          <w:szCs w:val="20"/>
          <w:vertAlign w:val="superscript"/>
        </w:rPr>
        <w:t>+</w:t>
      </w:r>
      <w:r w:rsidRPr="005B28F6">
        <w:rPr>
          <w:rFonts w:ascii="Arial" w:hAnsi="Arial" w:cs="Arial"/>
          <w:sz w:val="20"/>
          <w:szCs w:val="20"/>
        </w:rPr>
        <w:t xml:space="preserve"> and supernatant G-CSF level were measured by FACS when treated with or without PEG 8000 (</w:t>
      </w:r>
      <w:r w:rsidR="00742BD3" w:rsidRPr="005B28F6">
        <w:rPr>
          <w:rFonts w:ascii="Arial" w:hAnsi="Arial" w:cs="Arial"/>
          <w:sz w:val="20"/>
          <w:szCs w:val="20"/>
        </w:rPr>
        <w:t xml:space="preserve">student´s t-test, </w:t>
      </w:r>
      <w:r w:rsidRPr="005B28F6">
        <w:rPr>
          <w:rFonts w:ascii="Arial" w:hAnsi="Arial" w:cs="Arial"/>
          <w:sz w:val="20"/>
          <w:szCs w:val="20"/>
        </w:rPr>
        <w:t>mean with SD).</w:t>
      </w:r>
    </w:p>
    <w:p w14:paraId="0E779EF5" w14:textId="4083839D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>C &amp; D, BMDMs treated with low level of LPS (20ng/ml which could not induce cell death) for 24 hours, the PI</w:t>
      </w:r>
      <w:r w:rsidRPr="005B28F6">
        <w:rPr>
          <w:rFonts w:ascii="Arial" w:hAnsi="Arial" w:cs="Arial"/>
          <w:sz w:val="20"/>
          <w:szCs w:val="20"/>
          <w:vertAlign w:val="superscript"/>
        </w:rPr>
        <w:t>+</w:t>
      </w:r>
      <w:r w:rsidRPr="005B28F6">
        <w:rPr>
          <w:rFonts w:ascii="Arial" w:hAnsi="Arial" w:cs="Arial"/>
          <w:sz w:val="20"/>
          <w:szCs w:val="20"/>
        </w:rPr>
        <w:t xml:space="preserve"> and supernatant G-CSF level were measured by FACS when treated with or without PEG 8000 (mean with SD).</w:t>
      </w:r>
    </w:p>
    <w:p w14:paraId="2A2AAD8A" w14:textId="239DF55F" w:rsidR="00211FBA" w:rsidRPr="005B28F6" w:rsidRDefault="00206B74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 w:hint="eastAsia"/>
          <w:sz w:val="20"/>
          <w:szCs w:val="20"/>
        </w:rPr>
        <w:t>E</w:t>
      </w:r>
      <w:r w:rsidR="00742BD3" w:rsidRPr="005B28F6">
        <w:rPr>
          <w:rFonts w:ascii="Arial" w:hAnsi="Arial" w:cs="Arial"/>
          <w:sz w:val="20"/>
          <w:szCs w:val="20"/>
        </w:rPr>
        <w:t xml:space="preserve"> and</w:t>
      </w:r>
      <w:r w:rsidRPr="005B28F6">
        <w:rPr>
          <w:rFonts w:ascii="Arial" w:hAnsi="Arial" w:cs="Arial"/>
          <w:sz w:val="20"/>
          <w:szCs w:val="20"/>
        </w:rPr>
        <w:t xml:space="preserve"> F, </w:t>
      </w:r>
      <w:r w:rsidR="006C0F09" w:rsidRPr="005B28F6">
        <w:rPr>
          <w:rFonts w:ascii="Arial" w:hAnsi="Arial" w:cs="Arial"/>
          <w:sz w:val="20"/>
          <w:szCs w:val="20"/>
        </w:rPr>
        <w:t xml:space="preserve">Supernatant G-CSF levels of AML-ETO and MLL-ENL WT or </w:t>
      </w:r>
      <w:proofErr w:type="spellStart"/>
      <w:r w:rsidR="006C0F09" w:rsidRPr="005B28F6">
        <w:rPr>
          <w:rFonts w:ascii="Arial" w:hAnsi="Arial" w:cs="Arial"/>
          <w:i/>
          <w:sz w:val="20"/>
          <w:szCs w:val="20"/>
        </w:rPr>
        <w:t>Mlkl</w:t>
      </w:r>
      <w:proofErr w:type="spellEnd"/>
      <w:r w:rsidR="006C0F09" w:rsidRPr="005B28F6">
        <w:rPr>
          <w:rFonts w:ascii="Arial" w:hAnsi="Arial" w:cs="Arial"/>
          <w:i/>
          <w:sz w:val="20"/>
          <w:szCs w:val="20"/>
          <w:vertAlign w:val="superscript"/>
        </w:rPr>
        <w:t>-/-</w:t>
      </w:r>
      <w:r w:rsidR="006C0F09" w:rsidRPr="005B28F6">
        <w:rPr>
          <w:rFonts w:ascii="Arial" w:hAnsi="Arial" w:cs="Arial"/>
          <w:sz w:val="20"/>
          <w:szCs w:val="20"/>
        </w:rPr>
        <w:t xml:space="preserve"> BM cells treated with PEG2000, PEG3000, PEG4000, PEG5000, PEG6000 and PEG8000 for 24 hours.</w:t>
      </w:r>
      <w:r w:rsidR="00742BD3" w:rsidRPr="005B28F6">
        <w:rPr>
          <w:rFonts w:ascii="Arial" w:hAnsi="Arial" w:cs="Arial"/>
          <w:sz w:val="20"/>
          <w:szCs w:val="20"/>
        </w:rPr>
        <w:t xml:space="preserve"> P-value between PEG5000 and PEG6000 or PEG8000</w:t>
      </w:r>
      <w:r w:rsidR="000827FC" w:rsidRPr="005B28F6">
        <w:rPr>
          <w:rFonts w:ascii="Arial" w:hAnsi="Arial" w:cs="Arial"/>
          <w:sz w:val="20"/>
          <w:szCs w:val="20"/>
        </w:rPr>
        <w:t xml:space="preserve"> (</w:t>
      </w:r>
      <w:r w:rsidR="009C23AA" w:rsidRPr="005B28F6">
        <w:rPr>
          <w:rFonts w:ascii="Arial" w:hAnsi="Arial" w:cs="Arial"/>
          <w:sz w:val="20"/>
          <w:szCs w:val="20"/>
        </w:rPr>
        <w:t>P-value between PEG4000 and higher by student´s t-test</w:t>
      </w:r>
      <w:r w:rsidR="000827FC" w:rsidRPr="005B28F6">
        <w:rPr>
          <w:rFonts w:ascii="Arial" w:hAnsi="Arial" w:cs="Arial"/>
          <w:sz w:val="20"/>
          <w:szCs w:val="20"/>
        </w:rPr>
        <w:t>)</w:t>
      </w:r>
      <w:r w:rsidR="00742BD3" w:rsidRPr="005B28F6">
        <w:rPr>
          <w:rFonts w:ascii="Arial" w:hAnsi="Arial" w:cs="Arial"/>
          <w:sz w:val="20"/>
          <w:szCs w:val="20"/>
        </w:rPr>
        <w:t>.</w:t>
      </w:r>
    </w:p>
    <w:p w14:paraId="1E19E10B" w14:textId="77777777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>*P&lt;0.05, **P&lt;0.005, ***P&lt;0.0005</w:t>
      </w:r>
    </w:p>
    <w:p w14:paraId="61DB13C6" w14:textId="77777777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</w:p>
    <w:p w14:paraId="2C927649" w14:textId="77777777" w:rsidR="0058398D" w:rsidRPr="005B28F6" w:rsidRDefault="0058398D" w:rsidP="0058398D">
      <w:pPr>
        <w:pStyle w:val="berschrift2"/>
        <w:spacing w:before="0"/>
        <w:contextualSpacing/>
        <w:rPr>
          <w:rFonts w:ascii="Arial" w:hAnsi="Arial" w:cs="Arial"/>
          <w:b/>
          <w:color w:val="auto"/>
          <w:sz w:val="20"/>
          <w:szCs w:val="20"/>
        </w:rPr>
      </w:pPr>
      <w:r w:rsidRPr="005B28F6">
        <w:rPr>
          <w:rFonts w:ascii="Arial" w:hAnsi="Arial" w:cs="Arial"/>
          <w:b/>
          <w:color w:val="000000" w:themeColor="text1"/>
          <w:sz w:val="20"/>
          <w:szCs w:val="20"/>
        </w:rPr>
        <w:t xml:space="preserve">Supplementary </w:t>
      </w:r>
      <w:r w:rsidRPr="005B28F6">
        <w:rPr>
          <w:rFonts w:ascii="Arial" w:hAnsi="Arial" w:cs="Arial"/>
          <w:b/>
          <w:color w:val="auto"/>
          <w:sz w:val="20"/>
          <w:szCs w:val="20"/>
        </w:rPr>
        <w:t>Figure S7 related to Figure 7.</w:t>
      </w:r>
    </w:p>
    <w:p w14:paraId="09D0A2D1" w14:textId="5BCEA793" w:rsidR="0058398D" w:rsidRPr="005B28F6" w:rsidRDefault="0058398D" w:rsidP="0058398D">
      <w:pPr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 xml:space="preserve">A </w:t>
      </w:r>
      <w:r w:rsidR="00280DA7" w:rsidRPr="005B28F6">
        <w:rPr>
          <w:rFonts w:ascii="Arial" w:hAnsi="Arial" w:cs="Arial"/>
          <w:sz w:val="20"/>
          <w:szCs w:val="20"/>
        </w:rPr>
        <w:t>and</w:t>
      </w:r>
      <w:r w:rsidRPr="005B28F6">
        <w:rPr>
          <w:rFonts w:ascii="Arial" w:hAnsi="Arial" w:cs="Arial"/>
          <w:sz w:val="20"/>
          <w:szCs w:val="20"/>
        </w:rPr>
        <w:t xml:space="preserve"> B</w:t>
      </w:r>
      <w:r w:rsidR="00600CC2" w:rsidRPr="005B28F6">
        <w:rPr>
          <w:rFonts w:ascii="Arial" w:hAnsi="Arial" w:cs="Arial"/>
          <w:sz w:val="20"/>
          <w:szCs w:val="20"/>
        </w:rPr>
        <w:t>.</w:t>
      </w:r>
      <w:r w:rsidRPr="005B28F6">
        <w:rPr>
          <w:rFonts w:ascii="Arial" w:hAnsi="Arial" w:cs="Arial"/>
          <w:sz w:val="20"/>
          <w:szCs w:val="20"/>
        </w:rPr>
        <w:t xml:space="preserve"> negative and single 2</w:t>
      </w:r>
      <w:r w:rsidRPr="005B28F6">
        <w:rPr>
          <w:rFonts w:ascii="Arial" w:hAnsi="Arial" w:cs="Arial"/>
          <w:sz w:val="20"/>
          <w:szCs w:val="20"/>
          <w:vertAlign w:val="superscript"/>
        </w:rPr>
        <w:t>nd</w:t>
      </w:r>
      <w:r w:rsidRPr="005B28F6">
        <w:rPr>
          <w:rFonts w:ascii="Arial" w:hAnsi="Arial" w:cs="Arial"/>
          <w:sz w:val="20"/>
          <w:szCs w:val="20"/>
        </w:rPr>
        <w:t xml:space="preserve"> antibody satin related to Figure 6A.</w:t>
      </w:r>
    </w:p>
    <w:p w14:paraId="2402ECAA" w14:textId="4A8027E3" w:rsidR="0058398D" w:rsidRPr="005B28F6" w:rsidRDefault="0058398D" w:rsidP="0058398D">
      <w:pPr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>C</w:t>
      </w:r>
      <w:r w:rsidR="00600CC2" w:rsidRPr="005B28F6">
        <w:rPr>
          <w:rFonts w:ascii="Arial" w:hAnsi="Arial" w:cs="Arial"/>
          <w:sz w:val="20"/>
          <w:szCs w:val="20"/>
        </w:rPr>
        <w:t>.</w:t>
      </w:r>
      <w:r w:rsidRPr="005B28F6">
        <w:rPr>
          <w:rFonts w:ascii="Arial" w:hAnsi="Arial" w:cs="Arial"/>
          <w:sz w:val="20"/>
          <w:szCs w:val="20"/>
        </w:rPr>
        <w:t xml:space="preserve"> the relative EEA1 intensity related to Figure 6A (t-test, mean with SD).</w:t>
      </w:r>
    </w:p>
    <w:p w14:paraId="1F3E0D34" w14:textId="77777777" w:rsidR="0058398D" w:rsidRPr="005B28F6" w:rsidRDefault="0058398D" w:rsidP="0058398D">
      <w:pPr>
        <w:contextualSpacing/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>*P&lt;0.05, **P&lt;0.005, ***P&lt;0.0005</w:t>
      </w:r>
    </w:p>
    <w:p w14:paraId="39CBAC9B" w14:textId="5ABA2E3B" w:rsidR="003E6C07" w:rsidRPr="005B28F6" w:rsidRDefault="003E6C07"/>
    <w:p w14:paraId="14610DF7" w14:textId="1EBC827D" w:rsidR="00BA2EE8" w:rsidRPr="005B28F6" w:rsidRDefault="00BA2EE8" w:rsidP="00BA2EE8">
      <w:pPr>
        <w:pStyle w:val="berschrift1"/>
        <w:spacing w:before="0" w:line="360" w:lineRule="auto"/>
        <w:contextualSpacing/>
        <w:jc w:val="both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  <w:r w:rsidRPr="005B28F6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SUPPLEMENTARY </w:t>
      </w:r>
      <w:r w:rsidRPr="005B28F6">
        <w:rPr>
          <w:rFonts w:ascii="Arial" w:hAnsi="Arial" w:cs="Arial"/>
          <w:b/>
          <w:color w:val="000000" w:themeColor="text1"/>
          <w:sz w:val="20"/>
          <w:szCs w:val="20"/>
          <w:lang w:val="en-US" w:eastAsia="zh-CN"/>
        </w:rPr>
        <w:t>TABLE LEGENDS</w:t>
      </w:r>
    </w:p>
    <w:p w14:paraId="338C71D7" w14:textId="13C7BC81" w:rsidR="00BA2EE8" w:rsidRPr="005B28F6" w:rsidRDefault="00BA2EE8" w:rsidP="002A68A8">
      <w:pPr>
        <w:pStyle w:val="berschrift2"/>
        <w:spacing w:before="0"/>
        <w:contextualSpacing/>
        <w:rPr>
          <w:rFonts w:ascii="Arial" w:hAnsi="Arial" w:cs="Arial"/>
          <w:b/>
          <w:color w:val="000000" w:themeColor="text1"/>
          <w:sz w:val="20"/>
          <w:szCs w:val="20"/>
        </w:rPr>
      </w:pPr>
      <w:r w:rsidRPr="005B28F6">
        <w:rPr>
          <w:rFonts w:ascii="Arial" w:hAnsi="Arial" w:cs="Arial"/>
          <w:b/>
          <w:color w:val="000000" w:themeColor="text1"/>
          <w:sz w:val="20"/>
          <w:szCs w:val="20"/>
        </w:rPr>
        <w:t>Table S1</w:t>
      </w:r>
      <w:r w:rsidR="00600CC2" w:rsidRPr="005B28F6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Pr="005B28F6">
        <w:rPr>
          <w:rFonts w:ascii="Arial" w:hAnsi="Arial" w:cs="Arial"/>
          <w:b/>
          <w:color w:val="000000" w:themeColor="text1"/>
          <w:sz w:val="20"/>
          <w:szCs w:val="20"/>
        </w:rPr>
        <w:t xml:space="preserve"> FDR P values for heatmap in Figure 3</w:t>
      </w:r>
      <w:r w:rsidR="008B7DF1" w:rsidRPr="005B28F6">
        <w:rPr>
          <w:rFonts w:ascii="Arial" w:hAnsi="Arial" w:cs="Arial"/>
          <w:b/>
          <w:color w:val="000000" w:themeColor="text1"/>
          <w:sz w:val="20"/>
          <w:szCs w:val="20"/>
        </w:rPr>
        <w:t>C</w:t>
      </w:r>
    </w:p>
    <w:p w14:paraId="4E232552" w14:textId="15D9D9EE" w:rsidR="00BA2EE8" w:rsidRPr="005B28F6" w:rsidRDefault="00BA2EE8">
      <w:pPr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>FDR P values of top 50 differentially expressed genes in inflammatory response pathway from Figure 3C.</w:t>
      </w:r>
    </w:p>
    <w:p w14:paraId="18D9EE33" w14:textId="77777777" w:rsidR="00BA2EE8" w:rsidRPr="005B28F6" w:rsidRDefault="00BA2EE8"/>
    <w:p w14:paraId="4B788B44" w14:textId="7B34A0A0" w:rsidR="00BA2EE8" w:rsidRPr="005B28F6" w:rsidRDefault="00BA2EE8" w:rsidP="008B7DF1">
      <w:pPr>
        <w:pStyle w:val="berschrift2"/>
        <w:spacing w:before="0"/>
        <w:contextualSpacing/>
        <w:rPr>
          <w:rFonts w:ascii="Arial" w:hAnsi="Arial" w:cs="Arial"/>
          <w:b/>
          <w:color w:val="000000" w:themeColor="text1"/>
          <w:sz w:val="20"/>
          <w:szCs w:val="20"/>
        </w:rPr>
      </w:pPr>
      <w:r w:rsidRPr="005B28F6">
        <w:rPr>
          <w:rFonts w:ascii="Arial" w:hAnsi="Arial" w:cs="Arial"/>
          <w:b/>
          <w:color w:val="000000" w:themeColor="text1"/>
          <w:sz w:val="20"/>
          <w:szCs w:val="20"/>
        </w:rPr>
        <w:t>Table S2</w:t>
      </w:r>
      <w:r w:rsidR="00600CC2" w:rsidRPr="005B28F6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Pr="005B28F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8B7DF1" w:rsidRPr="005B28F6">
        <w:rPr>
          <w:rFonts w:ascii="Arial" w:hAnsi="Arial" w:cs="Arial"/>
          <w:b/>
          <w:color w:val="000000" w:themeColor="text1"/>
          <w:sz w:val="20"/>
          <w:szCs w:val="20"/>
        </w:rPr>
        <w:t>Data for the heatmap in Figure 3C</w:t>
      </w:r>
    </w:p>
    <w:p w14:paraId="611E3425" w14:textId="0590BD9E" w:rsidR="008B7DF1" w:rsidRPr="005B28F6" w:rsidRDefault="008B7DF1" w:rsidP="008B7DF1">
      <w:pPr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>TCGA_LAML data for making the heatmap in Figure 3C, unit is log</w:t>
      </w:r>
      <w:r w:rsidRPr="005B28F6">
        <w:rPr>
          <w:rFonts w:ascii="Arial" w:hAnsi="Arial" w:cs="Arial"/>
          <w:sz w:val="20"/>
          <w:szCs w:val="20"/>
          <w:vertAlign w:val="subscript"/>
        </w:rPr>
        <w:t>2</w:t>
      </w:r>
      <w:r w:rsidRPr="005B28F6">
        <w:rPr>
          <w:rFonts w:ascii="Arial" w:hAnsi="Arial" w:cs="Arial"/>
          <w:sz w:val="20"/>
          <w:szCs w:val="20"/>
        </w:rPr>
        <w:t>(RSEM counts+1).</w:t>
      </w:r>
    </w:p>
    <w:p w14:paraId="1CC7018F" w14:textId="19939668" w:rsidR="002F688C" w:rsidRPr="005B28F6" w:rsidRDefault="002F688C" w:rsidP="008B7DF1"/>
    <w:p w14:paraId="07F9A2EE" w14:textId="6863F94C" w:rsidR="002F688C" w:rsidRPr="005B28F6" w:rsidRDefault="002F688C" w:rsidP="002A68A8">
      <w:pPr>
        <w:pStyle w:val="berschrift2"/>
        <w:spacing w:before="0"/>
        <w:contextualSpacing/>
        <w:rPr>
          <w:rFonts w:ascii="Arial" w:hAnsi="Arial" w:cs="Arial"/>
          <w:b/>
          <w:color w:val="000000" w:themeColor="text1"/>
          <w:sz w:val="20"/>
          <w:szCs w:val="20"/>
        </w:rPr>
      </w:pPr>
      <w:r w:rsidRPr="005B28F6">
        <w:rPr>
          <w:rFonts w:ascii="Arial" w:hAnsi="Arial" w:cs="Arial"/>
          <w:b/>
          <w:color w:val="000000" w:themeColor="text1"/>
          <w:sz w:val="20"/>
          <w:szCs w:val="20"/>
        </w:rPr>
        <w:t>Table S3</w:t>
      </w:r>
      <w:r w:rsidR="00600CC2" w:rsidRPr="005B28F6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Pr="005B28F6">
        <w:rPr>
          <w:rFonts w:ascii="Arial" w:hAnsi="Arial" w:cs="Arial"/>
          <w:b/>
          <w:color w:val="000000" w:themeColor="text1"/>
          <w:sz w:val="20"/>
          <w:szCs w:val="20"/>
        </w:rPr>
        <w:t xml:space="preserve"> Primer list</w:t>
      </w:r>
    </w:p>
    <w:p w14:paraId="58943905" w14:textId="232CE409" w:rsidR="002F688C" w:rsidRPr="005B28F6" w:rsidRDefault="002F688C">
      <w:pPr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/>
          <w:sz w:val="20"/>
          <w:szCs w:val="20"/>
        </w:rPr>
        <w:t>Primer list for qPCR.</w:t>
      </w:r>
    </w:p>
    <w:p w14:paraId="0C35023E" w14:textId="68A3B73F" w:rsidR="00F30F47" w:rsidRPr="005B28F6" w:rsidRDefault="00F30F47">
      <w:pPr>
        <w:rPr>
          <w:rFonts w:ascii="Arial" w:hAnsi="Arial" w:cs="Arial"/>
          <w:sz w:val="20"/>
          <w:szCs w:val="20"/>
        </w:rPr>
      </w:pPr>
    </w:p>
    <w:p w14:paraId="6BB9EAF6" w14:textId="565F15F3" w:rsidR="00F30F47" w:rsidRPr="005B28F6" w:rsidRDefault="00F30F47" w:rsidP="002A68A8">
      <w:pPr>
        <w:pStyle w:val="berschrift2"/>
        <w:spacing w:before="0"/>
        <w:contextualSpacing/>
        <w:rPr>
          <w:rFonts w:ascii="Arial" w:hAnsi="Arial" w:cs="Arial"/>
          <w:b/>
          <w:color w:val="000000" w:themeColor="text1"/>
          <w:sz w:val="20"/>
          <w:szCs w:val="20"/>
        </w:rPr>
      </w:pPr>
      <w:r w:rsidRPr="005B28F6">
        <w:rPr>
          <w:rFonts w:ascii="Arial" w:hAnsi="Arial" w:cs="Arial"/>
          <w:b/>
          <w:color w:val="000000" w:themeColor="text1"/>
          <w:sz w:val="20"/>
          <w:szCs w:val="20"/>
        </w:rPr>
        <w:t xml:space="preserve">Table S4. </w:t>
      </w:r>
      <w:r w:rsidR="007E637F" w:rsidRPr="005B28F6">
        <w:rPr>
          <w:rFonts w:ascii="Arial" w:hAnsi="Arial" w:cs="Arial"/>
          <w:b/>
          <w:color w:val="000000" w:themeColor="text1"/>
          <w:sz w:val="20"/>
          <w:szCs w:val="20"/>
        </w:rPr>
        <w:t>Antibody list</w:t>
      </w:r>
    </w:p>
    <w:p w14:paraId="18D9F96D" w14:textId="7AB71757" w:rsidR="007E637F" w:rsidRPr="002A68A8" w:rsidRDefault="007E637F">
      <w:pPr>
        <w:rPr>
          <w:rFonts w:ascii="Arial" w:hAnsi="Arial" w:cs="Arial"/>
          <w:sz w:val="20"/>
          <w:szCs w:val="20"/>
        </w:rPr>
      </w:pPr>
      <w:r w:rsidRPr="005B28F6">
        <w:rPr>
          <w:rFonts w:ascii="Arial" w:hAnsi="Arial" w:cs="Arial" w:hint="eastAsia"/>
          <w:sz w:val="20"/>
          <w:szCs w:val="20"/>
        </w:rPr>
        <w:t>A</w:t>
      </w:r>
      <w:r w:rsidRPr="005B28F6">
        <w:rPr>
          <w:rFonts w:ascii="Arial" w:hAnsi="Arial" w:cs="Arial"/>
          <w:sz w:val="20"/>
          <w:szCs w:val="20"/>
        </w:rPr>
        <w:t>ntibody list.</w:t>
      </w:r>
    </w:p>
    <w:sectPr w:rsidR="007E637F" w:rsidRPr="002A68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A54CEF" w14:textId="77777777" w:rsidR="00303CB8" w:rsidRDefault="00303CB8" w:rsidP="0058398D">
      <w:r>
        <w:separator/>
      </w:r>
    </w:p>
  </w:endnote>
  <w:endnote w:type="continuationSeparator" w:id="0">
    <w:p w14:paraId="20F74248" w14:textId="77777777" w:rsidR="00303CB8" w:rsidRDefault="00303CB8" w:rsidP="00583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58A49" w14:textId="77777777" w:rsidR="00303CB8" w:rsidRDefault="00303CB8" w:rsidP="0058398D">
      <w:r>
        <w:separator/>
      </w:r>
    </w:p>
  </w:footnote>
  <w:footnote w:type="continuationSeparator" w:id="0">
    <w:p w14:paraId="1BACFACA" w14:textId="77777777" w:rsidR="00303CB8" w:rsidRDefault="00303CB8" w:rsidP="005839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hideSpellingErrors/>
  <w:hideGrammaticalErrors/>
  <w:proofState w:spelling="clean" w:grammar="clean"/>
  <w:doNotTrackMove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25C"/>
    <w:rsid w:val="000827FC"/>
    <w:rsid w:val="000C4B66"/>
    <w:rsid w:val="000D208A"/>
    <w:rsid w:val="000F1A7A"/>
    <w:rsid w:val="00131010"/>
    <w:rsid w:val="00206B74"/>
    <w:rsid w:val="00211FBA"/>
    <w:rsid w:val="002268B7"/>
    <w:rsid w:val="00250BE7"/>
    <w:rsid w:val="00280DA7"/>
    <w:rsid w:val="00291049"/>
    <w:rsid w:val="002A68A8"/>
    <w:rsid w:val="002E06FA"/>
    <w:rsid w:val="002F688C"/>
    <w:rsid w:val="00303CB8"/>
    <w:rsid w:val="0034742D"/>
    <w:rsid w:val="003B4181"/>
    <w:rsid w:val="003E6C07"/>
    <w:rsid w:val="00452347"/>
    <w:rsid w:val="00492DA4"/>
    <w:rsid w:val="004A20A9"/>
    <w:rsid w:val="004B3297"/>
    <w:rsid w:val="004B7309"/>
    <w:rsid w:val="00500E85"/>
    <w:rsid w:val="00514505"/>
    <w:rsid w:val="00555961"/>
    <w:rsid w:val="00580443"/>
    <w:rsid w:val="0058398D"/>
    <w:rsid w:val="00595EF9"/>
    <w:rsid w:val="005B28F6"/>
    <w:rsid w:val="005C4F57"/>
    <w:rsid w:val="00600CC2"/>
    <w:rsid w:val="00607C11"/>
    <w:rsid w:val="00682EDA"/>
    <w:rsid w:val="006C0F09"/>
    <w:rsid w:val="006D1C96"/>
    <w:rsid w:val="006D1D55"/>
    <w:rsid w:val="006F734C"/>
    <w:rsid w:val="007278CB"/>
    <w:rsid w:val="00742BD3"/>
    <w:rsid w:val="00766AF6"/>
    <w:rsid w:val="00772FD0"/>
    <w:rsid w:val="00790173"/>
    <w:rsid w:val="00792D52"/>
    <w:rsid w:val="007A767B"/>
    <w:rsid w:val="007B647E"/>
    <w:rsid w:val="007B7052"/>
    <w:rsid w:val="007C41DE"/>
    <w:rsid w:val="007E637F"/>
    <w:rsid w:val="00873C01"/>
    <w:rsid w:val="008818FA"/>
    <w:rsid w:val="008B7DF1"/>
    <w:rsid w:val="008E7174"/>
    <w:rsid w:val="008E7F8E"/>
    <w:rsid w:val="00976169"/>
    <w:rsid w:val="009943FB"/>
    <w:rsid w:val="009A019A"/>
    <w:rsid w:val="009C23AA"/>
    <w:rsid w:val="00A20EF0"/>
    <w:rsid w:val="00A8625C"/>
    <w:rsid w:val="00B53EB0"/>
    <w:rsid w:val="00B641D5"/>
    <w:rsid w:val="00BA2EE8"/>
    <w:rsid w:val="00BD02C4"/>
    <w:rsid w:val="00BF636D"/>
    <w:rsid w:val="00C22166"/>
    <w:rsid w:val="00E11DB6"/>
    <w:rsid w:val="00E25985"/>
    <w:rsid w:val="00E30CB0"/>
    <w:rsid w:val="00EC5828"/>
    <w:rsid w:val="00ED1D6A"/>
    <w:rsid w:val="00F30F47"/>
    <w:rsid w:val="00F334FC"/>
    <w:rsid w:val="00F3503C"/>
    <w:rsid w:val="00F4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F970B"/>
  <w15:chartTrackingRefBased/>
  <w15:docId w15:val="{B922F749-B643-494D-A67F-26E7920AE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8398D"/>
    <w:pPr>
      <w:widowControl w:val="0"/>
      <w:jc w:val="both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58398D"/>
    <w:pPr>
      <w:keepNext/>
      <w:keepLines/>
      <w:widowControl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de-DE"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8398D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839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58398D"/>
    <w:rPr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5839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58398D"/>
    <w:rPr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8398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8398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07C11"/>
    <w:rPr>
      <w:rFonts w:ascii="SimSun" w:eastAsia="SimSu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07C11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欣 王</dc:creator>
  <cp:keywords/>
  <dc:description/>
  <cp:lastModifiedBy>Philipp Jost</cp:lastModifiedBy>
  <cp:revision>3</cp:revision>
  <dcterms:created xsi:type="dcterms:W3CDTF">2021-03-21T11:09:00Z</dcterms:created>
  <dcterms:modified xsi:type="dcterms:W3CDTF">2021-03-21T13:09:00Z</dcterms:modified>
</cp:coreProperties>
</file>