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AC1E4" w14:textId="107CAE96" w:rsidR="00C76884" w:rsidRPr="009142F1" w:rsidRDefault="00365A9D" w:rsidP="00365A9D">
      <w:pPr>
        <w:spacing w:before="240" w:after="120" w:line="260" w:lineRule="atLeast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9142F1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The extracellular matrix molecule tenascin-C modulates cell cycle progression and motility of </w:t>
      </w:r>
      <w:r w:rsidR="00C76884" w:rsidRPr="009142F1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adult neural stem cells from the subependymal zone </w:t>
      </w:r>
    </w:p>
    <w:p w14:paraId="1B44C38C" w14:textId="77777777" w:rsidR="009142F1" w:rsidRDefault="009142F1" w:rsidP="00C76884">
      <w:pPr>
        <w:spacing w:before="240" w:after="120" w:line="260" w:lineRule="atLeast"/>
        <w:jc w:val="both"/>
        <w:rPr>
          <w:rFonts w:ascii="Times New Roman" w:hAnsi="Times New Roman"/>
          <w:b/>
          <w:color w:val="000000" w:themeColor="text1"/>
          <w:lang w:val="en-US"/>
        </w:rPr>
      </w:pPr>
    </w:p>
    <w:p w14:paraId="2342E1B4" w14:textId="77777777" w:rsidR="009142F1" w:rsidRDefault="009142F1" w:rsidP="00C76884">
      <w:pPr>
        <w:spacing w:before="240" w:after="120" w:line="260" w:lineRule="atLeast"/>
        <w:jc w:val="both"/>
        <w:rPr>
          <w:rFonts w:ascii="Times New Roman" w:hAnsi="Times New Roman"/>
          <w:b/>
          <w:color w:val="000000" w:themeColor="text1"/>
          <w:lang w:val="en-US"/>
        </w:rPr>
      </w:pPr>
    </w:p>
    <w:p w14:paraId="64D792A0" w14:textId="380E9A51" w:rsidR="00E54405" w:rsidRDefault="00C76884" w:rsidP="00C76884">
      <w:pPr>
        <w:spacing w:before="240" w:after="120" w:line="260" w:lineRule="atLeast"/>
        <w:jc w:val="both"/>
        <w:rPr>
          <w:rFonts w:ascii="Times New Roman" w:hAnsi="Times New Roman"/>
          <w:b/>
          <w:color w:val="000000" w:themeColor="text1"/>
          <w:lang w:val="en-US"/>
        </w:rPr>
      </w:pPr>
      <w:r w:rsidRPr="00365A9D">
        <w:rPr>
          <w:rFonts w:ascii="Times New Roman" w:hAnsi="Times New Roman"/>
          <w:b/>
          <w:color w:val="000000" w:themeColor="text1"/>
          <w:lang w:val="en-US"/>
        </w:rPr>
        <w:t>Supplemental data</w:t>
      </w:r>
      <w:bookmarkStart w:id="0" w:name="_GoBack"/>
      <w:bookmarkEnd w:id="0"/>
    </w:p>
    <w:p w14:paraId="43B12D0D" w14:textId="5DF418E4" w:rsidR="00E54405" w:rsidRDefault="00E54405" w:rsidP="00365A9D">
      <w:pPr>
        <w:spacing w:before="240" w:after="120" w:line="260" w:lineRule="atLeast"/>
        <w:jc w:val="center"/>
        <w:rPr>
          <w:rFonts w:ascii="Times New Roman" w:hAnsi="Times New Roman"/>
          <w:b/>
          <w:color w:val="000000" w:themeColor="text1"/>
          <w:lang w:val="en-US"/>
        </w:rPr>
      </w:pPr>
    </w:p>
    <w:p w14:paraId="13F051BF" w14:textId="462F141A" w:rsidR="009142F1" w:rsidRDefault="009142F1" w:rsidP="00365A9D">
      <w:pPr>
        <w:spacing w:before="240" w:after="120" w:line="260" w:lineRule="atLeast"/>
        <w:jc w:val="center"/>
        <w:rPr>
          <w:rFonts w:ascii="Times New Roman" w:hAnsi="Times New Roman"/>
          <w:b/>
          <w:color w:val="000000" w:themeColor="text1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lang w:val="en-US"/>
        </w:rPr>
        <w:drawing>
          <wp:inline distT="0" distB="0" distL="0" distR="0" wp14:anchorId="1723072F" wp14:editId="58881B7B">
            <wp:extent cx="5759450" cy="2393950"/>
            <wp:effectExtent l="0" t="0" r="635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C505" w14:textId="77777777" w:rsidR="009142F1" w:rsidRDefault="009142F1" w:rsidP="00365A9D">
      <w:pPr>
        <w:spacing w:before="240" w:after="120" w:line="260" w:lineRule="atLeast"/>
        <w:jc w:val="center"/>
        <w:rPr>
          <w:rFonts w:ascii="Times New Roman" w:hAnsi="Times New Roman"/>
          <w:b/>
          <w:color w:val="000000" w:themeColor="text1"/>
          <w:lang w:val="en-US"/>
        </w:rPr>
      </w:pPr>
    </w:p>
    <w:p w14:paraId="2753EBAE" w14:textId="54365EB2" w:rsidR="00E54405" w:rsidRDefault="00E54405" w:rsidP="00C76884">
      <w:pPr>
        <w:spacing w:before="240" w:after="120" w:line="260" w:lineRule="atLeast"/>
        <w:jc w:val="both"/>
        <w:rPr>
          <w:rFonts w:ascii="Times New Roman" w:hAnsi="Times New Roman"/>
          <w:bCs/>
          <w:color w:val="4D42E7"/>
          <w:sz w:val="22"/>
          <w:szCs w:val="22"/>
          <w:lang w:val="en-US"/>
        </w:rPr>
      </w:pPr>
      <w:r w:rsidRPr="009142F1"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  <w:t xml:space="preserve">Figure S1. </w:t>
      </w:r>
      <w:proofErr w:type="spellStart"/>
      <w:r w:rsidR="009142F1" w:rsidRPr="00620A2F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>Neurosphere</w:t>
      </w:r>
      <w:proofErr w:type="spellEnd"/>
      <w:r w:rsidRPr="00620A2F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 xml:space="preserve"> </w:t>
      </w:r>
      <w:r w:rsidRPr="009142F1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>assay.</w:t>
      </w:r>
      <w:r w:rsidRPr="009142F1"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  <w:t xml:space="preserve"> </w:t>
      </w:r>
      <w:r w:rsidRPr="009142F1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>Adult SEZ-derived cell suspensions obtained from 1</w:t>
      </w:r>
      <w:r w:rsidR="00052F18" w:rsidRPr="009142F1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>1</w:t>
      </w:r>
      <w:r w:rsidRPr="009142F1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>-weeks old mice were cultivated in the presence of 20 ng/ml EGF</w:t>
      </w:r>
      <w:r w:rsidR="00052F18" w:rsidRPr="009142F1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 xml:space="preserve"> at a density of 1000 cells/ml</w:t>
      </w:r>
      <w:r w:rsidRPr="009142F1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 xml:space="preserve">. The percentage of plated cells generating </w:t>
      </w:r>
      <w:proofErr w:type="spellStart"/>
      <w:r w:rsidRPr="009142F1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>neurospheres</w:t>
      </w:r>
      <w:proofErr w:type="spellEnd"/>
      <w:r w:rsidRPr="009142F1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 xml:space="preserve"> after 7 days in vitro is significantly reduced in </w:t>
      </w:r>
      <w:proofErr w:type="spellStart"/>
      <w:r w:rsidRPr="009142F1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>Tnc</w:t>
      </w:r>
      <w:proofErr w:type="spellEnd"/>
      <w:r w:rsidRPr="009142F1">
        <w:rPr>
          <w:rFonts w:ascii="Times New Roman" w:hAnsi="Times New Roman"/>
          <w:bCs/>
          <w:color w:val="000000" w:themeColor="text1"/>
          <w:sz w:val="22"/>
          <w:szCs w:val="22"/>
          <w:lang w:val="en-US"/>
        </w:rPr>
        <w:t xml:space="preserve">-knockout mice (N=5). </w:t>
      </w:r>
    </w:p>
    <w:p w14:paraId="68966FCB" w14:textId="6E4BB1D5" w:rsidR="009142F1" w:rsidRDefault="009142F1" w:rsidP="00C76884">
      <w:pPr>
        <w:spacing w:before="240" w:after="120" w:line="260" w:lineRule="atLeast"/>
        <w:jc w:val="both"/>
        <w:rPr>
          <w:rFonts w:ascii="Times New Roman" w:hAnsi="Times New Roman"/>
          <w:bCs/>
          <w:color w:val="4D42E7"/>
          <w:sz w:val="22"/>
          <w:szCs w:val="22"/>
          <w:lang w:val="en-US"/>
        </w:rPr>
      </w:pPr>
    </w:p>
    <w:p w14:paraId="68F23894" w14:textId="2F717DE1" w:rsidR="009142F1" w:rsidRDefault="009142F1" w:rsidP="00C76884">
      <w:pPr>
        <w:spacing w:before="240" w:after="120" w:line="260" w:lineRule="atLeast"/>
        <w:jc w:val="both"/>
        <w:rPr>
          <w:rFonts w:ascii="Times New Roman" w:hAnsi="Times New Roman"/>
          <w:bCs/>
          <w:color w:val="4D42E7"/>
          <w:sz w:val="22"/>
          <w:szCs w:val="22"/>
          <w:lang w:val="en-US"/>
        </w:rPr>
      </w:pPr>
    </w:p>
    <w:p w14:paraId="2FF6DABC" w14:textId="77777777" w:rsidR="009142F1" w:rsidRPr="00365A9D" w:rsidRDefault="009142F1" w:rsidP="00C76884">
      <w:pPr>
        <w:spacing w:before="240" w:after="120" w:line="260" w:lineRule="atLeast"/>
        <w:jc w:val="both"/>
        <w:rPr>
          <w:rFonts w:ascii="Times New Roman" w:hAnsi="Times New Roman"/>
          <w:bCs/>
          <w:color w:val="4D42E7"/>
          <w:sz w:val="22"/>
          <w:szCs w:val="22"/>
          <w:lang w:val="en-US"/>
        </w:rPr>
      </w:pPr>
    </w:p>
    <w:p w14:paraId="34BBB2B1" w14:textId="1FC2FDDB" w:rsidR="00E54405" w:rsidRDefault="00E54405">
      <w:pPr>
        <w:rPr>
          <w:rFonts w:ascii="Times New Roman" w:hAnsi="Times New Roman"/>
          <w:b/>
          <w:color w:val="000000" w:themeColor="text1"/>
          <w:lang w:val="en-US"/>
        </w:rPr>
      </w:pPr>
      <w:r>
        <w:rPr>
          <w:rFonts w:ascii="Times New Roman" w:hAnsi="Times New Roman"/>
          <w:b/>
          <w:color w:val="000000" w:themeColor="text1"/>
          <w:lang w:val="en-US"/>
        </w:rPr>
        <w:br w:type="page"/>
      </w:r>
    </w:p>
    <w:p w14:paraId="16916DF6" w14:textId="77777777" w:rsidR="00E54405" w:rsidRPr="00365A9D" w:rsidRDefault="00E54405" w:rsidP="00C76884">
      <w:pPr>
        <w:spacing w:before="240" w:after="120" w:line="260" w:lineRule="atLeast"/>
        <w:jc w:val="both"/>
        <w:rPr>
          <w:rFonts w:ascii="Times New Roman" w:hAnsi="Times New Roman"/>
          <w:b/>
          <w:color w:val="000000" w:themeColor="text1"/>
          <w:lang w:val="en-US"/>
        </w:rPr>
      </w:pPr>
    </w:p>
    <w:p w14:paraId="3244E4BF" w14:textId="4B950013" w:rsidR="00DB2708" w:rsidRPr="00365A9D" w:rsidRDefault="00DB2708" w:rsidP="00C76884">
      <w:pPr>
        <w:spacing w:before="240" w:after="120" w:line="260" w:lineRule="atLeast"/>
        <w:jc w:val="both"/>
        <w:rPr>
          <w:rFonts w:ascii="Times New Roman" w:hAnsi="Times New Roman"/>
          <w:b/>
          <w:color w:val="000000" w:themeColor="text1"/>
          <w:lang w:val="en-US"/>
        </w:rPr>
      </w:pPr>
      <w:r w:rsidRPr="00365A9D">
        <w:rPr>
          <w:rFonts w:ascii="Times New Roman" w:hAnsi="Times New Roman"/>
          <w:b/>
          <w:noProof/>
          <w:color w:val="000000" w:themeColor="text1"/>
          <w:lang w:eastAsia="de-DE"/>
        </w:rPr>
        <w:drawing>
          <wp:inline distT="0" distB="0" distL="0" distR="0" wp14:anchorId="2E30B24B" wp14:editId="28A86B56">
            <wp:extent cx="5759450" cy="6717665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-S1-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772F" w14:textId="246C4414" w:rsidR="00DB2708" w:rsidRPr="00365A9D" w:rsidRDefault="00DB2708" w:rsidP="00C76884">
      <w:pPr>
        <w:spacing w:before="240" w:after="120" w:line="260" w:lineRule="atLeast"/>
        <w:jc w:val="both"/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</w:pPr>
      <w:r w:rsidRPr="00365A9D"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  <w:t>Figure S</w:t>
      </w:r>
      <w:r w:rsidR="00A503A1"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  <w:t>2</w:t>
      </w:r>
      <w:r w:rsidRPr="00365A9D"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  <w:t>.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Diversity of lineage trees. This figure shows more examples of lineage trees for wildtype and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knockout cells to strengthen how diverse the proliferative population acts within one condition. (A) PDL control condition, (B) cultivation on LN1 substrate and (C) cultivation on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substrate. Approximately 50% of the pedigrees showed only one cell division (here always shown </w:t>
      </w:r>
      <w:r w:rsidR="00F730FB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on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the left side of each group). One third divided twice within the observation period (examples shown here in the middle of each group) and only 10-15% showed more complex lineage trees like those displayed on the right side of each group.</w:t>
      </w:r>
    </w:p>
    <w:p w14:paraId="6D55CE46" w14:textId="77777777" w:rsidR="00C76884" w:rsidRPr="00365A9D" w:rsidRDefault="00C76884" w:rsidP="00C76884">
      <w:pPr>
        <w:spacing w:before="240" w:after="120" w:line="260" w:lineRule="atLeast"/>
        <w:jc w:val="center"/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</w:pPr>
      <w:r w:rsidRPr="00365A9D">
        <w:rPr>
          <w:rFonts w:ascii="Times New Roman" w:hAnsi="Times New Roman"/>
          <w:b/>
          <w:noProof/>
          <w:color w:val="000000" w:themeColor="text1"/>
          <w:sz w:val="20"/>
          <w:szCs w:val="20"/>
          <w:lang w:eastAsia="de-DE"/>
        </w:rPr>
        <w:drawing>
          <wp:inline distT="0" distB="0" distL="0" distR="0" wp14:anchorId="52DF8D54" wp14:editId="653DA3E2">
            <wp:extent cx="5754370" cy="3238500"/>
            <wp:effectExtent l="0" t="0" r="0" b="0"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7E53" w14:textId="77777777" w:rsidR="009142F1" w:rsidRDefault="009142F1" w:rsidP="00C76884">
      <w:pPr>
        <w:spacing w:before="120" w:after="240" w:line="260" w:lineRule="atLeast"/>
        <w:jc w:val="both"/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</w:pPr>
    </w:p>
    <w:p w14:paraId="365D5876" w14:textId="7B403C09" w:rsidR="00850F22" w:rsidRPr="00365A9D" w:rsidRDefault="00C76884" w:rsidP="00C76884">
      <w:pPr>
        <w:spacing w:before="120" w:after="240" w:line="260" w:lineRule="atLeast"/>
        <w:jc w:val="both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365A9D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 xml:space="preserve">Figure </w:t>
      </w:r>
      <w:r w:rsidR="00A503A1" w:rsidRPr="00365A9D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S</w:t>
      </w:r>
      <w:r w:rsidR="00A503A1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3</w:t>
      </w:r>
      <w:r w:rsidRPr="00365A9D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 xml:space="preserve">. 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Differentiation assay of wildtype and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-deficient </w:t>
      </w:r>
      <w:proofErr w:type="spellStart"/>
      <w:r w:rsidR="00DC0BCD" w:rsidRPr="004A25E7">
        <w:rPr>
          <w:rFonts w:ascii="Times New Roman" w:hAnsi="Times New Roman"/>
          <w:color w:val="000000" w:themeColor="text1"/>
          <w:sz w:val="22"/>
          <w:szCs w:val="22"/>
          <w:lang w:val="en-US"/>
        </w:rPr>
        <w:t>aNSPCs</w:t>
      </w:r>
      <w:proofErr w:type="spellEnd"/>
      <w:r w:rsidR="00DC0BCD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cultures shows no alterations in cell fate. (A) Cells isolated from the lateral ventricular wall of 9 to 11-week old mice were prepared according to a protocol derived from published procedures 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begin"/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instrText xml:space="preserve"> ADDIN EN.CITE &lt;EndNote&gt;&lt;Cite&gt;&lt;Author&gt;Ortega&lt;/Author&gt;&lt;Year&gt;2011&lt;/Year&gt;&lt;RecNum&gt;281&lt;/RecNum&gt;&lt;DisplayText&gt;[1]&lt;/DisplayText&gt;&lt;record&gt;&lt;rec-number&gt;281&lt;/rec-number&gt;&lt;foreign-keys&gt;&lt;key app="EN" db-id="t05pafv2ls5atxep20txd95sef0ddx5rz2tf" timestamp="1590395029"&gt;281&lt;/key&gt;&lt;/foreign-keys&gt;&lt;ref-type name="Journal Article"&gt;17&lt;/ref-type&gt;&lt;contributors&gt;&lt;authors&gt;&lt;author&gt;Ortega, F.&lt;/author&gt;&lt;author&gt;Costa, M. R.&lt;/author&gt;&lt;author&gt;Simon-Ebert, T.&lt;/author&gt;&lt;author&gt;Schroeder, T.&lt;/author&gt;&lt;author&gt;Gotz, M.&lt;/author&gt;&lt;author&gt;Berninger, B.&lt;/author&gt;&lt;/authors&gt;&lt;/contributors&gt;&lt;auth-address&gt;Department of Physiological Genomics, Institute of Physiology, Ludwig-Maximilians University Munich, Germany.&lt;/auth-address&gt;&lt;titles&gt;&lt;title&gt;Using an adherent cell culture of the mouse subependymal zone to study the behavior of adult neural stem cells on a single-cell level&lt;/title&gt;&lt;secondary-title&gt;Nat Protoc&lt;/secondary-title&gt;&lt;/titles&gt;&lt;periodical&gt;&lt;full-title&gt;Nat Protoc&lt;/full-title&gt;&lt;/periodical&gt;&lt;pages&gt;1847-59&lt;/pages&gt;&lt;volume&gt;6&lt;/volume&gt;&lt;number&gt;12&lt;/number&gt;&lt;keywords&gt;&lt;keyword&gt;Animals&lt;/keyword&gt;&lt;keyword&gt;Brain/cytology&lt;/keyword&gt;&lt;keyword&gt;Cell Adhesion&lt;/keyword&gt;&lt;keyword&gt;*Cell Culture Techniques&lt;/keyword&gt;&lt;keyword&gt;Cell Division&lt;/keyword&gt;&lt;keyword&gt;Cell Lineage&lt;/keyword&gt;&lt;keyword&gt;Genes, Reporter&lt;/keyword&gt;&lt;keyword&gt;Mice&lt;/keyword&gt;&lt;keyword&gt;Mice, Inbred C57BL&lt;/keyword&gt;&lt;keyword&gt;Neural Stem Cells/*cytology&lt;/keyword&gt;&lt;keyword&gt;Software&lt;/keyword&gt;&lt;keyword&gt;Time-Lapse Imaging&lt;/keyword&gt;&lt;keyword&gt;Video Recording&lt;/keyword&gt;&lt;/keywords&gt;&lt;dates&gt;&lt;year&gt;2011&lt;/year&gt;&lt;pub-dates&gt;&lt;date&gt;Nov 3&lt;/date&gt;&lt;/pub-dates&gt;&lt;/dates&gt;&lt;isbn&gt;1750-2799 (Electronic)&amp;#xD;1750-2799 (Linking)&lt;/isbn&gt;&lt;accession-num&gt;22051798&lt;/accession-num&gt;&lt;urls&gt;&lt;related-urls&gt;&lt;url&gt;https://www.ncbi.nlm.nih.gov/pubmed/22051798&lt;/url&gt;&lt;/related-urls&gt;&lt;/urls&gt;&lt;electronic-resource-num&gt;10.1038/nprot.2011.404&lt;/electronic-resource-num&gt;&lt;/record&gt;&lt;/Cite&gt;&lt;/EndNote&gt;</w:instrTex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separate"/>
      </w:r>
      <w:r w:rsidRPr="00365A9D">
        <w:rPr>
          <w:rFonts w:ascii="Times New Roman" w:hAnsi="Times New Roman"/>
          <w:noProof/>
          <w:color w:val="000000" w:themeColor="text1"/>
          <w:sz w:val="22"/>
          <w:szCs w:val="22"/>
          <w:lang w:val="en-US"/>
        </w:rPr>
        <w:t>[1]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end"/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, plated onto different substrates and cultivated for 7 days</w:t>
      </w:r>
      <w:r w:rsidR="00B16236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</w:t>
      </w:r>
      <w:r w:rsidR="00B16236" w:rsidRPr="00BC3653">
        <w:rPr>
          <w:rFonts w:ascii="Times New Roman" w:hAnsi="Times New Roman"/>
          <w:color w:val="000000" w:themeColor="text1"/>
          <w:sz w:val="22"/>
          <w:szCs w:val="22"/>
          <w:lang w:val="en-US"/>
        </w:rPr>
        <w:t>in defined medium devoid of cytokines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. Immunofluorescence staining was performed to analyze the proportions of doublecortin- (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Dcx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+), glial fibrillary acidic protein- (GFAP+) and sulfatide-positive (O4+) cells in cultures of both </w:t>
      </w:r>
      <w:proofErr w:type="spellStart"/>
      <w:r w:rsidRPr="00365A9D">
        <w:rPr>
          <w:rFonts w:ascii="Times New Roman" w:hAnsi="Times New Roman"/>
          <w:i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i/>
          <w:color w:val="000000" w:themeColor="text1"/>
          <w:sz w:val="22"/>
          <w:szCs w:val="22"/>
          <w:vertAlign w:val="superscript"/>
          <w:lang w:val="en-US"/>
        </w:rPr>
        <w:t>+/+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and </w:t>
      </w:r>
      <w:proofErr w:type="spellStart"/>
      <w:r w:rsidRPr="00365A9D">
        <w:rPr>
          <w:rFonts w:ascii="Times New Roman" w:hAnsi="Times New Roman"/>
          <w:i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i/>
          <w:color w:val="000000" w:themeColor="text1"/>
          <w:sz w:val="22"/>
          <w:szCs w:val="22"/>
          <w:vertAlign w:val="superscript"/>
          <w:lang w:val="en-US"/>
        </w:rPr>
        <w:t>-/-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genotypes. Scale bar: 200 µm. (D-G) Quantification of the cell types after 7 days </w:t>
      </w:r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in vitro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indicates only minor effects of extracellular matrix substrates on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aNSPC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differentiation (N=5; PDL: n=2831, LN1: n=3563,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: n=2027). (D, D’) The percentages of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Dcx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+ cells in wildtype and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-knockout cultures from the SEZ did not differ between the three substrate conditions.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Dcx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+ neuroblasts represented the major cell type in these cultures after 7 days of differentiation. (E, E’) Evaluation of the astrocyte fraction in wildtype cultures using GFAP staining disclosed no significant changes. (F, F’) O4+ cells were rare after 7 days of differentiation, but modified neither by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-depletion in the knockout, nor by distinct ECM substrates. (G, G’) Displays the fraction of cells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immunopositive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for any of the markers, that comprised nearly half of the cells examined. This proportion did not vary between the substrates tested. Data show mean ±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s.e.m.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Kruskal-Wallis test with Dunn’s multiple comparison were performed for statistical analysis.</w:t>
      </w:r>
    </w:p>
    <w:p w14:paraId="33735DD9" w14:textId="28771E51" w:rsidR="00850F22" w:rsidRPr="00365A9D" w:rsidRDefault="00850F22" w:rsidP="00C76884">
      <w:pPr>
        <w:spacing w:before="120" w:after="240" w:line="260" w:lineRule="atLeast"/>
        <w:jc w:val="both"/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</w:pPr>
      <w:r w:rsidRPr="00365A9D">
        <w:rPr>
          <w:rFonts w:ascii="Times New Roman" w:hAnsi="Times New Roman"/>
          <w:b/>
          <w:noProof/>
          <w:color w:val="000000" w:themeColor="text1"/>
          <w:sz w:val="22"/>
          <w:szCs w:val="22"/>
          <w:lang w:eastAsia="de-DE"/>
        </w:rPr>
        <w:drawing>
          <wp:inline distT="0" distB="0" distL="0" distR="0" wp14:anchorId="7CD2D1E1" wp14:editId="7D1E3AA1">
            <wp:extent cx="5759450" cy="60794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-S3-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5775" w14:textId="37016161" w:rsidR="00C76884" w:rsidRPr="00365A9D" w:rsidRDefault="00850F22" w:rsidP="00C76884">
      <w:pPr>
        <w:spacing w:before="120" w:after="240" w:line="260" w:lineRule="atLeast"/>
        <w:jc w:val="both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365A9D"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  <w:t xml:space="preserve">Figure </w:t>
      </w:r>
      <w:r w:rsidR="00A503A1" w:rsidRPr="00365A9D"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  <w:t>S</w:t>
      </w:r>
      <w:r w:rsidR="00A503A1"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  <w:t>4</w:t>
      </w:r>
      <w:r w:rsidRPr="00365A9D">
        <w:rPr>
          <w:rFonts w:ascii="Times New Roman" w:hAnsi="Times New Roman"/>
          <w:b/>
          <w:color w:val="000000" w:themeColor="text1"/>
          <w:sz w:val="22"/>
          <w:szCs w:val="22"/>
          <w:lang w:val="en-US"/>
        </w:rPr>
        <w:t>.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Analysis of the adult SEZ in vivo by immunohistochemistry. (A) </w:t>
      </w:r>
      <w:r w:rsidR="00205E5E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Immunohistochemistry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of frontal sections from 11-week</w:t>
      </w:r>
      <w:r w:rsidR="00DC0BCD">
        <w:rPr>
          <w:rFonts w:ascii="Times New Roman" w:hAnsi="Times New Roman"/>
          <w:color w:val="000000" w:themeColor="text1"/>
          <w:sz w:val="22"/>
          <w:szCs w:val="22"/>
          <w:lang w:val="en-US"/>
        </w:rPr>
        <w:t>-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old wildtype (left) and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knockout mice (right)</w:t>
      </w:r>
      <w:r w:rsidR="00205E5E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was performed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. Measurements of the staining intensity showed a slightly reduced GFAP signal in knockout sections compared to wildtype sections (B). The number of Sox2-immunopositive cells surrounding the lateral ventricle was slightly increased in the knockout brains (C), which somehow resemble</w:t>
      </w:r>
      <w:r w:rsidR="00205E5E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d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the results from the protein analysis. Nevertheless, in both methods, there </w:t>
      </w:r>
      <w:r w:rsidR="00205E5E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were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no hints that these two markers or cell populations seem</w:t>
      </w:r>
      <w:r w:rsidR="00205E5E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ed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to be significantly altered when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is missing. Furthermore, we determined the amount of </w:t>
      </w:r>
      <w:r w:rsidR="00037F14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phospho-histone h3 (PH3)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-positive cells in both genotypes (D). Generally, there was a very limited number of cells which expressed the corresponding antigen. </w:t>
      </w:r>
      <w:r w:rsidR="00037F14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PH3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is only expressed in </w:t>
      </w:r>
      <w:r w:rsidR="00037F14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cells undergoing mitosis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. Thus, we could not find significant changes between the two groups.</w:t>
      </w:r>
    </w:p>
    <w:p w14:paraId="5342D914" w14:textId="77777777" w:rsidR="00C76884" w:rsidRPr="00365A9D" w:rsidRDefault="00C76884" w:rsidP="00C76884">
      <w:pPr>
        <w:spacing w:line="480" w:lineRule="auto"/>
        <w:jc w:val="both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</w:p>
    <w:p w14:paraId="468EA93C" w14:textId="77777777" w:rsidR="00C76884" w:rsidRPr="00365A9D" w:rsidRDefault="00C76884" w:rsidP="00C76884">
      <w:pPr>
        <w:keepNext/>
        <w:spacing w:before="120" w:after="240" w:line="260" w:lineRule="atLeast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  <w:r w:rsidRPr="00365A9D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br w:type="page"/>
        <w:t xml:space="preserve">Table S1. Cell cycle lengths of the proliferating population within the SEZ cultures in hours </w:t>
      </w:r>
      <w:r w:rsidRPr="00365A9D">
        <w:rPr>
          <w:rFonts w:ascii="Times New Roman" w:hAnsi="Times New Roman"/>
          <w:b/>
          <w:bCs/>
          <w:i/>
          <w:iCs/>
          <w:color w:val="000000" w:themeColor="text1"/>
          <w:sz w:val="20"/>
          <w:szCs w:val="20"/>
          <w:lang w:val="en-US"/>
        </w:rPr>
        <w:t>in vitro</w:t>
      </w:r>
      <w:r w:rsidRPr="00365A9D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1314"/>
        <w:gridCol w:w="1015"/>
        <w:gridCol w:w="1134"/>
        <w:gridCol w:w="992"/>
        <w:gridCol w:w="1134"/>
        <w:gridCol w:w="1065"/>
        <w:gridCol w:w="770"/>
      </w:tblGrid>
      <w:tr w:rsidR="00814068" w:rsidRPr="00814068" w14:paraId="1929B7DE" w14:textId="77777777" w:rsidTr="00DE2F35">
        <w:trPr>
          <w:trHeight w:val="320"/>
        </w:trPr>
        <w:tc>
          <w:tcPr>
            <w:tcW w:w="1352" w:type="dxa"/>
            <w:tcBorders>
              <w:bottom w:val="single" w:sz="6" w:space="0" w:color="auto"/>
            </w:tcBorders>
            <w:shd w:val="clear" w:color="auto" w:fill="D9D9D9"/>
            <w:noWrap/>
            <w:hideMark/>
          </w:tcPr>
          <w:p w14:paraId="69FF3BE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Genotype</w:t>
            </w:r>
          </w:p>
        </w:tc>
        <w:tc>
          <w:tcPr>
            <w:tcW w:w="1314" w:type="dxa"/>
            <w:tcBorders>
              <w:bottom w:val="single" w:sz="6" w:space="0" w:color="auto"/>
            </w:tcBorders>
            <w:shd w:val="clear" w:color="auto" w:fill="D9D9D9"/>
            <w:noWrap/>
            <w:hideMark/>
          </w:tcPr>
          <w:p w14:paraId="7FA94C2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Substrate</w:t>
            </w:r>
          </w:p>
        </w:tc>
        <w:tc>
          <w:tcPr>
            <w:tcW w:w="1015" w:type="dxa"/>
            <w:tcBorders>
              <w:bottom w:val="single" w:sz="6" w:space="0" w:color="auto"/>
            </w:tcBorders>
            <w:shd w:val="clear" w:color="auto" w:fill="D9D9D9"/>
            <w:noWrap/>
            <w:hideMark/>
          </w:tcPr>
          <w:p w14:paraId="1CDC5CF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Gene-ration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D9D9D9"/>
            <w:noWrap/>
            <w:hideMark/>
          </w:tcPr>
          <w:p w14:paraId="4CE6A0D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Median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D9D9D9"/>
            <w:noWrap/>
            <w:hideMark/>
          </w:tcPr>
          <w:p w14:paraId="46B4DAF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Mean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D9D9D9"/>
            <w:noWrap/>
            <w:hideMark/>
          </w:tcPr>
          <w:p w14:paraId="234098B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Upper quartile</w:t>
            </w:r>
          </w:p>
        </w:tc>
        <w:tc>
          <w:tcPr>
            <w:tcW w:w="1065" w:type="dxa"/>
            <w:tcBorders>
              <w:bottom w:val="single" w:sz="6" w:space="0" w:color="auto"/>
            </w:tcBorders>
            <w:shd w:val="clear" w:color="auto" w:fill="D9D9D9"/>
            <w:noWrap/>
            <w:hideMark/>
          </w:tcPr>
          <w:p w14:paraId="003032D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lower quartile</w:t>
            </w:r>
          </w:p>
        </w:tc>
        <w:tc>
          <w:tcPr>
            <w:tcW w:w="770" w:type="dxa"/>
            <w:tcBorders>
              <w:bottom w:val="single" w:sz="6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14:paraId="541A89E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n</w:t>
            </w:r>
          </w:p>
        </w:tc>
      </w:tr>
      <w:tr w:rsidR="00814068" w:rsidRPr="00814068" w14:paraId="298F5CF4" w14:textId="77777777" w:rsidTr="00DE2F35">
        <w:trPr>
          <w:trHeight w:val="320"/>
        </w:trPr>
        <w:tc>
          <w:tcPr>
            <w:tcW w:w="1352" w:type="dxa"/>
            <w:vMerge w:val="restart"/>
            <w:tcBorders>
              <w:top w:val="single" w:sz="6" w:space="0" w:color="auto"/>
            </w:tcBorders>
            <w:shd w:val="clear" w:color="auto" w:fill="D9D9D9"/>
            <w:noWrap/>
            <w:hideMark/>
          </w:tcPr>
          <w:p w14:paraId="707F8A0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67DFFCB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16EF238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6F33594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1FF49AB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5E1031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43FD58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Tnc</w:t>
            </w:r>
            <w:proofErr w:type="spellEnd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 xml:space="preserve"> +/+</w:t>
            </w:r>
          </w:p>
          <w:p w14:paraId="3FEE9B6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FCC29E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166FCC2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9F789B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86C4A3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D67F40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580A68E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PDL</w:t>
            </w:r>
          </w:p>
        </w:tc>
        <w:tc>
          <w:tcPr>
            <w:tcW w:w="1015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2267E32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06830D1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9,67</w:t>
            </w:r>
          </w:p>
        </w:tc>
        <w:tc>
          <w:tcPr>
            <w:tcW w:w="992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6C99F9B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12,93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6A0E549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18,25</w:t>
            </w:r>
          </w:p>
        </w:tc>
        <w:tc>
          <w:tcPr>
            <w:tcW w:w="1065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42D141E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5,75</w:t>
            </w:r>
          </w:p>
        </w:tc>
        <w:tc>
          <w:tcPr>
            <w:tcW w:w="770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70DB566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171</w:t>
            </w:r>
          </w:p>
        </w:tc>
      </w:tr>
      <w:tr w:rsidR="00814068" w:rsidRPr="00814068" w14:paraId="6692D531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7BEDCFE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6D4D09B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3F7B5C3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A8DB1F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21,83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8F1914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23,82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65FE38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27,63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37A99B5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17,92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00B97A3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157</w:t>
            </w:r>
          </w:p>
        </w:tc>
      </w:tr>
      <w:tr w:rsidR="00814068" w:rsidRPr="00814068" w14:paraId="73B09EC9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2A0995A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4CBE758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41B01B7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C1B0A3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462985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57C528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19,80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6D779D1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15,25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20D3AD6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81</w:t>
            </w:r>
          </w:p>
        </w:tc>
      </w:tr>
      <w:tr w:rsidR="00814068" w:rsidRPr="00814068" w14:paraId="00331A38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59C878B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7ACBA2F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713827E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25F0C0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25,33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35C426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22,67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56D350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27,38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29990B5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16,67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6F53E2D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21</w:t>
            </w:r>
          </w:p>
        </w:tc>
      </w:tr>
      <w:tr w:rsidR="00814068" w:rsidRPr="00814068" w14:paraId="1E60EC4F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4381996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5DE6F41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Laminin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14:paraId="002DE46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BA00E0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9,50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647B8E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12,77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88D565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19,58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71368BC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4,71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549CCC9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185</w:t>
            </w:r>
          </w:p>
        </w:tc>
      </w:tr>
      <w:tr w:rsidR="00814068" w:rsidRPr="00814068" w14:paraId="16972007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0756626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180AAD4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6CA5CFF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028DEE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20,97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AFCDEA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22,32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1F5604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25,60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7D7AD6C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16,58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6C8DCA4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176</w:t>
            </w:r>
          </w:p>
        </w:tc>
      </w:tr>
      <w:tr w:rsidR="00814068" w:rsidRPr="00814068" w14:paraId="253AFD6F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3EB4729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2B9D516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4D4936A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CC3B5F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16,75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B29594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18,25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C53566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20,67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74279F0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15,08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2F0D1DB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125</w:t>
            </w:r>
          </w:p>
        </w:tc>
      </w:tr>
      <w:tr w:rsidR="00814068" w:rsidRPr="00814068" w14:paraId="22E45CFA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6319450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5B79A56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64CB89C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F709E6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E7AE2B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18,13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B57562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20,08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4091C6D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15,25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33857B9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57</w:t>
            </w:r>
          </w:p>
        </w:tc>
      </w:tr>
      <w:tr w:rsidR="00814068" w:rsidRPr="00814068" w14:paraId="3D504A74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2DCFB0F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13C5053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Tenascin-C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14:paraId="0866EBA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F6A134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10,83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372161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13,82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AC6F42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20,33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1D908C8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4,38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4D6BD82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141</w:t>
            </w:r>
          </w:p>
        </w:tc>
      </w:tr>
      <w:tr w:rsidR="00814068" w:rsidRPr="00814068" w14:paraId="1F8EE182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4C45086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0F601D1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7549456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6F9AF1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19,33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3BF7B5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20,97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3EBC55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24,47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66FDB94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16,00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2EB98E2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145</w:t>
            </w:r>
          </w:p>
        </w:tc>
      </w:tr>
      <w:tr w:rsidR="00814068" w:rsidRPr="00814068" w14:paraId="16DF034B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476DF75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60B5B60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36149E4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008058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16,58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EC98ED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17,85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579DD2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19,67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5F25A4C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15,08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422EC24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67</w:t>
            </w:r>
          </w:p>
        </w:tc>
      </w:tr>
      <w:tr w:rsidR="00814068" w:rsidRPr="00814068" w14:paraId="0DAAC368" w14:textId="77777777" w:rsidTr="00DE2F35">
        <w:trPr>
          <w:trHeight w:val="340"/>
        </w:trPr>
        <w:tc>
          <w:tcPr>
            <w:tcW w:w="1352" w:type="dxa"/>
            <w:vMerge/>
            <w:tcBorders>
              <w:bottom w:val="double" w:sz="4" w:space="0" w:color="auto"/>
            </w:tcBorders>
            <w:shd w:val="clear" w:color="auto" w:fill="D9D9D9"/>
            <w:noWrap/>
            <w:hideMark/>
          </w:tcPr>
          <w:p w14:paraId="048E194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5A6BB79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716FFC8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703839A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16,25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3808E83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18,32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48C1DF3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22,50</w:t>
            </w:r>
          </w:p>
        </w:tc>
        <w:tc>
          <w:tcPr>
            <w:tcW w:w="1065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509C711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15,67</w:t>
            </w:r>
          </w:p>
        </w:tc>
        <w:tc>
          <w:tcPr>
            <w:tcW w:w="770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1CAC00E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</w:tr>
      <w:tr w:rsidR="00814068" w:rsidRPr="00814068" w14:paraId="1613C95A" w14:textId="77777777" w:rsidTr="00DE2F35">
        <w:trPr>
          <w:trHeight w:val="320"/>
        </w:trPr>
        <w:tc>
          <w:tcPr>
            <w:tcW w:w="1352" w:type="dxa"/>
            <w:vMerge w:val="restart"/>
            <w:tcBorders>
              <w:top w:val="double" w:sz="4" w:space="0" w:color="auto"/>
            </w:tcBorders>
            <w:shd w:val="clear" w:color="auto" w:fill="D9D9D9"/>
            <w:noWrap/>
            <w:hideMark/>
          </w:tcPr>
          <w:p w14:paraId="6B17366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4902F5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A760A7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D7CE8B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BF8EB7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76DB0D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626BB1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Tnc</w:t>
            </w:r>
            <w:proofErr w:type="spellEnd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 xml:space="preserve"> -/-</w:t>
            </w:r>
          </w:p>
          <w:p w14:paraId="36E4530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051D5B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E807A5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1E3142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F8827B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1569009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7848313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PDL</w:t>
            </w:r>
          </w:p>
        </w:tc>
        <w:tc>
          <w:tcPr>
            <w:tcW w:w="1015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0493EF3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3A4C85F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11,33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24BC3A0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13,63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640B34E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19,30</w:t>
            </w:r>
          </w:p>
        </w:tc>
        <w:tc>
          <w:tcPr>
            <w:tcW w:w="1065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1CFA30C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6,07</w:t>
            </w:r>
          </w:p>
        </w:tc>
        <w:tc>
          <w:tcPr>
            <w:tcW w:w="770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452E237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150</w:t>
            </w:r>
          </w:p>
        </w:tc>
      </w:tr>
      <w:tr w:rsidR="00814068" w:rsidRPr="00814068" w14:paraId="05193BC1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102046D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414B0C2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771D669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DF6955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18,67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7CAF6B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20,20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0672CA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24,05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11291DF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14,88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717087D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117</w:t>
            </w:r>
          </w:p>
        </w:tc>
      </w:tr>
      <w:tr w:rsidR="00814068" w:rsidRPr="00814068" w14:paraId="3E54CCD3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34161A9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4F0673D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4596AAF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0289CF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11B940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19,37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A0A2BD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22,73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03403DD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14,75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5291CC3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106</w:t>
            </w:r>
          </w:p>
        </w:tc>
      </w:tr>
      <w:tr w:rsidR="00814068" w:rsidRPr="00814068" w14:paraId="342AE8F0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56429FE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54FC63C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718D092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AA630E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18,25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4AE1BA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667AF7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21,93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52C2000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14,75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7787EA0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54</w:t>
            </w:r>
          </w:p>
        </w:tc>
      </w:tr>
      <w:tr w:rsidR="00814068" w:rsidRPr="00814068" w14:paraId="0146EB3E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6D370E8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7435855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Laminin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14:paraId="444875D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ADD142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12,17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E5B7A6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14,33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673B7E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20,58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7062135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5,08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7D8C0FC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107</w:t>
            </w:r>
          </w:p>
        </w:tc>
      </w:tr>
      <w:tr w:rsidR="00814068" w:rsidRPr="00814068" w14:paraId="4A1D9620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18BB4CD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647EB69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6C3044F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2D39CF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B3A722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19,88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C39E64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22,92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0444472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14,75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4A6970E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106</w:t>
            </w:r>
          </w:p>
        </w:tc>
      </w:tr>
      <w:tr w:rsidR="00814068" w:rsidRPr="00814068" w14:paraId="30A8F6FE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6C1530A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03F8472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66CE0D3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9DDC85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16,25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C5C089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16,70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1C1CE1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18,42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530CF8C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13,67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33B1377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79</w:t>
            </w:r>
          </w:p>
        </w:tc>
      </w:tr>
      <w:tr w:rsidR="00814068" w:rsidRPr="00814068" w14:paraId="4630173C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5D183B4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05A7C85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10BCD95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7EAB97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2DAFD4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15,45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63352D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16,55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59FE48A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13,63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0B3688F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29</w:t>
            </w:r>
          </w:p>
        </w:tc>
      </w:tr>
      <w:tr w:rsidR="00814068" w:rsidRPr="00814068" w14:paraId="79407497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3DF82D8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74F7F1A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Tenascin-C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14:paraId="66FF854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3A9431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10,92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F7EE58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13,48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2392E2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18,75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66ACAFD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5,33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09E38A6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93</w:t>
            </w:r>
          </w:p>
        </w:tc>
      </w:tr>
      <w:tr w:rsidR="00814068" w:rsidRPr="00814068" w14:paraId="71BAD0B2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38C5BE6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1525CDC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6654481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A5FBEA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17,58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620F98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19,78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A10D3F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22,92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02A02EC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14,25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562F5AC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103</w:t>
            </w:r>
          </w:p>
        </w:tc>
      </w:tr>
      <w:tr w:rsidR="00814068" w:rsidRPr="00814068" w14:paraId="0E47ABF7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26E5414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44067AD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47A3647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2522BA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16,13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562951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17,17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1FF70B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19,38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2F9528D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13,77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084D086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96</w:t>
            </w:r>
          </w:p>
        </w:tc>
      </w:tr>
      <w:tr w:rsidR="00814068" w:rsidRPr="00814068" w14:paraId="0BAF209C" w14:textId="77777777" w:rsidTr="00DE2F35">
        <w:trPr>
          <w:trHeight w:val="34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6E9CC8B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0FCD183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4A26695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EA32DE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15,75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523E85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D94C55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17,25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6F62965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13,92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342F0A6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52</w:t>
            </w:r>
          </w:p>
        </w:tc>
      </w:tr>
    </w:tbl>
    <w:p w14:paraId="5882B891" w14:textId="77777777" w:rsidR="00C76884" w:rsidRPr="00365A9D" w:rsidRDefault="00C76884" w:rsidP="00C76884">
      <w:pPr>
        <w:spacing w:line="360" w:lineRule="auto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</w:p>
    <w:p w14:paraId="29EF7FD9" w14:textId="77777777" w:rsidR="00C76884" w:rsidRPr="00365A9D" w:rsidRDefault="00C76884" w:rsidP="00C76884">
      <w:pPr>
        <w:spacing w:line="360" w:lineRule="auto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</w:p>
    <w:p w14:paraId="64087442" w14:textId="77777777" w:rsidR="00C76884" w:rsidRPr="00365A9D" w:rsidRDefault="00C76884" w:rsidP="00C76884">
      <w:pPr>
        <w:keepNext/>
        <w:spacing w:before="120" w:after="240" w:line="260" w:lineRule="atLeast"/>
        <w:rPr>
          <w:rFonts w:ascii="Times New Roman" w:hAnsi="Times New Roman"/>
          <w:color w:val="000000" w:themeColor="text1"/>
          <w:lang w:val="en-US"/>
        </w:rPr>
      </w:pPr>
      <w:r w:rsidRPr="00365A9D">
        <w:rPr>
          <w:rFonts w:ascii="Times New Roman" w:hAnsi="Times New Roman"/>
          <w:color w:val="000000" w:themeColor="text1"/>
          <w:sz w:val="20"/>
          <w:szCs w:val="20"/>
          <w:lang w:val="en-US"/>
        </w:rPr>
        <w:br w:type="page"/>
      </w:r>
      <w:r w:rsidRPr="00365A9D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 xml:space="preserve">Table S2. Cell cycle lengths of the slow-dividing </w:t>
      </w:r>
      <w:proofErr w:type="spellStart"/>
      <w:r w:rsidRPr="00365A9D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aNSPC</w:t>
      </w:r>
      <w:r w:rsidRPr="00365A9D">
        <w:rPr>
          <w:rFonts w:ascii="Times New Roman" w:hAnsi="Times New Roman"/>
          <w:b/>
          <w:bCs/>
          <w:color w:val="000000" w:themeColor="text1"/>
          <w:sz w:val="20"/>
          <w:szCs w:val="20"/>
          <w:vertAlign w:val="subscript"/>
          <w:lang w:val="en-US"/>
        </w:rPr>
        <w:t>late</w:t>
      </w:r>
      <w:proofErr w:type="spellEnd"/>
      <w:r w:rsidRPr="00365A9D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 xml:space="preserve"> subpopulation in the SEZ cultures in hours </w:t>
      </w:r>
      <w:r w:rsidRPr="00365A9D">
        <w:rPr>
          <w:rFonts w:ascii="Times New Roman" w:hAnsi="Times New Roman"/>
          <w:b/>
          <w:bCs/>
          <w:i/>
          <w:iCs/>
          <w:color w:val="000000" w:themeColor="text1"/>
          <w:sz w:val="20"/>
          <w:szCs w:val="20"/>
          <w:lang w:val="en-US"/>
        </w:rPr>
        <w:t>in vitro</w:t>
      </w:r>
      <w:r w:rsidRPr="00365A9D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1314"/>
        <w:gridCol w:w="1015"/>
        <w:gridCol w:w="1134"/>
        <w:gridCol w:w="992"/>
        <w:gridCol w:w="1134"/>
        <w:gridCol w:w="1065"/>
        <w:gridCol w:w="770"/>
      </w:tblGrid>
      <w:tr w:rsidR="00814068" w:rsidRPr="00814068" w14:paraId="1FF7CC90" w14:textId="77777777" w:rsidTr="00DE2F35">
        <w:trPr>
          <w:trHeight w:val="320"/>
        </w:trPr>
        <w:tc>
          <w:tcPr>
            <w:tcW w:w="1352" w:type="dxa"/>
            <w:shd w:val="clear" w:color="auto" w:fill="D9D9D9"/>
            <w:noWrap/>
            <w:hideMark/>
          </w:tcPr>
          <w:p w14:paraId="3360EC4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Genotype</w:t>
            </w:r>
          </w:p>
        </w:tc>
        <w:tc>
          <w:tcPr>
            <w:tcW w:w="1314" w:type="dxa"/>
            <w:shd w:val="clear" w:color="auto" w:fill="D9D9D9"/>
            <w:noWrap/>
            <w:hideMark/>
          </w:tcPr>
          <w:p w14:paraId="28564E7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Substrate</w:t>
            </w:r>
          </w:p>
        </w:tc>
        <w:tc>
          <w:tcPr>
            <w:tcW w:w="1015" w:type="dxa"/>
            <w:shd w:val="clear" w:color="auto" w:fill="D9D9D9"/>
            <w:noWrap/>
            <w:hideMark/>
          </w:tcPr>
          <w:p w14:paraId="120E0FA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Gene-ration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14:paraId="407BC91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Median</w:t>
            </w:r>
          </w:p>
        </w:tc>
        <w:tc>
          <w:tcPr>
            <w:tcW w:w="992" w:type="dxa"/>
            <w:shd w:val="clear" w:color="auto" w:fill="D9D9D9"/>
            <w:noWrap/>
            <w:hideMark/>
          </w:tcPr>
          <w:p w14:paraId="67DD88F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Mean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14:paraId="38DD166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Upper quartile</w:t>
            </w:r>
          </w:p>
        </w:tc>
        <w:tc>
          <w:tcPr>
            <w:tcW w:w="1065" w:type="dxa"/>
            <w:shd w:val="clear" w:color="auto" w:fill="D9D9D9"/>
            <w:noWrap/>
            <w:hideMark/>
          </w:tcPr>
          <w:p w14:paraId="14B0FB4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lower quartile</w:t>
            </w:r>
          </w:p>
        </w:tc>
        <w:tc>
          <w:tcPr>
            <w:tcW w:w="770" w:type="dxa"/>
            <w:shd w:val="clear" w:color="auto" w:fill="D9D9D9"/>
            <w:noWrap/>
            <w:hideMark/>
          </w:tcPr>
          <w:p w14:paraId="64A4C3C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n</w:t>
            </w:r>
          </w:p>
        </w:tc>
      </w:tr>
      <w:tr w:rsidR="00814068" w:rsidRPr="00814068" w14:paraId="02EF5E90" w14:textId="77777777" w:rsidTr="00DE2F35">
        <w:trPr>
          <w:trHeight w:val="320"/>
        </w:trPr>
        <w:tc>
          <w:tcPr>
            <w:tcW w:w="1352" w:type="dxa"/>
            <w:vMerge w:val="restart"/>
            <w:shd w:val="clear" w:color="auto" w:fill="D9D9D9"/>
            <w:noWrap/>
            <w:hideMark/>
          </w:tcPr>
          <w:p w14:paraId="006F824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0E5F96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19E61F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4218C8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619400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1B9573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E5354D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Tnc</w:t>
            </w:r>
            <w:proofErr w:type="spellEnd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 xml:space="preserve"> +/+</w:t>
            </w:r>
          </w:p>
          <w:p w14:paraId="4DEB562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8544AD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4C8EB6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1AFCD16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6FFAFCB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0ABEDD1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5733992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PDL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14:paraId="7186A3E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54A22F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98,92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82B4B8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91,12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FFE051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112,67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5F1604E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57,97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6AC782B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</w:t>
            </w:r>
          </w:p>
        </w:tc>
      </w:tr>
      <w:tr w:rsidR="00814068" w:rsidRPr="00814068" w14:paraId="693FC350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340B5BF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32D38ED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791B877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02A189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16,80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9FDF94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17,33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F51CB6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20,00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7FF4EC6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14,54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721D4DD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</w:tr>
      <w:tr w:rsidR="00814068" w:rsidRPr="00814068" w14:paraId="5856AC25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4E34B34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56CF3F4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67BB6A5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BECA7B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0EACBD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20,73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A9B692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24,80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271CBEE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15,92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14D55CD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</w:t>
            </w:r>
          </w:p>
        </w:tc>
      </w:tr>
      <w:tr w:rsidR="00814068" w:rsidRPr="00814068" w14:paraId="571BC7EE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</w:tcPr>
          <w:p w14:paraId="1016E8B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</w:tcPr>
          <w:p w14:paraId="59E9EC0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</w:tcPr>
          <w:p w14:paraId="7E10899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shd w:val="clear" w:color="auto" w:fill="auto"/>
            <w:noWrap/>
          </w:tcPr>
          <w:p w14:paraId="5B7AE61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18,79</w:t>
            </w:r>
          </w:p>
        </w:tc>
        <w:tc>
          <w:tcPr>
            <w:tcW w:w="992" w:type="dxa"/>
            <w:shd w:val="clear" w:color="auto" w:fill="auto"/>
            <w:noWrap/>
          </w:tcPr>
          <w:p w14:paraId="14D97C1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18,79</w:t>
            </w:r>
          </w:p>
        </w:tc>
        <w:tc>
          <w:tcPr>
            <w:tcW w:w="1134" w:type="dxa"/>
            <w:shd w:val="clear" w:color="auto" w:fill="auto"/>
            <w:noWrap/>
          </w:tcPr>
          <w:p w14:paraId="767A244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20,00</w:t>
            </w:r>
          </w:p>
        </w:tc>
        <w:tc>
          <w:tcPr>
            <w:tcW w:w="1065" w:type="dxa"/>
            <w:shd w:val="clear" w:color="auto" w:fill="auto"/>
            <w:noWrap/>
          </w:tcPr>
          <w:p w14:paraId="46CE417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17,58</w:t>
            </w:r>
          </w:p>
        </w:tc>
        <w:tc>
          <w:tcPr>
            <w:tcW w:w="770" w:type="dxa"/>
            <w:shd w:val="clear" w:color="auto" w:fill="auto"/>
            <w:noWrap/>
          </w:tcPr>
          <w:p w14:paraId="71B20FF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</w:tr>
      <w:tr w:rsidR="00814068" w:rsidRPr="00814068" w14:paraId="76CF9D29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5FD1D4B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0FD9855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Laminin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14:paraId="26DCF17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527FEB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73,58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A631A2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80,97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6EE3C8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100,73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2C95E1E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68,00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0D07944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</w:tr>
      <w:tr w:rsidR="00814068" w:rsidRPr="00814068" w14:paraId="5C7E8BFC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15CD316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7BECC12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44BA469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931DD0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8FA144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18,55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CE9292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21,32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57DDC2C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16,00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7186D3F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24</w:t>
            </w:r>
          </w:p>
        </w:tc>
      </w:tr>
      <w:tr w:rsidR="00814068" w:rsidRPr="00814068" w14:paraId="1D451EF0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7DCD3A0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4539206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3B9DBA7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D06F19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16,46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E6E4A6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16,68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82A100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18,83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30B529D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14,96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311211E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32</w:t>
            </w:r>
          </w:p>
        </w:tc>
      </w:tr>
      <w:tr w:rsidR="00814068" w:rsidRPr="00814068" w14:paraId="7DB97EAC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</w:tcPr>
          <w:p w14:paraId="7FC09F1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</w:tcPr>
          <w:p w14:paraId="1BA5627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</w:tcPr>
          <w:p w14:paraId="32BF795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shd w:val="clear" w:color="auto" w:fill="auto"/>
            <w:noWrap/>
          </w:tcPr>
          <w:p w14:paraId="769E35E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16,33</w:t>
            </w:r>
          </w:p>
        </w:tc>
        <w:tc>
          <w:tcPr>
            <w:tcW w:w="992" w:type="dxa"/>
            <w:shd w:val="clear" w:color="auto" w:fill="auto"/>
            <w:noWrap/>
          </w:tcPr>
          <w:p w14:paraId="2E87979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16,77</w:t>
            </w:r>
          </w:p>
        </w:tc>
        <w:tc>
          <w:tcPr>
            <w:tcW w:w="1134" w:type="dxa"/>
            <w:shd w:val="clear" w:color="auto" w:fill="auto"/>
            <w:noWrap/>
          </w:tcPr>
          <w:p w14:paraId="22CF7B9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19,54</w:t>
            </w:r>
          </w:p>
        </w:tc>
        <w:tc>
          <w:tcPr>
            <w:tcW w:w="1065" w:type="dxa"/>
            <w:shd w:val="clear" w:color="auto" w:fill="auto"/>
            <w:noWrap/>
          </w:tcPr>
          <w:p w14:paraId="0CC5DDE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14,32</w:t>
            </w:r>
          </w:p>
        </w:tc>
        <w:tc>
          <w:tcPr>
            <w:tcW w:w="770" w:type="dxa"/>
            <w:shd w:val="clear" w:color="auto" w:fill="auto"/>
            <w:noWrap/>
          </w:tcPr>
          <w:p w14:paraId="1DDE8C4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22</w:t>
            </w:r>
          </w:p>
        </w:tc>
      </w:tr>
      <w:tr w:rsidR="00814068" w:rsidRPr="00814068" w14:paraId="49D0CD08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503D93B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6559418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Tenascin-C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14:paraId="2C33B4A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6A657F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70,25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68A5F4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75,35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575DC8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86,92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559996D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62,50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003D46C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11</w:t>
            </w:r>
          </w:p>
        </w:tc>
      </w:tr>
      <w:tr w:rsidR="00814068" w:rsidRPr="00814068" w14:paraId="54F71351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6A56811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13A3987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061CD4C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B1C0EC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E6F56B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19,18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05D5D7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21,67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08D7EC5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15,92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5E93537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27</w:t>
            </w:r>
          </w:p>
        </w:tc>
      </w:tr>
      <w:tr w:rsidR="00814068" w:rsidRPr="00814068" w14:paraId="24CFF473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25ACDEA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73E6401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6334F47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19351E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18,83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BB8AD4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20,03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6DC71C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22,40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1204F33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16,35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62F3249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24</w:t>
            </w:r>
          </w:p>
        </w:tc>
      </w:tr>
      <w:tr w:rsidR="00814068" w:rsidRPr="00814068" w14:paraId="654D5F45" w14:textId="77777777" w:rsidTr="00DE2F35">
        <w:trPr>
          <w:trHeight w:val="320"/>
        </w:trPr>
        <w:tc>
          <w:tcPr>
            <w:tcW w:w="1352" w:type="dxa"/>
            <w:vMerge/>
            <w:tcBorders>
              <w:bottom w:val="double" w:sz="4" w:space="0" w:color="auto"/>
            </w:tcBorders>
            <w:shd w:val="clear" w:color="auto" w:fill="D9D9D9"/>
            <w:noWrap/>
            <w:hideMark/>
          </w:tcPr>
          <w:p w14:paraId="58E1A4B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6378B82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293D886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38A7E31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23,25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1BC0B2B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23,25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4A95E96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24,00</w:t>
            </w:r>
          </w:p>
        </w:tc>
        <w:tc>
          <w:tcPr>
            <w:tcW w:w="1065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74271D9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22,50</w:t>
            </w:r>
          </w:p>
        </w:tc>
        <w:tc>
          <w:tcPr>
            <w:tcW w:w="770" w:type="dxa"/>
            <w:tcBorders>
              <w:bottom w:val="double" w:sz="4" w:space="0" w:color="auto"/>
            </w:tcBorders>
            <w:shd w:val="clear" w:color="auto" w:fill="auto"/>
            <w:noWrap/>
            <w:hideMark/>
          </w:tcPr>
          <w:p w14:paraId="1BA6B3D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814068" w:rsidRPr="00814068" w14:paraId="14201A35" w14:textId="77777777" w:rsidTr="00DE2F35">
        <w:trPr>
          <w:trHeight w:val="320"/>
        </w:trPr>
        <w:tc>
          <w:tcPr>
            <w:tcW w:w="1352" w:type="dxa"/>
            <w:vMerge w:val="restart"/>
            <w:tcBorders>
              <w:top w:val="double" w:sz="4" w:space="0" w:color="auto"/>
            </w:tcBorders>
            <w:shd w:val="clear" w:color="auto" w:fill="D9D9D9"/>
            <w:noWrap/>
            <w:hideMark/>
          </w:tcPr>
          <w:p w14:paraId="644CCE0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189CFD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4EF671D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F7B560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19A0E2A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4C22ECE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2E7B03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Tnc</w:t>
            </w:r>
            <w:proofErr w:type="spellEnd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 xml:space="preserve"> -/-</w:t>
            </w:r>
          </w:p>
          <w:p w14:paraId="3D5FF45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52D76A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C2E0F0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6E0467D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A11C36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6824E1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5FFB868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PDL</w:t>
            </w:r>
          </w:p>
        </w:tc>
        <w:tc>
          <w:tcPr>
            <w:tcW w:w="1015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4F63BFC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40C128F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78,92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4D4E106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82,17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46D83CD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90,02</w:t>
            </w:r>
          </w:p>
        </w:tc>
        <w:tc>
          <w:tcPr>
            <w:tcW w:w="1065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70A32D3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72,83</w:t>
            </w:r>
          </w:p>
        </w:tc>
        <w:tc>
          <w:tcPr>
            <w:tcW w:w="770" w:type="dxa"/>
            <w:tcBorders>
              <w:top w:val="double" w:sz="4" w:space="0" w:color="auto"/>
            </w:tcBorders>
            <w:shd w:val="clear" w:color="auto" w:fill="auto"/>
            <w:noWrap/>
            <w:hideMark/>
          </w:tcPr>
          <w:p w14:paraId="3F0A95C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12</w:t>
            </w:r>
          </w:p>
        </w:tc>
      </w:tr>
      <w:tr w:rsidR="00814068" w:rsidRPr="00814068" w14:paraId="39954F13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2E9A17D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6891F3A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423DA90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28B784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13,92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B92B8E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6CC3FB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15,50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74B572D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12,46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7002E19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20</w:t>
            </w:r>
          </w:p>
        </w:tc>
      </w:tr>
      <w:tr w:rsidR="00814068" w:rsidRPr="00814068" w14:paraId="7D7050B6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3007511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23BD9F6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3C988B3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322305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15,92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1A59EF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17,27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9D08BB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18,58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708D2D2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14,08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730AB93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37</w:t>
            </w:r>
          </w:p>
        </w:tc>
      </w:tr>
      <w:tr w:rsidR="00814068" w:rsidRPr="00814068" w14:paraId="7428A2A7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58D55F4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0CB64A0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4842600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569FD6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15,96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E2C0A2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17,67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A8D4B1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19,77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59856BB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14,40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6E815F0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36</w:t>
            </w:r>
          </w:p>
        </w:tc>
      </w:tr>
      <w:tr w:rsidR="00814068" w:rsidRPr="00814068" w14:paraId="1E772625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55F4E99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2FB10DC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Laminin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14:paraId="36699A2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C4B995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70,92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B4784C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80,23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1BD0FF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95,80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1D1A82D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61,38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1D1A8BF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</w:t>
            </w:r>
          </w:p>
        </w:tc>
      </w:tr>
      <w:tr w:rsidR="00814068" w:rsidRPr="00814068" w14:paraId="1D80F236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5BFF168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640F547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3B29226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4192E2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14,04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50C16C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14,63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BD2F29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17,08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66B14EF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12,25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3B2F37E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</w:t>
            </w:r>
          </w:p>
        </w:tc>
      </w:tr>
      <w:tr w:rsidR="00814068" w:rsidRPr="00814068" w14:paraId="0DD4F54B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76D8D22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7703793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5B4DF27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85AD38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15,29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F72EE1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725AE3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17,67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2B99727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12,35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38C8E3B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</w:tr>
      <w:tr w:rsidR="00814068" w:rsidRPr="00814068" w14:paraId="43CB1CFF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3DD303D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6347B89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518105A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DC34D4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15,67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878AD0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16,33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892D8A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17,88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748D98B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14,90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77278FF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18</w:t>
            </w:r>
          </w:p>
        </w:tc>
      </w:tr>
      <w:tr w:rsidR="00814068" w:rsidRPr="00814068" w14:paraId="11E5568E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62243ED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238CE1D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Tenascin-C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14:paraId="6EC1572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1st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A39C07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95,75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499B01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101,25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705E6F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120,58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387A151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85,38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3E88670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9</w:t>
            </w:r>
          </w:p>
        </w:tc>
      </w:tr>
      <w:tr w:rsidR="00814068" w:rsidRPr="00814068" w14:paraId="185D5E55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2636455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0B0F574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66940081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2nd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6E43A2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15,17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C984D4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15,35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9D96579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17,18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3416B42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13,67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6609931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16</w:t>
            </w:r>
          </w:p>
        </w:tc>
      </w:tr>
      <w:tr w:rsidR="00814068" w:rsidRPr="00814068" w14:paraId="33BB1BB1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50F8AF7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6F6FE76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330D5AB2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3rd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25D374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14,67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D1F809A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14,88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C9588E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15,75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3FB21AF3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13,50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2EC0C10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23</w:t>
            </w:r>
          </w:p>
        </w:tc>
      </w:tr>
      <w:tr w:rsidR="00814068" w:rsidRPr="00814068" w14:paraId="65A53A09" w14:textId="77777777" w:rsidTr="00DE2F35">
        <w:trPr>
          <w:trHeight w:val="320"/>
        </w:trPr>
        <w:tc>
          <w:tcPr>
            <w:tcW w:w="1352" w:type="dxa"/>
            <w:vMerge/>
            <w:shd w:val="clear" w:color="auto" w:fill="D9D9D9"/>
            <w:noWrap/>
            <w:hideMark/>
          </w:tcPr>
          <w:p w14:paraId="2C22147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vMerge/>
            <w:shd w:val="clear" w:color="auto" w:fill="auto"/>
            <w:noWrap/>
            <w:hideMark/>
          </w:tcPr>
          <w:p w14:paraId="3277F7C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15" w:type="dxa"/>
            <w:shd w:val="clear" w:color="auto" w:fill="auto"/>
            <w:noWrap/>
            <w:hideMark/>
          </w:tcPr>
          <w:p w14:paraId="3F69E31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4th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C38BF1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15,96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808C7B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15,98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3E2FEA4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17,30</w:t>
            </w:r>
          </w:p>
        </w:tc>
        <w:tc>
          <w:tcPr>
            <w:tcW w:w="1065" w:type="dxa"/>
            <w:shd w:val="clear" w:color="auto" w:fill="auto"/>
            <w:noWrap/>
            <w:hideMark/>
          </w:tcPr>
          <w:p w14:paraId="464FABC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14,68</w:t>
            </w:r>
          </w:p>
        </w:tc>
        <w:tc>
          <w:tcPr>
            <w:tcW w:w="770" w:type="dxa"/>
            <w:shd w:val="clear" w:color="auto" w:fill="auto"/>
            <w:noWrap/>
            <w:hideMark/>
          </w:tcPr>
          <w:p w14:paraId="797DAEB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22</w:t>
            </w:r>
          </w:p>
        </w:tc>
      </w:tr>
    </w:tbl>
    <w:p w14:paraId="0EB06016" w14:textId="77777777" w:rsidR="00C76884" w:rsidRPr="00365A9D" w:rsidRDefault="00C76884" w:rsidP="00C76884">
      <w:pPr>
        <w:spacing w:line="360" w:lineRule="auto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</w:p>
    <w:p w14:paraId="1F62E64A" w14:textId="77777777" w:rsidR="00C76884" w:rsidRPr="00365A9D" w:rsidRDefault="00C76884" w:rsidP="00C76884">
      <w:pPr>
        <w:spacing w:line="360" w:lineRule="auto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  <w:r w:rsidRPr="00365A9D">
        <w:rPr>
          <w:rFonts w:ascii="Times New Roman" w:hAnsi="Times New Roman"/>
          <w:color w:val="000000" w:themeColor="text1"/>
          <w:sz w:val="20"/>
          <w:szCs w:val="20"/>
          <w:lang w:val="en-US"/>
        </w:rPr>
        <w:br w:type="page"/>
      </w:r>
      <w:r w:rsidRPr="00365A9D"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  <w:t>Table S3. List of primers used for RT-PCR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3645"/>
        <w:gridCol w:w="1195"/>
        <w:gridCol w:w="1696"/>
        <w:gridCol w:w="1260"/>
      </w:tblGrid>
      <w:tr w:rsidR="00814068" w:rsidRPr="00814068" w14:paraId="12950241" w14:textId="77777777" w:rsidTr="00DE2F35">
        <w:tc>
          <w:tcPr>
            <w:tcW w:w="1838" w:type="dxa"/>
            <w:shd w:val="clear" w:color="auto" w:fill="D9D9D9"/>
          </w:tcPr>
          <w:p w14:paraId="3029648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Primer</w:t>
            </w:r>
          </w:p>
        </w:tc>
        <w:tc>
          <w:tcPr>
            <w:tcW w:w="3645" w:type="dxa"/>
            <w:shd w:val="clear" w:color="auto" w:fill="D9D9D9"/>
          </w:tcPr>
          <w:p w14:paraId="3F013E2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Sequence</w:t>
            </w:r>
          </w:p>
        </w:tc>
        <w:tc>
          <w:tcPr>
            <w:tcW w:w="1195" w:type="dxa"/>
            <w:shd w:val="clear" w:color="auto" w:fill="D9D9D9"/>
          </w:tcPr>
          <w:p w14:paraId="2DB9DB6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Annealing Temp.</w:t>
            </w:r>
          </w:p>
        </w:tc>
        <w:tc>
          <w:tcPr>
            <w:tcW w:w="1696" w:type="dxa"/>
            <w:shd w:val="clear" w:color="auto" w:fill="D9D9D9"/>
          </w:tcPr>
          <w:p w14:paraId="4E22963F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 xml:space="preserve">Accession </w:t>
            </w:r>
          </w:p>
          <w:p w14:paraId="1FEABF9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No.</w:t>
            </w:r>
          </w:p>
        </w:tc>
        <w:tc>
          <w:tcPr>
            <w:tcW w:w="1260" w:type="dxa"/>
            <w:shd w:val="clear" w:color="auto" w:fill="D9D9D9"/>
          </w:tcPr>
          <w:p w14:paraId="0BC4A906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Product size (bp)</w:t>
            </w:r>
          </w:p>
        </w:tc>
      </w:tr>
      <w:tr w:rsidR="00814068" w:rsidRPr="00814068" w14:paraId="0ED60549" w14:textId="77777777" w:rsidTr="00DE2F35">
        <w:tc>
          <w:tcPr>
            <w:tcW w:w="1838" w:type="dxa"/>
            <w:shd w:val="clear" w:color="auto" w:fill="auto"/>
          </w:tcPr>
          <w:p w14:paraId="79843E7E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β</w:t>
            </w: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 xml:space="preserve">-actin </w:t>
            </w:r>
            <w:proofErr w:type="spellStart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forw</w:t>
            </w:r>
            <w:proofErr w:type="spellEnd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615E6188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β</w:t>
            </w: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-actin rev.</w:t>
            </w:r>
          </w:p>
        </w:tc>
        <w:tc>
          <w:tcPr>
            <w:tcW w:w="3645" w:type="dxa"/>
            <w:shd w:val="clear" w:color="auto" w:fill="auto"/>
          </w:tcPr>
          <w:p w14:paraId="7CD07EB0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TATGCCAACACAGTGCTGTCTGG</w:t>
            </w:r>
          </w:p>
          <w:p w14:paraId="65990F6F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AGAAGCACTTGCGGTGCACGATG</w:t>
            </w:r>
          </w:p>
        </w:tc>
        <w:tc>
          <w:tcPr>
            <w:tcW w:w="1195" w:type="dxa"/>
            <w:shd w:val="clear" w:color="auto" w:fill="auto"/>
          </w:tcPr>
          <w:p w14:paraId="3BF20BF0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60°C</w:t>
            </w:r>
          </w:p>
        </w:tc>
        <w:tc>
          <w:tcPr>
            <w:tcW w:w="1696" w:type="dxa"/>
            <w:shd w:val="clear" w:color="auto" w:fill="auto"/>
          </w:tcPr>
          <w:p w14:paraId="4FC0BE4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NM_007393.5</w:t>
            </w:r>
          </w:p>
        </w:tc>
        <w:tc>
          <w:tcPr>
            <w:tcW w:w="1260" w:type="dxa"/>
            <w:shd w:val="clear" w:color="auto" w:fill="auto"/>
          </w:tcPr>
          <w:p w14:paraId="30502CDE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247</w:t>
            </w:r>
          </w:p>
        </w:tc>
      </w:tr>
      <w:tr w:rsidR="00814068" w:rsidRPr="00814068" w14:paraId="52CDDC40" w14:textId="77777777" w:rsidTr="00DE2F35">
        <w:tc>
          <w:tcPr>
            <w:tcW w:w="1838" w:type="dxa"/>
            <w:shd w:val="clear" w:color="auto" w:fill="auto"/>
          </w:tcPr>
          <w:p w14:paraId="439583AE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 xml:space="preserve">Ckap2l </w:t>
            </w:r>
            <w:proofErr w:type="spellStart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forw</w:t>
            </w:r>
            <w:proofErr w:type="spellEnd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59E992F6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Ckap2l rev.</w:t>
            </w:r>
          </w:p>
        </w:tc>
        <w:tc>
          <w:tcPr>
            <w:tcW w:w="3645" w:type="dxa"/>
            <w:shd w:val="clear" w:color="auto" w:fill="auto"/>
          </w:tcPr>
          <w:p w14:paraId="70B7BEA8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TGCGTTCTGCAAAAATCAAG</w:t>
            </w:r>
          </w:p>
          <w:p w14:paraId="541A2452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TGAGTCCTGGGAGCAGTCTT</w:t>
            </w:r>
          </w:p>
        </w:tc>
        <w:tc>
          <w:tcPr>
            <w:tcW w:w="1195" w:type="dxa"/>
            <w:shd w:val="clear" w:color="auto" w:fill="auto"/>
          </w:tcPr>
          <w:p w14:paraId="09F0503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58°C</w:t>
            </w:r>
          </w:p>
        </w:tc>
        <w:tc>
          <w:tcPr>
            <w:tcW w:w="1696" w:type="dxa"/>
            <w:shd w:val="clear" w:color="auto" w:fill="auto"/>
          </w:tcPr>
          <w:p w14:paraId="6341C2BD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NM_181589.3</w:t>
            </w:r>
          </w:p>
        </w:tc>
        <w:tc>
          <w:tcPr>
            <w:tcW w:w="1260" w:type="dxa"/>
            <w:shd w:val="clear" w:color="auto" w:fill="auto"/>
          </w:tcPr>
          <w:p w14:paraId="6CD8C36B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218</w:t>
            </w:r>
          </w:p>
        </w:tc>
      </w:tr>
      <w:tr w:rsidR="00814068" w:rsidRPr="00814068" w14:paraId="164EC835" w14:textId="77777777" w:rsidTr="00DE2F35">
        <w:tc>
          <w:tcPr>
            <w:tcW w:w="1838" w:type="dxa"/>
            <w:shd w:val="clear" w:color="auto" w:fill="auto"/>
          </w:tcPr>
          <w:p w14:paraId="3E87712C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 xml:space="preserve">EGFR </w:t>
            </w:r>
            <w:proofErr w:type="spellStart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forw</w:t>
            </w:r>
            <w:proofErr w:type="spellEnd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6D0D6A5E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EGFR rev.</w:t>
            </w:r>
          </w:p>
        </w:tc>
        <w:tc>
          <w:tcPr>
            <w:tcW w:w="3645" w:type="dxa"/>
            <w:shd w:val="clear" w:color="auto" w:fill="auto"/>
          </w:tcPr>
          <w:p w14:paraId="36B679A2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ACCCAACTGGGCACTTTTGA</w:t>
            </w:r>
          </w:p>
          <w:p w14:paraId="1164FB78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TGTCACCACGTAGTTTCGGG</w:t>
            </w:r>
          </w:p>
        </w:tc>
        <w:tc>
          <w:tcPr>
            <w:tcW w:w="1195" w:type="dxa"/>
            <w:shd w:val="clear" w:color="auto" w:fill="auto"/>
          </w:tcPr>
          <w:p w14:paraId="6A0FE63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58°C</w:t>
            </w:r>
          </w:p>
        </w:tc>
        <w:tc>
          <w:tcPr>
            <w:tcW w:w="1696" w:type="dxa"/>
            <w:shd w:val="clear" w:color="auto" w:fill="auto"/>
          </w:tcPr>
          <w:p w14:paraId="7F007C1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NM_207655.2</w:t>
            </w:r>
          </w:p>
        </w:tc>
        <w:tc>
          <w:tcPr>
            <w:tcW w:w="1260" w:type="dxa"/>
            <w:shd w:val="clear" w:color="auto" w:fill="auto"/>
          </w:tcPr>
          <w:p w14:paraId="50A64917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792</w:t>
            </w:r>
          </w:p>
        </w:tc>
      </w:tr>
      <w:tr w:rsidR="00C76884" w:rsidRPr="00814068" w14:paraId="52F4CD21" w14:textId="77777777" w:rsidTr="00DE2F35">
        <w:tc>
          <w:tcPr>
            <w:tcW w:w="1838" w:type="dxa"/>
            <w:shd w:val="clear" w:color="auto" w:fill="auto"/>
          </w:tcPr>
          <w:p w14:paraId="67634C5A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 xml:space="preserve">Hes5 </w:t>
            </w:r>
            <w:proofErr w:type="spellStart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forw</w:t>
            </w:r>
            <w:proofErr w:type="spellEnd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67751440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Hes5 rev.</w:t>
            </w:r>
          </w:p>
        </w:tc>
        <w:tc>
          <w:tcPr>
            <w:tcW w:w="3645" w:type="dxa"/>
            <w:shd w:val="clear" w:color="auto" w:fill="auto"/>
          </w:tcPr>
          <w:p w14:paraId="1196C93F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AAGTACCGTGGCGGTGGAGAT</w:t>
            </w:r>
          </w:p>
          <w:p w14:paraId="60B3423D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CGCTGGAAGTGGTAAAGCAGCTT</w:t>
            </w:r>
          </w:p>
        </w:tc>
        <w:tc>
          <w:tcPr>
            <w:tcW w:w="1195" w:type="dxa"/>
            <w:shd w:val="clear" w:color="auto" w:fill="auto"/>
          </w:tcPr>
          <w:p w14:paraId="5800FB85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60°C</w:t>
            </w:r>
          </w:p>
        </w:tc>
        <w:tc>
          <w:tcPr>
            <w:tcW w:w="1696" w:type="dxa"/>
            <w:shd w:val="clear" w:color="auto" w:fill="auto"/>
          </w:tcPr>
          <w:p w14:paraId="38BE0398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NM_010419.4</w:t>
            </w:r>
          </w:p>
        </w:tc>
        <w:tc>
          <w:tcPr>
            <w:tcW w:w="1260" w:type="dxa"/>
            <w:shd w:val="clear" w:color="auto" w:fill="auto"/>
          </w:tcPr>
          <w:p w14:paraId="6C9CB5BC" w14:textId="77777777" w:rsidR="00C76884" w:rsidRPr="00365A9D" w:rsidRDefault="00C76884" w:rsidP="00DE2F35">
            <w:pPr>
              <w:spacing w:line="360" w:lineRule="auto"/>
              <w:jc w:val="center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354</w:t>
            </w:r>
          </w:p>
        </w:tc>
      </w:tr>
    </w:tbl>
    <w:p w14:paraId="146E511E" w14:textId="77777777" w:rsidR="00C76884" w:rsidRPr="00365A9D" w:rsidRDefault="00C76884" w:rsidP="00C76884">
      <w:pPr>
        <w:spacing w:line="360" w:lineRule="auto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</w:p>
    <w:p w14:paraId="672AB57A" w14:textId="77777777" w:rsidR="00C76884" w:rsidRPr="00365A9D" w:rsidRDefault="00C76884" w:rsidP="00C76884">
      <w:pPr>
        <w:spacing w:line="360" w:lineRule="auto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  <w:r w:rsidRPr="00365A9D"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  <w:t>Table S4. List of primary antibodies: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439"/>
        <w:gridCol w:w="1814"/>
        <w:gridCol w:w="2296"/>
      </w:tblGrid>
      <w:tr w:rsidR="00814068" w:rsidRPr="00814068" w14:paraId="4DF31A47" w14:textId="77777777" w:rsidTr="00DE2F35">
        <w:trPr>
          <w:trHeight w:val="436"/>
        </w:trPr>
        <w:tc>
          <w:tcPr>
            <w:tcW w:w="3085" w:type="dxa"/>
            <w:shd w:val="clear" w:color="auto" w:fill="BFBFBF"/>
          </w:tcPr>
          <w:p w14:paraId="6C80F165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Antibody</w:t>
            </w:r>
          </w:p>
        </w:tc>
        <w:tc>
          <w:tcPr>
            <w:tcW w:w="2439" w:type="dxa"/>
            <w:shd w:val="clear" w:color="auto" w:fill="BFBFBF"/>
          </w:tcPr>
          <w:p w14:paraId="29B994FF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Producer</w:t>
            </w:r>
          </w:p>
        </w:tc>
        <w:tc>
          <w:tcPr>
            <w:tcW w:w="1814" w:type="dxa"/>
            <w:shd w:val="clear" w:color="auto" w:fill="BFBFBF"/>
          </w:tcPr>
          <w:p w14:paraId="4F95C44A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Cat. No.</w:t>
            </w:r>
          </w:p>
        </w:tc>
        <w:tc>
          <w:tcPr>
            <w:tcW w:w="2296" w:type="dxa"/>
            <w:shd w:val="clear" w:color="auto" w:fill="BFBFBF"/>
          </w:tcPr>
          <w:p w14:paraId="3F9839ED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RRID/Reference</w:t>
            </w:r>
          </w:p>
        </w:tc>
      </w:tr>
      <w:tr w:rsidR="00814068" w:rsidRPr="00814068" w14:paraId="13047650" w14:textId="77777777" w:rsidTr="00DE2F35">
        <w:trPr>
          <w:trHeight w:val="458"/>
        </w:trPr>
        <w:tc>
          <w:tcPr>
            <w:tcW w:w="3085" w:type="dxa"/>
            <w:shd w:val="clear" w:color="auto" w:fill="auto"/>
          </w:tcPr>
          <w:p w14:paraId="02440631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Mouse anti-a-tubulin</w:t>
            </w:r>
          </w:p>
        </w:tc>
        <w:tc>
          <w:tcPr>
            <w:tcW w:w="2439" w:type="dxa"/>
            <w:shd w:val="clear" w:color="auto" w:fill="auto"/>
          </w:tcPr>
          <w:p w14:paraId="06AE249A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Sigma</w:t>
            </w:r>
          </w:p>
        </w:tc>
        <w:tc>
          <w:tcPr>
            <w:tcW w:w="1814" w:type="dxa"/>
            <w:shd w:val="clear" w:color="auto" w:fill="auto"/>
          </w:tcPr>
          <w:p w14:paraId="61BECE29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T6199</w:t>
            </w:r>
          </w:p>
        </w:tc>
        <w:tc>
          <w:tcPr>
            <w:tcW w:w="2296" w:type="dxa"/>
            <w:shd w:val="clear" w:color="auto" w:fill="auto"/>
          </w:tcPr>
          <w:p w14:paraId="6FF7DDCA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AB_477583</w:t>
            </w:r>
          </w:p>
        </w:tc>
      </w:tr>
      <w:tr w:rsidR="00814068" w:rsidRPr="00814068" w14:paraId="3672478E" w14:textId="77777777" w:rsidTr="00DE2F35">
        <w:trPr>
          <w:trHeight w:val="436"/>
        </w:trPr>
        <w:tc>
          <w:tcPr>
            <w:tcW w:w="3085" w:type="dxa"/>
            <w:shd w:val="clear" w:color="auto" w:fill="auto"/>
          </w:tcPr>
          <w:p w14:paraId="2D3B8C24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Mouse anti-GFAP</w:t>
            </w:r>
          </w:p>
        </w:tc>
        <w:tc>
          <w:tcPr>
            <w:tcW w:w="2439" w:type="dxa"/>
            <w:shd w:val="clear" w:color="auto" w:fill="auto"/>
          </w:tcPr>
          <w:p w14:paraId="607C19F1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Sigma</w:t>
            </w:r>
          </w:p>
        </w:tc>
        <w:tc>
          <w:tcPr>
            <w:tcW w:w="1814" w:type="dxa"/>
            <w:shd w:val="clear" w:color="auto" w:fill="auto"/>
          </w:tcPr>
          <w:p w14:paraId="13FC1CBA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G3893</w:t>
            </w:r>
          </w:p>
        </w:tc>
        <w:tc>
          <w:tcPr>
            <w:tcW w:w="2296" w:type="dxa"/>
            <w:shd w:val="clear" w:color="auto" w:fill="auto"/>
          </w:tcPr>
          <w:p w14:paraId="49E6CDCF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AB_477010</w:t>
            </w:r>
          </w:p>
        </w:tc>
      </w:tr>
      <w:tr w:rsidR="00814068" w:rsidRPr="00814068" w14:paraId="66C94EEB" w14:textId="77777777" w:rsidTr="00DE2F35">
        <w:trPr>
          <w:trHeight w:val="501"/>
        </w:trPr>
        <w:tc>
          <w:tcPr>
            <w:tcW w:w="3085" w:type="dxa"/>
            <w:shd w:val="clear" w:color="auto" w:fill="auto"/>
          </w:tcPr>
          <w:p w14:paraId="592FE5C1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Rabbit anti-Sox2</w:t>
            </w:r>
          </w:p>
        </w:tc>
        <w:tc>
          <w:tcPr>
            <w:tcW w:w="2439" w:type="dxa"/>
            <w:shd w:val="clear" w:color="auto" w:fill="auto"/>
          </w:tcPr>
          <w:p w14:paraId="1D8E0EC8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Millipore</w:t>
            </w:r>
          </w:p>
        </w:tc>
        <w:tc>
          <w:tcPr>
            <w:tcW w:w="1814" w:type="dxa"/>
            <w:shd w:val="clear" w:color="auto" w:fill="auto"/>
          </w:tcPr>
          <w:p w14:paraId="6DD9D72F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AB5603</w:t>
            </w:r>
          </w:p>
        </w:tc>
        <w:tc>
          <w:tcPr>
            <w:tcW w:w="2296" w:type="dxa"/>
            <w:shd w:val="clear" w:color="auto" w:fill="auto"/>
          </w:tcPr>
          <w:p w14:paraId="59211FAE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AB_2286686</w:t>
            </w:r>
          </w:p>
        </w:tc>
      </w:tr>
      <w:tr w:rsidR="00814068" w:rsidRPr="00814068" w14:paraId="3F50AA7E" w14:textId="77777777" w:rsidTr="00DE2F35">
        <w:trPr>
          <w:trHeight w:val="458"/>
        </w:trPr>
        <w:tc>
          <w:tcPr>
            <w:tcW w:w="3085" w:type="dxa"/>
            <w:shd w:val="clear" w:color="auto" w:fill="auto"/>
          </w:tcPr>
          <w:p w14:paraId="53E57F1D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Rabbit anti-Notch1</w:t>
            </w:r>
          </w:p>
        </w:tc>
        <w:tc>
          <w:tcPr>
            <w:tcW w:w="2439" w:type="dxa"/>
            <w:shd w:val="clear" w:color="auto" w:fill="auto"/>
          </w:tcPr>
          <w:p w14:paraId="264A4B09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Cell Signaling</w:t>
            </w:r>
          </w:p>
        </w:tc>
        <w:tc>
          <w:tcPr>
            <w:tcW w:w="1814" w:type="dxa"/>
            <w:shd w:val="clear" w:color="auto" w:fill="auto"/>
          </w:tcPr>
          <w:p w14:paraId="0B2D6766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3608S</w:t>
            </w:r>
          </w:p>
        </w:tc>
        <w:tc>
          <w:tcPr>
            <w:tcW w:w="2296" w:type="dxa"/>
            <w:shd w:val="clear" w:color="auto" w:fill="auto"/>
          </w:tcPr>
          <w:p w14:paraId="67E46056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AB_2153354</w:t>
            </w:r>
          </w:p>
        </w:tc>
      </w:tr>
      <w:tr w:rsidR="00814068" w:rsidRPr="00814068" w14:paraId="671F95B2" w14:textId="77777777" w:rsidTr="00DE2F35">
        <w:trPr>
          <w:trHeight w:val="458"/>
        </w:trPr>
        <w:tc>
          <w:tcPr>
            <w:tcW w:w="3085" w:type="dxa"/>
            <w:shd w:val="clear" w:color="auto" w:fill="auto"/>
          </w:tcPr>
          <w:p w14:paraId="14A98928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Rabbit anti-cleaved Notch1</w:t>
            </w:r>
          </w:p>
        </w:tc>
        <w:tc>
          <w:tcPr>
            <w:tcW w:w="2439" w:type="dxa"/>
            <w:shd w:val="clear" w:color="auto" w:fill="auto"/>
          </w:tcPr>
          <w:p w14:paraId="46FF6DCA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Cell Signaling</w:t>
            </w:r>
          </w:p>
        </w:tc>
        <w:tc>
          <w:tcPr>
            <w:tcW w:w="1814" w:type="dxa"/>
            <w:shd w:val="clear" w:color="auto" w:fill="auto"/>
          </w:tcPr>
          <w:p w14:paraId="5023C94E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4147S</w:t>
            </w:r>
          </w:p>
        </w:tc>
        <w:tc>
          <w:tcPr>
            <w:tcW w:w="2296" w:type="dxa"/>
            <w:shd w:val="clear" w:color="auto" w:fill="auto"/>
          </w:tcPr>
          <w:p w14:paraId="07EE96E5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AB_2153348</w:t>
            </w:r>
          </w:p>
        </w:tc>
      </w:tr>
      <w:tr w:rsidR="00814068" w:rsidRPr="00814068" w14:paraId="0A2DE3A1" w14:textId="77777777" w:rsidTr="00DE2F35">
        <w:trPr>
          <w:trHeight w:val="458"/>
        </w:trPr>
        <w:tc>
          <w:tcPr>
            <w:tcW w:w="3085" w:type="dxa"/>
            <w:shd w:val="clear" w:color="auto" w:fill="auto"/>
          </w:tcPr>
          <w:p w14:paraId="41BECAF2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Rabbit anti-ERK</w:t>
            </w:r>
          </w:p>
        </w:tc>
        <w:tc>
          <w:tcPr>
            <w:tcW w:w="2439" w:type="dxa"/>
            <w:shd w:val="clear" w:color="auto" w:fill="auto"/>
          </w:tcPr>
          <w:p w14:paraId="4F7C745D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Santa Cruz</w:t>
            </w:r>
          </w:p>
        </w:tc>
        <w:tc>
          <w:tcPr>
            <w:tcW w:w="1814" w:type="dxa"/>
            <w:shd w:val="clear" w:color="auto" w:fill="auto"/>
          </w:tcPr>
          <w:p w14:paraId="7488F471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sc-94</w:t>
            </w:r>
          </w:p>
        </w:tc>
        <w:tc>
          <w:tcPr>
            <w:tcW w:w="2296" w:type="dxa"/>
            <w:shd w:val="clear" w:color="auto" w:fill="auto"/>
          </w:tcPr>
          <w:p w14:paraId="45167907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AB_2140110</w:t>
            </w:r>
          </w:p>
        </w:tc>
      </w:tr>
      <w:tr w:rsidR="00814068" w:rsidRPr="00814068" w14:paraId="1178C671" w14:textId="77777777" w:rsidTr="00DE2F35">
        <w:trPr>
          <w:trHeight w:val="458"/>
        </w:trPr>
        <w:tc>
          <w:tcPr>
            <w:tcW w:w="3085" w:type="dxa"/>
            <w:shd w:val="clear" w:color="auto" w:fill="auto"/>
          </w:tcPr>
          <w:p w14:paraId="1D82420D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Rabbit anti-pERK</w:t>
            </w:r>
          </w:p>
        </w:tc>
        <w:tc>
          <w:tcPr>
            <w:tcW w:w="2439" w:type="dxa"/>
            <w:shd w:val="clear" w:color="auto" w:fill="auto"/>
          </w:tcPr>
          <w:p w14:paraId="292CA6CB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Santa Cruz</w:t>
            </w:r>
          </w:p>
        </w:tc>
        <w:tc>
          <w:tcPr>
            <w:tcW w:w="1814" w:type="dxa"/>
            <w:shd w:val="clear" w:color="auto" w:fill="auto"/>
          </w:tcPr>
          <w:p w14:paraId="31078AD2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sc-16982</w:t>
            </w:r>
          </w:p>
        </w:tc>
        <w:tc>
          <w:tcPr>
            <w:tcW w:w="2296" w:type="dxa"/>
            <w:shd w:val="clear" w:color="auto" w:fill="auto"/>
          </w:tcPr>
          <w:p w14:paraId="0965624C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AB_2139990</w:t>
            </w:r>
          </w:p>
        </w:tc>
      </w:tr>
      <w:tr w:rsidR="00814068" w:rsidRPr="00814068" w14:paraId="38F36A94" w14:textId="77777777" w:rsidTr="00DE2F35">
        <w:trPr>
          <w:trHeight w:val="458"/>
        </w:trPr>
        <w:tc>
          <w:tcPr>
            <w:tcW w:w="3085" w:type="dxa"/>
            <w:shd w:val="clear" w:color="auto" w:fill="auto"/>
          </w:tcPr>
          <w:p w14:paraId="6161A5CE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Rabbit anti-EGFR</w:t>
            </w:r>
          </w:p>
        </w:tc>
        <w:tc>
          <w:tcPr>
            <w:tcW w:w="2439" w:type="dxa"/>
            <w:shd w:val="clear" w:color="auto" w:fill="auto"/>
          </w:tcPr>
          <w:p w14:paraId="7A22B7FC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Santa Cruz</w:t>
            </w:r>
          </w:p>
        </w:tc>
        <w:tc>
          <w:tcPr>
            <w:tcW w:w="1814" w:type="dxa"/>
            <w:shd w:val="clear" w:color="auto" w:fill="auto"/>
          </w:tcPr>
          <w:p w14:paraId="20F92AD2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sc-03</w:t>
            </w:r>
          </w:p>
        </w:tc>
        <w:tc>
          <w:tcPr>
            <w:tcW w:w="2296" w:type="dxa"/>
            <w:shd w:val="clear" w:color="auto" w:fill="auto"/>
          </w:tcPr>
          <w:p w14:paraId="11EC7FE7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AB_631420</w:t>
            </w:r>
          </w:p>
        </w:tc>
      </w:tr>
      <w:tr w:rsidR="00814068" w:rsidRPr="00814068" w14:paraId="2A901681" w14:textId="77777777" w:rsidTr="00DE2F35">
        <w:trPr>
          <w:trHeight w:val="458"/>
        </w:trPr>
        <w:tc>
          <w:tcPr>
            <w:tcW w:w="3085" w:type="dxa"/>
            <w:shd w:val="clear" w:color="auto" w:fill="auto"/>
          </w:tcPr>
          <w:p w14:paraId="6D4C894D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Rabbit anti-</w:t>
            </w:r>
            <w:proofErr w:type="spellStart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Tnc</w:t>
            </w:r>
            <w:proofErr w:type="spellEnd"/>
          </w:p>
          <w:p w14:paraId="2C3C5180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Rabbit anti-</w:t>
            </w:r>
            <w:proofErr w:type="spellStart"/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Tnc</w:t>
            </w:r>
            <w:proofErr w:type="spellEnd"/>
          </w:p>
        </w:tc>
        <w:tc>
          <w:tcPr>
            <w:tcW w:w="2439" w:type="dxa"/>
            <w:shd w:val="clear" w:color="auto" w:fill="auto"/>
          </w:tcPr>
          <w:p w14:paraId="210F5F2A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Batch KAF14.1</w:t>
            </w:r>
          </w:p>
          <w:p w14:paraId="65C2828E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  <w:t>Batch KAF12</w:t>
            </w:r>
          </w:p>
        </w:tc>
        <w:tc>
          <w:tcPr>
            <w:tcW w:w="1814" w:type="dxa"/>
            <w:shd w:val="clear" w:color="auto" w:fill="auto"/>
          </w:tcPr>
          <w:p w14:paraId="7217798B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296" w:type="dxa"/>
            <w:shd w:val="clear" w:color="auto" w:fill="auto"/>
          </w:tcPr>
          <w:p w14:paraId="099EC249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 xml:space="preserve">Both </w:t>
            </w:r>
            <w:r w:rsidRPr="00365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fldChar w:fldCharType="begin"/>
            </w:r>
            <w:r w:rsidRPr="00365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instrText xml:space="preserve"> ADDIN EN.CITE &lt;EndNote&gt;&lt;Cite&gt;&lt;Author&gt;Faissner&lt;/Author&gt;&lt;Year&gt;1990&lt;/Year&gt;&lt;RecNum&gt;28&lt;/RecNum&gt;&lt;DisplayText&gt;[2]&lt;/DisplayText&gt;&lt;record&gt;&lt;rec-number&gt;28&lt;/rec-number&gt;&lt;foreign-keys&gt;&lt;key app="EN" db-id="t05pafv2ls5atxep20txd95sef0ddx5rz2tf" timestamp="1464077088"&gt;28&lt;/key&gt;&lt;/foreign-keys&gt;&lt;ref-type name="Journal Article"&gt;17&lt;/ref-type&gt;&lt;contributors&gt;&lt;authors&gt;&lt;author&gt;Faissner, A.&lt;/author&gt;&lt;author&gt;Kruse, J.&lt;/author&gt;&lt;/authors&gt;&lt;/contributors&gt;&lt;auth-address&gt;Department of Neurobiology, University of Heidelberg, Federal Republic of Germany.&lt;/auth-address&gt;&lt;titles&gt;&lt;title&gt;J1/tenascin is a repulsive substrate for central nervous system neurons&lt;/title&gt;&lt;secondary-title&gt;Neuron&lt;/secondary-title&gt;&lt;/titles&gt;&lt;periodical&gt;&lt;full-title&gt;Neuron&lt;/full-title&gt;&lt;/periodical&gt;&lt;pages&gt;627-37&lt;/pages&gt;&lt;volume&gt;5&lt;/volume&gt;&lt;number&gt;5&lt;/number&gt;&lt;keywords&gt;&lt;keyword&gt;Animals&lt;/keyword&gt;&lt;keyword&gt;Antibodies, Monoclonal/diagnostic use&lt;/keyword&gt;&lt;keyword&gt;Antibody Specificity&lt;/keyword&gt;&lt;keyword&gt;Astrocytes/drug effects&lt;/keyword&gt;&lt;keyword&gt;Brain/*cytology&lt;/keyword&gt;&lt;keyword&gt;Cell Adhesion Molecules, Neuronal/metabolism/*pharmacology&lt;/keyword&gt;&lt;keyword&gt;Cell Division/drug effects&lt;/keyword&gt;&lt;keyword&gt;Cells, Cultured&lt;/keyword&gt;&lt;keyword&gt;Cerebellum/cytology&lt;/keyword&gt;&lt;keyword&gt;Extracellular Matrix/metabolism&lt;/keyword&gt;&lt;keyword&gt;Extracellular Matrix Proteins/metabolism/*pharmacology&lt;/keyword&gt;&lt;keyword&gt;Granulocytes/drug effects&lt;/keyword&gt;&lt;keyword&gt;Hippocampus/cytology&lt;/keyword&gt;&lt;keyword&gt;Mesencephalon/cytology&lt;/keyword&gt;&lt;keyword&gt;Neurons/cytology/*drug effects&lt;/keyword&gt;&lt;keyword&gt;Research Support, Non-U.S. Gov&amp;apos;t&lt;/keyword&gt;&lt;keyword&gt;Tenascin&lt;/keyword&gt;&lt;/keywords&gt;&lt;dates&gt;&lt;year&gt;1990&lt;/year&gt;&lt;pub-dates&gt;&lt;date&gt;Nov&lt;/date&gt;&lt;/pub-dates&gt;&lt;/dates&gt;&lt;accession-num&gt;1699568&lt;/accession-num&gt;&lt;urls&gt;&lt;related-urls&gt;&lt;url&gt;http://www.ncbi.nlm.nih.gov/entrez/query.fcgi?cmd=Retrieve&amp;amp;db=PubMed&amp;amp;dopt=Citation&amp;amp;list_uids=1699568 &lt;/url&gt;&lt;/related-urls&gt;&lt;/urls&gt;&lt;/record&gt;&lt;/Cite&gt;&lt;/EndNote&gt;</w:instrText>
            </w:r>
            <w:r w:rsidRPr="00365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fldChar w:fldCharType="separate"/>
            </w:r>
            <w:r w:rsidRPr="00365A9D">
              <w:rPr>
                <w:rFonts w:ascii="Times New Roman" w:eastAsia="Cambria" w:hAnsi="Times New Roman"/>
                <w:noProof/>
                <w:color w:val="000000" w:themeColor="text1"/>
                <w:sz w:val="20"/>
                <w:szCs w:val="20"/>
              </w:rPr>
              <w:t>[2]</w:t>
            </w:r>
            <w:r w:rsidRPr="00365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814068" w:rsidRPr="00814068" w14:paraId="63782532" w14:textId="77777777" w:rsidTr="00DE2F35">
        <w:trPr>
          <w:trHeight w:val="436"/>
        </w:trPr>
        <w:tc>
          <w:tcPr>
            <w:tcW w:w="3085" w:type="dxa"/>
            <w:shd w:val="clear" w:color="auto" w:fill="auto"/>
          </w:tcPr>
          <w:p w14:paraId="74BC1E3D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Mouse anti-O4</w:t>
            </w:r>
          </w:p>
        </w:tc>
        <w:tc>
          <w:tcPr>
            <w:tcW w:w="2439" w:type="dxa"/>
            <w:shd w:val="clear" w:color="auto" w:fill="auto"/>
          </w:tcPr>
          <w:p w14:paraId="6FE10005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Millipore</w:t>
            </w:r>
          </w:p>
        </w:tc>
        <w:tc>
          <w:tcPr>
            <w:tcW w:w="1814" w:type="dxa"/>
            <w:shd w:val="clear" w:color="auto" w:fill="auto"/>
          </w:tcPr>
          <w:p w14:paraId="25CAB561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MAB-345</w:t>
            </w:r>
          </w:p>
        </w:tc>
        <w:tc>
          <w:tcPr>
            <w:tcW w:w="2296" w:type="dxa"/>
            <w:shd w:val="clear" w:color="auto" w:fill="auto"/>
          </w:tcPr>
          <w:p w14:paraId="6C9D23ED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AB_94872</w:t>
            </w:r>
          </w:p>
        </w:tc>
      </w:tr>
      <w:tr w:rsidR="00C76884" w:rsidRPr="00814068" w14:paraId="2CB64DE4" w14:textId="77777777" w:rsidTr="00DE2F35">
        <w:trPr>
          <w:trHeight w:val="458"/>
        </w:trPr>
        <w:tc>
          <w:tcPr>
            <w:tcW w:w="3085" w:type="dxa"/>
            <w:shd w:val="clear" w:color="auto" w:fill="auto"/>
          </w:tcPr>
          <w:p w14:paraId="1337D0CC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Mouse anti-bIII tubulin</w:t>
            </w:r>
          </w:p>
        </w:tc>
        <w:tc>
          <w:tcPr>
            <w:tcW w:w="2439" w:type="dxa"/>
            <w:shd w:val="clear" w:color="auto" w:fill="auto"/>
          </w:tcPr>
          <w:p w14:paraId="5F51EF95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Sigma</w:t>
            </w:r>
          </w:p>
        </w:tc>
        <w:tc>
          <w:tcPr>
            <w:tcW w:w="1814" w:type="dxa"/>
            <w:shd w:val="clear" w:color="auto" w:fill="auto"/>
          </w:tcPr>
          <w:p w14:paraId="65612049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T8660</w:t>
            </w:r>
          </w:p>
        </w:tc>
        <w:tc>
          <w:tcPr>
            <w:tcW w:w="2296" w:type="dxa"/>
            <w:shd w:val="clear" w:color="auto" w:fill="auto"/>
          </w:tcPr>
          <w:p w14:paraId="5A2085B5" w14:textId="77777777" w:rsidR="00C76884" w:rsidRPr="00365A9D" w:rsidRDefault="00C76884" w:rsidP="00DE2F35">
            <w:pPr>
              <w:spacing w:line="360" w:lineRule="auto"/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</w:pPr>
            <w:r w:rsidRPr="00365A9D">
              <w:rPr>
                <w:rFonts w:ascii="Times New Roman" w:eastAsia="Cambria" w:hAnsi="Times New Roman"/>
                <w:color w:val="000000" w:themeColor="text1"/>
                <w:sz w:val="20"/>
                <w:szCs w:val="20"/>
              </w:rPr>
              <w:t>AB_477590</w:t>
            </w:r>
          </w:p>
        </w:tc>
      </w:tr>
    </w:tbl>
    <w:p w14:paraId="68D6F533" w14:textId="77777777" w:rsidR="00C76884" w:rsidRPr="00365A9D" w:rsidRDefault="00C76884" w:rsidP="00C76884">
      <w:pPr>
        <w:spacing w:line="360" w:lineRule="auto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</w:p>
    <w:p w14:paraId="19898969" w14:textId="4B0188B3" w:rsidR="00C76884" w:rsidRPr="00365A9D" w:rsidRDefault="00C76884" w:rsidP="00C76884">
      <w:pPr>
        <w:spacing w:line="260" w:lineRule="atLeast"/>
        <w:jc w:val="both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365A9D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Supplemental movie 1 (M1).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Adult wild-type neural stem cells cultivated on poly-D-lysine.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a</w:t>
      </w:r>
      <w:r w:rsidR="00814068" w:rsidRPr="00BC3653">
        <w:rPr>
          <w:rFonts w:ascii="Times New Roman" w:hAnsi="Times New Roman"/>
          <w:color w:val="000000" w:themeColor="text1"/>
          <w:sz w:val="22"/>
          <w:szCs w:val="22"/>
          <w:lang w:val="en-US"/>
        </w:rPr>
        <w:t>NSPC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s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were plated on poly-D-lysine and cultivated for six days. A clone of dividing cells forms a small sphere, indicating that cell adhesion is stronger than cell-substrate attachment (left lower quadrant). A comparable behavior was seen on substrates coated with LN1 or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(not shown). </w:t>
      </w:r>
    </w:p>
    <w:p w14:paraId="4C69397D" w14:textId="77777777" w:rsidR="00C76884" w:rsidRPr="00365A9D" w:rsidRDefault="00C76884" w:rsidP="00C76884">
      <w:pPr>
        <w:spacing w:line="260" w:lineRule="atLeast"/>
        <w:jc w:val="both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</w:p>
    <w:p w14:paraId="7BCF6106" w14:textId="14E6194A" w:rsidR="00C76884" w:rsidRPr="00365A9D" w:rsidRDefault="00C76884" w:rsidP="00C76884">
      <w:pPr>
        <w:spacing w:line="260" w:lineRule="atLeast"/>
        <w:jc w:val="both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365A9D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Supplemental movie 2 (M2).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Adult </w:t>
      </w:r>
      <w:proofErr w:type="spellStart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vertAlign w:val="superscript"/>
          <w:lang w:val="en-US"/>
        </w:rPr>
        <w:t>-/-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neural stem cells cultivated on poly-D-lysine. </w:t>
      </w:r>
      <w:proofErr w:type="spellStart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vertAlign w:val="superscript"/>
          <w:lang w:val="en-US"/>
        </w:rPr>
        <w:t xml:space="preserve">-/-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a</w:t>
      </w:r>
      <w:r w:rsidR="00814068" w:rsidRPr="00BC3653">
        <w:rPr>
          <w:rFonts w:ascii="Times New Roman" w:hAnsi="Times New Roman"/>
          <w:color w:val="000000" w:themeColor="text1"/>
          <w:sz w:val="22"/>
          <w:szCs w:val="22"/>
          <w:lang w:val="en-US"/>
        </w:rPr>
        <w:t>NSPC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s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were plated on poly-D-lysine and cultivated for six days. A clone of dividing cells displays three division events, resulting in 8 cells (right lower quadrant).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-deficient cells displayed a better substrate attachment, presumably reflecting the absence of the anti-adhesive ECM compound 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begin"/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instrText xml:space="preserve"> ADDIN EN.CITE &lt;EndNote&gt;&lt;Cite&gt;&lt;Author&gt;Faissner&lt;/Author&gt;&lt;Year&gt;1990&lt;/Year&gt;&lt;RecNum&gt;28&lt;/RecNum&gt;&lt;DisplayText&gt;[2]&lt;/DisplayText&gt;&lt;record&gt;&lt;rec-number&gt;28&lt;/rec-number&gt;&lt;foreign-keys&gt;&lt;key app="EN" db-id="t05pafv2ls5atxep20txd95sef0ddx5rz2tf" timestamp="1464077088"&gt;28&lt;/key&gt;&lt;/foreign-keys&gt;&lt;ref-type name="Journal Article"&gt;17&lt;/ref-type&gt;&lt;contributors&gt;&lt;authors&gt;&lt;author&gt;Faissner, A.&lt;/author&gt;&lt;author&gt;Kruse, J.&lt;/author&gt;&lt;/authors&gt;&lt;/contributors&gt;&lt;auth-address&gt;Department of Neurobiology, University of Heidelberg, Federal Republic of Germany.&lt;/auth-address&gt;&lt;titles&gt;&lt;title&gt;J1/tenascin is a repulsive substrate for central nervous system neurons&lt;/title&gt;&lt;secondary-title&gt;Neuron&lt;/secondary-title&gt;&lt;/titles&gt;&lt;periodical&gt;&lt;full-title&gt;Neuron&lt;/full-title&gt;&lt;/periodical&gt;&lt;pages&gt;627-37&lt;/pages&gt;&lt;volume&gt;5&lt;/volume&gt;&lt;number&gt;5&lt;/number&gt;&lt;keywords&gt;&lt;keyword&gt;Animals&lt;/keyword&gt;&lt;keyword&gt;Antibodies, Monoclonal/diagnostic use&lt;/keyword&gt;&lt;keyword&gt;Antibody Specificity&lt;/keyword&gt;&lt;keyword&gt;Astrocytes/drug effects&lt;/keyword&gt;&lt;keyword&gt;Brain/*cytology&lt;/keyword&gt;&lt;keyword&gt;Cell Adhesion Molecules, Neuronal/metabolism/*pharmacology&lt;/keyword&gt;&lt;keyword&gt;Cell Division/drug effects&lt;/keyword&gt;&lt;keyword&gt;Cells, Cultured&lt;/keyword&gt;&lt;keyword&gt;Cerebellum/cytology&lt;/keyword&gt;&lt;keyword&gt;Extracellular Matrix/metabolism&lt;/keyword&gt;&lt;keyword&gt;Extracellular Matrix Proteins/metabolism/*pharmacology&lt;/keyword&gt;&lt;keyword&gt;Granulocytes/drug effects&lt;/keyword&gt;&lt;keyword&gt;Hippocampus/cytology&lt;/keyword&gt;&lt;keyword&gt;Mesencephalon/cytology&lt;/keyword&gt;&lt;keyword&gt;Neurons/cytology/*drug effects&lt;/keyword&gt;&lt;keyword&gt;Research Support, Non-U.S. Gov&amp;apos;t&lt;/keyword&gt;&lt;keyword&gt;Tenascin&lt;/keyword&gt;&lt;/keywords&gt;&lt;dates&gt;&lt;year&gt;1990&lt;/year&gt;&lt;pub-dates&gt;&lt;date&gt;Nov&lt;/date&gt;&lt;/pub-dates&gt;&lt;/dates&gt;&lt;accession-num&gt;1699568&lt;/accession-num&gt;&lt;urls&gt;&lt;related-urls&gt;&lt;url&gt;http://www.ncbi.nlm.nih.gov/entrez/query.fcgi?cmd=Retrieve&amp;amp;db=PubMed&amp;amp;dopt=Citation&amp;amp;list_uids=1699568 &lt;/url&gt;&lt;/related-urls&gt;&lt;/urls&gt;&lt;/record&gt;&lt;/Cite&gt;&lt;/EndNote&gt;</w:instrTex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separate"/>
      </w:r>
      <w:r w:rsidRPr="00365A9D">
        <w:rPr>
          <w:rFonts w:ascii="Times New Roman" w:hAnsi="Times New Roman"/>
          <w:noProof/>
          <w:color w:val="000000" w:themeColor="text1"/>
          <w:sz w:val="22"/>
          <w:szCs w:val="22"/>
          <w:lang w:val="en-US"/>
        </w:rPr>
        <w:t>[2]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end"/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.  </w:t>
      </w:r>
    </w:p>
    <w:p w14:paraId="5DCA239B" w14:textId="77777777" w:rsidR="00C76884" w:rsidRPr="00365A9D" w:rsidRDefault="00C76884" w:rsidP="00C76884">
      <w:pPr>
        <w:spacing w:line="260" w:lineRule="atLeast"/>
        <w:jc w:val="both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</w:p>
    <w:p w14:paraId="2EC4D809" w14:textId="5A64F2B0" w:rsidR="00C76884" w:rsidRPr="00365A9D" w:rsidRDefault="00C76884" w:rsidP="00C76884">
      <w:pPr>
        <w:spacing w:line="260" w:lineRule="atLeast"/>
        <w:jc w:val="both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365A9D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Supplemental movie 3 (M3).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Adult </w:t>
      </w:r>
      <w:proofErr w:type="spellStart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vertAlign w:val="superscript"/>
          <w:lang w:val="en-US"/>
        </w:rPr>
        <w:t>-/-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neural stem cells cultivated on LN1. </w:t>
      </w:r>
      <w:proofErr w:type="spellStart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vertAlign w:val="superscript"/>
          <w:lang w:val="en-US"/>
        </w:rPr>
        <w:t xml:space="preserve">-/-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a</w:t>
      </w:r>
      <w:r w:rsidR="00814068" w:rsidRPr="00BC3653">
        <w:rPr>
          <w:rFonts w:ascii="Times New Roman" w:hAnsi="Times New Roman"/>
          <w:color w:val="000000" w:themeColor="text1"/>
          <w:sz w:val="22"/>
          <w:szCs w:val="22"/>
          <w:lang w:val="en-US"/>
        </w:rPr>
        <w:t>NSPC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s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were plated on LN1 and cultivated for six days. A clone of dividing cells displays three division events, resulting in 8 cells (right upper quadrant).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-deficient cells on LN1 extended considerable processes in response to LN1. This was not the case with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-secreting wild-type cells. </w:t>
      </w:r>
    </w:p>
    <w:p w14:paraId="50A0AC3B" w14:textId="77777777" w:rsidR="00C76884" w:rsidRPr="00365A9D" w:rsidRDefault="00C76884" w:rsidP="00C76884">
      <w:pPr>
        <w:spacing w:line="260" w:lineRule="atLeast"/>
        <w:jc w:val="both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</w:p>
    <w:p w14:paraId="3EFC40E7" w14:textId="6DBF3CBA" w:rsidR="00C76884" w:rsidRPr="00365A9D" w:rsidRDefault="00C76884" w:rsidP="00C76884">
      <w:pPr>
        <w:spacing w:line="260" w:lineRule="atLeast"/>
        <w:jc w:val="both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365A9D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Supplemental movie 4 (M4).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Adult </w:t>
      </w:r>
      <w:proofErr w:type="spellStart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vertAlign w:val="superscript"/>
          <w:lang w:val="en-US"/>
        </w:rPr>
        <w:t>-/-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neural stem cells cultivated on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. </w:t>
      </w:r>
      <w:proofErr w:type="spellStart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i/>
          <w:iCs/>
          <w:color w:val="000000" w:themeColor="text1"/>
          <w:sz w:val="22"/>
          <w:szCs w:val="22"/>
          <w:vertAlign w:val="superscript"/>
          <w:lang w:val="en-US"/>
        </w:rPr>
        <w:t xml:space="preserve">-/-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a</w:t>
      </w:r>
      <w:r w:rsidR="00814068" w:rsidRPr="00BC3653">
        <w:rPr>
          <w:rFonts w:ascii="Times New Roman" w:hAnsi="Times New Roman"/>
          <w:color w:val="000000" w:themeColor="text1"/>
          <w:sz w:val="22"/>
          <w:szCs w:val="22"/>
          <w:lang w:val="en-US"/>
        </w:rPr>
        <w:t>NSPC</w:t>
      </w:r>
      <w:r w:rsidRPr="00BC3653">
        <w:rPr>
          <w:rFonts w:ascii="Times New Roman" w:hAnsi="Times New Roman"/>
          <w:color w:val="000000" w:themeColor="text1"/>
          <w:sz w:val="22"/>
          <w:szCs w:val="22"/>
          <w:lang w:val="en-US"/>
        </w:rPr>
        <w:t>s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were plated on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and cultivated for six days. A clone of dividing cells displays division events (right upper quadrant).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-deficient cells on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extended actively searching filopodia that, however, did not translate into stable processes, different from the situation on LN1. This presumably is a consequence of the anti-adhesive </w:t>
      </w:r>
      <w:proofErr w:type="spellStart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>Tnc</w:t>
      </w:r>
      <w:proofErr w:type="spellEnd"/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-rich substrate 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begin">
          <w:fldData xml:space="preserve">PEVuZE5vdGU+PENpdGU+PEF1dGhvcj5GYWlzc25lcjwvQXV0aG9yPjxZZWFyPjE5OTA8L1llYXI+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</w:fldData>
        </w:fldChar>
      </w:r>
      <w:r w:rsidR="00DE2F35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instrText xml:space="preserve"> ADDIN EN.CITE </w:instrText>
      </w:r>
      <w:r w:rsidR="00DE2F35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begin">
          <w:fldData xml:space="preserve">PEVuZE5vdGU+PENpdGU+PEF1dGhvcj5GYWlzc25lcjwvQXV0aG9yPjxZZWFyPjE5OTA8L1llYXI+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</w:fldData>
        </w:fldChar>
      </w:r>
      <w:r w:rsidR="00DE2F35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instrText xml:space="preserve"> ADDIN EN.CITE.DATA </w:instrText>
      </w:r>
      <w:r w:rsidR="00DE2F35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</w:r>
      <w:r w:rsidR="00DE2F35"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end"/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separate"/>
      </w:r>
      <w:r w:rsidR="00DE2F35" w:rsidRPr="00365A9D">
        <w:rPr>
          <w:rFonts w:ascii="Times New Roman" w:hAnsi="Times New Roman"/>
          <w:noProof/>
          <w:color w:val="000000" w:themeColor="text1"/>
          <w:sz w:val="22"/>
          <w:szCs w:val="22"/>
          <w:lang w:val="en-US"/>
        </w:rPr>
        <w:t>[2,3]</w:t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fldChar w:fldCharType="end"/>
      </w:r>
      <w:r w:rsidRPr="00365A9D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.   </w:t>
      </w:r>
    </w:p>
    <w:p w14:paraId="6E52C637" w14:textId="77777777" w:rsidR="00C76884" w:rsidRPr="00365A9D" w:rsidRDefault="00C76884" w:rsidP="00C76884">
      <w:pPr>
        <w:spacing w:line="260" w:lineRule="atLeast"/>
        <w:jc w:val="both"/>
        <w:rPr>
          <w:rFonts w:ascii="Times New Roman" w:hAnsi="Times New Roman"/>
          <w:color w:val="000000" w:themeColor="text1"/>
          <w:sz w:val="20"/>
          <w:szCs w:val="20"/>
          <w:lang w:val="en-US"/>
        </w:rPr>
      </w:pPr>
    </w:p>
    <w:p w14:paraId="788B262F" w14:textId="77777777" w:rsidR="00C76884" w:rsidRPr="00365A9D" w:rsidDel="0030029C" w:rsidRDefault="00C76884" w:rsidP="00C76884">
      <w:pPr>
        <w:spacing w:line="360" w:lineRule="auto"/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</w:pPr>
      <w:r w:rsidRPr="00365A9D"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  <w:t>References</w:t>
      </w:r>
    </w:p>
    <w:p w14:paraId="42681A57" w14:textId="77777777" w:rsidR="00DE2F35" w:rsidRPr="00365A9D" w:rsidRDefault="00C76884" w:rsidP="00DE2F35">
      <w:pPr>
        <w:pStyle w:val="EndNoteBibliography"/>
        <w:spacing w:after="240"/>
        <w:rPr>
          <w:noProof/>
          <w:color w:val="000000" w:themeColor="text1"/>
        </w:rPr>
      </w:pPr>
      <w:r w:rsidRPr="00365A9D">
        <w:rPr>
          <w:color w:val="000000" w:themeColor="text1"/>
          <w:sz w:val="18"/>
          <w:szCs w:val="20"/>
        </w:rPr>
        <w:fldChar w:fldCharType="begin"/>
      </w:r>
      <w:r w:rsidRPr="00365A9D">
        <w:rPr>
          <w:color w:val="000000" w:themeColor="text1"/>
          <w:szCs w:val="20"/>
        </w:rPr>
        <w:instrText xml:space="preserve"> ADDIN EN.REFLIST </w:instrText>
      </w:r>
      <w:r w:rsidRPr="00365A9D">
        <w:rPr>
          <w:color w:val="000000" w:themeColor="text1"/>
          <w:sz w:val="18"/>
          <w:szCs w:val="20"/>
        </w:rPr>
        <w:fldChar w:fldCharType="separate"/>
      </w:r>
      <w:r w:rsidR="00DE2F35" w:rsidRPr="00365A9D">
        <w:rPr>
          <w:noProof/>
          <w:color w:val="000000" w:themeColor="text1"/>
        </w:rPr>
        <w:t>1. Ortega F, Costa MR, Simon-Ebert T, Schroeder T, Gotz M, Berninger B (2011) Using an adherent cell culture of the mouse subependymal zone to study the behavior of adult neural stem cells on a single-cell level. Nat Protoc 6 (12):1847-1859. doi:10.1038/nprot.2011.404</w:t>
      </w:r>
    </w:p>
    <w:p w14:paraId="31567A61" w14:textId="77777777" w:rsidR="00DE2F35" w:rsidRPr="00365A9D" w:rsidRDefault="00DE2F35" w:rsidP="00DE2F35">
      <w:pPr>
        <w:pStyle w:val="EndNoteBibliography"/>
        <w:spacing w:after="240"/>
        <w:rPr>
          <w:noProof/>
          <w:color w:val="000000" w:themeColor="text1"/>
        </w:rPr>
      </w:pPr>
      <w:r w:rsidRPr="00365A9D">
        <w:rPr>
          <w:noProof/>
          <w:color w:val="000000" w:themeColor="text1"/>
        </w:rPr>
        <w:t>2. Faissner A, Kruse J (1990) J1/tenascin is a repulsive substrate for central nervous system neurons. Neuron 5 (5):627-637</w:t>
      </w:r>
    </w:p>
    <w:p w14:paraId="5A4B1BE1" w14:textId="77777777" w:rsidR="00DE2F35" w:rsidRPr="00365A9D" w:rsidRDefault="00DE2F35" w:rsidP="00DE2F35">
      <w:pPr>
        <w:pStyle w:val="EndNoteBibliography"/>
        <w:rPr>
          <w:noProof/>
          <w:color w:val="000000" w:themeColor="text1"/>
        </w:rPr>
      </w:pPr>
      <w:r w:rsidRPr="00365A9D">
        <w:rPr>
          <w:noProof/>
          <w:color w:val="000000" w:themeColor="text1"/>
        </w:rPr>
        <w:t>3. May M, Denecke B, Schroeder T, Gotz M, Faissner A (2018) Cell tracking in vitro reveals that the extracellular matrix glycoprotein Tenascin-C modulates cell cycle length and differentiation in neural stem/progenitor cells of the developing mouse spinal cord. Biol Open 7 (7). doi:10.1242/bio.027730</w:t>
      </w:r>
    </w:p>
    <w:p w14:paraId="6D69B6A4" w14:textId="1D622C53" w:rsidR="00C76884" w:rsidRPr="00365A9D" w:rsidRDefault="00C76884" w:rsidP="00C76884">
      <w:pPr>
        <w:rPr>
          <w:rFonts w:ascii="Times New Roman" w:hAnsi="Times New Roman"/>
          <w:color w:val="000000" w:themeColor="text1"/>
          <w:sz w:val="20"/>
          <w:szCs w:val="20"/>
        </w:rPr>
      </w:pPr>
      <w:r w:rsidRPr="00365A9D">
        <w:rPr>
          <w:rFonts w:ascii="Times New Roman" w:hAnsi="Times New Roman"/>
          <w:color w:val="000000" w:themeColor="text1"/>
          <w:sz w:val="20"/>
          <w:szCs w:val="20"/>
        </w:rPr>
        <w:fldChar w:fldCharType="end"/>
      </w:r>
    </w:p>
    <w:p w14:paraId="0B909FA7" w14:textId="77777777" w:rsidR="00C76884" w:rsidRPr="00365A9D" w:rsidRDefault="00C76884" w:rsidP="00C76884">
      <w:pPr>
        <w:rPr>
          <w:rFonts w:ascii="Times New Roman" w:hAnsi="Times New Roman"/>
          <w:color w:val="000000" w:themeColor="text1"/>
          <w:sz w:val="20"/>
          <w:szCs w:val="20"/>
        </w:rPr>
      </w:pPr>
    </w:p>
    <w:p w14:paraId="464976B3" w14:textId="77777777" w:rsidR="00C76884" w:rsidRPr="00365A9D" w:rsidRDefault="00C76884" w:rsidP="00C76884">
      <w:pPr>
        <w:rPr>
          <w:rFonts w:ascii="Times New Roman" w:hAnsi="Times New Roman"/>
          <w:color w:val="000000" w:themeColor="text1"/>
        </w:rPr>
      </w:pPr>
    </w:p>
    <w:p w14:paraId="0B5B913D" w14:textId="77777777" w:rsidR="00C76884" w:rsidRPr="00365A9D" w:rsidRDefault="00C76884" w:rsidP="00C76884">
      <w:pPr>
        <w:rPr>
          <w:rFonts w:ascii="Times New Roman" w:hAnsi="Times New Roman"/>
          <w:color w:val="000000" w:themeColor="text1"/>
        </w:rPr>
      </w:pPr>
    </w:p>
    <w:p w14:paraId="5C14E5D8" w14:textId="34AAB136" w:rsidR="004C0087" w:rsidRPr="00365A9D" w:rsidRDefault="004C0087" w:rsidP="00C76884">
      <w:pPr>
        <w:spacing w:line="360" w:lineRule="auto"/>
        <w:rPr>
          <w:rFonts w:ascii="Times New Roman" w:hAnsi="Times New Roman"/>
          <w:color w:val="000000" w:themeColor="text1"/>
          <w:sz w:val="22"/>
          <w:szCs w:val="22"/>
        </w:rPr>
      </w:pPr>
    </w:p>
    <w:sectPr w:rsidR="004C0087" w:rsidRPr="00365A9D" w:rsidSect="00DE2F35">
      <w:headerReference w:type="even" r:id="rId10"/>
      <w:headerReference w:type="default" r:id="rId11"/>
      <w:pgSz w:w="11906" w:h="16838"/>
      <w:pgMar w:top="1134" w:right="1418" w:bottom="1134" w:left="1418" w:header="851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CC7DC" w14:textId="77777777" w:rsidR="00813E18" w:rsidRDefault="00813E18" w:rsidP="00CC4C50">
      <w:r>
        <w:separator/>
      </w:r>
    </w:p>
  </w:endnote>
  <w:endnote w:type="continuationSeparator" w:id="0">
    <w:p w14:paraId="47E26637" w14:textId="77777777" w:rsidR="00813E18" w:rsidRDefault="00813E18" w:rsidP="00CC4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DADAA" w14:textId="77777777" w:rsidR="00813E18" w:rsidRDefault="00813E18" w:rsidP="00CC4C50">
      <w:r>
        <w:separator/>
      </w:r>
    </w:p>
  </w:footnote>
  <w:footnote w:type="continuationSeparator" w:id="0">
    <w:p w14:paraId="0F8277E5" w14:textId="77777777" w:rsidR="00813E18" w:rsidRDefault="00813E18" w:rsidP="00CC4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5032D" w14:textId="77777777" w:rsidR="003815BF" w:rsidRDefault="003815BF" w:rsidP="00DE2F3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17824F" w14:textId="77777777" w:rsidR="003815BF" w:rsidRDefault="003815BF" w:rsidP="00DE2F3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1C50F" w14:textId="3048807B" w:rsidR="003815BF" w:rsidRPr="00C4655C" w:rsidRDefault="003815BF" w:rsidP="00DE2F35">
    <w:pPr>
      <w:tabs>
        <w:tab w:val="right" w:pos="8931"/>
      </w:tabs>
      <w:adjustRightInd w:val="0"/>
      <w:snapToGrid w:val="0"/>
      <w:ind w:right="1537"/>
      <w:rPr>
        <w:sz w:val="16"/>
        <w:lang w:val="en-US"/>
      </w:rPr>
    </w:pPr>
    <w:r w:rsidRPr="00CC4C50">
      <w:rPr>
        <w:rFonts w:ascii="Times New Roman" w:hAnsi="Times New Roman"/>
        <w:i/>
        <w:sz w:val="20"/>
        <w:szCs w:val="20"/>
        <w:lang w:val="en-US"/>
      </w:rPr>
      <w:t>Molecular and Cellular Life Sciences</w:t>
    </w:r>
    <w:r w:rsidRPr="00C4655C">
      <w:rPr>
        <w:sz w:val="16"/>
        <w:lang w:val="en-US"/>
      </w:rPr>
      <w:tab/>
    </w:r>
    <w:r w:rsidRPr="00CC4C50">
      <w:rPr>
        <w:rFonts w:ascii="Times New Roman" w:hAnsi="Times New Roman"/>
        <w:sz w:val="20"/>
        <w:szCs w:val="20"/>
      </w:rPr>
      <w:fldChar w:fldCharType="begin"/>
    </w:r>
    <w:r w:rsidRPr="00CC4C50">
      <w:rPr>
        <w:rFonts w:ascii="Times New Roman" w:hAnsi="Times New Roman"/>
        <w:sz w:val="20"/>
        <w:szCs w:val="20"/>
        <w:lang w:val="en-US"/>
      </w:rPr>
      <w:instrText xml:space="preserve"> PAGE   \* MERGEFORMAT </w:instrText>
    </w:r>
    <w:r w:rsidRPr="00CC4C50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  <w:lang w:val="en-US"/>
      </w:rPr>
      <w:t>7</w:t>
    </w:r>
    <w:r w:rsidRPr="00CC4C50">
      <w:rPr>
        <w:rFonts w:ascii="Times New Roman" w:hAnsi="Times New Roman"/>
        <w:sz w:val="20"/>
        <w:szCs w:val="20"/>
      </w:rPr>
      <w:fldChar w:fldCharType="end"/>
    </w:r>
    <w:r w:rsidRPr="00CC4C50">
      <w:rPr>
        <w:rFonts w:ascii="Times New Roman" w:hAnsi="Times New Roman"/>
        <w:sz w:val="20"/>
        <w:szCs w:val="20"/>
        <w:lang w:val="en-US"/>
      </w:rPr>
      <w:t xml:space="preserve"> of </w:t>
    </w:r>
    <w:r w:rsidRPr="00CC4C50">
      <w:rPr>
        <w:rFonts w:ascii="Times New Roman" w:hAnsi="Times New Roman"/>
        <w:sz w:val="20"/>
        <w:szCs w:val="20"/>
      </w:rPr>
      <w:fldChar w:fldCharType="begin"/>
    </w:r>
    <w:r w:rsidRPr="00CC4C50">
      <w:rPr>
        <w:rFonts w:ascii="Times New Roman" w:hAnsi="Times New Roman"/>
        <w:sz w:val="20"/>
        <w:szCs w:val="20"/>
        <w:lang w:val="en-US"/>
      </w:rPr>
      <w:instrText xml:space="preserve"> NUMPAGES   \* MERGEFORMAT </w:instrText>
    </w:r>
    <w:r w:rsidRPr="00CC4C50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  <w:lang w:val="en-US"/>
      </w:rPr>
      <w:t>7</w:t>
    </w:r>
    <w:r w:rsidRPr="00CC4C50">
      <w:rPr>
        <w:rFonts w:ascii="Times New Roman" w:hAnsi="Times New Roman"/>
        <w:sz w:val="20"/>
        <w:szCs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4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BasicNumber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37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5pafv2ls5atxep20txd95sef0ddx5rz2tf&quot;&gt;160524_MCN-Tnc-NSCs-Converted&lt;record-ids&gt;&lt;item&gt;28&lt;/item&gt;&lt;item&gt;261&lt;/item&gt;&lt;item&gt;281&lt;/item&gt;&lt;/record-ids&gt;&lt;/item&gt;&lt;/Libraries&gt;"/>
  </w:docVars>
  <w:rsids>
    <w:rsidRoot w:val="00C76884"/>
    <w:rsid w:val="000264BF"/>
    <w:rsid w:val="00037F14"/>
    <w:rsid w:val="00047952"/>
    <w:rsid w:val="00052F18"/>
    <w:rsid w:val="00057708"/>
    <w:rsid w:val="0009465D"/>
    <w:rsid w:val="00094CD8"/>
    <w:rsid w:val="000B4610"/>
    <w:rsid w:val="000E51CA"/>
    <w:rsid w:val="00133267"/>
    <w:rsid w:val="00137787"/>
    <w:rsid w:val="00153DB2"/>
    <w:rsid w:val="00166DBC"/>
    <w:rsid w:val="00173DC0"/>
    <w:rsid w:val="00183081"/>
    <w:rsid w:val="0018790D"/>
    <w:rsid w:val="001A7538"/>
    <w:rsid w:val="001B4CFD"/>
    <w:rsid w:val="001D0459"/>
    <w:rsid w:val="001E7FD6"/>
    <w:rsid w:val="00200B7E"/>
    <w:rsid w:val="00205E5E"/>
    <w:rsid w:val="00205F8D"/>
    <w:rsid w:val="00214545"/>
    <w:rsid w:val="0023640D"/>
    <w:rsid w:val="002432DF"/>
    <w:rsid w:val="00255803"/>
    <w:rsid w:val="002A1030"/>
    <w:rsid w:val="002D339B"/>
    <w:rsid w:val="002E3633"/>
    <w:rsid w:val="002F0086"/>
    <w:rsid w:val="0030617C"/>
    <w:rsid w:val="00315AD8"/>
    <w:rsid w:val="0032213F"/>
    <w:rsid w:val="003326BF"/>
    <w:rsid w:val="00342C05"/>
    <w:rsid w:val="00342D79"/>
    <w:rsid w:val="00346C81"/>
    <w:rsid w:val="00355CBA"/>
    <w:rsid w:val="00365A9D"/>
    <w:rsid w:val="003745DE"/>
    <w:rsid w:val="003815BF"/>
    <w:rsid w:val="00387C0C"/>
    <w:rsid w:val="003A0086"/>
    <w:rsid w:val="003A1ABA"/>
    <w:rsid w:val="003B07D4"/>
    <w:rsid w:val="003B1FCF"/>
    <w:rsid w:val="003C6A1B"/>
    <w:rsid w:val="00472CE9"/>
    <w:rsid w:val="004843F1"/>
    <w:rsid w:val="004A25E7"/>
    <w:rsid w:val="004C0087"/>
    <w:rsid w:val="004D7030"/>
    <w:rsid w:val="004E79B5"/>
    <w:rsid w:val="004F3F38"/>
    <w:rsid w:val="00516BD4"/>
    <w:rsid w:val="00524054"/>
    <w:rsid w:val="00525A5D"/>
    <w:rsid w:val="00526259"/>
    <w:rsid w:val="005338A1"/>
    <w:rsid w:val="00534E0E"/>
    <w:rsid w:val="00546B84"/>
    <w:rsid w:val="005652E8"/>
    <w:rsid w:val="005774D1"/>
    <w:rsid w:val="005C6A23"/>
    <w:rsid w:val="005C7F4C"/>
    <w:rsid w:val="005F54DB"/>
    <w:rsid w:val="006019FF"/>
    <w:rsid w:val="0061343B"/>
    <w:rsid w:val="00620A2F"/>
    <w:rsid w:val="00623F54"/>
    <w:rsid w:val="0062576F"/>
    <w:rsid w:val="00634A12"/>
    <w:rsid w:val="00647F45"/>
    <w:rsid w:val="006666BF"/>
    <w:rsid w:val="00682549"/>
    <w:rsid w:val="00682B1B"/>
    <w:rsid w:val="006B3E53"/>
    <w:rsid w:val="006D5B3A"/>
    <w:rsid w:val="006D6832"/>
    <w:rsid w:val="006E5344"/>
    <w:rsid w:val="006E5687"/>
    <w:rsid w:val="00701B9A"/>
    <w:rsid w:val="00763B85"/>
    <w:rsid w:val="0076569B"/>
    <w:rsid w:val="0077072F"/>
    <w:rsid w:val="00797B5D"/>
    <w:rsid w:val="007A16A2"/>
    <w:rsid w:val="007A3093"/>
    <w:rsid w:val="007B5C27"/>
    <w:rsid w:val="007F5E4E"/>
    <w:rsid w:val="00807F34"/>
    <w:rsid w:val="00813E18"/>
    <w:rsid w:val="00814068"/>
    <w:rsid w:val="00830A6F"/>
    <w:rsid w:val="00833BB6"/>
    <w:rsid w:val="00841D94"/>
    <w:rsid w:val="00843CA7"/>
    <w:rsid w:val="00845E38"/>
    <w:rsid w:val="00850F22"/>
    <w:rsid w:val="00854416"/>
    <w:rsid w:val="00876CAA"/>
    <w:rsid w:val="00886B0E"/>
    <w:rsid w:val="008F1EC6"/>
    <w:rsid w:val="009022DD"/>
    <w:rsid w:val="009142F1"/>
    <w:rsid w:val="00932862"/>
    <w:rsid w:val="00950850"/>
    <w:rsid w:val="00966459"/>
    <w:rsid w:val="009733F8"/>
    <w:rsid w:val="009A050E"/>
    <w:rsid w:val="00A03984"/>
    <w:rsid w:val="00A31298"/>
    <w:rsid w:val="00A32A29"/>
    <w:rsid w:val="00A33246"/>
    <w:rsid w:val="00A35996"/>
    <w:rsid w:val="00A42911"/>
    <w:rsid w:val="00A503A1"/>
    <w:rsid w:val="00A62A83"/>
    <w:rsid w:val="00A816FB"/>
    <w:rsid w:val="00A92E3F"/>
    <w:rsid w:val="00AC2AF3"/>
    <w:rsid w:val="00AE2CB4"/>
    <w:rsid w:val="00B16236"/>
    <w:rsid w:val="00B173B0"/>
    <w:rsid w:val="00B4327E"/>
    <w:rsid w:val="00B43BA2"/>
    <w:rsid w:val="00B5296A"/>
    <w:rsid w:val="00B52F12"/>
    <w:rsid w:val="00B9495B"/>
    <w:rsid w:val="00BB1686"/>
    <w:rsid w:val="00BB35F5"/>
    <w:rsid w:val="00BC3175"/>
    <w:rsid w:val="00BC3653"/>
    <w:rsid w:val="00BC5407"/>
    <w:rsid w:val="00BD40A7"/>
    <w:rsid w:val="00BE0D96"/>
    <w:rsid w:val="00BE498D"/>
    <w:rsid w:val="00C0543D"/>
    <w:rsid w:val="00C269F4"/>
    <w:rsid w:val="00C3408D"/>
    <w:rsid w:val="00C67B94"/>
    <w:rsid w:val="00C74DDB"/>
    <w:rsid w:val="00C76884"/>
    <w:rsid w:val="00C845D6"/>
    <w:rsid w:val="00CA093D"/>
    <w:rsid w:val="00CA51F9"/>
    <w:rsid w:val="00CC4C50"/>
    <w:rsid w:val="00CD4708"/>
    <w:rsid w:val="00CF2E33"/>
    <w:rsid w:val="00D24320"/>
    <w:rsid w:val="00D37FAA"/>
    <w:rsid w:val="00D57ABB"/>
    <w:rsid w:val="00DB2708"/>
    <w:rsid w:val="00DC0BCD"/>
    <w:rsid w:val="00DE2F35"/>
    <w:rsid w:val="00E12A97"/>
    <w:rsid w:val="00E41F83"/>
    <w:rsid w:val="00E54405"/>
    <w:rsid w:val="00E62BBF"/>
    <w:rsid w:val="00E67701"/>
    <w:rsid w:val="00E70278"/>
    <w:rsid w:val="00E71190"/>
    <w:rsid w:val="00E76A8A"/>
    <w:rsid w:val="00E8325D"/>
    <w:rsid w:val="00E958B4"/>
    <w:rsid w:val="00EA070E"/>
    <w:rsid w:val="00EC6617"/>
    <w:rsid w:val="00EC67F4"/>
    <w:rsid w:val="00EE2AF4"/>
    <w:rsid w:val="00EE2ED0"/>
    <w:rsid w:val="00EE4AAC"/>
    <w:rsid w:val="00EE533A"/>
    <w:rsid w:val="00F03861"/>
    <w:rsid w:val="00F12BFC"/>
    <w:rsid w:val="00F238A8"/>
    <w:rsid w:val="00F552B7"/>
    <w:rsid w:val="00F573DC"/>
    <w:rsid w:val="00F61ED6"/>
    <w:rsid w:val="00F730FB"/>
    <w:rsid w:val="00F82CB2"/>
    <w:rsid w:val="00F843F5"/>
    <w:rsid w:val="00F8611D"/>
    <w:rsid w:val="00F931B6"/>
    <w:rsid w:val="00F94ED2"/>
    <w:rsid w:val="00F9531D"/>
    <w:rsid w:val="00F971ED"/>
    <w:rsid w:val="00FB65FD"/>
    <w:rsid w:val="00FD0E32"/>
    <w:rsid w:val="00FE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EE22D"/>
  <w15:docId w15:val="{99C68702-1663-CF44-8D8C-4406DA26B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6884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8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6884"/>
    <w:rPr>
      <w:rFonts w:ascii="Cambria" w:eastAsia="MS Mincho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76884"/>
  </w:style>
  <w:style w:type="paragraph" w:customStyle="1" w:styleId="EndNoteBibliography">
    <w:name w:val="EndNote Bibliography"/>
    <w:basedOn w:val="Normal"/>
    <w:rsid w:val="00C76884"/>
    <w:rPr>
      <w:rFonts w:ascii="Times New Roman" w:hAnsi="Times New Roman"/>
      <w:sz w:val="22"/>
      <w:lang w:val="en-US"/>
    </w:rPr>
  </w:style>
  <w:style w:type="paragraph" w:customStyle="1" w:styleId="EndNoteBibliographyTitle">
    <w:name w:val="EndNote Bibliography Title"/>
    <w:basedOn w:val="Normal"/>
    <w:link w:val="EndNoteBibliographyTitleZchn"/>
    <w:rsid w:val="00DE2F35"/>
    <w:pPr>
      <w:jc w:val="center"/>
    </w:pPr>
    <w:rPr>
      <w:rFonts w:ascii="Times New Roman" w:hAnsi="Times New Roman"/>
      <w:sz w:val="22"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DE2F35"/>
    <w:rPr>
      <w:rFonts w:ascii="Times New Roman" w:eastAsia="MS Mincho" w:hAnsi="Times New Roman" w:cs="Times New Roman"/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C4C5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C50"/>
    <w:rPr>
      <w:rFonts w:ascii="Cambria" w:eastAsia="MS Mincho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B0E"/>
    <w:rPr>
      <w:rFonts w:ascii="Tahoma" w:eastAsia="MS Mincho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B2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27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2708"/>
    <w:rPr>
      <w:rFonts w:ascii="Cambria" w:eastAsia="MS Mincho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2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2708"/>
    <w:rPr>
      <w:rFonts w:ascii="Cambria" w:eastAsia="MS Mincho" w:hAnsi="Cambria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33267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2235</Words>
  <Characters>12742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Kalyana Sundaram T.V</cp:lastModifiedBy>
  <cp:revision>19</cp:revision>
  <dcterms:created xsi:type="dcterms:W3CDTF">2021-12-15T09:19:00Z</dcterms:created>
  <dcterms:modified xsi:type="dcterms:W3CDTF">2022-04-06T06:20:00Z</dcterms:modified>
</cp:coreProperties>
</file>