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85A" w:rsidRDefault="00F05CFB">
      <w:pPr>
        <w:pStyle w:val="MDPI21heading1"/>
        <w:spacing w:line="360" w:lineRule="auto"/>
        <w:ind w:left="0" w:right="386"/>
        <w:rPr>
          <w:rFonts w:eastAsia="SimSun"/>
        </w:rPr>
      </w:pPr>
      <w:r>
        <w:rPr>
          <w:rFonts w:eastAsia="SimSun"/>
        </w:rPr>
        <w:t>Supplementary Information</w:t>
      </w:r>
    </w:p>
    <w:p w:rsidR="007A285A" w:rsidRDefault="00F05CFB">
      <w:pPr>
        <w:pStyle w:val="MDPI21heading1"/>
        <w:spacing w:line="360" w:lineRule="auto"/>
        <w:ind w:left="0" w:right="386"/>
        <w:rPr>
          <w:rFonts w:eastAsia="SimSun"/>
        </w:rPr>
      </w:pPr>
      <w:r>
        <w:rPr>
          <w:rFonts w:eastAsia="SimSun"/>
        </w:rPr>
        <w:t xml:space="preserve">The synergism of spatial metabolomics and </w:t>
      </w:r>
      <w:proofErr w:type="spellStart"/>
      <w:r>
        <w:rPr>
          <w:rFonts w:eastAsia="SimSun"/>
        </w:rPr>
        <w:t>morphometry</w:t>
      </w:r>
      <w:proofErr w:type="spellEnd"/>
      <w:r>
        <w:rPr>
          <w:rFonts w:eastAsia="SimSun"/>
        </w:rPr>
        <w:t xml:space="preserve"> improves machine learning based renal </w:t>
      </w:r>
      <w:proofErr w:type="spellStart"/>
      <w:r w:rsidR="006B29D2">
        <w:rPr>
          <w:rFonts w:eastAsia="SimSun"/>
        </w:rPr>
        <w:t>tumour</w:t>
      </w:r>
      <w:proofErr w:type="spellEnd"/>
      <w:r>
        <w:rPr>
          <w:rFonts w:eastAsia="SimSun"/>
        </w:rPr>
        <w:t xml:space="preserve"> subtype classification</w:t>
      </w:r>
    </w:p>
    <w:p w:rsidR="007A285A" w:rsidRDefault="00F05CFB">
      <w:pPr>
        <w:pStyle w:val="MDPI21heading1"/>
        <w:spacing w:line="276" w:lineRule="auto"/>
        <w:ind w:left="0" w:right="386"/>
        <w:rPr>
          <w:rFonts w:eastAsia="SimSun"/>
          <w:b w:val="0"/>
          <w:lang w:val="de-DE"/>
        </w:rPr>
      </w:pPr>
      <w:r>
        <w:rPr>
          <w:rFonts w:eastAsia="SimSun"/>
          <w:b w:val="0"/>
          <w:lang w:val="de-DE"/>
        </w:rPr>
        <w:t xml:space="preserve">Verena M. Prade, Na Sun,  Jian Shen, Annette Feuchtinger, Thomas Kunzke, Achim Buck, Peter Schraml, Holger </w:t>
      </w:r>
      <w:r>
        <w:rPr>
          <w:rFonts w:eastAsia="SimSun"/>
          <w:b w:val="0"/>
          <w:lang w:val="de-DE"/>
        </w:rPr>
        <w:t>Moch, Kristina Schwamborn, Michael Autenrieth, Jürgen E. Gschwend, Franziska Erlmeier, Arndt Hartmann, and Axel Walch</w:t>
      </w:r>
    </w:p>
    <w:p w:rsidR="007A285A" w:rsidRDefault="00F05CFB">
      <w:pPr>
        <w:pStyle w:val="MDPI21heading1"/>
        <w:spacing w:line="360" w:lineRule="auto"/>
        <w:ind w:left="0"/>
      </w:pPr>
      <w:r>
        <w:t>Patient tissues</w:t>
      </w:r>
      <w:bookmarkStart w:id="0" w:name="_GoBack"/>
      <w:bookmarkEnd w:id="0"/>
    </w:p>
    <w:p w:rsidR="007A285A" w:rsidRDefault="00F05CFB">
      <w:pPr>
        <w:pStyle w:val="MDPI31text"/>
        <w:spacing w:line="360" w:lineRule="auto"/>
        <w:ind w:left="0" w:firstLine="0"/>
      </w:pPr>
      <w:r>
        <w:t xml:space="preserve">Formalin fixed paraffin embedded (FFPE) renal </w:t>
      </w:r>
      <w:proofErr w:type="spellStart"/>
      <w:r w:rsidR="006B29D2">
        <w:t>tumour</w:t>
      </w:r>
      <w:proofErr w:type="spellEnd"/>
      <w:r>
        <w:t xml:space="preserve"> samples comprising 552 clear cell renal cell carcinoma (</w:t>
      </w:r>
      <w:proofErr w:type="spellStart"/>
      <w:r>
        <w:t>ccRCC</w:t>
      </w:r>
      <w:proofErr w:type="spellEnd"/>
      <w:r>
        <w:t>), 122 pa</w:t>
      </w:r>
      <w:r>
        <w:t>pillary renal cell carcinoma (</w:t>
      </w:r>
      <w:proofErr w:type="spellStart"/>
      <w:r>
        <w:t>pRCC</w:t>
      </w:r>
      <w:proofErr w:type="spellEnd"/>
      <w:r>
        <w:t xml:space="preserve">), 108 </w:t>
      </w:r>
      <w:proofErr w:type="spellStart"/>
      <w:r>
        <w:t>chromophobe</w:t>
      </w:r>
      <w:proofErr w:type="spellEnd"/>
      <w:r>
        <w:t xml:space="preserve"> renal cell carcinoma (</w:t>
      </w:r>
      <w:proofErr w:type="spellStart"/>
      <w:r>
        <w:t>chRCC</w:t>
      </w:r>
      <w:proofErr w:type="spellEnd"/>
      <w:r>
        <w:t xml:space="preserve">) and 71 renal </w:t>
      </w:r>
      <w:proofErr w:type="spellStart"/>
      <w:r>
        <w:t>oncocytoma</w:t>
      </w:r>
      <w:proofErr w:type="spellEnd"/>
      <w:r>
        <w:t xml:space="preserve"> (RO) were collected from the archives of the Department of Pathology and Molecular Pathology of the University Hospital Zurich (1993-2013) and of the </w:t>
      </w:r>
      <w:r>
        <w:t xml:space="preserve">Technical University of Munich (1996-2014). Tissue microarrays (TMAs) were constructed as described </w:t>
      </w:r>
      <w:r>
        <w:fldChar w:fldCharType="begin" w:fldLock="1"/>
      </w:r>
      <w:r>
        <w:instrText>ADDIN CSL_CITATION {"citationItems":[{"id":"ITEM-1","itemData":{"DOI":"10.1158/1078-0432.CCR-09-0260","ISSN":"10780432","PMID":"20028743","abstract":"Purpos</w:instrText>
      </w:r>
      <w:r>
        <w:instrText>e: Tumor stage and nuclear grade are the most important prognostic parameters of clear cell renal cell carcinoma (ccRCC). The progression risk of ccRCC remains difficult to predict particularly for tumors with organ-confined stage and intermediate differen</w:instrText>
      </w:r>
      <w:r>
        <w:instrText>tiation grade. Elucidating molecular pathways deregulated in ccRCC may point to novel prognostic parameters that facilitate planning of therapeutic approaches. Experimental Design: Using tissue microarrays, expression patterns of 15 different proteins were</w:instrText>
      </w:r>
      <w:r>
        <w:instrText xml:space="preserve"> evaluated in over 800 ccRCC patients to analyze pathways reported to be physiologically controlled by the tumor suppressors von Hippel-Lindau protein and phosphatase and tensin homologue (PTEN). Tumor staging and grading were improved by performing variab</w:instrText>
      </w:r>
      <w:r>
        <w:instrText>le selection using Cox regression and a recursive bootstrap elimination scheme. Results: Patients with pT2 and pT3 tumors that were p27 and CAIX positive had a better outcome than those with all remaining marker combinations. A prolonged survival among pat</w:instrText>
      </w:r>
      <w:r>
        <w:instrText>ients with intermediate grade (grade 2) correlated with both nuclear p27 and cytoplasmic PTEN expression, as well as with inactive, nonphosphorylated ribosomal protein S6. By applying graphical log-linear modeling for over 700 ccRCC for which the molecular</w:instrText>
      </w:r>
      <w:r>
        <w:instrText xml:space="preserve"> parameters were available, only a weak conditional dependence existed between the expression of p27, PTEN, CAIX, and p-S6, suggesting that the dysregulation of several independent pathways are crucial for tumor progression. Conclusions: The use of recursi</w:instrText>
      </w:r>
      <w:r>
        <w:instrText>ve bootstrap elimination, as well as graphical log-linear modeling for comprehensive tissue microarray (TMA) data analysis allows the unraveling of complex molecular contexts and may improve predictive evaluations for patients with advanced renal cancer. ©</w:instrText>
      </w:r>
      <w:r>
        <w:instrText>2010 AACR.","author":[{"dropping-particle":"","family":"Dahinden","given":"Corinne","non-dropping-particle":"","parse-names":false,"suffix":""},{"dropping-particle":"","family":"Ingold","given":"Barbara","non-dropping-particle":"","parse-names":false,"suff</w:instrText>
      </w:r>
      <w:r>
        <w:instrText>ix":""},{"dropping-particle":"","family":"Wild","given":"Peter","non-dropping-particle":"","parse-names":false,"suffix":""},{"dropping-particle":"","family":"Boysen","given":"Gunther","non-dropping-particle":"","parse-names":false,"suffix":""},{"dropping-p</w:instrText>
      </w:r>
      <w:r>
        <w:instrText>article":"","family":"Luu","given":"Van Duc","non-dropping-particle":"","parse-names":false,"suffix":""},{"dropping-particle":"","family":"Montani","given":"Matteo","non-dropping-particle":"","parse-names":false,"suffix":""},{"dropping-particle":"","family</w:instrText>
      </w:r>
      <w:r>
        <w:instrText>":"Kristiansen","given":"Glen","non-dropping-particle":"","parse-names":false,"suffix":""},{"dropping-particle":"","family":"Sulser","given":"Tullio","non-dropping-particle":"","parse-names":false,"suffix":""},{"dropping-particle":"","family":"Bühlmann","g</w:instrText>
      </w:r>
      <w:r>
        <w:instrText>iven":"Peter","non-dropping-particle":"","parse-names":false,"suffix":""},{"dropping-particle":"","family":"Moch","given":"Holger","non-dropping-particle":"","parse-names":false,"suffix":""},{"dropping-particle":"","family":"Schraml","given":"Peter","non-d</w:instrText>
      </w:r>
      <w:r>
        <w:instrText>ropping-particle":"","parse-names":false,"suffix":""}],"container-title":"Clinical Cancer Research","id":"ITEM-1","issue":"1","issued":{"date-parts":[["2010"]]},"page":"88-98","title":"Mining tissue microarray data to uncover combinations of biomarker expr</w:instrText>
      </w:r>
      <w:r>
        <w:instrText>ession patterns that improve intermediate staging and grading of clear cell renal cell cancer","type":"article-journal","volume":"16"},"uris":["http://www.mendeley.com/documents/?uuid=7a9327f4-c5cc-4a83-ad31-6c7f397efdc0"]},{"id":"ITEM-2","itemData":{"DOI"</w:instrText>
      </w:r>
      <w:r>
        <w:instrText>:"10.1007/s00418-015-1324-4","ISSN":"1432119X","PMID":"16546405","abstract":"An active area of neuroimaging research involves examining functional relationships between spatially remote brain regions. When determining whether two brain regions exhibit sign</w:instrText>
      </w:r>
      <w:r>
        <w:instrText>ificant correlation due to true functional connectivity, one must account for the background spatial correlation inherent in neuroimaging data. We define background correlation as spatiotemporal correlation in the data caused by factors other than neurophy</w:instrText>
      </w:r>
      <w:r>
        <w:instrText>siologically based functional associations such as scanner induced correlations and image preprocessing. We develop a 4D spatiotemporal wavelet packet resampling method which generates surrogate data that preserves only the average background spatial corre</w:instrText>
      </w:r>
      <w:r>
        <w:instrText>lation within an axial slice, across axial slices, and through each voxel time series, while excluding the specific correlations due to true functional relationships. We also extend an amplitude adjustment algorithm which adjusts our surrogate data to clos</w:instrText>
      </w:r>
      <w:r>
        <w:instrText xml:space="preserve">ely match the amplitude distribution of the original data. Our method improves upon existing wavelet-based methods and extends them to 4D. We apply our resampling technique to determine significant functional connectivity from resting state and motor task </w:instrText>
      </w:r>
      <w:r>
        <w:instrText>fMRI datasets","author":[{"dropping-particle":"","family":"Erlmeier","given":"Franziska","non-dropping-particle":"","parse-names":false,"suffix":""},{"dropping-particle":"","family":"Feuchtinger","given":"Annette","non-dropping-particle":"","parse-names":f</w:instrText>
      </w:r>
      <w:r>
        <w:instrText>alse,"suffix":""},{"dropping-particle":"","family":"Borgmann","given":"Daniela","non-dropping-particle":"","parse-names":false,"suffix":""},{"dropping-particle":"","family":"Rudelius","given":"Martina","non-dropping-particle":"","parse-names":false,"suffix</w:instrText>
      </w:r>
      <w:r>
        <w:instrText>":""},{"dropping-particle":"","family":"Autenrieth","given":"Michael","non-dropping-particle":"","parse-names":false,"suffix":""},{"dropping-particle":"","family":"Walch","given":"Axel Karl","non-dropping-particle":"","parse-names":false,"suffix":""},{"dro</w:instrText>
      </w:r>
      <w:r>
        <w:instrText>pping-particle":"","family":"Weirich","given":"Gregor","non-dropping-particle":"","parse-names":false,"suffix":""}],"container-title":"Histochemistry and Cell Biology","id":"ITEM-2","issue":"2","issued":{"date-parts":[["2015"]]},"page":"147-156","publisher</w:instrText>
      </w:r>
      <w:r>
        <w:instrText>":"Springer Berlin Heidelberg","title":"Supremacy of modern morphometry in typing renal oncocytoma and malignant look-alikes","type":"article-journal","volume":"144"},"uris":["http://www.mendeley.com/documents/?uuid=0e2a0fba-fe6b-4d3e-ae52-f866c490bdac"]}]</w:instrText>
      </w:r>
      <w:r>
        <w:instrText>,"mendeley":{"formattedCitation":"[1,2]","plainTextFormattedCitation":"[1,2]","previouslyFormattedCitation":"[2,14]"},"properties":{"noteIndex":0},"schema":"https://github.com/citation-style-language/schema/raw/master/csl-citation.json"}</w:instrText>
      </w:r>
      <w:r>
        <w:fldChar w:fldCharType="separate"/>
      </w:r>
      <w:r>
        <w:rPr>
          <w:noProof/>
        </w:rPr>
        <w:t>[1,2]</w:t>
      </w:r>
      <w:r>
        <w:fldChar w:fldCharType="end"/>
      </w:r>
      <w:r>
        <w:t>. Tissue cy</w:t>
      </w:r>
      <w:r>
        <w:t>linders with 0.6 mm (Zurich) and 1.0 mm (Munich) diameter were punched from morphologically representative regions of paraffin donor blocks.</w:t>
      </w:r>
    </w:p>
    <w:p w:rsidR="007A285A" w:rsidRDefault="00F05CFB">
      <w:pPr>
        <w:pStyle w:val="MDPI31text"/>
        <w:spacing w:line="360" w:lineRule="auto"/>
        <w:ind w:left="0" w:firstLine="0"/>
      </w:pPr>
      <w:r>
        <w:t>The study was approved by the Cantonal Ethics Committee of Zurich (BASEC-No_2019-01959) and the Ethics Committee of</w:t>
      </w:r>
      <w:r>
        <w:t xml:space="preserve"> the Technical University of Munich (384/13) in accordance with the Swiss/German Human Research Act and with the Declaration of Helsinki.</w:t>
      </w:r>
    </w:p>
    <w:p w:rsidR="007A285A" w:rsidRDefault="007A285A">
      <w:pPr>
        <w:pStyle w:val="MDPI31text"/>
        <w:spacing w:line="360" w:lineRule="auto"/>
        <w:ind w:left="0" w:firstLine="0"/>
      </w:pPr>
    </w:p>
    <w:p w:rsidR="007A285A" w:rsidRDefault="00F05CFB">
      <w:pPr>
        <w:pStyle w:val="MDPI31text"/>
        <w:spacing w:line="360" w:lineRule="auto"/>
        <w:ind w:left="0" w:firstLine="0"/>
      </w:pPr>
      <w:r>
        <w:rPr>
          <w:b/>
        </w:rPr>
        <w:t>MALDI mass spectrometry imaging</w:t>
      </w:r>
    </w:p>
    <w:p w:rsidR="007A285A" w:rsidRDefault="00F05CFB">
      <w:pPr>
        <w:pStyle w:val="MDPI31text"/>
        <w:spacing w:line="360" w:lineRule="auto"/>
        <w:ind w:left="0" w:firstLine="0"/>
        <w:rPr>
          <w:sz w:val="24"/>
          <w:szCs w:val="24"/>
        </w:rPr>
      </w:pPr>
      <w:r>
        <w:t>Tissue preparation steps for the high mass resolution matrix-assisted laser desorptio</w:t>
      </w:r>
      <w:r>
        <w:t xml:space="preserve">n/ionization (MALDI) </w:t>
      </w:r>
      <w:proofErr w:type="spellStart"/>
      <w:r>
        <w:t>fourier</w:t>
      </w:r>
      <w:proofErr w:type="spellEnd"/>
      <w:r>
        <w:t xml:space="preserve">-transform ion cyclotron resonance (FT-ICR) mass spectrometry imaging analysis was performed as previously described </w:t>
      </w:r>
      <w:r>
        <w:fldChar w:fldCharType="begin" w:fldLock="1"/>
      </w:r>
      <w:r>
        <w:instrText>ADDIN CSL_CITATION {"citationItems":[{"id":"ITEM-1","itemData":{"DOI":"10.1002/path.4560","ISBN":"1096-9896 (El</w:instrText>
      </w:r>
      <w:r>
        <w:instrText>ectronic)\\r0022-3417 (Linking)","ISSN":"10969896","PMID":"25965788","abstract":"We present the first analytical approach to demonstrate the in situ imaging of metabolites from formalin-fixed, paraffin-embedded (FFPE) human tissue samples. Using high-resol</w:instrText>
      </w:r>
      <w:r>
        <w:instrText>ution matrix-assisted laser desorption/ionization Fourier-transform ion cyclotron resonance mass spectrometry imaging (MALDI-FT-ICR MSI), we conducted a proof-of-principle experiment comparing metabolite measurements from FFPE and fresh frozen tissue secti</w:instrText>
      </w:r>
      <w:r>
        <w:instrText>ons, and found an overlap of 72% amongst 1700 m/z species. In particular, we observed conservation of biomedically relevant information at the metabolite level in FFPE tissues. In biomedical applications, we analysed tissues from 350 different cancer patie</w:instrText>
      </w:r>
      <w:r>
        <w:instrText>nts and were able to discriminate between normal and tumour tissues, and different tumours from the same organ, and found an independent prognostic factor for patient survival. This study demonstrates the ability to measure metabolites in FFPE tissues usin</w:instrText>
      </w:r>
      <w:r>
        <w:instrText>g MALDI-FT-ICR MSI, which can then be assigned to histology and clinical parameters. Our approach is a major technical, histochemical, and clinicopathological advance that highlights the potential for investigating diseases in archived FFPE tissues.","auth</w:instrText>
      </w:r>
      <w:r>
        <w:instrText>or":[{"dropping-particle":"","family":"Buck","given":"Achim","non-dropping-particle":"","parse-names":false,"suffix":""},{"dropping-particle":"","family":"Ly","given":"Alice","non-dropping-particle":"","parse-names":false,"suffix":""},{"dropping-particle":</w:instrText>
      </w:r>
      <w:r>
        <w:instrText>"","family":"Balluff","given":"Benjamin","non-dropping-particle":"","parse-names":false,"suffix":""},{"dropping-particle":"","family":"Sun","given":"Na","non-dropping-particle":"","parse-names":false,"suffix":""},{"dropping-particle":"","family":"Gorzolka"</w:instrText>
      </w:r>
      <w:r>
        <w:instrText>,"given":"Karin","non-dropping-particle":"","parse-names":false,"suffix":""},{"dropping-particle":"","family":"Feuchtinger","given":"Annette","non-dropping-particle":"","parse-names":false,"suffix":""},{"dropping-particle":"","family":"Janssen","given":"Kl</w:instrText>
      </w:r>
      <w:r>
        <w:instrText>aus Peter","non-dropping-particle":"","parse-names":false,"suffix":""},{"dropping-particle":"","family":"Kuppen","given":"Peter J.K.","non-dropping-particle":"","parse-names":false,"suffix":""},{"dropping-particle":"","family":"Velde","given":"Cornelis J.H</w:instrText>
      </w:r>
      <w:r>
        <w:instrText>.","non-dropping-particle":"Van De","parse-names":false,"suffix":""},{"dropping-particle":"","family":"Weirich","given":"Gregor","non-dropping-particle":"","parse-names":false,"suffix":""},{"dropping-particle":"","family":"Erlmeier","given":"Franziska","no</w:instrText>
      </w:r>
      <w:r>
        <w:instrText>n-dropping-particle":"","parse-names":false,"suffix":""},{"dropping-particle":"","family":"Langer","given":"Rupert","non-dropping-particle":"","parse-names":false,"suffix":""},{"dropping-particle":"","family":"Aubele","given":"Michaela","non-dropping-parti</w:instrText>
      </w:r>
      <w:r>
        <w:instrText>cle":"","parse-names":false,"suffix":""},{"dropping-particle":"","family":"Zitzelsberger","given":"Horst","non-dropping-particle":"","parse-names":false,"suffix":""},{"dropping-particle":"","family":"Aichler","given":"Michaela","non-dropping-particle":"","</w:instrText>
      </w:r>
      <w:r>
        <w:instrText>parse-names":false,"suffix":""},{"dropping-particle":"","family":"Walch","given":"Axel","non-dropping-particle":"","parse-names":false,"suffix":""}],"container-title":"Journal of Pathology","id":"ITEM-1","issued":{"date-parts":[["2015"]]},"note":"1. AAP Pr</w:instrText>
      </w:r>
      <w:r>
        <w:instrText>otokoll, mit dem erstmalig die Analyse von Metaboliten in FFPE Geweben möglich ist (klinische Studien)","page":"123-132","title":"High-resolution MALDI-FT-ICR MS imaging for the analysis of metabolites from formalin-fixed, paraffin-embedded clinical tissue</w:instrText>
      </w:r>
      <w:r>
        <w:instrText xml:space="preserve"> samples","type":"article-journal","volume":"237"},"uris":["http://www.mendeley.com/documents/?uuid=6d317dd3-96ab-4767-a465-23b7d577dfb6"]},{"id":"ITEM-2","itemData":{"DOI":"10.1038/nprot.2016.081","ISSN":"17502799","abstract":"Formalin-fixed and paraffin-</w:instrText>
      </w:r>
      <w:r>
        <w:instrText xml:space="preserve">embedded (FFPE) tissue specimens are the gold standard for histological examination, and they provide valuable molecular information in tissue-based research. Metabolite assessment from archived tissue samples has not been extensively conducted because of </w:instrText>
      </w:r>
      <w:r>
        <w:instrText>a lack of appropriate protocols and concerns about changes in metabolite content or chemical state due to tissue processing. We present a protocol for the in situ analysis of metabolite content from FFPE samples using a high-mass-resolution matrix-assisted</w:instrText>
      </w:r>
      <w:r>
        <w:instrText xml:space="preserve"> laser desorption/ionization fourier-transform ion cyclotron resonance mass spectrometry imaging (MALDI-FT-ICR-MSI) platform. The method involves FFPE tissue sections that undergo deparaffinization and matrix coating by 9-aminoacridine before MALDI-MSI. Us</w:instrText>
      </w:r>
      <w:r>
        <w:instrText>ing this platform, we previously detected â 1/41,500 m/z species in the mass range m/z 50-1,000 in FFPE samples; the overlap compared with fresh frozen samples is 72% of m/z species, indicating that metabolites are largely conserved in FFPE tissue samples.</w:instrText>
      </w:r>
      <w:r>
        <w:instrText xml:space="preserve"> This protocol can be reproducibly performed on FFPE tissues, including small samples such as tissue microarrays and biopsies. The procedure can be completed in a day, depending on the size of the sample measured and raster size used. Advantages of this ap</w:instrText>
      </w:r>
      <w:r>
        <w:instrText>proach include easy sample handling, reproducibility, high throughput and the ability to demonstrate molecular spatial distributions in situ. The data acquired with this protocol can be used in research and clinical practice.","author":[{"dropping-particle</w:instrText>
      </w:r>
      <w:r>
        <w:instrText>":"","family":"Ly","given":"Alice","non-dropping-particle":"","parse-names":false,"suffix":""},{"dropping-particle":"","family":"Buck","given":"Achim","non-dropping-particle":"","parse-names":false,"suffix":""},{"dropping-particle":"","family":"Balluff","g</w:instrText>
      </w:r>
      <w:r>
        <w:instrText>iven":"Benjamin","non-dropping-particle":"","parse-names":false,"suffix":""},{"dropping-particle":"","family":"Sun","given":"Na","non-dropping-particle":"","parse-names":false,"suffix":""},{"dropping-particle":"","family":"Gorzolka","given":"Karin","non-dr</w:instrText>
      </w:r>
      <w:r>
        <w:instrText>opping-particle":"","parse-names":false,"suffix":""},{"dropping-particle":"","family":"Feuchtinger","given":"Annette","non-dropping-particle":"","parse-names":false,"suffix":""},{"dropping-particle":"","family":"Janssen","given":"Klaus Peter","non-dropping</w:instrText>
      </w:r>
      <w:r>
        <w:instrText>-particle":"","parse-names":false,"suffix":""},{"dropping-particle":"","family":"Kuppen","given":"Peter J.K.","non-dropping-particle":"","parse-names":false,"suffix":""},{"dropping-particle":"","family":"Velde","given":"Cornelis J.H.","non-dropping-particl</w:instrText>
      </w:r>
      <w:r>
        <w:instrText>e":"Van De","parse-names":false,"suffix":""},{"dropping-particle":"","family":"Weirich","given":"Gregor","non-dropping-particle":"","parse-names":false,"suffix":""},{"dropping-particle":"","family":"Erlmeier","given":"Franziska","non-dropping-particle":"",</w:instrText>
      </w:r>
      <w:r>
        <w:instrText>"parse-names":false,"suffix":""},{"dropping-particle":"","family":"Langer","given":"Rupert","non-dropping-particle":"","parse-names":false,"suffix":""},{"dropping-particle":"","family":"Aubele","given":"Michaela","non-dropping-particle":"","parse-names":fa</w:instrText>
      </w:r>
      <w:r>
        <w:instrText>lse,"suffix":""},{"dropping-particle":"","family":"Zitzelsberger","given":"Horst","non-dropping-particle":"","parse-names":false,"suffix":""},{"dropping-particle":"","family":"McDonnell","given":"Liam","non-dropping-particle":"","parse-names":false,"suffix</w:instrText>
      </w:r>
      <w:r>
        <w:instrText>":""},{"dropping-particle":"","family":"Aichler","given":"Michaela","non-dropping-particle":"","parse-names":false,"suffix":""},{"dropping-particle":"","family":"Walch","given":"Axel","non-dropping-particle":"","parse-names":false,"suffix":""}],"container-</w:instrText>
      </w:r>
      <w:r>
        <w:instrText>title":"Nature Protocols","id":"ITEM-2","issue":"8","issued":{"date-parts":[["2016"]]},"page":"1428-1443","publisher":"Nature Publishing Group","title":"High-mass-resolution MALDI mass spectrometry imaging of metabolites from formalin-fixed paraffin-embedd</w:instrText>
      </w:r>
      <w:r>
        <w:instrText>ed tissue","type":"article-journal","volume":"11"},"uris":["http://www.mendeley.com/documents/?uuid=9e0553de-a72b-4ecd-96b2-bada6ae263d7"]}],"mendeley":{"formattedCitation":"[3,4]","plainTextFormattedCitation":"[3,4]","previouslyFormattedCitation":"[6,15]"</w:instrText>
      </w:r>
      <w:r>
        <w:instrText>},"properties":{"noteIndex":0},"schema":"https://github.com/citation-style-language/schema/raw/master/csl-citation.json"}</w:instrText>
      </w:r>
      <w:r>
        <w:fldChar w:fldCharType="separate"/>
      </w:r>
      <w:r>
        <w:rPr>
          <w:noProof/>
        </w:rPr>
        <w:t>[3,4]</w:t>
      </w:r>
      <w:r>
        <w:fldChar w:fldCharType="end"/>
      </w:r>
      <w:r>
        <w:t>. In brief, FFPE TMAs were sectioned with 4 µm (</w:t>
      </w:r>
      <w:proofErr w:type="spellStart"/>
      <w:r>
        <w:t>Microm</w:t>
      </w:r>
      <w:proofErr w:type="spellEnd"/>
      <w:r>
        <w:t xml:space="preserve">, HM340E, Thermo Fisher Scientific, </w:t>
      </w:r>
      <w:proofErr w:type="gramStart"/>
      <w:r>
        <w:t>USA</w:t>
      </w:r>
      <w:proofErr w:type="gramEnd"/>
      <w:r>
        <w:t>) and mounted onto indium-tin-oxid</w:t>
      </w:r>
      <w:r>
        <w:t>e (ITO)-coated glass slides (</w:t>
      </w:r>
      <w:proofErr w:type="spellStart"/>
      <w:r>
        <w:t>Bruker</w:t>
      </w:r>
      <w:proofErr w:type="spellEnd"/>
      <w:r>
        <w:t xml:space="preserve"> </w:t>
      </w:r>
      <w:proofErr w:type="spellStart"/>
      <w:r>
        <w:t>Daltonik</w:t>
      </w:r>
      <w:proofErr w:type="spellEnd"/>
      <w:r>
        <w:t xml:space="preserve">, Bremen, Germany) pretreated with 1:1 poly-L-lysine (Sigma Aldrich, Munich, Germany) and 0.1% </w:t>
      </w:r>
      <w:proofErr w:type="spellStart"/>
      <w:r>
        <w:t>Nonidet</w:t>
      </w:r>
      <w:proofErr w:type="spellEnd"/>
      <w:r>
        <w:t xml:space="preserve"> P-40 (Sigma-Aldrich). Prior to MALDI matrix application, 10 mg/ml 9-aminoacridine hydrochloride monohydrate m</w:t>
      </w:r>
      <w:r>
        <w:t xml:space="preserve">atrix (Sigma-Aldrich) in 70% methanol, FFPE sections were adhered by incubating the slide for 1 h at 70°C, </w:t>
      </w:r>
      <w:proofErr w:type="spellStart"/>
      <w:r>
        <w:t>deparaffinized</w:t>
      </w:r>
      <w:proofErr w:type="spellEnd"/>
      <w:r>
        <w:t xml:space="preserve"> in xylene (2 x 8 min), and air-dried. Spray-coating of the matrix was conducted using the </w:t>
      </w:r>
      <w:proofErr w:type="spellStart"/>
      <w:r>
        <w:t>SunCollectTM</w:t>
      </w:r>
      <w:proofErr w:type="spellEnd"/>
      <w:r>
        <w:t xml:space="preserve"> sprayer (</w:t>
      </w:r>
      <w:proofErr w:type="spellStart"/>
      <w:r>
        <w:t>Sunchrom</w:t>
      </w:r>
      <w:proofErr w:type="spellEnd"/>
      <w:r>
        <w:t xml:space="preserve">, </w:t>
      </w:r>
      <w:proofErr w:type="spellStart"/>
      <w:r>
        <w:t>Friedrichsdo</w:t>
      </w:r>
      <w:r>
        <w:t>rf</w:t>
      </w:r>
      <w:proofErr w:type="spellEnd"/>
      <w:r>
        <w:t>, Germany) in eight passes (ascending flow rates 10 µl/min, 20 µl/min, 30 µl/min for layers 1-3, and layers 4-8 with 40 µl/min), utilizing 2 mm line distance and a spray velocity of 900 mm/min. </w:t>
      </w:r>
    </w:p>
    <w:p w:rsidR="007A285A" w:rsidRDefault="00F05CFB">
      <w:pPr>
        <w:pStyle w:val="MDPI31text"/>
        <w:spacing w:line="360" w:lineRule="auto"/>
        <w:ind w:left="0" w:firstLine="0"/>
        <w:rPr>
          <w:sz w:val="24"/>
          <w:szCs w:val="24"/>
        </w:rPr>
      </w:pPr>
      <w:r>
        <w:lastRenderedPageBreak/>
        <w:t xml:space="preserve">Metabolites were detected in negative-ion mode on a 7 T </w:t>
      </w:r>
      <w:proofErr w:type="spellStart"/>
      <w:r>
        <w:t>Sol</w:t>
      </w:r>
      <w:r>
        <w:t>arix</w:t>
      </w:r>
      <w:proofErr w:type="spellEnd"/>
      <w:r>
        <w:t xml:space="preserve"> XR FT-ICR mass spectrometer (</w:t>
      </w:r>
      <w:proofErr w:type="spellStart"/>
      <w:r>
        <w:t>Bruker</w:t>
      </w:r>
      <w:proofErr w:type="spellEnd"/>
      <w:r>
        <w:t xml:space="preserve"> </w:t>
      </w:r>
      <w:proofErr w:type="spellStart"/>
      <w:r>
        <w:t>Daltonik</w:t>
      </w:r>
      <w:proofErr w:type="spellEnd"/>
      <w:r>
        <w:t xml:space="preserve">) equipped with a dual ESI-MALDI source and a </w:t>
      </w:r>
      <w:proofErr w:type="spellStart"/>
      <w:r>
        <w:t>SmartBeam</w:t>
      </w:r>
      <w:proofErr w:type="spellEnd"/>
      <w:r>
        <w:t xml:space="preserve">-II </w:t>
      </w:r>
      <w:proofErr w:type="spellStart"/>
      <w:r>
        <w:t>Nd</w:t>
      </w:r>
      <w:proofErr w:type="spellEnd"/>
      <w:r>
        <w:t xml:space="preserve">: YAG (355 nm) laser. Data acquisition parameters were specified in </w:t>
      </w:r>
      <w:proofErr w:type="spellStart"/>
      <w:r>
        <w:t>ftmsControl</w:t>
      </w:r>
      <w:proofErr w:type="spellEnd"/>
      <w:r>
        <w:t xml:space="preserve"> software 2.2 and </w:t>
      </w:r>
      <w:proofErr w:type="spellStart"/>
      <w:r>
        <w:t>flexImaging</w:t>
      </w:r>
      <w:proofErr w:type="spellEnd"/>
      <w:r>
        <w:t xml:space="preserve"> (v. 5.0) (</w:t>
      </w:r>
      <w:proofErr w:type="spellStart"/>
      <w:r>
        <w:t>Bruker</w:t>
      </w:r>
      <w:proofErr w:type="spellEnd"/>
      <w:r>
        <w:t xml:space="preserve"> </w:t>
      </w:r>
      <w:proofErr w:type="spellStart"/>
      <w:r>
        <w:t>Daltonik</w:t>
      </w:r>
      <w:proofErr w:type="spellEnd"/>
      <w:r>
        <w:t>). Mass spec</w:t>
      </w:r>
      <w:r>
        <w:t>tra were acquired in negative-ion mode covering m/z 75-1,000. For internal mass calibration, the 9-AA matrix ion signal (m/</w:t>
      </w:r>
      <w:r>
        <w:rPr>
          <w:color w:val="auto"/>
        </w:rPr>
        <w:t xml:space="preserve">z 193.0771) </w:t>
      </w:r>
      <w:r>
        <w:t>was used as lock mass minimizing scan-to-scan (pixel-to-pixel) variations during the MALDI measurement. The laser operate</w:t>
      </w:r>
      <w:r>
        <w:t xml:space="preserve">d at a frequency of 1,000 Hz utilizing 200 laser shots per pixel with a pixel </w:t>
      </w:r>
      <w:r>
        <w:rPr>
          <w:color w:val="auto"/>
        </w:rPr>
        <w:t xml:space="preserve">resolution of 60 µm. </w:t>
      </w:r>
      <w:r>
        <w:t>External calibration of the instrument was performed with L-Arginine in the ESI mode.</w:t>
      </w:r>
    </w:p>
    <w:p w:rsidR="007A285A" w:rsidRDefault="00F05CFB">
      <w:pPr>
        <w:pStyle w:val="MDPI31text"/>
        <w:spacing w:line="360" w:lineRule="auto"/>
        <w:ind w:left="0" w:firstLine="0"/>
      </w:pPr>
      <w:r>
        <w:t xml:space="preserve">MALDI mass spectra were root mean square normalized with </w:t>
      </w:r>
      <w:proofErr w:type="spellStart"/>
      <w:r>
        <w:t>SCiLS</w:t>
      </w:r>
      <w:proofErr w:type="spellEnd"/>
      <w:r>
        <w:t xml:space="preserve"> (v. 2020</w:t>
      </w:r>
      <w:r>
        <w:t xml:space="preserve">b Pro) and picked peaks were exported as </w:t>
      </w:r>
      <w:proofErr w:type="spellStart"/>
      <w:r>
        <w:t>imzML</w:t>
      </w:r>
      <w:proofErr w:type="spellEnd"/>
      <w:r>
        <w:t xml:space="preserve"> files for further data processing and subsequent analysis with the </w:t>
      </w:r>
      <w:proofErr w:type="spellStart"/>
      <w:r>
        <w:t>SPACiAL</w:t>
      </w:r>
      <w:proofErr w:type="spellEnd"/>
      <w:r>
        <w:t xml:space="preserve"> pipeline </w:t>
      </w:r>
      <w:r>
        <w:fldChar w:fldCharType="begin" w:fldLock="1"/>
      </w:r>
      <w:r>
        <w:instrText>ADDIN CSL_CITATION {"citationItems":[{"id":"ITEM-1","itemData":{"DOI":"10.1016/j.molmet.2020.01.017","ISSN":"2212-8778","PMID</w:instrText>
      </w:r>
      <w:r>
        <w:instrText xml:space="preserve">":"32278304","abstract":"BACKGROUND Imaging mass spectrometry enables in situ label-free detection of thousands of metabolites from intact tissue samples. However, automated steps for multi-omics analyses and interpretation of histological images have not </w:instrText>
      </w:r>
      <w:r>
        <w:instrText>yet been implemented in mass spectrometry data analysis workflows. The characterization of molecular properties within cellular and histological features is done via time-consuming, non-objective, and irreproducible definitions of regions of interest, whic</w:instrText>
      </w:r>
      <w:r>
        <w:instrText>h are often accompanied by a loss of spatial resolution due to mass spectra averaging. METHODS We developed a new imaging pipeline called Spatial Correlation Image Analysis (SPACiAL), which is a computational multimodal workflow designed to combine molecul</w:instrText>
      </w:r>
      <w:r>
        <w:instrText>ar imaging data with multiplex immunohistochemistry (IHC). SPACiAL allows comprehensive and spatially resolved in situ correlation analyses on a cellular resolution. To demonstrate the method, matrix-assisted laser desorption-ionization (MALDI) Fourier-tra</w:instrText>
      </w:r>
      <w:r>
        <w:instrText>nsform ion cyclotron resonance (FTICR) imaging mass spectrometry of metabolites and multiplex IHC staining were performed on the very same tissue section of mouse pancreatic islets and on human gastric cancer tissue specimens. The SPACiAL pipeline was used</w:instrText>
      </w:r>
      <w:r>
        <w:instrText xml:space="preserve"> to perform an automatic, semantic-based, functional tissue annotation of histological and cellular features to identify metabolic profiles. Spatial correlation networks were generated to analyze metabolic heterogeneity associated with cellular features. R</w:instrText>
      </w:r>
      <w:r>
        <w:instrText>ESULTS To demonstrate the new method, the SPACiAL pipeline was used to identify metabolic signatures of alpha and beta cells within islets of Langerhans, which are cell types that are not distinguishable via morphology alone. The semantic-based, functional</w:instrText>
      </w:r>
      <w:r>
        <w:instrText xml:space="preserve"> tissue annotation allows an unprecedented analysis of metabolic heterogeneity via the generation of spatial correlation networks. Additionally, we demonstrated intra- and intertumoral metabolic heterogeneity within HER2/neu-positive and -negative gastric </w:instrText>
      </w:r>
      <w:r>
        <w:instrText>tumor cells. CONCLUSIONS We developed the SPACiAL workflow to provide IHC-guided in situ metabolomics on intact tissue sections. Diminishing the workload by automated recognition of histological and functional features, the pipeline allows comprehensive an</w:instrText>
      </w:r>
      <w:r>
        <w:instrText>alyses of metabolic heterogeneity. The multimodality of immunohistochemical staining and extensive molecular information from imaging mass spectrometry has the advantage of increasing both the efficiency and precision …","author":[{"dropping-particle":"","</w:instrText>
      </w:r>
      <w:r>
        <w:instrText>family":"Prade","given":"Verena M","non-dropping-particle":"","parse-names":false,"suffix":""},{"dropping-particle":"","family":"Kunzke","given":"Thomas","non-dropping-particle":"","parse-names":false,"suffix":""},{"dropping-particle":"","family":"Feuchtin</w:instrText>
      </w:r>
      <w:r>
        <w:instrText>ger","given":"Annette","non-dropping-particle":"","parse-names":false,"suffix":""},{"dropping-particle":"","family":"Rohm","given":"Maria","non-dropping-particle":"","parse-names":false,"suffix":""},{"dropping-particle":"","family":"Luber","given":"Birgit"</w:instrText>
      </w:r>
      <w:r>
        <w:instrText>,"non-dropping-particle":"","parse-names":false,"suffix":""},{"dropping-particle":"","family":"Lordick","given":"Florian","non-dropping-particle":"","parse-names":false,"suffix":""},{"dropping-particle":"","family":"Buck","given":"Achim","non-dropping-part</w:instrText>
      </w:r>
      <w:r>
        <w:instrText>icle":"","parse-names":false,"suffix":""},{"dropping-particle":"","family":"Walch","given":"Axel","non-dropping-particle":"","parse-names":false,"suffix":""}],"container-title":"Molecular metabolism","id":"ITEM-1","issued":{"date-parts":[["2020","6"]]},"pa</w:instrText>
      </w:r>
      <w:r>
        <w:instrText>ge":"100953","title":"De novo discovery of metabolic heterogeneity with immunophenotype-guided imaging mass spectrometry.","type":"article-journal","volume":"36"},"uris":["http://www.mendeley.com/documents/?uuid=1d620916-9f64-4cb8-9aa6-da9e911dbea9"]}],"me</w:instrText>
      </w:r>
      <w:r>
        <w:instrText>ndeley":{"formattedCitation":"[5]","plainTextFormattedCitation":"[5]","previouslyFormattedCitation":"[10]"},"properties":{"noteIndex":0},"schema":"https://github.com/citation-style-language/schema/raw/master/csl-citation.json"}</w:instrText>
      </w:r>
      <w:r>
        <w:fldChar w:fldCharType="separate"/>
      </w:r>
      <w:r>
        <w:t>[5]</w:t>
      </w:r>
      <w:r>
        <w:fldChar w:fldCharType="end"/>
      </w:r>
      <w:r>
        <w:t xml:space="preserve">. </w:t>
      </w:r>
      <w:proofErr w:type="spellStart"/>
      <w:r>
        <w:t>Hematoxylin</w:t>
      </w:r>
      <w:proofErr w:type="spellEnd"/>
      <w:r>
        <w:t xml:space="preserve"> &amp; eosin (</w:t>
      </w:r>
      <w:r>
        <w:t xml:space="preserve">H&amp;E) </w:t>
      </w:r>
      <w:proofErr w:type="spellStart"/>
      <w:r>
        <w:t>stainings</w:t>
      </w:r>
      <w:proofErr w:type="spellEnd"/>
      <w:r>
        <w:t xml:space="preserve"> of the same tissue sections were registered to the MALDI data and regions of interest (</w:t>
      </w:r>
      <w:proofErr w:type="spellStart"/>
      <w:r w:rsidR="006B29D2">
        <w:t>tumour</w:t>
      </w:r>
      <w:proofErr w:type="spellEnd"/>
      <w:r>
        <w:t xml:space="preserve">) were annotated based on these </w:t>
      </w:r>
      <w:proofErr w:type="spellStart"/>
      <w:r>
        <w:t>stainings</w:t>
      </w:r>
      <w:proofErr w:type="spellEnd"/>
      <w:r>
        <w:t xml:space="preserve">. The MALDI mass spectra were then root mean square normalized with </w:t>
      </w:r>
      <w:proofErr w:type="spellStart"/>
      <w:r>
        <w:t>SCiLS</w:t>
      </w:r>
      <w:proofErr w:type="spellEnd"/>
      <w:r>
        <w:t xml:space="preserve"> (v. 2020b Pro) and exported. Peak </w:t>
      </w:r>
      <w:r>
        <w:t xml:space="preserve">picking and image co-registration was performed pixel-wise as previously described [5]. Briefly, for peak picking, the </w:t>
      </w:r>
      <w:proofErr w:type="spellStart"/>
      <w:r>
        <w:t>Bruker</w:t>
      </w:r>
      <w:proofErr w:type="spellEnd"/>
      <w:r>
        <w:t xml:space="preserve"> software </w:t>
      </w:r>
      <w:proofErr w:type="spellStart"/>
      <w:r>
        <w:t>SCiLS</w:t>
      </w:r>
      <w:proofErr w:type="spellEnd"/>
      <w:r>
        <w:t xml:space="preserve"> (v. 2020b Pro) was used to export all root mean square normalized mass spectra as processed </w:t>
      </w:r>
      <w:proofErr w:type="spellStart"/>
      <w:r>
        <w:t>imzML</w:t>
      </w:r>
      <w:proofErr w:type="spellEnd"/>
      <w:r>
        <w:t xml:space="preserve"> files. Pixel-wise</w:t>
      </w:r>
      <w:r>
        <w:t xml:space="preserve"> and parallelized peak picking were performed and resampled with an in-house python 3 pipeline. Noise levels were estimated for windows of 10 Da, and all peaks falling below their respective noise level were filtered. Finally, peaks within each spectrum we</w:t>
      </w:r>
      <w:r>
        <w:t xml:space="preserve">re merged and aligned. </w:t>
      </w:r>
      <w:r>
        <w:rPr>
          <w:snapToGrid/>
        </w:rPr>
        <w:t xml:space="preserve">For image co-registration, the </w:t>
      </w:r>
      <w:proofErr w:type="spellStart"/>
      <w:r>
        <w:rPr>
          <w:snapToGrid/>
        </w:rPr>
        <w:t>imzML</w:t>
      </w:r>
      <w:proofErr w:type="spellEnd"/>
      <w:r>
        <w:rPr>
          <w:snapToGrid/>
        </w:rPr>
        <w:t xml:space="preserve"> file of picked peaks was used to create a master image of the MALDI measurement region (</w:t>
      </w:r>
      <w:proofErr w:type="spellStart"/>
      <w:r>
        <w:rPr>
          <w:snapToGrid/>
        </w:rPr>
        <w:t>imzML</w:t>
      </w:r>
      <w:proofErr w:type="spellEnd"/>
      <w:r>
        <w:rPr>
          <w:snapToGrid/>
        </w:rPr>
        <w:t>-grid), allowing an exact integration and correlation of molecular MALDI data with morphology data. The</w:t>
      </w:r>
      <w:r>
        <w:rPr>
          <w:snapToGrid/>
        </w:rPr>
        <w:t xml:space="preserve"> integration of mass spectra and image data is done by co-registering the subsequently scanned tissue to MALDI imaging mass spectrometry and mapping the matrix ablation marks to the </w:t>
      </w:r>
      <w:proofErr w:type="spellStart"/>
      <w:r>
        <w:rPr>
          <w:snapToGrid/>
        </w:rPr>
        <w:t>imzML</w:t>
      </w:r>
      <w:proofErr w:type="spellEnd"/>
      <w:r>
        <w:rPr>
          <w:snapToGrid/>
        </w:rPr>
        <w:t>-grid. For classifier training and evaluation, regions of interest (</w:t>
      </w:r>
      <w:proofErr w:type="spellStart"/>
      <w:r w:rsidR="006B29D2">
        <w:rPr>
          <w:snapToGrid/>
        </w:rPr>
        <w:t>tumour</w:t>
      </w:r>
      <w:proofErr w:type="spellEnd"/>
      <w:r>
        <w:rPr>
          <w:snapToGrid/>
        </w:rPr>
        <w:t xml:space="preserve">) were annotated based on H&amp;E </w:t>
      </w:r>
      <w:proofErr w:type="spellStart"/>
      <w:r>
        <w:rPr>
          <w:snapToGrid/>
        </w:rPr>
        <w:t>stainings</w:t>
      </w:r>
      <w:proofErr w:type="spellEnd"/>
      <w:r>
        <w:rPr>
          <w:snapToGrid/>
        </w:rPr>
        <w:t xml:space="preserve">. Mean peak intensities of </w:t>
      </w:r>
      <w:proofErr w:type="spellStart"/>
      <w:r w:rsidR="006B29D2">
        <w:rPr>
          <w:snapToGrid/>
        </w:rPr>
        <w:t>tumour</w:t>
      </w:r>
      <w:proofErr w:type="spellEnd"/>
      <w:r>
        <w:rPr>
          <w:snapToGrid/>
        </w:rPr>
        <w:t xml:space="preserve"> regions were calculated for each patient and used for classifier training. </w:t>
      </w:r>
      <w:r>
        <w:t xml:space="preserve">Peak annotation was performed using HMDB </w:t>
      </w:r>
      <w:r>
        <w:fldChar w:fldCharType="begin" w:fldLock="1"/>
      </w:r>
      <w:r>
        <w:instrText>ADDIN CSL_CITATION {"citationItems":[{"id":"ITEM-1","itemData":{</w:instrText>
      </w:r>
      <w:r>
        <w:instrText>"DOI":"10.1093/nar/gkx1089","author":[{"dropping-particle":"","family":"Wishart","given":"David S","non-dropping-particle":"","parse-names":false,"suffix":""},{"dropping-particle":"","family":"Feunang","given":"Yannick Djoumbou","non-dropping-particle":"",</w:instrText>
      </w:r>
      <w:r>
        <w:instrText>"parse-names":false,"suffix":""},{"dropping-particle":"","family":"Marcu","given":"Ana","non-dropping-particle":"","parse-names":false,"suffix":""},{"dropping-particle":"","family":"Guo","given":"An Chi","non-dropping-particle":"","parse-names":false,"suff</w:instrText>
      </w:r>
      <w:r>
        <w:instrText>ix":""},{"dropping-particle":"","family":"Liang","given":"Kevin","non-dropping-particle":"","parse-names":false,"suffix":""},{"dropping-particle":"","family":"Rosa","given":"V","non-dropping-particle":"","parse-names":false,"suffix":""},{"dropping-particle</w:instrText>
      </w:r>
      <w:r>
        <w:instrText>":"","family":"Sajed","given":"Tanvir","non-dropping-particle":"","parse-names":false,"suffix":""},{"dropping-particle":"","family":"Johnson","given":"Daniel","non-dropping-particle":"","parse-names":false,"suffix":""},{"dropping-particle":"","family":"Li"</w:instrText>
      </w:r>
      <w:r>
        <w:instrText>,"given":"Carin","non-dropping-particle":"","parse-names":false,"suffix":""},{"dropping-particle":"","family":"Karu","given":"Naama","non-dropping-particle":"","parse-names":false,"suffix":""},{"dropping-particle":"","family":"Sayeeda","given":"Zinat","non</w:instrText>
      </w:r>
      <w:r>
        <w:instrText>-dropping-particle":"","parse-names":false,"suffix":""},{"dropping-particle":"","family":"Lo","given":"Elvis","non-dropping-particle":"","parse-names":false,"suffix":""},{"dropping-particle":"","family":"Assempour","given":"Nazanin","non-dropping-particle"</w:instrText>
      </w:r>
      <w:r>
        <w:instrText>:"","parse-names":false,"suffix":""},{"dropping-particle":"","family":"Berjanskii","given":"Mark","non-dropping-particle":"","parse-names":false,"suffix":""},{"dropping-particle":"","family":"Singhal","given":"Sandeep","non-dropping-particle":"","parse-nam</w:instrText>
      </w:r>
      <w:r>
        <w:instrText>es":false,"suffix":""},{"dropping-particle":"","family":"Arndt","given":"David","non-dropping-particle":"","parse-names":false,"suffix":""},{"dropping-particle":"","family":"Liang","given":"Yonjie","non-dropping-particle":"","parse-names":false,"suffix":""</w:instrText>
      </w:r>
      <w:r>
        <w:instrText>},{"dropping-particle":"","family":"Badran","given":"Hasan","non-dropping-particle":"","parse-names":false,"suffix":""},{"dropping-particle":"","family":"Grant","given":"Jason","non-dropping-particle":"","parse-names":false,"suffix":""},{"dropping-particle</w:instrText>
      </w:r>
      <w:r>
        <w:instrText>":"","family":"Serra-cayuela","given":"Arnau","non-dropping-particle":"","parse-names":false,"suffix":""},{"dropping-particle":"","family":"Liu","given":"Yifeng","non-dropping-particle":"","parse-names":false,"suffix":""},{"dropping-particle":"","family":"</w:instrText>
      </w:r>
      <w:r>
        <w:instrText>Mandal","given":"Rupa","non-dropping-particle":"","parse-names":false,"suffix":""},{"dropping-particle":"","family":"Neveu","given":"Vanessa","non-dropping-particle":"","parse-names":false,"suffix":""},{"dropping-particle":"","family":"Pon","given":"Alliso</w:instrText>
      </w:r>
      <w:r>
        <w:instrText>n","non-dropping-particle":"","parse-names":false,"suffix":""},{"dropping-particle":"","family":"Knox","given":"Craig","non-dropping-particle":"","parse-names":false,"suffix":""},{"dropping-particle":"","family":"Wilson","given":"Michael","non-dropping-par</w:instrText>
      </w:r>
      <w:r>
        <w:instrText>ticle":"","parse-names":false,"suffix":""},{"dropping-particle":"","family":"Manach","given":"Claudine","non-dropping-particle":"","parse-names":false,"suffix":""},{"dropping-particle":"","family":"Scalbert","given":"Augustin","non-dropping-particle":"","p</w:instrText>
      </w:r>
      <w:r>
        <w:instrText>arse-names":false,"suffix":""}],"container-title":"Nucleic Acids Research","id":"ITEM-1","issue":"November 2017","issued":{"date-parts":[["2018"]]},"page":"608-617","title":"HMDB 4.0 : the human metabolome database for 2018","type":"article-journal","volum</w:instrText>
      </w:r>
      <w:r>
        <w:instrText>e":"46"},"uris":["http://www.mendeley.com/documents/?uuid=c34e4d21-7c5d-4305-8b90-f393251f9143"]}],"mendeley":{"formattedCitation":"[6]","plainTextFormattedCitation":"[6]","previouslyFormattedCitation":"[16]"},"properties":{"noteIndex":0},"schema":"https:/</w:instrText>
      </w:r>
      <w:r>
        <w:instrText>/github.com/citation-style-language/schema/raw/master/csl-citation.json"}</w:instrText>
      </w:r>
      <w:r>
        <w:fldChar w:fldCharType="separate"/>
      </w:r>
      <w:r>
        <w:t>[6]</w:t>
      </w:r>
      <w:r>
        <w:fldChar w:fldCharType="end"/>
      </w:r>
      <w:r>
        <w:t xml:space="preserve"> and KEGG </w:t>
      </w:r>
      <w:r>
        <w:fldChar w:fldCharType="begin" w:fldLock="1"/>
      </w:r>
      <w:r>
        <w:instrText>ADDIN CSL_CITATION {"citationItems":[{"id":"ITEM-1","itemData":{"DOI":"10.1093/nar/28.1.27","ISSN":"13624962","author":[{"dropping-particle":"","family":"Kanehisa","gi</w:instrText>
      </w:r>
      <w:r>
        <w:instrText>ven":"M.","non-dropping-particle":"","parse-names":false,"suffix":""}],"container-title":"Nucleic Acids Research","id":"ITEM-1","issue":"1","issued":{"date-parts":[["2000","1","1"]]},"page":"27-30","title":"KEGG: Kyoto Encyclopedia of Genes and Genomes","t</w:instrText>
      </w:r>
      <w:r>
        <w:instrText>ype":"article-journal","volume":"28"},"uris":["http://www.mendeley.com/documents/?uuid=affb7c2d-346f-4990-975d-7964e5cf3ef1"]}],"mendeley":{"formattedCitation":"[7]","plainTextFormattedCitation":"[7]","previouslyFormattedCitation":"[17]"},"properties":{"no</w:instrText>
      </w:r>
      <w:r>
        <w:instrText>teIndex":0},"schema":"https://github.com/citation-style-language/schema/raw/master/csl-citation.json"}</w:instrText>
      </w:r>
      <w:r>
        <w:fldChar w:fldCharType="separate"/>
      </w:r>
      <w:r>
        <w:t>[7]</w:t>
      </w:r>
      <w:r>
        <w:fldChar w:fldCharType="end"/>
      </w:r>
      <w:r>
        <w:t xml:space="preserve"> databases, while allowing M-H, M-H2O, M+K-2H, M+Na-2H, and </w:t>
      </w:r>
      <w:proofErr w:type="spellStart"/>
      <w:r>
        <w:t>M+Cl</w:t>
      </w:r>
      <w:proofErr w:type="spellEnd"/>
      <w:r>
        <w:t xml:space="preserve"> as negative adducts with a mass tolerance of 4 ppm. </w:t>
      </w:r>
    </w:p>
    <w:p w:rsidR="007A285A" w:rsidRDefault="007A285A">
      <w:pPr>
        <w:pStyle w:val="MDPI31text"/>
        <w:spacing w:line="360" w:lineRule="auto"/>
        <w:ind w:left="0" w:firstLine="0"/>
        <w:rPr>
          <w:szCs w:val="20"/>
        </w:rPr>
      </w:pPr>
    </w:p>
    <w:p w:rsidR="007A285A" w:rsidRDefault="00F05CFB">
      <w:pPr>
        <w:pStyle w:val="MDPI31text"/>
        <w:spacing w:line="360" w:lineRule="auto"/>
        <w:ind w:left="0" w:firstLine="0"/>
        <w:rPr>
          <w:b/>
          <w:sz w:val="24"/>
          <w:szCs w:val="24"/>
        </w:rPr>
      </w:pPr>
      <w:proofErr w:type="spellStart"/>
      <w:r>
        <w:rPr>
          <w:b/>
        </w:rPr>
        <w:t>Morphometrics</w:t>
      </w:r>
      <w:proofErr w:type="spellEnd"/>
      <w:r>
        <w:rPr>
          <w:b/>
        </w:rPr>
        <w:t xml:space="preserve"> analysis</w:t>
      </w:r>
    </w:p>
    <w:p w:rsidR="007A285A" w:rsidRDefault="00F05CFB">
      <w:pPr>
        <w:pStyle w:val="MDPI31text"/>
        <w:spacing w:line="360" w:lineRule="auto"/>
        <w:ind w:left="0" w:firstLine="0"/>
      </w:pPr>
      <w:r>
        <w:t>Consec</w:t>
      </w:r>
      <w:r>
        <w:t xml:space="preserve">utive H&amp;E stained tissue sections were scanned with an AxioScan.Z1 digital slide scanner (Zeiss, Jena, Germany) equipped with a 20x magnification objective. Images were </w:t>
      </w:r>
      <w:proofErr w:type="spellStart"/>
      <w:r>
        <w:t>morphometrically</w:t>
      </w:r>
      <w:proofErr w:type="spellEnd"/>
      <w:r>
        <w:t xml:space="preserve"> evaluated using the image analysis software </w:t>
      </w:r>
      <w:proofErr w:type="spellStart"/>
      <w:r>
        <w:t>Definiens</w:t>
      </w:r>
      <w:proofErr w:type="spellEnd"/>
      <w:r>
        <w:t xml:space="preserve"> Developer XD 2 (</w:t>
      </w:r>
      <w:proofErr w:type="spellStart"/>
      <w:r>
        <w:t>Definiens</w:t>
      </w:r>
      <w:proofErr w:type="spellEnd"/>
      <w:r>
        <w:t xml:space="preserve"> AG, Munich, Germany) following </w:t>
      </w:r>
      <w:r>
        <w:lastRenderedPageBreak/>
        <w:t xml:space="preserve">a previously published procedure </w:t>
      </w:r>
      <w:r>
        <w:fldChar w:fldCharType="begin" w:fldLock="1"/>
      </w:r>
      <w:r>
        <w:instrText>ADDIN CSL_CITATION {"citationItems":[{"id":"ITEM-1","itemData":{"DOI":"10.1007/s00418-015-1324-4","ISSN":"1432119X","PMID":"16546405","abstract":"An active area of neuroimaging resea</w:instrText>
      </w:r>
      <w:r>
        <w:instrText xml:space="preserve">rch involves examining functional relationships between spatially remote brain regions. When determining whether two brain regions exhibit significant correlation due to true functional connectivity, one must account for the background spatial correlation </w:instrText>
      </w:r>
      <w:r>
        <w:instrText>inherent in neuroimaging data. We define background correlation as spatiotemporal correlation in the data caused by factors other than neurophysiologically based functional associations such as scanner induced correlations and image preprocessing. We devel</w:instrText>
      </w:r>
      <w:r>
        <w:instrText>op a 4D spatiotemporal wavelet packet resampling method which generates surrogate data that preserves only the average background spatial correlation within an axial slice, across axial slices, and through each voxel time series, while excluding the specif</w:instrText>
      </w:r>
      <w:r>
        <w:instrText>ic correlations due to true functional relationships. We also extend an amplitude adjustment algorithm which adjusts our surrogate data to closely match the amplitude distribution of the original data. Our method improves upon existing wavelet-based method</w:instrText>
      </w:r>
      <w:r>
        <w:instrText>s and extends them to 4D. We apply our resampling technique to determine significant functional connectivity from resting state and motor task fMRI datasets","author":[{"dropping-particle":"","family":"Erlmeier","given":"Franziska","non-dropping-particle":</w:instrText>
      </w:r>
      <w:r>
        <w:instrText>"","parse-names":false,"suffix":""},{"dropping-particle":"","family":"Feuchtinger","given":"Annette","non-dropping-particle":"","parse-names":false,"suffix":""},{"dropping-particle":"","family":"Borgmann","given":"Daniela","non-dropping-particle":"","parse</w:instrText>
      </w:r>
      <w:r>
        <w:instrText>-names":false,"suffix":""},{"dropping-particle":"","family":"Rudelius","given":"Martina","non-dropping-particle":"","parse-names":false,"suffix":""},{"dropping-particle":"","family":"Autenrieth","given":"Michael","non-dropping-particle":"","parse-names":fa</w:instrText>
      </w:r>
      <w:r>
        <w:instrText>lse,"suffix":""},{"dropping-particle":"","family":"Walch","given":"Axel Karl","non-dropping-particle":"","parse-names":false,"suffix":""},{"dropping-particle":"","family":"Weirich","given":"Gregor","non-dropping-particle":"","parse-names":false,"suffix":""</w:instrText>
      </w:r>
      <w:r>
        <w:instrText xml:space="preserve">}],"container-title":"Histochemistry and Cell Biology","id":"ITEM-1","issue":"2","issued":{"date-parts":[["2015"]]},"page":"147-156","publisher":"Springer Berlin Heidelberg","title":"Supremacy of modern morphometry in typing renal oncocytoma and malignant </w:instrText>
      </w:r>
      <w:r>
        <w:instrText>look-alikes","type":"article-journal","volume":"144"},"uris":["http://www.mendeley.com/documents/?uuid=0e2a0fba-fe6b-4d3e-ae52-f866c490bdac"]}],"mendeley":{"formattedCitation":"[2]","plainTextFormattedCitation":"[2]","previouslyFormattedCitation":"[2]"},"p</w:instrText>
      </w:r>
      <w:r>
        <w:instrText>roperties":{"noteIndex":0},"schema":"https://github.com/citation-style-language/schema/raw/master/csl-citation.json"}</w:instrText>
      </w:r>
      <w:r>
        <w:fldChar w:fldCharType="separate"/>
      </w:r>
      <w:r>
        <w:rPr>
          <w:noProof/>
        </w:rPr>
        <w:t>[2]</w:t>
      </w:r>
      <w:r>
        <w:fldChar w:fldCharType="end"/>
      </w:r>
      <w:r>
        <w:t xml:space="preserve">. A description of the morphometric attributes for tissue or cell compartment </w:t>
      </w:r>
      <w:proofErr w:type="spellStart"/>
      <w:r w:rsidR="006B29D2">
        <w:t>colour</w:t>
      </w:r>
      <w:proofErr w:type="spellEnd"/>
      <w:r>
        <w:t>, shape, size etc. is shown in Supplementary Table</w:t>
      </w:r>
      <w:r>
        <w:t> 1.</w:t>
      </w:r>
    </w:p>
    <w:p w:rsidR="007A285A" w:rsidRDefault="007A285A">
      <w:pPr>
        <w:pStyle w:val="MDPI31text"/>
        <w:spacing w:line="360" w:lineRule="auto"/>
        <w:ind w:left="0" w:firstLine="0"/>
      </w:pPr>
    </w:p>
    <w:p w:rsidR="007A285A" w:rsidRDefault="00F05CFB">
      <w:pPr>
        <w:pStyle w:val="MDPI31text"/>
        <w:spacing w:line="360" w:lineRule="auto"/>
        <w:ind w:left="0" w:firstLine="0"/>
        <w:rPr>
          <w:b/>
        </w:rPr>
      </w:pPr>
      <w:r>
        <w:rPr>
          <w:b/>
        </w:rPr>
        <w:t>Classifier training and evaluation</w:t>
      </w:r>
    </w:p>
    <w:p w:rsidR="007A285A" w:rsidRDefault="00F05CFB">
      <w:pPr>
        <w:pStyle w:val="MDPI31text"/>
        <w:spacing w:line="360" w:lineRule="auto"/>
        <w:ind w:left="0" w:firstLine="0"/>
      </w:pPr>
      <w:r>
        <w:t xml:space="preserve">Morphometric (n = 110) and </w:t>
      </w:r>
      <w:proofErr w:type="spellStart"/>
      <w:r>
        <w:t>metabolomic</w:t>
      </w:r>
      <w:proofErr w:type="spellEnd"/>
      <w:r>
        <w:t xml:space="preserve"> features (n = 2111) were used for classifier training. While training the classifiers, it was ensured that the validation sets remained completely independent from the training </w:t>
      </w:r>
      <w:r>
        <w:t xml:space="preserve">data. In 200 repetitions, the patients were randomly split into a training (2/3) and an independent validation set (1/3). In each repetition, the data was normalized for training and validation set, separately. Feature selection was done by calculating a </w:t>
      </w:r>
      <w:proofErr w:type="spellStart"/>
      <w:r>
        <w:t>K</w:t>
      </w:r>
      <w:r>
        <w:t>ruskal</w:t>
      </w:r>
      <w:proofErr w:type="spellEnd"/>
      <w:r>
        <w:t xml:space="preserve">-Wallis test with subsequent </w:t>
      </w:r>
      <w:proofErr w:type="spellStart"/>
      <w:r>
        <w:t>Benjamini</w:t>
      </w:r>
      <w:proofErr w:type="spellEnd"/>
      <w:r>
        <w:t>-Hochberg correction (Python 3.7, ‘</w:t>
      </w:r>
      <w:proofErr w:type="spellStart"/>
      <w:r>
        <w:t>scipy</w:t>
      </w:r>
      <w:proofErr w:type="spellEnd"/>
      <w:r>
        <w:t>’ v.1.5.2 and ‘</w:t>
      </w:r>
      <w:proofErr w:type="spellStart"/>
      <w:r>
        <w:t>statsmodels</w:t>
      </w:r>
      <w:proofErr w:type="spellEnd"/>
      <w:r>
        <w:t xml:space="preserve">’ v.0.11.1, </w:t>
      </w:r>
      <w:r>
        <w:rPr>
          <w:i/>
          <w:iCs/>
        </w:rPr>
        <w:t>P </w:t>
      </w:r>
      <w:r>
        <w:t>&lt; 0.01) on the training sets. Similarly, parameter optimization techniques on each training set separately were tested but not appli</w:t>
      </w:r>
      <w:r>
        <w:t xml:space="preserve">ed in the final training, since they did not improve the performance of the classifier, but instead led to </w:t>
      </w:r>
      <w:proofErr w:type="spellStart"/>
      <w:r>
        <w:t>overfitting</w:t>
      </w:r>
      <w:proofErr w:type="spellEnd"/>
      <w:r>
        <w:t>. The random forest classifier itself was trained using the Python 3.7 ‘</w:t>
      </w:r>
      <w:proofErr w:type="spellStart"/>
      <w:r>
        <w:t>sklearn</w:t>
      </w:r>
      <w:proofErr w:type="spellEnd"/>
      <w:r>
        <w:t>’ (v. 0.22.1) package.</w:t>
      </w:r>
    </w:p>
    <w:p w:rsidR="007A285A" w:rsidRDefault="00F05CFB">
      <w:pPr>
        <w:pStyle w:val="MDPI31text"/>
        <w:spacing w:line="360" w:lineRule="auto"/>
        <w:ind w:left="0" w:firstLine="0"/>
      </w:pPr>
      <w:r>
        <w:t>The performance of the classifiers w</w:t>
      </w:r>
      <w:r>
        <w:t>as compared by calculating the mean accuracy, as well as the precision, recall and F1-score. Precision is calculated by dividing the number of true positives by the sum of the true positives and false positives. Recall (i.e. sensitivity) is calculated by d</w:t>
      </w:r>
      <w:r>
        <w:t xml:space="preserve">ividing the number of true positives by the sum of the true positives and false negatives. The F1-score is the harmonic mean of the precision </w:t>
      </w:r>
      <w:proofErr w:type="gramStart"/>
      <w:r>
        <w:t>and</w:t>
      </w:r>
      <w:proofErr w:type="gramEnd"/>
      <w:r>
        <w:t xml:space="preserve"> recall. All values were multiplied with 100 to represent percentages. Finally, the importance of a feature is </w:t>
      </w:r>
      <w:r>
        <w:t>computed as the (normalized) total reduction of the criterion brought by that feature (</w:t>
      </w:r>
      <w:proofErr w:type="spellStart"/>
      <w:r>
        <w:t>Gini</w:t>
      </w:r>
      <w:proofErr w:type="spellEnd"/>
      <w:r>
        <w:t xml:space="preserve"> importance).</w:t>
      </w:r>
    </w:p>
    <w:p w:rsidR="007A285A" w:rsidRDefault="007A285A">
      <w:pPr>
        <w:pStyle w:val="MDPI31text"/>
        <w:spacing w:line="360" w:lineRule="auto"/>
        <w:ind w:left="0" w:firstLine="0"/>
      </w:pPr>
    </w:p>
    <w:p w:rsidR="007A285A" w:rsidRDefault="007A285A">
      <w:pPr>
        <w:pStyle w:val="MDPI31text"/>
        <w:spacing w:line="360" w:lineRule="auto"/>
        <w:ind w:left="0" w:firstLine="0"/>
      </w:pPr>
    </w:p>
    <w:p w:rsidR="007A285A" w:rsidRDefault="00F05CFB">
      <w:pPr>
        <w:widowControl w:val="0"/>
        <w:autoSpaceDE w:val="0"/>
        <w:autoSpaceDN w:val="0"/>
        <w:adjustRightInd w:val="0"/>
        <w:spacing w:before="240" w:after="60" w:line="240" w:lineRule="auto"/>
        <w:ind w:left="640" w:hanging="640"/>
        <w:rPr>
          <w:rFonts w:ascii="Palatino Linotype" w:hAnsi="Palatino Linotype" w:cs="Times New Roman"/>
          <w:noProof/>
          <w:sz w:val="20"/>
          <w:szCs w:val="24"/>
        </w:rPr>
      </w:pPr>
      <w:r>
        <w:rPr>
          <w:rFonts w:eastAsia="SimSun"/>
          <w:b/>
        </w:rPr>
        <w:fldChar w:fldCharType="begin" w:fldLock="1"/>
      </w:r>
      <w:r>
        <w:rPr>
          <w:rFonts w:eastAsia="SimSun"/>
          <w:b/>
          <w:lang w:val="de-DE"/>
        </w:rPr>
        <w:instrText xml:space="preserve">ADDIN Mendeley Bibliography CSL_BIBLIOGRAPHY </w:instrText>
      </w:r>
      <w:r>
        <w:rPr>
          <w:rFonts w:eastAsia="SimSun"/>
          <w:b/>
        </w:rPr>
        <w:fldChar w:fldCharType="separate"/>
      </w:r>
      <w:r>
        <w:rPr>
          <w:rFonts w:ascii="Palatino Linotype" w:hAnsi="Palatino Linotype" w:cs="Times New Roman"/>
          <w:noProof/>
          <w:sz w:val="20"/>
          <w:szCs w:val="24"/>
          <w:lang w:val="de-DE"/>
        </w:rPr>
        <w:t xml:space="preserve">1. </w:t>
      </w:r>
      <w:r>
        <w:rPr>
          <w:rFonts w:ascii="Palatino Linotype" w:hAnsi="Palatino Linotype" w:cs="Times New Roman"/>
          <w:noProof/>
          <w:sz w:val="20"/>
          <w:szCs w:val="24"/>
          <w:lang w:val="de-DE"/>
        </w:rPr>
        <w:tab/>
        <w:t>Dahinden, C.; Ingold, B.; Wild, P.; Boysen, G.; Luu, V.D.; Montani, M.; Kristiansen, G.; Sulser, T.;</w:t>
      </w:r>
      <w:r>
        <w:rPr>
          <w:rFonts w:ascii="Palatino Linotype" w:hAnsi="Palatino Linotype" w:cs="Times New Roman"/>
          <w:noProof/>
          <w:sz w:val="20"/>
          <w:szCs w:val="24"/>
          <w:lang w:val="de-DE"/>
        </w:rPr>
        <w:t xml:space="preserve"> Bühlmann, P.; Moch, H.; et al. </w:t>
      </w:r>
      <w:r>
        <w:rPr>
          <w:rFonts w:ascii="Palatino Linotype" w:hAnsi="Palatino Linotype" w:cs="Times New Roman"/>
          <w:noProof/>
          <w:sz w:val="20"/>
          <w:szCs w:val="24"/>
        </w:rPr>
        <w:t xml:space="preserve">Mining tissue microarray data to uncover combinations of biomarker expression patterns that improve intermediate staging and grading of clear cell renal cell cancer. </w:t>
      </w:r>
      <w:r>
        <w:rPr>
          <w:rFonts w:ascii="Palatino Linotype" w:hAnsi="Palatino Linotype" w:cs="Times New Roman"/>
          <w:i/>
          <w:iCs/>
          <w:noProof/>
          <w:sz w:val="20"/>
          <w:szCs w:val="24"/>
        </w:rPr>
        <w:t>Clin. Cancer Res.</w:t>
      </w:r>
      <w:r>
        <w:rPr>
          <w:rFonts w:ascii="Palatino Linotype" w:hAnsi="Palatino Linotype" w:cs="Times New Roman"/>
          <w:noProof/>
          <w:sz w:val="20"/>
          <w:szCs w:val="24"/>
        </w:rPr>
        <w:t xml:space="preserve"> </w:t>
      </w:r>
      <w:r>
        <w:rPr>
          <w:rFonts w:ascii="Palatino Linotype" w:hAnsi="Palatino Linotype" w:cs="Times New Roman"/>
          <w:b/>
          <w:bCs/>
          <w:noProof/>
          <w:sz w:val="20"/>
          <w:szCs w:val="24"/>
        </w:rPr>
        <w:t>2010</w:t>
      </w:r>
      <w:r>
        <w:rPr>
          <w:rFonts w:ascii="Palatino Linotype" w:hAnsi="Palatino Linotype" w:cs="Times New Roman"/>
          <w:noProof/>
          <w:sz w:val="20"/>
          <w:szCs w:val="24"/>
        </w:rPr>
        <w:t xml:space="preserve">, </w:t>
      </w:r>
      <w:r>
        <w:rPr>
          <w:rFonts w:ascii="Palatino Linotype" w:hAnsi="Palatino Linotype" w:cs="Times New Roman"/>
          <w:i/>
          <w:iCs/>
          <w:noProof/>
          <w:sz w:val="20"/>
          <w:szCs w:val="24"/>
        </w:rPr>
        <w:t>16</w:t>
      </w:r>
      <w:r>
        <w:rPr>
          <w:rFonts w:ascii="Palatino Linotype" w:hAnsi="Palatino Linotype" w:cs="Times New Roman"/>
          <w:noProof/>
          <w:sz w:val="20"/>
          <w:szCs w:val="24"/>
        </w:rPr>
        <w:t xml:space="preserve">, 88–98, </w:t>
      </w:r>
      <w:r>
        <w:rPr>
          <w:rFonts w:ascii="Palatino Linotype" w:hAnsi="Palatino Linotype" w:cs="Times New Roman"/>
          <w:noProof/>
          <w:sz w:val="20"/>
          <w:szCs w:val="24"/>
        </w:rPr>
        <w:t>doi:10.1158/1078-0432.CCR-09-0260.</w:t>
      </w:r>
    </w:p>
    <w:p w:rsidR="007A285A" w:rsidRDefault="00F05CFB">
      <w:pPr>
        <w:widowControl w:val="0"/>
        <w:autoSpaceDE w:val="0"/>
        <w:autoSpaceDN w:val="0"/>
        <w:adjustRightInd w:val="0"/>
        <w:spacing w:before="240" w:after="60" w:line="240" w:lineRule="auto"/>
        <w:ind w:left="640" w:hanging="640"/>
        <w:rPr>
          <w:rFonts w:ascii="Palatino Linotype" w:hAnsi="Palatino Linotype" w:cs="Times New Roman"/>
          <w:noProof/>
          <w:sz w:val="20"/>
          <w:szCs w:val="24"/>
        </w:rPr>
      </w:pPr>
      <w:r>
        <w:rPr>
          <w:rFonts w:ascii="Palatino Linotype" w:hAnsi="Palatino Linotype" w:cs="Times New Roman"/>
          <w:noProof/>
          <w:sz w:val="20"/>
          <w:szCs w:val="24"/>
        </w:rPr>
        <w:t xml:space="preserve">2. </w:t>
      </w:r>
      <w:r>
        <w:rPr>
          <w:rFonts w:ascii="Palatino Linotype" w:hAnsi="Palatino Linotype" w:cs="Times New Roman"/>
          <w:noProof/>
          <w:sz w:val="20"/>
          <w:szCs w:val="24"/>
        </w:rPr>
        <w:tab/>
        <w:t xml:space="preserve">Erlmeier, F.; Feuchtinger, A.; Borgmann, D.; Rudelius, M.; Autenrieth, M.; Walch, A.K.; Weirich, G. Supremacy of modern morphometry in typing renal oncocytoma and malignant look-alikes. </w:t>
      </w:r>
      <w:r>
        <w:rPr>
          <w:rFonts w:ascii="Palatino Linotype" w:hAnsi="Palatino Linotype" w:cs="Times New Roman"/>
          <w:i/>
          <w:iCs/>
          <w:noProof/>
          <w:sz w:val="20"/>
          <w:szCs w:val="24"/>
        </w:rPr>
        <w:t>Histochem. Cell Biol.</w:t>
      </w:r>
      <w:r>
        <w:rPr>
          <w:rFonts w:ascii="Palatino Linotype" w:hAnsi="Palatino Linotype" w:cs="Times New Roman"/>
          <w:noProof/>
          <w:sz w:val="20"/>
          <w:szCs w:val="24"/>
        </w:rPr>
        <w:t xml:space="preserve"> </w:t>
      </w:r>
      <w:r>
        <w:rPr>
          <w:rFonts w:ascii="Palatino Linotype" w:hAnsi="Palatino Linotype" w:cs="Times New Roman"/>
          <w:b/>
          <w:bCs/>
          <w:noProof/>
          <w:sz w:val="20"/>
          <w:szCs w:val="24"/>
        </w:rPr>
        <w:t>2015</w:t>
      </w:r>
      <w:r>
        <w:rPr>
          <w:rFonts w:ascii="Palatino Linotype" w:hAnsi="Palatino Linotype" w:cs="Times New Roman"/>
          <w:noProof/>
          <w:sz w:val="20"/>
          <w:szCs w:val="24"/>
        </w:rPr>
        <w:t xml:space="preserve">, </w:t>
      </w:r>
      <w:r>
        <w:rPr>
          <w:rFonts w:ascii="Palatino Linotype" w:hAnsi="Palatino Linotype" w:cs="Times New Roman"/>
          <w:i/>
          <w:iCs/>
          <w:noProof/>
          <w:sz w:val="20"/>
          <w:szCs w:val="24"/>
        </w:rPr>
        <w:t>144</w:t>
      </w:r>
      <w:r>
        <w:rPr>
          <w:rFonts w:ascii="Palatino Linotype" w:hAnsi="Palatino Linotype" w:cs="Times New Roman"/>
          <w:noProof/>
          <w:sz w:val="20"/>
          <w:szCs w:val="24"/>
        </w:rPr>
        <w:t>, 147–156, doi:10.1007/s00418-015-1324-4.</w:t>
      </w:r>
    </w:p>
    <w:p w:rsidR="007A285A" w:rsidRDefault="00F05CFB">
      <w:pPr>
        <w:widowControl w:val="0"/>
        <w:autoSpaceDE w:val="0"/>
        <w:autoSpaceDN w:val="0"/>
        <w:adjustRightInd w:val="0"/>
        <w:spacing w:before="240" w:after="60" w:line="240" w:lineRule="auto"/>
        <w:ind w:left="640" w:hanging="640"/>
        <w:rPr>
          <w:rFonts w:ascii="Palatino Linotype" w:hAnsi="Palatino Linotype" w:cs="Times New Roman"/>
          <w:noProof/>
          <w:sz w:val="20"/>
          <w:szCs w:val="24"/>
        </w:rPr>
      </w:pPr>
      <w:r>
        <w:rPr>
          <w:rFonts w:ascii="Palatino Linotype" w:hAnsi="Palatino Linotype" w:cs="Times New Roman"/>
          <w:noProof/>
          <w:sz w:val="20"/>
          <w:szCs w:val="24"/>
        </w:rPr>
        <w:t xml:space="preserve">3. </w:t>
      </w:r>
      <w:r>
        <w:rPr>
          <w:rFonts w:ascii="Palatino Linotype" w:hAnsi="Palatino Linotype" w:cs="Times New Roman"/>
          <w:noProof/>
          <w:sz w:val="20"/>
          <w:szCs w:val="24"/>
        </w:rPr>
        <w:tab/>
        <w:t>Buck, A.; Ly, A.; Balluff, B.; Sun, N.; Gorzolka, K.; Feuchtinger, A.; Janssen, K.P.; Kuppen, P.J.K.; Van De Velde, C.J.H.; Weirich, G.; et al. High-resolution MALDI-FT-ICR MS imaging for the analysis of metabo</w:t>
      </w:r>
      <w:r>
        <w:rPr>
          <w:rFonts w:ascii="Palatino Linotype" w:hAnsi="Palatino Linotype" w:cs="Times New Roman"/>
          <w:noProof/>
          <w:sz w:val="20"/>
          <w:szCs w:val="24"/>
        </w:rPr>
        <w:t xml:space="preserve">lites from formalin-fixed, paraffin-embedded clinical tissue samples. </w:t>
      </w:r>
      <w:r>
        <w:rPr>
          <w:rFonts w:ascii="Palatino Linotype" w:hAnsi="Palatino Linotype" w:cs="Times New Roman"/>
          <w:i/>
          <w:iCs/>
          <w:noProof/>
          <w:sz w:val="20"/>
          <w:szCs w:val="24"/>
        </w:rPr>
        <w:t>J. Pathol.</w:t>
      </w:r>
      <w:r>
        <w:rPr>
          <w:rFonts w:ascii="Palatino Linotype" w:hAnsi="Palatino Linotype" w:cs="Times New Roman"/>
          <w:noProof/>
          <w:sz w:val="20"/>
          <w:szCs w:val="24"/>
        </w:rPr>
        <w:t xml:space="preserve"> </w:t>
      </w:r>
      <w:r>
        <w:rPr>
          <w:rFonts w:ascii="Palatino Linotype" w:hAnsi="Palatino Linotype" w:cs="Times New Roman"/>
          <w:b/>
          <w:bCs/>
          <w:noProof/>
          <w:sz w:val="20"/>
          <w:szCs w:val="24"/>
        </w:rPr>
        <w:t>2015</w:t>
      </w:r>
      <w:r>
        <w:rPr>
          <w:rFonts w:ascii="Palatino Linotype" w:hAnsi="Palatino Linotype" w:cs="Times New Roman"/>
          <w:noProof/>
          <w:sz w:val="20"/>
          <w:szCs w:val="24"/>
        </w:rPr>
        <w:t xml:space="preserve">, </w:t>
      </w:r>
      <w:r>
        <w:rPr>
          <w:rFonts w:ascii="Palatino Linotype" w:hAnsi="Palatino Linotype" w:cs="Times New Roman"/>
          <w:i/>
          <w:iCs/>
          <w:noProof/>
          <w:sz w:val="20"/>
          <w:szCs w:val="24"/>
        </w:rPr>
        <w:t>237</w:t>
      </w:r>
      <w:r>
        <w:rPr>
          <w:rFonts w:ascii="Palatino Linotype" w:hAnsi="Palatino Linotype" w:cs="Times New Roman"/>
          <w:noProof/>
          <w:sz w:val="20"/>
          <w:szCs w:val="24"/>
        </w:rPr>
        <w:t>, 123–132, doi:10.1002/path.4560.</w:t>
      </w:r>
    </w:p>
    <w:p w:rsidR="007A285A" w:rsidRDefault="00F05CFB">
      <w:pPr>
        <w:widowControl w:val="0"/>
        <w:autoSpaceDE w:val="0"/>
        <w:autoSpaceDN w:val="0"/>
        <w:adjustRightInd w:val="0"/>
        <w:spacing w:before="240" w:after="60" w:line="240" w:lineRule="auto"/>
        <w:ind w:left="640" w:hanging="640"/>
        <w:rPr>
          <w:rFonts w:ascii="Palatino Linotype" w:hAnsi="Palatino Linotype" w:cs="Times New Roman"/>
          <w:noProof/>
          <w:sz w:val="20"/>
          <w:szCs w:val="24"/>
        </w:rPr>
      </w:pPr>
      <w:r>
        <w:rPr>
          <w:rFonts w:ascii="Palatino Linotype" w:hAnsi="Palatino Linotype" w:cs="Times New Roman"/>
          <w:noProof/>
          <w:sz w:val="20"/>
          <w:szCs w:val="24"/>
        </w:rPr>
        <w:t xml:space="preserve">4. </w:t>
      </w:r>
      <w:r>
        <w:rPr>
          <w:rFonts w:ascii="Palatino Linotype" w:hAnsi="Palatino Linotype" w:cs="Times New Roman"/>
          <w:noProof/>
          <w:sz w:val="20"/>
          <w:szCs w:val="24"/>
        </w:rPr>
        <w:tab/>
        <w:t xml:space="preserve">Ly, A.; Buck, A.; Balluff, B.; Sun, N.; Gorzolka, K.; Feuchtinger, A.; Janssen, K.P.; Kuppen, P.J.K.; </w:t>
      </w:r>
      <w:r>
        <w:rPr>
          <w:rFonts w:ascii="Palatino Linotype" w:hAnsi="Palatino Linotype" w:cs="Times New Roman"/>
          <w:noProof/>
          <w:sz w:val="20"/>
          <w:szCs w:val="24"/>
        </w:rPr>
        <w:lastRenderedPageBreak/>
        <w:t>Van De Velde, C.J.H.; Weir</w:t>
      </w:r>
      <w:r>
        <w:rPr>
          <w:rFonts w:ascii="Palatino Linotype" w:hAnsi="Palatino Linotype" w:cs="Times New Roman"/>
          <w:noProof/>
          <w:sz w:val="20"/>
          <w:szCs w:val="24"/>
        </w:rPr>
        <w:t xml:space="preserve">ich, G.; et al. High-mass-resolution MALDI mass spectrometry imaging of metabolites from formalin-fixed paraffin-embedded tissue. </w:t>
      </w:r>
      <w:r>
        <w:rPr>
          <w:rFonts w:ascii="Palatino Linotype" w:hAnsi="Palatino Linotype" w:cs="Times New Roman"/>
          <w:i/>
          <w:iCs/>
          <w:noProof/>
          <w:sz w:val="20"/>
          <w:szCs w:val="24"/>
        </w:rPr>
        <w:t>Nat. Protoc.</w:t>
      </w:r>
      <w:r>
        <w:rPr>
          <w:rFonts w:ascii="Palatino Linotype" w:hAnsi="Palatino Linotype" w:cs="Times New Roman"/>
          <w:noProof/>
          <w:sz w:val="20"/>
          <w:szCs w:val="24"/>
        </w:rPr>
        <w:t xml:space="preserve"> </w:t>
      </w:r>
      <w:r>
        <w:rPr>
          <w:rFonts w:ascii="Palatino Linotype" w:hAnsi="Palatino Linotype" w:cs="Times New Roman"/>
          <w:b/>
          <w:bCs/>
          <w:noProof/>
          <w:sz w:val="20"/>
          <w:szCs w:val="24"/>
        </w:rPr>
        <w:t>2016</w:t>
      </w:r>
      <w:r>
        <w:rPr>
          <w:rFonts w:ascii="Palatino Linotype" w:hAnsi="Palatino Linotype" w:cs="Times New Roman"/>
          <w:noProof/>
          <w:sz w:val="20"/>
          <w:szCs w:val="24"/>
        </w:rPr>
        <w:t xml:space="preserve">, </w:t>
      </w:r>
      <w:r>
        <w:rPr>
          <w:rFonts w:ascii="Palatino Linotype" w:hAnsi="Palatino Linotype" w:cs="Times New Roman"/>
          <w:i/>
          <w:iCs/>
          <w:noProof/>
          <w:sz w:val="20"/>
          <w:szCs w:val="24"/>
        </w:rPr>
        <w:t>11</w:t>
      </w:r>
      <w:r>
        <w:rPr>
          <w:rFonts w:ascii="Palatino Linotype" w:hAnsi="Palatino Linotype" w:cs="Times New Roman"/>
          <w:noProof/>
          <w:sz w:val="20"/>
          <w:szCs w:val="24"/>
        </w:rPr>
        <w:t>, 1428–1443, doi:10.1038/nprot.2016.081.</w:t>
      </w:r>
    </w:p>
    <w:p w:rsidR="007A285A" w:rsidRDefault="00F05CFB">
      <w:pPr>
        <w:widowControl w:val="0"/>
        <w:autoSpaceDE w:val="0"/>
        <w:autoSpaceDN w:val="0"/>
        <w:adjustRightInd w:val="0"/>
        <w:spacing w:before="240" w:after="60" w:line="240" w:lineRule="auto"/>
        <w:ind w:left="640" w:hanging="640"/>
        <w:rPr>
          <w:rFonts w:ascii="Palatino Linotype" w:hAnsi="Palatino Linotype" w:cs="Times New Roman"/>
          <w:noProof/>
          <w:sz w:val="20"/>
          <w:szCs w:val="24"/>
        </w:rPr>
      </w:pPr>
      <w:r>
        <w:rPr>
          <w:rFonts w:ascii="Palatino Linotype" w:hAnsi="Palatino Linotype" w:cs="Times New Roman"/>
          <w:noProof/>
          <w:sz w:val="20"/>
          <w:szCs w:val="24"/>
        </w:rPr>
        <w:t xml:space="preserve">5. </w:t>
      </w:r>
      <w:r>
        <w:rPr>
          <w:rFonts w:ascii="Palatino Linotype" w:hAnsi="Palatino Linotype" w:cs="Times New Roman"/>
          <w:noProof/>
          <w:sz w:val="20"/>
          <w:szCs w:val="24"/>
        </w:rPr>
        <w:tab/>
        <w:t>Prade, V.M.; Kunzke, T.; Feuchtinger, A.; Rohm, M.; Luber, B</w:t>
      </w:r>
      <w:r>
        <w:rPr>
          <w:rFonts w:ascii="Palatino Linotype" w:hAnsi="Palatino Linotype" w:cs="Times New Roman"/>
          <w:noProof/>
          <w:sz w:val="20"/>
          <w:szCs w:val="24"/>
        </w:rPr>
        <w:t xml:space="preserve">.; Lordick, F.; Buck, A.; Walch, A. De novo discovery of metabolic heterogeneity with immunophenotype-guided imaging mass spectrometry. </w:t>
      </w:r>
      <w:r>
        <w:rPr>
          <w:rFonts w:ascii="Palatino Linotype" w:hAnsi="Palatino Linotype" w:cs="Times New Roman"/>
          <w:i/>
          <w:iCs/>
          <w:noProof/>
          <w:sz w:val="20"/>
          <w:szCs w:val="24"/>
        </w:rPr>
        <w:t>Mol. Metab.</w:t>
      </w:r>
      <w:r>
        <w:rPr>
          <w:rFonts w:ascii="Palatino Linotype" w:hAnsi="Palatino Linotype" w:cs="Times New Roman"/>
          <w:noProof/>
          <w:sz w:val="20"/>
          <w:szCs w:val="24"/>
        </w:rPr>
        <w:t xml:space="preserve"> </w:t>
      </w:r>
      <w:r>
        <w:rPr>
          <w:rFonts w:ascii="Palatino Linotype" w:hAnsi="Palatino Linotype" w:cs="Times New Roman"/>
          <w:b/>
          <w:bCs/>
          <w:noProof/>
          <w:sz w:val="20"/>
          <w:szCs w:val="24"/>
        </w:rPr>
        <w:t>2020</w:t>
      </w:r>
      <w:r>
        <w:rPr>
          <w:rFonts w:ascii="Palatino Linotype" w:hAnsi="Palatino Linotype" w:cs="Times New Roman"/>
          <w:noProof/>
          <w:sz w:val="20"/>
          <w:szCs w:val="24"/>
        </w:rPr>
        <w:t xml:space="preserve">, </w:t>
      </w:r>
      <w:r>
        <w:rPr>
          <w:rFonts w:ascii="Palatino Linotype" w:hAnsi="Palatino Linotype" w:cs="Times New Roman"/>
          <w:i/>
          <w:iCs/>
          <w:noProof/>
          <w:sz w:val="20"/>
          <w:szCs w:val="24"/>
        </w:rPr>
        <w:t>36</w:t>
      </w:r>
      <w:r>
        <w:rPr>
          <w:rFonts w:ascii="Palatino Linotype" w:hAnsi="Palatino Linotype" w:cs="Times New Roman"/>
          <w:noProof/>
          <w:sz w:val="20"/>
          <w:szCs w:val="24"/>
        </w:rPr>
        <w:t>, 100953, doi:10.1016/j.molmet.2020.01.017.</w:t>
      </w:r>
    </w:p>
    <w:p w:rsidR="007A285A" w:rsidRDefault="00F05CFB">
      <w:pPr>
        <w:widowControl w:val="0"/>
        <w:autoSpaceDE w:val="0"/>
        <w:autoSpaceDN w:val="0"/>
        <w:adjustRightInd w:val="0"/>
        <w:spacing w:before="240" w:after="60" w:line="240" w:lineRule="auto"/>
        <w:ind w:left="640" w:hanging="640"/>
        <w:rPr>
          <w:rFonts w:ascii="Palatino Linotype" w:hAnsi="Palatino Linotype" w:cs="Times New Roman"/>
          <w:noProof/>
          <w:sz w:val="20"/>
          <w:szCs w:val="24"/>
        </w:rPr>
      </w:pPr>
      <w:r>
        <w:rPr>
          <w:rFonts w:ascii="Palatino Linotype" w:hAnsi="Palatino Linotype" w:cs="Times New Roman"/>
          <w:noProof/>
          <w:sz w:val="20"/>
          <w:szCs w:val="24"/>
        </w:rPr>
        <w:t xml:space="preserve">6. </w:t>
      </w:r>
      <w:r>
        <w:rPr>
          <w:rFonts w:ascii="Palatino Linotype" w:hAnsi="Palatino Linotype" w:cs="Times New Roman"/>
          <w:noProof/>
          <w:sz w:val="20"/>
          <w:szCs w:val="24"/>
        </w:rPr>
        <w:tab/>
        <w:t xml:space="preserve">Wishart, D.S.; Feunang, Y.D.; Marcu, A.; Guo, A.C.; </w:t>
      </w:r>
      <w:r>
        <w:rPr>
          <w:rFonts w:ascii="Palatino Linotype" w:hAnsi="Palatino Linotype" w:cs="Times New Roman"/>
          <w:noProof/>
          <w:sz w:val="20"/>
          <w:szCs w:val="24"/>
        </w:rPr>
        <w:t xml:space="preserve">Liang, K.; Rosa, V.; Sajed, T.; Johnson, D.; Li, C.; Karu, N.; et al. HMDB 4.0 : the human metabolome database for 2018. </w:t>
      </w:r>
      <w:r>
        <w:rPr>
          <w:rFonts w:ascii="Palatino Linotype" w:hAnsi="Palatino Linotype" w:cs="Times New Roman"/>
          <w:i/>
          <w:iCs/>
          <w:noProof/>
          <w:sz w:val="20"/>
          <w:szCs w:val="24"/>
        </w:rPr>
        <w:t>Nucleic Acids Res.</w:t>
      </w:r>
      <w:r>
        <w:rPr>
          <w:rFonts w:ascii="Palatino Linotype" w:hAnsi="Palatino Linotype" w:cs="Times New Roman"/>
          <w:noProof/>
          <w:sz w:val="20"/>
          <w:szCs w:val="24"/>
        </w:rPr>
        <w:t xml:space="preserve"> </w:t>
      </w:r>
      <w:r>
        <w:rPr>
          <w:rFonts w:ascii="Palatino Linotype" w:hAnsi="Palatino Linotype" w:cs="Times New Roman"/>
          <w:b/>
          <w:bCs/>
          <w:noProof/>
          <w:sz w:val="20"/>
          <w:szCs w:val="24"/>
        </w:rPr>
        <w:t>2018</w:t>
      </w:r>
      <w:r>
        <w:rPr>
          <w:rFonts w:ascii="Palatino Linotype" w:hAnsi="Palatino Linotype" w:cs="Times New Roman"/>
          <w:noProof/>
          <w:sz w:val="20"/>
          <w:szCs w:val="24"/>
        </w:rPr>
        <w:t xml:space="preserve">, </w:t>
      </w:r>
      <w:r>
        <w:rPr>
          <w:rFonts w:ascii="Palatino Linotype" w:hAnsi="Palatino Linotype" w:cs="Times New Roman"/>
          <w:i/>
          <w:iCs/>
          <w:noProof/>
          <w:sz w:val="20"/>
          <w:szCs w:val="24"/>
        </w:rPr>
        <w:t>46</w:t>
      </w:r>
      <w:r>
        <w:rPr>
          <w:rFonts w:ascii="Palatino Linotype" w:hAnsi="Palatino Linotype" w:cs="Times New Roman"/>
          <w:noProof/>
          <w:sz w:val="20"/>
          <w:szCs w:val="24"/>
        </w:rPr>
        <w:t>, 608–617, doi:10.1093/nar/gkx1089.</w:t>
      </w:r>
    </w:p>
    <w:p w:rsidR="007A285A" w:rsidRDefault="00F05CFB">
      <w:pPr>
        <w:widowControl w:val="0"/>
        <w:autoSpaceDE w:val="0"/>
        <w:autoSpaceDN w:val="0"/>
        <w:adjustRightInd w:val="0"/>
        <w:spacing w:before="240" w:after="60" w:line="240" w:lineRule="auto"/>
        <w:ind w:left="640" w:hanging="640"/>
        <w:rPr>
          <w:rFonts w:ascii="Palatino Linotype" w:hAnsi="Palatino Linotype"/>
          <w:noProof/>
          <w:sz w:val="20"/>
        </w:rPr>
      </w:pPr>
      <w:r>
        <w:rPr>
          <w:rFonts w:ascii="Palatino Linotype" w:hAnsi="Palatino Linotype" w:cs="Times New Roman"/>
          <w:noProof/>
          <w:sz w:val="20"/>
          <w:szCs w:val="24"/>
        </w:rPr>
        <w:t xml:space="preserve">7. </w:t>
      </w:r>
      <w:r>
        <w:rPr>
          <w:rFonts w:ascii="Palatino Linotype" w:hAnsi="Palatino Linotype" w:cs="Times New Roman"/>
          <w:noProof/>
          <w:sz w:val="20"/>
          <w:szCs w:val="24"/>
        </w:rPr>
        <w:tab/>
        <w:t xml:space="preserve">Kanehisa, M. KEGG: Kyoto Encyclopedia of Genes and Genomes. </w:t>
      </w:r>
      <w:r>
        <w:rPr>
          <w:rFonts w:ascii="Palatino Linotype" w:hAnsi="Palatino Linotype" w:cs="Times New Roman"/>
          <w:i/>
          <w:iCs/>
          <w:noProof/>
          <w:sz w:val="20"/>
          <w:szCs w:val="24"/>
        </w:rPr>
        <w:t xml:space="preserve">Nucleic </w:t>
      </w:r>
      <w:r>
        <w:rPr>
          <w:rFonts w:ascii="Palatino Linotype" w:hAnsi="Palatino Linotype" w:cs="Times New Roman"/>
          <w:i/>
          <w:iCs/>
          <w:noProof/>
          <w:sz w:val="20"/>
          <w:szCs w:val="24"/>
        </w:rPr>
        <w:t>Acids Res.</w:t>
      </w:r>
      <w:r>
        <w:rPr>
          <w:rFonts w:ascii="Palatino Linotype" w:hAnsi="Palatino Linotype" w:cs="Times New Roman"/>
          <w:noProof/>
          <w:sz w:val="20"/>
          <w:szCs w:val="24"/>
        </w:rPr>
        <w:t xml:space="preserve"> </w:t>
      </w:r>
      <w:r>
        <w:rPr>
          <w:rFonts w:ascii="Palatino Linotype" w:hAnsi="Palatino Linotype" w:cs="Times New Roman"/>
          <w:b/>
          <w:bCs/>
          <w:noProof/>
          <w:sz w:val="20"/>
          <w:szCs w:val="24"/>
        </w:rPr>
        <w:t>2000</w:t>
      </w:r>
      <w:r>
        <w:rPr>
          <w:rFonts w:ascii="Palatino Linotype" w:hAnsi="Palatino Linotype" w:cs="Times New Roman"/>
          <w:noProof/>
          <w:sz w:val="20"/>
          <w:szCs w:val="24"/>
        </w:rPr>
        <w:t xml:space="preserve">, </w:t>
      </w:r>
      <w:r>
        <w:rPr>
          <w:rFonts w:ascii="Palatino Linotype" w:hAnsi="Palatino Linotype" w:cs="Times New Roman"/>
          <w:i/>
          <w:iCs/>
          <w:noProof/>
          <w:sz w:val="20"/>
          <w:szCs w:val="24"/>
        </w:rPr>
        <w:t>28</w:t>
      </w:r>
      <w:r>
        <w:rPr>
          <w:rFonts w:ascii="Palatino Linotype" w:hAnsi="Palatino Linotype" w:cs="Times New Roman"/>
          <w:noProof/>
          <w:sz w:val="20"/>
          <w:szCs w:val="24"/>
        </w:rPr>
        <w:t>, 27–30, doi:10.1093/nar/28.1.27.</w:t>
      </w:r>
    </w:p>
    <w:p w:rsidR="007A285A" w:rsidRDefault="00F05CFB">
      <w:pPr>
        <w:pStyle w:val="MDPI21heading1"/>
        <w:spacing w:line="276" w:lineRule="auto"/>
        <w:ind w:left="0" w:right="386"/>
        <w:rPr>
          <w:rFonts w:eastAsia="SimSun"/>
          <w:b w:val="0"/>
        </w:rPr>
      </w:pPr>
      <w:r>
        <w:rPr>
          <w:rFonts w:eastAsia="SimSun"/>
          <w:b w:val="0"/>
        </w:rPr>
        <w:fldChar w:fldCharType="end"/>
      </w:r>
    </w:p>
    <w:p w:rsidR="007A285A" w:rsidRDefault="00F05CFB">
      <w:pPr>
        <w:rPr>
          <w:rFonts w:ascii="Palatino Linotype" w:eastAsia="Times New Roman" w:hAnsi="Palatino Linotype" w:cs="Cordia New"/>
          <w:color w:val="000000"/>
          <w:sz w:val="18"/>
          <w:lang w:eastAsia="de-DE" w:bidi="en-US"/>
        </w:rPr>
      </w:pPr>
      <w:r>
        <w:br w:type="page"/>
      </w:r>
    </w:p>
    <w:p w:rsidR="007A285A" w:rsidRDefault="00F05CFB">
      <w:pPr>
        <w:pStyle w:val="MDPI41tablecaption"/>
        <w:spacing w:line="360" w:lineRule="auto"/>
        <w:ind w:left="360" w:right="386"/>
      </w:pPr>
      <w:r>
        <w:lastRenderedPageBreak/>
        <w:t xml:space="preserve">Supplementary Table 1: Morphometric features describing density, area, </w:t>
      </w:r>
      <w:proofErr w:type="spellStart"/>
      <w:r w:rsidR="006B29D2">
        <w:t>colour</w:t>
      </w:r>
      <w:proofErr w:type="spellEnd"/>
      <w:r>
        <w:t xml:space="preserve">, shape or compactness of regions of interest. Segments 1 and 2 are regions of interest created by the </w:t>
      </w:r>
      <w:proofErr w:type="spellStart"/>
      <w:r>
        <w:t>Definiens</w:t>
      </w:r>
      <w:proofErr w:type="spellEnd"/>
      <w:r>
        <w:t xml:space="preserve"> software based on </w:t>
      </w:r>
      <w:proofErr w:type="spellStart"/>
      <w:r w:rsidR="006B29D2">
        <w:t>colour</w:t>
      </w:r>
      <w:proofErr w:type="spellEnd"/>
      <w:r>
        <w:t xml:space="preserve"> channels.</w:t>
      </w:r>
    </w:p>
    <w:tbl>
      <w:tblPr>
        <w:tblW w:w="8550" w:type="dxa"/>
        <w:tblBorders>
          <w:top w:val="single" w:sz="4" w:space="0" w:color="auto"/>
          <w:bottom w:val="single" w:sz="4" w:space="0" w:color="auto"/>
        </w:tblBorders>
        <w:tblLook w:val="04A0" w:firstRow="1" w:lastRow="0" w:firstColumn="1" w:lastColumn="0" w:noHBand="0" w:noVBand="1"/>
      </w:tblPr>
      <w:tblGrid>
        <w:gridCol w:w="1964"/>
        <w:gridCol w:w="2093"/>
        <w:gridCol w:w="5130"/>
      </w:tblGrid>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rPr>
                <w:b/>
              </w:rPr>
            </w:pPr>
            <w:r>
              <w:rPr>
                <w:b/>
              </w:rPr>
              <w:t>identifier</w:t>
            </w:r>
          </w:p>
        </w:tc>
        <w:tc>
          <w:tcPr>
            <w:tcW w:w="1890" w:type="dxa"/>
            <w:shd w:val="clear" w:color="auto" w:fill="auto"/>
            <w:noWrap/>
            <w:vAlign w:val="bottom"/>
            <w:hideMark/>
          </w:tcPr>
          <w:p w:rsidR="007A285A" w:rsidRDefault="00F05CFB">
            <w:pPr>
              <w:pStyle w:val="MDPI42tablebody"/>
              <w:spacing w:line="360" w:lineRule="auto"/>
              <w:ind w:left="360" w:right="386"/>
              <w:rPr>
                <w:b/>
              </w:rPr>
            </w:pPr>
            <w:r>
              <w:rPr>
                <w:b/>
              </w:rPr>
              <w:t>feature type</w:t>
            </w:r>
          </w:p>
        </w:tc>
        <w:tc>
          <w:tcPr>
            <w:tcW w:w="5130" w:type="dxa"/>
            <w:shd w:val="clear" w:color="auto" w:fill="auto"/>
            <w:noWrap/>
            <w:vAlign w:val="bottom"/>
            <w:hideMark/>
          </w:tcPr>
          <w:p w:rsidR="007A285A" w:rsidRDefault="00F05CFB">
            <w:pPr>
              <w:pStyle w:val="MDPI42tablebody"/>
              <w:spacing w:line="360" w:lineRule="auto"/>
              <w:ind w:left="360" w:right="386"/>
              <w:rPr>
                <w:b/>
              </w:rPr>
            </w:pPr>
            <w:r>
              <w:rPr>
                <w:b/>
              </w:rPr>
              <w:t>description</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w:t>
            </w:r>
          </w:p>
        </w:tc>
        <w:tc>
          <w:tcPr>
            <w:tcW w:w="1890" w:type="dxa"/>
            <w:shd w:val="clear" w:color="auto" w:fill="auto"/>
            <w:noWrap/>
            <w:vAlign w:val="bottom"/>
            <w:hideMark/>
          </w:tcPr>
          <w:p w:rsidR="007A285A" w:rsidRDefault="00F05CFB">
            <w:pPr>
              <w:pStyle w:val="MDPI42tablebody"/>
              <w:spacing w:line="360" w:lineRule="auto"/>
              <w:ind w:left="360" w:right="386"/>
            </w:pPr>
            <w:r>
              <w:t>density</w:t>
            </w:r>
          </w:p>
        </w:tc>
        <w:tc>
          <w:tcPr>
            <w:tcW w:w="5130" w:type="dxa"/>
            <w:shd w:val="clear" w:color="auto" w:fill="auto"/>
            <w:noWrap/>
            <w:vAlign w:val="bottom"/>
            <w:hideMark/>
          </w:tcPr>
          <w:p w:rsidR="007A285A" w:rsidRDefault="00F05CFB">
            <w:pPr>
              <w:pStyle w:val="MDPI42tablebody"/>
              <w:spacing w:line="360" w:lineRule="auto"/>
              <w:ind w:left="360" w:right="386"/>
            </w:pPr>
            <w:r>
              <w:t>cell density</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morph_2</w:t>
            </w:r>
          </w:p>
        </w:tc>
        <w:tc>
          <w:tcPr>
            <w:tcW w:w="1890" w:type="dxa"/>
            <w:shd w:val="clear" w:color="auto" w:fill="auto"/>
            <w:noWrap/>
            <w:vAlign w:val="bottom"/>
            <w:hideMark/>
          </w:tcPr>
          <w:p w:rsidR="007A285A" w:rsidRDefault="00F05CFB">
            <w:pPr>
              <w:pStyle w:val="MDPI42tablebody"/>
              <w:spacing w:line="360" w:lineRule="auto"/>
              <w:ind w:left="360" w:right="386"/>
            </w:pPr>
            <w:r>
              <w:t>area</w:t>
            </w:r>
          </w:p>
        </w:tc>
        <w:tc>
          <w:tcPr>
            <w:tcW w:w="5130" w:type="dxa"/>
            <w:shd w:val="clear" w:color="auto" w:fill="auto"/>
            <w:noWrap/>
            <w:vAlign w:val="bottom"/>
            <w:hideMark/>
          </w:tcPr>
          <w:p w:rsidR="007A285A" w:rsidRDefault="00F05CFB">
            <w:pPr>
              <w:pStyle w:val="MDPI42tablebody"/>
              <w:spacing w:line="360" w:lineRule="auto"/>
              <w:ind w:left="360" w:right="386"/>
            </w:pPr>
            <w:r>
              <w:t>avg. cell area</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morph_3</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avg. brownness (cell)</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morph_4</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avg. brownness (cytoplasm)</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morph_5</w:t>
            </w:r>
          </w:p>
          <w:p w:rsidR="007A285A" w:rsidRDefault="007A285A">
            <w:pPr>
              <w:pStyle w:val="MDPI42tablebody"/>
              <w:spacing w:line="360" w:lineRule="auto"/>
              <w:ind w:left="360" w:right="386"/>
            </w:pP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p w:rsidR="007A285A" w:rsidRDefault="007A285A">
            <w:pPr>
              <w:pStyle w:val="MDPI42tablebody"/>
              <w:spacing w:line="360" w:lineRule="auto"/>
              <w:ind w:left="360" w:right="386"/>
            </w:pPr>
          </w:p>
        </w:tc>
        <w:tc>
          <w:tcPr>
            <w:tcW w:w="5130" w:type="dxa"/>
            <w:shd w:val="clear" w:color="auto" w:fill="auto"/>
            <w:noWrap/>
            <w:vAlign w:val="bottom"/>
            <w:hideMark/>
          </w:tcPr>
          <w:p w:rsidR="007A285A" w:rsidRDefault="00F05CFB">
            <w:pPr>
              <w:pStyle w:val="MDPI42tablebody"/>
              <w:spacing w:line="360" w:lineRule="auto"/>
              <w:ind w:left="360" w:right="386"/>
            </w:pPr>
            <w:r>
              <w:t xml:space="preserve">avg. nucleus brownness / avg. </w:t>
            </w:r>
            <w:r>
              <w:t>cytoplasm brownness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morph_6</w:t>
            </w:r>
          </w:p>
        </w:tc>
        <w:tc>
          <w:tcPr>
            <w:tcW w:w="1890" w:type="dxa"/>
            <w:shd w:val="clear" w:color="auto" w:fill="auto"/>
            <w:noWrap/>
            <w:vAlign w:val="bottom"/>
            <w:hideMark/>
          </w:tcPr>
          <w:p w:rsidR="007A285A" w:rsidRDefault="00F05CFB">
            <w:pPr>
              <w:pStyle w:val="MDPI42tablebody"/>
              <w:spacing w:line="360" w:lineRule="auto"/>
              <w:ind w:left="360" w:right="386"/>
            </w:pPr>
            <w:r>
              <w:t>area</w:t>
            </w:r>
          </w:p>
        </w:tc>
        <w:tc>
          <w:tcPr>
            <w:tcW w:w="5130" w:type="dxa"/>
            <w:shd w:val="clear" w:color="auto" w:fill="auto"/>
            <w:noWrap/>
            <w:vAlign w:val="bottom"/>
            <w:hideMark/>
          </w:tcPr>
          <w:p w:rsidR="007A285A" w:rsidRDefault="00F05CFB">
            <w:pPr>
              <w:pStyle w:val="MDPI42tablebody"/>
              <w:spacing w:line="360" w:lineRule="auto"/>
              <w:ind w:left="360" w:right="386"/>
            </w:pPr>
            <w:r>
              <w:t>avg. area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morph_7</w:t>
            </w:r>
          </w:p>
        </w:tc>
        <w:tc>
          <w:tcPr>
            <w:tcW w:w="1890" w:type="dxa"/>
            <w:shd w:val="clear" w:color="auto" w:fill="auto"/>
            <w:noWrap/>
            <w:vAlign w:val="bottom"/>
            <w:hideMark/>
          </w:tcPr>
          <w:p w:rsidR="007A285A" w:rsidRDefault="00F05CFB">
            <w:pPr>
              <w:pStyle w:val="MDPI42tablebody"/>
              <w:spacing w:line="360" w:lineRule="auto"/>
              <w:ind w:left="360" w:right="386"/>
            </w:pPr>
            <w:r>
              <w:t>area</w:t>
            </w:r>
          </w:p>
        </w:tc>
        <w:tc>
          <w:tcPr>
            <w:tcW w:w="5130" w:type="dxa"/>
            <w:shd w:val="clear" w:color="auto" w:fill="auto"/>
            <w:noWrap/>
            <w:vAlign w:val="bottom"/>
            <w:hideMark/>
          </w:tcPr>
          <w:p w:rsidR="007A285A" w:rsidRDefault="00F05CFB">
            <w:pPr>
              <w:pStyle w:val="MDPI42tablebody"/>
              <w:spacing w:line="360" w:lineRule="auto"/>
              <w:ind w:left="360" w:right="386"/>
            </w:pPr>
            <w:r>
              <w:t>std. dev. area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morph_8</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avg. roundness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morph_9</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std. dev. roundness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morph_10</w:t>
            </w:r>
          </w:p>
        </w:tc>
        <w:tc>
          <w:tcPr>
            <w:tcW w:w="1890" w:type="dxa"/>
            <w:shd w:val="clear" w:color="auto" w:fill="auto"/>
            <w:noWrap/>
            <w:vAlign w:val="bottom"/>
            <w:hideMark/>
          </w:tcPr>
          <w:p w:rsidR="007A285A" w:rsidRDefault="00F05CFB">
            <w:pPr>
              <w:pStyle w:val="MDPI42tablebody"/>
              <w:spacing w:line="360" w:lineRule="auto"/>
              <w:ind w:left="360" w:right="386"/>
            </w:pPr>
            <w:r>
              <w:t>compactness</w:t>
            </w:r>
          </w:p>
        </w:tc>
        <w:tc>
          <w:tcPr>
            <w:tcW w:w="5130" w:type="dxa"/>
            <w:shd w:val="clear" w:color="auto" w:fill="auto"/>
            <w:noWrap/>
            <w:vAlign w:val="bottom"/>
            <w:hideMark/>
          </w:tcPr>
          <w:p w:rsidR="007A285A" w:rsidRDefault="00F05CFB">
            <w:pPr>
              <w:pStyle w:val="MDPI42tablebody"/>
              <w:spacing w:line="360" w:lineRule="auto"/>
              <w:ind w:left="360" w:right="386"/>
            </w:pPr>
            <w:r>
              <w:t>avg. compactness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morph_11</w:t>
            </w:r>
          </w:p>
        </w:tc>
        <w:tc>
          <w:tcPr>
            <w:tcW w:w="1890" w:type="dxa"/>
            <w:shd w:val="clear" w:color="auto" w:fill="auto"/>
            <w:noWrap/>
            <w:vAlign w:val="bottom"/>
            <w:hideMark/>
          </w:tcPr>
          <w:p w:rsidR="007A285A" w:rsidRDefault="00F05CFB">
            <w:pPr>
              <w:pStyle w:val="MDPI42tablebody"/>
              <w:spacing w:line="360" w:lineRule="auto"/>
              <w:ind w:left="360" w:right="386"/>
            </w:pPr>
            <w:r>
              <w:t>compactness</w:t>
            </w:r>
          </w:p>
        </w:tc>
        <w:tc>
          <w:tcPr>
            <w:tcW w:w="5130" w:type="dxa"/>
            <w:shd w:val="clear" w:color="auto" w:fill="auto"/>
            <w:noWrap/>
            <w:vAlign w:val="bottom"/>
            <w:hideMark/>
          </w:tcPr>
          <w:p w:rsidR="007A285A" w:rsidRDefault="00F05CFB">
            <w:pPr>
              <w:pStyle w:val="MDPI42tablebody"/>
              <w:spacing w:line="360" w:lineRule="auto"/>
              <w:ind w:left="360" w:right="386"/>
            </w:pPr>
            <w:r>
              <w:t xml:space="preserve">std. </w:t>
            </w:r>
            <w:r>
              <w:t>dev. compactness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morph_12</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avg. shape index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morph_13</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std. dev. shape index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morph_14</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avg. layer 1 - red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morph_15</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std. dev. layer 1 - red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morph_16</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 xml:space="preserve">avg. layer  -green </w:t>
            </w:r>
            <w:r>
              <w:t>(nucleus)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morph_17</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std. dev. layer 1 - green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morph_18</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avg. layer 1 - blue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morph_19</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std. dev. layer 1 - blue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morph_20</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avg. length/width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morph_21</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std. dev. length/width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morph_22</w:t>
            </w:r>
          </w:p>
        </w:tc>
        <w:tc>
          <w:tcPr>
            <w:tcW w:w="1890" w:type="dxa"/>
            <w:shd w:val="clear" w:color="auto" w:fill="auto"/>
            <w:noWrap/>
            <w:vAlign w:val="bottom"/>
            <w:hideMark/>
          </w:tcPr>
          <w:p w:rsidR="007A285A" w:rsidRDefault="00F05CFB">
            <w:pPr>
              <w:pStyle w:val="MDPI42tablebody"/>
              <w:spacing w:line="360" w:lineRule="auto"/>
              <w:ind w:left="360" w:right="386"/>
            </w:pPr>
            <w:r>
              <w:t>density</w:t>
            </w:r>
          </w:p>
        </w:tc>
        <w:tc>
          <w:tcPr>
            <w:tcW w:w="5130" w:type="dxa"/>
            <w:shd w:val="clear" w:color="auto" w:fill="auto"/>
            <w:noWrap/>
            <w:vAlign w:val="bottom"/>
            <w:hideMark/>
          </w:tcPr>
          <w:p w:rsidR="007A285A" w:rsidRDefault="00F05CFB">
            <w:pPr>
              <w:pStyle w:val="MDPI42tablebody"/>
              <w:spacing w:line="360" w:lineRule="auto"/>
              <w:ind w:left="360" w:right="386"/>
            </w:pPr>
            <w:r>
              <w:t>avg. density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morph_23</w:t>
            </w:r>
          </w:p>
        </w:tc>
        <w:tc>
          <w:tcPr>
            <w:tcW w:w="1890" w:type="dxa"/>
            <w:shd w:val="clear" w:color="auto" w:fill="auto"/>
            <w:noWrap/>
            <w:vAlign w:val="bottom"/>
            <w:hideMark/>
          </w:tcPr>
          <w:p w:rsidR="007A285A" w:rsidRDefault="00F05CFB">
            <w:pPr>
              <w:pStyle w:val="MDPI42tablebody"/>
              <w:spacing w:line="360" w:lineRule="auto"/>
              <w:ind w:left="360" w:right="386"/>
            </w:pPr>
            <w:r>
              <w:t>density</w:t>
            </w:r>
          </w:p>
        </w:tc>
        <w:tc>
          <w:tcPr>
            <w:tcW w:w="5130" w:type="dxa"/>
            <w:shd w:val="clear" w:color="auto" w:fill="auto"/>
            <w:noWrap/>
            <w:vAlign w:val="bottom"/>
            <w:hideMark/>
          </w:tcPr>
          <w:p w:rsidR="007A285A" w:rsidRDefault="00F05CFB">
            <w:pPr>
              <w:pStyle w:val="MDPI42tablebody"/>
              <w:spacing w:line="360" w:lineRule="auto"/>
              <w:ind w:left="360" w:right="386"/>
            </w:pPr>
            <w:r>
              <w:t>std. dev. density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morph_24</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avg. elliptic fit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morph_25</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std. dev. elliptic Fit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morph_26</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avg. brownness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lastRenderedPageBreak/>
              <w:t>morph_27</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 xml:space="preserve">std. dev. brownness </w:t>
            </w:r>
            <w:r>
              <w:t>(nucleus)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morph_28</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 xml:space="preserve">avg. </w:t>
            </w:r>
            <w:proofErr w:type="spellStart"/>
            <w:r>
              <w:t>hematoxylin</w:t>
            </w:r>
            <w:proofErr w:type="spellEnd"/>
            <w:r>
              <w:t xml:space="preserve"> intensity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morph_29</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 xml:space="preserve">std. dev. </w:t>
            </w:r>
            <w:proofErr w:type="spellStart"/>
            <w:r>
              <w:t>hematoxylin</w:t>
            </w:r>
            <w:proofErr w:type="spellEnd"/>
            <w:r>
              <w:t xml:space="preserve"> intensity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morph_30</w:t>
            </w:r>
          </w:p>
        </w:tc>
        <w:tc>
          <w:tcPr>
            <w:tcW w:w="1890" w:type="dxa"/>
            <w:shd w:val="clear" w:color="auto" w:fill="auto"/>
            <w:noWrap/>
            <w:vAlign w:val="bottom"/>
            <w:hideMark/>
          </w:tcPr>
          <w:p w:rsidR="007A285A" w:rsidRDefault="00F05CFB">
            <w:pPr>
              <w:pStyle w:val="MDPI42tablebody"/>
              <w:spacing w:line="360" w:lineRule="auto"/>
              <w:ind w:left="360" w:right="386"/>
            </w:pPr>
            <w:r>
              <w:t>density</w:t>
            </w:r>
          </w:p>
        </w:tc>
        <w:tc>
          <w:tcPr>
            <w:tcW w:w="5130" w:type="dxa"/>
            <w:shd w:val="clear" w:color="auto" w:fill="auto"/>
            <w:noWrap/>
            <w:vAlign w:val="bottom"/>
            <w:hideMark/>
          </w:tcPr>
          <w:p w:rsidR="007A285A" w:rsidRDefault="00F05CFB">
            <w:pPr>
              <w:pStyle w:val="MDPI42tablebody"/>
              <w:spacing w:line="360" w:lineRule="auto"/>
              <w:ind w:left="360" w:right="386"/>
            </w:pPr>
            <w:r>
              <w:t>avg. optical density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morph_31</w:t>
            </w:r>
          </w:p>
        </w:tc>
        <w:tc>
          <w:tcPr>
            <w:tcW w:w="1890" w:type="dxa"/>
            <w:shd w:val="clear" w:color="auto" w:fill="auto"/>
            <w:noWrap/>
            <w:vAlign w:val="bottom"/>
            <w:hideMark/>
          </w:tcPr>
          <w:p w:rsidR="007A285A" w:rsidRDefault="00F05CFB">
            <w:pPr>
              <w:pStyle w:val="MDPI42tablebody"/>
              <w:spacing w:line="360" w:lineRule="auto"/>
              <w:ind w:left="360" w:right="386"/>
            </w:pPr>
            <w:r>
              <w:t>density</w:t>
            </w:r>
          </w:p>
        </w:tc>
        <w:tc>
          <w:tcPr>
            <w:tcW w:w="5130" w:type="dxa"/>
            <w:shd w:val="clear" w:color="auto" w:fill="auto"/>
            <w:noWrap/>
            <w:vAlign w:val="bottom"/>
            <w:hideMark/>
          </w:tcPr>
          <w:p w:rsidR="007A285A" w:rsidRDefault="00F05CFB">
            <w:pPr>
              <w:pStyle w:val="MDPI42tablebody"/>
              <w:spacing w:line="360" w:lineRule="auto"/>
              <w:ind w:left="360" w:right="386"/>
            </w:pPr>
            <w:r>
              <w:t>std. dev. optical density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morph_32</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avg. circularity</w:t>
            </w:r>
            <w:r>
              <w:t xml:space="preserve">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morph_33</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std. dev. circularity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morph_34</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 xml:space="preserve">avg. </w:t>
            </w:r>
            <w:proofErr w:type="spellStart"/>
            <w:r>
              <w:t>ellipticity</w:t>
            </w:r>
            <w:proofErr w:type="spellEnd"/>
            <w:r>
              <w:t xml:space="preserve">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morph_35</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 xml:space="preserve">std. dev. </w:t>
            </w:r>
            <w:proofErr w:type="spellStart"/>
            <w:r>
              <w:t>ellipticity</w:t>
            </w:r>
            <w:proofErr w:type="spellEnd"/>
            <w:r>
              <w:t xml:space="preserve"> (nucleus)</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morph_36</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avg. layer 1 - red (cytoplasm)</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morph_37</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std. dev. layer 1 - red (cytoplasm)</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morph_38</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avg. layer  - green (cytoplasm)</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morph_39</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std. dev. layer 1 - green (cytoplasm)</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morph_40</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avg. layer 1 - blue (cytoplasm)</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morph_41</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std. dev. layer 1 - blue (cytoplasm)</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morph_42</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avg. brownness (cytoplasm)</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morph_43</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std. dev. brownness (cytoplasm)</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morph_44</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 xml:space="preserve">avg. </w:t>
            </w:r>
            <w:proofErr w:type="spellStart"/>
            <w:r>
              <w:t>hematoxylin</w:t>
            </w:r>
            <w:proofErr w:type="spellEnd"/>
            <w:r>
              <w:t xml:space="preserve"> intensity (cytoplasm)</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morph_45</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 xml:space="preserve">std. dev. </w:t>
            </w:r>
            <w:proofErr w:type="spellStart"/>
            <w:r>
              <w:t>hematoxylin</w:t>
            </w:r>
            <w:proofErr w:type="spellEnd"/>
            <w:r>
              <w:t xml:space="preserve"> intensity (cytoplasm)</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morph_46</w:t>
            </w:r>
          </w:p>
        </w:tc>
        <w:tc>
          <w:tcPr>
            <w:tcW w:w="1890" w:type="dxa"/>
            <w:shd w:val="clear" w:color="auto" w:fill="auto"/>
            <w:noWrap/>
            <w:vAlign w:val="bottom"/>
            <w:hideMark/>
          </w:tcPr>
          <w:p w:rsidR="007A285A" w:rsidRDefault="00F05CFB">
            <w:pPr>
              <w:pStyle w:val="MDPI42tablebody"/>
              <w:spacing w:line="360" w:lineRule="auto"/>
              <w:ind w:left="360" w:right="386"/>
            </w:pPr>
            <w:r>
              <w:t>density</w:t>
            </w:r>
          </w:p>
        </w:tc>
        <w:tc>
          <w:tcPr>
            <w:tcW w:w="5130" w:type="dxa"/>
            <w:shd w:val="clear" w:color="auto" w:fill="auto"/>
            <w:noWrap/>
            <w:vAlign w:val="bottom"/>
            <w:hideMark/>
          </w:tcPr>
          <w:p w:rsidR="007A285A" w:rsidRDefault="00F05CFB">
            <w:pPr>
              <w:pStyle w:val="MDPI42tablebody"/>
              <w:spacing w:line="360" w:lineRule="auto"/>
              <w:ind w:left="360" w:right="386"/>
            </w:pPr>
            <w:r>
              <w:t>avg. optical density (cytoplasm)</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morph_47</w:t>
            </w:r>
          </w:p>
        </w:tc>
        <w:tc>
          <w:tcPr>
            <w:tcW w:w="1890" w:type="dxa"/>
            <w:shd w:val="clear" w:color="auto" w:fill="auto"/>
            <w:noWrap/>
            <w:vAlign w:val="bottom"/>
            <w:hideMark/>
          </w:tcPr>
          <w:p w:rsidR="007A285A" w:rsidRDefault="00F05CFB">
            <w:pPr>
              <w:pStyle w:val="MDPI42tablebody"/>
              <w:spacing w:line="360" w:lineRule="auto"/>
              <w:ind w:left="360" w:right="386"/>
            </w:pPr>
            <w:r>
              <w:t>density</w:t>
            </w:r>
          </w:p>
        </w:tc>
        <w:tc>
          <w:tcPr>
            <w:tcW w:w="5130" w:type="dxa"/>
            <w:shd w:val="clear" w:color="auto" w:fill="auto"/>
            <w:noWrap/>
            <w:vAlign w:val="bottom"/>
            <w:hideMark/>
          </w:tcPr>
          <w:p w:rsidR="007A285A" w:rsidRDefault="00F05CFB">
            <w:pPr>
              <w:pStyle w:val="MDPI42tablebody"/>
              <w:spacing w:line="360" w:lineRule="auto"/>
              <w:ind w:left="360" w:right="386"/>
            </w:pPr>
            <w:r>
              <w:t xml:space="preserve">std. dev. optical density </w:t>
            </w:r>
            <w:r>
              <w:t>(cytoplasm)</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morph_48</w:t>
            </w:r>
          </w:p>
        </w:tc>
        <w:tc>
          <w:tcPr>
            <w:tcW w:w="1890" w:type="dxa"/>
            <w:shd w:val="clear" w:color="auto" w:fill="auto"/>
            <w:noWrap/>
            <w:vAlign w:val="bottom"/>
            <w:hideMark/>
          </w:tcPr>
          <w:p w:rsidR="007A285A" w:rsidRDefault="00F05CFB">
            <w:pPr>
              <w:pStyle w:val="MDPI42tablebody"/>
              <w:spacing w:line="360" w:lineRule="auto"/>
              <w:ind w:left="360" w:right="386"/>
            </w:pPr>
            <w:r>
              <w:t>area</w:t>
            </w:r>
          </w:p>
        </w:tc>
        <w:tc>
          <w:tcPr>
            <w:tcW w:w="5130" w:type="dxa"/>
            <w:shd w:val="clear" w:color="auto" w:fill="auto"/>
            <w:noWrap/>
            <w:vAlign w:val="bottom"/>
            <w:hideMark/>
          </w:tcPr>
          <w:p w:rsidR="007A285A" w:rsidRDefault="00F05CFB">
            <w:pPr>
              <w:pStyle w:val="MDPI42tablebody"/>
              <w:spacing w:line="360" w:lineRule="auto"/>
              <w:ind w:left="360" w:right="386"/>
            </w:pPr>
            <w:r>
              <w:t>avg. area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morph_49</w:t>
            </w:r>
          </w:p>
        </w:tc>
        <w:tc>
          <w:tcPr>
            <w:tcW w:w="1890" w:type="dxa"/>
            <w:shd w:val="clear" w:color="auto" w:fill="auto"/>
            <w:noWrap/>
            <w:vAlign w:val="bottom"/>
            <w:hideMark/>
          </w:tcPr>
          <w:p w:rsidR="007A285A" w:rsidRDefault="00F05CFB">
            <w:pPr>
              <w:pStyle w:val="MDPI42tablebody"/>
              <w:spacing w:line="360" w:lineRule="auto"/>
              <w:ind w:left="360" w:right="386"/>
            </w:pPr>
            <w:r>
              <w:t>area</w:t>
            </w:r>
          </w:p>
        </w:tc>
        <w:tc>
          <w:tcPr>
            <w:tcW w:w="5130" w:type="dxa"/>
            <w:shd w:val="clear" w:color="auto" w:fill="auto"/>
            <w:noWrap/>
            <w:vAlign w:val="bottom"/>
            <w:hideMark/>
          </w:tcPr>
          <w:p w:rsidR="007A285A" w:rsidRDefault="00F05CFB">
            <w:pPr>
              <w:pStyle w:val="MDPI42tablebody"/>
              <w:spacing w:line="360" w:lineRule="auto"/>
              <w:ind w:left="360" w:right="386"/>
            </w:pPr>
            <w:r>
              <w:t>std. dev. area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morph_50</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avg. roundness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morph_51</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std. dev. roundness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morph_52</w:t>
            </w:r>
          </w:p>
        </w:tc>
        <w:tc>
          <w:tcPr>
            <w:tcW w:w="1890" w:type="dxa"/>
            <w:shd w:val="clear" w:color="auto" w:fill="auto"/>
            <w:noWrap/>
            <w:vAlign w:val="bottom"/>
            <w:hideMark/>
          </w:tcPr>
          <w:p w:rsidR="007A285A" w:rsidRDefault="00F05CFB">
            <w:pPr>
              <w:pStyle w:val="MDPI42tablebody"/>
              <w:spacing w:line="360" w:lineRule="auto"/>
              <w:ind w:left="360" w:right="386"/>
            </w:pPr>
            <w:r>
              <w:t>compactness</w:t>
            </w:r>
          </w:p>
        </w:tc>
        <w:tc>
          <w:tcPr>
            <w:tcW w:w="5130" w:type="dxa"/>
            <w:shd w:val="clear" w:color="auto" w:fill="auto"/>
            <w:noWrap/>
            <w:vAlign w:val="bottom"/>
            <w:hideMark/>
          </w:tcPr>
          <w:p w:rsidR="007A285A" w:rsidRDefault="00F05CFB">
            <w:pPr>
              <w:pStyle w:val="MDPI42tablebody"/>
              <w:spacing w:line="360" w:lineRule="auto"/>
              <w:ind w:left="360" w:right="386"/>
            </w:pPr>
            <w:r>
              <w:t>avg. compactness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morph_53</w:t>
            </w:r>
          </w:p>
        </w:tc>
        <w:tc>
          <w:tcPr>
            <w:tcW w:w="1890" w:type="dxa"/>
            <w:shd w:val="clear" w:color="auto" w:fill="auto"/>
            <w:noWrap/>
            <w:vAlign w:val="bottom"/>
            <w:hideMark/>
          </w:tcPr>
          <w:p w:rsidR="007A285A" w:rsidRDefault="00F05CFB">
            <w:pPr>
              <w:pStyle w:val="MDPI42tablebody"/>
              <w:spacing w:line="360" w:lineRule="auto"/>
              <w:ind w:left="360" w:right="386"/>
            </w:pPr>
            <w:r>
              <w:t>compactness</w:t>
            </w:r>
          </w:p>
        </w:tc>
        <w:tc>
          <w:tcPr>
            <w:tcW w:w="5130" w:type="dxa"/>
            <w:shd w:val="clear" w:color="auto" w:fill="auto"/>
            <w:noWrap/>
            <w:vAlign w:val="bottom"/>
            <w:hideMark/>
          </w:tcPr>
          <w:p w:rsidR="007A285A" w:rsidRDefault="00F05CFB">
            <w:pPr>
              <w:pStyle w:val="MDPI42tablebody"/>
              <w:spacing w:line="360" w:lineRule="auto"/>
              <w:ind w:left="360" w:right="386"/>
            </w:pPr>
            <w:r>
              <w:t>std. dev. compactness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morph_54</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avg. shape index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morph_55</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std. dev. shape index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morph_56</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avg. layer 1 - red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morph_57</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std. dev. layer 1 - red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lastRenderedPageBreak/>
              <w:t>morph_58</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avg. layer - green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morph_59</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std. dev. layer 1 - green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morph_60</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avg. layer 1 - blue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morph_61</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std. dev. layer 1 - blue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morph_62</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avg. length/width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morph_63</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std. dev. length/width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morph_64</w:t>
            </w:r>
          </w:p>
        </w:tc>
        <w:tc>
          <w:tcPr>
            <w:tcW w:w="1890" w:type="dxa"/>
            <w:shd w:val="clear" w:color="auto" w:fill="auto"/>
            <w:noWrap/>
            <w:vAlign w:val="bottom"/>
            <w:hideMark/>
          </w:tcPr>
          <w:p w:rsidR="007A285A" w:rsidRDefault="00F05CFB">
            <w:pPr>
              <w:pStyle w:val="MDPI42tablebody"/>
              <w:spacing w:line="360" w:lineRule="auto"/>
              <w:ind w:left="360" w:right="386"/>
            </w:pPr>
            <w:r>
              <w:t>density</w:t>
            </w:r>
          </w:p>
        </w:tc>
        <w:tc>
          <w:tcPr>
            <w:tcW w:w="5130" w:type="dxa"/>
            <w:shd w:val="clear" w:color="auto" w:fill="auto"/>
            <w:noWrap/>
            <w:vAlign w:val="bottom"/>
            <w:hideMark/>
          </w:tcPr>
          <w:p w:rsidR="007A285A" w:rsidRDefault="00F05CFB">
            <w:pPr>
              <w:pStyle w:val="MDPI42tablebody"/>
              <w:spacing w:line="360" w:lineRule="auto"/>
              <w:ind w:left="360" w:right="386"/>
            </w:pPr>
            <w:r>
              <w:t>avg. density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morph_65</w:t>
            </w:r>
          </w:p>
        </w:tc>
        <w:tc>
          <w:tcPr>
            <w:tcW w:w="1890" w:type="dxa"/>
            <w:shd w:val="clear" w:color="auto" w:fill="auto"/>
            <w:noWrap/>
            <w:vAlign w:val="bottom"/>
            <w:hideMark/>
          </w:tcPr>
          <w:p w:rsidR="007A285A" w:rsidRDefault="00F05CFB">
            <w:pPr>
              <w:pStyle w:val="MDPI42tablebody"/>
              <w:spacing w:line="360" w:lineRule="auto"/>
              <w:ind w:left="360" w:right="386"/>
            </w:pPr>
            <w:r>
              <w:t>density</w:t>
            </w:r>
          </w:p>
        </w:tc>
        <w:tc>
          <w:tcPr>
            <w:tcW w:w="5130" w:type="dxa"/>
            <w:shd w:val="clear" w:color="auto" w:fill="auto"/>
            <w:noWrap/>
            <w:vAlign w:val="bottom"/>
            <w:hideMark/>
          </w:tcPr>
          <w:p w:rsidR="007A285A" w:rsidRDefault="00F05CFB">
            <w:pPr>
              <w:pStyle w:val="MDPI42tablebody"/>
              <w:spacing w:line="360" w:lineRule="auto"/>
              <w:ind w:left="360" w:right="386"/>
            </w:pPr>
            <w:r>
              <w:t>std. dev. density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morph_66</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avg. elliptic fit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morph_67</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std. dev. Elliptic fit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morph_68</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 xml:space="preserve">avg. brownness </w:t>
            </w:r>
            <w:r>
              <w:t>(segment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morph_69</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std. dev. brownness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morph_70</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 xml:space="preserve">avg. </w:t>
            </w:r>
            <w:proofErr w:type="spellStart"/>
            <w:r>
              <w:t>hematoxylin</w:t>
            </w:r>
            <w:proofErr w:type="spellEnd"/>
            <w:r>
              <w:t xml:space="preserve"> intensity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morph_71</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 xml:space="preserve">std. dev. </w:t>
            </w:r>
            <w:proofErr w:type="spellStart"/>
            <w:r>
              <w:t>hematoxylin</w:t>
            </w:r>
            <w:proofErr w:type="spellEnd"/>
            <w:r>
              <w:t xml:space="preserve"> intensity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morph_72</w:t>
            </w:r>
          </w:p>
        </w:tc>
        <w:tc>
          <w:tcPr>
            <w:tcW w:w="1890" w:type="dxa"/>
            <w:shd w:val="clear" w:color="auto" w:fill="auto"/>
            <w:noWrap/>
            <w:vAlign w:val="bottom"/>
            <w:hideMark/>
          </w:tcPr>
          <w:p w:rsidR="007A285A" w:rsidRDefault="00F05CFB">
            <w:pPr>
              <w:pStyle w:val="MDPI42tablebody"/>
              <w:spacing w:line="360" w:lineRule="auto"/>
              <w:ind w:left="360" w:right="386"/>
            </w:pPr>
            <w:r>
              <w:t>density</w:t>
            </w:r>
          </w:p>
        </w:tc>
        <w:tc>
          <w:tcPr>
            <w:tcW w:w="5130" w:type="dxa"/>
            <w:shd w:val="clear" w:color="auto" w:fill="auto"/>
            <w:noWrap/>
            <w:vAlign w:val="bottom"/>
            <w:hideMark/>
          </w:tcPr>
          <w:p w:rsidR="007A285A" w:rsidRDefault="00F05CFB">
            <w:pPr>
              <w:pStyle w:val="MDPI42tablebody"/>
              <w:spacing w:line="360" w:lineRule="auto"/>
              <w:ind w:left="360" w:right="386"/>
            </w:pPr>
            <w:r>
              <w:t>avg. optical density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morph_73</w:t>
            </w:r>
          </w:p>
        </w:tc>
        <w:tc>
          <w:tcPr>
            <w:tcW w:w="1890" w:type="dxa"/>
            <w:shd w:val="clear" w:color="auto" w:fill="auto"/>
            <w:noWrap/>
            <w:vAlign w:val="bottom"/>
            <w:hideMark/>
          </w:tcPr>
          <w:p w:rsidR="007A285A" w:rsidRDefault="00F05CFB">
            <w:pPr>
              <w:pStyle w:val="MDPI42tablebody"/>
              <w:spacing w:line="360" w:lineRule="auto"/>
              <w:ind w:left="360" w:right="386"/>
            </w:pPr>
            <w:r>
              <w:t>density</w:t>
            </w:r>
          </w:p>
        </w:tc>
        <w:tc>
          <w:tcPr>
            <w:tcW w:w="5130" w:type="dxa"/>
            <w:shd w:val="clear" w:color="auto" w:fill="auto"/>
            <w:noWrap/>
            <w:vAlign w:val="bottom"/>
            <w:hideMark/>
          </w:tcPr>
          <w:p w:rsidR="007A285A" w:rsidRDefault="00F05CFB">
            <w:pPr>
              <w:pStyle w:val="MDPI42tablebody"/>
              <w:spacing w:line="360" w:lineRule="auto"/>
              <w:ind w:left="360" w:right="386"/>
            </w:pPr>
            <w:r>
              <w:t xml:space="preserve">std. dev. </w:t>
            </w:r>
            <w:r>
              <w:t>optical density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morph_74</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avg. circularity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morph_75</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std. dev. circularity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morph_76</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 xml:space="preserve">avg. </w:t>
            </w:r>
            <w:proofErr w:type="spellStart"/>
            <w:r>
              <w:t>ellipticity</w:t>
            </w:r>
            <w:proofErr w:type="spellEnd"/>
            <w:r>
              <w:t xml:space="preserve">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morph_77</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 xml:space="preserve">std. dev. </w:t>
            </w:r>
            <w:proofErr w:type="spellStart"/>
            <w:r>
              <w:t>ellipticity</w:t>
            </w:r>
            <w:proofErr w:type="spellEnd"/>
            <w:r>
              <w:t xml:space="preserve"> (segment 1)</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morph_78</w:t>
            </w:r>
          </w:p>
        </w:tc>
        <w:tc>
          <w:tcPr>
            <w:tcW w:w="1890" w:type="dxa"/>
            <w:shd w:val="clear" w:color="auto" w:fill="auto"/>
            <w:noWrap/>
            <w:vAlign w:val="bottom"/>
            <w:hideMark/>
          </w:tcPr>
          <w:p w:rsidR="007A285A" w:rsidRDefault="00F05CFB">
            <w:pPr>
              <w:pStyle w:val="MDPI42tablebody"/>
              <w:spacing w:line="360" w:lineRule="auto"/>
              <w:ind w:left="360" w:right="386"/>
            </w:pPr>
            <w:r>
              <w:t>area</w:t>
            </w:r>
          </w:p>
        </w:tc>
        <w:tc>
          <w:tcPr>
            <w:tcW w:w="5130" w:type="dxa"/>
            <w:shd w:val="clear" w:color="auto" w:fill="auto"/>
            <w:noWrap/>
            <w:vAlign w:val="bottom"/>
            <w:hideMark/>
          </w:tcPr>
          <w:p w:rsidR="007A285A" w:rsidRDefault="00F05CFB">
            <w:pPr>
              <w:pStyle w:val="MDPI42tablebody"/>
              <w:spacing w:line="360" w:lineRule="auto"/>
              <w:ind w:left="360" w:right="386"/>
            </w:pPr>
            <w:r>
              <w:t>avg. area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morph_79</w:t>
            </w:r>
          </w:p>
        </w:tc>
        <w:tc>
          <w:tcPr>
            <w:tcW w:w="1890" w:type="dxa"/>
            <w:shd w:val="clear" w:color="auto" w:fill="auto"/>
            <w:noWrap/>
            <w:vAlign w:val="bottom"/>
            <w:hideMark/>
          </w:tcPr>
          <w:p w:rsidR="007A285A" w:rsidRDefault="00F05CFB">
            <w:pPr>
              <w:pStyle w:val="MDPI42tablebody"/>
              <w:spacing w:line="360" w:lineRule="auto"/>
              <w:ind w:left="360" w:right="386"/>
            </w:pPr>
            <w:r>
              <w:t>area</w:t>
            </w:r>
          </w:p>
        </w:tc>
        <w:tc>
          <w:tcPr>
            <w:tcW w:w="5130" w:type="dxa"/>
            <w:shd w:val="clear" w:color="auto" w:fill="auto"/>
            <w:noWrap/>
            <w:vAlign w:val="bottom"/>
            <w:hideMark/>
          </w:tcPr>
          <w:p w:rsidR="007A285A" w:rsidRDefault="00F05CFB">
            <w:pPr>
              <w:pStyle w:val="MDPI42tablebody"/>
              <w:spacing w:line="360" w:lineRule="auto"/>
              <w:ind w:left="360" w:right="386"/>
            </w:pPr>
            <w:r>
              <w:t>std. dev. area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morph_80</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avg. roundness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morph_81</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std. dev. roundness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morph_82</w:t>
            </w:r>
          </w:p>
        </w:tc>
        <w:tc>
          <w:tcPr>
            <w:tcW w:w="1890" w:type="dxa"/>
            <w:shd w:val="clear" w:color="auto" w:fill="auto"/>
            <w:noWrap/>
            <w:vAlign w:val="bottom"/>
            <w:hideMark/>
          </w:tcPr>
          <w:p w:rsidR="007A285A" w:rsidRDefault="00F05CFB">
            <w:pPr>
              <w:pStyle w:val="MDPI42tablebody"/>
              <w:spacing w:line="360" w:lineRule="auto"/>
              <w:ind w:left="360" w:right="386"/>
            </w:pPr>
            <w:r>
              <w:t>compactness</w:t>
            </w:r>
          </w:p>
        </w:tc>
        <w:tc>
          <w:tcPr>
            <w:tcW w:w="5130" w:type="dxa"/>
            <w:shd w:val="clear" w:color="auto" w:fill="auto"/>
            <w:noWrap/>
            <w:vAlign w:val="bottom"/>
            <w:hideMark/>
          </w:tcPr>
          <w:p w:rsidR="007A285A" w:rsidRDefault="00F05CFB">
            <w:pPr>
              <w:pStyle w:val="MDPI42tablebody"/>
              <w:spacing w:line="360" w:lineRule="auto"/>
              <w:ind w:left="360" w:right="386"/>
            </w:pPr>
            <w:r>
              <w:t>avg. compactness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morph_83</w:t>
            </w:r>
          </w:p>
        </w:tc>
        <w:tc>
          <w:tcPr>
            <w:tcW w:w="1890" w:type="dxa"/>
            <w:shd w:val="clear" w:color="auto" w:fill="auto"/>
            <w:noWrap/>
            <w:vAlign w:val="bottom"/>
            <w:hideMark/>
          </w:tcPr>
          <w:p w:rsidR="007A285A" w:rsidRDefault="00F05CFB">
            <w:pPr>
              <w:pStyle w:val="MDPI42tablebody"/>
              <w:spacing w:line="360" w:lineRule="auto"/>
              <w:ind w:left="360" w:right="386"/>
            </w:pPr>
            <w:r>
              <w:t>compactness</w:t>
            </w:r>
          </w:p>
        </w:tc>
        <w:tc>
          <w:tcPr>
            <w:tcW w:w="5130" w:type="dxa"/>
            <w:shd w:val="clear" w:color="auto" w:fill="auto"/>
            <w:noWrap/>
            <w:vAlign w:val="bottom"/>
            <w:hideMark/>
          </w:tcPr>
          <w:p w:rsidR="007A285A" w:rsidRDefault="00F05CFB">
            <w:pPr>
              <w:pStyle w:val="MDPI42tablebody"/>
              <w:spacing w:line="360" w:lineRule="auto"/>
              <w:ind w:left="360" w:right="386"/>
            </w:pPr>
            <w:r>
              <w:t>std. dev. compactness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morph_84</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avg. shape index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morph_85</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std. dev. shape index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morph_86</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avg. layer 1 - red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morph_87</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std. dev. layer 1 - red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morph_88</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avg. layer - green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lastRenderedPageBreak/>
              <w:t>morph_89</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std. dev. layer</w:t>
            </w:r>
            <w:r>
              <w:t xml:space="preserve"> 1 - green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morph_90</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avg. layer 1 - blue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morph_91</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std. dev. layer 1 - blue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morph_92</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avg. length/width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morph_93</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std. dev. length/width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morph_94</w:t>
            </w:r>
          </w:p>
        </w:tc>
        <w:tc>
          <w:tcPr>
            <w:tcW w:w="1890" w:type="dxa"/>
            <w:shd w:val="clear" w:color="auto" w:fill="auto"/>
            <w:noWrap/>
            <w:vAlign w:val="bottom"/>
            <w:hideMark/>
          </w:tcPr>
          <w:p w:rsidR="007A285A" w:rsidRDefault="00F05CFB">
            <w:pPr>
              <w:pStyle w:val="MDPI42tablebody"/>
              <w:spacing w:line="360" w:lineRule="auto"/>
              <w:ind w:left="360" w:right="386"/>
            </w:pPr>
            <w:r>
              <w:t>density</w:t>
            </w:r>
          </w:p>
        </w:tc>
        <w:tc>
          <w:tcPr>
            <w:tcW w:w="5130" w:type="dxa"/>
            <w:shd w:val="clear" w:color="auto" w:fill="auto"/>
            <w:noWrap/>
            <w:vAlign w:val="bottom"/>
            <w:hideMark/>
          </w:tcPr>
          <w:p w:rsidR="007A285A" w:rsidRDefault="00F05CFB">
            <w:pPr>
              <w:pStyle w:val="MDPI42tablebody"/>
              <w:spacing w:line="360" w:lineRule="auto"/>
              <w:ind w:left="360" w:right="386"/>
            </w:pPr>
            <w:r>
              <w:t xml:space="preserve">avg. density </w:t>
            </w:r>
            <w:r>
              <w:t>(segment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morph_95</w:t>
            </w:r>
          </w:p>
        </w:tc>
        <w:tc>
          <w:tcPr>
            <w:tcW w:w="1890" w:type="dxa"/>
            <w:shd w:val="clear" w:color="auto" w:fill="auto"/>
            <w:noWrap/>
            <w:vAlign w:val="bottom"/>
            <w:hideMark/>
          </w:tcPr>
          <w:p w:rsidR="007A285A" w:rsidRDefault="00F05CFB">
            <w:pPr>
              <w:pStyle w:val="MDPI42tablebody"/>
              <w:spacing w:line="360" w:lineRule="auto"/>
              <w:ind w:left="360" w:right="386"/>
            </w:pPr>
            <w:r>
              <w:t>density</w:t>
            </w:r>
          </w:p>
        </w:tc>
        <w:tc>
          <w:tcPr>
            <w:tcW w:w="5130" w:type="dxa"/>
            <w:shd w:val="clear" w:color="auto" w:fill="auto"/>
            <w:noWrap/>
            <w:vAlign w:val="bottom"/>
            <w:hideMark/>
          </w:tcPr>
          <w:p w:rsidR="007A285A" w:rsidRDefault="00F05CFB">
            <w:pPr>
              <w:pStyle w:val="MDPI42tablebody"/>
              <w:spacing w:line="360" w:lineRule="auto"/>
              <w:ind w:left="360" w:right="386"/>
            </w:pPr>
            <w:r>
              <w:t>std. dev. density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morph_96</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avg. elliptic fit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morph_97</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std. dev. elliptic fit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morph_98</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avg. brownness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morph_99</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std. dev. brownness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morph_100</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 xml:space="preserve">avg. </w:t>
            </w:r>
            <w:proofErr w:type="spellStart"/>
            <w:r>
              <w:t>hematoxylin</w:t>
            </w:r>
            <w:proofErr w:type="spellEnd"/>
            <w:r>
              <w:t xml:space="preserve"> intensity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morph_101</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 xml:space="preserve">std. dev. </w:t>
            </w:r>
            <w:proofErr w:type="spellStart"/>
            <w:r>
              <w:t>hematoxylin</w:t>
            </w:r>
            <w:proofErr w:type="spellEnd"/>
            <w:r>
              <w:t xml:space="preserve"> intensity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morph_102</w:t>
            </w:r>
          </w:p>
        </w:tc>
        <w:tc>
          <w:tcPr>
            <w:tcW w:w="1890" w:type="dxa"/>
            <w:shd w:val="clear" w:color="auto" w:fill="auto"/>
            <w:noWrap/>
            <w:vAlign w:val="bottom"/>
            <w:hideMark/>
          </w:tcPr>
          <w:p w:rsidR="007A285A" w:rsidRDefault="00F05CFB">
            <w:pPr>
              <w:pStyle w:val="MDPI42tablebody"/>
              <w:spacing w:line="360" w:lineRule="auto"/>
              <w:ind w:left="360" w:right="386"/>
            </w:pPr>
            <w:r>
              <w:t>density</w:t>
            </w:r>
          </w:p>
        </w:tc>
        <w:tc>
          <w:tcPr>
            <w:tcW w:w="5130" w:type="dxa"/>
            <w:shd w:val="clear" w:color="auto" w:fill="auto"/>
            <w:noWrap/>
            <w:vAlign w:val="bottom"/>
            <w:hideMark/>
          </w:tcPr>
          <w:p w:rsidR="007A285A" w:rsidRDefault="00F05CFB">
            <w:pPr>
              <w:pStyle w:val="MDPI42tablebody"/>
              <w:spacing w:line="360" w:lineRule="auto"/>
              <w:ind w:left="360" w:right="386"/>
            </w:pPr>
            <w:r>
              <w:t>avg. optical density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morph_103</w:t>
            </w:r>
          </w:p>
        </w:tc>
        <w:tc>
          <w:tcPr>
            <w:tcW w:w="1890" w:type="dxa"/>
            <w:shd w:val="clear" w:color="auto" w:fill="auto"/>
            <w:noWrap/>
            <w:vAlign w:val="bottom"/>
            <w:hideMark/>
          </w:tcPr>
          <w:p w:rsidR="007A285A" w:rsidRDefault="00F05CFB">
            <w:pPr>
              <w:pStyle w:val="MDPI42tablebody"/>
              <w:spacing w:line="360" w:lineRule="auto"/>
              <w:ind w:left="360" w:right="386"/>
            </w:pPr>
            <w:r>
              <w:t>density</w:t>
            </w:r>
          </w:p>
        </w:tc>
        <w:tc>
          <w:tcPr>
            <w:tcW w:w="5130" w:type="dxa"/>
            <w:shd w:val="clear" w:color="auto" w:fill="auto"/>
            <w:noWrap/>
            <w:vAlign w:val="bottom"/>
            <w:hideMark/>
          </w:tcPr>
          <w:p w:rsidR="007A285A" w:rsidRDefault="00F05CFB">
            <w:pPr>
              <w:pStyle w:val="MDPI42tablebody"/>
              <w:spacing w:line="360" w:lineRule="auto"/>
              <w:ind w:left="360" w:right="386"/>
            </w:pPr>
            <w:r>
              <w:t>std. dev. optical density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morph_104</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 xml:space="preserve">avg. </w:t>
            </w:r>
            <w:r>
              <w:t>circularity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morph_105</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std. dev. circularity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morph_106</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 xml:space="preserve">avg. </w:t>
            </w:r>
            <w:proofErr w:type="spellStart"/>
            <w:r>
              <w:t>ellipticity</w:t>
            </w:r>
            <w:proofErr w:type="spellEnd"/>
            <w:r>
              <w:t xml:space="preserve">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morph_107</w:t>
            </w:r>
          </w:p>
        </w:tc>
        <w:tc>
          <w:tcPr>
            <w:tcW w:w="1890" w:type="dxa"/>
            <w:shd w:val="clear" w:color="auto" w:fill="auto"/>
            <w:noWrap/>
            <w:vAlign w:val="bottom"/>
            <w:hideMark/>
          </w:tcPr>
          <w:p w:rsidR="007A285A" w:rsidRDefault="00F05CFB">
            <w:pPr>
              <w:pStyle w:val="MDPI42tablebody"/>
              <w:spacing w:line="360" w:lineRule="auto"/>
              <w:ind w:left="360" w:right="386"/>
            </w:pPr>
            <w:r>
              <w:t>shape</w:t>
            </w:r>
          </w:p>
        </w:tc>
        <w:tc>
          <w:tcPr>
            <w:tcW w:w="5130" w:type="dxa"/>
            <w:shd w:val="clear" w:color="auto" w:fill="auto"/>
            <w:noWrap/>
            <w:vAlign w:val="bottom"/>
            <w:hideMark/>
          </w:tcPr>
          <w:p w:rsidR="007A285A" w:rsidRDefault="00F05CFB">
            <w:pPr>
              <w:pStyle w:val="MDPI42tablebody"/>
              <w:spacing w:line="360" w:lineRule="auto"/>
              <w:ind w:left="360" w:right="386"/>
            </w:pPr>
            <w:r>
              <w:t xml:space="preserve">std. dev. </w:t>
            </w:r>
            <w:proofErr w:type="spellStart"/>
            <w:r>
              <w:t>ellipticity</w:t>
            </w:r>
            <w:proofErr w:type="spellEnd"/>
            <w:r>
              <w:t xml:space="preserve"> (segment 2)</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morph_116</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avg. brownness (ROI)</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morph_117</w:t>
            </w:r>
          </w:p>
        </w:tc>
        <w:tc>
          <w:tcPr>
            <w:tcW w:w="1890" w:type="dxa"/>
            <w:shd w:val="clear" w:color="auto" w:fill="auto"/>
            <w:noWrap/>
            <w:vAlign w:val="bottom"/>
            <w:hideMark/>
          </w:tcPr>
          <w:p w:rsidR="007A285A" w:rsidRDefault="006B29D2">
            <w:pPr>
              <w:pStyle w:val="MDPI42tablebody"/>
              <w:spacing w:line="360" w:lineRule="auto"/>
              <w:ind w:left="360" w:right="386"/>
            </w:pPr>
            <w:proofErr w:type="spellStart"/>
            <w:r>
              <w:t>colour</w:t>
            </w:r>
            <w:proofErr w:type="spellEnd"/>
          </w:p>
        </w:tc>
        <w:tc>
          <w:tcPr>
            <w:tcW w:w="5130" w:type="dxa"/>
            <w:shd w:val="clear" w:color="auto" w:fill="auto"/>
            <w:noWrap/>
            <w:vAlign w:val="bottom"/>
            <w:hideMark/>
          </w:tcPr>
          <w:p w:rsidR="007A285A" w:rsidRDefault="00F05CFB">
            <w:pPr>
              <w:pStyle w:val="MDPI42tablebody"/>
              <w:spacing w:line="360" w:lineRule="auto"/>
              <w:ind w:left="360" w:right="386"/>
            </w:pPr>
            <w:r>
              <w:t xml:space="preserve">avg. </w:t>
            </w:r>
            <w:proofErr w:type="spellStart"/>
            <w:r>
              <w:t>hematoxylin</w:t>
            </w:r>
            <w:proofErr w:type="spellEnd"/>
            <w:r>
              <w:t xml:space="preserve"> intensity </w:t>
            </w:r>
            <w:r>
              <w:t>(ROI)</w:t>
            </w:r>
          </w:p>
        </w:tc>
      </w:tr>
      <w:tr w:rsidR="007A285A">
        <w:trPr>
          <w:trHeight w:val="300"/>
        </w:trPr>
        <w:tc>
          <w:tcPr>
            <w:tcW w:w="1530" w:type="dxa"/>
            <w:shd w:val="clear" w:color="auto" w:fill="auto"/>
            <w:noWrap/>
            <w:vAlign w:val="bottom"/>
            <w:hideMark/>
          </w:tcPr>
          <w:p w:rsidR="007A285A" w:rsidRDefault="00F05CFB">
            <w:pPr>
              <w:pStyle w:val="MDPI42tablebody"/>
              <w:spacing w:line="360" w:lineRule="auto"/>
              <w:ind w:left="360" w:right="386"/>
            </w:pPr>
            <w:r>
              <w:t>morph_118</w:t>
            </w:r>
          </w:p>
        </w:tc>
        <w:tc>
          <w:tcPr>
            <w:tcW w:w="1890" w:type="dxa"/>
            <w:shd w:val="clear" w:color="auto" w:fill="auto"/>
            <w:noWrap/>
            <w:vAlign w:val="bottom"/>
            <w:hideMark/>
          </w:tcPr>
          <w:p w:rsidR="007A285A" w:rsidRDefault="00F05CFB">
            <w:pPr>
              <w:pStyle w:val="MDPI42tablebody"/>
              <w:spacing w:line="360" w:lineRule="auto"/>
              <w:ind w:left="360" w:right="386"/>
            </w:pPr>
            <w:r>
              <w:t>density</w:t>
            </w:r>
          </w:p>
        </w:tc>
        <w:tc>
          <w:tcPr>
            <w:tcW w:w="5130" w:type="dxa"/>
            <w:shd w:val="clear" w:color="auto" w:fill="auto"/>
            <w:noWrap/>
            <w:vAlign w:val="bottom"/>
            <w:hideMark/>
          </w:tcPr>
          <w:p w:rsidR="007A285A" w:rsidRDefault="00F05CFB">
            <w:pPr>
              <w:pStyle w:val="MDPI42tablebody"/>
              <w:spacing w:line="360" w:lineRule="auto"/>
              <w:ind w:left="360" w:right="386"/>
            </w:pPr>
            <w:r>
              <w:t>avg. optical density (ROI)</w:t>
            </w:r>
          </w:p>
        </w:tc>
      </w:tr>
    </w:tbl>
    <w:p w:rsidR="007A285A" w:rsidRDefault="007A285A">
      <w:pPr>
        <w:pStyle w:val="MDPI41tablecaption"/>
        <w:spacing w:line="360" w:lineRule="auto"/>
        <w:ind w:left="360" w:right="386"/>
      </w:pPr>
    </w:p>
    <w:p w:rsidR="007A285A" w:rsidRDefault="007A285A">
      <w:pPr>
        <w:rPr>
          <w:rFonts w:ascii="Palatino Linotype" w:eastAsia="Times New Roman" w:hAnsi="Palatino Linotype" w:cs="Cordia New"/>
          <w:color w:val="000000"/>
          <w:sz w:val="18"/>
          <w:lang w:eastAsia="de-DE" w:bidi="en-US"/>
        </w:rPr>
      </w:pPr>
    </w:p>
    <w:p w:rsidR="007A285A" w:rsidRDefault="007A285A">
      <w:pPr>
        <w:rPr>
          <w:rFonts w:ascii="Palatino Linotype" w:eastAsia="Times New Roman" w:hAnsi="Palatino Linotype" w:cs="Cordia New"/>
          <w:color w:val="000000"/>
          <w:sz w:val="18"/>
          <w:lang w:eastAsia="de-DE" w:bidi="en-US"/>
        </w:rPr>
      </w:pPr>
    </w:p>
    <w:p w:rsidR="007A285A" w:rsidRDefault="007A285A">
      <w:pPr>
        <w:rPr>
          <w:rFonts w:ascii="Palatino Linotype" w:eastAsia="Times New Roman" w:hAnsi="Palatino Linotype" w:cs="Cordia New"/>
          <w:color w:val="000000"/>
          <w:sz w:val="18"/>
          <w:lang w:eastAsia="de-DE" w:bidi="en-US"/>
        </w:rPr>
      </w:pPr>
    </w:p>
    <w:p w:rsidR="007A285A" w:rsidRDefault="007A285A">
      <w:pPr>
        <w:rPr>
          <w:rFonts w:ascii="Palatino Linotype" w:eastAsia="Times New Roman" w:hAnsi="Palatino Linotype" w:cs="Cordia New"/>
          <w:color w:val="000000"/>
          <w:sz w:val="18"/>
          <w:lang w:eastAsia="de-DE" w:bidi="en-US"/>
        </w:rPr>
      </w:pPr>
    </w:p>
    <w:p w:rsidR="007A285A" w:rsidRDefault="007A285A">
      <w:pPr>
        <w:rPr>
          <w:rFonts w:ascii="Palatino Linotype" w:eastAsia="Times New Roman" w:hAnsi="Palatino Linotype" w:cs="Cordia New"/>
          <w:color w:val="000000"/>
          <w:sz w:val="18"/>
          <w:lang w:eastAsia="de-DE" w:bidi="en-US"/>
        </w:rPr>
      </w:pPr>
    </w:p>
    <w:p w:rsidR="007A285A" w:rsidRDefault="007A285A">
      <w:pPr>
        <w:rPr>
          <w:rFonts w:ascii="Palatino Linotype" w:eastAsia="Times New Roman" w:hAnsi="Palatino Linotype" w:cs="Cordia New"/>
          <w:color w:val="000000"/>
          <w:sz w:val="18"/>
          <w:lang w:eastAsia="de-DE" w:bidi="en-US"/>
        </w:rPr>
      </w:pPr>
    </w:p>
    <w:p w:rsidR="007A285A" w:rsidRDefault="007A285A">
      <w:pPr>
        <w:rPr>
          <w:rFonts w:ascii="Palatino Linotype" w:eastAsia="Times New Roman" w:hAnsi="Palatino Linotype" w:cs="Cordia New"/>
          <w:color w:val="000000"/>
          <w:sz w:val="18"/>
          <w:lang w:eastAsia="de-DE" w:bidi="en-US"/>
        </w:rPr>
      </w:pPr>
    </w:p>
    <w:p w:rsidR="007A285A" w:rsidRDefault="007A285A">
      <w:pPr>
        <w:rPr>
          <w:rFonts w:ascii="Palatino Linotype" w:eastAsia="Times New Roman" w:hAnsi="Palatino Linotype" w:cs="Cordia New"/>
          <w:color w:val="000000"/>
          <w:sz w:val="18"/>
          <w:lang w:eastAsia="de-DE" w:bidi="en-US"/>
        </w:rPr>
      </w:pPr>
    </w:p>
    <w:p w:rsidR="007A285A" w:rsidRDefault="00F05CFB">
      <w:pPr>
        <w:pStyle w:val="Standard"/>
        <w:spacing w:line="360" w:lineRule="auto"/>
        <w:rPr>
          <w:rFonts w:ascii="Palatino Linotype" w:eastAsia="Times New Roman" w:hAnsi="Palatino Linotype" w:cs="Cordia New"/>
          <w:kern w:val="0"/>
          <w:sz w:val="18"/>
          <w:szCs w:val="22"/>
          <w:lang w:eastAsia="de-DE" w:bidi="en-US"/>
        </w:rPr>
      </w:pPr>
      <w:r>
        <w:rPr>
          <w:rFonts w:ascii="Palatino Linotype" w:eastAsia="Times New Roman" w:hAnsi="Palatino Linotype" w:cs="Cordia New"/>
          <w:kern w:val="0"/>
          <w:sz w:val="18"/>
          <w:szCs w:val="22"/>
          <w:lang w:eastAsia="de-DE" w:bidi="en-US"/>
        </w:rPr>
        <w:lastRenderedPageBreak/>
        <w:t>Supplementary Figure 1: Example ion images of the top features in the classifier. A. glycerol 3-phosphate (m/z 152.9957), B. Hexose phosphate (m/z 259.0224), C. Oleic acid (m/z 281.2487). Each column indicates mean with standard error. P values are corresp</w:t>
      </w:r>
      <w:r>
        <w:rPr>
          <w:rFonts w:ascii="Palatino Linotype" w:eastAsia="Times New Roman" w:hAnsi="Palatino Linotype" w:cs="Cordia New"/>
          <w:kern w:val="0"/>
          <w:sz w:val="18"/>
          <w:szCs w:val="22"/>
          <w:lang w:eastAsia="de-DE" w:bidi="en-US"/>
        </w:rPr>
        <w:t xml:space="preserve">onding to the </w:t>
      </w:r>
      <w:proofErr w:type="spellStart"/>
      <w:r>
        <w:rPr>
          <w:rFonts w:ascii="Palatino Linotype" w:eastAsia="Times New Roman" w:hAnsi="Palatino Linotype" w:cs="Cordia New"/>
          <w:kern w:val="0"/>
          <w:sz w:val="18"/>
          <w:szCs w:val="22"/>
          <w:lang w:eastAsia="de-DE" w:bidi="en-US"/>
        </w:rPr>
        <w:t>Kruskal</w:t>
      </w:r>
      <w:proofErr w:type="spellEnd"/>
      <w:r>
        <w:rPr>
          <w:rFonts w:ascii="Palatino Linotype" w:eastAsia="Times New Roman" w:hAnsi="Palatino Linotype" w:cs="Cordia New"/>
          <w:kern w:val="0"/>
          <w:sz w:val="18"/>
          <w:szCs w:val="22"/>
          <w:lang w:eastAsia="de-DE" w:bidi="en-US"/>
        </w:rPr>
        <w:t>–Wallis test.</w:t>
      </w:r>
    </w:p>
    <w:p w:rsidR="007A285A" w:rsidRDefault="00F05CFB">
      <w:pPr>
        <w:pStyle w:val="Standard"/>
        <w:spacing w:line="360" w:lineRule="auto"/>
        <w:rPr>
          <w:rFonts w:ascii="Palatino Linotype" w:eastAsia="Times New Roman" w:hAnsi="Palatino Linotype" w:cs="Cordia New"/>
          <w:kern w:val="0"/>
          <w:sz w:val="18"/>
          <w:szCs w:val="22"/>
          <w:lang w:eastAsia="de-DE" w:bidi="en-US"/>
        </w:rPr>
      </w:pPr>
      <w:r>
        <w:rPr>
          <w:rFonts w:asciiTheme="minorHAnsi" w:hAnsiTheme="minorHAnsi" w:cstheme="minorHAnsi"/>
          <w:noProof/>
          <w:lang w:val="en-IN" w:eastAsia="en-IN"/>
        </w:rPr>
        <w:drawing>
          <wp:inline distT="0" distB="0" distL="0" distR="0">
            <wp:extent cx="5943600" cy="4305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4305300"/>
                    </a:xfrm>
                    <a:prstGeom prst="rect">
                      <a:avLst/>
                    </a:prstGeom>
                  </pic:spPr>
                </pic:pic>
              </a:graphicData>
            </a:graphic>
          </wp:inline>
        </w:drawing>
      </w:r>
    </w:p>
    <w:p w:rsidR="007A285A" w:rsidRDefault="007A285A">
      <w:pPr>
        <w:spacing w:line="360" w:lineRule="auto"/>
        <w:rPr>
          <w:rFonts w:ascii="Palatino Linotype" w:eastAsia="Times New Roman" w:hAnsi="Palatino Linotype" w:cs="Cordia New"/>
          <w:color w:val="000000"/>
          <w:sz w:val="18"/>
          <w:lang w:eastAsia="de-DE" w:bidi="en-US"/>
        </w:rPr>
      </w:pPr>
    </w:p>
    <w:p w:rsidR="007A285A" w:rsidRDefault="007A285A">
      <w:pPr>
        <w:rPr>
          <w:rFonts w:ascii="Palatino Linotype" w:eastAsia="Times New Roman" w:hAnsi="Palatino Linotype" w:cs="Cordia New"/>
          <w:color w:val="000000"/>
          <w:sz w:val="18"/>
          <w:lang w:eastAsia="de-DE" w:bidi="en-US"/>
        </w:rPr>
      </w:pPr>
    </w:p>
    <w:sectPr w:rsidR="007A285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CFB" w:rsidRDefault="00F05CFB">
      <w:pPr>
        <w:spacing w:after="0" w:line="240" w:lineRule="auto"/>
      </w:pPr>
      <w:r>
        <w:separator/>
      </w:r>
    </w:p>
  </w:endnote>
  <w:endnote w:type="continuationSeparator" w:id="0">
    <w:p w:rsidR="00F05CFB" w:rsidRDefault="00F05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8200834"/>
      <w:docPartObj>
        <w:docPartGallery w:val="Page Numbers (Bottom of Page)"/>
        <w:docPartUnique/>
      </w:docPartObj>
    </w:sdtPr>
    <w:sdtEndPr>
      <w:rPr>
        <w:noProof/>
      </w:rPr>
    </w:sdtEndPr>
    <w:sdtContent>
      <w:p w:rsidR="007A285A" w:rsidRDefault="00F05CFB">
        <w:pPr>
          <w:pStyle w:val="Footer"/>
          <w:jc w:val="center"/>
        </w:pPr>
        <w:r>
          <w:fldChar w:fldCharType="begin"/>
        </w:r>
        <w:r>
          <w:instrText xml:space="preserve"> PAGE   \* MERGEFORMAT </w:instrText>
        </w:r>
        <w:r>
          <w:fldChar w:fldCharType="separate"/>
        </w:r>
        <w:r w:rsidR="006B29D2">
          <w:rPr>
            <w:noProof/>
          </w:rPr>
          <w:t>1</w:t>
        </w:r>
        <w:r>
          <w:rPr>
            <w:noProof/>
          </w:rPr>
          <w:fldChar w:fldCharType="end"/>
        </w:r>
      </w:p>
    </w:sdtContent>
  </w:sdt>
  <w:p w:rsidR="007A285A" w:rsidRDefault="007A28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CFB" w:rsidRDefault="00F05CFB">
      <w:pPr>
        <w:spacing w:after="0" w:line="240" w:lineRule="auto"/>
      </w:pPr>
      <w:r>
        <w:separator/>
      </w:r>
    </w:p>
  </w:footnote>
  <w:footnote w:type="continuationSeparator" w:id="0">
    <w:p w:rsidR="00F05CFB" w:rsidRDefault="00F05C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YwNLIwNTI1MDUyMrNQ0lEKTi0uzszPAykwrAUAM+VOtiwAAAA="/>
  </w:docVars>
  <w:rsids>
    <w:rsidRoot w:val="007A285A"/>
    <w:rsid w:val="006B29D2"/>
    <w:rsid w:val="007A285A"/>
    <w:rsid w:val="00F05C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ABEBB060-B80B-4B32-A32C-FF542744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31text">
    <w:name w:val="MDPI_3.1_text"/>
    <w:qFormat/>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21heading1">
    <w:name w:val="MDPI_2.1_heading1"/>
    <w:qFormat/>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paragraph" w:customStyle="1" w:styleId="MDPI41tablecaption">
    <w:name w:val="MDPI_4.1_table_caption"/>
    <w:qFormat/>
    <w:pPr>
      <w:adjustRightInd w:val="0"/>
      <w:snapToGrid w:val="0"/>
      <w:spacing w:before="240" w:after="120" w:line="228" w:lineRule="auto"/>
      <w:ind w:left="2608"/>
    </w:pPr>
    <w:rPr>
      <w:rFonts w:ascii="Palatino Linotype" w:eastAsia="Times New Roman" w:hAnsi="Palatino Linotype" w:cs="Cordia New"/>
      <w:color w:val="000000"/>
      <w:sz w:val="18"/>
      <w:lang w:eastAsia="de-DE" w:bidi="en-US"/>
    </w:rPr>
  </w:style>
  <w:style w:type="paragraph" w:customStyle="1" w:styleId="MDPI42tablebody">
    <w:name w:val="MDPI_4.2_table_body"/>
    <w:qFormat/>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Standard">
    <w:name w:val="Standard"/>
    <w:pPr>
      <w:suppressAutoHyphens/>
      <w:autoSpaceDN w:val="0"/>
      <w:spacing w:after="0" w:line="240" w:lineRule="auto"/>
      <w:textAlignment w:val="baseline"/>
    </w:pPr>
    <w:rPr>
      <w:rFonts w:ascii="Verdana" w:eastAsia="SimSun" w:hAnsi="Verdana" w:cs="Verdana"/>
      <w:color w:val="000000"/>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917388">
      <w:bodyDiv w:val="1"/>
      <w:marLeft w:val="0"/>
      <w:marRight w:val="0"/>
      <w:marTop w:val="0"/>
      <w:marBottom w:val="0"/>
      <w:divBdr>
        <w:top w:val="none" w:sz="0" w:space="0" w:color="auto"/>
        <w:left w:val="none" w:sz="0" w:space="0" w:color="auto"/>
        <w:bottom w:val="none" w:sz="0" w:space="0" w:color="auto"/>
        <w:right w:val="none" w:sz="0" w:space="0" w:color="auto"/>
      </w:divBdr>
    </w:div>
    <w:div w:id="102074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CA816-02A0-4F47-8E88-39F08E3A8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6197</Words>
  <Characters>35326</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Helmholtz Zentrum München</Company>
  <LinksUpToDate>false</LinksUpToDate>
  <CharactersWithSpaces>41441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verena.prade</dc:creator>
  <cp:keywords/>
  <dc:description/>
  <cp:lastModifiedBy>Sachin Kumar2</cp:lastModifiedBy>
  <cp:revision>5</cp:revision>
  <dcterms:created xsi:type="dcterms:W3CDTF">2021-11-10T13:12:00Z</dcterms:created>
  <dcterms:modified xsi:type="dcterms:W3CDTF">2021-12-03T13:49:00Z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http://www.zotero.org/styles/cancer-discovery</vt:lpwstr>
  </property>
  <property fmtid="{D5CDD505-2E9C-101B-9397-08002B2CF9AE}" pid="7" name="Mendeley Recent Style Name 2_1">
    <vt:lpwstr>Cancer Discovery</vt:lpwstr>
  </property>
  <property fmtid="{D5CDD505-2E9C-101B-9397-08002B2CF9AE}" pid="8" name="Mendeley Recent Style Id 3_1">
    <vt:lpwstr>http://www.zotero.org/styles/cancers</vt:lpwstr>
  </property>
  <property fmtid="{D5CDD505-2E9C-101B-9397-08002B2CF9AE}" pid="9" name="Mendeley Recent Style Name 3_1">
    <vt:lpwstr>Cancers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http://www.zotero.org/styles/molecular-metabolism</vt:lpwstr>
  </property>
  <property fmtid="{D5CDD505-2E9C-101B-9397-08002B2CF9AE}" pid="21" name="Mendeley Recent Style Name 9_1">
    <vt:lpwstr>Molecular Metabolism</vt:lpwstr>
  </property>
  <property fmtid="{D5CDD505-2E9C-101B-9397-08002B2CF9AE}" pid="22" name="Mendeley Document_1">
    <vt:lpwstr>True</vt:lpwstr>
  </property>
  <property fmtid="{D5CDD505-2E9C-101B-9397-08002B2CF9AE}" pid="23" name="Mendeley Unique User Id_1">
    <vt:lpwstr>8732f73e-c920-3613-af62-c26f579b3d3c</vt:lpwstr>
  </property>
  <property fmtid="{D5CDD505-2E9C-101B-9397-08002B2CF9AE}" pid="24" name="Mendeley Citation Style_1">
    <vt:lpwstr>http://www.zotero.org/styles/cancers</vt:lpwstr>
  </property>
</Properties>
</file>